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29"/>
        <w:ind w:left="5516"/>
        <w:rPr>
          <w:rFonts w:ascii="楷体" w:eastAsia="楷体" w:hint="eastAsia"/>
        </w:rPr>
      </w:pPr>
      <w:r>
        <w:rPr/>
        <w:drawing>
          <wp:anchor distT="0" distB="0" distL="0" distR="0" allowOverlap="1" layoutInCell="1" locked="0" behindDoc="0" simplePos="0" relativeHeight="0">
            <wp:simplePos x="0" y="0"/>
            <wp:positionH relativeFrom="page">
              <wp:posOffset>5143500</wp:posOffset>
            </wp:positionH>
            <wp:positionV relativeFrom="paragraph">
              <wp:posOffset>259000</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rFonts w:ascii="楷体" w:eastAsia="楷体" w:hint="eastAsia"/>
        </w:rPr>
        <w:t>中英人寿</w:t>
      </w:r>
      <w:r>
        <w:rPr>
          <w:rFonts w:ascii="Times New Roman" w:eastAsia="Times New Roman"/>
        </w:rPr>
        <w:t>[2015]</w:t>
      </w:r>
      <w:r>
        <w:rPr>
          <w:rFonts w:ascii="楷体" w:eastAsia="楷体" w:hint="eastAsia"/>
        </w:rPr>
        <w:t>疾病保险 </w:t>
      </w:r>
      <w:r>
        <w:rPr>
          <w:rFonts w:ascii="Times New Roman" w:eastAsia="Times New Roman"/>
        </w:rPr>
        <w:t>063 </w:t>
      </w:r>
      <w:r>
        <w:rPr>
          <w:rFonts w:ascii="楷体" w:eastAsia="楷体" w:hint="eastAsia"/>
        </w:rPr>
        <w:t>号</w:t>
      </w:r>
    </w:p>
    <w:p>
      <w:pPr>
        <w:spacing w:before="12"/>
        <w:ind w:left="0" w:right="729" w:firstLine="0"/>
        <w:jc w:val="right"/>
        <w:rPr>
          <w:rFonts w:ascii="楷体" w:eastAsia="楷体" w:hint="eastAsia"/>
          <w:sz w:val="21"/>
        </w:rPr>
      </w:pPr>
      <w:r>
        <w:rPr>
          <w:rFonts w:ascii="楷体" w:eastAsia="楷体" w:hint="eastAsia"/>
          <w:sz w:val="21"/>
        </w:rPr>
        <w:t>请扫描以查询验证条款</w:t>
      </w:r>
    </w:p>
    <w:p>
      <w:pPr>
        <w:pStyle w:val="BodyText"/>
        <w:spacing w:before="8"/>
        <w:ind w:left="0"/>
        <w:rPr>
          <w:rFonts w:ascii="楷体"/>
          <w:sz w:val="28"/>
        </w:rPr>
      </w:pPr>
    </w:p>
    <w:p>
      <w:pPr>
        <w:spacing w:before="0"/>
        <w:ind w:left="2254" w:right="2330" w:firstLine="0"/>
        <w:jc w:val="center"/>
        <w:rPr>
          <w:b/>
          <w:sz w:val="28"/>
        </w:rPr>
      </w:pPr>
      <w:r>
        <w:rPr>
          <w:b/>
          <w:w w:val="95"/>
          <w:sz w:val="28"/>
        </w:rPr>
        <w:t>中英人寿福利佳团体重大疾病保险</w:t>
      </w:r>
    </w:p>
    <w:p>
      <w:pPr>
        <w:pStyle w:val="BodyText"/>
        <w:spacing w:before="5"/>
        <w:ind w:left="0"/>
        <w:rPr>
          <w:b/>
          <w:sz w:val="34"/>
        </w:rPr>
      </w:pPr>
    </w:p>
    <w:p>
      <w:pPr>
        <w:pStyle w:val="Heading1"/>
        <w:ind w:right="2329"/>
      </w:pPr>
      <w:r>
        <w:rPr/>
        <w:t>第一部分 责任条款</w:t>
      </w:r>
    </w:p>
    <w:p>
      <w:pPr>
        <w:pStyle w:val="BodyText"/>
        <w:spacing w:before="7"/>
        <w:ind w:left="0"/>
        <w:rPr>
          <w:b/>
          <w:sz w:val="26"/>
        </w:rPr>
      </w:pPr>
    </w:p>
    <w:p>
      <w:pPr>
        <w:pStyle w:val="Heading3"/>
        <w:spacing w:before="0"/>
      </w:pPr>
      <w:r>
        <w:rPr/>
        <w:t>第一条 保险合同的构成</w:t>
      </w:r>
    </w:p>
    <w:p>
      <w:pPr>
        <w:pStyle w:val="BodyText"/>
        <w:spacing w:before="9"/>
        <w:ind w:left="0"/>
        <w:rPr>
          <w:b/>
          <w:sz w:val="15"/>
        </w:rPr>
      </w:pPr>
    </w:p>
    <w:p>
      <w:pPr>
        <w:pStyle w:val="BodyText"/>
        <w:spacing w:line="285" w:lineRule="auto" w:before="1"/>
        <w:ind w:right="196" w:firstLine="400"/>
        <w:jc w:val="both"/>
      </w:pPr>
      <w:r>
        <w:rPr>
          <w:w w:val="99"/>
        </w:rPr>
        <w:t>中英人寿保险有限公司</w:t>
      </w:r>
      <w:r>
        <w:rPr>
          <w:spacing w:val="1"/>
          <w:w w:val="99"/>
        </w:rPr>
        <w:t>（</w:t>
      </w:r>
      <w:r>
        <w:rPr>
          <w:spacing w:val="-12"/>
          <w:w w:val="99"/>
        </w:rPr>
        <w:t>以下简称“本公司”</w:t>
      </w:r>
      <w:r>
        <w:rPr>
          <w:w w:val="99"/>
        </w:rPr>
        <w:t>）与投保人订立的本保险合同（以下简称“本</w:t>
      </w:r>
      <w:r>
        <w:rPr>
          <w:spacing w:val="-13"/>
        </w:rPr>
        <w:t>合同”</w:t>
      </w:r>
      <w:r>
        <w:rPr>
          <w:spacing w:val="-37"/>
        </w:rPr>
        <w:t>）</w:t>
      </w:r>
      <w:r>
        <w:rPr>
          <w:spacing w:val="-15"/>
        </w:rPr>
        <w:t>由保险单、保险条款、所附的投保单及其它与本合同有关的投保文件、合法有效的声明、</w:t>
      </w:r>
      <w:r>
        <w:rPr>
          <w:spacing w:val="-15"/>
          <w:w w:val="95"/>
        </w:rPr>
        <w:t>批注、批单及其它书面协议构成。</w:t>
      </w:r>
    </w:p>
    <w:p>
      <w:pPr>
        <w:pStyle w:val="BodyText"/>
        <w:spacing w:line="285" w:lineRule="auto" w:before="12"/>
        <w:ind w:right="202" w:firstLine="400"/>
        <w:jc w:val="both"/>
      </w:pPr>
      <w:r>
        <w:rPr>
          <w:spacing w:val="-5"/>
          <w:w w:val="95"/>
        </w:rPr>
        <w:t>若上述构成本合同的文件正本需留本公司存档，则其复印件或电子影像印刷件的效力与正本   相同；若复印件或电子影像印刷件的内容与正本不同时，则以正本为准。</w:t>
      </w:r>
    </w:p>
    <w:p>
      <w:pPr>
        <w:pStyle w:val="Heading3"/>
      </w:pPr>
      <w:r>
        <w:rPr/>
        <w:t>第二条 投保范围</w:t>
      </w:r>
    </w:p>
    <w:p>
      <w:pPr>
        <w:pStyle w:val="BodyText"/>
        <w:spacing w:before="10"/>
        <w:ind w:left="0"/>
        <w:rPr>
          <w:b/>
          <w:sz w:val="15"/>
        </w:rPr>
      </w:pPr>
    </w:p>
    <w:p>
      <w:pPr>
        <w:pStyle w:val="BodyText"/>
        <w:spacing w:line="285" w:lineRule="auto"/>
        <w:ind w:right="199" w:firstLine="400"/>
        <w:jc w:val="both"/>
      </w:pPr>
      <w:r>
        <w:rPr>
          <w:spacing w:val="-5"/>
        </w:rPr>
        <w:t>一、凡身体健康，能正常工作或劳动的特定团体</w:t>
      </w:r>
      <w:r>
        <w:rPr/>
        <w:t>（</w:t>
      </w:r>
      <w:r>
        <w:rPr>
          <w:spacing w:val="-18"/>
        </w:rPr>
        <w:t>释义 </w:t>
      </w:r>
      <w:r>
        <w:rPr>
          <w:spacing w:val="-4"/>
        </w:rPr>
        <w:t>1）成员，经本公司审核同意，可作</w:t>
      </w:r>
      <w:r>
        <w:rPr>
          <w:spacing w:val="-10"/>
          <w:w w:val="95"/>
        </w:rPr>
        <w:t>为本合同的被保险人。被保险人之配偶、子女、父母，经本公司审核同意，可作为本合同的附属   被保险人。</w:t>
      </w:r>
    </w:p>
    <w:p>
      <w:pPr>
        <w:pStyle w:val="BodyText"/>
        <w:spacing w:line="285" w:lineRule="auto" w:before="12"/>
        <w:ind w:right="201" w:firstLine="400"/>
        <w:jc w:val="both"/>
      </w:pPr>
      <w:r>
        <w:rPr>
          <w:spacing w:val="-10"/>
          <w:w w:val="95"/>
        </w:rPr>
        <w:t>二、经被保险人同意，被保险人所在特定团体属于法人或非法人组织的，投保人应为该法人   </w:t>
      </w:r>
      <w:r>
        <w:rPr>
          <w:spacing w:val="-13"/>
        </w:rPr>
        <w:t>或非法人组织；特定团体属于其他不以购买保险为目的而组成的团体的，投保人可以是该特定团</w:t>
      </w:r>
      <w:r>
        <w:rPr>
          <w:spacing w:val="-13"/>
          <w:w w:val="95"/>
        </w:rPr>
        <w:t>体中的自然人。</w:t>
      </w:r>
    </w:p>
    <w:p>
      <w:pPr>
        <w:pStyle w:val="Heading3"/>
        <w:spacing w:before="131"/>
      </w:pPr>
      <w:r>
        <w:rPr/>
        <w:t>第三条 合同的成立与生效</w:t>
      </w:r>
    </w:p>
    <w:p>
      <w:pPr>
        <w:pStyle w:val="BodyText"/>
        <w:spacing w:before="9"/>
        <w:ind w:left="0"/>
        <w:rPr>
          <w:b/>
          <w:sz w:val="15"/>
        </w:rPr>
      </w:pPr>
    </w:p>
    <w:p>
      <w:pPr>
        <w:pStyle w:val="BodyText"/>
        <w:ind w:left="521"/>
      </w:pPr>
      <w:r>
        <w:rPr>
          <w:w w:val="95"/>
        </w:rPr>
        <w:t>投保人提出投保申请且本公司同意承保，本合同成立。</w:t>
      </w:r>
    </w:p>
    <w:p>
      <w:pPr>
        <w:pStyle w:val="BodyText"/>
        <w:spacing w:line="285" w:lineRule="auto" w:before="50"/>
        <w:ind w:left="521" w:right="104"/>
      </w:pPr>
      <w:r>
        <w:rPr>
          <w:w w:val="95"/>
        </w:rPr>
        <w:t>本合同自本公司同意承保、收取保险费并签发保险单后生效，合同生效日在保险单上载明。   </w:t>
      </w:r>
      <w:r>
        <w:rPr>
          <w:spacing w:val="-7"/>
        </w:rPr>
        <w:t>保单年度(释义 </w:t>
      </w:r>
      <w:r>
        <w:rPr/>
        <w:t>2)</w:t>
      </w:r>
      <w:r>
        <w:rPr>
          <w:spacing w:val="-5"/>
        </w:rPr>
        <w:t>、保险费约定交纳日(释义 </w:t>
      </w:r>
      <w:r>
        <w:rPr/>
        <w:t>3)均依据本合同的生效日确定。</w:t>
      </w:r>
    </w:p>
    <w:p>
      <w:pPr>
        <w:pStyle w:val="Heading3"/>
      </w:pPr>
      <w:r>
        <w:rPr/>
        <w:t>第四条 保险期间</w:t>
      </w:r>
    </w:p>
    <w:p>
      <w:pPr>
        <w:pStyle w:val="BodyText"/>
        <w:spacing w:before="11"/>
        <w:ind w:left="0"/>
        <w:rPr>
          <w:b/>
          <w:sz w:val="12"/>
        </w:rPr>
      </w:pPr>
    </w:p>
    <w:p>
      <w:pPr>
        <w:pStyle w:val="BodyText"/>
        <w:spacing w:before="38"/>
        <w:ind w:left="521"/>
      </w:pPr>
      <w:r>
        <w:rPr>
          <w:w w:val="95"/>
        </w:rPr>
        <w:t>本合同的保险期间自本合同生效日零时开始，至本合同项下所有被保险人的保险责任终止时</w:t>
      </w:r>
    </w:p>
    <w:p>
      <w:pPr>
        <w:pStyle w:val="BodyText"/>
        <w:spacing w:before="51"/>
      </w:pPr>
      <w:r>
        <w:rPr>
          <w:w w:val="95"/>
        </w:rPr>
        <w:t>止。</w:t>
      </w:r>
    </w:p>
    <w:p>
      <w:pPr>
        <w:pStyle w:val="BodyText"/>
        <w:spacing w:before="50"/>
        <w:ind w:left="521"/>
      </w:pPr>
      <w:r>
        <w:rPr>
          <w:w w:val="95"/>
        </w:rPr>
        <w:t>被保险人参加本合同时，投保人须选择该被保险人的个人保险期间，根据投保人的选择并经</w:t>
      </w:r>
    </w:p>
    <w:p>
      <w:pPr>
        <w:pStyle w:val="BodyText"/>
        <w:spacing w:line="285" w:lineRule="auto" w:before="50"/>
        <w:ind w:right="198"/>
        <w:jc w:val="both"/>
      </w:pPr>
      <w:r>
        <w:rPr>
          <w:spacing w:val="-9"/>
          <w:w w:val="95"/>
        </w:rPr>
        <w:t>本公司同意，可以为自被保险人加入保单起至被保险人终身，或自被保险人加入保单起至被保险   </w:t>
      </w:r>
      <w:r>
        <w:rPr>
          <w:spacing w:val="-9"/>
        </w:rPr>
        <w:t>人年满70周岁后的首个保单周年日（释义4）止。如果该被保险人是按照本合同第二十一条约定</w:t>
      </w:r>
      <w:r>
        <w:rPr>
          <w:spacing w:val="-14"/>
        </w:rPr>
        <w:t>所产生的新增被保险人，则自批注或批单载明的生效日起至被保险人终身，或自批注或批单载明的生效日起至被保险人年满70</w:t>
      </w:r>
      <w:r>
        <w:rPr>
          <w:spacing w:val="-18"/>
        </w:rPr>
        <w:t>周岁后的其批注或批单载明的生效日的对应日止，如果当年无对应</w:t>
      </w:r>
      <w:r>
        <w:rPr>
          <w:spacing w:val="-18"/>
          <w:w w:val="95"/>
        </w:rPr>
        <w:t>的同一日，则以该生效日所在月份最后一日为对应日。</w:t>
      </w:r>
    </w:p>
    <w:p>
      <w:pPr>
        <w:pStyle w:val="BodyText"/>
        <w:spacing w:line="285" w:lineRule="auto" w:before="12"/>
        <w:ind w:right="202" w:firstLine="400"/>
      </w:pPr>
      <w:r>
        <w:rPr>
          <w:spacing w:val="-6"/>
        </w:rPr>
        <w:t>本公司对被保险人承担的保险责任，自该被保险人的个人保险期间起始日的零时开始，到其</w:t>
      </w:r>
      <w:r>
        <w:rPr>
          <w:spacing w:val="-6"/>
          <w:w w:val="95"/>
        </w:rPr>
        <w:t>个人保险期间终止日的二十四时止。</w:t>
      </w:r>
    </w:p>
    <w:p>
      <w:pPr>
        <w:pStyle w:val="Heading3"/>
      </w:pPr>
      <w:r>
        <w:rPr/>
        <w:t>第五条 基本保险金额与申请减少基本保险金额</w:t>
      </w:r>
    </w:p>
    <w:p>
      <w:pPr>
        <w:spacing w:after="0"/>
        <w:sectPr>
          <w:footerReference w:type="default" r:id="rId5"/>
          <w:type w:val="continuous"/>
          <w:pgSz w:w="11910" w:h="16840"/>
          <w:pgMar w:footer="919" w:top="1380" w:bottom="1100" w:left="1680" w:right="1600"/>
          <w:pgNumType w:start="1"/>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9"/>
      </w:tblGrid>
      <w:tr>
        <w:trPr>
          <w:trHeight w:val="567" w:hRule="atLeast"/>
        </w:trPr>
        <w:tc>
          <w:tcPr>
            <w:tcW w:w="8879" w:type="dxa"/>
          </w:tcPr>
          <w:p>
            <w:pPr>
              <w:pStyle w:val="TableParagraph"/>
              <w:spacing w:line="195" w:lineRule="exact"/>
              <w:ind w:left="600"/>
              <w:rPr>
                <w:sz w:val="20"/>
              </w:rPr>
            </w:pPr>
            <w:r>
              <w:rPr>
                <w:sz w:val="20"/>
              </w:rPr>
              <w:t>本合同项下各被保险人名下的基本保险金额由投保人在投保时与本公司约定，并在本合同上</w:t>
            </w:r>
          </w:p>
          <w:p>
            <w:pPr>
              <w:pStyle w:val="TableParagraph"/>
              <w:spacing w:before="50"/>
              <w:ind w:left="200"/>
              <w:rPr>
                <w:sz w:val="20"/>
              </w:rPr>
            </w:pPr>
            <w:r>
              <w:rPr>
                <w:w w:val="95"/>
                <w:sz w:val="20"/>
              </w:rPr>
              <w:t>载明。</w:t>
            </w:r>
          </w:p>
        </w:tc>
      </w:tr>
      <w:tr>
        <w:trPr>
          <w:trHeight w:val="1503" w:hRule="atLeast"/>
        </w:trPr>
        <w:tc>
          <w:tcPr>
            <w:tcW w:w="8879" w:type="dxa"/>
          </w:tcPr>
          <w:p>
            <w:pPr>
              <w:pStyle w:val="TableParagraph"/>
              <w:spacing w:line="285" w:lineRule="auto"/>
              <w:ind w:left="200" w:right="202" w:firstLine="400"/>
              <w:rPr>
                <w:sz w:val="20"/>
              </w:rPr>
            </w:pPr>
            <w:r>
              <w:rPr>
                <w:sz w:val="20"/>
              </w:rPr>
              <w:t>如果该基本保险金额有所变更，变更后的基本保险金额在批注或批单上载明，并以变更后的</w:t>
            </w:r>
            <w:r>
              <w:rPr>
                <w:w w:val="95"/>
                <w:sz w:val="20"/>
              </w:rPr>
              <w:t>金额为准。</w:t>
            </w:r>
          </w:p>
          <w:p>
            <w:pPr>
              <w:pStyle w:val="TableParagraph"/>
              <w:spacing w:line="285" w:lineRule="auto" w:before="22"/>
              <w:ind w:left="200" w:right="198" w:firstLine="400"/>
              <w:rPr>
                <w:sz w:val="20"/>
              </w:rPr>
            </w:pPr>
            <w:r>
              <w:rPr>
                <w:sz w:val="20"/>
              </w:rPr>
              <w:t>在本合同有效期内，投保人可以书面申请减少本合同项下被保险人基本保险金额，但减少后的基本保险金额，须符合本公司当时规定的最低承保金额。基本保险金额的减少部分视为本公司</w:t>
            </w:r>
          </w:p>
          <w:p>
            <w:pPr>
              <w:pStyle w:val="TableParagraph"/>
              <w:spacing w:line="246" w:lineRule="exact" w:before="12"/>
              <w:ind w:left="200"/>
              <w:rPr>
                <w:sz w:val="20"/>
              </w:rPr>
            </w:pPr>
            <w:r>
              <w:rPr>
                <w:w w:val="95"/>
                <w:sz w:val="20"/>
              </w:rPr>
              <w:t>对该被保险人的保险责任终止，本公司将退还基本保险金额减少部分所对应的现金价值。</w:t>
            </w:r>
          </w:p>
        </w:tc>
      </w:tr>
    </w:tbl>
    <w:p>
      <w:pPr>
        <w:pStyle w:val="BodyText"/>
        <w:spacing w:before="11"/>
        <w:ind w:left="0"/>
        <w:rPr>
          <w:b/>
          <w:sz w:val="9"/>
        </w:rPr>
      </w:pPr>
    </w:p>
    <w:p>
      <w:pPr>
        <w:spacing w:before="37"/>
        <w:ind w:left="694" w:right="0" w:firstLine="0"/>
        <w:jc w:val="left"/>
        <w:rPr>
          <w:b/>
          <w:sz w:val="20"/>
        </w:rPr>
      </w:pPr>
      <w:r>
        <w:rPr>
          <w:b/>
          <w:sz w:val="20"/>
        </w:rPr>
        <w:t>第六条 保险费</w:t>
      </w:r>
    </w:p>
    <w:p>
      <w:pPr>
        <w:pStyle w:val="BodyText"/>
        <w:spacing w:before="9"/>
        <w:ind w:left="0"/>
        <w:rPr>
          <w:b/>
          <w:sz w:val="15"/>
        </w:rPr>
      </w:pPr>
    </w:p>
    <w:p>
      <w:pPr>
        <w:pStyle w:val="BodyText"/>
        <w:spacing w:line="285" w:lineRule="auto"/>
        <w:ind w:left="300" w:right="377" w:firstLine="359"/>
      </w:pPr>
      <w:r>
        <w:rPr/>
        <w:t>本合同的交费方式和交费期间由投保人在投保时与本公司约定，并在本合同上载明。被保险人的保险费金额根据投保时被保险人年龄、性别、基本保险金额、健康状况、保险费交费方式、</w:t>
      </w:r>
      <w:r>
        <w:rPr>
          <w:w w:val="95"/>
        </w:rPr>
        <w:t>保险期间和交费期间等因素确定。</w:t>
      </w:r>
    </w:p>
    <w:p>
      <w:pPr>
        <w:pStyle w:val="BodyText"/>
        <w:spacing w:line="285" w:lineRule="auto" w:before="12"/>
        <w:ind w:left="300" w:right="482" w:firstLine="359"/>
      </w:pPr>
      <w:r>
        <w:rPr>
          <w:spacing w:val="-5"/>
          <w:w w:val="95"/>
        </w:rPr>
        <w:t>分期支付保险费的，在交纳首期保险费后，其余各期的保险费应当在每个保险费约定交纳日   或之前交纳。</w:t>
      </w:r>
    </w:p>
    <w:p>
      <w:pPr>
        <w:pStyle w:val="Heading3"/>
        <w:spacing w:before="131"/>
        <w:ind w:left="694"/>
      </w:pPr>
      <w:r>
        <w:rPr/>
        <w:t>第七条 宽限期</w:t>
      </w:r>
    </w:p>
    <w:p>
      <w:pPr>
        <w:pStyle w:val="BodyText"/>
        <w:spacing w:before="9"/>
        <w:ind w:left="0"/>
        <w:rPr>
          <w:b/>
          <w:sz w:val="15"/>
        </w:rPr>
      </w:pPr>
    </w:p>
    <w:p>
      <w:pPr>
        <w:pStyle w:val="BodyText"/>
        <w:ind w:left="660"/>
      </w:pPr>
      <w:r>
        <w:rPr/>
        <w:t>如果保险费未按投保人与本公司的约定按时足额交纳，自保险费约定交纳日的次日零时起</w:t>
      </w:r>
    </w:p>
    <w:p>
      <w:pPr>
        <w:pStyle w:val="BodyText"/>
        <w:spacing w:line="285" w:lineRule="auto" w:before="50"/>
        <w:ind w:left="300" w:right="482"/>
      </w:pPr>
      <w:r>
        <w:rPr/>
        <w:t>60 日（含）为保险费交纳的宽限期。宽限期内发生的保险事故，本公司仍承担保险责任，但在</w:t>
      </w:r>
      <w:r>
        <w:rPr>
          <w:w w:val="95"/>
        </w:rPr>
        <w:t>给付保险金时会将欠交保险费予以扣除。</w:t>
      </w:r>
    </w:p>
    <w:p>
      <w:pPr>
        <w:pStyle w:val="BodyText"/>
        <w:spacing w:line="285" w:lineRule="auto" w:before="12"/>
        <w:ind w:left="300" w:right="385" w:firstLine="359"/>
      </w:pPr>
      <w:r>
        <w:rPr/>
        <w:t>如果保险费在宽限期内未按约定全额交纳的，则本合同自宽限期满的次日零时起效力中止， </w:t>
      </w:r>
      <w:r>
        <w:rPr>
          <w:w w:val="95"/>
        </w:rPr>
        <w:t>但本合同另有约定的除外。</w:t>
      </w:r>
    </w:p>
    <w:p>
      <w:pPr>
        <w:pStyle w:val="Heading3"/>
        <w:ind w:left="694"/>
      </w:pPr>
      <w:r>
        <w:rPr/>
        <w:t>第八条 合同效力的中止及恢复</w:t>
      </w:r>
    </w:p>
    <w:p>
      <w:pPr>
        <w:pStyle w:val="BodyText"/>
        <w:spacing w:before="9"/>
        <w:ind w:left="0"/>
        <w:rPr>
          <w:b/>
          <w:sz w:val="15"/>
        </w:rPr>
      </w:pPr>
    </w:p>
    <w:p>
      <w:pPr>
        <w:pStyle w:val="BodyText"/>
        <w:spacing w:before="1"/>
        <w:ind w:left="660"/>
      </w:pPr>
      <w:r>
        <w:rPr>
          <w:w w:val="95"/>
        </w:rPr>
        <w:t>1、效力中止</w:t>
      </w:r>
    </w:p>
    <w:p>
      <w:pPr>
        <w:pStyle w:val="BodyText"/>
        <w:spacing w:before="50"/>
        <w:ind w:left="660"/>
      </w:pPr>
      <w:r>
        <w:rPr>
          <w:w w:val="95"/>
        </w:rPr>
        <w:t>本合同效力中止期间，本公司不承担保险责任。</w:t>
      </w:r>
    </w:p>
    <w:p>
      <w:pPr>
        <w:pStyle w:val="BodyText"/>
        <w:spacing w:before="49"/>
        <w:ind w:left="660"/>
      </w:pPr>
      <w:r>
        <w:rPr>
          <w:w w:val="95"/>
        </w:rPr>
        <w:t>2、效力恢复</w:t>
      </w:r>
    </w:p>
    <w:p>
      <w:pPr>
        <w:pStyle w:val="BodyText"/>
        <w:spacing w:line="285" w:lineRule="auto" w:before="49"/>
        <w:ind w:left="300" w:right="480" w:firstLine="359"/>
      </w:pPr>
      <w:r>
        <w:rPr>
          <w:spacing w:val="-5"/>
        </w:rPr>
        <w:t>本合同效力中止之日起 </w:t>
      </w:r>
      <w:r>
        <w:rPr/>
        <w:t>2</w:t>
      </w:r>
      <w:r>
        <w:rPr>
          <w:spacing w:val="-11"/>
        </w:rPr>
        <w:t> 年内，投保人可以申请恢复合同效力。经投保人与本公司协商并达</w:t>
      </w:r>
      <w:r>
        <w:rPr>
          <w:spacing w:val="-11"/>
          <w:w w:val="95"/>
        </w:rPr>
        <w:t>成协议，自投保人补交保险费之日起，本合同效力恢复。</w:t>
      </w:r>
    </w:p>
    <w:p>
      <w:pPr>
        <w:pStyle w:val="BodyText"/>
        <w:spacing w:line="285" w:lineRule="auto" w:before="11"/>
        <w:ind w:left="300" w:right="384" w:firstLine="359"/>
      </w:pPr>
      <w:r>
        <w:rPr>
          <w:spacing w:val="-4"/>
        </w:rPr>
        <w:t>自本合同效力中止之日起满 </w:t>
      </w:r>
      <w:r>
        <w:rPr/>
        <w:t>2</w:t>
      </w:r>
      <w:r>
        <w:rPr>
          <w:spacing w:val="-11"/>
        </w:rPr>
        <w:t> 年投保人和本公司未达成协议的，本公司有权解除本合同，本</w:t>
      </w:r>
      <w:r>
        <w:rPr>
          <w:spacing w:val="-11"/>
          <w:w w:val="95"/>
        </w:rPr>
        <w:t>合同自解除之日起终止。本公司解除合同的，本公司向投保人退还保险责任终止时的现金价值。</w:t>
      </w:r>
    </w:p>
    <w:p>
      <w:pPr>
        <w:pStyle w:val="Heading3"/>
        <w:spacing w:before="131"/>
        <w:ind w:left="658"/>
      </w:pPr>
      <w:r>
        <w:rPr/>
        <w:t>第九条 犹豫期内的合同解除权</w:t>
      </w:r>
    </w:p>
    <w:p>
      <w:pPr>
        <w:pStyle w:val="BodyText"/>
        <w:spacing w:before="9"/>
        <w:ind w:left="0"/>
        <w:rPr>
          <w:b/>
          <w:sz w:val="15"/>
        </w:rPr>
      </w:pPr>
    </w:p>
    <w:p>
      <w:pPr>
        <w:pStyle w:val="BodyText"/>
        <w:spacing w:line="285" w:lineRule="auto"/>
        <w:ind w:left="300" w:right="482" w:firstLine="400"/>
        <w:jc w:val="both"/>
      </w:pPr>
      <w:r>
        <w:rPr>
          <w:spacing w:val="-4"/>
        </w:rPr>
        <w:t>自投保人签收本合同之日起，有 </w:t>
      </w:r>
      <w:r>
        <w:rPr/>
        <w:t>10</w:t>
      </w:r>
      <w:r>
        <w:rPr>
          <w:spacing w:val="-27"/>
        </w:rPr>
        <w:t> 天</w:t>
      </w:r>
      <w:r>
        <w:rPr/>
        <w:t>（含）的犹豫期。在此期间，投保人需认真阅读本合</w:t>
      </w:r>
      <w:r>
        <w:rPr>
          <w:spacing w:val="-9"/>
          <w:w w:val="95"/>
        </w:rPr>
        <w:t>同，如果认为本合同与需求不相符，投保人可以在此期间解除本合同，本公司将无息退还投保人   所交纳的保险费。</w:t>
      </w:r>
    </w:p>
    <w:p>
      <w:pPr>
        <w:pStyle w:val="BodyText"/>
        <w:spacing w:line="285" w:lineRule="auto" w:before="12"/>
        <w:ind w:left="300" w:right="480" w:firstLine="400"/>
      </w:pPr>
      <w:r>
        <w:rPr>
          <w:spacing w:val="-8"/>
          <w:w w:val="95"/>
        </w:rPr>
        <w:t>解除本合同时，投保人需要填写申请书，并提供保险合同。自本公司收到解除合同的书面申   请时起，本合同即被解除，合同解除前发生的保险事故本公司不承担保险责任。</w:t>
      </w:r>
    </w:p>
    <w:p>
      <w:pPr>
        <w:pStyle w:val="Heading3"/>
        <w:spacing w:before="131"/>
        <w:ind w:left="658"/>
      </w:pPr>
      <w:r>
        <w:rPr/>
        <w:t>第十条 保险责任</w:t>
      </w:r>
    </w:p>
    <w:p>
      <w:pPr>
        <w:pStyle w:val="BodyText"/>
        <w:spacing w:before="9"/>
        <w:ind w:left="0"/>
        <w:rPr>
          <w:b/>
          <w:sz w:val="15"/>
        </w:rPr>
      </w:pPr>
    </w:p>
    <w:p>
      <w:pPr>
        <w:pStyle w:val="BodyText"/>
        <w:ind w:left="658"/>
      </w:pPr>
      <w:r>
        <w:rPr>
          <w:w w:val="95"/>
        </w:rPr>
        <w:t>在本合同保险期间内，本公司按照以下约定承担保险责任：</w:t>
      </w:r>
    </w:p>
    <w:p>
      <w:pPr>
        <w:pStyle w:val="Heading3"/>
        <w:spacing w:line="285" w:lineRule="auto" w:before="50"/>
        <w:ind w:left="300" w:right="512" w:firstLine="357"/>
      </w:pPr>
      <w:r>
        <w:rPr/>
        <w:t>对于本合同的重大疾病保险金、身故保险金和全残保险金，本公司对每名被保险人仅给付</w:t>
      </w:r>
      <w:r>
        <w:rPr>
          <w:w w:val="95"/>
        </w:rPr>
        <w:t>一项，且以一次为限。</w:t>
      </w:r>
    </w:p>
    <w:p>
      <w:pPr>
        <w:spacing w:line="273" w:lineRule="auto" w:before="8"/>
        <w:ind w:left="300" w:right="471" w:firstLine="419"/>
        <w:jc w:val="both"/>
        <w:rPr>
          <w:sz w:val="20"/>
        </w:rPr>
      </w:pPr>
      <w:r>
        <w:rPr>
          <w:rFonts w:ascii="黑体" w:eastAsia="黑体" w:hint="eastAsia"/>
          <w:sz w:val="21"/>
        </w:rPr>
        <w:t>如果被保险人在等待期内发Th或确诊患本合同附表一所列任何一种轻症疾病或附表二</w:t>
      </w:r>
      <w:r>
        <w:rPr>
          <w:rFonts w:ascii="黑体" w:eastAsia="黑体" w:hint="eastAsia"/>
          <w:spacing w:val="-12"/>
          <w:sz w:val="21"/>
        </w:rPr>
        <w:t>所列任何一种重大疾病，本公司将无息返还投保人在本合同项下为该被保险人已交纳的保险</w:t>
      </w:r>
      <w:r>
        <w:rPr>
          <w:rFonts w:ascii="黑体" w:eastAsia="黑体" w:hint="eastAsia"/>
          <w:spacing w:val="-9"/>
          <w:sz w:val="21"/>
        </w:rPr>
        <w:t>费，同时本公司对该被保险人的保险责任终止。</w:t>
      </w:r>
      <w:r>
        <w:rPr>
          <w:spacing w:val="-2"/>
          <w:sz w:val="20"/>
        </w:rPr>
        <w:t>但如果被保险人因</w:t>
      </w:r>
      <w:r>
        <w:rPr>
          <w:rFonts w:ascii="黑体" w:eastAsia="黑体" w:hint="eastAsia"/>
          <w:sz w:val="21"/>
        </w:rPr>
        <w:t>意外伤害</w:t>
      </w:r>
      <w:r>
        <w:rPr>
          <w:b/>
          <w:spacing w:val="-10"/>
          <w:sz w:val="20"/>
        </w:rPr>
        <w:t>事故</w:t>
      </w:r>
      <w:r>
        <w:rPr>
          <w:sz w:val="20"/>
        </w:rPr>
        <w:t>（</w:t>
      </w:r>
      <w:r>
        <w:rPr>
          <w:spacing w:val="-11"/>
          <w:sz w:val="20"/>
        </w:rPr>
        <w:t>释义 5）</w:t>
      </w:r>
      <w:r>
        <w:rPr>
          <w:spacing w:val="-22"/>
          <w:sz w:val="20"/>
        </w:rPr>
        <w:t>导</w:t>
      </w:r>
    </w:p>
    <w:p>
      <w:pPr>
        <w:spacing w:after="0" w:line="273" w:lineRule="auto"/>
        <w:jc w:val="both"/>
        <w:rPr>
          <w:sz w:val="20"/>
        </w:rPr>
        <w:sectPr>
          <w:pgSz w:w="11910" w:h="16840"/>
          <w:pgMar w:header="0" w:footer="919" w:top="1480" w:bottom="1180" w:left="1500" w:right="1320"/>
        </w:sectPr>
      </w:pPr>
    </w:p>
    <w:p>
      <w:pPr>
        <w:pStyle w:val="BodyText"/>
        <w:spacing w:line="285" w:lineRule="auto" w:before="13"/>
        <w:ind w:left="521" w:right="826" w:hanging="401"/>
      </w:pPr>
      <w:r>
        <w:rPr/>
        <w:t>致患本合同附表一所列任何一种轻症疾病或附表二所列任何一种重大疾病则无等待期。</w:t>
      </w:r>
      <w:r>
        <w:rPr>
          <w:w w:val="95"/>
        </w:rPr>
        <w:t>本合同的等待期按以下不同情形分别确定：</w:t>
      </w:r>
    </w:p>
    <w:p>
      <w:pPr>
        <w:pStyle w:val="BodyText"/>
        <w:spacing w:line="285" w:lineRule="auto" w:before="11"/>
        <w:ind w:right="118" w:firstLine="400"/>
      </w:pPr>
      <w:r>
        <w:rPr/>
        <w:t>1</w:t>
      </w:r>
      <w:r>
        <w:rPr>
          <w:spacing w:val="0"/>
        </w:rPr>
        <w:t>、 自本合同生效日</w:t>
      </w:r>
      <w:r>
        <w:rPr/>
        <w:t>（若曾复效，则自最后复效日）</w:t>
      </w:r>
      <w:r>
        <w:rPr>
          <w:spacing w:val="-9"/>
        </w:rPr>
        <w:t>之日起 </w:t>
      </w:r>
      <w:r>
        <w:rPr/>
        <w:t>180</w:t>
      </w:r>
      <w:r>
        <w:rPr>
          <w:spacing w:val="-12"/>
        </w:rPr>
        <w:t> 日内</w:t>
      </w:r>
      <w:r>
        <w:rPr/>
        <w:t>（</w:t>
      </w:r>
      <w:r>
        <w:rPr>
          <w:spacing w:val="-12"/>
        </w:rPr>
        <w:t>含第 </w:t>
      </w:r>
      <w:r>
        <w:rPr/>
        <w:t>180</w:t>
      </w:r>
      <w:r>
        <w:rPr>
          <w:spacing w:val="-19"/>
        </w:rPr>
        <w:t> 日</w:t>
      </w:r>
      <w:r>
        <w:rPr/>
        <w:t>）的期</w:t>
      </w:r>
      <w:r>
        <w:rPr>
          <w:w w:val="95"/>
        </w:rPr>
        <w:t>间为等待期；</w:t>
      </w:r>
    </w:p>
    <w:p>
      <w:pPr>
        <w:pStyle w:val="BodyText"/>
        <w:spacing w:line="285" w:lineRule="auto" w:before="11"/>
        <w:ind w:right="120" w:firstLine="400"/>
      </w:pPr>
      <w:r>
        <w:rPr/>
        <w:t>2、 如果该被保险人是按照本合同第二十一条约定所产生的新增被保险人，则该被保险人</w:t>
      </w:r>
      <w:r>
        <w:rPr>
          <w:spacing w:val="-2"/>
        </w:rPr>
        <w:t>的等待期为自本公司所出具的批注或批单上载明的生效日起 </w:t>
      </w:r>
      <w:r>
        <w:rPr/>
        <w:t>180</w:t>
      </w:r>
      <w:r>
        <w:rPr>
          <w:spacing w:val="-18"/>
        </w:rPr>
        <w:t> 日内</w:t>
      </w:r>
      <w:r>
        <w:rPr/>
        <w:t>（</w:t>
      </w:r>
      <w:r>
        <w:rPr>
          <w:spacing w:val="-18"/>
        </w:rPr>
        <w:t>含第 </w:t>
      </w:r>
      <w:r>
        <w:rPr/>
        <w:t>180</w:t>
      </w:r>
      <w:r>
        <w:rPr>
          <w:spacing w:val="-26"/>
        </w:rPr>
        <w:t> 日</w:t>
      </w:r>
      <w:r>
        <w:rPr/>
        <w:t>）的期间；</w:t>
      </w:r>
    </w:p>
    <w:p>
      <w:pPr>
        <w:pStyle w:val="BodyText"/>
        <w:spacing w:line="285" w:lineRule="auto" w:before="11"/>
        <w:ind w:right="120" w:firstLine="400"/>
      </w:pPr>
      <w:r>
        <w:rPr/>
        <w:t>3、 如果某一被保险人发生过复效，则该被保险人的等待期为自该被保险人最后复效之日起 180 日内（含第 180 日）的期间。</w:t>
      </w:r>
    </w:p>
    <w:p>
      <w:pPr>
        <w:pStyle w:val="BodyText"/>
        <w:spacing w:before="11"/>
        <w:ind w:left="521"/>
      </w:pPr>
      <w:r>
        <w:rPr>
          <w:w w:val="95"/>
        </w:rPr>
        <w:t>一、轻症疾病保险金</w:t>
      </w:r>
    </w:p>
    <w:p>
      <w:pPr>
        <w:pStyle w:val="BodyText"/>
        <w:spacing w:line="285" w:lineRule="auto" w:before="49"/>
        <w:ind w:right="147" w:firstLine="359"/>
        <w:jc w:val="both"/>
      </w:pPr>
      <w:r>
        <w:rPr>
          <w:b/>
        </w:rPr>
        <w:t>在等待期后</w:t>
      </w:r>
      <w:r>
        <w:rPr/>
        <w:t>，如果被保险人</w:t>
      </w:r>
      <w:r>
        <w:rPr>
          <w:b/>
        </w:rPr>
        <w:t>初次</w:t>
      </w:r>
      <w:r>
        <w:rPr/>
        <w:t>发生并被</w:t>
      </w:r>
      <w:r>
        <w:rPr>
          <w:b/>
        </w:rPr>
        <w:t>专科医生</w:t>
      </w:r>
      <w:r>
        <w:rPr/>
        <w:t>（</w:t>
      </w:r>
      <w:r>
        <w:rPr>
          <w:spacing w:val="-17"/>
        </w:rPr>
        <w:t>释义 </w:t>
      </w:r>
      <w:r>
        <w:rPr/>
        <w:t>6）</w:t>
      </w:r>
      <w:r>
        <w:rPr>
          <w:b/>
        </w:rPr>
        <w:t>初次确诊</w:t>
      </w:r>
      <w:r>
        <w:rPr/>
        <w:t>（</w:t>
      </w:r>
      <w:r>
        <w:rPr>
          <w:spacing w:val="-17"/>
        </w:rPr>
        <w:t>释义 </w:t>
      </w:r>
      <w:r>
        <w:rPr/>
        <w:t>7）罹患本合同附表一所列任何一种</w:t>
      </w:r>
      <w:r>
        <w:rPr>
          <w:b/>
          <w:spacing w:val="2"/>
        </w:rPr>
        <w:t>轻症疾病</w:t>
      </w:r>
      <w:r>
        <w:rPr/>
        <w:t>，并且在轻症疾病确诊前未确诊患本合同附表二所列任何一种</w:t>
      </w:r>
      <w:r>
        <w:rPr>
          <w:spacing w:val="-11"/>
        </w:rPr>
        <w:t>重大疾病，且未全残，本公司将按本合同项下该被保险人名下的基本保险金额的 </w:t>
      </w:r>
      <w:r>
        <w:rPr/>
        <w:t>20%给付轻症疾</w:t>
      </w:r>
      <w:r>
        <w:rPr>
          <w:w w:val="95"/>
        </w:rPr>
        <w:t>病保险金，同时本公司对该被保险人的本项保险责任终止。</w:t>
      </w:r>
    </w:p>
    <w:p>
      <w:pPr>
        <w:spacing w:line="285" w:lineRule="auto" w:before="11"/>
        <w:ind w:left="480" w:right="2845" w:firstLine="0"/>
        <w:jc w:val="left"/>
        <w:rPr>
          <w:sz w:val="20"/>
        </w:rPr>
      </w:pPr>
      <w:r>
        <w:rPr>
          <w:b/>
          <w:sz w:val="20"/>
        </w:rPr>
        <w:t>本公司对每名被保险人的轻症疾病保险金给付以一次为限。</w:t>
      </w:r>
      <w:r>
        <w:rPr>
          <w:w w:val="95"/>
          <w:sz w:val="20"/>
        </w:rPr>
        <w:t>二、轻症疾病豁免保费</w:t>
      </w:r>
    </w:p>
    <w:p>
      <w:pPr>
        <w:pStyle w:val="BodyText"/>
        <w:spacing w:line="285" w:lineRule="auto" w:before="11"/>
        <w:ind w:right="142" w:firstLine="357"/>
        <w:jc w:val="both"/>
      </w:pPr>
      <w:r>
        <w:rPr>
          <w:b/>
        </w:rPr>
        <w:t>在等待期后</w:t>
      </w:r>
      <w:r>
        <w:rPr>
          <w:spacing w:val="-13"/>
        </w:rPr>
        <w:t>，如果被保险人</w:t>
      </w:r>
      <w:r>
        <w:rPr>
          <w:b/>
        </w:rPr>
        <w:t>初次</w:t>
      </w:r>
      <w:r>
        <w:rPr/>
        <w:t>发生并被专科医生初次确诊罹患本合同附表一所列任何一种轻症疾病，并且在轻症疾病确诊前未确诊患本合同附表二所列任何一种重大疾病，本公司将豁</w:t>
      </w:r>
      <w:r>
        <w:rPr>
          <w:w w:val="95"/>
        </w:rPr>
        <w:t>免轻症疾病确诊日后本合同项下该被保险人的各期保险费。</w:t>
      </w:r>
    </w:p>
    <w:p>
      <w:pPr>
        <w:pStyle w:val="BodyText"/>
        <w:spacing w:before="11"/>
        <w:ind w:left="478"/>
      </w:pPr>
      <w:r>
        <w:rPr>
          <w:w w:val="95"/>
        </w:rPr>
        <w:t>三、重大疾病保险金</w:t>
      </w:r>
    </w:p>
    <w:p>
      <w:pPr>
        <w:pStyle w:val="BodyText"/>
        <w:spacing w:line="285" w:lineRule="auto" w:before="49"/>
        <w:ind w:right="142" w:firstLine="357"/>
        <w:jc w:val="both"/>
      </w:pPr>
      <w:r>
        <w:rPr>
          <w:b/>
          <w:spacing w:val="-14"/>
          <w:w w:val="95"/>
        </w:rPr>
        <w:t>在等待期后，</w:t>
      </w:r>
      <w:r>
        <w:rPr>
          <w:w w:val="95"/>
        </w:rPr>
        <w:t>如果被保险人初次发生并被专科医生初次确诊患本合同附表二所列任何一种重   </w:t>
      </w:r>
      <w:r>
        <w:rPr/>
        <w:t>大疾病，本公司将分情况按以下约定给付重大疾病保险金，本公司对该被保险人的所有保险责</w:t>
      </w:r>
      <w:r>
        <w:rPr>
          <w:w w:val="95"/>
        </w:rPr>
        <w:t>任终止。</w:t>
      </w:r>
    </w:p>
    <w:p>
      <w:pPr>
        <w:pStyle w:val="BodyText"/>
        <w:spacing w:line="285" w:lineRule="auto" w:before="11"/>
        <w:ind w:right="144" w:firstLine="357"/>
      </w:pPr>
      <w:r>
        <w:rPr/>
        <w:t>（1）如果被保险人在申请重大疾病保险金前已经获得轻症疾病保险金赔付的，本公司按本合同项下该被保险人名下基本保险金额的 80%给付重大疾病保险金；</w:t>
      </w:r>
    </w:p>
    <w:p>
      <w:pPr>
        <w:pStyle w:val="BodyText"/>
        <w:spacing w:line="285" w:lineRule="auto" w:before="11"/>
        <w:ind w:right="144" w:firstLine="357"/>
      </w:pPr>
      <w:r>
        <w:rPr/>
        <w:t>（2）如果被保险人在申请重大疾病保险金前未获得轻症疾病保险金赔付的，本公司按本合</w:t>
      </w:r>
      <w:r>
        <w:rPr>
          <w:w w:val="95"/>
        </w:rPr>
        <w:t>同项下该被保险人名下的基本保险金额给付重大疾病保险金。</w:t>
      </w:r>
    </w:p>
    <w:p>
      <w:pPr>
        <w:pStyle w:val="Heading3"/>
        <w:spacing w:line="285" w:lineRule="auto" w:before="11"/>
        <w:ind w:left="120" w:right="148" w:firstLine="357"/>
      </w:pPr>
      <w:r>
        <w:rPr>
          <w:w w:val="95"/>
        </w:rPr>
        <w:t>第（2）种情形下，如果被保险人在获得重大疾病保险金后再次申请轻症疾病保险金的，即   使该轻症疾病的确诊在重大疾病确诊之前，本公司也不再向该被保险人给付轻症疾病保险金。</w:t>
      </w:r>
    </w:p>
    <w:p>
      <w:pPr>
        <w:pStyle w:val="BodyText"/>
        <w:spacing w:before="11"/>
        <w:ind w:left="478"/>
      </w:pPr>
      <w:r>
        <w:rPr>
          <w:w w:val="95"/>
        </w:rPr>
        <w:t>四、身故/全残保险金</w:t>
      </w:r>
    </w:p>
    <w:p>
      <w:pPr>
        <w:pStyle w:val="BodyText"/>
        <w:spacing w:line="285" w:lineRule="auto" w:before="49"/>
        <w:ind w:right="146" w:firstLine="357"/>
        <w:jc w:val="both"/>
      </w:pPr>
      <w:r>
        <w:rPr/>
        <w:t>如果被保险人因</w:t>
      </w:r>
      <w:r>
        <w:rPr>
          <w:b/>
        </w:rPr>
        <w:t>意外伤害事故</w:t>
      </w:r>
      <w:r>
        <w:rPr/>
        <w:t>或</w:t>
      </w:r>
      <w:r>
        <w:rPr>
          <w:b/>
        </w:rPr>
        <w:t>疾病</w:t>
      </w:r>
      <w:r>
        <w:rPr>
          <w:spacing w:val="-9"/>
        </w:rPr>
        <w:t>导致身故或全残，并且在身故或全残前未确诊患重大疾</w:t>
      </w:r>
      <w:r>
        <w:rPr>
          <w:spacing w:val="-8"/>
        </w:rPr>
        <w:t>病，本公司将按以下二项中金额较高的一项给付身故保险金或全残保险金，本公司对该被保险</w:t>
      </w:r>
      <w:r>
        <w:rPr>
          <w:spacing w:val="-8"/>
          <w:w w:val="95"/>
        </w:rPr>
        <w:t>人的保险责任终止：</w:t>
      </w:r>
    </w:p>
    <w:p>
      <w:pPr>
        <w:pStyle w:val="BodyText"/>
        <w:spacing w:before="11"/>
        <w:ind w:left="478"/>
      </w:pPr>
      <w:r>
        <w:rPr>
          <w:w w:val="95"/>
        </w:rPr>
        <w:t>（1）被保险人身故或全残时，本合同项下该被保险人名下的现金价值；</w:t>
      </w:r>
    </w:p>
    <w:p>
      <w:pPr>
        <w:pStyle w:val="BodyText"/>
        <w:spacing w:line="285" w:lineRule="auto" w:before="49"/>
        <w:ind w:right="145" w:firstLine="357"/>
      </w:pPr>
      <w:r>
        <w:rPr/>
        <w:t>（2）被保险人身故或全残时，本合同项下该被保险人名下基本保险金额所对应的已缴保险</w:t>
      </w:r>
      <w:r>
        <w:rPr>
          <w:w w:val="95"/>
        </w:rPr>
        <w:t>费。</w:t>
      </w:r>
    </w:p>
    <w:p>
      <w:pPr>
        <w:pStyle w:val="BodyText"/>
        <w:spacing w:before="9"/>
        <w:ind w:left="0"/>
        <w:rPr>
          <w:sz w:val="24"/>
        </w:rPr>
      </w:pPr>
    </w:p>
    <w:p>
      <w:pPr>
        <w:pStyle w:val="BodyText"/>
        <w:spacing w:line="285" w:lineRule="auto"/>
        <w:ind w:right="151" w:firstLine="357"/>
      </w:pPr>
      <w:r>
        <w:rPr>
          <w:spacing w:val="-6"/>
          <w:w w:val="95"/>
        </w:rPr>
        <w:t>若该被保险人已办理减额缴清，则身故保险金或全残保险金为办理减额缴清当时被保险人在   本合同中的现金价值。</w:t>
      </w:r>
    </w:p>
    <w:p>
      <w:pPr>
        <w:pStyle w:val="BodyText"/>
        <w:spacing w:before="9"/>
        <w:ind w:left="0"/>
        <w:rPr>
          <w:sz w:val="24"/>
        </w:rPr>
      </w:pPr>
    </w:p>
    <w:p>
      <w:pPr>
        <w:pStyle w:val="BodyText"/>
        <w:ind w:left="478"/>
      </w:pPr>
      <w:r>
        <w:rPr>
          <w:w w:val="95"/>
        </w:rPr>
        <w:t>本合同所称全残，指被保险人在本合同有效期内发生下列任何一种情形：</w:t>
      </w:r>
    </w:p>
    <w:p>
      <w:pPr>
        <w:pStyle w:val="ListParagraph"/>
        <w:numPr>
          <w:ilvl w:val="0"/>
          <w:numId w:val="1"/>
        </w:numPr>
        <w:tabs>
          <w:tab w:pos="961" w:val="left" w:leader="none"/>
        </w:tabs>
        <w:spacing w:line="240" w:lineRule="auto" w:before="49" w:after="0"/>
        <w:ind w:left="120" w:right="0" w:firstLine="358"/>
        <w:jc w:val="left"/>
        <w:rPr>
          <w:sz w:val="20"/>
        </w:rPr>
      </w:pPr>
      <w:r>
        <w:rPr>
          <w:w w:val="95"/>
          <w:sz w:val="20"/>
        </w:rPr>
        <w:t>双目永久完全失明（注①，⑤）；</w:t>
      </w:r>
    </w:p>
    <w:p>
      <w:pPr>
        <w:pStyle w:val="ListParagraph"/>
        <w:numPr>
          <w:ilvl w:val="0"/>
          <w:numId w:val="1"/>
        </w:numPr>
        <w:tabs>
          <w:tab w:pos="961" w:val="left" w:leader="none"/>
        </w:tabs>
        <w:spacing w:line="240" w:lineRule="auto" w:before="49" w:after="0"/>
        <w:ind w:left="120" w:right="0" w:firstLine="358"/>
        <w:jc w:val="left"/>
        <w:rPr>
          <w:sz w:val="20"/>
        </w:rPr>
      </w:pPr>
      <w:r>
        <w:rPr>
          <w:w w:val="95"/>
          <w:sz w:val="20"/>
        </w:rPr>
        <w:t>两上肢腕关节以上或两下肢踝关节以上缺失；</w:t>
      </w:r>
    </w:p>
    <w:p>
      <w:pPr>
        <w:pStyle w:val="ListParagraph"/>
        <w:numPr>
          <w:ilvl w:val="0"/>
          <w:numId w:val="1"/>
        </w:numPr>
        <w:tabs>
          <w:tab w:pos="961" w:val="left" w:leader="none"/>
        </w:tabs>
        <w:spacing w:line="240" w:lineRule="auto" w:before="49" w:after="0"/>
        <w:ind w:left="120" w:right="0" w:firstLine="358"/>
        <w:jc w:val="left"/>
        <w:rPr>
          <w:sz w:val="20"/>
        </w:rPr>
      </w:pPr>
      <w:r>
        <w:rPr>
          <w:w w:val="95"/>
          <w:sz w:val="20"/>
        </w:rPr>
        <w:t>一上肢腕关节以上及一下肢踝关节以上缺失；</w:t>
      </w:r>
    </w:p>
    <w:p>
      <w:pPr>
        <w:pStyle w:val="ListParagraph"/>
        <w:numPr>
          <w:ilvl w:val="0"/>
          <w:numId w:val="1"/>
        </w:numPr>
        <w:tabs>
          <w:tab w:pos="961" w:val="left" w:leader="none"/>
        </w:tabs>
        <w:spacing w:line="240" w:lineRule="auto" w:before="49" w:after="0"/>
        <w:ind w:left="120" w:right="0" w:firstLine="358"/>
        <w:jc w:val="left"/>
        <w:rPr>
          <w:sz w:val="20"/>
        </w:rPr>
      </w:pPr>
      <w:r>
        <w:rPr>
          <w:w w:val="95"/>
          <w:sz w:val="20"/>
        </w:rPr>
        <w:t>一目永久完全失明（注①，⑤）及一上肢腕关节以上缺失；</w:t>
      </w:r>
    </w:p>
    <w:p>
      <w:pPr>
        <w:spacing w:after="0" w:line="240" w:lineRule="auto"/>
        <w:jc w:val="left"/>
        <w:rPr>
          <w:sz w:val="20"/>
        </w:rPr>
        <w:sectPr>
          <w:pgSz w:w="11910" w:h="16840"/>
          <w:pgMar w:header="0" w:footer="919" w:top="1400" w:bottom="1180" w:left="1680" w:right="1680"/>
        </w:sectPr>
      </w:pPr>
    </w:p>
    <w:p>
      <w:pPr>
        <w:pStyle w:val="ListParagraph"/>
        <w:numPr>
          <w:ilvl w:val="0"/>
          <w:numId w:val="1"/>
        </w:numPr>
        <w:tabs>
          <w:tab w:pos="961" w:val="left" w:leader="none"/>
        </w:tabs>
        <w:spacing w:line="240" w:lineRule="auto" w:before="13" w:after="0"/>
        <w:ind w:left="120" w:right="0" w:firstLine="358"/>
        <w:jc w:val="left"/>
        <w:rPr>
          <w:sz w:val="20"/>
        </w:rPr>
      </w:pPr>
      <w:r>
        <w:rPr>
          <w:w w:val="95"/>
          <w:sz w:val="20"/>
        </w:rPr>
        <w:t>一目永久完全失明（注①，⑤）及一下肢踝关节以上缺失；</w:t>
      </w:r>
    </w:p>
    <w:p>
      <w:pPr>
        <w:pStyle w:val="ListParagraph"/>
        <w:numPr>
          <w:ilvl w:val="0"/>
          <w:numId w:val="1"/>
        </w:numPr>
        <w:tabs>
          <w:tab w:pos="961" w:val="left" w:leader="none"/>
        </w:tabs>
        <w:spacing w:line="240" w:lineRule="auto" w:before="50" w:after="0"/>
        <w:ind w:left="120" w:right="0" w:firstLine="358"/>
        <w:jc w:val="left"/>
        <w:rPr>
          <w:sz w:val="20"/>
        </w:rPr>
      </w:pPr>
      <w:r>
        <w:rPr>
          <w:w w:val="95"/>
          <w:sz w:val="20"/>
        </w:rPr>
        <w:t>四肢关节机能永久完全丧失（注②，⑤）；</w:t>
      </w:r>
    </w:p>
    <w:p>
      <w:pPr>
        <w:pStyle w:val="ListParagraph"/>
        <w:numPr>
          <w:ilvl w:val="0"/>
          <w:numId w:val="1"/>
        </w:numPr>
        <w:tabs>
          <w:tab w:pos="961" w:val="left" w:leader="none"/>
        </w:tabs>
        <w:spacing w:line="240" w:lineRule="auto" w:before="50" w:after="0"/>
        <w:ind w:left="120" w:right="0" w:firstLine="358"/>
        <w:jc w:val="left"/>
        <w:rPr>
          <w:sz w:val="20"/>
        </w:rPr>
      </w:pPr>
      <w:r>
        <w:rPr>
          <w:w w:val="95"/>
          <w:sz w:val="20"/>
        </w:rPr>
        <w:t>咀嚼、吞咽机能永久完全丧失（注③，⑤）；</w:t>
      </w:r>
    </w:p>
    <w:p>
      <w:pPr>
        <w:pStyle w:val="ListParagraph"/>
        <w:numPr>
          <w:ilvl w:val="0"/>
          <w:numId w:val="1"/>
        </w:numPr>
        <w:tabs>
          <w:tab w:pos="961" w:val="left" w:leader="none"/>
        </w:tabs>
        <w:spacing w:line="285" w:lineRule="auto" w:before="50" w:after="0"/>
        <w:ind w:left="120" w:right="154" w:firstLine="358"/>
        <w:jc w:val="left"/>
        <w:rPr>
          <w:sz w:val="20"/>
        </w:rPr>
      </w:pPr>
      <w:r>
        <w:rPr>
          <w:sz w:val="20"/>
        </w:rPr>
        <w:t>中枢神经系统机能或胸、腹部脏器机能极度障碍，终身不能从事任何工作，六项基本</w:t>
      </w:r>
      <w:r>
        <w:rPr>
          <w:w w:val="95"/>
          <w:sz w:val="20"/>
        </w:rPr>
        <w:t>日常生活活动全需他人扶助（注④）。</w:t>
      </w:r>
    </w:p>
    <w:p>
      <w:pPr>
        <w:pStyle w:val="BodyText"/>
        <w:spacing w:line="285" w:lineRule="auto" w:before="12"/>
        <w:ind w:right="148" w:firstLine="357"/>
        <w:jc w:val="both"/>
      </w:pPr>
      <w:r>
        <w:rPr/>
        <w:t>注：① 失明包括眼球缺失或摘除、或不能辨别明暗、或仅能辨别眼前手动者，最佳矫正视</w:t>
      </w:r>
      <w:r>
        <w:rPr>
          <w:spacing w:val="-4"/>
        </w:rPr>
        <w:t>力低于国际标准视力表 </w:t>
      </w:r>
      <w:r>
        <w:rPr/>
        <w:t>0.02</w:t>
      </w:r>
      <w:r>
        <w:rPr>
          <w:spacing w:val="-5"/>
        </w:rPr>
        <w:t>，或视野半径小于 </w:t>
      </w:r>
      <w:r>
        <w:rPr/>
        <w:t>5</w:t>
      </w:r>
      <w:r>
        <w:rPr>
          <w:spacing w:val="-7"/>
        </w:rPr>
        <w:t> 度，并由本公司指定的有资格的眼科医生出具</w:t>
      </w:r>
      <w:r>
        <w:rPr>
          <w:spacing w:val="-7"/>
          <w:w w:val="95"/>
        </w:rPr>
        <w:t>医疗诊断证明。</w:t>
      </w:r>
    </w:p>
    <w:p>
      <w:pPr>
        <w:pStyle w:val="BodyText"/>
        <w:spacing w:before="12"/>
        <w:ind w:left="478"/>
      </w:pPr>
      <w:r>
        <w:rPr/>
        <w:t>② 关节机能的丧失是指关节永久完全僵硬、或麻痹、或关节不能随意识活动。</w:t>
      </w:r>
    </w:p>
    <w:p>
      <w:pPr>
        <w:pStyle w:val="BodyText"/>
        <w:spacing w:line="285" w:lineRule="auto" w:before="50"/>
        <w:ind w:right="150" w:firstLine="357"/>
      </w:pPr>
      <w:r>
        <w:rPr/>
        <w:t>③ 咀嚼、吞咽机能的丧失是指由于牙齿以外的原因引起器质障碍或机能障碍，以致不能作</w:t>
      </w:r>
      <w:r>
        <w:rPr>
          <w:w w:val="95"/>
        </w:rPr>
        <w:t>咀嚼、吞咽运动，除流质食物外不能摄取或吞咽的状态。</w:t>
      </w:r>
    </w:p>
    <w:p>
      <w:pPr>
        <w:pStyle w:val="BodyText"/>
        <w:spacing w:line="285" w:lineRule="auto" w:before="12"/>
        <w:ind w:right="67" w:firstLine="357"/>
      </w:pPr>
      <w:r>
        <w:rPr/>
        <w:t>④六项基本日常生活活动是指：（1）穿衣：自己能够穿衣及脱衣；（2）移动：自己从一个房间到另一个房间；（3）行动：自己上下床或上下轮椅；（4）如厕：自己控制进行大小便；</w:t>
      </w:r>
    </w:p>
    <w:p>
      <w:pPr>
        <w:pStyle w:val="BodyText"/>
        <w:spacing w:before="12"/>
      </w:pPr>
      <w:r>
        <w:rPr>
          <w:w w:val="95"/>
        </w:rPr>
        <w:t>（5）进食：自己从已准备好的碗或碟中取食物放入口中；（6）洗澡：自己进行淋浴或盆浴。</w:t>
      </w:r>
    </w:p>
    <w:p>
      <w:pPr>
        <w:pStyle w:val="BodyText"/>
        <w:spacing w:line="285" w:lineRule="auto" w:before="50"/>
        <w:ind w:right="147" w:firstLine="357"/>
      </w:pPr>
      <w:r>
        <w:rPr>
          <w:spacing w:val="-4"/>
        </w:rPr>
        <w:t>⑤ 所谓永久完全是指自意外伤害事故或疾病诊断之日起经过 </w:t>
      </w:r>
      <w:r>
        <w:rPr/>
        <w:t>180</w:t>
      </w:r>
      <w:r>
        <w:rPr>
          <w:spacing w:val="-7"/>
        </w:rPr>
        <w:t> 天的治疗，机能仍然完全</w:t>
      </w:r>
      <w:r>
        <w:rPr>
          <w:spacing w:val="-7"/>
          <w:w w:val="95"/>
        </w:rPr>
        <w:t>丧失，但眼球摘除等明显无法复原的情况，不在此限。</w:t>
      </w:r>
    </w:p>
    <w:p>
      <w:pPr>
        <w:pStyle w:val="BodyText"/>
        <w:spacing w:before="10"/>
        <w:ind w:left="0"/>
        <w:rPr>
          <w:sz w:val="24"/>
        </w:rPr>
      </w:pPr>
    </w:p>
    <w:p>
      <w:pPr>
        <w:pStyle w:val="Heading3"/>
        <w:spacing w:line="285" w:lineRule="auto" w:before="0"/>
        <w:ind w:left="120" w:right="150" w:firstLine="357"/>
        <w:jc w:val="both"/>
      </w:pPr>
      <w:r>
        <w:rPr/>
        <w:t>被保险人在申请全残保险金前已经申请并获得轻症疾病保险金的赔付，如果该轻症疾病的确诊发生在被保险人全残之后，则本公司在依照约定给付全残保险金时，将把已经给付的轻症</w:t>
      </w:r>
      <w:r>
        <w:rPr>
          <w:w w:val="95"/>
        </w:rPr>
        <w:t>疾病保险金扣除。</w:t>
      </w:r>
    </w:p>
    <w:p>
      <w:pPr>
        <w:pStyle w:val="BodyText"/>
        <w:spacing w:before="10"/>
        <w:ind w:left="0"/>
        <w:rPr>
          <w:b/>
          <w:sz w:val="24"/>
        </w:rPr>
      </w:pPr>
    </w:p>
    <w:p>
      <w:pPr>
        <w:spacing w:before="0"/>
        <w:ind w:left="478" w:right="0" w:firstLine="0"/>
        <w:jc w:val="left"/>
        <w:rPr>
          <w:b/>
          <w:sz w:val="20"/>
        </w:rPr>
      </w:pPr>
      <w:r>
        <w:rPr>
          <w:b/>
          <w:sz w:val="20"/>
        </w:rPr>
        <w:t>第十一条 责任免除</w:t>
      </w:r>
    </w:p>
    <w:p>
      <w:pPr>
        <w:pStyle w:val="BodyText"/>
        <w:spacing w:line="285" w:lineRule="auto" w:before="50"/>
        <w:ind w:right="116" w:firstLine="400"/>
        <w:jc w:val="both"/>
        <w:rPr>
          <w:rFonts w:ascii="黑体" w:eastAsia="黑体" w:hint="eastAsia"/>
        </w:rPr>
      </w:pPr>
      <w:r>
        <w:rPr>
          <w:rFonts w:ascii="黑体" w:eastAsia="黑体" w:hint="eastAsia"/>
          <w:spacing w:val="-6"/>
          <w:w w:val="95"/>
        </w:rPr>
        <w:t>如果由于以下任何一种情形，导致被保险人患本合同附表一所列任何一种轻症疾病、附表二   </w:t>
      </w:r>
      <w:r>
        <w:rPr>
          <w:rFonts w:ascii="黑体" w:eastAsia="黑体" w:hint="eastAsia"/>
          <w:spacing w:val="-11"/>
        </w:rPr>
        <w:t>所列任何一种重症疾病、被保险人身故或者全残，本公司不承担保险责任，同时对该被保险人的</w:t>
      </w:r>
      <w:r>
        <w:rPr>
          <w:rFonts w:ascii="黑体" w:eastAsia="黑体" w:hint="eastAsia"/>
          <w:spacing w:val="-11"/>
          <w:w w:val="95"/>
        </w:rPr>
        <w:t>保险责任终止。</w:t>
      </w:r>
    </w:p>
    <w:p>
      <w:pPr>
        <w:pStyle w:val="BodyText"/>
        <w:spacing w:before="12"/>
        <w:ind w:left="0"/>
        <w:rPr>
          <w:rFonts w:ascii="黑体"/>
          <w:sz w:val="22"/>
        </w:rPr>
      </w:pPr>
    </w:p>
    <w:p>
      <w:pPr>
        <w:pStyle w:val="ListParagraph"/>
        <w:numPr>
          <w:ilvl w:val="0"/>
          <w:numId w:val="2"/>
        </w:numPr>
        <w:tabs>
          <w:tab w:pos="941" w:val="left" w:leader="none"/>
          <w:tab w:pos="942" w:val="left" w:leader="none"/>
        </w:tabs>
        <w:spacing w:line="260" w:lineRule="exact" w:before="0" w:after="0"/>
        <w:ind w:left="941" w:right="0" w:hanging="420"/>
        <w:jc w:val="left"/>
        <w:rPr>
          <w:rFonts w:ascii="黑体" w:eastAsia="黑体" w:hint="eastAsia"/>
          <w:sz w:val="20"/>
        </w:rPr>
      </w:pPr>
      <w:r>
        <w:rPr>
          <w:rFonts w:ascii="黑体" w:eastAsia="黑体" w:hint="eastAsia"/>
          <w:w w:val="95"/>
          <w:sz w:val="20"/>
        </w:rPr>
        <w:t>投保人对被保险人的故意杀害、故意伤害；</w:t>
      </w:r>
    </w:p>
    <w:p>
      <w:pPr>
        <w:pStyle w:val="ListParagraph"/>
        <w:numPr>
          <w:ilvl w:val="0"/>
          <w:numId w:val="2"/>
        </w:numPr>
        <w:tabs>
          <w:tab w:pos="941" w:val="left" w:leader="none"/>
          <w:tab w:pos="942" w:val="left" w:leader="none"/>
        </w:tabs>
        <w:spacing w:line="260" w:lineRule="exact" w:before="0" w:after="0"/>
        <w:ind w:left="941" w:right="0" w:hanging="420"/>
        <w:jc w:val="left"/>
        <w:rPr>
          <w:rFonts w:ascii="黑体" w:eastAsia="黑体" w:hint="eastAsia"/>
          <w:sz w:val="20"/>
        </w:rPr>
      </w:pPr>
      <w:r>
        <w:rPr>
          <w:rFonts w:ascii="黑体" w:eastAsia="黑体" w:hint="eastAsia"/>
          <w:w w:val="95"/>
          <w:sz w:val="20"/>
        </w:rPr>
        <w:t>被保险人故意犯罪或抗拒依法采取的刑事强制措施；</w:t>
      </w:r>
    </w:p>
    <w:p>
      <w:pPr>
        <w:pStyle w:val="ListParagraph"/>
        <w:numPr>
          <w:ilvl w:val="0"/>
          <w:numId w:val="2"/>
        </w:numPr>
        <w:tabs>
          <w:tab w:pos="942" w:val="left" w:leader="none"/>
        </w:tabs>
        <w:spacing w:line="285" w:lineRule="auto" w:before="21" w:after="0"/>
        <w:ind w:left="941" w:right="112" w:hanging="420"/>
        <w:jc w:val="both"/>
        <w:rPr>
          <w:rFonts w:ascii="黑体" w:eastAsia="黑体" w:hint="eastAsia"/>
          <w:sz w:val="20"/>
        </w:rPr>
      </w:pPr>
      <w:r>
        <w:rPr>
          <w:rFonts w:ascii="黑体" w:eastAsia="黑体" w:hint="eastAsia"/>
          <w:sz w:val="20"/>
        </w:rPr>
        <w:t>被保险人在本合同成立（若曾复效，则自本合同最后复效；如果该被保险人是按照本合同第二十一条约定所产Th</w:t>
      </w:r>
      <w:r>
        <w:rPr>
          <w:rFonts w:ascii="黑体" w:eastAsia="黑体" w:hint="eastAsia"/>
          <w:spacing w:val="-4"/>
          <w:sz w:val="20"/>
        </w:rPr>
        <w:t>的新增被保险人，则自批注或批单载明的</w:t>
      </w:r>
      <w:r>
        <w:rPr>
          <w:rFonts w:ascii="黑体" w:eastAsia="黑体" w:hint="eastAsia"/>
          <w:sz w:val="20"/>
        </w:rPr>
        <w:t>Th效日</w:t>
      </w:r>
      <w:r>
        <w:rPr>
          <w:rFonts w:ascii="黑体" w:eastAsia="黑体" w:hint="eastAsia"/>
          <w:spacing w:val="-32"/>
          <w:sz w:val="20"/>
        </w:rPr>
        <w:t>）</w:t>
      </w:r>
      <w:r>
        <w:rPr>
          <w:rFonts w:ascii="黑体" w:eastAsia="黑体" w:hint="eastAsia"/>
          <w:spacing w:val="-13"/>
          <w:sz w:val="20"/>
        </w:rPr>
        <w:t>之日起 </w:t>
      </w:r>
      <w:r>
        <w:rPr>
          <w:rFonts w:ascii="黑体" w:eastAsia="黑体" w:hint="eastAsia"/>
          <w:sz w:val="20"/>
        </w:rPr>
        <w:t>2 </w:t>
      </w:r>
      <w:r>
        <w:rPr>
          <w:rFonts w:ascii="黑体" w:eastAsia="黑体" w:hint="eastAsia"/>
          <w:w w:val="95"/>
          <w:sz w:val="20"/>
        </w:rPr>
        <w:t>年内自伤或自杀，但被保险人自杀时为无民事行为能力人的除外；</w:t>
      </w:r>
    </w:p>
    <w:p>
      <w:pPr>
        <w:pStyle w:val="ListParagraph"/>
        <w:numPr>
          <w:ilvl w:val="0"/>
          <w:numId w:val="2"/>
        </w:numPr>
        <w:tabs>
          <w:tab w:pos="941" w:val="left" w:leader="none"/>
          <w:tab w:pos="942" w:val="left" w:leader="none"/>
        </w:tabs>
        <w:spacing w:line="249" w:lineRule="exact" w:before="0" w:after="0"/>
        <w:ind w:left="941" w:right="0" w:hanging="420"/>
        <w:jc w:val="left"/>
        <w:rPr>
          <w:rFonts w:ascii="黑体" w:eastAsia="黑体" w:hint="eastAsia"/>
          <w:sz w:val="20"/>
        </w:rPr>
      </w:pPr>
      <w:r>
        <w:rPr>
          <w:rFonts w:ascii="黑体" w:eastAsia="黑体" w:hint="eastAsia"/>
          <w:sz w:val="20"/>
        </w:rPr>
        <w:t>被保险人主动吸食或注射毒品（</w:t>
      </w:r>
      <w:r>
        <w:rPr>
          <w:rFonts w:ascii="黑体" w:eastAsia="黑体" w:hint="eastAsia"/>
          <w:spacing w:val="-17"/>
          <w:sz w:val="20"/>
        </w:rPr>
        <w:t>释义 </w:t>
      </w:r>
      <w:r>
        <w:rPr>
          <w:rFonts w:ascii="黑体" w:eastAsia="黑体" w:hint="eastAsia"/>
          <w:sz w:val="20"/>
        </w:rPr>
        <w:t>8）；</w:t>
      </w:r>
    </w:p>
    <w:p>
      <w:pPr>
        <w:pStyle w:val="ListParagraph"/>
        <w:numPr>
          <w:ilvl w:val="0"/>
          <w:numId w:val="2"/>
        </w:numPr>
        <w:tabs>
          <w:tab w:pos="941" w:val="left" w:leader="none"/>
          <w:tab w:pos="942" w:val="left" w:leader="none"/>
        </w:tabs>
        <w:spacing w:line="237" w:lineRule="auto" w:before="2" w:after="0"/>
        <w:ind w:left="941" w:right="202" w:hanging="420"/>
        <w:jc w:val="left"/>
        <w:rPr>
          <w:rFonts w:ascii="黑体" w:eastAsia="黑体" w:hint="eastAsia"/>
          <w:sz w:val="20"/>
        </w:rPr>
      </w:pPr>
      <w:r>
        <w:rPr>
          <w:rFonts w:ascii="黑体" w:eastAsia="黑体" w:hint="eastAsia"/>
          <w:sz w:val="20"/>
        </w:rPr>
        <w:t>被保险人酒后驾驶（</w:t>
      </w:r>
      <w:r>
        <w:rPr>
          <w:rFonts w:ascii="黑体" w:eastAsia="黑体" w:hint="eastAsia"/>
          <w:spacing w:val="-18"/>
          <w:sz w:val="20"/>
        </w:rPr>
        <w:t>释义 </w:t>
      </w:r>
      <w:r>
        <w:rPr>
          <w:rFonts w:ascii="黑体" w:eastAsia="黑体" w:hint="eastAsia"/>
          <w:sz w:val="20"/>
        </w:rPr>
        <w:t>9），无合法有效驾驶证驾驶（</w:t>
      </w:r>
      <w:r>
        <w:rPr>
          <w:rFonts w:ascii="黑体" w:eastAsia="黑体" w:hint="eastAsia"/>
          <w:spacing w:val="-17"/>
          <w:sz w:val="20"/>
        </w:rPr>
        <w:t>释义 </w:t>
      </w:r>
      <w:r>
        <w:rPr>
          <w:rFonts w:ascii="黑体" w:eastAsia="黑体" w:hint="eastAsia"/>
          <w:sz w:val="20"/>
        </w:rPr>
        <w:t>10），或驾驶无有效行驶证（</w:t>
      </w:r>
      <w:r>
        <w:rPr>
          <w:rFonts w:ascii="黑体" w:eastAsia="黑体" w:hint="eastAsia"/>
          <w:spacing w:val="-18"/>
          <w:sz w:val="20"/>
        </w:rPr>
        <w:t>释义 </w:t>
      </w:r>
      <w:r>
        <w:rPr>
          <w:rFonts w:ascii="黑体" w:eastAsia="黑体" w:hint="eastAsia"/>
          <w:sz w:val="20"/>
        </w:rPr>
        <w:t>11）的机动车；</w:t>
      </w:r>
    </w:p>
    <w:p>
      <w:pPr>
        <w:pStyle w:val="ListParagraph"/>
        <w:numPr>
          <w:ilvl w:val="0"/>
          <w:numId w:val="2"/>
        </w:numPr>
        <w:tabs>
          <w:tab w:pos="941" w:val="left" w:leader="none"/>
          <w:tab w:pos="942" w:val="left" w:leader="none"/>
        </w:tabs>
        <w:spacing w:line="258" w:lineRule="exact" w:before="0" w:after="0"/>
        <w:ind w:left="941" w:right="0" w:hanging="420"/>
        <w:jc w:val="left"/>
        <w:rPr>
          <w:rFonts w:ascii="黑体" w:eastAsia="黑体" w:hint="eastAsia"/>
          <w:sz w:val="20"/>
        </w:rPr>
      </w:pPr>
      <w:r>
        <w:rPr>
          <w:rFonts w:ascii="黑体" w:eastAsia="黑体" w:hint="eastAsia"/>
          <w:w w:val="95"/>
          <w:sz w:val="20"/>
        </w:rPr>
        <w:t>战争、军事冲突、暴乱或武装叛乱；</w:t>
      </w:r>
    </w:p>
    <w:p>
      <w:pPr>
        <w:pStyle w:val="ListParagraph"/>
        <w:numPr>
          <w:ilvl w:val="0"/>
          <w:numId w:val="2"/>
        </w:numPr>
        <w:tabs>
          <w:tab w:pos="941" w:val="left" w:leader="none"/>
          <w:tab w:pos="942" w:val="left" w:leader="none"/>
        </w:tabs>
        <w:spacing w:line="260" w:lineRule="exact" w:before="0" w:after="0"/>
        <w:ind w:left="941" w:right="0" w:hanging="420"/>
        <w:jc w:val="left"/>
        <w:rPr>
          <w:rFonts w:ascii="黑体" w:eastAsia="黑体" w:hint="eastAsia"/>
          <w:sz w:val="20"/>
        </w:rPr>
      </w:pPr>
      <w:r>
        <w:rPr>
          <w:rFonts w:ascii="黑体" w:eastAsia="黑体" w:hint="eastAsia"/>
          <w:w w:val="95"/>
          <w:sz w:val="20"/>
        </w:rPr>
        <w:t>核爆炸、核辐射、核污染；</w:t>
      </w:r>
    </w:p>
    <w:p>
      <w:pPr>
        <w:pStyle w:val="ListParagraph"/>
        <w:numPr>
          <w:ilvl w:val="0"/>
          <w:numId w:val="2"/>
        </w:numPr>
        <w:tabs>
          <w:tab w:pos="941" w:val="left" w:leader="none"/>
          <w:tab w:pos="942" w:val="left" w:leader="none"/>
        </w:tabs>
        <w:spacing w:line="240" w:lineRule="auto" w:before="22" w:after="0"/>
        <w:ind w:left="941" w:right="0" w:hanging="420"/>
        <w:jc w:val="left"/>
        <w:rPr>
          <w:rFonts w:ascii="黑体" w:eastAsia="黑体" w:hint="eastAsia"/>
          <w:sz w:val="20"/>
        </w:rPr>
      </w:pPr>
      <w:r>
        <w:rPr>
          <w:rFonts w:ascii="黑体" w:eastAsia="黑体" w:hint="eastAsia"/>
          <w:sz w:val="20"/>
        </w:rPr>
        <w:t>被保险人感染艾滋病病毒或患艾滋病（</w:t>
      </w:r>
      <w:r>
        <w:rPr>
          <w:rFonts w:ascii="黑体" w:eastAsia="黑体" w:hint="eastAsia"/>
          <w:spacing w:val="-17"/>
          <w:sz w:val="20"/>
        </w:rPr>
        <w:t>释义 </w:t>
      </w:r>
      <w:r>
        <w:rPr>
          <w:rFonts w:ascii="黑体" w:eastAsia="黑体" w:hint="eastAsia"/>
          <w:sz w:val="20"/>
        </w:rPr>
        <w:t>12）（</w:t>
      </w:r>
      <w:r>
        <w:rPr>
          <w:rFonts w:ascii="黑体" w:eastAsia="黑体" w:hint="eastAsia"/>
          <w:spacing w:val="-5"/>
          <w:sz w:val="20"/>
        </w:rPr>
        <w:t>因本合同附表一所列第 </w:t>
      </w:r>
      <w:r>
        <w:rPr>
          <w:rFonts w:ascii="黑体" w:eastAsia="黑体" w:hint="eastAsia"/>
          <w:sz w:val="20"/>
        </w:rPr>
        <w:t>35</w:t>
      </w:r>
      <w:r>
        <w:rPr>
          <w:rFonts w:ascii="黑体" w:eastAsia="黑体" w:hint="eastAsia"/>
          <w:spacing w:val="-14"/>
          <w:sz w:val="20"/>
        </w:rPr>
        <w:t> 项和第</w:t>
      </w:r>
    </w:p>
    <w:p>
      <w:pPr>
        <w:pStyle w:val="BodyText"/>
        <w:spacing w:before="50"/>
        <w:ind w:left="941"/>
        <w:rPr>
          <w:rFonts w:ascii="黑体" w:eastAsia="黑体" w:hint="eastAsia"/>
        </w:rPr>
      </w:pPr>
      <w:r>
        <w:rPr>
          <w:rFonts w:ascii="黑体" w:eastAsia="黑体" w:hint="eastAsia"/>
        </w:rPr>
        <w:t>36 项所导致的除外）；</w:t>
      </w:r>
    </w:p>
    <w:p>
      <w:pPr>
        <w:pStyle w:val="ListParagraph"/>
        <w:numPr>
          <w:ilvl w:val="0"/>
          <w:numId w:val="2"/>
        </w:numPr>
        <w:tabs>
          <w:tab w:pos="941" w:val="left" w:leader="none"/>
          <w:tab w:pos="942" w:val="left" w:leader="none"/>
        </w:tabs>
        <w:spacing w:line="240" w:lineRule="auto" w:before="50" w:after="0"/>
        <w:ind w:left="941" w:right="0" w:hanging="420"/>
        <w:jc w:val="left"/>
        <w:rPr>
          <w:rFonts w:ascii="黑体" w:eastAsia="黑体" w:hint="eastAsia"/>
          <w:sz w:val="20"/>
        </w:rPr>
      </w:pPr>
      <w:r>
        <w:rPr>
          <w:rFonts w:ascii="黑体" w:eastAsia="黑体" w:hint="eastAsia"/>
          <w:sz w:val="20"/>
        </w:rPr>
        <w:t>遗传性疾病（</w:t>
      </w:r>
      <w:r>
        <w:rPr>
          <w:rFonts w:ascii="黑体" w:eastAsia="黑体" w:hint="eastAsia"/>
          <w:spacing w:val="-18"/>
          <w:sz w:val="20"/>
        </w:rPr>
        <w:t>释义 </w:t>
      </w:r>
      <w:r>
        <w:rPr>
          <w:rFonts w:ascii="黑体" w:eastAsia="黑体" w:hint="eastAsia"/>
          <w:sz w:val="20"/>
        </w:rPr>
        <w:t>13），先天性畸形、变形或染色体异常（</w:t>
      </w:r>
      <w:r>
        <w:rPr>
          <w:rFonts w:ascii="黑体" w:eastAsia="黑体" w:hint="eastAsia"/>
          <w:spacing w:val="-17"/>
          <w:sz w:val="20"/>
        </w:rPr>
        <w:t>释义 </w:t>
      </w:r>
      <w:r>
        <w:rPr>
          <w:rFonts w:ascii="黑体" w:eastAsia="黑体" w:hint="eastAsia"/>
          <w:sz w:val="20"/>
        </w:rPr>
        <w:t>14）。</w:t>
      </w:r>
    </w:p>
    <w:p>
      <w:pPr>
        <w:pStyle w:val="BodyText"/>
        <w:spacing w:before="8"/>
        <w:ind w:left="0"/>
        <w:rPr>
          <w:rFonts w:ascii="黑体"/>
          <w:sz w:val="27"/>
        </w:rPr>
      </w:pPr>
    </w:p>
    <w:p>
      <w:pPr>
        <w:pStyle w:val="Heading3"/>
        <w:spacing w:line="285" w:lineRule="auto" w:before="1"/>
        <w:ind w:left="120" w:right="111" w:firstLine="403"/>
        <w:jc w:val="both"/>
      </w:pPr>
      <w:r>
        <w:rPr>
          <w:spacing w:val="-4"/>
        </w:rPr>
        <w:t>因上述第 </w:t>
      </w:r>
      <w:r>
        <w:rPr/>
        <w:t>1</w:t>
      </w:r>
      <w:r>
        <w:rPr>
          <w:spacing w:val="-4"/>
        </w:rPr>
        <w:t> 项情形导致本公司对该被保险人的保险责任终止的，如果投保人已经为该被保</w:t>
      </w:r>
      <w:r>
        <w:rPr/>
        <w:t>险人交足二年保险费，本公司将向该被保险人给付保险责任终止之日本合同项下该被保险人名下的现金价值（</w:t>
      </w:r>
      <w:r>
        <w:rPr>
          <w:spacing w:val="-20"/>
        </w:rPr>
        <w:t>释义 </w:t>
      </w:r>
      <w:r>
        <w:rPr/>
        <w:t>15）；如果该被保险人身故，该现金价值将作为被保险人的遗产处理。</w:t>
      </w:r>
    </w:p>
    <w:p>
      <w:pPr>
        <w:spacing w:after="0" w:line="285" w:lineRule="auto"/>
        <w:jc w:val="both"/>
        <w:sectPr>
          <w:pgSz w:w="11910" w:h="16840"/>
          <w:pgMar w:header="0" w:footer="919" w:top="1400" w:bottom="1180" w:left="1680" w:right="1680"/>
        </w:sectPr>
      </w:pPr>
    </w:p>
    <w:p>
      <w:pPr>
        <w:spacing w:line="285" w:lineRule="auto" w:before="13"/>
        <w:ind w:left="120" w:right="311" w:firstLine="403"/>
        <w:jc w:val="both"/>
        <w:rPr>
          <w:b/>
          <w:sz w:val="20"/>
        </w:rPr>
      </w:pPr>
      <w:r>
        <w:rPr>
          <w:b/>
          <w:spacing w:val="-4"/>
          <w:sz w:val="20"/>
        </w:rPr>
        <w:t>因上述第 </w:t>
      </w:r>
      <w:r>
        <w:rPr>
          <w:b/>
          <w:sz w:val="20"/>
        </w:rPr>
        <w:t>2</w:t>
      </w:r>
      <w:r>
        <w:rPr>
          <w:b/>
          <w:spacing w:val="-4"/>
          <w:sz w:val="20"/>
        </w:rPr>
        <w:t> 项情形导致本公司对该被保险人的保险责任终止的，如果投保人已经为该被保</w:t>
      </w:r>
      <w:r>
        <w:rPr>
          <w:b/>
          <w:sz w:val="20"/>
        </w:rPr>
        <w:t>险人交足二年保险费，本公司将向投保人退还保险责任终止之日本合同项下该被保险人名下的</w:t>
      </w:r>
      <w:r>
        <w:rPr>
          <w:b/>
          <w:w w:val="95"/>
          <w:sz w:val="20"/>
        </w:rPr>
        <w:t>现金价值。</w:t>
      </w:r>
    </w:p>
    <w:p>
      <w:pPr>
        <w:pStyle w:val="BodyText"/>
        <w:spacing w:before="9"/>
        <w:ind w:left="0"/>
        <w:rPr>
          <w:b/>
          <w:sz w:val="24"/>
        </w:rPr>
      </w:pPr>
    </w:p>
    <w:p>
      <w:pPr>
        <w:spacing w:line="285" w:lineRule="auto" w:before="0"/>
        <w:ind w:left="120" w:right="313" w:firstLine="403"/>
        <w:jc w:val="left"/>
        <w:rPr>
          <w:b/>
          <w:sz w:val="20"/>
        </w:rPr>
      </w:pPr>
      <w:r>
        <w:rPr>
          <w:b/>
          <w:spacing w:val="-7"/>
          <w:sz w:val="20"/>
        </w:rPr>
        <w:t>因上述第 </w:t>
      </w:r>
      <w:r>
        <w:rPr>
          <w:b/>
          <w:sz w:val="20"/>
        </w:rPr>
        <w:t>3</w:t>
      </w:r>
      <w:r>
        <w:rPr>
          <w:b/>
          <w:spacing w:val="-18"/>
          <w:sz w:val="20"/>
        </w:rPr>
        <w:t> 至第 </w:t>
      </w:r>
      <w:r>
        <w:rPr>
          <w:b/>
          <w:sz w:val="20"/>
        </w:rPr>
        <w:t>9</w:t>
      </w:r>
      <w:r>
        <w:rPr>
          <w:b/>
          <w:spacing w:val="-6"/>
          <w:sz w:val="20"/>
        </w:rPr>
        <w:t> 项中任一情形导致本公司对该被保险人的保险责任终止的，本公司将向</w:t>
      </w:r>
      <w:r>
        <w:rPr>
          <w:b/>
          <w:spacing w:val="-6"/>
          <w:w w:val="95"/>
          <w:sz w:val="20"/>
        </w:rPr>
        <w:t>投保人退还保险责任终止之日本合同项下该被保险人名下的现金价值。</w:t>
      </w:r>
    </w:p>
    <w:p>
      <w:pPr>
        <w:pStyle w:val="BodyText"/>
        <w:spacing w:before="10"/>
        <w:ind w:left="0"/>
        <w:rPr>
          <w:b/>
          <w:sz w:val="22"/>
        </w:rPr>
      </w:pPr>
    </w:p>
    <w:p>
      <w:pPr>
        <w:spacing w:before="0"/>
        <w:ind w:left="2888" w:right="0" w:firstLine="0"/>
        <w:jc w:val="left"/>
        <w:rPr>
          <w:b/>
          <w:sz w:val="24"/>
        </w:rPr>
      </w:pPr>
      <w:r>
        <w:rPr>
          <w:b/>
          <w:sz w:val="24"/>
        </w:rPr>
        <w:t>第二部分 保险金给付条款</w:t>
      </w:r>
    </w:p>
    <w:p>
      <w:pPr>
        <w:pStyle w:val="BodyText"/>
        <w:spacing w:before="6"/>
        <w:ind w:left="0"/>
        <w:rPr>
          <w:b/>
          <w:sz w:val="26"/>
        </w:rPr>
      </w:pPr>
    </w:p>
    <w:p>
      <w:pPr>
        <w:spacing w:before="0"/>
        <w:ind w:left="523" w:right="0" w:firstLine="0"/>
        <w:jc w:val="left"/>
        <w:rPr>
          <w:b/>
          <w:sz w:val="20"/>
        </w:rPr>
      </w:pPr>
      <w:r>
        <w:rPr>
          <w:b/>
          <w:sz w:val="20"/>
        </w:rPr>
        <w:t>第十二条 保险金受益人的指定和变更</w:t>
      </w:r>
    </w:p>
    <w:p>
      <w:pPr>
        <w:pStyle w:val="BodyText"/>
        <w:spacing w:before="9"/>
        <w:ind w:left="0"/>
        <w:rPr>
          <w:b/>
          <w:sz w:val="15"/>
        </w:rPr>
      </w:pPr>
    </w:p>
    <w:p>
      <w:pPr>
        <w:pStyle w:val="BodyText"/>
        <w:spacing w:line="285" w:lineRule="auto" w:before="1"/>
        <w:ind w:right="117" w:firstLine="400"/>
      </w:pPr>
      <w:r>
        <w:rPr>
          <w:spacing w:val="-10"/>
        </w:rPr>
        <w:t>除另有指定外，本合同轻症疾病保险金、重大疾病保险金和全残保险金的受益人为被保险人 </w:t>
      </w:r>
      <w:r>
        <w:rPr>
          <w:spacing w:val="-15"/>
        </w:rPr>
        <w:t>本人。投保人或被保险人可以指定一人或多人为身故保险金受益人。身故保险金受益人为多人时， </w:t>
      </w:r>
      <w:r>
        <w:rPr>
          <w:spacing w:val="-17"/>
        </w:rPr>
        <w:t>可以确定受益顺序和受益份额；如果没有确定份额，各受益人按照相等份额享有受益权。如果受 </w:t>
      </w:r>
      <w:r>
        <w:rPr>
          <w:spacing w:val="-21"/>
        </w:rPr>
        <w:t>益人先于被保险人死亡或依法丧失受益权或放弃受益权，投保人或被保险人未重新指定受益人的， </w:t>
      </w:r>
      <w:r>
        <w:rPr>
          <w:spacing w:val="-24"/>
        </w:rPr>
        <w:t>对该受益人应得份额由其他受益人按照约定份额比例享有。被保险人为无民事行为能力人或限制 </w:t>
      </w:r>
      <w:r>
        <w:rPr>
          <w:spacing w:val="-24"/>
          <w:w w:val="95"/>
        </w:rPr>
        <w:t>民事行为能力人的，可以由其监护人指定受益人。</w:t>
      </w:r>
    </w:p>
    <w:p>
      <w:pPr>
        <w:pStyle w:val="BodyText"/>
        <w:spacing w:line="285" w:lineRule="auto" w:before="12"/>
        <w:ind w:right="322" w:firstLine="400"/>
      </w:pPr>
      <w:r>
        <w:rPr>
          <w:spacing w:val="-4"/>
          <w:w w:val="95"/>
        </w:rPr>
        <w:t>投保人或被保险人可以变更身故保险金受益人并书面通知本公司。本公司收到变更受益人的   书面通知后，在保险单或其它保险凭证上批注或出具批单。</w:t>
      </w:r>
    </w:p>
    <w:p>
      <w:pPr>
        <w:pStyle w:val="BodyText"/>
        <w:spacing w:before="12"/>
        <w:ind w:left="521"/>
      </w:pPr>
      <w:r>
        <w:rPr>
          <w:w w:val="95"/>
        </w:rPr>
        <w:t>投保人在指定和变更身故保险金受益人时，必须经过被保险人同意。</w:t>
      </w:r>
    </w:p>
    <w:p>
      <w:pPr>
        <w:pStyle w:val="BodyText"/>
        <w:spacing w:line="285" w:lineRule="auto" w:before="50"/>
        <w:ind w:right="321" w:firstLine="400"/>
      </w:pPr>
      <w:r>
        <w:rPr>
          <w:spacing w:val="-7"/>
          <w:w w:val="95"/>
        </w:rPr>
        <w:t>被保险人身故后，有下列情形之一的，保险金作为被保险人的遗产，由本公司依照《中华人   民共和国继承法》的规定履行给付保险金的义务：</w:t>
      </w:r>
    </w:p>
    <w:p>
      <w:pPr>
        <w:pStyle w:val="BodyText"/>
        <w:spacing w:before="12"/>
        <w:ind w:left="521"/>
      </w:pPr>
      <w:r>
        <w:rPr>
          <w:w w:val="95"/>
        </w:rPr>
        <w:t>1．没有指定受益人，或受益人指定不明无法确定的；</w:t>
      </w:r>
    </w:p>
    <w:p>
      <w:pPr>
        <w:pStyle w:val="BodyText"/>
        <w:spacing w:before="50"/>
        <w:ind w:left="521"/>
      </w:pPr>
      <w:r>
        <w:rPr>
          <w:w w:val="95"/>
        </w:rPr>
        <w:t>2．受益人先于被保险人身故，没有其他受益人的；</w:t>
      </w:r>
    </w:p>
    <w:p>
      <w:pPr>
        <w:pStyle w:val="BodyText"/>
        <w:spacing w:before="50"/>
        <w:ind w:left="521"/>
      </w:pPr>
      <w:r>
        <w:rPr>
          <w:w w:val="95"/>
        </w:rPr>
        <w:t>3．受益人依法丧失受益权或放弃受益权，没有其他受益人的。</w:t>
      </w:r>
    </w:p>
    <w:p>
      <w:pPr>
        <w:pStyle w:val="BodyText"/>
        <w:spacing w:line="285" w:lineRule="auto" w:before="50"/>
        <w:ind w:left="521" w:right="224"/>
      </w:pPr>
      <w:r>
        <w:rPr>
          <w:w w:val="95"/>
        </w:rPr>
        <w:t>受益人与被保险人在同一事件中身故，且不能确定身故先后顺序的，推定受益人身故在先。   </w:t>
      </w:r>
      <w:r>
        <w:rPr>
          <w:spacing w:val="-6"/>
          <w:w w:val="95"/>
        </w:rPr>
        <w:t>受益人故意造成被保险人身故、伤残、疾病的，或故意杀害被保险人未遂的，该受益人丧失</w:t>
      </w:r>
    </w:p>
    <w:p>
      <w:pPr>
        <w:pStyle w:val="BodyText"/>
        <w:spacing w:before="12"/>
      </w:pPr>
      <w:r>
        <w:rPr>
          <w:w w:val="95"/>
        </w:rPr>
        <w:t>受益权。</w:t>
      </w:r>
    </w:p>
    <w:p>
      <w:pPr>
        <w:pStyle w:val="Heading3"/>
        <w:spacing w:before="170"/>
      </w:pPr>
      <w:r>
        <w:rPr/>
        <w:t>第十三条 保险事故的通知</w:t>
      </w:r>
    </w:p>
    <w:p>
      <w:pPr>
        <w:pStyle w:val="BodyText"/>
        <w:spacing w:before="9"/>
        <w:ind w:left="0"/>
        <w:rPr>
          <w:b/>
          <w:sz w:val="15"/>
        </w:rPr>
      </w:pPr>
    </w:p>
    <w:p>
      <w:pPr>
        <w:spacing w:before="1"/>
        <w:ind w:left="521" w:right="0" w:firstLine="0"/>
        <w:jc w:val="left"/>
        <w:rPr>
          <w:sz w:val="20"/>
        </w:rPr>
      </w:pPr>
      <w:r>
        <w:rPr>
          <w:sz w:val="20"/>
        </w:rPr>
        <w:t>投保人或保险金受益人应在知道保险事故发生之日起 </w:t>
      </w:r>
      <w:r>
        <w:rPr>
          <w:b/>
          <w:sz w:val="20"/>
        </w:rPr>
        <w:t>10 个工作日内</w:t>
      </w:r>
      <w:r>
        <w:rPr>
          <w:sz w:val="20"/>
        </w:rPr>
        <w:t>通知本公司。</w:t>
      </w:r>
    </w:p>
    <w:p>
      <w:pPr>
        <w:pStyle w:val="BodyText"/>
        <w:spacing w:line="285" w:lineRule="auto" w:before="50"/>
        <w:ind w:right="220" w:firstLine="400"/>
      </w:pPr>
      <w:r>
        <w:rPr>
          <w:rFonts w:ascii="黑体" w:eastAsia="黑体" w:hint="eastAsia"/>
          <w:spacing w:val="-4"/>
        </w:rPr>
        <w:t>如果投保人或受益人故意或因重大过失未及时通知，致使保险事故的性质、原因、损失程度</w:t>
      </w:r>
      <w:r>
        <w:rPr>
          <w:rFonts w:ascii="黑体" w:eastAsia="黑体" w:hint="eastAsia"/>
          <w:spacing w:val="-10"/>
        </w:rPr>
        <w:t>等难以确定的，本公司对无法确定的部分，不承担给付保险金的责任，</w:t>
      </w:r>
      <w:r>
        <w:rPr/>
        <w:t>但本公司通过其它途径已经及时知道或应当及时知道保险事故发生或虽未及时通知但不影响本公司确定保险事故的性质、</w:t>
      </w:r>
      <w:r>
        <w:rPr>
          <w:w w:val="95"/>
        </w:rPr>
        <w:t>原因、损失程度的除外。</w:t>
      </w:r>
    </w:p>
    <w:p>
      <w:pPr>
        <w:pStyle w:val="Heading3"/>
        <w:ind w:left="478"/>
      </w:pPr>
      <w:r>
        <w:rPr/>
        <w:t>第十四条 保险金的申请</w:t>
      </w:r>
    </w:p>
    <w:p>
      <w:pPr>
        <w:pStyle w:val="BodyText"/>
        <w:spacing w:before="7"/>
        <w:ind w:left="0"/>
        <w:rPr>
          <w:b/>
          <w:sz w:val="15"/>
        </w:rPr>
      </w:pPr>
    </w:p>
    <w:p>
      <w:pPr>
        <w:pStyle w:val="BodyText"/>
        <w:spacing w:line="285" w:lineRule="auto"/>
        <w:ind w:right="319" w:firstLine="376"/>
      </w:pPr>
      <w:r>
        <w:rPr>
          <w:spacing w:val="-7"/>
          <w:w w:val="95"/>
        </w:rPr>
        <w:t>一、申请轻症疾病保险金、轻症疾病豁免保费、重大疾病保险金时，申请人须填写理赔申请   书，并提供下列证明和资料原件：</w:t>
      </w:r>
    </w:p>
    <w:p>
      <w:pPr>
        <w:pStyle w:val="BodyText"/>
        <w:spacing w:before="14"/>
        <w:ind w:left="521"/>
      </w:pPr>
      <w:r>
        <w:rPr/>
        <w:t>1． 保险合同/保险凭证；</w:t>
      </w:r>
    </w:p>
    <w:p>
      <w:pPr>
        <w:pStyle w:val="BodyText"/>
        <w:spacing w:before="49"/>
        <w:ind w:left="521"/>
      </w:pPr>
      <w:r>
        <w:rPr/>
        <w:t>2． 被保险人的有效身份证件；</w:t>
      </w:r>
    </w:p>
    <w:p>
      <w:pPr>
        <w:pStyle w:val="BodyText"/>
        <w:spacing w:before="49"/>
        <w:ind w:left="521"/>
      </w:pPr>
      <w:r>
        <w:rPr>
          <w:spacing w:val="0"/>
          <w:w w:val="99"/>
        </w:rPr>
        <w:t>3</w:t>
      </w:r>
      <w:r>
        <w:rPr>
          <w:w w:val="99"/>
        </w:rPr>
        <w:t>．</w:t>
      </w:r>
      <w:r>
        <w:rPr>
          <w:spacing w:val="38"/>
        </w:rPr>
        <w:t> </w:t>
      </w:r>
      <w:r>
        <w:rPr>
          <w:spacing w:val="-14"/>
          <w:w w:val="99"/>
        </w:rPr>
        <w:t>医院诊断证明</w:t>
      </w:r>
      <w:r>
        <w:rPr>
          <w:w w:val="99"/>
        </w:rPr>
        <w:t>（</w:t>
      </w:r>
      <w:r>
        <w:rPr>
          <w:spacing w:val="-12"/>
          <w:w w:val="99"/>
        </w:rPr>
        <w:t>包括完整的门诊病历、出院小结或出院证明、相关的检查检验报告等</w:t>
      </w:r>
      <w:r>
        <w:rPr>
          <w:spacing w:val="-85"/>
          <w:w w:val="99"/>
        </w:rPr>
        <w:t>）</w:t>
      </w:r>
      <w:r>
        <w:rPr>
          <w:w w:val="99"/>
        </w:rPr>
        <w:t>；</w:t>
      </w:r>
    </w:p>
    <w:p>
      <w:pPr>
        <w:pStyle w:val="BodyText"/>
        <w:spacing w:before="49"/>
        <w:ind w:left="521"/>
      </w:pPr>
      <w:r>
        <w:rPr/>
        <w:t>4． 附表所列相应重大疾病中明确要求的其它医疗证明；</w:t>
      </w:r>
    </w:p>
    <w:p>
      <w:pPr>
        <w:pStyle w:val="BodyText"/>
        <w:spacing w:before="49"/>
        <w:ind w:left="521"/>
      </w:pPr>
      <w:r>
        <w:rPr/>
        <w:t>5． 所能提供的与确认保险事故的性质、原因等有关的其它证明和资料。</w:t>
      </w:r>
    </w:p>
    <w:p>
      <w:pPr>
        <w:pStyle w:val="BodyText"/>
        <w:spacing w:before="49"/>
        <w:ind w:left="521"/>
      </w:pPr>
      <w:r>
        <w:rPr>
          <w:w w:val="95"/>
        </w:rPr>
        <w:t>保险金作为被保险人遗产时，申请人必须提供可证明合法继承权的相关权利文件。</w:t>
      </w:r>
    </w:p>
    <w:p>
      <w:pPr>
        <w:spacing w:after="0"/>
        <w:sectPr>
          <w:pgSz w:w="11910" w:h="16840"/>
          <w:pgMar w:header="0" w:footer="919" w:top="1400" w:bottom="1180" w:left="1680" w:right="1480"/>
        </w:sectPr>
      </w:pPr>
    </w:p>
    <w:p>
      <w:pPr>
        <w:pStyle w:val="BodyText"/>
        <w:spacing w:line="285" w:lineRule="auto" w:before="13"/>
        <w:ind w:left="521" w:right="627"/>
      </w:pPr>
      <w:r>
        <w:rPr>
          <w:w w:val="95"/>
        </w:rPr>
        <w:t>以上证明和资料不完整的，本公司将及时一次性通知申请人补充提供有关证明和资料。   二、申请身故保险金时，申请人须填写理赔申请书，并提供下列证明和资料原件：</w:t>
      </w:r>
    </w:p>
    <w:p>
      <w:pPr>
        <w:pStyle w:val="BodyText"/>
        <w:spacing w:before="11"/>
        <w:ind w:left="521"/>
      </w:pPr>
      <w:r>
        <w:rPr>
          <w:w w:val="95"/>
        </w:rPr>
        <w:t>1．保险合同/保险凭证；</w:t>
      </w:r>
    </w:p>
    <w:p>
      <w:pPr>
        <w:pStyle w:val="BodyText"/>
        <w:spacing w:before="49"/>
        <w:ind w:left="521"/>
      </w:pPr>
      <w:r>
        <w:rPr>
          <w:w w:val="95"/>
        </w:rPr>
        <w:t>2．身故保险金受益人的有效身份证件，与被保险人的关系证明；</w:t>
      </w:r>
    </w:p>
    <w:p>
      <w:pPr>
        <w:pStyle w:val="BodyText"/>
        <w:spacing w:before="49"/>
        <w:ind w:left="521"/>
      </w:pPr>
      <w:r>
        <w:rPr>
          <w:w w:val="95"/>
        </w:rPr>
        <w:t>3．被保险人的有效身份证件，户籍注销证明，丧葬证明；</w:t>
      </w:r>
    </w:p>
    <w:p>
      <w:pPr>
        <w:pStyle w:val="ListParagraph"/>
        <w:numPr>
          <w:ilvl w:val="0"/>
          <w:numId w:val="3"/>
        </w:numPr>
        <w:tabs>
          <w:tab w:pos="824" w:val="left" w:leader="none"/>
        </w:tabs>
        <w:spacing w:line="285" w:lineRule="auto" w:before="49" w:after="0"/>
        <w:ind w:left="120" w:right="329" w:firstLine="401"/>
        <w:jc w:val="left"/>
        <w:rPr>
          <w:sz w:val="20"/>
        </w:rPr>
      </w:pPr>
      <w:r>
        <w:rPr>
          <w:w w:val="95"/>
          <w:sz w:val="20"/>
        </w:rPr>
        <w:t>国家卫生行政部门认定的医疗机构、公安部门或其它相关机构出具的被保险人的死亡证  明或人民法院出具的宣告死亡证明文件；</w:t>
      </w:r>
    </w:p>
    <w:p>
      <w:pPr>
        <w:pStyle w:val="ListParagraph"/>
        <w:numPr>
          <w:ilvl w:val="0"/>
          <w:numId w:val="3"/>
        </w:numPr>
        <w:tabs>
          <w:tab w:pos="824" w:val="left" w:leader="none"/>
        </w:tabs>
        <w:spacing w:line="240" w:lineRule="auto" w:before="11" w:after="0"/>
        <w:ind w:left="120" w:right="0" w:firstLine="401"/>
        <w:jc w:val="left"/>
        <w:rPr>
          <w:sz w:val="20"/>
        </w:rPr>
      </w:pPr>
      <w:r>
        <w:rPr>
          <w:w w:val="95"/>
          <w:sz w:val="20"/>
        </w:rPr>
        <w:t>所能提供的与确认保险事故的性质、原因等有关的其它证明和资料。</w:t>
      </w:r>
    </w:p>
    <w:p>
      <w:pPr>
        <w:pStyle w:val="BodyText"/>
        <w:spacing w:before="49"/>
        <w:ind w:left="521"/>
      </w:pPr>
      <w:r>
        <w:rPr>
          <w:w w:val="95"/>
        </w:rPr>
        <w:t>保险金作为被保险人遗产时，申请人必须提供可证明合法继承权的相关权利文件。</w:t>
      </w:r>
    </w:p>
    <w:p>
      <w:pPr>
        <w:pStyle w:val="BodyText"/>
        <w:spacing w:line="285" w:lineRule="auto" w:before="49"/>
        <w:ind w:left="521" w:right="627"/>
      </w:pPr>
      <w:r>
        <w:rPr>
          <w:w w:val="95"/>
        </w:rPr>
        <w:t>以上证明和资料不完整的，本公司将及时一次性通知申请人补充提供有关证明和资料。   三、申请全残保险金时，申请人须填写理赔申请书，并提供下列证明和资料原件：</w:t>
      </w:r>
    </w:p>
    <w:p>
      <w:pPr>
        <w:pStyle w:val="BodyText"/>
        <w:spacing w:before="11"/>
        <w:ind w:left="521"/>
      </w:pPr>
      <w:r>
        <w:rPr>
          <w:w w:val="95"/>
        </w:rPr>
        <w:t>1．保险合同/保险凭证；</w:t>
      </w:r>
    </w:p>
    <w:p>
      <w:pPr>
        <w:pStyle w:val="BodyText"/>
        <w:spacing w:before="50"/>
        <w:ind w:left="521"/>
      </w:pPr>
      <w:r>
        <w:rPr>
          <w:w w:val="95"/>
        </w:rPr>
        <w:t>2．被保险人的有效身份证件；</w:t>
      </w:r>
    </w:p>
    <w:p>
      <w:pPr>
        <w:pStyle w:val="ListParagraph"/>
        <w:numPr>
          <w:ilvl w:val="0"/>
          <w:numId w:val="4"/>
        </w:numPr>
        <w:tabs>
          <w:tab w:pos="824" w:val="left" w:leader="none"/>
        </w:tabs>
        <w:spacing w:line="240" w:lineRule="auto" w:before="50" w:after="0"/>
        <w:ind w:left="120" w:right="0" w:firstLine="401"/>
        <w:jc w:val="left"/>
        <w:rPr>
          <w:sz w:val="20"/>
        </w:rPr>
      </w:pPr>
      <w:r>
        <w:rPr>
          <w:spacing w:val="-9"/>
          <w:w w:val="95"/>
          <w:sz w:val="20"/>
        </w:rPr>
        <w:t>医院诊断证明</w:t>
      </w:r>
      <w:r>
        <w:rPr>
          <w:w w:val="95"/>
          <w:sz w:val="20"/>
        </w:rPr>
        <w:t>（</w:t>
      </w:r>
      <w:r>
        <w:rPr>
          <w:spacing w:val="-8"/>
          <w:w w:val="95"/>
          <w:sz w:val="20"/>
        </w:rPr>
        <w:t>包括完整的门诊病历、出院小结或出院证明、相关的检查检验报告等</w:t>
      </w:r>
      <w:r>
        <w:rPr>
          <w:spacing w:val="-25"/>
          <w:w w:val="95"/>
          <w:sz w:val="20"/>
        </w:rPr>
        <w:t>）；</w:t>
      </w:r>
    </w:p>
    <w:p>
      <w:pPr>
        <w:pStyle w:val="ListParagraph"/>
        <w:numPr>
          <w:ilvl w:val="0"/>
          <w:numId w:val="4"/>
        </w:numPr>
        <w:tabs>
          <w:tab w:pos="824" w:val="left" w:leader="none"/>
        </w:tabs>
        <w:spacing w:line="285" w:lineRule="auto" w:before="50" w:after="0"/>
        <w:ind w:left="120" w:right="327" w:firstLine="401"/>
        <w:jc w:val="left"/>
        <w:rPr>
          <w:sz w:val="20"/>
        </w:rPr>
      </w:pPr>
      <w:r>
        <w:rPr>
          <w:w w:val="95"/>
          <w:sz w:val="20"/>
        </w:rPr>
        <w:t>国家卫生行政机构评定的三级医院或本公司指定的医疗机构、鉴定机构出具的残疾程度  鉴定书；</w:t>
      </w:r>
    </w:p>
    <w:p>
      <w:pPr>
        <w:pStyle w:val="ListParagraph"/>
        <w:numPr>
          <w:ilvl w:val="0"/>
          <w:numId w:val="4"/>
        </w:numPr>
        <w:tabs>
          <w:tab w:pos="824" w:val="left" w:leader="none"/>
        </w:tabs>
        <w:spacing w:line="240" w:lineRule="auto" w:before="12" w:after="0"/>
        <w:ind w:left="120" w:right="0" w:firstLine="401"/>
        <w:jc w:val="left"/>
        <w:rPr>
          <w:sz w:val="20"/>
        </w:rPr>
      </w:pPr>
      <w:r>
        <w:rPr>
          <w:w w:val="95"/>
          <w:sz w:val="20"/>
        </w:rPr>
        <w:t>所能提供的与确认保险事故的性质、原因等有关的其它证明和资料。</w:t>
      </w:r>
    </w:p>
    <w:p>
      <w:pPr>
        <w:pStyle w:val="BodyText"/>
        <w:spacing w:before="8"/>
        <w:ind w:left="0"/>
        <w:rPr>
          <w:sz w:val="27"/>
        </w:rPr>
      </w:pPr>
    </w:p>
    <w:p>
      <w:pPr>
        <w:spacing w:line="396" w:lineRule="auto" w:before="1"/>
        <w:ind w:left="523" w:right="625" w:hanging="3"/>
        <w:jc w:val="left"/>
        <w:rPr>
          <w:b/>
          <w:sz w:val="20"/>
        </w:rPr>
      </w:pPr>
      <w:r>
        <w:rPr>
          <w:sz w:val="20"/>
        </w:rPr>
        <w:t>以上证明和资料不完整的，本公司将及时一次性通知申请人补充提供有关证明和资料。</w:t>
      </w:r>
      <w:r>
        <w:rPr>
          <w:b/>
          <w:sz w:val="20"/>
        </w:rPr>
        <w:t>第十五条 保险金的给付时效</w:t>
      </w:r>
    </w:p>
    <w:p>
      <w:pPr>
        <w:pStyle w:val="BodyText"/>
        <w:spacing w:line="285" w:lineRule="auto" w:before="76"/>
        <w:ind w:right="117" w:firstLine="400"/>
      </w:pPr>
      <w:r>
        <w:rPr>
          <w:spacing w:val="-3"/>
        </w:rPr>
        <w:t>本公司在收到理赔申请书或保险金给付申请书及合同约定的证明和资料后，会及时作出核定； </w:t>
      </w:r>
      <w:r>
        <w:rPr>
          <w:spacing w:val="-10"/>
        </w:rPr>
        <w:t>情形复杂的，在 </w:t>
      </w:r>
      <w:r>
        <w:rPr/>
        <w:t>30</w:t>
      </w:r>
      <w:r>
        <w:rPr>
          <w:spacing w:val="-8"/>
        </w:rPr>
        <w:t> 日内作出核定。对属于保险责任的，本公司在与受益人达成给付保险金的协</w:t>
      </w:r>
    </w:p>
    <w:p>
      <w:pPr>
        <w:pStyle w:val="BodyText"/>
        <w:spacing w:before="12"/>
      </w:pPr>
      <w:r>
        <w:rPr/>
        <w:t>议后 10 日内，履行给付保险金义务。</w:t>
      </w:r>
    </w:p>
    <w:p>
      <w:pPr>
        <w:pStyle w:val="BodyText"/>
        <w:spacing w:line="285" w:lineRule="auto" w:before="50"/>
        <w:ind w:left="521" w:right="320"/>
      </w:pPr>
      <w:r>
        <w:rPr/>
        <w:t>本公司未及时履行前款规定义务的，除支付保险金外，应当赔偿受益人因此受到的损失。</w:t>
      </w:r>
      <w:r>
        <w:rPr>
          <w:spacing w:val="-12"/>
        </w:rPr>
        <w:t>对不属于保险责任的，本公司自作出核定之日起 </w:t>
      </w:r>
      <w:r>
        <w:rPr/>
        <w:t>3</w:t>
      </w:r>
      <w:r>
        <w:rPr>
          <w:spacing w:val="-8"/>
        </w:rPr>
        <w:t> 日内向受益人发出拒绝给付保险金通知书</w:t>
      </w:r>
    </w:p>
    <w:p>
      <w:pPr>
        <w:pStyle w:val="BodyText"/>
        <w:spacing w:before="12"/>
      </w:pPr>
      <w:r>
        <w:rPr>
          <w:w w:val="95"/>
        </w:rPr>
        <w:t>并说明理由。</w:t>
      </w:r>
    </w:p>
    <w:p>
      <w:pPr>
        <w:pStyle w:val="BodyText"/>
        <w:spacing w:line="285" w:lineRule="auto" w:before="50"/>
        <w:ind w:right="318" w:firstLine="400"/>
        <w:jc w:val="both"/>
      </w:pPr>
      <w:r>
        <w:rPr>
          <w:spacing w:val="-2"/>
        </w:rPr>
        <w:t>本公司在收到理赔申请书或保险金给付申请书及有关证明和资料之日起 </w:t>
      </w:r>
      <w:r>
        <w:rPr/>
        <w:t>60</w:t>
      </w:r>
      <w:r>
        <w:rPr>
          <w:spacing w:val="-8"/>
        </w:rPr>
        <w:t> 日内，对给付保</w:t>
      </w:r>
      <w:r>
        <w:rPr>
          <w:spacing w:val="-13"/>
        </w:rPr>
        <w:t>险金的数额不能确定的，根据已有证明和资料可以确定的数额先予支付；本公司最终确定给付保</w:t>
      </w:r>
      <w:r>
        <w:rPr>
          <w:spacing w:val="-13"/>
          <w:w w:val="95"/>
        </w:rPr>
        <w:t>险金的数额后，将支付相应的差额。</w:t>
      </w:r>
    </w:p>
    <w:p>
      <w:pPr>
        <w:pStyle w:val="Heading3"/>
      </w:pPr>
      <w:r>
        <w:rPr/>
        <w:t>第十六条 失踪处理</w:t>
      </w:r>
    </w:p>
    <w:p>
      <w:pPr>
        <w:pStyle w:val="BodyText"/>
        <w:spacing w:before="9"/>
        <w:ind w:left="0"/>
        <w:rPr>
          <w:b/>
          <w:sz w:val="15"/>
        </w:rPr>
      </w:pPr>
    </w:p>
    <w:p>
      <w:pPr>
        <w:pStyle w:val="BodyText"/>
        <w:spacing w:line="285" w:lineRule="auto"/>
        <w:ind w:right="219" w:firstLine="400"/>
      </w:pPr>
      <w:r>
        <w:rPr>
          <w:spacing w:val="-11"/>
          <w:w w:val="95"/>
        </w:rPr>
        <w:t>被保险人在其保险期间内失踪，而且被法院宣告死亡，本公司以判决书所确定的身故日为准，   </w:t>
      </w:r>
      <w:r>
        <w:rPr>
          <w:spacing w:val="-15"/>
        </w:rPr>
        <w:t>按照本合同的约定给付身故保险金；如果投保人或身故保险金受益人能提供证明文件，足以证明</w:t>
      </w:r>
      <w:r>
        <w:rPr>
          <w:spacing w:val="-18"/>
        </w:rPr>
        <w:t>被保险人因意外伤害事故身故的，本公司将以意外伤害事故发生日为准，按照本合同约定给付身</w:t>
      </w:r>
      <w:r>
        <w:rPr>
          <w:spacing w:val="-18"/>
          <w:w w:val="95"/>
        </w:rPr>
        <w:t>故保险金。</w:t>
      </w:r>
    </w:p>
    <w:p>
      <w:pPr>
        <w:pStyle w:val="BodyText"/>
        <w:spacing w:line="285" w:lineRule="auto" w:before="11"/>
        <w:ind w:right="322" w:firstLine="400"/>
        <w:jc w:val="both"/>
      </w:pPr>
      <w:r>
        <w:rPr>
          <w:spacing w:val="-5"/>
        </w:rPr>
        <w:t>如果领取本公司因被保险人身故而给付的保险金后，发现被保险人仍然生存，保险金领取人</w:t>
      </w:r>
      <w:r>
        <w:rPr>
          <w:spacing w:val="-8"/>
          <w:w w:val="95"/>
        </w:rPr>
        <w:t>必须于知道被保险人仍然生存之日起一个月内归还本公司因被保险人身故而给付的保险金，在被   保险人失踪期间，如果有其它应给付的保险金的，本公司将依约给付。</w:t>
      </w:r>
    </w:p>
    <w:p>
      <w:pPr>
        <w:pStyle w:val="Heading3"/>
        <w:spacing w:before="131"/>
      </w:pPr>
      <w:r>
        <w:rPr/>
        <w:t>第十七条 请求给付保险金的诉讼时效</w:t>
      </w:r>
    </w:p>
    <w:p>
      <w:pPr>
        <w:pStyle w:val="BodyText"/>
        <w:spacing w:before="9"/>
        <w:ind w:left="0"/>
        <w:rPr>
          <w:b/>
          <w:sz w:val="15"/>
        </w:rPr>
      </w:pPr>
    </w:p>
    <w:p>
      <w:pPr>
        <w:pStyle w:val="BodyText"/>
        <w:spacing w:line="285" w:lineRule="auto"/>
        <w:ind w:right="322" w:firstLine="400"/>
      </w:pPr>
      <w:r>
        <w:rPr>
          <w:spacing w:val="-4"/>
          <w:w w:val="95"/>
        </w:rPr>
        <w:t>本合同受益人向本公司请求给付身故保险金的诉讼时效期间为五年，自其知道或应当知道保   险事故发生之日起计算。</w:t>
      </w:r>
    </w:p>
    <w:p>
      <w:pPr>
        <w:pStyle w:val="BodyText"/>
        <w:spacing w:line="285" w:lineRule="auto" w:before="12"/>
        <w:ind w:right="324" w:firstLine="400"/>
      </w:pPr>
      <w:r>
        <w:rPr>
          <w:spacing w:val="-5"/>
          <w:w w:val="95"/>
        </w:rPr>
        <w:t>本合同受益人向本公司请求给付轻症疾病保险金、轻症疾病豁免保费、重大疾病保险金和全   残保险金的诉讼时效期间为二年，自其知道或应当知道保险事故发生之日起计算。</w:t>
      </w:r>
    </w:p>
    <w:p>
      <w:pPr>
        <w:spacing w:after="0" w:line="285" w:lineRule="auto"/>
        <w:sectPr>
          <w:pgSz w:w="11910" w:h="16840"/>
          <w:pgMar w:header="0" w:footer="919" w:top="1400" w:bottom="1180" w:left="1680" w:right="1480"/>
        </w:sectPr>
      </w:pPr>
    </w:p>
    <w:p>
      <w:pPr>
        <w:pStyle w:val="Heading1"/>
        <w:spacing w:before="1"/>
        <w:ind w:left="3233" w:right="3328"/>
      </w:pPr>
      <w:r>
        <w:rPr/>
        <w:t>第三部分 基本条款</w:t>
      </w:r>
    </w:p>
    <w:p>
      <w:pPr>
        <w:pStyle w:val="BodyText"/>
        <w:spacing w:before="10"/>
        <w:ind w:left="0"/>
        <w:rPr>
          <w:b/>
          <w:sz w:val="17"/>
        </w:rPr>
      </w:pPr>
    </w:p>
    <w:p>
      <w:pPr>
        <w:pStyle w:val="Heading3"/>
        <w:spacing w:before="38"/>
      </w:pPr>
      <w:r>
        <w:rPr/>
        <w:t>第十八条 明确说明与如实告知</w:t>
      </w:r>
    </w:p>
    <w:p>
      <w:pPr>
        <w:pStyle w:val="BodyText"/>
        <w:spacing w:before="10"/>
        <w:ind w:left="0"/>
        <w:rPr>
          <w:b/>
          <w:sz w:val="15"/>
        </w:rPr>
      </w:pPr>
    </w:p>
    <w:p>
      <w:pPr>
        <w:pStyle w:val="BodyText"/>
        <w:spacing w:line="285" w:lineRule="auto"/>
        <w:ind w:right="115" w:firstLine="400"/>
      </w:pPr>
      <w:r>
        <w:rPr>
          <w:spacing w:val="-14"/>
          <w:w w:val="95"/>
        </w:rPr>
        <w:t>订立本合同时，本公司应向投保人说明本合同的内容。对保险条款中免除本公司责任的条款，   </w:t>
      </w:r>
      <w:r>
        <w:rPr>
          <w:spacing w:val="-14"/>
        </w:rPr>
        <w:t>本公司在订立合同时应当在投保单、保险单或其它保险凭证上作出足以引起投保人注意的提示， </w:t>
      </w:r>
      <w:r>
        <w:rPr>
          <w:spacing w:val="-17"/>
        </w:rPr>
        <w:t>并对该条款的内容以书面或口头形式向投保人作出明确说明，未作提示或明确说明的，该条款不</w:t>
      </w:r>
      <w:r>
        <w:rPr>
          <w:spacing w:val="-17"/>
          <w:w w:val="95"/>
        </w:rPr>
        <w:t>产生效力。</w:t>
      </w:r>
    </w:p>
    <w:p>
      <w:pPr>
        <w:pStyle w:val="BodyText"/>
        <w:spacing w:before="12"/>
        <w:ind w:left="521"/>
      </w:pPr>
      <w:r>
        <w:rPr>
          <w:w w:val="95"/>
        </w:rPr>
        <w:t>本公司就投保人和被保险人的有关情况提出询问，投保人应当如实告知。</w:t>
      </w:r>
    </w:p>
    <w:p>
      <w:pPr>
        <w:pStyle w:val="BodyText"/>
        <w:spacing w:line="285" w:lineRule="auto" w:before="50"/>
        <w:ind w:right="218" w:firstLine="400"/>
        <w:jc w:val="both"/>
        <w:rPr>
          <w:rFonts w:ascii="黑体" w:eastAsia="黑体" w:hint="eastAsia"/>
        </w:rPr>
      </w:pPr>
      <w:r>
        <w:rPr>
          <w:rFonts w:ascii="黑体" w:eastAsia="黑体" w:hint="eastAsia"/>
          <w:spacing w:val="-4"/>
        </w:rPr>
        <w:t>如果投保人故意或因重大过失未履行前款规定的如实告知义务，足以影响本公司决定是否同</w:t>
      </w:r>
      <w:r>
        <w:rPr>
          <w:rFonts w:ascii="黑体" w:eastAsia="黑体" w:hint="eastAsia"/>
          <w:spacing w:val="-4"/>
          <w:w w:val="95"/>
        </w:rPr>
        <w:t>意承保或提高保险费率的，本公司有权解除本合同。</w:t>
      </w:r>
    </w:p>
    <w:p>
      <w:pPr>
        <w:pStyle w:val="BodyText"/>
        <w:spacing w:line="285" w:lineRule="auto" w:before="12"/>
        <w:ind w:right="218" w:firstLine="400"/>
        <w:jc w:val="both"/>
        <w:rPr>
          <w:rFonts w:ascii="黑体" w:eastAsia="黑体" w:hint="eastAsia"/>
        </w:rPr>
      </w:pPr>
      <w:r>
        <w:rPr>
          <w:rFonts w:ascii="黑体" w:eastAsia="黑体" w:hint="eastAsia"/>
          <w:spacing w:val="-3"/>
        </w:rPr>
        <w:t>如果投保人故意不履行如实告知义务，对于本合同解除前发</w:t>
      </w:r>
      <w:r>
        <w:rPr>
          <w:rFonts w:ascii="黑体" w:eastAsia="黑体" w:hint="eastAsia"/>
        </w:rPr>
        <w:t>Th</w:t>
      </w:r>
      <w:r>
        <w:rPr>
          <w:rFonts w:ascii="黑体" w:eastAsia="黑体" w:hint="eastAsia"/>
          <w:spacing w:val="-7"/>
        </w:rPr>
        <w:t>的保险事故，本公司不承担给</w:t>
      </w:r>
      <w:r>
        <w:rPr>
          <w:rFonts w:ascii="黑体" w:eastAsia="黑体" w:hint="eastAsia"/>
          <w:spacing w:val="-7"/>
          <w:w w:val="95"/>
        </w:rPr>
        <w:t>付保险金的责任，并不退还保险费。</w:t>
      </w:r>
    </w:p>
    <w:p>
      <w:pPr>
        <w:pStyle w:val="BodyText"/>
        <w:spacing w:line="285" w:lineRule="auto" w:before="12"/>
        <w:ind w:right="122" w:firstLine="400"/>
        <w:jc w:val="both"/>
        <w:rPr>
          <w:rFonts w:ascii="黑体" w:eastAsia="黑体" w:hint="eastAsia"/>
        </w:rPr>
      </w:pPr>
      <w:r>
        <w:rPr>
          <w:rFonts w:ascii="黑体" w:eastAsia="黑体" w:hint="eastAsia"/>
        </w:rPr>
        <w:t>如果投保人因重大过失未履行如实告知义务，对保险事故的发Th有严重影响的，对于本合同</w:t>
      </w:r>
      <w:r>
        <w:rPr>
          <w:rFonts w:ascii="黑体" w:eastAsia="黑体" w:hint="eastAsia"/>
          <w:w w:val="95"/>
        </w:rPr>
        <w:t>解除前发Th的保险事故，本公司不承担给付保险金的责任，但应当向投保人退还相应的保险费。</w:t>
      </w:r>
    </w:p>
    <w:p>
      <w:pPr>
        <w:pStyle w:val="BodyText"/>
        <w:spacing w:line="285" w:lineRule="auto" w:before="11"/>
        <w:ind w:right="222" w:firstLine="400"/>
        <w:jc w:val="both"/>
      </w:pPr>
      <w:r>
        <w:rPr>
          <w:spacing w:val="-4"/>
          <w:w w:val="95"/>
        </w:rPr>
        <w:t>本公司在合同订立时已经知道投保人未如实告知的情况的，本公司不得解除合同；发生保险   事故的，本公司按本合同约定承担保险责任。</w:t>
      </w:r>
    </w:p>
    <w:p>
      <w:pPr>
        <w:pStyle w:val="Heading3"/>
        <w:spacing w:before="131"/>
      </w:pPr>
      <w:r>
        <w:rPr/>
        <w:t>第十九条 本公司合同解除权的限制</w:t>
      </w:r>
    </w:p>
    <w:p>
      <w:pPr>
        <w:pStyle w:val="BodyText"/>
        <w:spacing w:before="9"/>
        <w:ind w:left="0"/>
        <w:rPr>
          <w:b/>
          <w:sz w:val="15"/>
        </w:rPr>
      </w:pPr>
    </w:p>
    <w:p>
      <w:pPr>
        <w:pStyle w:val="BodyText"/>
        <w:spacing w:line="285" w:lineRule="auto"/>
        <w:ind w:right="219" w:firstLine="400"/>
        <w:jc w:val="both"/>
      </w:pPr>
      <w:r>
        <w:rPr>
          <w:spacing w:val="-2"/>
        </w:rPr>
        <w:t>前条规定的合同解除权，自本公司知道有解除事由之日起，超过 </w:t>
      </w:r>
      <w:r>
        <w:rPr/>
        <w:t>30</w:t>
      </w:r>
      <w:r>
        <w:rPr>
          <w:spacing w:val="-8"/>
        </w:rPr>
        <w:t> 日不行使而消灭。自本</w:t>
      </w:r>
      <w:r>
        <w:rPr>
          <w:spacing w:val="-12"/>
        </w:rPr>
        <w:t>合同成立之日起超过二年的，本公司不得解除本合同；发生保险事故的，本公司按本合同约定承</w:t>
      </w:r>
      <w:r>
        <w:rPr>
          <w:spacing w:val="-12"/>
          <w:w w:val="95"/>
        </w:rPr>
        <w:t>担保险责任。</w:t>
      </w:r>
    </w:p>
    <w:p>
      <w:pPr>
        <w:pStyle w:val="Heading3"/>
      </w:pPr>
      <w:r>
        <w:rPr/>
        <w:t>第二十条 年龄、性别误告及错误处理</w:t>
      </w:r>
    </w:p>
    <w:p>
      <w:pPr>
        <w:pStyle w:val="BodyText"/>
        <w:spacing w:before="10"/>
        <w:ind w:left="0"/>
        <w:rPr>
          <w:b/>
          <w:sz w:val="15"/>
        </w:rPr>
      </w:pPr>
    </w:p>
    <w:p>
      <w:pPr>
        <w:pStyle w:val="BodyText"/>
        <w:spacing w:line="285" w:lineRule="auto"/>
        <w:ind w:left="521" w:right="221"/>
      </w:pPr>
      <w:r>
        <w:rPr/>
        <w:t>被保险人的投保年龄、性别，以有效身份证件登记的周岁（释义 16）年龄、性别为准。</w:t>
      </w:r>
      <w:r>
        <w:rPr>
          <w:w w:val="95"/>
        </w:rPr>
        <w:t>投保人在申请投保时，应将与有效身份证件相符的被保险人的出生日期、性别在被保险人名</w:t>
      </w:r>
    </w:p>
    <w:p>
      <w:pPr>
        <w:pStyle w:val="BodyText"/>
        <w:spacing w:before="12"/>
      </w:pPr>
      <w:r>
        <w:rPr>
          <w:w w:val="95"/>
        </w:rPr>
        <w:t>单上填明，如果发生错误按照下列方式办理：</w:t>
      </w:r>
    </w:p>
    <w:p>
      <w:pPr>
        <w:pStyle w:val="BodyText"/>
        <w:spacing w:line="285" w:lineRule="auto" w:before="50"/>
        <w:ind w:right="156" w:firstLine="403"/>
        <w:jc w:val="both"/>
      </w:pPr>
      <w:r>
        <w:rPr>
          <w:rFonts w:ascii="黑体" w:eastAsia="黑体" w:hint="eastAsia"/>
        </w:rPr>
        <w:t>1</w:t>
      </w:r>
      <w:r>
        <w:rPr>
          <w:rFonts w:ascii="黑体" w:eastAsia="黑体" w:hint="eastAsia"/>
          <w:spacing w:val="-13"/>
        </w:rPr>
        <w:t>、投保人申报的被保险人年龄不真实，并且其真实年龄不符合本合同约定投保年龄限制的， </w:t>
      </w:r>
      <w:r>
        <w:rPr>
          <w:rFonts w:ascii="黑体" w:eastAsia="黑体" w:hint="eastAsia"/>
          <w:spacing w:val="-14"/>
        </w:rPr>
        <w:t>本公司有权终止对该被保险人的保险责任，对于保险责任终止前发</w:t>
      </w:r>
      <w:r>
        <w:rPr>
          <w:rFonts w:ascii="黑体" w:eastAsia="黑体" w:hint="eastAsia"/>
        </w:rPr>
        <w:t>Th</w:t>
      </w:r>
      <w:r>
        <w:rPr>
          <w:rFonts w:ascii="黑体" w:eastAsia="黑体" w:hint="eastAsia"/>
          <w:spacing w:val="-3"/>
        </w:rPr>
        <w:t>的保险事故，本公司不承担</w:t>
      </w:r>
      <w:r>
        <w:rPr>
          <w:rFonts w:ascii="黑体" w:eastAsia="黑体" w:hint="eastAsia"/>
          <w:spacing w:val="-6"/>
        </w:rPr>
        <w:t>赔偿或给付保险金的责任，但向投保人退还保险责任终止时本合同项下该被保险人名下的现金价值。</w:t>
      </w:r>
      <w:r>
        <w:rPr>
          <w:spacing w:val="-8"/>
        </w:rPr>
        <w:t>本公司行使合同解除权适用第十九条的规定。本公司不解除合同的按本条第 </w:t>
      </w:r>
      <w:r>
        <w:rPr/>
        <w:t>2、3</w:t>
      </w:r>
      <w:r>
        <w:rPr>
          <w:spacing w:val="-12"/>
        </w:rPr>
        <w:t> 款办理。</w:t>
      </w:r>
    </w:p>
    <w:p>
      <w:pPr>
        <w:pStyle w:val="BodyText"/>
        <w:spacing w:line="285" w:lineRule="auto" w:before="12"/>
        <w:ind w:right="150" w:firstLine="403"/>
        <w:jc w:val="both"/>
      </w:pPr>
      <w:r>
        <w:rPr/>
        <w:t>2．投保人申报的被保险人年龄、性别不真实，致使投保人实付保险费少于应付保险费的， </w:t>
      </w:r>
      <w:r>
        <w:rPr>
          <w:spacing w:val="-2"/>
        </w:rPr>
        <w:t>本公司有权更正并要求投保人补交保险费。如果已经发生保险事故，本公司将按本合同项下该被</w:t>
      </w:r>
      <w:r>
        <w:rPr>
          <w:spacing w:val="-2"/>
          <w:w w:val="95"/>
        </w:rPr>
        <w:t>保险人名下所对应的实付保险费和应付保险费的比例给付保险金。</w:t>
      </w:r>
    </w:p>
    <w:p>
      <w:pPr>
        <w:pStyle w:val="BodyText"/>
        <w:spacing w:line="285" w:lineRule="auto" w:before="12"/>
        <w:ind w:right="150" w:firstLine="403"/>
        <w:jc w:val="both"/>
      </w:pPr>
      <w:r>
        <w:rPr/>
        <w:t>3．投保人申报的被保险人年龄、性别不真实，致使投保人实付保险费多于应付保险费的， </w:t>
      </w:r>
      <w:r>
        <w:rPr>
          <w:spacing w:val="-2"/>
        </w:rPr>
        <w:t>本公司会将多收的保险费退还给投保人，本合同项下该被保险人名下的基本保险金额不因此而改</w:t>
      </w:r>
      <w:r>
        <w:rPr>
          <w:spacing w:val="-2"/>
          <w:w w:val="95"/>
        </w:rPr>
        <w:t>变。</w:t>
      </w:r>
    </w:p>
    <w:p>
      <w:pPr>
        <w:pStyle w:val="Heading3"/>
        <w:ind w:left="478"/>
      </w:pPr>
      <w:r>
        <w:rPr/>
        <w:t>第二十一条 被保险人的变动</w:t>
      </w:r>
    </w:p>
    <w:p>
      <w:pPr>
        <w:pStyle w:val="BodyText"/>
        <w:spacing w:before="10"/>
        <w:ind w:left="0"/>
        <w:rPr>
          <w:b/>
          <w:sz w:val="15"/>
        </w:rPr>
      </w:pPr>
    </w:p>
    <w:p>
      <w:pPr>
        <w:pStyle w:val="BodyText"/>
        <w:spacing w:line="285" w:lineRule="auto"/>
        <w:ind w:right="156" w:firstLine="419"/>
        <w:jc w:val="both"/>
      </w:pPr>
      <w:r>
        <w:rPr>
          <w:spacing w:val="-3"/>
        </w:rPr>
        <w:t>投保人因特定团体的成员变动需要增加被保险人的，应以书面形式通知本公司，经本公司审</w:t>
      </w:r>
      <w:r>
        <w:rPr>
          <w:spacing w:val="-5"/>
          <w:w w:val="95"/>
        </w:rPr>
        <w:t>核同意并在本合同上批注或出具批单，本公司自批注或批单载明的生效日零时起开始按照本合同   第十条的约定承担保险责任；如投保人与本公司另有约定的，则按约定内容执行。</w:t>
      </w:r>
    </w:p>
    <w:p>
      <w:pPr>
        <w:pStyle w:val="BodyText"/>
        <w:spacing w:line="285" w:lineRule="auto" w:before="12"/>
        <w:ind w:right="159" w:firstLine="419"/>
        <w:jc w:val="both"/>
      </w:pPr>
      <w:r>
        <w:rPr>
          <w:spacing w:val="-4"/>
          <w:w w:val="95"/>
        </w:rPr>
        <w:t>投保人需要减少被保险人的，应以书面形式通知本公司，经本公司审核同意并在本合同上批   注或出具批单，本公司自批注或批单载明的日期零时起终止对该被保险人的保险责任。</w:t>
      </w:r>
    </w:p>
    <w:p>
      <w:pPr>
        <w:spacing w:after="0" w:line="285" w:lineRule="auto"/>
        <w:jc w:val="both"/>
        <w:sectPr>
          <w:pgSz w:w="11910" w:h="16840"/>
          <w:pgMar w:header="0" w:footer="919" w:top="1380" w:bottom="1180" w:left="1680" w:right="1580"/>
        </w:sectPr>
      </w:pPr>
    </w:p>
    <w:p>
      <w:pPr>
        <w:pStyle w:val="BodyText"/>
        <w:spacing w:line="285" w:lineRule="auto" w:before="13"/>
        <w:ind w:right="160" w:firstLine="419"/>
      </w:pPr>
      <w:r>
        <w:rPr>
          <w:spacing w:val="-3"/>
          <w:w w:val="95"/>
        </w:rPr>
        <w:t>如果减少的被保险人未发生保险事故，本公司向投保人退还保险责任终止时本合同项下该被   保险人对应的现金价值。</w:t>
      </w:r>
    </w:p>
    <w:p>
      <w:pPr>
        <w:pStyle w:val="BodyText"/>
        <w:spacing w:line="285" w:lineRule="auto" w:before="11"/>
        <w:ind w:right="157" w:firstLine="419"/>
      </w:pPr>
      <w:r>
        <w:rPr/>
        <w:t>如果被保险人已经因轻症疾病豁免保费 ，则投保人不可以向本公司申请对该被保险人进行</w:t>
      </w:r>
      <w:r>
        <w:rPr>
          <w:w w:val="95"/>
        </w:rPr>
        <w:t>减人操作。</w:t>
      </w:r>
    </w:p>
    <w:p>
      <w:pPr>
        <w:spacing w:line="429" w:lineRule="auto" w:before="131"/>
        <w:ind w:left="478" w:right="3569" w:firstLine="0"/>
        <w:jc w:val="left"/>
        <w:rPr>
          <w:b/>
          <w:sz w:val="20"/>
        </w:rPr>
      </w:pPr>
      <w:r>
        <w:rPr>
          <w:sz w:val="20"/>
        </w:rPr>
        <w:t>如投保人与本公司另有约定的，则按约定内容执行。</w:t>
      </w:r>
      <w:r>
        <w:rPr>
          <w:b/>
          <w:sz w:val="20"/>
        </w:rPr>
        <w:t>第二十二条 减额缴清</w:t>
      </w:r>
    </w:p>
    <w:p>
      <w:pPr>
        <w:pStyle w:val="BodyText"/>
        <w:spacing w:line="285" w:lineRule="auto" w:before="47"/>
        <w:ind w:right="155" w:firstLine="419"/>
        <w:jc w:val="both"/>
      </w:pPr>
      <w:r>
        <w:rPr>
          <w:spacing w:val="-4"/>
        </w:rPr>
        <w:t>除本合同另有约定外，在本合同犹豫期后且宽限期届满前，如果本合同项下全部或部分被保</w:t>
      </w:r>
      <w:r>
        <w:rPr>
          <w:spacing w:val="-6"/>
          <w:w w:val="95"/>
        </w:rPr>
        <w:t>险人名下累积有现金价值，投保人可向本公司申请对全部或部分被保险人进行减额缴清。减额缴   </w:t>
      </w:r>
      <w:r>
        <w:rPr>
          <w:spacing w:val="-9"/>
          <w:w w:val="95"/>
        </w:rPr>
        <w:t>清保险的基本保险金额，是用本合同项下该被保险人对应的现金价值扣除其对应的尚未偿还的各   </w:t>
      </w:r>
      <w:r>
        <w:rPr>
          <w:spacing w:val="-10"/>
        </w:rPr>
        <w:t>项欠款之后的余额作为其趸交保险费所能购买的基本保险金额，但该基本保险金额不得低于本公</w:t>
      </w:r>
      <w:r>
        <w:rPr>
          <w:spacing w:val="-12"/>
          <w:w w:val="95"/>
        </w:rPr>
        <w:t>司当时规定的减额缴清后最低承保金额。减额缴清后，本合同项下该被保险人的基本保险金额会   </w:t>
      </w:r>
      <w:r>
        <w:rPr>
          <w:spacing w:val="-9"/>
        </w:rPr>
        <w:t>相应减少。投保人不需要按减额缴清前约定的数额为该被保险人支付保险费，本公司按减额缴清</w:t>
      </w:r>
      <w:r>
        <w:rPr>
          <w:spacing w:val="-9"/>
          <w:w w:val="95"/>
        </w:rPr>
        <w:t>后约定的基本保险金额，继续承担对该被保险人的保险责任。如投保人与本公司另有约定的，则   按约定内容执行。</w:t>
      </w:r>
    </w:p>
    <w:p>
      <w:pPr>
        <w:pStyle w:val="Heading3"/>
        <w:spacing w:before="131"/>
        <w:ind w:left="478"/>
      </w:pPr>
      <w:r>
        <w:rPr/>
        <w:t>第二十三条 未还款项</w:t>
      </w:r>
    </w:p>
    <w:p>
      <w:pPr>
        <w:pStyle w:val="BodyText"/>
        <w:spacing w:before="9"/>
        <w:ind w:left="0"/>
        <w:rPr>
          <w:b/>
          <w:sz w:val="15"/>
        </w:rPr>
      </w:pPr>
    </w:p>
    <w:p>
      <w:pPr>
        <w:pStyle w:val="BodyText"/>
        <w:spacing w:line="285" w:lineRule="auto"/>
        <w:ind w:right="161" w:firstLine="419"/>
      </w:pPr>
      <w:r>
        <w:rPr>
          <w:spacing w:val="-3"/>
          <w:w w:val="95"/>
        </w:rPr>
        <w:t>本公司在给付各项保险金、退还现金价值或者返还保险费时，如果投保人有欠交的保险费或   者其他各项欠款，本公司在扣除上述各项欠款及应付利息后给付。</w:t>
      </w:r>
    </w:p>
    <w:p>
      <w:pPr>
        <w:pStyle w:val="Heading3"/>
        <w:spacing w:before="12"/>
        <w:ind w:left="540"/>
      </w:pPr>
      <w:r>
        <w:rPr/>
        <w:t>第二十四条 转账规定</w:t>
      </w:r>
    </w:p>
    <w:p>
      <w:pPr>
        <w:pStyle w:val="BodyText"/>
        <w:spacing w:line="285" w:lineRule="auto" w:before="170"/>
        <w:ind w:right="179" w:firstLine="391"/>
      </w:pPr>
      <w:r>
        <w:rPr>
          <w:spacing w:val="-2"/>
          <w:w w:val="95"/>
        </w:rPr>
        <w:t>本合同涉及到本公司向投保人退还保险费或现金价值时，本公司将按照中国保险监督管理机   构的相关规定，将相应金额退至投保人的账户。</w:t>
      </w:r>
    </w:p>
    <w:p>
      <w:pPr>
        <w:pStyle w:val="Heading3"/>
        <w:spacing w:before="168"/>
        <w:ind w:left="514"/>
      </w:pPr>
      <w:r>
        <w:rPr/>
        <w:t>第二十五条 合同内容的变更</w:t>
      </w:r>
    </w:p>
    <w:p>
      <w:pPr>
        <w:pStyle w:val="BodyText"/>
        <w:spacing w:before="9"/>
        <w:ind w:left="0"/>
        <w:rPr>
          <w:b/>
          <w:sz w:val="15"/>
        </w:rPr>
      </w:pPr>
    </w:p>
    <w:p>
      <w:pPr>
        <w:pStyle w:val="BodyText"/>
        <w:spacing w:line="285" w:lineRule="auto"/>
        <w:ind w:right="156" w:firstLine="419"/>
        <w:jc w:val="both"/>
      </w:pPr>
      <w:r>
        <w:rPr>
          <w:spacing w:val="-4"/>
          <w:w w:val="95"/>
        </w:rPr>
        <w:t>除本合同另有约定外，经投保人和本公司协商一致后，可变更本合同的有关内容。变更本合   </w:t>
      </w:r>
      <w:r>
        <w:rPr>
          <w:spacing w:val="-6"/>
          <w:w w:val="95"/>
        </w:rPr>
        <w:t>同时，投保人应填写变更合同申请书，经本公司审核同意并在本合同上批注或出具批单，或由投   保人和本公司订立书面变更协议后生效。</w:t>
      </w:r>
    </w:p>
    <w:p>
      <w:pPr>
        <w:pStyle w:val="Heading3"/>
        <w:spacing w:before="131"/>
        <w:ind w:left="511"/>
      </w:pPr>
      <w:r>
        <w:rPr/>
        <w:t>第二十六条 通讯地址的变更</w:t>
      </w:r>
    </w:p>
    <w:p>
      <w:pPr>
        <w:pStyle w:val="BodyText"/>
        <w:spacing w:before="9"/>
        <w:ind w:left="0"/>
        <w:rPr>
          <w:b/>
          <w:sz w:val="15"/>
        </w:rPr>
      </w:pPr>
    </w:p>
    <w:p>
      <w:pPr>
        <w:pStyle w:val="BodyText"/>
        <w:spacing w:line="285" w:lineRule="auto"/>
        <w:ind w:right="117" w:firstLine="400"/>
      </w:pPr>
      <w:r>
        <w:rPr>
          <w:spacing w:val="-6"/>
        </w:rPr>
        <w:t>投保人的通讯地址变更时，应及时以书面形式通知本公司。投保人未通知的，本公司将按本合同注明的最后通讯地址发送有关通知，均视为已经送达。如果因投保人未能及时通知本公司， </w:t>
      </w:r>
      <w:r>
        <w:rPr>
          <w:spacing w:val="-6"/>
          <w:w w:val="95"/>
        </w:rPr>
        <w:t>而使本公司无法提供相应的服务，本公司将不承担责任。</w:t>
      </w:r>
    </w:p>
    <w:p>
      <w:pPr>
        <w:pStyle w:val="Heading3"/>
        <w:ind w:left="514"/>
      </w:pPr>
      <w:r>
        <w:rPr/>
        <w:t>第二十七条 资料提供</w:t>
      </w:r>
    </w:p>
    <w:p>
      <w:pPr>
        <w:pStyle w:val="BodyText"/>
        <w:spacing w:before="10"/>
        <w:ind w:left="0"/>
        <w:rPr>
          <w:b/>
          <w:sz w:val="15"/>
        </w:rPr>
      </w:pPr>
    </w:p>
    <w:p>
      <w:pPr>
        <w:pStyle w:val="BodyText"/>
        <w:spacing w:line="285" w:lineRule="auto"/>
        <w:ind w:right="159" w:firstLine="400"/>
      </w:pPr>
      <w:r>
        <w:rPr>
          <w:spacing w:val="-5"/>
        </w:rPr>
        <w:t>投保人应保存每一被保险人的个人资料，详细记录其姓名、性别、年龄、出生日期、职业工</w:t>
      </w:r>
      <w:r>
        <w:rPr>
          <w:spacing w:val="-5"/>
          <w:w w:val="95"/>
        </w:rPr>
        <w:t>种、交费金额以及其它与本合同有关的一切资料。投保人应按本公司的要求提供上述资料。</w:t>
      </w:r>
    </w:p>
    <w:p>
      <w:pPr>
        <w:pStyle w:val="Heading3"/>
        <w:spacing w:before="131"/>
        <w:ind w:left="576"/>
      </w:pPr>
      <w:r>
        <w:rPr/>
        <w:t>第二十八条 身体检查和司法鉴定</w:t>
      </w:r>
    </w:p>
    <w:p>
      <w:pPr>
        <w:pStyle w:val="BodyText"/>
        <w:spacing w:before="9"/>
        <w:ind w:left="0"/>
        <w:rPr>
          <w:b/>
          <w:sz w:val="15"/>
        </w:rPr>
      </w:pPr>
    </w:p>
    <w:p>
      <w:pPr>
        <w:pStyle w:val="BodyText"/>
        <w:spacing w:line="285" w:lineRule="auto"/>
        <w:ind w:right="116" w:firstLine="400"/>
      </w:pPr>
      <w:r>
        <w:rPr/>
        <w:t>申请保险金时，本公司有权要求被保险人在本公司指定的机构做身体检查及鉴定。申请身故</w:t>
      </w:r>
      <w:r>
        <w:rPr>
          <w:w w:val="95"/>
        </w:rPr>
        <w:t>保险金时，本公司有权通过司法鉴定机构对保险事故进行鉴定。</w:t>
      </w:r>
    </w:p>
    <w:p>
      <w:pPr>
        <w:pStyle w:val="Heading3"/>
        <w:ind w:left="576"/>
      </w:pPr>
      <w:r>
        <w:rPr/>
        <w:t>第二十九条 争议的处理</w:t>
      </w:r>
    </w:p>
    <w:p>
      <w:pPr>
        <w:pStyle w:val="BodyText"/>
        <w:spacing w:before="10"/>
        <w:ind w:left="0"/>
        <w:rPr>
          <w:b/>
          <w:sz w:val="15"/>
        </w:rPr>
      </w:pPr>
    </w:p>
    <w:p>
      <w:pPr>
        <w:pStyle w:val="BodyText"/>
        <w:spacing w:line="285" w:lineRule="auto"/>
        <w:ind w:right="157" w:firstLine="400"/>
      </w:pPr>
      <w:r>
        <w:rPr>
          <w:spacing w:val="-3"/>
          <w:w w:val="95"/>
        </w:rPr>
        <w:t>在本合同履行过程中发生任何争议，双方应首先通过协商解决。若双方协商无效的，可依法   向人民法院提出诉讼。</w:t>
      </w:r>
    </w:p>
    <w:p>
      <w:pPr>
        <w:spacing w:after="0" w:line="285" w:lineRule="auto"/>
        <w:sectPr>
          <w:pgSz w:w="11910" w:h="16840"/>
          <w:pgMar w:header="0" w:footer="919" w:top="1400" w:bottom="1180" w:left="1680" w:right="1580"/>
        </w:sectPr>
      </w:pPr>
    </w:p>
    <w:p>
      <w:pPr>
        <w:pStyle w:val="Heading3"/>
        <w:spacing w:before="13"/>
        <w:ind w:left="576"/>
      </w:pPr>
      <w:r>
        <w:rPr/>
        <w:t>第三十条 合同效力的终止</w:t>
      </w:r>
    </w:p>
    <w:p>
      <w:pPr>
        <w:pStyle w:val="BodyText"/>
        <w:spacing w:before="9"/>
        <w:ind w:left="0"/>
        <w:rPr>
          <w:b/>
          <w:sz w:val="15"/>
        </w:rPr>
      </w:pPr>
    </w:p>
    <w:p>
      <w:pPr>
        <w:pStyle w:val="BodyText"/>
        <w:ind w:left="581"/>
      </w:pPr>
      <w:r>
        <w:rPr>
          <w:w w:val="95"/>
        </w:rPr>
        <w:t>发生下列任何一种情形时，本合同终止：</w:t>
      </w:r>
    </w:p>
    <w:p>
      <w:pPr>
        <w:pStyle w:val="BodyText"/>
        <w:spacing w:line="285" w:lineRule="auto" w:before="49"/>
        <w:ind w:left="540" w:right="630" w:firstLine="40"/>
      </w:pPr>
      <w:r>
        <w:rPr/>
        <w:t>一、投保人解除合同。投保人在犹豫期后申请解除本合同，投保人应提供下列资料： </w:t>
      </w:r>
      <w:r>
        <w:rPr>
          <w:w w:val="95"/>
        </w:rPr>
        <w:t>1．保险合同；</w:t>
      </w:r>
    </w:p>
    <w:p>
      <w:pPr>
        <w:pStyle w:val="BodyText"/>
        <w:spacing w:before="11"/>
        <w:ind w:left="540"/>
      </w:pPr>
      <w:r>
        <w:rPr>
          <w:w w:val="95"/>
        </w:rPr>
        <w:t>2．解除合同申请书。</w:t>
      </w:r>
    </w:p>
    <w:p>
      <w:pPr>
        <w:pStyle w:val="BodyText"/>
        <w:spacing w:line="285" w:lineRule="auto" w:before="49"/>
        <w:ind w:right="135" w:firstLine="419"/>
      </w:pPr>
      <w:r>
        <w:rPr/>
        <w:t>自本公司收到解除合同申请书时起，本合同终止。本公司自收到解除合同申请书之日起 30 </w:t>
      </w:r>
      <w:r>
        <w:rPr>
          <w:w w:val="95"/>
        </w:rPr>
        <w:t>日内向投保人退还本合同项下各被保险人名下的合同终止时的现金价值</w:t>
      </w:r>
    </w:p>
    <w:p>
      <w:pPr>
        <w:pStyle w:val="Heading3"/>
        <w:spacing w:before="11"/>
        <w:ind w:left="540"/>
      </w:pPr>
      <w:r>
        <w:rPr>
          <w:w w:val="95"/>
        </w:rPr>
        <w:t>投保人在犹豫期后解除合同可能会遭受一定的损失。</w:t>
      </w:r>
    </w:p>
    <w:p>
      <w:pPr>
        <w:pStyle w:val="BodyText"/>
        <w:spacing w:before="49"/>
        <w:ind w:left="480"/>
      </w:pPr>
      <w:r>
        <w:rPr>
          <w:w w:val="95"/>
        </w:rPr>
        <w:t>二、因本合同其它条款或其附加合同条款所列情况而终止。</w:t>
      </w:r>
    </w:p>
    <w:p>
      <w:pPr>
        <w:pStyle w:val="BodyText"/>
        <w:spacing w:before="49"/>
        <w:ind w:left="480"/>
      </w:pPr>
      <w:r>
        <w:rPr>
          <w:w w:val="95"/>
        </w:rPr>
        <w:t>三、自本合同效力中止之日起超过二年未书面申请恢复合同效力。</w:t>
      </w:r>
    </w:p>
    <w:p>
      <w:pPr>
        <w:pStyle w:val="BodyText"/>
        <w:ind w:left="0"/>
      </w:pPr>
    </w:p>
    <w:p>
      <w:pPr>
        <w:pStyle w:val="BodyText"/>
        <w:ind w:left="0"/>
      </w:pPr>
    </w:p>
    <w:p>
      <w:pPr>
        <w:pStyle w:val="Heading1"/>
        <w:spacing w:before="166"/>
        <w:ind w:right="2246"/>
      </w:pPr>
      <w:r>
        <w:rPr/>
        <w:t>第四部分 名词释义</w:t>
      </w:r>
    </w:p>
    <w:p>
      <w:pPr>
        <w:pStyle w:val="BodyText"/>
        <w:spacing w:before="8"/>
        <w:ind w:left="0"/>
        <w:rPr>
          <w:b/>
        </w:rPr>
      </w:pPr>
    </w:p>
    <w:p>
      <w:pPr>
        <w:pStyle w:val="Heading3"/>
        <w:spacing w:before="0"/>
        <w:ind w:left="478"/>
      </w:pPr>
      <w:r>
        <w:rPr/>
        <w:t>第三十一条 释义</w:t>
      </w:r>
    </w:p>
    <w:p>
      <w:pPr>
        <w:pStyle w:val="BodyText"/>
        <w:spacing w:before="11"/>
        <w:ind w:left="0"/>
        <w:rPr>
          <w:b/>
          <w:sz w:val="13"/>
        </w:rPr>
      </w:pPr>
    </w:p>
    <w:p>
      <w:pPr>
        <w:pStyle w:val="ListParagraph"/>
        <w:numPr>
          <w:ilvl w:val="0"/>
          <w:numId w:val="5"/>
        </w:numPr>
        <w:tabs>
          <w:tab w:pos="841" w:val="left" w:leader="none"/>
        </w:tabs>
        <w:spacing w:line="260" w:lineRule="exact" w:before="1" w:after="0"/>
        <w:ind w:left="840" w:right="0" w:hanging="360"/>
        <w:jc w:val="left"/>
        <w:rPr>
          <w:sz w:val="20"/>
        </w:rPr>
      </w:pPr>
      <w:r>
        <w:rPr>
          <w:w w:val="95"/>
          <w:sz w:val="20"/>
        </w:rPr>
        <w:t>特定团体：指中国境内法人、非法人组织以及其他不以购买保险为目的而组成的团体。</w:t>
      </w:r>
    </w:p>
    <w:p>
      <w:pPr>
        <w:pStyle w:val="ListParagraph"/>
        <w:numPr>
          <w:ilvl w:val="0"/>
          <w:numId w:val="5"/>
        </w:numPr>
        <w:tabs>
          <w:tab w:pos="841" w:val="left" w:leader="none"/>
        </w:tabs>
        <w:spacing w:line="237" w:lineRule="auto" w:before="1" w:after="0"/>
        <w:ind w:left="840" w:right="117" w:hanging="360"/>
        <w:jc w:val="both"/>
        <w:rPr>
          <w:sz w:val="20"/>
        </w:rPr>
      </w:pPr>
      <w:r>
        <w:rPr>
          <w:sz w:val="20"/>
        </w:rPr>
        <w:t>保单年度：从保险合同生效日或者年生效对应日零时起至下一年度保险合同年生效对应</w:t>
      </w:r>
      <w:r>
        <w:rPr>
          <w:w w:val="95"/>
          <w:sz w:val="20"/>
        </w:rPr>
        <w:t>日零时止为一个保单年度。如果当月无对应的同一日，则以该月最后一日为对应日。</w:t>
      </w:r>
    </w:p>
    <w:p>
      <w:pPr>
        <w:pStyle w:val="ListParagraph"/>
        <w:numPr>
          <w:ilvl w:val="0"/>
          <w:numId w:val="5"/>
        </w:numPr>
        <w:tabs>
          <w:tab w:pos="841" w:val="left" w:leader="none"/>
        </w:tabs>
        <w:spacing w:line="237" w:lineRule="auto" w:before="0" w:after="0"/>
        <w:ind w:left="840" w:right="116" w:hanging="360"/>
        <w:jc w:val="both"/>
        <w:rPr>
          <w:sz w:val="20"/>
        </w:rPr>
      </w:pPr>
      <w:r>
        <w:rPr>
          <w:sz w:val="20"/>
        </w:rPr>
        <w:t>保险费约定交纳日：保险合同生效日在每月、每季、每半年或者每年（根据交费方式确</w:t>
      </w:r>
      <w:r>
        <w:rPr>
          <w:w w:val="95"/>
          <w:sz w:val="20"/>
        </w:rPr>
        <w:t>定）的对应日。如果当月无对应的同一日，则以该月最后一日为对应日。</w:t>
      </w:r>
    </w:p>
    <w:p>
      <w:pPr>
        <w:pStyle w:val="ListParagraph"/>
        <w:numPr>
          <w:ilvl w:val="0"/>
          <w:numId w:val="5"/>
        </w:numPr>
        <w:tabs>
          <w:tab w:pos="841" w:val="left" w:leader="none"/>
        </w:tabs>
        <w:spacing w:line="237" w:lineRule="auto" w:before="0" w:after="0"/>
        <w:ind w:left="840" w:right="110" w:hanging="360"/>
        <w:jc w:val="both"/>
        <w:rPr>
          <w:sz w:val="20"/>
        </w:rPr>
      </w:pPr>
      <w:r>
        <w:rPr>
          <w:sz w:val="20"/>
        </w:rPr>
        <w:t>保单周年日：指本合同生效日在以后每年的对应日，如果当年无对应的同一日，则以合</w:t>
      </w:r>
      <w:r>
        <w:rPr>
          <w:w w:val="95"/>
          <w:sz w:val="20"/>
        </w:rPr>
        <w:t>同生效日所在月份最后一日为对应日。</w:t>
      </w:r>
    </w:p>
    <w:p>
      <w:pPr>
        <w:pStyle w:val="ListParagraph"/>
        <w:numPr>
          <w:ilvl w:val="0"/>
          <w:numId w:val="5"/>
        </w:numPr>
        <w:tabs>
          <w:tab w:pos="841" w:val="left" w:leader="none"/>
        </w:tabs>
        <w:spacing w:line="237" w:lineRule="auto" w:before="0" w:after="0"/>
        <w:ind w:left="840" w:right="117" w:hanging="360"/>
        <w:jc w:val="both"/>
        <w:rPr>
          <w:rFonts w:ascii="黑体" w:eastAsia="黑体" w:hint="eastAsia"/>
          <w:sz w:val="20"/>
        </w:rPr>
      </w:pPr>
      <w:r>
        <w:rPr>
          <w:sz w:val="20"/>
        </w:rPr>
        <w:t>意外伤害事故：指外来的、突然的、非本意的、非疾病的使被保险人身体受到伤害的客</w:t>
      </w:r>
      <w:r>
        <w:rPr>
          <w:w w:val="95"/>
          <w:sz w:val="20"/>
        </w:rPr>
        <w:t>观事件，并以此客观事件为直接且单独原因导致被保险人身体蒙受伤害或者身故</w:t>
      </w:r>
      <w:r>
        <w:rPr>
          <w:rFonts w:ascii="黑体" w:eastAsia="黑体" w:hint="eastAsia"/>
          <w:w w:val="95"/>
          <w:sz w:val="20"/>
        </w:rPr>
        <w:t>。</w:t>
      </w:r>
    </w:p>
    <w:p>
      <w:pPr>
        <w:pStyle w:val="ListParagraph"/>
        <w:numPr>
          <w:ilvl w:val="0"/>
          <w:numId w:val="5"/>
        </w:numPr>
        <w:tabs>
          <w:tab w:pos="841" w:val="left" w:leader="none"/>
        </w:tabs>
        <w:spacing w:line="258" w:lineRule="exact" w:before="0" w:after="0"/>
        <w:ind w:left="840" w:right="0" w:hanging="360"/>
        <w:jc w:val="left"/>
        <w:rPr>
          <w:sz w:val="20"/>
        </w:rPr>
      </w:pPr>
      <w:r>
        <w:rPr>
          <w:w w:val="95"/>
          <w:sz w:val="20"/>
        </w:rPr>
        <w:t>专科医生：</w:t>
      </w:r>
    </w:p>
    <w:p>
      <w:pPr>
        <w:pStyle w:val="BodyText"/>
        <w:spacing w:line="259" w:lineRule="exact"/>
        <w:ind w:left="840"/>
      </w:pPr>
      <w:r>
        <w:rPr>
          <w:w w:val="95"/>
        </w:rPr>
        <w:t>专科医生应当同时满足以下四项资格条件：</w:t>
      </w:r>
    </w:p>
    <w:p>
      <w:pPr>
        <w:pStyle w:val="BodyText"/>
        <w:spacing w:line="260" w:lineRule="exact"/>
        <w:ind w:left="840"/>
      </w:pPr>
      <w:r>
        <w:rPr>
          <w:w w:val="95"/>
        </w:rPr>
        <w:t>（1）具有有效的中华人民共和国《医师资格证书》；</w:t>
      </w:r>
    </w:p>
    <w:p>
      <w:pPr>
        <w:pStyle w:val="BodyText"/>
        <w:spacing w:line="260" w:lineRule="exact"/>
        <w:ind w:left="840"/>
      </w:pPr>
      <w:r>
        <w:rPr>
          <w:w w:val="95"/>
        </w:rPr>
        <w:t>（2）具有有效的中华人民共和国《医师执业证书》，并按期到相关部门登记注册；</w:t>
      </w:r>
    </w:p>
    <w:p>
      <w:pPr>
        <w:pStyle w:val="BodyText"/>
        <w:spacing w:line="259" w:lineRule="exact"/>
        <w:ind w:left="840"/>
      </w:pPr>
      <w:r>
        <w:rPr>
          <w:w w:val="95"/>
        </w:rPr>
        <w:t>（3）具有有效的中华人民共和国主治医师或主治医师以上职称的《医师职称证书》；</w:t>
      </w:r>
    </w:p>
    <w:p>
      <w:pPr>
        <w:pStyle w:val="BodyText"/>
        <w:spacing w:line="259" w:lineRule="exact"/>
        <w:ind w:left="840"/>
      </w:pPr>
      <w:r>
        <w:rPr>
          <w:w w:val="95"/>
        </w:rPr>
        <w:t>（4）在二级或二级以上医院的相应科室从事临床工作三年以上。</w:t>
      </w:r>
    </w:p>
    <w:p>
      <w:pPr>
        <w:pStyle w:val="ListParagraph"/>
        <w:numPr>
          <w:ilvl w:val="0"/>
          <w:numId w:val="5"/>
        </w:numPr>
        <w:tabs>
          <w:tab w:pos="841" w:val="left" w:leader="none"/>
        </w:tabs>
        <w:spacing w:line="259" w:lineRule="exact" w:before="0" w:after="0"/>
        <w:ind w:left="840" w:right="0" w:hanging="360"/>
        <w:jc w:val="left"/>
        <w:rPr>
          <w:sz w:val="20"/>
        </w:rPr>
      </w:pPr>
      <w:r>
        <w:rPr>
          <w:w w:val="95"/>
          <w:sz w:val="20"/>
        </w:rPr>
        <w:t>初次确诊：指自被保险人出生之日起第一次经医院确诊患有某种疾病。</w:t>
      </w:r>
    </w:p>
    <w:p>
      <w:pPr>
        <w:pStyle w:val="ListParagraph"/>
        <w:numPr>
          <w:ilvl w:val="0"/>
          <w:numId w:val="5"/>
        </w:numPr>
        <w:tabs>
          <w:tab w:pos="841" w:val="left" w:leader="none"/>
        </w:tabs>
        <w:spacing w:line="237" w:lineRule="auto" w:before="1" w:after="0"/>
        <w:ind w:left="840" w:right="110" w:hanging="360"/>
        <w:jc w:val="both"/>
        <w:rPr>
          <w:sz w:val="20"/>
        </w:rPr>
      </w:pPr>
      <w:r>
        <w:rPr>
          <w:sz w:val="20"/>
        </w:rPr>
        <w:t>毒品：指《中华人民共和国刑法》规定的鸦片、海洛因、甲基苯丙胺（冰毒</w:t>
      </w:r>
      <w:r>
        <w:rPr>
          <w:spacing w:val="2"/>
          <w:sz w:val="20"/>
        </w:rPr>
        <w:t>）</w:t>
      </w:r>
      <w:r>
        <w:rPr>
          <w:sz w:val="20"/>
        </w:rPr>
        <w:t>、吗啡、大麻、可卡因以及国家规定管制的其它能够使人形成瘾癖的麻醉药品和精神药品，但不</w:t>
      </w:r>
      <w:r>
        <w:rPr>
          <w:w w:val="95"/>
          <w:sz w:val="20"/>
        </w:rPr>
        <w:t>包括由医生开具并遵医嘱使用的用于治疗疾病但含有毒品成分的处方药品。</w:t>
      </w:r>
    </w:p>
    <w:p>
      <w:pPr>
        <w:pStyle w:val="ListParagraph"/>
        <w:numPr>
          <w:ilvl w:val="0"/>
          <w:numId w:val="5"/>
        </w:numPr>
        <w:tabs>
          <w:tab w:pos="841" w:val="left" w:leader="none"/>
        </w:tabs>
        <w:spacing w:line="237" w:lineRule="auto" w:before="0" w:after="0"/>
        <w:ind w:left="840" w:right="110" w:hanging="360"/>
        <w:jc w:val="both"/>
        <w:rPr>
          <w:sz w:val="20"/>
        </w:rPr>
      </w:pPr>
      <w:r>
        <w:rPr>
          <w:sz w:val="20"/>
        </w:rPr>
        <w:t>酒后驾驶：指经检测或鉴定，发生事故时车辆驾驶人员每百毫升血液中的酒精含量达到或超过一定的标准，公安机关交通管理部门依据《中华人民共和国道路交通安全法》的</w:t>
      </w:r>
      <w:r>
        <w:rPr>
          <w:w w:val="95"/>
          <w:sz w:val="20"/>
        </w:rPr>
        <w:t>规定认定为饮酒后驾驶或醉酒后驾驶。</w:t>
      </w:r>
    </w:p>
    <w:p>
      <w:pPr>
        <w:pStyle w:val="ListParagraph"/>
        <w:numPr>
          <w:ilvl w:val="0"/>
          <w:numId w:val="5"/>
        </w:numPr>
        <w:tabs>
          <w:tab w:pos="841" w:val="left" w:leader="none"/>
        </w:tabs>
        <w:spacing w:line="237" w:lineRule="auto" w:before="0" w:after="0"/>
        <w:ind w:left="840" w:right="110" w:hanging="360"/>
        <w:jc w:val="both"/>
        <w:rPr>
          <w:sz w:val="20"/>
        </w:rPr>
      </w:pPr>
      <w:r>
        <w:rPr>
          <w:sz w:val="20"/>
        </w:rPr>
        <w:t>无合法有效驾驶证驾驶：指下列情形之一（1）没有取得驾驶资格；</w:t>
      </w:r>
      <w:r>
        <w:rPr>
          <w:spacing w:val="1"/>
          <w:sz w:val="20"/>
        </w:rPr>
        <w:t>（2）</w:t>
      </w:r>
      <w:r>
        <w:rPr>
          <w:sz w:val="20"/>
        </w:rPr>
        <w:t>驾驶与驾驶证准驾车型不相符合的车辆；（3）持审验不合格的驾驶证驾驶；（4）持学习驾驶证学习</w:t>
      </w:r>
      <w:r>
        <w:rPr>
          <w:w w:val="95"/>
          <w:sz w:val="20"/>
        </w:rPr>
        <w:t>驾车时，无教练员随车指导，或不按指定时间、路线学习驾车。</w:t>
      </w:r>
    </w:p>
    <w:p>
      <w:pPr>
        <w:pStyle w:val="ListParagraph"/>
        <w:numPr>
          <w:ilvl w:val="0"/>
          <w:numId w:val="5"/>
        </w:numPr>
        <w:tabs>
          <w:tab w:pos="841" w:val="left" w:leader="none"/>
        </w:tabs>
        <w:spacing w:line="240" w:lineRule="auto" w:before="0" w:after="0"/>
        <w:ind w:left="840" w:right="111" w:hanging="360"/>
        <w:jc w:val="both"/>
        <w:rPr>
          <w:sz w:val="20"/>
        </w:rPr>
      </w:pPr>
      <w:r>
        <w:rPr>
          <w:sz w:val="20"/>
        </w:rPr>
        <w:t>无有效行驶证：指下列情形之一（1）机动车被依法注销登记的；（2）未依法按时进行</w:t>
      </w:r>
      <w:r>
        <w:rPr>
          <w:w w:val="95"/>
          <w:sz w:val="20"/>
        </w:rPr>
        <w:t>或通过机动车安全技术检验。</w:t>
      </w:r>
    </w:p>
    <w:p>
      <w:pPr>
        <w:pStyle w:val="ListParagraph"/>
        <w:numPr>
          <w:ilvl w:val="0"/>
          <w:numId w:val="5"/>
        </w:numPr>
        <w:tabs>
          <w:tab w:pos="841" w:val="left" w:leader="none"/>
        </w:tabs>
        <w:spacing w:line="237" w:lineRule="auto" w:before="3" w:after="0"/>
        <w:ind w:left="840" w:right="110" w:hanging="360"/>
        <w:jc w:val="both"/>
        <w:rPr>
          <w:sz w:val="20"/>
        </w:rPr>
      </w:pPr>
      <w:r>
        <w:rPr>
          <w:spacing w:val="-6"/>
          <w:sz w:val="20"/>
        </w:rPr>
        <w:t>感染艾滋病病毒或患艾滋病：艾滋病病毒指人类免疫缺陷病毒，英文缩写为 </w:t>
      </w:r>
      <w:r>
        <w:rPr>
          <w:sz w:val="20"/>
        </w:rPr>
        <w:t>HIV</w:t>
      </w:r>
      <w:r>
        <w:rPr>
          <w:spacing w:val="-6"/>
          <w:sz w:val="20"/>
        </w:rPr>
        <w:t>。艾滋病</w:t>
      </w:r>
      <w:r>
        <w:rPr>
          <w:spacing w:val="-7"/>
          <w:sz w:val="20"/>
        </w:rPr>
        <w:t>指人类免疫缺陷病毒引起的获得性免疫缺陷综合征，英文缩写为 </w:t>
      </w:r>
      <w:r>
        <w:rPr>
          <w:sz w:val="20"/>
        </w:rPr>
        <w:t>AIDS。在人体血液或其它样本中检测到艾滋病病毒或其抗体呈阳性，没有出现临床症状或体征的，为感染艾滋</w:t>
      </w:r>
      <w:r>
        <w:rPr>
          <w:w w:val="95"/>
          <w:sz w:val="20"/>
        </w:rPr>
        <w:t>病病毒；如果同时出现了明显临床症状或体征的，为患艾滋病。</w:t>
      </w:r>
    </w:p>
    <w:p>
      <w:pPr>
        <w:pStyle w:val="ListParagraph"/>
        <w:numPr>
          <w:ilvl w:val="0"/>
          <w:numId w:val="5"/>
        </w:numPr>
        <w:tabs>
          <w:tab w:pos="841" w:val="left" w:leader="none"/>
        </w:tabs>
        <w:spacing w:line="237" w:lineRule="auto" w:before="0" w:after="0"/>
        <w:ind w:left="840" w:right="110" w:hanging="360"/>
        <w:jc w:val="both"/>
        <w:rPr>
          <w:sz w:val="20"/>
        </w:rPr>
      </w:pPr>
      <w:r>
        <w:rPr>
          <w:sz w:val="20"/>
        </w:rPr>
        <w:t>遗传性疾病：指生殖细胞或受精卵的遗传物质</w:t>
      </w:r>
      <w:r>
        <w:rPr>
          <w:spacing w:val="2"/>
          <w:sz w:val="20"/>
        </w:rPr>
        <w:t>（</w:t>
      </w:r>
      <w:r>
        <w:rPr>
          <w:sz w:val="20"/>
        </w:rPr>
        <w:t>染色体和基因）发生突变或畸变所引起</w:t>
      </w:r>
      <w:r>
        <w:rPr>
          <w:w w:val="95"/>
          <w:sz w:val="20"/>
        </w:rPr>
        <w:t>的疾病，通常具有由亲代传至后代的垂直传递的特征。</w:t>
      </w:r>
    </w:p>
    <w:p>
      <w:pPr>
        <w:spacing w:after="0" w:line="237" w:lineRule="auto"/>
        <w:jc w:val="both"/>
        <w:rPr>
          <w:sz w:val="20"/>
        </w:rPr>
        <w:sectPr>
          <w:pgSz w:w="11910" w:h="16840"/>
          <w:pgMar w:header="0" w:footer="919" w:top="1400" w:bottom="1180" w:left="1680" w:right="1600"/>
        </w:sectPr>
      </w:pPr>
    </w:p>
    <w:p>
      <w:pPr>
        <w:pStyle w:val="ListParagraph"/>
        <w:numPr>
          <w:ilvl w:val="0"/>
          <w:numId w:val="5"/>
        </w:numPr>
        <w:tabs>
          <w:tab w:pos="1641" w:val="left" w:leader="none"/>
        </w:tabs>
        <w:spacing w:line="237" w:lineRule="auto" w:before="12" w:after="0"/>
        <w:ind w:left="1640" w:right="816" w:hanging="360"/>
        <w:jc w:val="both"/>
        <w:rPr>
          <w:sz w:val="20"/>
        </w:rPr>
      </w:pPr>
      <w:r>
        <w:rPr>
          <w:spacing w:val="-11"/>
          <w:w w:val="95"/>
          <w:sz w:val="20"/>
        </w:rPr>
        <w:t>先天性畸形、变形或染色体异常：指被保险人出生时就具有的畸形、变形或染色体异常。  </w:t>
      </w:r>
      <w:r>
        <w:rPr>
          <w:spacing w:val="-8"/>
          <w:sz w:val="20"/>
        </w:rPr>
        <w:t>先天性畸形、变形和染色体异常依照世界卫生组织《疾病和有关健康问题的国际统计分</w:t>
      </w:r>
      <w:r>
        <w:rPr>
          <w:spacing w:val="-8"/>
          <w:w w:val="95"/>
          <w:sz w:val="20"/>
        </w:rPr>
        <w:t>类（ICD-10）》确定。</w:t>
      </w:r>
    </w:p>
    <w:p>
      <w:pPr>
        <w:pStyle w:val="ListParagraph"/>
        <w:numPr>
          <w:ilvl w:val="0"/>
          <w:numId w:val="5"/>
        </w:numPr>
        <w:tabs>
          <w:tab w:pos="1641" w:val="left" w:leader="none"/>
        </w:tabs>
        <w:spacing w:line="237" w:lineRule="auto" w:before="0" w:after="0"/>
        <w:ind w:left="1640" w:right="810" w:hanging="360"/>
        <w:jc w:val="both"/>
        <w:rPr>
          <w:sz w:val="20"/>
        </w:rPr>
      </w:pPr>
      <w:r>
        <w:rPr>
          <w:sz w:val="20"/>
        </w:rPr>
        <w:t>现金价值：指保险单所具有的价值，通常体现为解除合同时，根据精算原理计算的，由</w:t>
      </w:r>
      <w:r>
        <w:rPr>
          <w:w w:val="95"/>
          <w:sz w:val="20"/>
        </w:rPr>
        <w:t>本公司退还的那部分金额。</w:t>
      </w:r>
    </w:p>
    <w:p>
      <w:pPr>
        <w:pStyle w:val="ListParagraph"/>
        <w:numPr>
          <w:ilvl w:val="0"/>
          <w:numId w:val="5"/>
        </w:numPr>
        <w:tabs>
          <w:tab w:pos="1641" w:val="left" w:leader="none"/>
        </w:tabs>
        <w:spacing w:line="237" w:lineRule="auto" w:before="0" w:after="0"/>
        <w:ind w:left="1640" w:right="810" w:hanging="360"/>
        <w:jc w:val="both"/>
        <w:rPr>
          <w:sz w:val="20"/>
        </w:rPr>
      </w:pPr>
      <w:r>
        <w:rPr>
          <w:sz w:val="20"/>
        </w:rPr>
        <w:t>周岁：指按有效身份证件中记载的出生日期计算的年龄，自出生之日起为零周岁，每经</w:t>
      </w:r>
      <w:r>
        <w:rPr>
          <w:w w:val="95"/>
          <w:sz w:val="20"/>
        </w:rPr>
        <w:t>过一年增加一岁，不足一年的不计。</w:t>
      </w:r>
    </w:p>
    <w:p>
      <w:pPr>
        <w:pStyle w:val="ListParagraph"/>
        <w:numPr>
          <w:ilvl w:val="0"/>
          <w:numId w:val="5"/>
        </w:numPr>
        <w:tabs>
          <w:tab w:pos="1641" w:val="left" w:leader="none"/>
        </w:tabs>
        <w:spacing w:line="237" w:lineRule="auto" w:before="2" w:after="0"/>
        <w:ind w:left="1640" w:right="810" w:hanging="360"/>
        <w:jc w:val="both"/>
        <w:rPr>
          <w:sz w:val="20"/>
        </w:rPr>
      </w:pPr>
      <w:r>
        <w:rPr>
          <w:sz w:val="20"/>
        </w:rPr>
        <w:t>肢体机能完全丧失：指肢体的三大关节中的两大关节僵硬，或不能随意识活动。肢体是</w:t>
      </w:r>
      <w:r>
        <w:rPr>
          <w:w w:val="95"/>
          <w:sz w:val="20"/>
        </w:rPr>
        <w:t>指包括肩关节的整个上肢或包括髋关节的整个下肢。</w:t>
      </w:r>
    </w:p>
    <w:p>
      <w:pPr>
        <w:pStyle w:val="ListParagraph"/>
        <w:numPr>
          <w:ilvl w:val="0"/>
          <w:numId w:val="5"/>
        </w:numPr>
        <w:tabs>
          <w:tab w:pos="1641" w:val="left" w:leader="none"/>
        </w:tabs>
        <w:spacing w:line="237" w:lineRule="auto" w:before="0" w:after="0"/>
        <w:ind w:left="1640" w:right="810" w:hanging="360"/>
        <w:jc w:val="both"/>
        <w:rPr>
          <w:sz w:val="20"/>
        </w:rPr>
      </w:pPr>
      <w:r>
        <w:rPr>
          <w:sz w:val="20"/>
        </w:rPr>
        <w:t>语言能力完全丧失：指无法发出四种语音（包括口唇音、齿舌音、口盖音和喉头音）中</w:t>
      </w:r>
      <w:r>
        <w:rPr>
          <w:w w:val="95"/>
          <w:sz w:val="20"/>
        </w:rPr>
        <w:t>的任何三种、或声带全部切除，或因大脑语言中枢受伤害而患失语症。</w:t>
      </w:r>
    </w:p>
    <w:p>
      <w:pPr>
        <w:pStyle w:val="ListParagraph"/>
        <w:numPr>
          <w:ilvl w:val="0"/>
          <w:numId w:val="5"/>
        </w:numPr>
        <w:tabs>
          <w:tab w:pos="1641" w:val="left" w:leader="none"/>
        </w:tabs>
        <w:spacing w:line="237" w:lineRule="auto" w:before="0" w:after="0"/>
        <w:ind w:left="1640" w:right="810" w:hanging="360"/>
        <w:jc w:val="both"/>
        <w:rPr>
          <w:sz w:val="20"/>
        </w:rPr>
      </w:pPr>
      <w:r>
        <w:rPr>
          <w:sz w:val="20"/>
        </w:rPr>
        <w:t>咀嚼吞咽能力完全丧失：指因牙齿以外的原因导致器质障碍或机能障碍，以致不能作咀</w:t>
      </w:r>
      <w:r>
        <w:rPr>
          <w:w w:val="95"/>
          <w:sz w:val="20"/>
        </w:rPr>
        <w:t>嚼吞咽运动，除流质食物外不能摄取或吞咽的状态。</w:t>
      </w:r>
    </w:p>
    <w:p>
      <w:pPr>
        <w:pStyle w:val="ListParagraph"/>
        <w:numPr>
          <w:ilvl w:val="0"/>
          <w:numId w:val="5"/>
        </w:numPr>
        <w:tabs>
          <w:tab w:pos="1641" w:val="left" w:leader="none"/>
        </w:tabs>
        <w:spacing w:line="237" w:lineRule="auto" w:before="0" w:after="0"/>
        <w:ind w:left="1640" w:right="812" w:hanging="360"/>
        <w:jc w:val="both"/>
        <w:rPr>
          <w:sz w:val="20"/>
        </w:rPr>
      </w:pPr>
      <w:r>
        <w:rPr>
          <w:spacing w:val="-1"/>
          <w:sz w:val="20"/>
        </w:rPr>
        <w:t>永久不可逆：指自疾病确诊或意外伤害事故发生之日起，经过积极治疗 </w:t>
      </w:r>
      <w:r>
        <w:rPr>
          <w:sz w:val="20"/>
        </w:rPr>
        <w:t>180</w:t>
      </w:r>
      <w:r>
        <w:rPr>
          <w:spacing w:val="-4"/>
          <w:sz w:val="20"/>
        </w:rPr>
        <w:t> 天后，仍无</w:t>
      </w:r>
      <w:r>
        <w:rPr>
          <w:spacing w:val="-4"/>
          <w:w w:val="95"/>
          <w:sz w:val="20"/>
        </w:rPr>
        <w:t>法通过现有医疗手段恢复。</w:t>
      </w:r>
    </w:p>
    <w:p>
      <w:pPr>
        <w:pStyle w:val="ListParagraph"/>
        <w:numPr>
          <w:ilvl w:val="0"/>
          <w:numId w:val="5"/>
        </w:numPr>
        <w:tabs>
          <w:tab w:pos="1641" w:val="left" w:leader="none"/>
        </w:tabs>
        <w:spacing w:line="258" w:lineRule="exact" w:before="0" w:after="0"/>
        <w:ind w:left="1640" w:right="0" w:hanging="360"/>
        <w:jc w:val="left"/>
        <w:rPr>
          <w:sz w:val="20"/>
        </w:rPr>
      </w:pPr>
      <w:r>
        <w:rPr>
          <w:spacing w:val="-9"/>
          <w:w w:val="99"/>
          <w:sz w:val="20"/>
        </w:rPr>
        <w:t>六项基本日常生活活动：六项基本日常生活活动是指：</w:t>
      </w:r>
      <w:r>
        <w:rPr>
          <w:spacing w:val="1"/>
          <w:w w:val="99"/>
          <w:sz w:val="20"/>
        </w:rPr>
        <w:t>（</w:t>
      </w:r>
      <w:r>
        <w:rPr>
          <w:spacing w:val="0"/>
          <w:w w:val="99"/>
          <w:sz w:val="20"/>
        </w:rPr>
        <w:t>1</w:t>
      </w:r>
      <w:r>
        <w:rPr>
          <w:spacing w:val="-46"/>
          <w:w w:val="99"/>
          <w:sz w:val="20"/>
        </w:rPr>
        <w:t>）</w:t>
      </w:r>
      <w:r>
        <w:rPr>
          <w:spacing w:val="-6"/>
          <w:w w:val="99"/>
          <w:sz w:val="20"/>
        </w:rPr>
        <w:t>穿衣：自己能够穿衣及脱衣；</w:t>
      </w:r>
    </w:p>
    <w:p>
      <w:pPr>
        <w:pStyle w:val="BodyText"/>
        <w:spacing w:line="237" w:lineRule="auto" w:before="1"/>
        <w:ind w:left="1640" w:right="708"/>
      </w:pPr>
      <w:r>
        <w:rPr/>
        <w:t>（2）移动：自己从一个房间到另一个房间；（3）行动：自己上下床或上下轮椅；（4） 如厕：自己控制进行大小便；（5）进食：自己从已准备好的碗或碟中取食物放入口中；</w:t>
      </w:r>
    </w:p>
    <w:p>
      <w:pPr>
        <w:pStyle w:val="BodyText"/>
        <w:spacing w:line="259" w:lineRule="exact"/>
        <w:ind w:left="1640"/>
      </w:pPr>
      <w:r>
        <w:rPr>
          <w:w w:val="95"/>
        </w:rPr>
        <w:t>（6）洗澡：自己进行淋浴或盆浴。</w:t>
      </w:r>
    </w:p>
    <w:p>
      <w:pPr>
        <w:pStyle w:val="BodyText"/>
        <w:ind w:left="0"/>
      </w:pPr>
    </w:p>
    <w:p>
      <w:pPr>
        <w:pStyle w:val="BodyText"/>
        <w:spacing w:before="10" w:after="1"/>
        <w:ind w:left="0"/>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695"/>
        <w:gridCol w:w="7057"/>
      </w:tblGrid>
      <w:tr>
        <w:trPr>
          <w:trHeight w:val="405" w:hRule="atLeast"/>
        </w:trPr>
        <w:tc>
          <w:tcPr>
            <w:tcW w:w="1152" w:type="dxa"/>
          </w:tcPr>
          <w:p>
            <w:pPr>
              <w:pStyle w:val="TableParagraph"/>
              <w:spacing w:line="211" w:lineRule="exact"/>
              <w:ind w:left="200"/>
              <w:rPr>
                <w:b/>
                <w:sz w:val="21"/>
              </w:rPr>
            </w:pPr>
            <w:r>
              <w:rPr>
                <w:b/>
                <w:sz w:val="21"/>
              </w:rPr>
              <w:t>附表一：</w:t>
            </w:r>
          </w:p>
        </w:tc>
        <w:tc>
          <w:tcPr>
            <w:tcW w:w="1695" w:type="dxa"/>
          </w:tcPr>
          <w:p>
            <w:pPr>
              <w:pStyle w:val="TableParagraph"/>
              <w:spacing w:line="211" w:lineRule="exact"/>
              <w:ind w:left="106"/>
              <w:rPr>
                <w:b/>
                <w:sz w:val="21"/>
              </w:rPr>
            </w:pPr>
            <w:r>
              <w:rPr>
                <w:b/>
                <w:sz w:val="21"/>
              </w:rPr>
              <w:t>轻症疾病列表</w:t>
            </w:r>
          </w:p>
        </w:tc>
        <w:tc>
          <w:tcPr>
            <w:tcW w:w="7057" w:type="dxa"/>
          </w:tcPr>
          <w:p>
            <w:pPr>
              <w:pStyle w:val="TableParagraph"/>
              <w:spacing w:line="211" w:lineRule="exact"/>
              <w:ind w:left="108"/>
              <w:rPr>
                <w:sz w:val="21"/>
              </w:rPr>
            </w:pPr>
            <w:r>
              <w:rPr>
                <w:sz w:val="21"/>
              </w:rPr>
              <w:t>本合同所指轻症疾病包括以下疾病、疾病状态或手术。</w:t>
            </w:r>
          </w:p>
        </w:tc>
      </w:tr>
      <w:tr>
        <w:trPr>
          <w:trHeight w:val="3511" w:hRule="atLeast"/>
        </w:trPr>
        <w:tc>
          <w:tcPr>
            <w:tcW w:w="1152" w:type="dxa"/>
          </w:tcPr>
          <w:p>
            <w:pPr>
              <w:pStyle w:val="TableParagraph"/>
              <w:ind w:left="0"/>
              <w:rPr>
                <w:rFonts w:ascii="Times New Roman"/>
                <w:sz w:val="20"/>
              </w:rPr>
            </w:pPr>
          </w:p>
        </w:tc>
        <w:tc>
          <w:tcPr>
            <w:tcW w:w="1695" w:type="dxa"/>
          </w:tcPr>
          <w:p>
            <w:pPr>
              <w:pStyle w:val="TableParagraph"/>
              <w:spacing w:line="273" w:lineRule="auto" w:before="140"/>
              <w:ind w:left="106" w:right="108"/>
              <w:rPr>
                <w:b/>
                <w:sz w:val="21"/>
              </w:rPr>
            </w:pPr>
            <w:r>
              <w:rPr>
                <w:b/>
                <w:sz w:val="21"/>
              </w:rPr>
              <w:t>1.极早期的恶性肿瘤或恶性病变</w:t>
            </w:r>
          </w:p>
        </w:tc>
        <w:tc>
          <w:tcPr>
            <w:tcW w:w="7057" w:type="dxa"/>
          </w:tcPr>
          <w:p>
            <w:pPr>
              <w:pStyle w:val="TableParagraph"/>
              <w:spacing w:line="242" w:lineRule="auto" w:before="130"/>
              <w:ind w:left="108" w:right="238"/>
              <w:rPr>
                <w:sz w:val="21"/>
              </w:rPr>
            </w:pPr>
            <w:r>
              <w:rPr>
                <w:sz w:val="21"/>
              </w:rPr>
              <w:t>指经组织病理学检查被明确诊断为下列恶性病变，并且接受了相应的治疗。</w:t>
            </w:r>
          </w:p>
          <w:p>
            <w:pPr>
              <w:pStyle w:val="TableParagraph"/>
              <w:spacing w:before="3"/>
              <w:ind w:left="108"/>
              <w:jc w:val="both"/>
              <w:rPr>
                <w:sz w:val="21"/>
              </w:rPr>
            </w:pPr>
            <w:r>
              <w:rPr>
                <w:sz w:val="21"/>
              </w:rPr>
              <w:t>（1）原位癌；</w:t>
            </w:r>
          </w:p>
          <w:p>
            <w:pPr>
              <w:pStyle w:val="TableParagraph"/>
              <w:spacing w:before="5"/>
              <w:ind w:left="108"/>
              <w:jc w:val="both"/>
              <w:rPr>
                <w:sz w:val="21"/>
              </w:rPr>
            </w:pPr>
            <w:r>
              <w:rPr>
                <w:sz w:val="21"/>
              </w:rPr>
              <w:t>（2）相当于 Binet 分期方案 A 期程度的慢性淋巴细胞白血病；</w:t>
            </w:r>
          </w:p>
          <w:p>
            <w:pPr>
              <w:pStyle w:val="TableParagraph"/>
              <w:spacing w:before="3"/>
              <w:ind w:left="108"/>
              <w:jc w:val="both"/>
              <w:rPr>
                <w:sz w:val="21"/>
              </w:rPr>
            </w:pPr>
            <w:r>
              <w:rPr>
                <w:sz w:val="21"/>
              </w:rPr>
              <w:t>（3）相当于 Ann Arbor 分期方案 I 期程度的何杰金氏病；</w:t>
            </w:r>
          </w:p>
          <w:p>
            <w:pPr>
              <w:pStyle w:val="TableParagraph"/>
              <w:spacing w:before="5"/>
              <w:ind w:left="108"/>
              <w:jc w:val="both"/>
              <w:rPr>
                <w:sz w:val="21"/>
              </w:rPr>
            </w:pPr>
            <w:r>
              <w:rPr>
                <w:sz w:val="21"/>
              </w:rPr>
              <w:t>（4）皮肤癌（</w:t>
            </w:r>
            <w:r>
              <w:rPr>
                <w:rFonts w:ascii="黑体" w:eastAsia="黑体" w:hint="eastAsia"/>
                <w:sz w:val="21"/>
              </w:rPr>
              <w:t>不包括恶性黑色素瘤及已发Th转移的皮肤癌</w:t>
            </w:r>
            <w:r>
              <w:rPr>
                <w:sz w:val="21"/>
              </w:rPr>
              <w:t>）；</w:t>
            </w:r>
          </w:p>
          <w:p>
            <w:pPr>
              <w:pStyle w:val="TableParagraph"/>
              <w:spacing w:before="5"/>
              <w:ind w:left="108"/>
              <w:jc w:val="both"/>
              <w:rPr>
                <w:sz w:val="21"/>
              </w:rPr>
            </w:pPr>
            <w:r>
              <w:rPr>
                <w:sz w:val="21"/>
              </w:rPr>
              <w:t>（5）TNM 分期为 T</w:t>
            </w:r>
            <w:r>
              <w:rPr>
                <w:sz w:val="21"/>
                <w:vertAlign w:val="subscript"/>
              </w:rPr>
              <w:t>1</w:t>
            </w:r>
            <w:r>
              <w:rPr>
                <w:sz w:val="21"/>
                <w:vertAlign w:val="baseline"/>
              </w:rPr>
              <w:t>N</w:t>
            </w:r>
            <w:r>
              <w:rPr>
                <w:sz w:val="21"/>
                <w:vertAlign w:val="subscript"/>
              </w:rPr>
              <w:t>0</w:t>
            </w:r>
            <w:r>
              <w:rPr>
                <w:sz w:val="21"/>
                <w:vertAlign w:val="baseline"/>
              </w:rPr>
              <w:t>M</w:t>
            </w:r>
            <w:r>
              <w:rPr>
                <w:sz w:val="21"/>
                <w:vertAlign w:val="subscript"/>
              </w:rPr>
              <w:t>0</w:t>
            </w:r>
            <w:r>
              <w:rPr>
                <w:sz w:val="21"/>
                <w:vertAlign w:val="baseline"/>
              </w:rPr>
              <w:t> 期或更轻分期的前列腺癌。</w:t>
            </w:r>
          </w:p>
          <w:p>
            <w:pPr>
              <w:pStyle w:val="TableParagraph"/>
              <w:spacing w:before="10"/>
              <w:ind w:left="0"/>
              <w:rPr>
                <w:sz w:val="24"/>
              </w:rPr>
            </w:pPr>
          </w:p>
          <w:p>
            <w:pPr>
              <w:pStyle w:val="TableParagraph"/>
              <w:spacing w:line="273" w:lineRule="auto" w:before="1"/>
              <w:ind w:left="108" w:right="199"/>
              <w:jc w:val="both"/>
              <w:rPr>
                <w:sz w:val="21"/>
              </w:rPr>
            </w:pPr>
            <w:r>
              <w:rPr>
                <w:sz w:val="21"/>
              </w:rPr>
              <w:t>原位癌指恶性细胞局限于上皮内尚未穿破基底膜浸润周围正常组织的癌细胞新生物。原位癌必须经对固定活组织的组织病理学检查确诊。被保险人必须已经接受了针对原位癌病灶的积极治疗。</w:t>
            </w:r>
          </w:p>
        </w:tc>
      </w:tr>
      <w:tr>
        <w:trPr>
          <w:trHeight w:val="1443" w:hRule="atLeast"/>
        </w:trPr>
        <w:tc>
          <w:tcPr>
            <w:tcW w:w="1152" w:type="dxa"/>
          </w:tcPr>
          <w:p>
            <w:pPr>
              <w:pStyle w:val="TableParagraph"/>
              <w:ind w:left="0"/>
              <w:rPr>
                <w:rFonts w:ascii="Times New Roman"/>
                <w:sz w:val="20"/>
              </w:rPr>
            </w:pPr>
          </w:p>
        </w:tc>
        <w:tc>
          <w:tcPr>
            <w:tcW w:w="1695" w:type="dxa"/>
          </w:tcPr>
          <w:p>
            <w:pPr>
              <w:pStyle w:val="TableParagraph"/>
              <w:spacing w:line="273" w:lineRule="auto" w:before="147"/>
              <w:ind w:left="106" w:right="108"/>
              <w:rPr>
                <w:b/>
                <w:sz w:val="21"/>
              </w:rPr>
            </w:pPr>
            <w:r>
              <w:rPr>
                <w:b/>
                <w:sz w:val="21"/>
              </w:rPr>
              <w:t>2.不典型的急性心肌梗塞</w:t>
            </w:r>
          </w:p>
        </w:tc>
        <w:tc>
          <w:tcPr>
            <w:tcW w:w="7057" w:type="dxa"/>
          </w:tcPr>
          <w:p>
            <w:pPr>
              <w:pStyle w:val="TableParagraph"/>
              <w:spacing w:line="244" w:lineRule="auto" w:before="138"/>
              <w:ind w:left="108" w:right="189"/>
              <w:rPr>
                <w:sz w:val="21"/>
              </w:rPr>
            </w:pPr>
            <w:r>
              <w:rPr>
                <w:sz w:val="21"/>
              </w:rPr>
              <w:t>指被临床诊断为急性心肌梗塞并接受了急性心肌梗塞治疗，虽然未达到重大疾病“急性心肌梗塞”的给付标准，但满足下列全部条件：</w:t>
            </w:r>
          </w:p>
          <w:p>
            <w:pPr>
              <w:pStyle w:val="TableParagraph"/>
              <w:spacing w:before="2"/>
              <w:ind w:left="108"/>
              <w:rPr>
                <w:sz w:val="21"/>
              </w:rPr>
            </w:pPr>
            <w:r>
              <w:rPr>
                <w:sz w:val="21"/>
              </w:rPr>
              <w:t>（1）肌钙蛋白有诊断意义的升高；</w:t>
            </w:r>
          </w:p>
          <w:p>
            <w:pPr>
              <w:pStyle w:val="TableParagraph"/>
              <w:spacing w:before="3"/>
              <w:ind w:left="108"/>
              <w:rPr>
                <w:sz w:val="21"/>
              </w:rPr>
            </w:pPr>
            <w:r>
              <w:rPr>
                <w:sz w:val="21"/>
              </w:rPr>
              <w:t>（2）心电图有损伤性的 ST 段改变但未出现病理 Q 波。</w:t>
            </w:r>
          </w:p>
        </w:tc>
      </w:tr>
      <w:tr>
        <w:trPr>
          <w:trHeight w:val="893" w:hRule="atLeast"/>
        </w:trPr>
        <w:tc>
          <w:tcPr>
            <w:tcW w:w="1152" w:type="dxa"/>
          </w:tcPr>
          <w:p>
            <w:pPr>
              <w:pStyle w:val="TableParagraph"/>
              <w:ind w:left="0"/>
              <w:rPr>
                <w:rFonts w:ascii="Times New Roman"/>
                <w:sz w:val="20"/>
              </w:rPr>
            </w:pPr>
          </w:p>
        </w:tc>
        <w:tc>
          <w:tcPr>
            <w:tcW w:w="1695" w:type="dxa"/>
          </w:tcPr>
          <w:p>
            <w:pPr>
              <w:pStyle w:val="TableParagraph"/>
              <w:spacing w:line="273" w:lineRule="auto" w:before="137"/>
              <w:ind w:left="106" w:right="108"/>
              <w:rPr>
                <w:b/>
                <w:sz w:val="21"/>
              </w:rPr>
            </w:pPr>
            <w:r>
              <w:rPr>
                <w:b/>
                <w:sz w:val="21"/>
              </w:rPr>
              <w:t>3.冠状动脉介入手术</w:t>
            </w:r>
          </w:p>
        </w:tc>
        <w:tc>
          <w:tcPr>
            <w:tcW w:w="7057" w:type="dxa"/>
          </w:tcPr>
          <w:p>
            <w:pPr>
              <w:pStyle w:val="TableParagraph"/>
              <w:spacing w:line="244" w:lineRule="auto" w:before="127"/>
              <w:ind w:left="108" w:right="238"/>
              <w:rPr>
                <w:sz w:val="21"/>
              </w:rPr>
            </w:pPr>
            <w:r>
              <w:rPr>
                <w:sz w:val="21"/>
              </w:rPr>
              <w:t>为了治疗明显的冠状动脉狭窄性疾病，首次实际实施了心导管球囊扩张术、冠状动脉支架植入术或激光冠状动脉成形术。</w:t>
            </w:r>
          </w:p>
        </w:tc>
      </w:tr>
      <w:tr>
        <w:trPr>
          <w:trHeight w:val="1781" w:hRule="atLeast"/>
        </w:trPr>
        <w:tc>
          <w:tcPr>
            <w:tcW w:w="1152" w:type="dxa"/>
          </w:tcPr>
          <w:p>
            <w:pPr>
              <w:pStyle w:val="TableParagraph"/>
              <w:ind w:left="0"/>
              <w:rPr>
                <w:rFonts w:ascii="Times New Roman"/>
                <w:sz w:val="20"/>
              </w:rPr>
            </w:pPr>
          </w:p>
        </w:tc>
        <w:tc>
          <w:tcPr>
            <w:tcW w:w="1695" w:type="dxa"/>
          </w:tcPr>
          <w:p>
            <w:pPr>
              <w:pStyle w:val="TableParagraph"/>
              <w:spacing w:before="115"/>
              <w:ind w:left="106"/>
              <w:rPr>
                <w:b/>
                <w:sz w:val="21"/>
              </w:rPr>
            </w:pPr>
            <w:r>
              <w:rPr>
                <w:b/>
                <w:sz w:val="21"/>
              </w:rPr>
              <w:t>4.轻微脑中风</w:t>
            </w:r>
          </w:p>
        </w:tc>
        <w:tc>
          <w:tcPr>
            <w:tcW w:w="7057" w:type="dxa"/>
          </w:tcPr>
          <w:p>
            <w:pPr>
              <w:pStyle w:val="TableParagraph"/>
              <w:spacing w:line="244" w:lineRule="auto" w:before="105"/>
              <w:ind w:left="108" w:right="229"/>
              <w:jc w:val="both"/>
              <w:rPr>
                <w:sz w:val="21"/>
              </w:rPr>
            </w:pPr>
            <w:r>
              <w:rPr>
                <w:spacing w:val="-4"/>
                <w:sz w:val="21"/>
              </w:rPr>
              <w:t>指实际发生了脑血管的突发病变出现神经系统功能障碍表现，头颅断层扫</w:t>
            </w:r>
            <w:r>
              <w:rPr>
                <w:spacing w:val="-3"/>
                <w:w w:val="100"/>
                <w:sz w:val="21"/>
              </w:rPr>
              <w:t>描</w:t>
            </w:r>
            <w:r>
              <w:rPr>
                <w:w w:val="100"/>
                <w:sz w:val="21"/>
              </w:rPr>
              <w:t>（C</w:t>
            </w:r>
            <w:r>
              <w:rPr>
                <w:spacing w:val="-3"/>
                <w:w w:val="100"/>
                <w:sz w:val="21"/>
              </w:rPr>
              <w:t>T</w:t>
            </w:r>
            <w:r>
              <w:rPr>
                <w:spacing w:val="-106"/>
                <w:w w:val="100"/>
                <w:sz w:val="21"/>
              </w:rPr>
              <w:t>）</w:t>
            </w:r>
            <w:r>
              <w:rPr>
                <w:spacing w:val="-3"/>
                <w:w w:val="100"/>
                <w:sz w:val="21"/>
              </w:rPr>
              <w:t>、核磁共振</w:t>
            </w:r>
            <w:r>
              <w:rPr>
                <w:w w:val="100"/>
                <w:sz w:val="21"/>
              </w:rPr>
              <w:t>（</w:t>
            </w:r>
            <w:r>
              <w:rPr>
                <w:spacing w:val="-3"/>
                <w:w w:val="100"/>
                <w:sz w:val="21"/>
              </w:rPr>
              <w:t>M</w:t>
            </w:r>
            <w:r>
              <w:rPr>
                <w:w w:val="100"/>
                <w:sz w:val="21"/>
              </w:rPr>
              <w:t>R</w:t>
            </w:r>
            <w:r>
              <w:rPr>
                <w:spacing w:val="-3"/>
                <w:w w:val="100"/>
                <w:sz w:val="21"/>
              </w:rPr>
              <w:t>I）</w:t>
            </w:r>
            <w:r>
              <w:rPr>
                <w:spacing w:val="-4"/>
                <w:w w:val="100"/>
                <w:sz w:val="21"/>
              </w:rPr>
              <w:t>等影像学检查证实存在对应病灶，确诊为脑出</w:t>
            </w:r>
            <w:r>
              <w:rPr>
                <w:spacing w:val="-8"/>
                <w:sz w:val="21"/>
              </w:rPr>
              <w:t>血、脑栓塞或脑梗塞，在确诊 </w:t>
            </w:r>
            <w:r>
              <w:rPr>
                <w:sz w:val="21"/>
              </w:rPr>
              <w:t>180</w:t>
            </w:r>
            <w:r>
              <w:rPr>
                <w:spacing w:val="-8"/>
                <w:sz w:val="21"/>
              </w:rPr>
              <w:t> 天后未遗留神经系统功能障碍或后遗的</w:t>
            </w:r>
            <w:r>
              <w:rPr>
                <w:spacing w:val="-3"/>
                <w:sz w:val="21"/>
              </w:rPr>
              <w:t>神经系统功能障碍程度未达到重大疾病“脑中风后遗症”的给付标准。</w:t>
            </w:r>
          </w:p>
          <w:p>
            <w:pPr>
              <w:pStyle w:val="TableParagraph"/>
              <w:spacing w:before="7"/>
              <w:ind w:left="0"/>
              <w:rPr>
                <w:sz w:val="21"/>
              </w:rPr>
            </w:pPr>
          </w:p>
          <w:p>
            <w:pPr>
              <w:pStyle w:val="TableParagraph"/>
              <w:spacing w:line="255" w:lineRule="exact"/>
              <w:ind w:left="108"/>
              <w:jc w:val="both"/>
              <w:rPr>
                <w:rFonts w:ascii="黑体" w:eastAsia="黑体" w:hint="eastAsia"/>
                <w:sz w:val="21"/>
              </w:rPr>
            </w:pPr>
            <w:r>
              <w:rPr>
                <w:rFonts w:ascii="黑体" w:eastAsia="黑体" w:hint="eastAsia"/>
                <w:sz w:val="21"/>
              </w:rPr>
              <w:t>短暂性脑缺血发作(TIA)和腔隙性脑梗塞不在保障范围内。</w:t>
            </w:r>
          </w:p>
        </w:tc>
      </w:tr>
    </w:tbl>
    <w:p>
      <w:pPr>
        <w:spacing w:after="0" w:line="255" w:lineRule="exact"/>
        <w:jc w:val="both"/>
        <w:rPr>
          <w:rFonts w:ascii="黑体" w:eastAsia="黑体" w:hint="eastAsia"/>
          <w:sz w:val="21"/>
        </w:rPr>
        <w:sectPr>
          <w:pgSz w:w="11910" w:h="16840"/>
          <w:pgMar w:header="0" w:footer="919" w:top="1380" w:bottom="1180" w:left="880" w:right="900"/>
        </w:sectPr>
      </w:pPr>
    </w:p>
    <w:tbl>
      <w:tblPr>
        <w:tblW w:w="0" w:type="auto"/>
        <w:jc w:val="left"/>
        <w:tblInd w:w="1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33"/>
      </w:tblGrid>
      <w:tr>
        <w:trPr>
          <w:trHeight w:val="702" w:hRule="atLeast"/>
        </w:trPr>
        <w:tc>
          <w:tcPr>
            <w:tcW w:w="1788" w:type="dxa"/>
          </w:tcPr>
          <w:p>
            <w:pPr>
              <w:pStyle w:val="TableParagraph"/>
              <w:spacing w:line="221" w:lineRule="exact"/>
              <w:ind w:left="200"/>
              <w:rPr>
                <w:b/>
                <w:sz w:val="21"/>
              </w:rPr>
            </w:pPr>
            <w:r>
              <w:rPr>
                <w:b/>
                <w:sz w:val="21"/>
              </w:rPr>
              <w:t>5.心脏瓣膜介入</w:t>
            </w:r>
          </w:p>
          <w:p>
            <w:pPr>
              <w:pStyle w:val="TableParagraph"/>
              <w:spacing w:before="37"/>
              <w:ind w:left="200"/>
              <w:rPr>
                <w:b/>
                <w:sz w:val="21"/>
              </w:rPr>
            </w:pPr>
            <w:r>
              <w:rPr>
                <w:b/>
                <w:sz w:val="21"/>
              </w:rPr>
              <w:t>手术</w:t>
            </w:r>
          </w:p>
        </w:tc>
        <w:tc>
          <w:tcPr>
            <w:tcW w:w="7033" w:type="dxa"/>
          </w:tcPr>
          <w:p>
            <w:pPr>
              <w:pStyle w:val="TableParagraph"/>
              <w:spacing w:line="211" w:lineRule="exact"/>
              <w:rPr>
                <w:sz w:val="21"/>
              </w:rPr>
            </w:pPr>
            <w:r>
              <w:rPr>
                <w:sz w:val="21"/>
              </w:rPr>
              <w:t>为了治疗心脏瓣膜疾病，实际实施了非开胸的经胸壁打孔内镜手术或经皮</w:t>
            </w:r>
          </w:p>
          <w:p>
            <w:pPr>
              <w:pStyle w:val="TableParagraph"/>
              <w:spacing w:before="6"/>
              <w:rPr>
                <w:sz w:val="21"/>
              </w:rPr>
            </w:pPr>
            <w:r>
              <w:rPr>
                <w:sz w:val="21"/>
              </w:rPr>
              <w:t>经导管介入手术进行的心脏瓣膜置换或修复手术。</w:t>
            </w:r>
          </w:p>
        </w:tc>
      </w:tr>
      <w:tr>
        <w:trPr>
          <w:trHeight w:val="2531" w:hRule="atLeast"/>
        </w:trPr>
        <w:tc>
          <w:tcPr>
            <w:tcW w:w="1788" w:type="dxa"/>
          </w:tcPr>
          <w:p>
            <w:pPr>
              <w:pStyle w:val="TableParagraph"/>
              <w:spacing w:before="115"/>
              <w:ind w:left="0" w:right="107"/>
              <w:jc w:val="right"/>
              <w:rPr>
                <w:b/>
                <w:sz w:val="21"/>
              </w:rPr>
            </w:pPr>
            <w:r>
              <w:rPr>
                <w:b/>
                <w:sz w:val="21"/>
              </w:rPr>
              <w:t>6.视力严重受损</w:t>
            </w:r>
          </w:p>
        </w:tc>
        <w:tc>
          <w:tcPr>
            <w:tcW w:w="7033" w:type="dxa"/>
          </w:tcPr>
          <w:p>
            <w:pPr>
              <w:pStyle w:val="TableParagraph"/>
              <w:spacing w:line="244" w:lineRule="auto" w:before="105"/>
              <w:ind w:right="205"/>
              <w:rPr>
                <w:sz w:val="21"/>
              </w:rPr>
            </w:pPr>
            <w:r>
              <w:rPr>
                <w:spacing w:val="-5"/>
                <w:sz w:val="21"/>
              </w:rPr>
              <w:t>指因疾病或意外伤害导致双目视力永久不可逆</w:t>
            </w:r>
            <w:r>
              <w:rPr>
                <w:sz w:val="21"/>
              </w:rPr>
              <w:t>（</w:t>
            </w:r>
            <w:r>
              <w:rPr>
                <w:spacing w:val="-9"/>
                <w:sz w:val="21"/>
              </w:rPr>
              <w:t>释义 20）</w:t>
            </w:r>
            <w:r>
              <w:rPr>
                <w:spacing w:val="-6"/>
                <w:sz w:val="21"/>
              </w:rPr>
              <w:t>性丧失，虽然未</w:t>
            </w:r>
            <w:r>
              <w:rPr>
                <w:spacing w:val="-3"/>
                <w:sz w:val="21"/>
              </w:rPr>
              <w:t>达到重大疾病“双目失明”的给付标准，但满足下列全部条件：</w:t>
            </w:r>
          </w:p>
          <w:p>
            <w:pPr>
              <w:pStyle w:val="TableParagraph"/>
              <w:spacing w:line="242" w:lineRule="auto" w:before="1"/>
              <w:ind w:right="205"/>
              <w:rPr>
                <w:sz w:val="21"/>
              </w:rPr>
            </w:pPr>
            <w:r>
              <w:rPr>
                <w:spacing w:val="-8"/>
                <w:sz w:val="21"/>
              </w:rPr>
              <w:t>（1）</w:t>
            </w:r>
            <w:r>
              <w:rPr>
                <w:spacing w:val="-5"/>
                <w:sz w:val="21"/>
              </w:rPr>
              <w:t>双眼中较好眼矫正视力低于 </w:t>
            </w:r>
            <w:r>
              <w:rPr>
                <w:spacing w:val="-6"/>
                <w:sz w:val="21"/>
              </w:rPr>
              <w:t>0.1（</w:t>
            </w:r>
            <w:r>
              <w:rPr>
                <w:spacing w:val="-5"/>
                <w:sz w:val="21"/>
              </w:rPr>
              <w:t>采用国际标准视力表，如果使用其</w:t>
            </w:r>
            <w:r>
              <w:rPr>
                <w:spacing w:val="-4"/>
                <w:w w:val="100"/>
                <w:sz w:val="21"/>
              </w:rPr>
              <w:t>他视力表应进行换算</w:t>
            </w:r>
            <w:r>
              <w:rPr>
                <w:spacing w:val="-106"/>
                <w:w w:val="100"/>
                <w:sz w:val="21"/>
              </w:rPr>
              <w:t>）</w:t>
            </w:r>
            <w:r>
              <w:rPr>
                <w:w w:val="100"/>
                <w:sz w:val="21"/>
              </w:rPr>
              <w:t>；</w:t>
            </w:r>
          </w:p>
          <w:p>
            <w:pPr>
              <w:pStyle w:val="TableParagraph"/>
              <w:spacing w:before="3"/>
              <w:rPr>
                <w:sz w:val="21"/>
              </w:rPr>
            </w:pPr>
            <w:r>
              <w:rPr>
                <w:sz w:val="21"/>
              </w:rPr>
              <w:t>（2）视野半径小于 20 度。</w:t>
            </w:r>
          </w:p>
          <w:p>
            <w:pPr>
              <w:pStyle w:val="TableParagraph"/>
              <w:spacing w:before="9"/>
              <w:ind w:left="0"/>
              <w:rPr>
                <w:sz w:val="21"/>
              </w:rPr>
            </w:pPr>
          </w:p>
          <w:p>
            <w:pPr>
              <w:pStyle w:val="TableParagraph"/>
              <w:spacing w:line="244" w:lineRule="auto"/>
              <w:ind w:right="210"/>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8"/>
                <w:sz w:val="21"/>
              </w:rPr>
              <w:t> 周岁以上，并且须提供理赔当时的视</w:t>
            </w:r>
            <w:r>
              <w:rPr>
                <w:rFonts w:ascii="黑体" w:eastAsia="黑体" w:hint="eastAsia"/>
                <w:spacing w:val="-5"/>
                <w:sz w:val="21"/>
              </w:rPr>
              <w:t>力丧失诊断及检查证据。</w:t>
            </w:r>
          </w:p>
        </w:tc>
      </w:tr>
      <w:tr>
        <w:trPr>
          <w:trHeight w:val="893" w:hRule="atLeast"/>
        </w:trPr>
        <w:tc>
          <w:tcPr>
            <w:tcW w:w="1788" w:type="dxa"/>
          </w:tcPr>
          <w:p>
            <w:pPr>
              <w:pStyle w:val="TableParagraph"/>
              <w:spacing w:line="273" w:lineRule="auto" w:before="136"/>
              <w:ind w:left="200" w:right="108"/>
              <w:rPr>
                <w:b/>
                <w:sz w:val="21"/>
              </w:rPr>
            </w:pPr>
            <w:r>
              <w:rPr>
                <w:b/>
                <w:sz w:val="21"/>
              </w:rPr>
              <w:t>7.较小面积Ⅲ度烧伤</w:t>
            </w:r>
          </w:p>
        </w:tc>
        <w:tc>
          <w:tcPr>
            <w:tcW w:w="7033" w:type="dxa"/>
          </w:tcPr>
          <w:p>
            <w:pPr>
              <w:pStyle w:val="TableParagraph"/>
              <w:spacing w:line="244" w:lineRule="auto" w:before="127"/>
              <w:ind w:right="163"/>
              <w:rPr>
                <w:sz w:val="21"/>
              </w:rPr>
            </w:pPr>
            <w:r>
              <w:rPr>
                <w:sz w:val="21"/>
              </w:rPr>
              <w:t>指烧伤程度为Ⅲ度，且Ⅲ度烧伤的面积达到全身体表面积的 15％或 15％ 以上。体表面积根据《中国新九分法》计算。</w:t>
            </w:r>
          </w:p>
        </w:tc>
      </w:tr>
      <w:tr>
        <w:trPr>
          <w:trHeight w:val="1130" w:hRule="atLeast"/>
        </w:trPr>
        <w:tc>
          <w:tcPr>
            <w:tcW w:w="1788" w:type="dxa"/>
          </w:tcPr>
          <w:p>
            <w:pPr>
              <w:pStyle w:val="TableParagraph"/>
              <w:spacing w:before="115"/>
              <w:ind w:left="0" w:right="107"/>
              <w:jc w:val="right"/>
              <w:rPr>
                <w:b/>
                <w:sz w:val="21"/>
              </w:rPr>
            </w:pPr>
            <w:r>
              <w:rPr>
                <w:b/>
                <w:sz w:val="21"/>
              </w:rPr>
              <w:t>8.主动脉内手术</w:t>
            </w:r>
          </w:p>
        </w:tc>
        <w:tc>
          <w:tcPr>
            <w:tcW w:w="7033" w:type="dxa"/>
          </w:tcPr>
          <w:p>
            <w:pPr>
              <w:pStyle w:val="TableParagraph"/>
              <w:spacing w:before="105"/>
              <w:rPr>
                <w:sz w:val="21"/>
              </w:rPr>
            </w:pPr>
            <w:r>
              <w:rPr>
                <w:sz w:val="21"/>
              </w:rPr>
              <w:t>为了治疗主动脉疾病实际实施了经皮经导管进行的动脉内手术。</w:t>
            </w:r>
          </w:p>
          <w:p>
            <w:pPr>
              <w:pStyle w:val="TableParagraph"/>
              <w:spacing w:before="9"/>
              <w:ind w:left="0"/>
              <w:rPr>
                <w:sz w:val="21"/>
              </w:rPr>
            </w:pPr>
          </w:p>
          <w:p>
            <w:pPr>
              <w:pStyle w:val="TableParagraph"/>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712" w:hRule="atLeast"/>
        </w:trPr>
        <w:tc>
          <w:tcPr>
            <w:tcW w:w="1788" w:type="dxa"/>
          </w:tcPr>
          <w:p>
            <w:pPr>
              <w:pStyle w:val="TableParagraph"/>
              <w:spacing w:line="273" w:lineRule="auto" w:before="136"/>
              <w:ind w:left="200" w:right="107"/>
              <w:jc w:val="both"/>
              <w:rPr>
                <w:b/>
                <w:sz w:val="21"/>
              </w:rPr>
            </w:pPr>
            <w:r>
              <w:rPr>
                <w:b/>
                <w:sz w:val="21"/>
              </w:rPr>
              <w:t>9.脑垂体瘤、脑囊肿、脑动脉瘤及脑血管瘤</w:t>
            </w:r>
          </w:p>
        </w:tc>
        <w:tc>
          <w:tcPr>
            <w:tcW w:w="7033" w:type="dxa"/>
          </w:tcPr>
          <w:p>
            <w:pPr>
              <w:pStyle w:val="TableParagraph"/>
              <w:spacing w:line="244" w:lineRule="auto" w:before="127"/>
              <w:ind w:right="207"/>
              <w:rPr>
                <w:sz w:val="21"/>
              </w:rPr>
            </w:pPr>
            <w:r>
              <w:rPr>
                <w:spacing w:val="-3"/>
                <w:w w:val="100"/>
                <w:sz w:val="21"/>
              </w:rPr>
              <w:t>指经头颅断层扫描（</w:t>
            </w:r>
            <w:r>
              <w:rPr>
                <w:w w:val="100"/>
                <w:sz w:val="21"/>
              </w:rPr>
              <w:t>CT</w:t>
            </w:r>
            <w:r>
              <w:rPr>
                <w:spacing w:val="-108"/>
                <w:w w:val="100"/>
                <w:sz w:val="21"/>
              </w:rPr>
              <w:t>）</w:t>
            </w:r>
            <w:r>
              <w:rPr>
                <w:spacing w:val="-4"/>
                <w:w w:val="100"/>
                <w:sz w:val="21"/>
              </w:rPr>
              <w:t>、核磁共振</w:t>
            </w:r>
            <w:r>
              <w:rPr>
                <w:spacing w:val="-1"/>
                <w:w w:val="100"/>
                <w:sz w:val="21"/>
              </w:rPr>
              <w:t>（</w:t>
            </w:r>
            <w:r>
              <w:rPr>
                <w:w w:val="100"/>
                <w:sz w:val="21"/>
              </w:rPr>
              <w:t>MR</w:t>
            </w:r>
            <w:r>
              <w:rPr>
                <w:spacing w:val="-2"/>
                <w:w w:val="100"/>
                <w:sz w:val="21"/>
              </w:rPr>
              <w:t>I</w:t>
            </w:r>
            <w:r>
              <w:rPr>
                <w:spacing w:val="-3"/>
                <w:w w:val="100"/>
                <w:sz w:val="21"/>
              </w:rPr>
              <w:t>）或其他影像学检查被确诊为下</w:t>
            </w:r>
            <w:r>
              <w:rPr>
                <w:spacing w:val="-3"/>
                <w:sz w:val="21"/>
              </w:rPr>
              <w:t>列病变，并实际接受了手术或放射治疗。</w:t>
            </w:r>
          </w:p>
          <w:p>
            <w:pPr>
              <w:pStyle w:val="TableParagraph"/>
              <w:spacing w:line="274" w:lineRule="exact"/>
              <w:rPr>
                <w:sz w:val="21"/>
              </w:rPr>
            </w:pPr>
            <w:r>
              <w:rPr>
                <w:sz w:val="21"/>
              </w:rPr>
              <w:t>（1）脑垂体瘤；</w:t>
            </w:r>
          </w:p>
          <w:p>
            <w:pPr>
              <w:pStyle w:val="TableParagraph"/>
              <w:spacing w:before="6"/>
              <w:rPr>
                <w:sz w:val="21"/>
              </w:rPr>
            </w:pPr>
            <w:r>
              <w:rPr>
                <w:sz w:val="21"/>
              </w:rPr>
              <w:t>（2）脑囊肿；</w:t>
            </w:r>
          </w:p>
          <w:p>
            <w:pPr>
              <w:pStyle w:val="TableParagraph"/>
              <w:spacing w:before="6"/>
              <w:rPr>
                <w:sz w:val="21"/>
              </w:rPr>
            </w:pPr>
            <w:r>
              <w:rPr>
                <w:sz w:val="21"/>
              </w:rPr>
              <w:t>（3）脑动脉瘤、脑血管瘤。</w:t>
            </w:r>
          </w:p>
        </w:tc>
      </w:tr>
      <w:tr>
        <w:trPr>
          <w:trHeight w:val="1521" w:hRule="atLeast"/>
        </w:trPr>
        <w:tc>
          <w:tcPr>
            <w:tcW w:w="1788" w:type="dxa"/>
          </w:tcPr>
          <w:p>
            <w:pPr>
              <w:pStyle w:val="TableParagraph"/>
              <w:spacing w:line="273" w:lineRule="auto" w:before="135"/>
              <w:ind w:left="200" w:right="213"/>
              <w:rPr>
                <w:b/>
                <w:sz w:val="21"/>
              </w:rPr>
            </w:pPr>
            <w:r>
              <w:rPr>
                <w:b/>
                <w:sz w:val="21"/>
              </w:rPr>
              <w:t>10.重度头部外伤</w:t>
            </w:r>
          </w:p>
        </w:tc>
        <w:tc>
          <w:tcPr>
            <w:tcW w:w="7033" w:type="dxa"/>
          </w:tcPr>
          <w:p>
            <w:pPr>
              <w:pStyle w:val="TableParagraph"/>
              <w:spacing w:line="244" w:lineRule="auto" w:before="126"/>
              <w:ind w:right="205"/>
              <w:jc w:val="both"/>
              <w:rPr>
                <w:rFonts w:ascii="黑体" w:eastAsia="黑体" w:hint="eastAsia"/>
                <w:sz w:val="21"/>
              </w:rPr>
            </w:pPr>
            <w:r>
              <w:rPr>
                <w:spacing w:val="-5"/>
                <w:sz w:val="21"/>
              </w:rPr>
              <w:t>指因头部遭受机械性外力，引起脑重要部位损伤，导致神经系统永久性的</w:t>
            </w:r>
            <w:r>
              <w:rPr>
                <w:spacing w:val="-5"/>
                <w:w w:val="100"/>
                <w:sz w:val="21"/>
              </w:rPr>
              <w:t>功能障碍。须由头颅断层扫描</w:t>
            </w:r>
            <w:r>
              <w:rPr>
                <w:spacing w:val="-3"/>
                <w:w w:val="100"/>
                <w:sz w:val="21"/>
              </w:rPr>
              <w:t>（</w:t>
            </w:r>
            <w:r>
              <w:rPr>
                <w:w w:val="100"/>
                <w:sz w:val="21"/>
              </w:rPr>
              <w:t>CT</w:t>
            </w:r>
            <w:r>
              <w:rPr>
                <w:spacing w:val="-106"/>
                <w:w w:val="100"/>
                <w:sz w:val="21"/>
              </w:rPr>
              <w:t>）</w:t>
            </w:r>
            <w:r>
              <w:rPr>
                <w:spacing w:val="-4"/>
                <w:w w:val="100"/>
                <w:sz w:val="21"/>
              </w:rPr>
              <w:t>、核磁共振检查</w:t>
            </w:r>
            <w:r>
              <w:rPr>
                <w:w w:val="100"/>
                <w:sz w:val="21"/>
              </w:rPr>
              <w:t>（MRI</w:t>
            </w:r>
            <w:r>
              <w:rPr>
                <w:spacing w:val="-5"/>
                <w:w w:val="100"/>
                <w:sz w:val="21"/>
              </w:rPr>
              <w:t>）</w:t>
            </w:r>
            <w:r>
              <w:rPr>
                <w:spacing w:val="-3"/>
                <w:w w:val="100"/>
                <w:sz w:val="21"/>
              </w:rPr>
              <w:t>或正电子发射</w:t>
            </w:r>
            <w:r>
              <w:rPr>
                <w:spacing w:val="-3"/>
                <w:sz w:val="21"/>
              </w:rPr>
              <w:t>断层扫描（PET）等影像学检查证实。神经系统永久性的功能障碍，指脑</w:t>
            </w:r>
            <w:r>
              <w:rPr>
                <w:spacing w:val="-14"/>
                <w:sz w:val="21"/>
              </w:rPr>
              <w:t>损伤 </w:t>
            </w:r>
            <w:r>
              <w:rPr>
                <w:sz w:val="21"/>
              </w:rPr>
              <w:t>180</w:t>
            </w:r>
            <w:r>
              <w:rPr>
                <w:spacing w:val="-8"/>
                <w:sz w:val="21"/>
              </w:rPr>
              <w:t> 天后，仍完全丧失自主生活能力，无法独立完成</w:t>
            </w:r>
            <w:r>
              <w:rPr>
                <w:rFonts w:ascii="黑体" w:eastAsia="黑体" w:hint="eastAsia"/>
                <w:spacing w:val="-3"/>
                <w:sz w:val="21"/>
              </w:rPr>
              <w:t>六项基本日常</w:t>
            </w:r>
            <w:r>
              <w:rPr>
                <w:rFonts w:ascii="黑体" w:eastAsia="黑体" w:hint="eastAsia"/>
                <w:sz w:val="21"/>
              </w:rPr>
              <w:t>Th</w:t>
            </w:r>
          </w:p>
          <w:p>
            <w:pPr>
              <w:pStyle w:val="TableParagraph"/>
              <w:spacing w:line="255" w:lineRule="exact" w:before="1"/>
              <w:jc w:val="both"/>
              <w:rPr>
                <w:sz w:val="21"/>
              </w:rPr>
            </w:pPr>
            <w:r>
              <w:rPr>
                <w:rFonts w:ascii="黑体" w:eastAsia="黑体" w:hint="eastAsia"/>
                <w:sz w:val="21"/>
              </w:rPr>
              <w:t>活活动</w:t>
            </w:r>
            <w:r>
              <w:rPr>
                <w:sz w:val="21"/>
              </w:rPr>
              <w:t>（释义 21）中的二项或以上。</w:t>
            </w:r>
          </w:p>
        </w:tc>
      </w:tr>
    </w:tbl>
    <w:p>
      <w:pPr>
        <w:pStyle w:val="BodyText"/>
        <w:ind w:left="0"/>
      </w:pPr>
    </w:p>
    <w:p>
      <w:pPr>
        <w:pStyle w:val="BodyText"/>
        <w:ind w:left="0"/>
      </w:pPr>
    </w:p>
    <w:p>
      <w:pPr>
        <w:pStyle w:val="BodyText"/>
        <w:spacing w:before="3"/>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590"/>
        <w:gridCol w:w="7133"/>
      </w:tblGrid>
      <w:tr>
        <w:trPr>
          <w:trHeight w:val="944" w:hRule="atLeast"/>
        </w:trPr>
        <w:tc>
          <w:tcPr>
            <w:tcW w:w="1152" w:type="dxa"/>
          </w:tcPr>
          <w:p>
            <w:pPr>
              <w:pStyle w:val="TableParagraph"/>
              <w:spacing w:line="221" w:lineRule="exact"/>
              <w:ind w:left="200"/>
              <w:rPr>
                <w:b/>
                <w:sz w:val="21"/>
              </w:rPr>
            </w:pPr>
            <w:r>
              <w:rPr>
                <w:b/>
                <w:sz w:val="21"/>
              </w:rPr>
              <w:t>附表二：</w:t>
            </w:r>
          </w:p>
        </w:tc>
        <w:tc>
          <w:tcPr>
            <w:tcW w:w="1590" w:type="dxa"/>
          </w:tcPr>
          <w:p>
            <w:pPr>
              <w:pStyle w:val="TableParagraph"/>
              <w:spacing w:line="221" w:lineRule="exact"/>
              <w:ind w:left="106"/>
              <w:rPr>
                <w:b/>
                <w:sz w:val="21"/>
              </w:rPr>
            </w:pPr>
            <w:r>
              <w:rPr>
                <w:b/>
                <w:sz w:val="21"/>
              </w:rPr>
              <w:t>重大疾病列表</w:t>
            </w:r>
          </w:p>
        </w:tc>
        <w:tc>
          <w:tcPr>
            <w:tcW w:w="7133" w:type="dxa"/>
          </w:tcPr>
          <w:p>
            <w:pPr>
              <w:pStyle w:val="TableParagraph"/>
              <w:spacing w:line="211" w:lineRule="exact"/>
              <w:ind w:left="213"/>
              <w:rPr>
                <w:sz w:val="21"/>
              </w:rPr>
            </w:pPr>
            <w:r>
              <w:rPr>
                <w:sz w:val="21"/>
              </w:rPr>
              <w:t>本合同所指重大疾病包括以下疾病、疾病状态或手术。其中第 1-25 项为</w:t>
            </w:r>
          </w:p>
          <w:p>
            <w:pPr>
              <w:pStyle w:val="TableParagraph"/>
              <w:spacing w:line="244" w:lineRule="auto" w:before="3"/>
              <w:ind w:left="213" w:right="200"/>
              <w:rPr>
                <w:sz w:val="21"/>
              </w:rPr>
            </w:pPr>
            <w:r>
              <w:rPr>
                <w:spacing w:val="-6"/>
                <w:sz w:val="21"/>
              </w:rPr>
              <w:t>中国保险行业协会与中国医师协会共同制定的疾病定义，第 </w:t>
            </w:r>
            <w:r>
              <w:rPr>
                <w:sz w:val="21"/>
              </w:rPr>
              <w:t>26-48</w:t>
            </w:r>
            <w:r>
              <w:rPr>
                <w:spacing w:val="-11"/>
                <w:sz w:val="21"/>
              </w:rPr>
              <w:t> 项为本</w:t>
            </w:r>
            <w:r>
              <w:rPr>
                <w:spacing w:val="-6"/>
                <w:sz w:val="21"/>
              </w:rPr>
              <w:t>公司增加的疾病种类并自行制定的疾病定义。</w:t>
            </w:r>
          </w:p>
        </w:tc>
      </w:tr>
      <w:tr>
        <w:trPr>
          <w:trHeight w:val="3668" w:hRule="atLeast"/>
        </w:trPr>
        <w:tc>
          <w:tcPr>
            <w:tcW w:w="1152" w:type="dxa"/>
          </w:tcPr>
          <w:p>
            <w:pPr>
              <w:pStyle w:val="TableParagraph"/>
              <w:ind w:left="0"/>
              <w:rPr>
                <w:rFonts w:ascii="Times New Roman"/>
                <w:sz w:val="20"/>
              </w:rPr>
            </w:pPr>
          </w:p>
        </w:tc>
        <w:tc>
          <w:tcPr>
            <w:tcW w:w="1590" w:type="dxa"/>
          </w:tcPr>
          <w:p>
            <w:pPr>
              <w:pStyle w:val="TableParagraph"/>
              <w:spacing w:before="120"/>
              <w:ind w:left="106"/>
              <w:rPr>
                <w:b/>
                <w:sz w:val="21"/>
              </w:rPr>
            </w:pPr>
            <w:r>
              <w:rPr>
                <w:b/>
                <w:sz w:val="21"/>
              </w:rPr>
              <w:t>1.恶性肿瘤</w:t>
            </w:r>
          </w:p>
        </w:tc>
        <w:tc>
          <w:tcPr>
            <w:tcW w:w="7133" w:type="dxa"/>
          </w:tcPr>
          <w:p>
            <w:pPr>
              <w:pStyle w:val="TableParagraph"/>
              <w:spacing w:line="244" w:lineRule="auto" w:before="110"/>
              <w:ind w:left="213" w:right="203"/>
              <w:jc w:val="both"/>
              <w:rPr>
                <w:sz w:val="21"/>
              </w:rPr>
            </w:pPr>
            <w:r>
              <w:rPr>
                <w:spacing w:val="-5"/>
                <w:sz w:val="21"/>
              </w:rPr>
              <w:t>指恶性细胞不受控制的进行性增长和扩散，浸润和破坏周围正常组织，可</w:t>
            </w:r>
            <w:r>
              <w:rPr>
                <w:spacing w:val="-6"/>
                <w:sz w:val="21"/>
              </w:rPr>
              <w:t>以经血管、淋巴管和体腔扩散转移到身体其它部位的疾病。经病理学检查结果确诊，临床诊断属于世界卫生组织《疾病和有关健康问题的国际统计</w:t>
            </w:r>
            <w:r>
              <w:rPr>
                <w:spacing w:val="-37"/>
                <w:sz w:val="21"/>
              </w:rPr>
              <w:t>分类》</w:t>
            </w:r>
            <w:r>
              <w:rPr>
                <w:spacing w:val="-1"/>
                <w:sz w:val="21"/>
              </w:rPr>
              <w:t>（ICD-10）</w:t>
            </w:r>
            <w:r>
              <w:rPr>
                <w:spacing w:val="-3"/>
                <w:sz w:val="21"/>
              </w:rPr>
              <w:t>的恶性肿瘤范畴。</w:t>
            </w:r>
          </w:p>
          <w:p>
            <w:pPr>
              <w:pStyle w:val="TableParagraph"/>
              <w:spacing w:before="4"/>
              <w:ind w:left="0"/>
              <w:rPr>
                <w:sz w:val="22"/>
              </w:rPr>
            </w:pPr>
          </w:p>
          <w:p>
            <w:pPr>
              <w:pStyle w:val="TableParagraph"/>
              <w:ind w:left="213"/>
              <w:jc w:val="both"/>
              <w:rPr>
                <w:rFonts w:ascii="黑体" w:eastAsia="黑体" w:hint="eastAsia"/>
                <w:sz w:val="21"/>
              </w:rPr>
            </w:pPr>
            <w:r>
              <w:rPr>
                <w:rFonts w:ascii="黑体" w:eastAsia="黑体" w:hint="eastAsia"/>
                <w:sz w:val="21"/>
              </w:rPr>
              <w:t>下列疾病不在保障范围内：</w:t>
            </w:r>
          </w:p>
          <w:p>
            <w:pPr>
              <w:pStyle w:val="TableParagraph"/>
              <w:spacing w:before="37"/>
              <w:ind w:left="213"/>
              <w:jc w:val="both"/>
              <w:rPr>
                <w:rFonts w:ascii="黑体" w:eastAsia="黑体" w:hint="eastAsia"/>
                <w:sz w:val="21"/>
              </w:rPr>
            </w:pPr>
            <w:r>
              <w:rPr>
                <w:rFonts w:ascii="黑体" w:eastAsia="黑体" w:hint="eastAsia"/>
                <w:sz w:val="21"/>
              </w:rPr>
              <w:t>（1）原位癌；</w:t>
            </w:r>
          </w:p>
          <w:p>
            <w:pPr>
              <w:pStyle w:val="TableParagraph"/>
              <w:spacing w:before="37"/>
              <w:ind w:left="213"/>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213"/>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213"/>
              <w:jc w:val="both"/>
              <w:rPr>
                <w:rFonts w:ascii="黑体" w:eastAsia="黑体" w:hint="eastAsia"/>
                <w:sz w:val="21"/>
              </w:rPr>
            </w:pPr>
            <w:r>
              <w:rPr>
                <w:rFonts w:ascii="黑体" w:eastAsia="黑体" w:hint="eastAsia"/>
                <w:sz w:val="21"/>
              </w:rPr>
              <w:t>（4）皮肤癌（不包括恶性黑色素瘤及已发Th转移的皮肤癌）；</w:t>
            </w:r>
          </w:p>
          <w:p>
            <w:pPr>
              <w:pStyle w:val="TableParagraph"/>
              <w:spacing w:before="36"/>
              <w:ind w:left="213"/>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position w:val="1"/>
                <w:sz w:val="14"/>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line="255" w:lineRule="exact" w:before="37"/>
              <w:ind w:left="213"/>
              <w:jc w:val="both"/>
              <w:rPr>
                <w:rFonts w:ascii="黑体" w:eastAsia="黑体" w:hint="eastAsia"/>
                <w:sz w:val="21"/>
              </w:rPr>
            </w:pPr>
            <w:r>
              <w:rPr>
                <w:rFonts w:ascii="黑体" w:eastAsia="黑体" w:hint="eastAsia"/>
                <w:sz w:val="21"/>
              </w:rPr>
              <w:t>（6）感染艾滋病病毒或患艾滋病期间所患恶性肿瘤。</w:t>
            </w:r>
          </w:p>
        </w:tc>
      </w:tr>
    </w:tbl>
    <w:p>
      <w:pPr>
        <w:spacing w:after="0" w:line="255" w:lineRule="exact"/>
        <w:jc w:val="both"/>
        <w:rPr>
          <w:rFonts w:ascii="黑体" w:eastAsia="黑体" w:hint="eastAsia"/>
          <w:sz w:val="21"/>
        </w:rPr>
        <w:sectPr>
          <w:pgSz w:w="11910" w:h="16840"/>
          <w:pgMar w:header="0" w:footer="919" w:top="1460" w:bottom="1100" w:left="880" w:right="920"/>
        </w:sectPr>
      </w:pPr>
    </w:p>
    <w:p>
      <w:pPr>
        <w:pStyle w:val="BodyText"/>
        <w:ind w:left="0"/>
        <w:rPr>
          <w:rFonts w:ascii="Times New Roman"/>
        </w:rPr>
      </w:pPr>
    </w:p>
    <w:p>
      <w:pPr>
        <w:pStyle w:val="BodyText"/>
        <w:spacing w:before="7" w:after="1"/>
        <w:ind w:left="0"/>
        <w:rPr>
          <w:rFonts w:ascii="Times New Roman"/>
          <w:sz w:val="22"/>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31"/>
      </w:tblGrid>
      <w:tr>
        <w:trPr>
          <w:trHeight w:val="2346" w:hRule="atLeast"/>
        </w:trPr>
        <w:tc>
          <w:tcPr>
            <w:tcW w:w="1788" w:type="dxa"/>
          </w:tcPr>
          <w:p>
            <w:pPr>
              <w:pStyle w:val="TableParagraph"/>
              <w:spacing w:line="221" w:lineRule="exact"/>
              <w:ind w:left="0" w:right="107"/>
              <w:jc w:val="right"/>
              <w:rPr>
                <w:b/>
                <w:sz w:val="21"/>
              </w:rPr>
            </w:pPr>
            <w:r>
              <w:rPr>
                <w:b/>
                <w:sz w:val="21"/>
              </w:rPr>
              <w:t>2.急性心肌梗塞</w:t>
            </w:r>
          </w:p>
        </w:tc>
        <w:tc>
          <w:tcPr>
            <w:tcW w:w="7131" w:type="dxa"/>
          </w:tcPr>
          <w:p>
            <w:pPr>
              <w:pStyle w:val="TableParagraph"/>
              <w:spacing w:line="211" w:lineRule="exact"/>
              <w:rPr>
                <w:sz w:val="21"/>
              </w:rPr>
            </w:pPr>
            <w:r>
              <w:rPr>
                <w:sz w:val="21"/>
              </w:rPr>
              <w:t>指因冠状动脉阻塞导致的相应区域供血不足造成部分心肌坏死。须满足下</w:t>
            </w:r>
          </w:p>
          <w:p>
            <w:pPr>
              <w:pStyle w:val="TableParagraph"/>
              <w:spacing w:before="6"/>
              <w:rPr>
                <w:sz w:val="21"/>
              </w:rPr>
            </w:pPr>
            <w:r>
              <w:rPr>
                <w:sz w:val="21"/>
              </w:rPr>
              <w:t>列至少三项条件：</w:t>
            </w:r>
          </w:p>
          <w:p>
            <w:pPr>
              <w:pStyle w:val="TableParagraph"/>
              <w:spacing w:before="6"/>
              <w:rPr>
                <w:sz w:val="21"/>
              </w:rPr>
            </w:pPr>
            <w:r>
              <w:rPr>
                <w:sz w:val="21"/>
              </w:rPr>
              <w:t>（1）典型临床表现，例如急性胸痛等；</w:t>
            </w:r>
          </w:p>
          <w:p>
            <w:pPr>
              <w:pStyle w:val="TableParagraph"/>
              <w:spacing w:before="3"/>
              <w:rPr>
                <w:sz w:val="21"/>
              </w:rPr>
            </w:pPr>
            <w:r>
              <w:rPr>
                <w:sz w:val="21"/>
              </w:rPr>
              <w:t>（2）新近的心电图改变提示急性心肌梗塞；</w:t>
            </w:r>
          </w:p>
          <w:p>
            <w:pPr>
              <w:pStyle w:val="TableParagraph"/>
              <w:spacing w:line="244" w:lineRule="auto" w:before="5"/>
              <w:ind w:right="311"/>
              <w:rPr>
                <w:sz w:val="21"/>
              </w:rPr>
            </w:pPr>
            <w:r>
              <w:rPr>
                <w:sz w:val="21"/>
              </w:rPr>
              <w:t>（3）心肌酶或肌钙蛋白有诊断意义的升高，或呈符合急性心肌梗塞的动态性变化；</w:t>
            </w:r>
          </w:p>
          <w:p>
            <w:pPr>
              <w:pStyle w:val="TableParagraph"/>
              <w:spacing w:line="274" w:lineRule="exact"/>
              <w:rPr>
                <w:sz w:val="21"/>
              </w:rPr>
            </w:pPr>
            <w:r>
              <w:rPr>
                <w:sz w:val="21"/>
              </w:rPr>
              <w:t>（4）发病 90 天后，经检查证实左心室功能降低，如左心室射血分数低于</w:t>
            </w:r>
          </w:p>
          <w:p>
            <w:pPr>
              <w:pStyle w:val="TableParagraph"/>
              <w:spacing w:before="6"/>
              <w:rPr>
                <w:sz w:val="21"/>
              </w:rPr>
            </w:pPr>
            <w:r>
              <w:rPr>
                <w:sz w:val="21"/>
              </w:rPr>
              <w:t>50%。</w:t>
            </w:r>
          </w:p>
        </w:tc>
      </w:tr>
      <w:tr>
        <w:trPr>
          <w:trHeight w:val="2240" w:hRule="atLeast"/>
        </w:trPr>
        <w:tc>
          <w:tcPr>
            <w:tcW w:w="1788" w:type="dxa"/>
          </w:tcPr>
          <w:p>
            <w:pPr>
              <w:pStyle w:val="TableParagraph"/>
              <w:spacing w:before="120"/>
              <w:ind w:left="0" w:right="107"/>
              <w:jc w:val="right"/>
              <w:rPr>
                <w:b/>
                <w:sz w:val="21"/>
              </w:rPr>
            </w:pPr>
            <w:r>
              <w:rPr>
                <w:b/>
                <w:sz w:val="21"/>
              </w:rPr>
              <w:t>3.脑中风后遗症</w:t>
            </w:r>
          </w:p>
        </w:tc>
        <w:tc>
          <w:tcPr>
            <w:tcW w:w="7131" w:type="dxa"/>
          </w:tcPr>
          <w:p>
            <w:pPr>
              <w:pStyle w:val="TableParagraph"/>
              <w:spacing w:line="244" w:lineRule="auto" w:before="110"/>
              <w:ind w:right="305"/>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3"/>
                <w:sz w:val="21"/>
              </w:rPr>
              <w:t>遗留下列一种或一种以上障碍：</w:t>
            </w:r>
          </w:p>
          <w:p>
            <w:pPr>
              <w:pStyle w:val="TableParagraph"/>
              <w:spacing w:line="274" w:lineRule="exact"/>
              <w:rPr>
                <w:sz w:val="21"/>
              </w:rPr>
            </w:pPr>
            <w:r>
              <w:rPr>
                <w:w w:val="100"/>
                <w:sz w:val="21"/>
              </w:rPr>
              <w:t>（1</w:t>
            </w:r>
            <w:r>
              <w:rPr>
                <w:spacing w:val="-3"/>
                <w:w w:val="100"/>
                <w:sz w:val="21"/>
              </w:rPr>
              <w:t>）一肢或一肢以上</w:t>
            </w:r>
            <w:r>
              <w:rPr>
                <w:rFonts w:ascii="黑体" w:eastAsia="黑体" w:hint="eastAsia"/>
                <w:spacing w:val="-3"/>
                <w:w w:val="100"/>
                <w:sz w:val="21"/>
              </w:rPr>
              <w:t>肢体机能完全丧失</w:t>
            </w:r>
            <w:r>
              <w:rPr>
                <w:spacing w:val="-2"/>
                <w:w w:val="100"/>
                <w:sz w:val="21"/>
              </w:rPr>
              <w:t>（释义</w:t>
            </w:r>
            <w:r>
              <w:rPr>
                <w:spacing w:val="-53"/>
                <w:sz w:val="21"/>
              </w:rPr>
              <w:t> </w:t>
            </w:r>
            <w:r>
              <w:rPr>
                <w:w w:val="100"/>
                <w:sz w:val="21"/>
              </w:rPr>
              <w:t>17</w:t>
            </w:r>
            <w:r>
              <w:rPr>
                <w:spacing w:val="-108"/>
                <w:w w:val="100"/>
                <w:sz w:val="21"/>
              </w:rPr>
              <w:t>）；</w:t>
            </w:r>
          </w:p>
          <w:p>
            <w:pPr>
              <w:pStyle w:val="TableParagraph"/>
              <w:spacing w:before="6"/>
              <w:rPr>
                <w:sz w:val="21"/>
              </w:rPr>
            </w:pPr>
            <w:r>
              <w:rPr>
                <w:w w:val="100"/>
                <w:sz w:val="21"/>
              </w:rPr>
              <w:t>（2</w:t>
            </w:r>
            <w:r>
              <w:rPr>
                <w:spacing w:val="-5"/>
                <w:w w:val="100"/>
                <w:sz w:val="21"/>
              </w:rPr>
              <w:t>）</w:t>
            </w:r>
            <w:r>
              <w:rPr>
                <w:rFonts w:ascii="黑体" w:eastAsia="黑体" w:hint="eastAsia"/>
                <w:spacing w:val="-4"/>
                <w:w w:val="100"/>
                <w:sz w:val="21"/>
              </w:rPr>
              <w:t>语言能力完全丧失</w:t>
            </w:r>
            <w:r>
              <w:rPr>
                <w:spacing w:val="-3"/>
                <w:w w:val="100"/>
                <w:sz w:val="21"/>
              </w:rPr>
              <w:t>（</w:t>
            </w:r>
            <w:r>
              <w:rPr>
                <w:w w:val="100"/>
                <w:sz w:val="21"/>
              </w:rPr>
              <w:t>释义</w:t>
            </w:r>
            <w:r>
              <w:rPr>
                <w:spacing w:val="-53"/>
                <w:sz w:val="21"/>
              </w:rPr>
              <w:t> </w:t>
            </w:r>
            <w:r>
              <w:rPr>
                <w:spacing w:val="-3"/>
                <w:w w:val="100"/>
                <w:sz w:val="21"/>
              </w:rPr>
              <w:t>1</w:t>
            </w:r>
            <w:r>
              <w:rPr>
                <w:w w:val="100"/>
                <w:sz w:val="21"/>
              </w:rPr>
              <w:t>8</w:t>
            </w:r>
            <w:r>
              <w:rPr>
                <w:spacing w:val="-5"/>
                <w:w w:val="100"/>
                <w:sz w:val="21"/>
              </w:rPr>
              <w:t>）</w:t>
            </w:r>
            <w:r>
              <w:rPr>
                <w:w w:val="100"/>
                <w:sz w:val="21"/>
              </w:rPr>
              <w:t>或</w:t>
            </w:r>
            <w:r>
              <w:rPr>
                <w:rFonts w:ascii="黑体" w:eastAsia="黑体" w:hint="eastAsia"/>
                <w:spacing w:val="-4"/>
                <w:w w:val="100"/>
                <w:sz w:val="21"/>
              </w:rPr>
              <w:t>咀嚼吞咽能力完全丧失</w:t>
            </w:r>
            <w:r>
              <w:rPr>
                <w:w w:val="100"/>
                <w:sz w:val="21"/>
              </w:rPr>
              <w:t>（</w:t>
            </w:r>
            <w:r>
              <w:rPr>
                <w:spacing w:val="-2"/>
                <w:w w:val="100"/>
                <w:sz w:val="21"/>
              </w:rPr>
              <w:t>释义</w:t>
            </w:r>
            <w:r>
              <w:rPr>
                <w:spacing w:val="-52"/>
                <w:sz w:val="21"/>
              </w:rPr>
              <w:t> </w:t>
            </w:r>
            <w:r>
              <w:rPr>
                <w:w w:val="100"/>
                <w:sz w:val="21"/>
              </w:rPr>
              <w:t>19</w:t>
            </w:r>
            <w:r>
              <w:rPr>
                <w:spacing w:val="-108"/>
                <w:w w:val="100"/>
                <w:sz w:val="21"/>
              </w:rPr>
              <w:t>）；</w:t>
            </w:r>
          </w:p>
          <w:p>
            <w:pPr>
              <w:pStyle w:val="TableParagraph"/>
              <w:spacing w:line="242" w:lineRule="auto" w:before="5"/>
              <w:ind w:right="300"/>
              <w:rPr>
                <w:sz w:val="21"/>
              </w:rPr>
            </w:pPr>
            <w:r>
              <w:rPr>
                <w:sz w:val="21"/>
              </w:rPr>
              <w:t>（3）自主生活能力完全丧失，无法独立完成</w:t>
            </w:r>
            <w:r>
              <w:rPr>
                <w:rFonts w:ascii="黑体" w:eastAsia="黑体" w:hint="eastAsia"/>
                <w:sz w:val="21"/>
              </w:rPr>
              <w:t>六项基本日常Th活活动</w:t>
            </w:r>
            <w:r>
              <w:rPr>
                <w:sz w:val="21"/>
              </w:rPr>
              <w:t>中的三项或三项以上。</w:t>
            </w:r>
          </w:p>
        </w:tc>
      </w:tr>
      <w:tr>
        <w:trPr>
          <w:trHeight w:val="1959" w:hRule="atLeast"/>
        </w:trPr>
        <w:tc>
          <w:tcPr>
            <w:tcW w:w="1788" w:type="dxa"/>
          </w:tcPr>
          <w:p>
            <w:pPr>
              <w:pStyle w:val="TableParagraph"/>
              <w:spacing w:line="273" w:lineRule="auto" w:before="121"/>
              <w:ind w:left="200" w:right="107"/>
              <w:jc w:val="both"/>
              <w:rPr>
                <w:b/>
                <w:sz w:val="21"/>
              </w:rPr>
            </w:pPr>
            <w:r>
              <w:rPr>
                <w:b/>
                <w:sz w:val="21"/>
              </w:rPr>
              <w:t>4.重大器官移植术或造血干细胞移植术</w:t>
            </w:r>
          </w:p>
        </w:tc>
        <w:tc>
          <w:tcPr>
            <w:tcW w:w="7131" w:type="dxa"/>
          </w:tcPr>
          <w:p>
            <w:pPr>
              <w:pStyle w:val="TableParagraph"/>
              <w:spacing w:line="242" w:lineRule="auto" w:before="111"/>
              <w:ind w:right="262"/>
              <w:rPr>
                <w:sz w:val="21"/>
              </w:rPr>
            </w:pPr>
            <w:r>
              <w:rPr>
                <w:sz w:val="21"/>
              </w:rPr>
              <w:t>重大器官移植术，指因相应器官功能衰竭，已经实施了肾脏、肝脏、心脏或肺脏的异体移植手术。</w:t>
            </w:r>
          </w:p>
          <w:p>
            <w:pPr>
              <w:pStyle w:val="TableParagraph"/>
              <w:spacing w:before="8"/>
              <w:ind w:left="0"/>
              <w:rPr>
                <w:rFonts w:ascii="Times New Roman"/>
                <w:sz w:val="24"/>
              </w:rPr>
            </w:pPr>
          </w:p>
          <w:p>
            <w:pPr>
              <w:pStyle w:val="TableParagraph"/>
              <w:spacing w:line="244" w:lineRule="auto"/>
              <w:ind w:right="197"/>
              <w:rPr>
                <w:sz w:val="21"/>
              </w:rPr>
            </w:pPr>
            <w:r>
              <w:rPr>
                <w:spacing w:val="-5"/>
                <w:sz w:val="21"/>
              </w:rPr>
              <w:t>造血干细胞移植术，指因造血功能损害或造血系统恶性肿瘤，已经实施了</w:t>
            </w:r>
            <w:r>
              <w:rPr>
                <w:spacing w:val="-16"/>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680" w:hRule="atLeast"/>
        </w:trPr>
        <w:tc>
          <w:tcPr>
            <w:tcW w:w="1788" w:type="dxa"/>
          </w:tcPr>
          <w:p>
            <w:pPr>
              <w:pStyle w:val="TableParagraph"/>
              <w:spacing w:line="273" w:lineRule="auto" w:before="120"/>
              <w:ind w:left="200" w:right="107"/>
              <w:jc w:val="both"/>
              <w:rPr>
                <w:b/>
                <w:sz w:val="21"/>
              </w:rPr>
            </w:pPr>
            <w:r>
              <w:rPr>
                <w:b/>
                <w:sz w:val="21"/>
              </w:rPr>
              <w:t>5.冠状动脉搭桥术（或称冠状动脉旁路移植术）</w:t>
            </w:r>
          </w:p>
        </w:tc>
        <w:tc>
          <w:tcPr>
            <w:tcW w:w="7131" w:type="dxa"/>
          </w:tcPr>
          <w:p>
            <w:pPr>
              <w:pStyle w:val="TableParagraph"/>
              <w:spacing w:line="244" w:lineRule="auto" w:before="110"/>
              <w:ind w:right="263"/>
              <w:rPr>
                <w:sz w:val="21"/>
              </w:rPr>
            </w:pPr>
            <w:r>
              <w:rPr>
                <w:sz w:val="21"/>
              </w:rPr>
              <w:t>指为治疗严重的冠心病，实际实施了开胸进行的冠状动脉血管旁路移植的手术。</w:t>
            </w:r>
          </w:p>
          <w:p>
            <w:pPr>
              <w:pStyle w:val="TableParagraph"/>
              <w:spacing w:before="3"/>
              <w:ind w:left="0"/>
              <w:rPr>
                <w:rFonts w:ascii="Times New Roman"/>
                <w:sz w:val="24"/>
              </w:rPr>
            </w:pPr>
          </w:p>
          <w:p>
            <w:pPr>
              <w:pStyle w:val="TableParagraph"/>
              <w:spacing w:line="244" w:lineRule="auto"/>
              <w:ind w:right="278"/>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532" w:hRule="atLeast"/>
        </w:trPr>
        <w:tc>
          <w:tcPr>
            <w:tcW w:w="1788" w:type="dxa"/>
          </w:tcPr>
          <w:p>
            <w:pPr>
              <w:pStyle w:val="TableParagraph"/>
              <w:spacing w:before="120"/>
              <w:ind w:left="200"/>
              <w:rPr>
                <w:b/>
                <w:sz w:val="21"/>
              </w:rPr>
            </w:pPr>
            <w:r>
              <w:rPr>
                <w:b/>
                <w:sz w:val="21"/>
              </w:rPr>
              <w:t>6.终末期肾病</w:t>
            </w:r>
          </w:p>
          <w:p>
            <w:pPr>
              <w:pStyle w:val="TableParagraph"/>
              <w:spacing w:line="273" w:lineRule="auto" w:before="37"/>
              <w:ind w:left="200" w:right="107"/>
              <w:rPr>
                <w:b/>
                <w:sz w:val="21"/>
              </w:rPr>
            </w:pPr>
            <w:r>
              <w:rPr>
                <w:b/>
                <w:sz w:val="21"/>
              </w:rPr>
              <w:t>（或称慢性肾功能衰竭尿毒症 期）</w:t>
            </w:r>
          </w:p>
        </w:tc>
        <w:tc>
          <w:tcPr>
            <w:tcW w:w="7131" w:type="dxa"/>
          </w:tcPr>
          <w:p>
            <w:pPr>
              <w:pStyle w:val="TableParagraph"/>
              <w:spacing w:before="110"/>
              <w:rPr>
                <w:sz w:val="21"/>
              </w:rPr>
            </w:pPr>
            <w:r>
              <w:rPr>
                <w:sz w:val="21"/>
              </w:rPr>
              <w:t>指双肾功能慢性不可逆性衰竭，达到尿毒症期，经诊断后已经进行了至少</w:t>
            </w:r>
          </w:p>
          <w:p>
            <w:pPr>
              <w:pStyle w:val="TableParagraph"/>
              <w:spacing w:before="5"/>
              <w:rPr>
                <w:sz w:val="21"/>
              </w:rPr>
            </w:pPr>
            <w:r>
              <w:rPr>
                <w:sz w:val="21"/>
              </w:rPr>
              <w:t>90 天的规律性透析治疗或实施了肾脏移植手术。</w:t>
            </w:r>
          </w:p>
        </w:tc>
      </w:tr>
      <w:tr>
        <w:trPr>
          <w:trHeight w:val="868" w:hRule="atLeast"/>
        </w:trPr>
        <w:tc>
          <w:tcPr>
            <w:tcW w:w="1788" w:type="dxa"/>
          </w:tcPr>
          <w:p>
            <w:pPr>
              <w:pStyle w:val="TableParagraph"/>
              <w:spacing w:before="147"/>
              <w:ind w:left="0" w:right="107"/>
              <w:jc w:val="right"/>
              <w:rPr>
                <w:b/>
                <w:sz w:val="21"/>
              </w:rPr>
            </w:pPr>
            <w:r>
              <w:rPr>
                <w:b/>
                <w:sz w:val="21"/>
              </w:rPr>
              <w:t>7.多个肢体缺失</w:t>
            </w:r>
          </w:p>
        </w:tc>
        <w:tc>
          <w:tcPr>
            <w:tcW w:w="7131" w:type="dxa"/>
          </w:tcPr>
          <w:p>
            <w:pPr>
              <w:pStyle w:val="TableParagraph"/>
              <w:spacing w:line="244" w:lineRule="auto" w:before="138"/>
              <w:ind w:right="262"/>
              <w:rPr>
                <w:sz w:val="21"/>
              </w:rPr>
            </w:pPr>
            <w:r>
              <w:rPr>
                <w:sz w:val="21"/>
              </w:rPr>
              <w:t>指因疾病或意外伤害导致两个或两个以上肢体自腕关节或踝关节近端（靠近躯干端）以上完全性断离。</w:t>
            </w:r>
          </w:p>
        </w:tc>
      </w:tr>
      <w:tr>
        <w:trPr>
          <w:trHeight w:val="1786" w:hRule="atLeast"/>
        </w:trPr>
        <w:tc>
          <w:tcPr>
            <w:tcW w:w="1788" w:type="dxa"/>
          </w:tcPr>
          <w:p>
            <w:pPr>
              <w:pStyle w:val="TableParagraph"/>
              <w:spacing w:line="273" w:lineRule="auto" w:before="120"/>
              <w:ind w:left="200" w:right="107"/>
              <w:rPr>
                <w:b/>
                <w:sz w:val="21"/>
              </w:rPr>
            </w:pPr>
            <w:r>
              <w:rPr>
                <w:b/>
                <w:sz w:val="21"/>
              </w:rPr>
              <w:t>8.急性或亚急性重症肝炎</w:t>
            </w:r>
          </w:p>
        </w:tc>
        <w:tc>
          <w:tcPr>
            <w:tcW w:w="7131" w:type="dxa"/>
          </w:tcPr>
          <w:p>
            <w:pPr>
              <w:pStyle w:val="TableParagraph"/>
              <w:spacing w:line="244" w:lineRule="auto" w:before="110"/>
              <w:ind w:right="278"/>
              <w:rPr>
                <w:sz w:val="21"/>
              </w:rPr>
            </w:pPr>
            <w:r>
              <w:rPr>
                <w:sz w:val="21"/>
              </w:rPr>
              <w:t>指因肝炎病毒感染引起肝脏组织弥漫性坏死，导致急性肝功能衰竭，且经血清学或病毒学检查证实，并须满足下列全部条件：</w:t>
            </w:r>
          </w:p>
          <w:p>
            <w:pPr>
              <w:pStyle w:val="TableParagraph"/>
              <w:spacing w:before="1"/>
              <w:rPr>
                <w:sz w:val="21"/>
              </w:rPr>
            </w:pPr>
            <w:r>
              <w:rPr>
                <w:sz w:val="21"/>
              </w:rPr>
              <w:t>（1）重度黄疸或黄疸迅速加重；</w:t>
            </w:r>
          </w:p>
          <w:p>
            <w:pPr>
              <w:pStyle w:val="TableParagraph"/>
              <w:spacing w:before="3"/>
              <w:rPr>
                <w:sz w:val="21"/>
              </w:rPr>
            </w:pPr>
            <w:r>
              <w:rPr>
                <w:sz w:val="21"/>
              </w:rPr>
              <w:t>（2）肝性脑病；</w:t>
            </w:r>
          </w:p>
          <w:p>
            <w:pPr>
              <w:pStyle w:val="TableParagraph"/>
              <w:spacing w:before="6"/>
              <w:rPr>
                <w:sz w:val="21"/>
              </w:rPr>
            </w:pPr>
            <w:r>
              <w:rPr>
                <w:sz w:val="21"/>
              </w:rPr>
              <w:t>（3）B 超或其它影像学检查显示肝脏体积急速萎缩；</w:t>
            </w:r>
          </w:p>
          <w:p>
            <w:pPr>
              <w:pStyle w:val="TableParagraph"/>
              <w:spacing w:line="255" w:lineRule="exact" w:before="6"/>
              <w:rPr>
                <w:sz w:val="21"/>
              </w:rPr>
            </w:pPr>
            <w:r>
              <w:rPr>
                <w:sz w:val="21"/>
              </w:rPr>
              <w:t>（4）肝功能指标进行性恶化。</w:t>
            </w:r>
          </w:p>
        </w:tc>
      </w:tr>
    </w:tbl>
    <w:p>
      <w:pPr>
        <w:spacing w:after="0" w:line="255" w:lineRule="exact"/>
        <w:rPr>
          <w:sz w:val="21"/>
        </w:rPr>
        <w:sectPr>
          <w:pgSz w:w="11910" w:h="16840"/>
          <w:pgMar w:header="0" w:footer="919" w:top="1580" w:bottom="1100" w:left="1680" w:right="82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27"/>
      </w:tblGrid>
      <w:tr>
        <w:trPr>
          <w:trHeight w:val="2346" w:hRule="atLeast"/>
        </w:trPr>
        <w:tc>
          <w:tcPr>
            <w:tcW w:w="1788" w:type="dxa"/>
          </w:tcPr>
          <w:p>
            <w:pPr>
              <w:pStyle w:val="TableParagraph"/>
              <w:spacing w:line="221" w:lineRule="exact"/>
              <w:ind w:left="200"/>
              <w:rPr>
                <w:b/>
                <w:sz w:val="21"/>
              </w:rPr>
            </w:pPr>
            <w:r>
              <w:rPr>
                <w:b/>
                <w:sz w:val="21"/>
              </w:rPr>
              <w:t>9.良性脑肿瘤</w:t>
            </w:r>
          </w:p>
        </w:tc>
        <w:tc>
          <w:tcPr>
            <w:tcW w:w="7127" w:type="dxa"/>
          </w:tcPr>
          <w:p>
            <w:pPr>
              <w:pStyle w:val="TableParagraph"/>
              <w:spacing w:line="211" w:lineRule="exact"/>
              <w:rPr>
                <w:sz w:val="21"/>
              </w:rPr>
            </w:pPr>
            <w:r>
              <w:rPr>
                <w:sz w:val="21"/>
              </w:rPr>
              <w:t>指脑的良性肿瘤，已经引起颅内压增高，临床表现为视神经乳头水肿、精</w:t>
            </w:r>
          </w:p>
          <w:p>
            <w:pPr>
              <w:pStyle w:val="TableParagraph"/>
              <w:spacing w:line="244" w:lineRule="auto" w:before="6"/>
              <w:ind w:right="294"/>
              <w:jc w:val="both"/>
              <w:rPr>
                <w:sz w:val="21"/>
              </w:rPr>
            </w:pPr>
            <w:r>
              <w:rPr>
                <w:spacing w:val="-5"/>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1"/>
              <w:jc w:val="both"/>
              <w:rPr>
                <w:sz w:val="21"/>
              </w:rPr>
            </w:pPr>
            <w:r>
              <w:rPr>
                <w:sz w:val="21"/>
              </w:rPr>
              <w:t>（1）实际实施了开颅进行的脑肿瘤完全切除或部分切除的手术；</w:t>
            </w:r>
          </w:p>
          <w:p>
            <w:pPr>
              <w:pStyle w:val="TableParagraph"/>
              <w:spacing w:before="3"/>
              <w:jc w:val="both"/>
              <w:rPr>
                <w:sz w:val="21"/>
              </w:rPr>
            </w:pPr>
            <w:r>
              <w:rPr>
                <w:sz w:val="21"/>
              </w:rPr>
              <w:t>（2）实际实施了对脑肿瘤进行的放射治疗。</w:t>
            </w:r>
          </w:p>
          <w:p>
            <w:pPr>
              <w:pStyle w:val="TableParagraph"/>
              <w:spacing w:before="10"/>
              <w:ind w:left="0"/>
              <w:rPr>
                <w:rFonts w:ascii="Times New Roman"/>
                <w:sz w:val="24"/>
              </w:rPr>
            </w:pPr>
          </w:p>
          <w:p>
            <w:pPr>
              <w:pStyle w:val="TableParagraph"/>
              <w:jc w:val="both"/>
              <w:rPr>
                <w:rFonts w:ascii="黑体" w:eastAsia="黑体" w:hint="eastAsia"/>
                <w:sz w:val="21"/>
              </w:rPr>
            </w:pPr>
            <w:r>
              <w:rPr>
                <w:rFonts w:ascii="黑体" w:eastAsia="黑体" w:hint="eastAsia"/>
                <w:sz w:val="21"/>
              </w:rPr>
              <w:t>脑垂体瘤、脑囊肿、脑血管性疾病不在保障范围内。</w:t>
            </w:r>
          </w:p>
        </w:tc>
      </w:tr>
      <w:tr>
        <w:trPr>
          <w:trHeight w:val="2239" w:hRule="atLeast"/>
        </w:trPr>
        <w:tc>
          <w:tcPr>
            <w:tcW w:w="1788" w:type="dxa"/>
          </w:tcPr>
          <w:p>
            <w:pPr>
              <w:pStyle w:val="TableParagraph"/>
              <w:spacing w:line="273" w:lineRule="auto" w:before="120"/>
              <w:ind w:left="200" w:right="213"/>
              <w:rPr>
                <w:b/>
                <w:sz w:val="21"/>
              </w:rPr>
            </w:pPr>
            <w:r>
              <w:rPr>
                <w:b/>
                <w:sz w:val="21"/>
              </w:rPr>
              <w:t>10.慢性肝功能衰竭失代偿期</w:t>
            </w:r>
          </w:p>
        </w:tc>
        <w:tc>
          <w:tcPr>
            <w:tcW w:w="7127" w:type="dxa"/>
          </w:tcPr>
          <w:p>
            <w:pPr>
              <w:pStyle w:val="TableParagraph"/>
              <w:spacing w:before="110"/>
              <w:rPr>
                <w:sz w:val="21"/>
              </w:rPr>
            </w:pPr>
            <w:r>
              <w:rPr>
                <w:sz w:val="21"/>
              </w:rPr>
              <w:t>指因慢性肝脏疾病导致肝功能衰竭，须满足下列全部条件：</w:t>
            </w:r>
          </w:p>
          <w:p>
            <w:pPr>
              <w:pStyle w:val="TableParagraph"/>
              <w:spacing w:before="5"/>
              <w:rPr>
                <w:sz w:val="21"/>
              </w:rPr>
            </w:pPr>
            <w:r>
              <w:rPr>
                <w:sz w:val="21"/>
              </w:rPr>
              <w:t>（1）持续性黄疸；</w:t>
            </w:r>
          </w:p>
          <w:p>
            <w:pPr>
              <w:pStyle w:val="TableParagraph"/>
              <w:spacing w:before="3"/>
              <w:rPr>
                <w:sz w:val="21"/>
              </w:rPr>
            </w:pPr>
            <w:r>
              <w:rPr>
                <w:sz w:val="21"/>
              </w:rPr>
              <w:t>（2）腹水；</w:t>
            </w:r>
          </w:p>
          <w:p>
            <w:pPr>
              <w:pStyle w:val="TableParagraph"/>
              <w:spacing w:before="6"/>
              <w:rPr>
                <w:sz w:val="21"/>
              </w:rPr>
            </w:pPr>
            <w:r>
              <w:rPr>
                <w:sz w:val="21"/>
              </w:rPr>
              <w:t>（3）肝性脑病；</w:t>
            </w:r>
          </w:p>
          <w:p>
            <w:pPr>
              <w:pStyle w:val="TableParagraph"/>
              <w:spacing w:before="6"/>
              <w:rPr>
                <w:sz w:val="21"/>
              </w:rPr>
            </w:pPr>
            <w:r>
              <w:rPr>
                <w:sz w:val="21"/>
              </w:rPr>
              <w:t>（4）充血性脾大伴脾功能亢进或食管胃底静脉曲张。</w:t>
            </w:r>
          </w:p>
          <w:p>
            <w:pPr>
              <w:pStyle w:val="TableParagraph"/>
              <w:spacing w:before="7"/>
              <w:ind w:left="0"/>
              <w:rPr>
                <w:rFonts w:ascii="Times New Roman"/>
                <w:sz w:val="24"/>
              </w:rPr>
            </w:pPr>
          </w:p>
          <w:p>
            <w:pPr>
              <w:pStyle w:val="TableParagraph"/>
              <w:spacing w:before="1"/>
              <w:rPr>
                <w:rFonts w:ascii="黑体" w:eastAsia="黑体" w:hint="eastAsia"/>
                <w:sz w:val="21"/>
              </w:rPr>
            </w:pPr>
            <w:r>
              <w:rPr>
                <w:rFonts w:ascii="黑体" w:eastAsia="黑体" w:hint="eastAsia"/>
                <w:sz w:val="21"/>
              </w:rPr>
              <w:t>因酗酒或药物滥用导致的肝功能衰竭不在保障范围内。</w:t>
            </w:r>
          </w:p>
        </w:tc>
      </w:tr>
      <w:tr>
        <w:trPr>
          <w:trHeight w:val="1960" w:hRule="atLeast"/>
        </w:trPr>
        <w:tc>
          <w:tcPr>
            <w:tcW w:w="1788" w:type="dxa"/>
          </w:tcPr>
          <w:p>
            <w:pPr>
              <w:pStyle w:val="TableParagraph"/>
              <w:spacing w:line="273" w:lineRule="auto" w:before="120"/>
              <w:ind w:left="200" w:right="107"/>
              <w:rPr>
                <w:b/>
                <w:sz w:val="21"/>
              </w:rPr>
            </w:pPr>
            <w:r>
              <w:rPr>
                <w:b/>
                <w:sz w:val="21"/>
              </w:rPr>
              <w:t>11.脑炎后遗症或脑膜炎后遗症</w:t>
            </w:r>
          </w:p>
        </w:tc>
        <w:tc>
          <w:tcPr>
            <w:tcW w:w="7127" w:type="dxa"/>
          </w:tcPr>
          <w:p>
            <w:pPr>
              <w:pStyle w:val="TableParagraph"/>
              <w:spacing w:line="244" w:lineRule="auto" w:before="110"/>
              <w:ind w:right="25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
              <w:rPr>
                <w:sz w:val="21"/>
              </w:rPr>
            </w:pPr>
            <w:r>
              <w:rPr>
                <w:sz w:val="21"/>
              </w:rPr>
              <w:t>（1）一肢或一肢以上肢体机能完全丧失；</w:t>
            </w:r>
          </w:p>
          <w:p>
            <w:pPr>
              <w:pStyle w:val="TableParagraph"/>
              <w:spacing w:before="3"/>
              <w:rPr>
                <w:sz w:val="21"/>
              </w:rPr>
            </w:pPr>
            <w:r>
              <w:rPr>
                <w:sz w:val="21"/>
              </w:rPr>
              <w:t>（2）语言能力或咀嚼吞咽能力完全丧失；</w:t>
            </w:r>
          </w:p>
          <w:p>
            <w:pPr>
              <w:pStyle w:val="TableParagraph"/>
              <w:spacing w:line="244" w:lineRule="auto" w:before="6"/>
              <w:ind w:right="307"/>
              <w:rPr>
                <w:sz w:val="21"/>
              </w:rPr>
            </w:pPr>
            <w:r>
              <w:rPr>
                <w:sz w:val="21"/>
              </w:rPr>
              <w:t>（3）自主生活能力完全丧失，无法独立完成六项基本日常生活活动中的三项或三项以上。</w:t>
            </w:r>
          </w:p>
        </w:tc>
      </w:tr>
      <w:tr>
        <w:trPr>
          <w:trHeight w:val="1680" w:hRule="atLeast"/>
        </w:trPr>
        <w:tc>
          <w:tcPr>
            <w:tcW w:w="1788" w:type="dxa"/>
          </w:tcPr>
          <w:p>
            <w:pPr>
              <w:pStyle w:val="TableParagraph"/>
              <w:spacing w:before="120"/>
              <w:ind w:left="200"/>
              <w:rPr>
                <w:b/>
                <w:sz w:val="21"/>
              </w:rPr>
            </w:pPr>
            <w:r>
              <w:rPr>
                <w:b/>
                <w:sz w:val="21"/>
              </w:rPr>
              <w:t>12.深度昏迷</w:t>
            </w:r>
          </w:p>
        </w:tc>
        <w:tc>
          <w:tcPr>
            <w:tcW w:w="7127" w:type="dxa"/>
          </w:tcPr>
          <w:p>
            <w:pPr>
              <w:pStyle w:val="TableParagraph"/>
              <w:spacing w:line="244" w:lineRule="auto" w:before="110"/>
              <w:ind w:right="301"/>
              <w:jc w:val="both"/>
              <w:rPr>
                <w:sz w:val="21"/>
              </w:rPr>
            </w:pPr>
            <w:r>
              <w:rPr>
                <w:spacing w:val="-5"/>
                <w:sz w:val="21"/>
              </w:rPr>
              <w:t>指因疾病或意外伤害导致意识丧失，对外界刺激和体内需求均无反应，昏</w:t>
            </w:r>
            <w:r>
              <w:rPr>
                <w:spacing w:val="-4"/>
                <w:sz w:val="21"/>
              </w:rPr>
              <w:t>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27"/>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6"/>
              <w:ind w:left="0"/>
              <w:rPr>
                <w:rFonts w:ascii="Times New Roman"/>
                <w:sz w:val="24"/>
              </w:rPr>
            </w:pPr>
          </w:p>
          <w:p>
            <w:pPr>
              <w:pStyle w:val="TableParagraph"/>
              <w:jc w:val="both"/>
              <w:rPr>
                <w:rFonts w:ascii="黑体" w:eastAsia="黑体" w:hint="eastAsia"/>
                <w:sz w:val="21"/>
              </w:rPr>
            </w:pPr>
            <w:r>
              <w:rPr>
                <w:rFonts w:ascii="黑体" w:eastAsia="黑体" w:hint="eastAsia"/>
                <w:sz w:val="21"/>
              </w:rPr>
              <w:t>因酗酒或药物滥用导致的深度昏迷不在保障范围内。</w:t>
            </w:r>
          </w:p>
        </w:tc>
      </w:tr>
      <w:tr>
        <w:trPr>
          <w:trHeight w:val="1959" w:hRule="atLeast"/>
        </w:trPr>
        <w:tc>
          <w:tcPr>
            <w:tcW w:w="1788" w:type="dxa"/>
          </w:tcPr>
          <w:p>
            <w:pPr>
              <w:pStyle w:val="TableParagraph"/>
              <w:spacing w:before="120"/>
              <w:ind w:left="200"/>
              <w:rPr>
                <w:b/>
                <w:sz w:val="21"/>
              </w:rPr>
            </w:pPr>
            <w:r>
              <w:rPr>
                <w:b/>
                <w:sz w:val="21"/>
              </w:rPr>
              <w:t>13.双耳失聪</w:t>
            </w:r>
          </w:p>
        </w:tc>
        <w:tc>
          <w:tcPr>
            <w:tcW w:w="7127" w:type="dxa"/>
          </w:tcPr>
          <w:p>
            <w:pPr>
              <w:pStyle w:val="TableParagraph"/>
              <w:spacing w:before="110"/>
              <w:rPr>
                <w:sz w:val="21"/>
              </w:rPr>
            </w:pPr>
            <w:r>
              <w:rPr>
                <w:sz w:val="21"/>
              </w:rPr>
              <w:t>指因疾病或意外伤害导致双耳听力</w:t>
            </w:r>
            <w:r>
              <w:rPr>
                <w:rFonts w:ascii="黑体" w:eastAsia="黑体" w:hint="eastAsia"/>
                <w:sz w:val="21"/>
              </w:rPr>
              <w:t>永久不可逆</w:t>
            </w:r>
            <w:r>
              <w:rPr>
                <w:sz w:val="21"/>
              </w:rPr>
              <w:t>性丧失，在 500 赫兹、1000</w:t>
            </w:r>
          </w:p>
          <w:p>
            <w:pPr>
              <w:pStyle w:val="TableParagraph"/>
              <w:spacing w:line="242" w:lineRule="auto" w:before="5"/>
              <w:ind w:right="198"/>
              <w:rPr>
                <w:sz w:val="21"/>
              </w:rPr>
            </w:pPr>
            <w:r>
              <w:rPr>
                <w:spacing w:val="-13"/>
                <w:sz w:val="21"/>
              </w:rPr>
              <w:t>赫兹和 </w:t>
            </w:r>
            <w:r>
              <w:rPr>
                <w:sz w:val="21"/>
              </w:rPr>
              <w:t>2000</w:t>
            </w:r>
            <w:r>
              <w:rPr>
                <w:spacing w:val="-15"/>
                <w:sz w:val="21"/>
              </w:rPr>
              <w:t> 赫兹语音频率下，平均听阈大于 </w:t>
            </w:r>
            <w:r>
              <w:rPr>
                <w:sz w:val="21"/>
              </w:rPr>
              <w:t>90</w:t>
            </w:r>
            <w:r>
              <w:rPr>
                <w:spacing w:val="-13"/>
                <w:sz w:val="21"/>
              </w:rPr>
              <w:t> 分贝，且经纯音听力测试、</w:t>
            </w:r>
            <w:r>
              <w:rPr>
                <w:spacing w:val="-6"/>
                <w:sz w:val="21"/>
              </w:rPr>
              <w:t>声导抗检测或听觉诱发电位检测等证实。</w:t>
            </w:r>
          </w:p>
          <w:p>
            <w:pPr>
              <w:pStyle w:val="TableParagraph"/>
              <w:spacing w:before="7"/>
              <w:ind w:left="0"/>
              <w:rPr>
                <w:rFonts w:ascii="Times New Roman"/>
                <w:sz w:val="24"/>
              </w:rPr>
            </w:pPr>
          </w:p>
          <w:p>
            <w:pPr>
              <w:pStyle w:val="TableParagraph"/>
              <w:spacing w:line="242" w:lineRule="auto" w:before="1"/>
              <w:ind w:right="301"/>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9"/>
                <w:sz w:val="21"/>
              </w:rPr>
              <w:t> 周岁以上，并且提供理赔当时的听力丧</w:t>
            </w:r>
            <w:r>
              <w:rPr>
                <w:rFonts w:ascii="黑体" w:eastAsia="黑体" w:hint="eastAsia"/>
                <w:spacing w:val="-5"/>
                <w:sz w:val="21"/>
              </w:rPr>
              <w:t>失诊断及检查证明。</w:t>
            </w:r>
          </w:p>
        </w:tc>
      </w:tr>
      <w:tr>
        <w:trPr>
          <w:trHeight w:val="2800" w:hRule="atLeast"/>
        </w:trPr>
        <w:tc>
          <w:tcPr>
            <w:tcW w:w="1788" w:type="dxa"/>
          </w:tcPr>
          <w:p>
            <w:pPr>
              <w:pStyle w:val="TableParagraph"/>
              <w:spacing w:before="121"/>
              <w:ind w:left="200"/>
              <w:rPr>
                <w:b/>
                <w:sz w:val="21"/>
              </w:rPr>
            </w:pPr>
            <w:r>
              <w:rPr>
                <w:b/>
                <w:sz w:val="21"/>
              </w:rPr>
              <w:t>14.双目失明</w:t>
            </w:r>
          </w:p>
        </w:tc>
        <w:tc>
          <w:tcPr>
            <w:tcW w:w="7127" w:type="dxa"/>
          </w:tcPr>
          <w:p>
            <w:pPr>
              <w:pStyle w:val="TableParagraph"/>
              <w:spacing w:line="244" w:lineRule="auto" w:before="111"/>
              <w:ind w:right="258"/>
              <w:rPr>
                <w:sz w:val="21"/>
              </w:rPr>
            </w:pPr>
            <w:r>
              <w:rPr>
                <w:sz w:val="21"/>
              </w:rPr>
              <w:t>指因疾病或意外伤害导致双目视力永久不可逆性丧失，双眼中较好眼须满足下列至少一项条件：</w:t>
            </w:r>
          </w:p>
          <w:p>
            <w:pPr>
              <w:pStyle w:val="TableParagraph"/>
              <w:spacing w:before="1"/>
              <w:rPr>
                <w:sz w:val="21"/>
              </w:rPr>
            </w:pPr>
            <w:r>
              <w:rPr>
                <w:sz w:val="21"/>
              </w:rPr>
              <w:t>（1）眼球缺失或摘除；</w:t>
            </w:r>
          </w:p>
          <w:p>
            <w:pPr>
              <w:pStyle w:val="TableParagraph"/>
              <w:spacing w:line="242" w:lineRule="auto" w:before="5"/>
              <w:ind w:right="301"/>
              <w:rPr>
                <w:sz w:val="21"/>
              </w:rPr>
            </w:pPr>
            <w:r>
              <w:rPr>
                <w:sz w:val="21"/>
              </w:rPr>
              <w:t>（2）</w:t>
            </w:r>
            <w:r>
              <w:rPr>
                <w:spacing w:val="-1"/>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3"/>
              <w:rPr>
                <w:sz w:val="21"/>
              </w:rPr>
            </w:pPr>
            <w:r>
              <w:rPr>
                <w:sz w:val="21"/>
              </w:rPr>
              <w:t>（3）视野半径小于 5 度。</w:t>
            </w:r>
          </w:p>
          <w:p>
            <w:pPr>
              <w:pStyle w:val="TableParagraph"/>
              <w:spacing w:before="8"/>
              <w:ind w:left="0"/>
              <w:rPr>
                <w:rFonts w:ascii="Times New Roman"/>
                <w:sz w:val="24"/>
              </w:rPr>
            </w:pPr>
          </w:p>
          <w:p>
            <w:pPr>
              <w:pStyle w:val="TableParagraph"/>
              <w:spacing w:line="244" w:lineRule="auto"/>
              <w:ind w:right="301"/>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9"/>
                <w:sz w:val="21"/>
              </w:rPr>
              <w:t> 周岁以上，并且提供理赔当时的视力丧</w:t>
            </w:r>
            <w:r>
              <w:rPr>
                <w:rFonts w:ascii="黑体" w:eastAsia="黑体" w:hint="eastAsia"/>
                <w:spacing w:val="-5"/>
                <w:sz w:val="21"/>
              </w:rPr>
              <w:t>失诊断及检查证明。</w:t>
            </w:r>
          </w:p>
        </w:tc>
      </w:tr>
      <w:tr>
        <w:trPr>
          <w:trHeight w:val="665" w:hRule="atLeast"/>
        </w:trPr>
        <w:tc>
          <w:tcPr>
            <w:tcW w:w="1788" w:type="dxa"/>
          </w:tcPr>
          <w:p>
            <w:pPr>
              <w:pStyle w:val="TableParagraph"/>
              <w:spacing w:before="120"/>
              <w:ind w:left="200"/>
              <w:rPr>
                <w:b/>
                <w:sz w:val="21"/>
              </w:rPr>
            </w:pPr>
            <w:r>
              <w:rPr>
                <w:b/>
                <w:sz w:val="21"/>
              </w:rPr>
              <w:t>15.瘫痪</w:t>
            </w:r>
          </w:p>
        </w:tc>
        <w:tc>
          <w:tcPr>
            <w:tcW w:w="7127" w:type="dxa"/>
          </w:tcPr>
          <w:p>
            <w:pPr>
              <w:pStyle w:val="TableParagraph"/>
              <w:spacing w:line="280" w:lineRule="atLeast" w:before="105"/>
              <w:ind w:right="289"/>
              <w:rPr>
                <w:sz w:val="21"/>
              </w:rPr>
            </w:pPr>
            <w:r>
              <w:rPr>
                <w:spacing w:val="-4"/>
                <w:sz w:val="21"/>
              </w:rPr>
              <w:t>指因疾病或意外伤害导致两肢或两肢以上的肢体机能永久完全丧失。肢体</w:t>
            </w:r>
            <w:r>
              <w:rPr>
                <w:spacing w:val="-6"/>
                <w:sz w:val="21"/>
              </w:rPr>
              <w:t>机能永久完全丧失，指疾病确诊 </w:t>
            </w:r>
            <w:r>
              <w:rPr>
                <w:sz w:val="21"/>
              </w:rPr>
              <w:t>180</w:t>
            </w:r>
            <w:r>
              <w:rPr>
                <w:spacing w:val="-11"/>
                <w:sz w:val="21"/>
              </w:rPr>
              <w:t> 天后或意外伤害事故发生 </w:t>
            </w:r>
            <w:r>
              <w:rPr>
                <w:sz w:val="21"/>
              </w:rPr>
              <w:t>180</w:t>
            </w:r>
            <w:r>
              <w:rPr>
                <w:spacing w:val="-13"/>
                <w:sz w:val="21"/>
              </w:rPr>
              <w:t> 天后，</w:t>
            </w:r>
          </w:p>
        </w:tc>
      </w:tr>
    </w:tbl>
    <w:p>
      <w:pPr>
        <w:spacing w:after="0" w:line="280" w:lineRule="atLeast"/>
        <w:rPr>
          <w:sz w:val="21"/>
        </w:rPr>
        <w:sectPr>
          <w:pgSz w:w="11910" w:h="16840"/>
          <w:pgMar w:header="0" w:footer="919" w:top="1460" w:bottom="1100" w:left="1680" w:right="82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7088"/>
      </w:tblGrid>
      <w:tr>
        <w:trPr>
          <w:trHeight w:val="409" w:hRule="atLeast"/>
        </w:trPr>
        <w:tc>
          <w:tcPr>
            <w:tcW w:w="1735" w:type="dxa"/>
          </w:tcPr>
          <w:p>
            <w:pPr>
              <w:pStyle w:val="TableParagraph"/>
              <w:ind w:left="0"/>
              <w:rPr>
                <w:rFonts w:ascii="Times New Roman"/>
                <w:sz w:val="20"/>
              </w:rPr>
            </w:pPr>
          </w:p>
        </w:tc>
        <w:tc>
          <w:tcPr>
            <w:tcW w:w="7088" w:type="dxa"/>
          </w:tcPr>
          <w:p>
            <w:pPr>
              <w:pStyle w:val="TableParagraph"/>
              <w:spacing w:line="211" w:lineRule="exact"/>
              <w:ind w:left="162"/>
              <w:rPr>
                <w:sz w:val="21"/>
              </w:rPr>
            </w:pPr>
            <w:r>
              <w:rPr>
                <w:sz w:val="21"/>
              </w:rPr>
              <w:t>每肢三大关节中的两大关节仍然完全僵硬，或不能随意识活动。</w:t>
            </w:r>
          </w:p>
        </w:tc>
      </w:tr>
      <w:tr>
        <w:trPr>
          <w:trHeight w:val="932" w:hRule="atLeast"/>
        </w:trPr>
        <w:tc>
          <w:tcPr>
            <w:tcW w:w="1735" w:type="dxa"/>
          </w:tcPr>
          <w:p>
            <w:pPr>
              <w:pStyle w:val="TableParagraph"/>
              <w:spacing w:line="273" w:lineRule="auto" w:before="144"/>
              <w:ind w:left="200" w:right="160"/>
              <w:rPr>
                <w:b/>
                <w:sz w:val="21"/>
              </w:rPr>
            </w:pPr>
            <w:r>
              <w:rPr>
                <w:b/>
                <w:sz w:val="21"/>
              </w:rPr>
              <w:t>16.心脏瓣膜手术</w:t>
            </w:r>
          </w:p>
        </w:tc>
        <w:tc>
          <w:tcPr>
            <w:tcW w:w="7088" w:type="dxa"/>
          </w:tcPr>
          <w:p>
            <w:pPr>
              <w:pStyle w:val="TableParagraph"/>
              <w:spacing w:line="244" w:lineRule="auto" w:before="134"/>
              <w:ind w:left="162" w:right="167"/>
              <w:rPr>
                <w:sz w:val="21"/>
              </w:rPr>
            </w:pPr>
            <w:r>
              <w:rPr>
                <w:sz w:val="21"/>
              </w:rPr>
              <w:t>指为治疗心脏瓣膜疾病，实际实施了开胸进行的心脏瓣膜置换或修复的手术。</w:t>
            </w:r>
          </w:p>
        </w:tc>
      </w:tr>
      <w:tr>
        <w:trPr>
          <w:trHeight w:val="2268" w:hRule="atLeast"/>
        </w:trPr>
        <w:tc>
          <w:tcPr>
            <w:tcW w:w="1735" w:type="dxa"/>
          </w:tcPr>
          <w:p>
            <w:pPr>
              <w:pStyle w:val="TableParagraph"/>
              <w:spacing w:line="273" w:lineRule="auto" w:before="147"/>
              <w:ind w:left="200" w:right="160"/>
              <w:rPr>
                <w:b/>
                <w:sz w:val="21"/>
              </w:rPr>
            </w:pPr>
            <w:r>
              <w:rPr>
                <w:b/>
                <w:sz w:val="21"/>
              </w:rPr>
              <w:t>17.严重阿尔茨海默病</w:t>
            </w:r>
          </w:p>
        </w:tc>
        <w:tc>
          <w:tcPr>
            <w:tcW w:w="7088" w:type="dxa"/>
          </w:tcPr>
          <w:p>
            <w:pPr>
              <w:pStyle w:val="TableParagraph"/>
              <w:spacing w:line="244" w:lineRule="auto" w:before="138"/>
              <w:ind w:left="162" w:right="207"/>
              <w:jc w:val="both"/>
              <w:rPr>
                <w:sz w:val="21"/>
              </w:rPr>
            </w:pPr>
            <w:r>
              <w:rPr>
                <w:spacing w:val="-5"/>
                <w:sz w:val="21"/>
              </w:rPr>
              <w:t>指因大脑进行性、不可逆性改变导致智能严重衰退或丧失，临床表现为明</w:t>
            </w:r>
            <w:r>
              <w:rPr>
                <w:spacing w:val="-6"/>
                <w:sz w:val="21"/>
              </w:rPr>
              <w:t>显的认知能力障碍、行为异常和社交能力减退，其日常生活必须持续受到</w:t>
            </w:r>
            <w:r>
              <w:rPr>
                <w:spacing w:val="-5"/>
                <w:w w:val="100"/>
                <w:sz w:val="21"/>
              </w:rPr>
              <w:t>他人监护。须由头颅断层扫描</w:t>
            </w:r>
            <w:r>
              <w:rPr>
                <w:spacing w:val="-3"/>
                <w:w w:val="100"/>
                <w:sz w:val="21"/>
              </w:rPr>
              <w:t>（</w:t>
            </w:r>
            <w:r>
              <w:rPr>
                <w:w w:val="100"/>
                <w:sz w:val="21"/>
              </w:rPr>
              <w:t>CT</w:t>
            </w:r>
            <w:r>
              <w:rPr>
                <w:spacing w:val="-106"/>
                <w:w w:val="100"/>
                <w:sz w:val="21"/>
              </w:rPr>
              <w:t>）</w:t>
            </w:r>
            <w:r>
              <w:rPr>
                <w:spacing w:val="-4"/>
                <w:w w:val="100"/>
                <w:sz w:val="21"/>
              </w:rPr>
              <w:t>、核磁共振检查</w:t>
            </w:r>
            <w:r>
              <w:rPr>
                <w:w w:val="100"/>
                <w:sz w:val="21"/>
              </w:rPr>
              <w:t>（MRI</w:t>
            </w:r>
            <w:r>
              <w:rPr>
                <w:spacing w:val="-5"/>
                <w:w w:val="100"/>
                <w:sz w:val="21"/>
              </w:rPr>
              <w:t>）</w:t>
            </w:r>
            <w:r>
              <w:rPr>
                <w:spacing w:val="-3"/>
                <w:w w:val="100"/>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4"/>
              <w:ind w:left="0"/>
              <w:rPr>
                <w:rFonts w:ascii="Times New Roman"/>
                <w:sz w:val="24"/>
              </w:rPr>
            </w:pPr>
          </w:p>
          <w:p>
            <w:pPr>
              <w:pStyle w:val="TableParagraph"/>
              <w:ind w:left="162"/>
              <w:jc w:val="both"/>
              <w:rPr>
                <w:rFonts w:ascii="黑体" w:eastAsia="黑体" w:hint="eastAsia"/>
                <w:sz w:val="21"/>
              </w:rPr>
            </w:pPr>
            <w:r>
              <w:rPr>
                <w:rFonts w:ascii="黑体" w:eastAsia="黑体" w:hint="eastAsia"/>
                <w:sz w:val="21"/>
              </w:rPr>
              <w:t>神经官能症和精神病不在保障范围内。</w:t>
            </w:r>
          </w:p>
        </w:tc>
      </w:tr>
      <w:tr>
        <w:trPr>
          <w:trHeight w:val="2520" w:hRule="atLeast"/>
        </w:trPr>
        <w:tc>
          <w:tcPr>
            <w:tcW w:w="1735" w:type="dxa"/>
          </w:tcPr>
          <w:p>
            <w:pPr>
              <w:pStyle w:val="TableParagraph"/>
              <w:spacing w:before="121"/>
              <w:ind w:left="200"/>
              <w:rPr>
                <w:b/>
                <w:sz w:val="21"/>
              </w:rPr>
            </w:pPr>
            <w:r>
              <w:rPr>
                <w:b/>
                <w:sz w:val="21"/>
              </w:rPr>
              <w:t>18.严重脑损伤</w:t>
            </w:r>
          </w:p>
        </w:tc>
        <w:tc>
          <w:tcPr>
            <w:tcW w:w="7088" w:type="dxa"/>
          </w:tcPr>
          <w:p>
            <w:pPr>
              <w:pStyle w:val="TableParagraph"/>
              <w:spacing w:line="244" w:lineRule="auto" w:before="111"/>
              <w:ind w:left="162" w:right="207"/>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spacing w:val="-3"/>
                <w:w w:val="100"/>
                <w:sz w:val="21"/>
              </w:rPr>
              <w:t>（</w:t>
            </w:r>
            <w:r>
              <w:rPr>
                <w:w w:val="100"/>
                <w:sz w:val="21"/>
              </w:rPr>
              <w:t>CT</w:t>
            </w:r>
            <w:r>
              <w:rPr>
                <w:spacing w:val="-106"/>
                <w:w w:val="100"/>
                <w:sz w:val="21"/>
              </w:rPr>
              <w:t>）</w:t>
            </w:r>
            <w:r>
              <w:rPr>
                <w:spacing w:val="-4"/>
                <w:w w:val="100"/>
                <w:sz w:val="21"/>
              </w:rPr>
              <w:t>、核磁共振检查</w:t>
            </w:r>
            <w:r>
              <w:rPr>
                <w:w w:val="100"/>
                <w:sz w:val="21"/>
              </w:rPr>
              <w:t>（MRI</w:t>
            </w:r>
            <w:r>
              <w:rPr>
                <w:spacing w:val="-5"/>
                <w:w w:val="100"/>
                <w:sz w:val="21"/>
              </w:rPr>
              <w:t>）</w:t>
            </w:r>
            <w:r>
              <w:rPr>
                <w:spacing w:val="-3"/>
                <w:w w:val="100"/>
                <w:sz w:val="21"/>
              </w:rPr>
              <w:t>或正电子发射</w:t>
            </w:r>
            <w:r>
              <w:rPr>
                <w:spacing w:val="-3"/>
                <w:sz w:val="21"/>
              </w:rPr>
              <w:t>断层扫描（PET）等影像学检查证实。神经系统永久性的功能障碍，指脑</w:t>
            </w:r>
            <w:r>
              <w:rPr>
                <w:spacing w:val="-16"/>
                <w:sz w:val="21"/>
              </w:rPr>
              <w:t>损伤 </w:t>
            </w:r>
            <w:r>
              <w:rPr>
                <w:sz w:val="21"/>
              </w:rPr>
              <w:t>180</w:t>
            </w:r>
            <w:r>
              <w:rPr>
                <w:spacing w:val="-8"/>
                <w:sz w:val="21"/>
              </w:rPr>
              <w:t> 天后，仍遗留下列一种或一种以上障碍：</w:t>
            </w:r>
          </w:p>
          <w:p>
            <w:pPr>
              <w:pStyle w:val="TableParagraph"/>
              <w:spacing w:line="274" w:lineRule="exact"/>
              <w:ind w:left="162"/>
              <w:rPr>
                <w:sz w:val="21"/>
              </w:rPr>
            </w:pPr>
            <w:r>
              <w:rPr>
                <w:sz w:val="21"/>
              </w:rPr>
              <w:t>（1）一肢或一肢以上肢体机能完全丧失；</w:t>
            </w:r>
          </w:p>
          <w:p>
            <w:pPr>
              <w:pStyle w:val="TableParagraph"/>
              <w:spacing w:before="6"/>
              <w:ind w:left="162"/>
              <w:rPr>
                <w:sz w:val="21"/>
              </w:rPr>
            </w:pPr>
            <w:r>
              <w:rPr>
                <w:sz w:val="21"/>
              </w:rPr>
              <w:t>（2）语言能力或咀嚼吞咽能力完全丧失；</w:t>
            </w:r>
          </w:p>
          <w:p>
            <w:pPr>
              <w:pStyle w:val="TableParagraph"/>
              <w:spacing w:line="242" w:lineRule="auto" w:before="5"/>
              <w:ind w:left="162" w:right="215"/>
              <w:rPr>
                <w:sz w:val="21"/>
              </w:rPr>
            </w:pPr>
            <w:r>
              <w:rPr>
                <w:sz w:val="21"/>
              </w:rPr>
              <w:t>（3）自主生活能力完全丧失，无法独立完成六项基本日常生活活动中的三项或三项以上。</w:t>
            </w:r>
          </w:p>
        </w:tc>
      </w:tr>
      <w:tr>
        <w:trPr>
          <w:trHeight w:val="2240" w:hRule="atLeast"/>
        </w:trPr>
        <w:tc>
          <w:tcPr>
            <w:tcW w:w="1735" w:type="dxa"/>
          </w:tcPr>
          <w:p>
            <w:pPr>
              <w:pStyle w:val="TableParagraph"/>
              <w:spacing w:line="273" w:lineRule="auto" w:before="121"/>
              <w:ind w:left="200" w:right="160"/>
              <w:rPr>
                <w:b/>
                <w:sz w:val="21"/>
              </w:rPr>
            </w:pPr>
            <w:r>
              <w:rPr>
                <w:b/>
                <w:sz w:val="21"/>
              </w:rPr>
              <w:t>19.严重帕金森病</w:t>
            </w:r>
          </w:p>
        </w:tc>
        <w:tc>
          <w:tcPr>
            <w:tcW w:w="7088" w:type="dxa"/>
          </w:tcPr>
          <w:p>
            <w:pPr>
              <w:pStyle w:val="TableParagraph"/>
              <w:spacing w:line="242" w:lineRule="auto" w:before="111"/>
              <w:ind w:left="162" w:right="197"/>
              <w:rPr>
                <w:sz w:val="21"/>
              </w:rPr>
            </w:pPr>
            <w:r>
              <w:rPr>
                <w:sz w:val="21"/>
              </w:rPr>
              <w:t>是一种中枢神经系统的退行性疾病，临床表现为震颤麻痹、共济失调等。须满足下列全部条件：</w:t>
            </w:r>
          </w:p>
          <w:p>
            <w:pPr>
              <w:pStyle w:val="TableParagraph"/>
              <w:spacing w:before="3"/>
              <w:ind w:left="162"/>
              <w:rPr>
                <w:sz w:val="21"/>
              </w:rPr>
            </w:pPr>
            <w:r>
              <w:rPr>
                <w:sz w:val="21"/>
              </w:rPr>
              <w:t>（1）药物治疗无法控制病情；</w:t>
            </w:r>
          </w:p>
          <w:p>
            <w:pPr>
              <w:pStyle w:val="TableParagraph"/>
              <w:spacing w:line="242" w:lineRule="auto" w:before="6"/>
              <w:ind w:left="162" w:right="215"/>
              <w:rPr>
                <w:sz w:val="21"/>
              </w:rPr>
            </w:pPr>
            <w:r>
              <w:rPr>
                <w:sz w:val="21"/>
              </w:rPr>
              <w:t>（2）自主生活能力完全丧失，无法独立完成六项基本日常生活活动中的三项或三项以上。</w:t>
            </w:r>
          </w:p>
          <w:p>
            <w:pPr>
              <w:pStyle w:val="TableParagraph"/>
              <w:spacing w:before="8"/>
              <w:ind w:left="0"/>
              <w:rPr>
                <w:rFonts w:ascii="Times New Roman"/>
                <w:sz w:val="24"/>
              </w:rPr>
            </w:pPr>
          </w:p>
          <w:p>
            <w:pPr>
              <w:pStyle w:val="TableParagraph"/>
              <w:ind w:left="162"/>
              <w:rPr>
                <w:rFonts w:ascii="黑体" w:eastAsia="黑体" w:hint="eastAsia"/>
                <w:sz w:val="21"/>
              </w:rPr>
            </w:pPr>
            <w:r>
              <w:rPr>
                <w:rFonts w:ascii="黑体" w:eastAsia="黑体" w:hint="eastAsia"/>
                <w:sz w:val="21"/>
              </w:rPr>
              <w:t>继发性帕金森综合症不在保障范围内。</w:t>
            </w:r>
          </w:p>
        </w:tc>
      </w:tr>
      <w:tr>
        <w:trPr>
          <w:trHeight w:val="908" w:hRule="atLeast"/>
        </w:trPr>
        <w:tc>
          <w:tcPr>
            <w:tcW w:w="1735" w:type="dxa"/>
          </w:tcPr>
          <w:p>
            <w:pPr>
              <w:pStyle w:val="TableParagraph"/>
              <w:spacing w:line="273" w:lineRule="auto" w:before="120"/>
              <w:ind w:left="200" w:right="160"/>
              <w:rPr>
                <w:b/>
                <w:sz w:val="21"/>
              </w:rPr>
            </w:pPr>
            <w:r>
              <w:rPr>
                <w:b/>
                <w:sz w:val="21"/>
              </w:rPr>
              <w:t>20.严重Ⅲ度烧伤</w:t>
            </w:r>
          </w:p>
        </w:tc>
        <w:tc>
          <w:tcPr>
            <w:tcW w:w="7088" w:type="dxa"/>
          </w:tcPr>
          <w:p>
            <w:pPr>
              <w:pStyle w:val="TableParagraph"/>
              <w:spacing w:line="244" w:lineRule="auto" w:before="110"/>
              <w:ind w:left="162" w:right="165"/>
              <w:rPr>
                <w:sz w:val="21"/>
              </w:rPr>
            </w:pPr>
            <w:r>
              <w:rPr>
                <w:sz w:val="21"/>
              </w:rPr>
              <w:t>指烧伤程度为Ⅲ度，且Ⅲ度烧伤的面积达到全身体表面积的 20％或 20％ 以上。体表面积根据《中国新九分法》计算。</w:t>
            </w:r>
          </w:p>
        </w:tc>
      </w:tr>
      <w:tr>
        <w:trPr>
          <w:trHeight w:val="1147" w:hRule="atLeast"/>
        </w:trPr>
        <w:tc>
          <w:tcPr>
            <w:tcW w:w="1735" w:type="dxa"/>
          </w:tcPr>
          <w:p>
            <w:pPr>
              <w:pStyle w:val="TableParagraph"/>
              <w:spacing w:line="273" w:lineRule="auto" w:before="147"/>
              <w:ind w:left="200" w:right="160"/>
              <w:rPr>
                <w:b/>
                <w:sz w:val="21"/>
              </w:rPr>
            </w:pPr>
            <w:r>
              <w:rPr>
                <w:b/>
                <w:sz w:val="21"/>
              </w:rPr>
              <w:t>21.严重原发性肺动脉高压</w:t>
            </w:r>
          </w:p>
        </w:tc>
        <w:tc>
          <w:tcPr>
            <w:tcW w:w="7088" w:type="dxa"/>
          </w:tcPr>
          <w:p>
            <w:pPr>
              <w:pStyle w:val="TableParagraph"/>
              <w:spacing w:line="244" w:lineRule="auto" w:before="138"/>
              <w:ind w:left="162" w:right="209"/>
              <w:jc w:val="both"/>
              <w:rPr>
                <w:sz w:val="21"/>
              </w:rPr>
            </w:pPr>
            <w:r>
              <w:rPr>
                <w:spacing w:val="-5"/>
                <w:sz w:val="21"/>
              </w:rPr>
              <w:t>指不明原因的肺动脉压力持续性增高，进行性发展而导致的慢性疾病，已经造成永久不可逆性的体力活动能力受限，达到美国纽约心脏病学会心功</w:t>
            </w:r>
            <w:r>
              <w:rPr>
                <w:spacing w:val="-11"/>
                <w:sz w:val="21"/>
              </w:rPr>
              <w:t>能状态分级 </w:t>
            </w:r>
            <w:r>
              <w:rPr>
                <w:sz w:val="21"/>
              </w:rPr>
              <w:t>IV</w:t>
            </w:r>
            <w:r>
              <w:rPr>
                <w:spacing w:val="-11"/>
                <w:sz w:val="21"/>
              </w:rPr>
              <w:t> 级，且静息状态下肺动脉平均压超过 </w:t>
            </w:r>
            <w:r>
              <w:rPr>
                <w:sz w:val="21"/>
              </w:rPr>
              <w:t>30mmHg。</w:t>
            </w:r>
          </w:p>
        </w:tc>
      </w:tr>
      <w:tr>
        <w:trPr>
          <w:trHeight w:val="1400" w:hRule="atLeast"/>
        </w:trPr>
        <w:tc>
          <w:tcPr>
            <w:tcW w:w="1735" w:type="dxa"/>
          </w:tcPr>
          <w:p>
            <w:pPr>
              <w:pStyle w:val="TableParagraph"/>
              <w:spacing w:line="273" w:lineRule="auto" w:before="121"/>
              <w:ind w:left="200" w:right="160"/>
              <w:rPr>
                <w:b/>
                <w:sz w:val="21"/>
              </w:rPr>
            </w:pPr>
            <w:r>
              <w:rPr>
                <w:b/>
                <w:sz w:val="21"/>
              </w:rPr>
              <w:t>22.严重运动神经元病</w:t>
            </w:r>
          </w:p>
        </w:tc>
        <w:tc>
          <w:tcPr>
            <w:tcW w:w="7088" w:type="dxa"/>
          </w:tcPr>
          <w:p>
            <w:pPr>
              <w:pStyle w:val="TableParagraph"/>
              <w:spacing w:line="244" w:lineRule="auto" w:before="111"/>
              <w:ind w:left="162" w:right="207"/>
              <w:jc w:val="both"/>
              <w:rPr>
                <w:sz w:val="21"/>
              </w:rPr>
            </w:pPr>
            <w:r>
              <w:rPr>
                <w:spacing w:val="-4"/>
                <w:sz w:val="21"/>
              </w:rPr>
              <w:t>指一组中枢神经系统运动神经元的进行性变性疾病，包括进行性脊肌萎缩</w:t>
            </w:r>
            <w:r>
              <w:rPr>
                <w:spacing w:val="-5"/>
                <w:sz w:val="21"/>
              </w:rPr>
              <w:t>症、进行性延髓麻痹症、原发性侧索硬化症、肌萎缩性侧索硬化症。须满足自主生活能力完全丧失，无法独立完成六项基本日常生活活动中的三项</w:t>
            </w:r>
            <w:r>
              <w:rPr>
                <w:spacing w:val="-4"/>
                <w:sz w:val="21"/>
              </w:rPr>
              <w:t>或三项以上的条件。</w:t>
            </w:r>
          </w:p>
        </w:tc>
      </w:tr>
      <w:tr>
        <w:trPr>
          <w:trHeight w:val="1784" w:hRule="atLeast"/>
        </w:trPr>
        <w:tc>
          <w:tcPr>
            <w:tcW w:w="1735" w:type="dxa"/>
          </w:tcPr>
          <w:p>
            <w:pPr>
              <w:pStyle w:val="TableParagraph"/>
              <w:spacing w:line="273" w:lineRule="auto" w:before="120"/>
              <w:ind w:left="200" w:right="160"/>
              <w:rPr>
                <w:b/>
                <w:sz w:val="21"/>
              </w:rPr>
            </w:pPr>
            <w:r>
              <w:rPr>
                <w:b/>
                <w:sz w:val="21"/>
              </w:rPr>
              <w:t>23.语言能力丧失</w:t>
            </w:r>
          </w:p>
        </w:tc>
        <w:tc>
          <w:tcPr>
            <w:tcW w:w="7088" w:type="dxa"/>
          </w:tcPr>
          <w:p>
            <w:pPr>
              <w:pStyle w:val="TableParagraph"/>
              <w:spacing w:before="110"/>
              <w:ind w:left="162"/>
              <w:rPr>
                <w:sz w:val="21"/>
              </w:rPr>
            </w:pPr>
            <w:r>
              <w:rPr>
                <w:sz w:val="21"/>
              </w:rPr>
              <w:t>指因疾病或意外伤害导致完全丧失语言能力，经过积极治疗至少 12 个月</w:t>
            </w:r>
          </w:p>
          <w:p>
            <w:pPr>
              <w:pStyle w:val="TableParagraph"/>
              <w:spacing w:before="5"/>
              <w:ind w:left="162"/>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7"/>
              <w:ind w:left="0"/>
              <w:rPr>
                <w:rFonts w:ascii="Times New Roman"/>
                <w:sz w:val="24"/>
              </w:rPr>
            </w:pPr>
          </w:p>
          <w:p>
            <w:pPr>
              <w:pStyle w:val="TableParagraph"/>
              <w:ind w:left="162"/>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7"/>
              <w:ind w:left="0"/>
              <w:rPr>
                <w:rFonts w:ascii="Times New Roman"/>
                <w:sz w:val="24"/>
              </w:rPr>
            </w:pPr>
          </w:p>
          <w:p>
            <w:pPr>
              <w:pStyle w:val="TableParagraph"/>
              <w:spacing w:line="255" w:lineRule="exact"/>
              <w:ind w:left="162"/>
              <w:rPr>
                <w:rFonts w:ascii="黑体" w:eastAsia="黑体" w:hint="eastAsia"/>
                <w:sz w:val="21"/>
              </w:rPr>
            </w:pPr>
            <w:r>
              <w:rPr>
                <w:rFonts w:ascii="黑体" w:eastAsia="黑体" w:hint="eastAsia"/>
                <w:sz w:val="21"/>
              </w:rPr>
              <w:t>申请理赔时被保险人年龄必须在 3 周岁以上，并且提供理赔当时的语言能</w:t>
            </w:r>
          </w:p>
        </w:tc>
      </w:tr>
    </w:tbl>
    <w:p>
      <w:pPr>
        <w:spacing w:after="0" w:line="255" w:lineRule="exact"/>
        <w:rPr>
          <w:rFonts w:ascii="黑体" w:eastAsia="黑体" w:hint="eastAsia"/>
          <w:sz w:val="21"/>
        </w:rPr>
        <w:sectPr>
          <w:pgSz w:w="11910" w:h="16840"/>
          <w:pgMar w:header="0" w:footer="919" w:top="1460" w:bottom="1100" w:left="1680" w:right="92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7052"/>
      </w:tblGrid>
      <w:tr>
        <w:trPr>
          <w:trHeight w:val="409" w:hRule="atLeast"/>
        </w:trPr>
        <w:tc>
          <w:tcPr>
            <w:tcW w:w="1762" w:type="dxa"/>
          </w:tcPr>
          <w:p>
            <w:pPr>
              <w:pStyle w:val="TableParagraph"/>
              <w:ind w:left="0"/>
              <w:rPr>
                <w:rFonts w:ascii="Times New Roman"/>
                <w:sz w:val="20"/>
              </w:rPr>
            </w:pPr>
          </w:p>
        </w:tc>
        <w:tc>
          <w:tcPr>
            <w:tcW w:w="7052" w:type="dxa"/>
          </w:tcPr>
          <w:p>
            <w:pPr>
              <w:pStyle w:val="TableParagraph"/>
              <w:spacing w:line="211" w:lineRule="exact"/>
              <w:ind w:left="135"/>
              <w:rPr>
                <w:rFonts w:ascii="黑体" w:eastAsia="黑体" w:hint="eastAsia"/>
                <w:sz w:val="21"/>
              </w:rPr>
            </w:pPr>
            <w:r>
              <w:rPr>
                <w:rFonts w:ascii="黑体" w:eastAsia="黑体" w:hint="eastAsia"/>
                <w:sz w:val="21"/>
              </w:rPr>
              <w:t>力丧失诊断及检查证明。</w:t>
            </w:r>
          </w:p>
        </w:tc>
      </w:tr>
      <w:tr>
        <w:trPr>
          <w:trHeight w:val="2349" w:hRule="atLeast"/>
        </w:trPr>
        <w:tc>
          <w:tcPr>
            <w:tcW w:w="1762" w:type="dxa"/>
          </w:tcPr>
          <w:p>
            <w:pPr>
              <w:pStyle w:val="TableParagraph"/>
              <w:spacing w:line="273" w:lineRule="auto" w:before="144"/>
              <w:ind w:left="200" w:right="187"/>
              <w:rPr>
                <w:b/>
                <w:sz w:val="21"/>
              </w:rPr>
            </w:pPr>
            <w:r>
              <w:rPr>
                <w:b/>
                <w:sz w:val="21"/>
              </w:rPr>
              <w:t>24.重型再生障碍性贫血</w:t>
            </w:r>
          </w:p>
        </w:tc>
        <w:tc>
          <w:tcPr>
            <w:tcW w:w="7052" w:type="dxa"/>
          </w:tcPr>
          <w:p>
            <w:pPr>
              <w:pStyle w:val="TableParagraph"/>
              <w:spacing w:line="244" w:lineRule="auto" w:before="134"/>
              <w:ind w:left="135" w:right="158"/>
              <w:rPr>
                <w:sz w:val="21"/>
              </w:rPr>
            </w:pPr>
            <w:r>
              <w:rPr>
                <w:sz w:val="21"/>
              </w:rPr>
              <w:t>指因骨髓造血功能慢性持续性衰竭导致的贫血、中性粒细胞减少及血小板减少。须满足以下全部条件：</w:t>
            </w:r>
          </w:p>
          <w:p>
            <w:pPr>
              <w:pStyle w:val="TableParagraph"/>
              <w:spacing w:before="1"/>
              <w:ind w:left="135"/>
              <w:rPr>
                <w:sz w:val="21"/>
              </w:rPr>
            </w:pPr>
            <w:r>
              <w:rPr>
                <w:sz w:val="21"/>
              </w:rPr>
              <w:t>（1）骨髓穿刺检查或骨髓活检结果支持诊断；</w:t>
            </w:r>
          </w:p>
          <w:p>
            <w:pPr>
              <w:pStyle w:val="TableParagraph"/>
              <w:spacing w:before="3"/>
              <w:ind w:left="135"/>
              <w:rPr>
                <w:sz w:val="21"/>
              </w:rPr>
            </w:pPr>
            <w:r>
              <w:rPr>
                <w:sz w:val="21"/>
              </w:rPr>
              <w:t>（2）外周血象必须具备以下三项条件：</w:t>
            </w:r>
          </w:p>
          <w:p>
            <w:pPr>
              <w:pStyle w:val="TableParagraph"/>
              <w:spacing w:before="15"/>
              <w:ind w:left="660"/>
              <w:rPr>
                <w:sz w:val="21"/>
              </w:rPr>
            </w:pPr>
            <w:r>
              <w:rPr>
                <w:sz w:val="21"/>
              </w:rPr>
              <w:t>①中性粒细胞绝对值≤0.5×10</w:t>
            </w:r>
            <w:r>
              <w:rPr>
                <w:position w:val="11"/>
                <w:sz w:val="11"/>
              </w:rPr>
              <w:t>9</w:t>
            </w:r>
            <w:r>
              <w:rPr>
                <w:sz w:val="21"/>
              </w:rPr>
              <w:t>/L；</w:t>
            </w:r>
          </w:p>
          <w:p>
            <w:pPr>
              <w:pStyle w:val="TableParagraph"/>
              <w:spacing w:before="37"/>
              <w:ind w:left="660"/>
              <w:rPr>
                <w:sz w:val="21"/>
              </w:rPr>
            </w:pPr>
            <w:r>
              <w:rPr>
                <w:sz w:val="21"/>
              </w:rPr>
              <w:t>②网织红细胞＜1%；</w:t>
            </w:r>
          </w:p>
          <w:p>
            <w:pPr>
              <w:pStyle w:val="TableParagraph"/>
              <w:spacing w:before="37"/>
              <w:ind w:left="660"/>
              <w:rPr>
                <w:sz w:val="21"/>
              </w:rPr>
            </w:pPr>
            <w:r>
              <w:rPr>
                <w:sz w:val="21"/>
              </w:rPr>
              <w:t>③血小板绝对值≤20×10</w:t>
            </w:r>
            <w:r>
              <w:rPr>
                <w:position w:val="11"/>
                <w:sz w:val="11"/>
              </w:rPr>
              <w:t>9</w:t>
            </w:r>
            <w:r>
              <w:rPr>
                <w:sz w:val="21"/>
              </w:rPr>
              <w:t>/L。</w:t>
            </w:r>
          </w:p>
        </w:tc>
      </w:tr>
      <w:tr>
        <w:trPr>
          <w:trHeight w:val="1691" w:hRule="atLeast"/>
        </w:trPr>
        <w:tc>
          <w:tcPr>
            <w:tcW w:w="1762" w:type="dxa"/>
          </w:tcPr>
          <w:p>
            <w:pPr>
              <w:pStyle w:val="TableParagraph"/>
              <w:spacing w:before="132"/>
              <w:ind w:left="200"/>
              <w:rPr>
                <w:b/>
                <w:sz w:val="21"/>
              </w:rPr>
            </w:pPr>
            <w:r>
              <w:rPr>
                <w:b/>
                <w:sz w:val="21"/>
              </w:rPr>
              <w:t>25.主动脉手术</w:t>
            </w:r>
          </w:p>
        </w:tc>
        <w:tc>
          <w:tcPr>
            <w:tcW w:w="7052" w:type="dxa"/>
          </w:tcPr>
          <w:p>
            <w:pPr>
              <w:pStyle w:val="TableParagraph"/>
              <w:spacing w:line="244" w:lineRule="auto" w:before="122"/>
              <w:ind w:left="135" w:right="200"/>
              <w:jc w:val="both"/>
              <w:rPr>
                <w:rFonts w:ascii="黑体" w:eastAsia="黑体" w:hint="eastAsia"/>
                <w:sz w:val="21"/>
              </w:rPr>
            </w:pPr>
            <w:r>
              <w:rPr>
                <w:spacing w:val="-5"/>
                <w:sz w:val="21"/>
              </w:rPr>
              <w:t>指为治疗主动脉疾病，实际实施了开胸或开腹进行的切除、置换、修补病</w:t>
            </w:r>
            <w:r>
              <w:rPr>
                <w:spacing w:val="-6"/>
                <w:sz w:val="21"/>
              </w:rPr>
              <w:t>损主动脉血管的手术。主动脉指胸主动脉和腹主动脉，</w:t>
            </w:r>
            <w:r>
              <w:rPr>
                <w:rFonts w:ascii="黑体" w:eastAsia="黑体" w:hint="eastAsia"/>
                <w:spacing w:val="-3"/>
                <w:sz w:val="21"/>
              </w:rPr>
              <w:t>不包括胸主动脉和腹主动脉的分支血管。</w:t>
            </w:r>
          </w:p>
          <w:p>
            <w:pPr>
              <w:pStyle w:val="TableParagraph"/>
              <w:spacing w:before="4"/>
              <w:ind w:left="0"/>
              <w:rPr>
                <w:rFonts w:ascii="Times New Roman"/>
                <w:sz w:val="24"/>
              </w:rPr>
            </w:pPr>
          </w:p>
          <w:p>
            <w:pPr>
              <w:pStyle w:val="TableParagraph"/>
              <w:ind w:left="135"/>
              <w:jc w:val="both"/>
              <w:rPr>
                <w:rFonts w:ascii="黑体" w:eastAsia="黑体" w:hint="eastAsia"/>
                <w:sz w:val="21"/>
              </w:rPr>
            </w:pPr>
            <w:r>
              <w:rPr>
                <w:rFonts w:ascii="黑体" w:eastAsia="黑体" w:hint="eastAsia"/>
                <w:sz w:val="21"/>
              </w:rPr>
              <w:t>动脉内血管成形术不在保障范围内。</w:t>
            </w:r>
          </w:p>
        </w:tc>
      </w:tr>
      <w:tr>
        <w:trPr>
          <w:trHeight w:val="2520" w:hRule="atLeast"/>
        </w:trPr>
        <w:tc>
          <w:tcPr>
            <w:tcW w:w="1762" w:type="dxa"/>
          </w:tcPr>
          <w:p>
            <w:pPr>
              <w:pStyle w:val="TableParagraph"/>
              <w:spacing w:line="273" w:lineRule="auto" w:before="121"/>
              <w:ind w:left="200" w:right="187"/>
              <w:rPr>
                <w:b/>
                <w:sz w:val="21"/>
              </w:rPr>
            </w:pPr>
            <w:r>
              <w:rPr>
                <w:b/>
                <w:sz w:val="21"/>
              </w:rPr>
              <w:t>26.多发性硬化症</w:t>
            </w:r>
          </w:p>
        </w:tc>
        <w:tc>
          <w:tcPr>
            <w:tcW w:w="7052" w:type="dxa"/>
          </w:tcPr>
          <w:p>
            <w:pPr>
              <w:pStyle w:val="TableParagraph"/>
              <w:spacing w:line="244" w:lineRule="auto" w:before="111"/>
              <w:ind w:left="135" w:right="199"/>
              <w:jc w:val="both"/>
              <w:rPr>
                <w:sz w:val="21"/>
              </w:rPr>
            </w:pPr>
            <w:r>
              <w:rPr>
                <w:spacing w:val="-4"/>
                <w:sz w:val="21"/>
              </w:rPr>
              <w:t>指因中枢神经系统脱髓鞘而导致的不可逆的身体部位的功能障碍，需由神经专科医生提供确诊，并有计算机断层扫描（CT）或核磁共振（MRI）结</w:t>
            </w:r>
            <w:r>
              <w:rPr>
                <w:spacing w:val="-5"/>
                <w:sz w:val="21"/>
              </w:rPr>
              <w:t>果报告支持本诊断。此不可逆的身体部位功能障碍需持续 </w:t>
            </w:r>
            <w:r>
              <w:rPr>
                <w:sz w:val="21"/>
              </w:rPr>
              <w:t>180</w:t>
            </w:r>
            <w:r>
              <w:rPr>
                <w:spacing w:val="-9"/>
                <w:sz w:val="21"/>
              </w:rPr>
              <w:t> 天以上。</w:t>
            </w:r>
          </w:p>
          <w:p>
            <w:pPr>
              <w:pStyle w:val="TableParagraph"/>
              <w:spacing w:before="3"/>
              <w:ind w:left="0"/>
              <w:rPr>
                <w:rFonts w:ascii="Times New Roman"/>
                <w:sz w:val="24"/>
              </w:rPr>
            </w:pPr>
          </w:p>
          <w:p>
            <w:pPr>
              <w:pStyle w:val="TableParagraph"/>
              <w:ind w:left="135"/>
              <w:jc w:val="both"/>
              <w:rPr>
                <w:sz w:val="21"/>
              </w:rPr>
            </w:pPr>
            <w:r>
              <w:rPr>
                <w:sz w:val="21"/>
              </w:rPr>
              <w:t>由神经科专家提供确诊必须包含下列内容：</w:t>
            </w:r>
          </w:p>
          <w:p>
            <w:pPr>
              <w:pStyle w:val="TableParagraph"/>
              <w:spacing w:before="5"/>
              <w:ind w:left="135"/>
              <w:jc w:val="both"/>
              <w:rPr>
                <w:sz w:val="21"/>
              </w:rPr>
            </w:pPr>
            <w:r>
              <w:rPr>
                <w:sz w:val="21"/>
              </w:rPr>
              <w:t>（1）明确出现因视神经、脑干或脊髓损伤而导致的临床表现；</w:t>
            </w:r>
          </w:p>
          <w:p>
            <w:pPr>
              <w:pStyle w:val="TableParagraph"/>
              <w:spacing w:before="5"/>
              <w:ind w:left="135"/>
              <w:jc w:val="both"/>
              <w:rPr>
                <w:sz w:val="21"/>
              </w:rPr>
            </w:pPr>
            <w:r>
              <w:rPr>
                <w:sz w:val="21"/>
              </w:rPr>
              <w:t>（2）散在的身体损伤的多样性；</w:t>
            </w:r>
          </w:p>
          <w:p>
            <w:pPr>
              <w:pStyle w:val="TableParagraph"/>
              <w:spacing w:before="3"/>
              <w:ind w:left="135"/>
              <w:jc w:val="both"/>
              <w:rPr>
                <w:sz w:val="21"/>
              </w:rPr>
            </w:pPr>
            <w:r>
              <w:rPr>
                <w:sz w:val="21"/>
              </w:rPr>
              <w:t>（3）有明确的上述症状及神经损伤反复恶化与减轻的病史记录。</w:t>
            </w:r>
          </w:p>
        </w:tc>
      </w:tr>
      <w:tr>
        <w:trPr>
          <w:trHeight w:val="2240" w:hRule="atLeast"/>
        </w:trPr>
        <w:tc>
          <w:tcPr>
            <w:tcW w:w="1762" w:type="dxa"/>
          </w:tcPr>
          <w:p>
            <w:pPr>
              <w:pStyle w:val="TableParagraph"/>
              <w:spacing w:line="273" w:lineRule="auto" w:before="121"/>
              <w:ind w:left="200" w:right="133"/>
              <w:jc w:val="both"/>
              <w:rPr>
                <w:b/>
                <w:sz w:val="21"/>
              </w:rPr>
            </w:pPr>
            <w:r>
              <w:rPr>
                <w:b/>
                <w:sz w:val="21"/>
              </w:rPr>
              <w:t>27.胰岛素依赖型糖尿病（1</w:t>
            </w:r>
            <w:r>
              <w:rPr>
                <w:b/>
                <w:spacing w:val="-26"/>
                <w:sz w:val="21"/>
              </w:rPr>
              <w:t> 型糖尿病）</w:t>
            </w:r>
          </w:p>
        </w:tc>
        <w:tc>
          <w:tcPr>
            <w:tcW w:w="7052" w:type="dxa"/>
          </w:tcPr>
          <w:p>
            <w:pPr>
              <w:pStyle w:val="TableParagraph"/>
              <w:spacing w:line="244" w:lineRule="auto" w:before="111"/>
              <w:ind w:left="135" w:right="200"/>
              <w:jc w:val="both"/>
              <w:rPr>
                <w:sz w:val="21"/>
              </w:rPr>
            </w:pPr>
            <w:r>
              <w:rPr>
                <w:spacing w:val="-4"/>
                <w:sz w:val="21"/>
              </w:rPr>
              <w:t>是由于胰岛素分泌绝对不足引起的慢性血糖升高，并需持续性地依赖外源</w:t>
            </w:r>
            <w:r>
              <w:rPr>
                <w:spacing w:val="-7"/>
                <w:sz w:val="21"/>
              </w:rPr>
              <w:t>性胰岛素维持 </w:t>
            </w:r>
            <w:r>
              <w:rPr>
                <w:sz w:val="21"/>
              </w:rPr>
              <w:t>180</w:t>
            </w:r>
            <w:r>
              <w:rPr>
                <w:spacing w:val="-7"/>
                <w:sz w:val="21"/>
              </w:rPr>
              <w:t> 天以上，须经血胰岛素测定和血</w:t>
            </w:r>
            <w:r>
              <w:rPr>
                <w:sz w:val="21"/>
              </w:rPr>
              <w:t>（尿）C</w:t>
            </w:r>
            <w:r>
              <w:rPr>
                <w:spacing w:val="-7"/>
                <w:sz w:val="21"/>
              </w:rPr>
              <w:t> 肽测定，结果</w:t>
            </w:r>
            <w:r>
              <w:rPr>
                <w:spacing w:val="-5"/>
                <w:sz w:val="21"/>
              </w:rPr>
              <w:t>异常，由内分泌科医生确诊，并在本合同有效期内，满足下述至少一个条件：</w:t>
            </w:r>
          </w:p>
          <w:p>
            <w:pPr>
              <w:pStyle w:val="TableParagraph"/>
              <w:spacing w:line="274" w:lineRule="exact"/>
              <w:ind w:left="135"/>
              <w:jc w:val="both"/>
              <w:rPr>
                <w:sz w:val="21"/>
              </w:rPr>
            </w:pPr>
            <w:r>
              <w:rPr>
                <w:sz w:val="21"/>
              </w:rPr>
              <w:t>（1）已出现增殖性视网膜病变；</w:t>
            </w:r>
          </w:p>
          <w:p>
            <w:pPr>
              <w:pStyle w:val="TableParagraph"/>
              <w:spacing w:before="6"/>
              <w:ind w:left="135"/>
              <w:jc w:val="both"/>
              <w:rPr>
                <w:sz w:val="21"/>
              </w:rPr>
            </w:pPr>
            <w:r>
              <w:rPr>
                <w:sz w:val="21"/>
              </w:rPr>
              <w:t>（2）须植入心脏起搏器治疗心脏病；</w:t>
            </w:r>
          </w:p>
          <w:p>
            <w:pPr>
              <w:pStyle w:val="TableParagraph"/>
              <w:spacing w:before="5"/>
              <w:ind w:left="135"/>
              <w:jc w:val="both"/>
              <w:rPr>
                <w:sz w:val="21"/>
              </w:rPr>
            </w:pPr>
            <w:r>
              <w:rPr>
                <w:sz w:val="21"/>
              </w:rPr>
              <w:t>（3）因坏疽需切除一只或以上脚趾。</w:t>
            </w:r>
          </w:p>
        </w:tc>
      </w:tr>
      <w:tr>
        <w:trPr>
          <w:trHeight w:val="2239" w:hRule="atLeast"/>
        </w:trPr>
        <w:tc>
          <w:tcPr>
            <w:tcW w:w="1762" w:type="dxa"/>
          </w:tcPr>
          <w:p>
            <w:pPr>
              <w:pStyle w:val="TableParagraph"/>
              <w:spacing w:line="273" w:lineRule="auto" w:before="120"/>
              <w:ind w:left="200" w:right="187"/>
              <w:rPr>
                <w:b/>
                <w:sz w:val="21"/>
              </w:rPr>
            </w:pPr>
            <w:r>
              <w:rPr>
                <w:b/>
                <w:sz w:val="21"/>
              </w:rPr>
              <w:t>28.肺源性心脏病</w:t>
            </w:r>
          </w:p>
        </w:tc>
        <w:tc>
          <w:tcPr>
            <w:tcW w:w="7052" w:type="dxa"/>
          </w:tcPr>
          <w:p>
            <w:pPr>
              <w:pStyle w:val="TableParagraph"/>
              <w:spacing w:before="110"/>
              <w:ind w:left="135"/>
              <w:rPr>
                <w:sz w:val="21"/>
              </w:rPr>
            </w:pPr>
            <w:r>
              <w:rPr>
                <w:sz w:val="21"/>
              </w:rPr>
              <w:t>由呼吸科医生确诊为肺源性心脏病，必须同时满足如下诊断标准：</w:t>
            </w:r>
          </w:p>
          <w:p>
            <w:pPr>
              <w:pStyle w:val="TableParagraph"/>
              <w:spacing w:before="5"/>
              <w:ind w:left="135"/>
              <w:rPr>
                <w:sz w:val="21"/>
              </w:rPr>
            </w:pPr>
            <w:r>
              <w:rPr>
                <w:w w:val="100"/>
                <w:sz w:val="21"/>
              </w:rPr>
              <w:t>（1</w:t>
            </w:r>
            <w:r>
              <w:rPr>
                <w:spacing w:val="-3"/>
                <w:w w:val="100"/>
                <w:sz w:val="21"/>
              </w:rPr>
              <w:t>）左心房压力增高（</w:t>
            </w:r>
            <w:r>
              <w:rPr>
                <w:spacing w:val="-2"/>
                <w:w w:val="100"/>
                <w:sz w:val="21"/>
              </w:rPr>
              <w:t>不低于</w:t>
            </w:r>
            <w:r>
              <w:rPr>
                <w:spacing w:val="-53"/>
                <w:sz w:val="21"/>
              </w:rPr>
              <w:t> </w:t>
            </w:r>
            <w:r>
              <w:rPr>
                <w:spacing w:val="-3"/>
                <w:w w:val="100"/>
                <w:sz w:val="21"/>
              </w:rPr>
              <w:t>2</w:t>
            </w:r>
            <w:r>
              <w:rPr>
                <w:w w:val="100"/>
                <w:sz w:val="21"/>
              </w:rPr>
              <w:t>0</w:t>
            </w:r>
            <w:r>
              <w:rPr>
                <w:spacing w:val="-53"/>
                <w:sz w:val="21"/>
              </w:rPr>
              <w:t> </w:t>
            </w:r>
            <w:r>
              <w:rPr>
                <w:spacing w:val="-2"/>
                <w:w w:val="100"/>
                <w:sz w:val="21"/>
              </w:rPr>
              <w:t>个单位</w:t>
            </w:r>
            <w:r>
              <w:rPr>
                <w:spacing w:val="-108"/>
                <w:w w:val="100"/>
                <w:sz w:val="21"/>
              </w:rPr>
              <w:t>）</w:t>
            </w:r>
            <w:r>
              <w:rPr>
                <w:w w:val="100"/>
                <w:sz w:val="21"/>
              </w:rPr>
              <w:t>；</w:t>
            </w:r>
          </w:p>
          <w:p>
            <w:pPr>
              <w:pStyle w:val="TableParagraph"/>
              <w:spacing w:before="3"/>
              <w:ind w:left="135"/>
              <w:rPr>
                <w:sz w:val="21"/>
              </w:rPr>
            </w:pPr>
            <w:r>
              <w:rPr>
                <w:sz w:val="21"/>
              </w:rPr>
              <w:t>（2）肺血管阻力（Pulmonary Resistance）高于正常值 3 个单位；</w:t>
            </w:r>
          </w:p>
          <w:p>
            <w:pPr>
              <w:pStyle w:val="TableParagraph"/>
              <w:spacing w:before="6"/>
              <w:ind w:left="135"/>
              <w:rPr>
                <w:sz w:val="21"/>
              </w:rPr>
            </w:pPr>
            <w:r>
              <w:rPr>
                <w:sz w:val="21"/>
              </w:rPr>
              <w:t>（3）肺动脉血压不低于 40 mmHg；</w:t>
            </w:r>
          </w:p>
          <w:p>
            <w:pPr>
              <w:pStyle w:val="TableParagraph"/>
              <w:spacing w:before="6"/>
              <w:ind w:left="135"/>
              <w:rPr>
                <w:sz w:val="21"/>
              </w:rPr>
            </w:pPr>
            <w:r>
              <w:rPr>
                <w:sz w:val="21"/>
              </w:rPr>
              <w:t>（4）肺动脉楔压不低于 6 mmHg；</w:t>
            </w:r>
          </w:p>
          <w:p>
            <w:pPr>
              <w:pStyle w:val="TableParagraph"/>
              <w:spacing w:before="4"/>
              <w:ind w:left="135"/>
              <w:rPr>
                <w:sz w:val="21"/>
              </w:rPr>
            </w:pPr>
            <w:r>
              <w:rPr>
                <w:sz w:val="21"/>
              </w:rPr>
              <w:t>（5）右心室心脏舒张期末压力不低于 8 mmHg；</w:t>
            </w:r>
          </w:p>
          <w:p>
            <w:pPr>
              <w:pStyle w:val="TableParagraph"/>
              <w:spacing w:before="5"/>
              <w:ind w:left="135"/>
              <w:rPr>
                <w:sz w:val="21"/>
              </w:rPr>
            </w:pPr>
            <w:r>
              <w:rPr>
                <w:sz w:val="21"/>
              </w:rPr>
              <w:t>（6）右心室过度肥大、扩张，出现右心衰竭和呼吸困难。</w:t>
            </w:r>
          </w:p>
        </w:tc>
      </w:tr>
      <w:tr>
        <w:trPr>
          <w:trHeight w:val="1786" w:hRule="atLeast"/>
        </w:trPr>
        <w:tc>
          <w:tcPr>
            <w:tcW w:w="1762" w:type="dxa"/>
          </w:tcPr>
          <w:p>
            <w:pPr>
              <w:pStyle w:val="TableParagraph"/>
              <w:spacing w:before="120"/>
              <w:ind w:left="200"/>
              <w:rPr>
                <w:b/>
                <w:sz w:val="21"/>
              </w:rPr>
            </w:pPr>
            <w:r>
              <w:rPr>
                <w:b/>
                <w:sz w:val="21"/>
              </w:rPr>
              <w:t>29.脊髓灰质炎</w:t>
            </w:r>
          </w:p>
        </w:tc>
        <w:tc>
          <w:tcPr>
            <w:tcW w:w="7052" w:type="dxa"/>
          </w:tcPr>
          <w:p>
            <w:pPr>
              <w:pStyle w:val="TableParagraph"/>
              <w:spacing w:line="244" w:lineRule="auto" w:before="110"/>
              <w:ind w:left="135" w:right="198"/>
              <w:jc w:val="both"/>
              <w:rPr>
                <w:sz w:val="21"/>
              </w:rPr>
            </w:pPr>
            <w:r>
              <w:rPr>
                <w:spacing w:val="-4"/>
                <w:sz w:val="21"/>
              </w:rPr>
              <w:t>是指被保险人被脊髓灰质炎病毒感染，因脊髓前角细胞或相应的脑干细胞受到破坏而引致的局部或广泛的肌肉无力为特征的疾病。</w:t>
            </w:r>
            <w:r>
              <w:rPr>
                <w:rFonts w:ascii="黑体" w:eastAsia="黑体" w:hint="eastAsia"/>
                <w:spacing w:val="-3"/>
                <w:sz w:val="21"/>
              </w:rPr>
              <w:t>疾病未导致不可</w:t>
            </w:r>
            <w:r>
              <w:rPr>
                <w:rFonts w:ascii="黑体" w:eastAsia="黑体" w:hint="eastAsia"/>
                <w:spacing w:val="-5"/>
                <w:sz w:val="21"/>
              </w:rPr>
              <w:t>恢复的、永久性的麻痹者不在本保单保障范围内。</w:t>
            </w:r>
            <w:r>
              <w:rPr>
                <w:spacing w:val="-3"/>
                <w:sz w:val="21"/>
              </w:rPr>
              <w:t>诊断必须经神经专科医</w:t>
            </w:r>
            <w:r>
              <w:rPr>
                <w:spacing w:val="-4"/>
                <w:sz w:val="21"/>
              </w:rPr>
              <w:t>生确诊为急性脊髓灰质炎病毒感染导致瘫痪，此种瘫痪必须有明显运动功</w:t>
            </w:r>
            <w:r>
              <w:rPr>
                <w:spacing w:val="-3"/>
                <w:sz w:val="21"/>
              </w:rPr>
              <w:t>能损害或呼吸衰弱瘫痪，并且至少持续 </w:t>
            </w:r>
            <w:r>
              <w:rPr>
                <w:sz w:val="21"/>
              </w:rPr>
              <w:t>90</w:t>
            </w:r>
            <w:r>
              <w:rPr>
                <w:spacing w:val="-3"/>
                <w:sz w:val="21"/>
              </w:rPr>
              <w:t> 天。必须有明确证据证明脊髓</w:t>
            </w:r>
          </w:p>
          <w:p>
            <w:pPr>
              <w:pStyle w:val="TableParagraph"/>
              <w:spacing w:line="255" w:lineRule="exact" w:before="1"/>
              <w:ind w:left="135"/>
              <w:jc w:val="both"/>
              <w:rPr>
                <w:sz w:val="21"/>
              </w:rPr>
            </w:pPr>
            <w:r>
              <w:rPr>
                <w:sz w:val="21"/>
              </w:rPr>
              <w:t>灰质炎病毒为病因。未引起瘫痪者保险公司不承担给付保险金的责任。</w:t>
            </w:r>
          </w:p>
        </w:tc>
      </w:tr>
    </w:tbl>
    <w:p>
      <w:pPr>
        <w:spacing w:after="0" w:line="255" w:lineRule="exact"/>
        <w:jc w:val="both"/>
        <w:rPr>
          <w:sz w:val="21"/>
        </w:rPr>
        <w:sectPr>
          <w:pgSz w:w="11910" w:h="16840"/>
          <w:pgMar w:header="0" w:footer="919" w:top="1460" w:bottom="1100" w:left="1680" w:right="94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7076"/>
      </w:tblGrid>
      <w:tr>
        <w:trPr>
          <w:trHeight w:val="1506" w:hRule="atLeast"/>
        </w:trPr>
        <w:tc>
          <w:tcPr>
            <w:tcW w:w="1841" w:type="dxa"/>
          </w:tcPr>
          <w:p>
            <w:pPr>
              <w:pStyle w:val="TableParagraph"/>
              <w:spacing w:line="221" w:lineRule="exact"/>
              <w:ind w:left="200"/>
              <w:rPr>
                <w:b/>
                <w:sz w:val="21"/>
              </w:rPr>
            </w:pPr>
            <w:r>
              <w:rPr>
                <w:b/>
                <w:sz w:val="21"/>
              </w:rPr>
              <w:t>30.终末期肺病</w:t>
            </w:r>
          </w:p>
        </w:tc>
        <w:tc>
          <w:tcPr>
            <w:tcW w:w="7076" w:type="dxa"/>
          </w:tcPr>
          <w:p>
            <w:pPr>
              <w:pStyle w:val="TableParagraph"/>
              <w:spacing w:line="211" w:lineRule="exact"/>
              <w:ind w:left="56"/>
              <w:rPr>
                <w:sz w:val="21"/>
              </w:rPr>
            </w:pPr>
            <w:r>
              <w:rPr>
                <w:sz w:val="21"/>
              </w:rPr>
              <w:t>因终末期肺病而出现的慢性呼吸功能衰竭，其诊断须由呼吸科医生确认并</w:t>
            </w:r>
          </w:p>
          <w:p>
            <w:pPr>
              <w:pStyle w:val="TableParagraph"/>
              <w:spacing w:before="6"/>
              <w:ind w:left="56"/>
              <w:rPr>
                <w:sz w:val="21"/>
              </w:rPr>
            </w:pPr>
            <w:r>
              <w:rPr>
                <w:sz w:val="21"/>
              </w:rPr>
              <w:t>同时符合以下标准：</w:t>
            </w:r>
          </w:p>
          <w:p>
            <w:pPr>
              <w:pStyle w:val="TableParagraph"/>
              <w:spacing w:before="3"/>
              <w:ind w:left="56"/>
              <w:rPr>
                <w:sz w:val="21"/>
              </w:rPr>
            </w:pPr>
            <w:r>
              <w:rPr>
                <w:sz w:val="21"/>
              </w:rPr>
              <w:t>（1）肺功能测试其第一秒钟末用力呼气量（FEV1）持续低于 1 升；</w:t>
            </w:r>
          </w:p>
          <w:p>
            <w:pPr>
              <w:pStyle w:val="TableParagraph"/>
              <w:spacing w:before="5"/>
              <w:ind w:left="56"/>
              <w:rPr>
                <w:sz w:val="21"/>
              </w:rPr>
            </w:pPr>
            <w:r>
              <w:rPr>
                <w:sz w:val="21"/>
              </w:rPr>
              <w:t>（2）病人缺氧必须持续地进行输氧治疗；</w:t>
            </w:r>
          </w:p>
          <w:p>
            <w:pPr>
              <w:pStyle w:val="TableParagraph"/>
              <w:spacing w:before="5"/>
              <w:ind w:left="56"/>
              <w:rPr>
                <w:sz w:val="21"/>
              </w:rPr>
            </w:pPr>
            <w:r>
              <w:rPr>
                <w:sz w:val="21"/>
              </w:rPr>
              <w:t>（3）动脉血气分析氧分压低于 55mmHg。</w:t>
            </w:r>
          </w:p>
        </w:tc>
      </w:tr>
      <w:tr>
        <w:trPr>
          <w:trHeight w:val="2239" w:hRule="atLeast"/>
        </w:trPr>
        <w:tc>
          <w:tcPr>
            <w:tcW w:w="1841" w:type="dxa"/>
          </w:tcPr>
          <w:p>
            <w:pPr>
              <w:pStyle w:val="TableParagraph"/>
              <w:spacing w:before="120"/>
              <w:ind w:left="200"/>
              <w:rPr>
                <w:b/>
                <w:sz w:val="21"/>
              </w:rPr>
            </w:pPr>
            <w:r>
              <w:rPr>
                <w:b/>
                <w:sz w:val="21"/>
              </w:rPr>
              <w:t>31.植物人状态</w:t>
            </w:r>
          </w:p>
        </w:tc>
        <w:tc>
          <w:tcPr>
            <w:tcW w:w="7076" w:type="dxa"/>
          </w:tcPr>
          <w:p>
            <w:pPr>
              <w:pStyle w:val="TableParagraph"/>
              <w:spacing w:line="244" w:lineRule="auto" w:before="110"/>
              <w:ind w:left="56" w:right="302"/>
              <w:jc w:val="both"/>
              <w:rPr>
                <w:sz w:val="21"/>
              </w:rPr>
            </w:pPr>
            <w:r>
              <w:rPr>
                <w:spacing w:val="-4"/>
                <w:sz w:val="21"/>
              </w:rPr>
              <w:t>一种丧失生理、意识和交流功能后的临床依赖状态。可以是由脑外伤、缺</w:t>
            </w:r>
            <w:r>
              <w:rPr>
                <w:spacing w:val="-5"/>
                <w:sz w:val="21"/>
              </w:rPr>
              <w:t>氧持续状态、严重的脑炎或某种神经毒素造成。患者无法从事主动或有目的的活动，而只能对疼痛刺激产生反应。被保险人需要在本公司认可的医</w:t>
            </w:r>
            <w:r>
              <w:rPr>
                <w:spacing w:val="-4"/>
                <w:sz w:val="21"/>
              </w:rPr>
              <w:t>院使用辅助机器维持生命。申请理赔需被保险人因植物人状态住院 </w:t>
            </w:r>
            <w:r>
              <w:rPr>
                <w:sz w:val="21"/>
              </w:rPr>
              <w:t>30</w:t>
            </w:r>
            <w:r>
              <w:rPr>
                <w:spacing w:val="5"/>
                <w:sz w:val="21"/>
              </w:rPr>
              <w:t> 天</w:t>
            </w:r>
            <w:r>
              <w:rPr>
                <w:spacing w:val="-3"/>
                <w:sz w:val="21"/>
              </w:rPr>
              <w:t>以上并且必须有神经专科医生的医学诊断证明。</w:t>
            </w:r>
          </w:p>
          <w:p>
            <w:pPr>
              <w:pStyle w:val="TableParagraph"/>
              <w:spacing w:before="3"/>
              <w:ind w:left="0"/>
              <w:rPr>
                <w:rFonts w:ascii="Times New Roman"/>
                <w:sz w:val="24"/>
              </w:rPr>
            </w:pPr>
          </w:p>
          <w:p>
            <w:pPr>
              <w:pStyle w:val="TableParagraph"/>
              <w:spacing w:before="1"/>
              <w:ind w:left="56"/>
              <w:jc w:val="both"/>
              <w:rPr>
                <w:rFonts w:ascii="黑体" w:eastAsia="黑体" w:hint="eastAsia"/>
                <w:sz w:val="21"/>
              </w:rPr>
            </w:pPr>
            <w:r>
              <w:rPr>
                <w:rFonts w:ascii="黑体" w:eastAsia="黑体" w:hint="eastAsia"/>
                <w:sz w:val="21"/>
              </w:rPr>
              <w:t>由于酗酒或滥用药物所致的植物人状态除外。</w:t>
            </w:r>
          </w:p>
        </w:tc>
      </w:tr>
      <w:tr>
        <w:trPr>
          <w:trHeight w:val="1961" w:hRule="atLeast"/>
        </w:trPr>
        <w:tc>
          <w:tcPr>
            <w:tcW w:w="1841" w:type="dxa"/>
          </w:tcPr>
          <w:p>
            <w:pPr>
              <w:pStyle w:val="TableParagraph"/>
              <w:spacing w:line="273" w:lineRule="auto" w:before="120"/>
              <w:ind w:left="200" w:right="266"/>
              <w:rPr>
                <w:b/>
                <w:sz w:val="21"/>
              </w:rPr>
            </w:pPr>
            <w:r>
              <w:rPr>
                <w:b/>
                <w:sz w:val="21"/>
              </w:rPr>
              <w:t>32.慢性呼吸功能衰竭</w:t>
            </w:r>
          </w:p>
        </w:tc>
        <w:tc>
          <w:tcPr>
            <w:tcW w:w="7076" w:type="dxa"/>
          </w:tcPr>
          <w:p>
            <w:pPr>
              <w:pStyle w:val="TableParagraph"/>
              <w:spacing w:line="244" w:lineRule="auto" w:before="110"/>
              <w:ind w:left="56" w:right="260"/>
              <w:rPr>
                <w:sz w:val="21"/>
              </w:rPr>
            </w:pPr>
            <w:r>
              <w:rPr>
                <w:sz w:val="21"/>
              </w:rPr>
              <w:t>慢性肺部疾病导致永久不可逆性的慢性呼吸功能衰竭。慢性呼吸功能衰竭必须明确诊断并满足下列全部条件：</w:t>
            </w:r>
          </w:p>
          <w:p>
            <w:pPr>
              <w:pStyle w:val="TableParagraph"/>
              <w:spacing w:before="1"/>
              <w:ind w:left="56"/>
              <w:rPr>
                <w:sz w:val="21"/>
              </w:rPr>
            </w:pPr>
            <w:r>
              <w:rPr>
                <w:sz w:val="21"/>
              </w:rPr>
              <w:t>（1）休息时出现呼吸困难；</w:t>
            </w:r>
          </w:p>
          <w:p>
            <w:pPr>
              <w:pStyle w:val="TableParagraph"/>
              <w:spacing w:before="3"/>
              <w:ind w:left="56"/>
              <w:rPr>
                <w:sz w:val="21"/>
              </w:rPr>
            </w:pPr>
            <w:r>
              <w:rPr>
                <w:sz w:val="21"/>
              </w:rPr>
              <w:t>（2）动脉血氧分压（PaO2）&lt;50mmHg；</w:t>
            </w:r>
          </w:p>
          <w:p>
            <w:pPr>
              <w:pStyle w:val="TableParagraph"/>
              <w:spacing w:before="5"/>
              <w:ind w:left="56"/>
              <w:rPr>
                <w:sz w:val="21"/>
              </w:rPr>
            </w:pPr>
            <w:r>
              <w:rPr>
                <w:sz w:val="21"/>
              </w:rPr>
              <w:t>（3）动脉血氧饱和度（SaO2）&lt;80％；</w:t>
            </w:r>
          </w:p>
          <w:p>
            <w:pPr>
              <w:pStyle w:val="TableParagraph"/>
              <w:spacing w:before="5"/>
              <w:ind w:left="56"/>
              <w:rPr>
                <w:sz w:val="21"/>
              </w:rPr>
            </w:pPr>
            <w:r>
              <w:rPr>
                <w:sz w:val="21"/>
              </w:rPr>
              <w:t>（4）因缺氧必须接受持续的输氧治疗。</w:t>
            </w:r>
          </w:p>
        </w:tc>
      </w:tr>
      <w:tr>
        <w:trPr>
          <w:trHeight w:val="2852" w:hRule="atLeast"/>
        </w:trPr>
        <w:tc>
          <w:tcPr>
            <w:tcW w:w="1841" w:type="dxa"/>
          </w:tcPr>
          <w:p>
            <w:pPr>
              <w:pStyle w:val="TableParagraph"/>
              <w:spacing w:before="120"/>
              <w:ind w:left="200"/>
              <w:rPr>
                <w:b/>
                <w:sz w:val="21"/>
              </w:rPr>
            </w:pPr>
            <w:r>
              <w:rPr>
                <w:b/>
                <w:sz w:val="21"/>
              </w:rPr>
              <w:t>33.严重心肌病</w:t>
            </w:r>
          </w:p>
        </w:tc>
        <w:tc>
          <w:tcPr>
            <w:tcW w:w="7076" w:type="dxa"/>
          </w:tcPr>
          <w:p>
            <w:pPr>
              <w:pStyle w:val="TableParagraph"/>
              <w:spacing w:line="244" w:lineRule="auto" w:before="110"/>
              <w:ind w:left="56" w:right="301"/>
              <w:jc w:val="both"/>
              <w:rPr>
                <w:sz w:val="21"/>
              </w:rPr>
            </w:pPr>
            <w:r>
              <w:rPr>
                <w:spacing w:val="-5"/>
                <w:sz w:val="21"/>
              </w:rPr>
              <w:t>指不明原因引起的一类心肌病变，包括原发性扩张型心肌病、原发性肥厚</w:t>
            </w:r>
            <w:r>
              <w:rPr>
                <w:spacing w:val="-6"/>
                <w:sz w:val="21"/>
              </w:rPr>
              <w:t>型心肌病及原发性限制型心肌病三种，本病须经专科医生明确诊断，且病</w:t>
            </w:r>
            <w:r>
              <w:rPr>
                <w:spacing w:val="-5"/>
                <w:sz w:val="21"/>
              </w:rPr>
              <w:t>变必须已造成事实上心室功能障碍而出现明显的心功能衰竭</w:t>
            </w:r>
            <w:r>
              <w:rPr>
                <w:sz w:val="21"/>
              </w:rPr>
              <w:t>（</w:t>
            </w:r>
            <w:r>
              <w:rPr>
                <w:spacing w:val="-3"/>
                <w:sz w:val="21"/>
              </w:rPr>
              <w:t>指按照美国</w:t>
            </w:r>
            <w:r>
              <w:rPr>
                <w:spacing w:val="-3"/>
                <w:w w:val="100"/>
                <w:sz w:val="21"/>
              </w:rPr>
              <w:t>纽约心脏协会心功能分类标准心功能达四级</w:t>
            </w:r>
            <w:r>
              <w:rPr>
                <w:w w:val="100"/>
                <w:sz w:val="21"/>
              </w:rPr>
              <w:t>*</w:t>
            </w:r>
            <w:r>
              <w:rPr>
                <w:spacing w:val="-108"/>
                <w:w w:val="100"/>
                <w:sz w:val="21"/>
              </w:rPr>
              <w:t>）</w:t>
            </w:r>
            <w:r>
              <w:rPr>
                <w:spacing w:val="-5"/>
                <w:w w:val="100"/>
                <w:sz w:val="21"/>
              </w:rPr>
              <w:t>，且有相关住院医疗记录显</w:t>
            </w:r>
            <w:r>
              <w:rPr>
                <w:spacing w:val="-7"/>
                <w:sz w:val="21"/>
              </w:rPr>
              <w:t>示四级心功能衰竭状态持续至少 </w:t>
            </w:r>
            <w:r>
              <w:rPr>
                <w:sz w:val="21"/>
              </w:rPr>
              <w:t>180</w:t>
            </w:r>
            <w:r>
              <w:rPr>
                <w:spacing w:val="-8"/>
                <w:sz w:val="21"/>
              </w:rPr>
              <w:t> 天。继发于全身性疾病或其它器官系</w:t>
            </w:r>
            <w:r>
              <w:rPr>
                <w:spacing w:val="-5"/>
                <w:sz w:val="21"/>
              </w:rPr>
              <w:t>统疾病造成的心肌病变不在保障范围内。</w:t>
            </w:r>
          </w:p>
          <w:p>
            <w:pPr>
              <w:pStyle w:val="TableParagraph"/>
              <w:spacing w:before="4"/>
              <w:ind w:left="0"/>
              <w:rPr>
                <w:rFonts w:ascii="Times New Roman"/>
                <w:sz w:val="25"/>
              </w:rPr>
            </w:pPr>
          </w:p>
          <w:p>
            <w:pPr>
              <w:pStyle w:val="TableParagraph"/>
              <w:spacing w:line="273" w:lineRule="auto"/>
              <w:ind w:left="56" w:right="397"/>
              <w:jc w:val="both"/>
              <w:rPr>
                <w:sz w:val="21"/>
              </w:rPr>
            </w:pPr>
            <w:r>
              <w:rPr>
                <w:sz w:val="21"/>
              </w:rPr>
              <w:t>*美国纽约心脏协会分类标准心功能四级是指有医院的医疗记录显示病人不能进行任何活动，休息时仍有心悸、呼吸困难等心力衰竭表现。</w:t>
            </w:r>
          </w:p>
        </w:tc>
      </w:tr>
      <w:tr>
        <w:trPr>
          <w:trHeight w:val="3091" w:hRule="atLeast"/>
        </w:trPr>
        <w:tc>
          <w:tcPr>
            <w:tcW w:w="1841" w:type="dxa"/>
          </w:tcPr>
          <w:p>
            <w:pPr>
              <w:pStyle w:val="TableParagraph"/>
              <w:spacing w:before="130"/>
              <w:ind w:left="200"/>
              <w:rPr>
                <w:b/>
                <w:sz w:val="21"/>
              </w:rPr>
            </w:pPr>
            <w:r>
              <w:rPr>
                <w:b/>
                <w:sz w:val="21"/>
              </w:rPr>
              <w:t>34.重症肌无力</w:t>
            </w:r>
          </w:p>
        </w:tc>
        <w:tc>
          <w:tcPr>
            <w:tcW w:w="7076" w:type="dxa"/>
          </w:tcPr>
          <w:p>
            <w:pPr>
              <w:pStyle w:val="TableParagraph"/>
              <w:spacing w:line="244" w:lineRule="auto" w:before="121"/>
              <w:ind w:left="56" w:right="301"/>
              <w:jc w:val="both"/>
              <w:rPr>
                <w:sz w:val="21"/>
              </w:rPr>
            </w:pPr>
            <w:r>
              <w:rPr>
                <w:spacing w:val="-4"/>
                <w:sz w:val="21"/>
              </w:rPr>
              <w:t>是指一种神经与肌肉接头部位传递障碍的自身免疫性疾病，临床特征是局</w:t>
            </w:r>
            <w:r>
              <w:rPr>
                <w:spacing w:val="-5"/>
                <w:sz w:val="21"/>
              </w:rPr>
              <w:t>部或全身横纹肌于活动时易于疲劳无力，颅神经眼外肌最易累及，也可涉及呼吸肌、下肢近端肌群乃至全身肌肉，须经神经专科医生确诊。其诊断</w:t>
            </w:r>
            <w:r>
              <w:rPr>
                <w:spacing w:val="-4"/>
                <w:sz w:val="21"/>
              </w:rPr>
              <w:t>必须同时具有下列情况：</w:t>
            </w:r>
          </w:p>
          <w:p>
            <w:pPr>
              <w:pStyle w:val="TableParagraph"/>
              <w:spacing w:before="1"/>
              <w:ind w:left="56"/>
              <w:rPr>
                <w:sz w:val="21"/>
              </w:rPr>
            </w:pPr>
            <w:r>
              <w:rPr>
                <w:sz w:val="21"/>
              </w:rPr>
              <w:t>（1）经药物、胸腺手术治疗一年以上无法控制病情，丧失正常工作能力；</w:t>
            </w:r>
          </w:p>
          <w:p>
            <w:pPr>
              <w:pStyle w:val="TableParagraph"/>
              <w:spacing w:line="244" w:lineRule="auto" w:before="5"/>
              <w:ind w:left="56" w:right="303"/>
              <w:jc w:val="both"/>
              <w:rPr>
                <w:sz w:val="21"/>
              </w:rPr>
            </w:pPr>
            <w:r>
              <w:rPr>
                <w:sz w:val="21"/>
              </w:rPr>
              <w:t>（2）出现眼睑下垂，或延髓肌受累引起的构音困难、进食呛咳，或由于</w:t>
            </w:r>
            <w:r>
              <w:rPr>
                <w:spacing w:val="-4"/>
                <w:sz w:val="21"/>
              </w:rPr>
              <w:t>肌无力累及延髓肌、呼吸肌而致机体呼吸功能不正常的危急状态即肌无力危象；</w:t>
            </w:r>
          </w:p>
          <w:p>
            <w:pPr>
              <w:pStyle w:val="TableParagraph"/>
              <w:spacing w:line="242" w:lineRule="auto" w:before="1"/>
              <w:ind w:left="56" w:right="309"/>
              <w:jc w:val="both"/>
              <w:rPr>
                <w:sz w:val="21"/>
              </w:rPr>
            </w:pPr>
            <w:r>
              <w:rPr>
                <w:sz w:val="21"/>
              </w:rPr>
              <w:t>（3）症状缓解、复发及恶化交替出现，临床接受新斯的明等抗胆碱酯酶药物治疗的病史。</w:t>
            </w:r>
          </w:p>
        </w:tc>
      </w:tr>
      <w:tr>
        <w:trPr>
          <w:trHeight w:val="2066" w:hRule="atLeast"/>
        </w:trPr>
        <w:tc>
          <w:tcPr>
            <w:tcW w:w="1841" w:type="dxa"/>
          </w:tcPr>
          <w:p>
            <w:pPr>
              <w:pStyle w:val="TableParagraph"/>
              <w:spacing w:line="273" w:lineRule="auto" w:before="121"/>
              <w:ind w:left="200" w:right="54"/>
              <w:rPr>
                <w:b/>
                <w:sz w:val="21"/>
              </w:rPr>
            </w:pPr>
            <w:r>
              <w:rPr>
                <w:b/>
                <w:sz w:val="21"/>
              </w:rPr>
              <w:t>35.因职业关系 导致的人类免疫缺陷病毒（HIV） 感染</w:t>
            </w:r>
          </w:p>
        </w:tc>
        <w:tc>
          <w:tcPr>
            <w:tcW w:w="7076" w:type="dxa"/>
          </w:tcPr>
          <w:p>
            <w:pPr>
              <w:pStyle w:val="TableParagraph"/>
              <w:spacing w:line="242" w:lineRule="auto" w:before="111"/>
              <w:ind w:left="56" w:right="303"/>
              <w:rPr>
                <w:sz w:val="21"/>
              </w:rPr>
            </w:pPr>
            <w:r>
              <w:rPr>
                <w:spacing w:val="-4"/>
                <w:sz w:val="21"/>
              </w:rPr>
              <w:t>被保险人在其常规职业工作过程中遭遇外伤，或职业需要处理血液或其它</w:t>
            </w:r>
            <w:r>
              <w:rPr>
                <w:spacing w:val="-3"/>
                <w:w w:val="100"/>
                <w:sz w:val="21"/>
              </w:rPr>
              <w:t>体液时感染上人类免疫缺陷病毒</w:t>
            </w:r>
            <w:r>
              <w:rPr>
                <w:spacing w:val="-1"/>
                <w:w w:val="100"/>
                <w:sz w:val="21"/>
              </w:rPr>
              <w:t>（</w:t>
            </w:r>
            <w:r>
              <w:rPr>
                <w:w w:val="100"/>
                <w:sz w:val="21"/>
              </w:rPr>
              <w:t>H</w:t>
            </w:r>
            <w:r>
              <w:rPr>
                <w:spacing w:val="-3"/>
                <w:w w:val="100"/>
                <w:sz w:val="21"/>
              </w:rPr>
              <w:t>I</w:t>
            </w:r>
            <w:r>
              <w:rPr>
                <w:spacing w:val="-1"/>
                <w:w w:val="100"/>
                <w:sz w:val="21"/>
              </w:rPr>
              <w:t>V</w:t>
            </w:r>
            <w:r>
              <w:rPr>
                <w:spacing w:val="-106"/>
                <w:w w:val="100"/>
                <w:sz w:val="21"/>
              </w:rPr>
              <w:t>）</w:t>
            </w:r>
            <w:r>
              <w:rPr>
                <w:spacing w:val="-3"/>
                <w:w w:val="100"/>
                <w:sz w:val="21"/>
              </w:rPr>
              <w:t>。必须满足下列全部条件：</w:t>
            </w:r>
          </w:p>
          <w:p>
            <w:pPr>
              <w:pStyle w:val="TableParagraph"/>
              <w:spacing w:line="244" w:lineRule="auto" w:before="3"/>
              <w:ind w:left="56" w:right="309"/>
              <w:rPr>
                <w:sz w:val="21"/>
              </w:rPr>
            </w:pPr>
            <w:r>
              <w:rPr>
                <w:sz w:val="21"/>
              </w:rPr>
              <w:t>（1）感染必须是在被保险人正在从事其职业工作中发生，该职业必须属于下列限定职业范围内的职业；</w:t>
            </w:r>
          </w:p>
          <w:p>
            <w:pPr>
              <w:pStyle w:val="TableParagraph"/>
              <w:spacing w:line="274" w:lineRule="exact"/>
              <w:ind w:left="56"/>
              <w:rPr>
                <w:sz w:val="21"/>
              </w:rPr>
            </w:pPr>
            <w:r>
              <w:rPr>
                <w:sz w:val="21"/>
              </w:rPr>
              <w:t>（2）血清转化必须出现在事故发生后的 6 个月以内；</w:t>
            </w:r>
          </w:p>
          <w:p>
            <w:pPr>
              <w:pStyle w:val="TableParagraph"/>
              <w:spacing w:line="280" w:lineRule="atLeast" w:before="1"/>
              <w:ind w:left="56" w:right="261"/>
              <w:rPr>
                <w:sz w:val="21"/>
              </w:rPr>
            </w:pPr>
            <w:r>
              <w:rPr>
                <w:sz w:val="21"/>
              </w:rPr>
              <w:t>（3）必须提供被保险人在所报事故发生后的 5 天以内进行的检查报告， 该报告必须显示被保险人血液人类免疫缺陷病毒（HIV）阴性和/或人类免</w:t>
            </w:r>
          </w:p>
        </w:tc>
      </w:tr>
    </w:tbl>
    <w:p>
      <w:pPr>
        <w:spacing w:after="0" w:line="280" w:lineRule="atLeast"/>
        <w:rPr>
          <w:sz w:val="21"/>
        </w:rPr>
        <w:sectPr>
          <w:pgSz w:w="11910" w:h="16840"/>
          <w:pgMar w:header="0" w:footer="919" w:top="1460" w:bottom="1100" w:left="1680" w:right="82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7033"/>
      </w:tblGrid>
      <w:tr>
        <w:trPr>
          <w:trHeight w:val="2065" w:hRule="atLeast"/>
        </w:trPr>
        <w:tc>
          <w:tcPr>
            <w:tcW w:w="1791" w:type="dxa"/>
          </w:tcPr>
          <w:p>
            <w:pPr>
              <w:pStyle w:val="TableParagraph"/>
              <w:ind w:left="0"/>
              <w:rPr>
                <w:rFonts w:ascii="Times New Roman"/>
                <w:sz w:val="20"/>
              </w:rPr>
            </w:pPr>
          </w:p>
        </w:tc>
        <w:tc>
          <w:tcPr>
            <w:tcW w:w="7033" w:type="dxa"/>
          </w:tcPr>
          <w:p>
            <w:pPr>
              <w:pStyle w:val="TableParagraph"/>
              <w:spacing w:line="211" w:lineRule="exact"/>
              <w:ind w:left="106"/>
              <w:rPr>
                <w:sz w:val="21"/>
              </w:rPr>
            </w:pPr>
            <w:r>
              <w:rPr>
                <w:sz w:val="21"/>
              </w:rPr>
              <w:t>疫缺陷病毒（HIV）抗体阴性；</w:t>
            </w:r>
          </w:p>
          <w:p>
            <w:pPr>
              <w:pStyle w:val="TableParagraph"/>
              <w:spacing w:line="242" w:lineRule="auto" w:before="6"/>
              <w:ind w:left="106" w:right="210"/>
              <w:rPr>
                <w:sz w:val="21"/>
              </w:rPr>
            </w:pPr>
            <w:r>
              <w:rPr>
                <w:spacing w:val="-5"/>
                <w:sz w:val="21"/>
              </w:rPr>
              <w:t>（4）</w:t>
            </w:r>
            <w:r>
              <w:rPr>
                <w:spacing w:val="-7"/>
                <w:sz w:val="21"/>
              </w:rPr>
              <w:t>必须在事故发生后的 </w:t>
            </w:r>
            <w:r>
              <w:rPr>
                <w:sz w:val="21"/>
              </w:rPr>
              <w:t>12</w:t>
            </w:r>
            <w:r>
              <w:rPr>
                <w:spacing w:val="-8"/>
                <w:sz w:val="21"/>
              </w:rPr>
              <w:t> 个月内证实被保险人体内存在人类免疫缺陷</w:t>
            </w:r>
            <w:r>
              <w:rPr>
                <w:spacing w:val="-1"/>
                <w:sz w:val="21"/>
              </w:rPr>
              <w:t>病毒（HIV）</w:t>
            </w:r>
            <w:r>
              <w:rPr>
                <w:spacing w:val="-3"/>
                <w:sz w:val="21"/>
              </w:rPr>
              <w:t>或人类免疫缺陷病毒</w:t>
            </w:r>
            <w:r>
              <w:rPr>
                <w:spacing w:val="-1"/>
                <w:sz w:val="21"/>
              </w:rPr>
              <w:t>（HIV）</w:t>
            </w:r>
            <w:r>
              <w:rPr>
                <w:spacing w:val="-2"/>
                <w:sz w:val="21"/>
              </w:rPr>
              <w:t>抗体。</w:t>
            </w:r>
          </w:p>
          <w:p>
            <w:pPr>
              <w:pStyle w:val="TableParagraph"/>
              <w:spacing w:before="8"/>
              <w:ind w:left="0"/>
              <w:rPr>
                <w:rFonts w:ascii="Times New Roman"/>
                <w:sz w:val="24"/>
              </w:rPr>
            </w:pPr>
          </w:p>
          <w:p>
            <w:pPr>
              <w:pStyle w:val="TableParagraph"/>
              <w:ind w:left="106"/>
              <w:rPr>
                <w:rFonts w:ascii="黑体" w:eastAsia="黑体" w:hint="eastAsia"/>
                <w:sz w:val="21"/>
              </w:rPr>
            </w:pPr>
            <w:r>
              <w:rPr>
                <w:rFonts w:ascii="黑体" w:eastAsia="黑体" w:hint="eastAsia"/>
                <w:sz w:val="21"/>
              </w:rPr>
              <w:t>限定职业：</w:t>
            </w:r>
          </w:p>
          <w:p>
            <w:pPr>
              <w:pStyle w:val="TableParagraph"/>
              <w:spacing w:line="244" w:lineRule="auto" w:before="3"/>
              <w:ind w:left="106" w:right="168"/>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921" w:hRule="atLeast"/>
        </w:trPr>
        <w:tc>
          <w:tcPr>
            <w:tcW w:w="1791" w:type="dxa"/>
          </w:tcPr>
          <w:p>
            <w:pPr>
              <w:pStyle w:val="TableParagraph"/>
              <w:spacing w:line="273" w:lineRule="auto" w:before="120"/>
              <w:ind w:left="200" w:right="105"/>
              <w:rPr>
                <w:b/>
                <w:sz w:val="21"/>
              </w:rPr>
            </w:pPr>
            <w:r>
              <w:rPr>
                <w:b/>
                <w:sz w:val="21"/>
              </w:rPr>
              <w:t>36.经输血导致的人类免疫缺陷</w:t>
            </w:r>
            <w:r>
              <w:rPr>
                <w:b/>
                <w:spacing w:val="-26"/>
                <w:sz w:val="21"/>
              </w:rPr>
              <w:t>病毒</w:t>
            </w:r>
            <w:r>
              <w:rPr>
                <w:b/>
                <w:spacing w:val="-11"/>
                <w:sz w:val="21"/>
              </w:rPr>
              <w:t>（HIV）</w:t>
            </w:r>
            <w:r>
              <w:rPr>
                <w:b/>
                <w:sz w:val="21"/>
              </w:rPr>
              <w:t>感染</w:t>
            </w:r>
          </w:p>
        </w:tc>
        <w:tc>
          <w:tcPr>
            <w:tcW w:w="7033" w:type="dxa"/>
          </w:tcPr>
          <w:p>
            <w:pPr>
              <w:pStyle w:val="TableParagraph"/>
              <w:spacing w:before="110"/>
              <w:ind w:left="106"/>
              <w:rPr>
                <w:sz w:val="21"/>
              </w:rPr>
            </w:pPr>
            <w:r>
              <w:rPr>
                <w:sz w:val="21"/>
              </w:rPr>
              <w:t>被保险人感染上人类免疫缺陷病毒（HIV）并且满足下列全部条件：</w:t>
            </w:r>
          </w:p>
          <w:p>
            <w:pPr>
              <w:pStyle w:val="TableParagraph"/>
              <w:spacing w:before="5"/>
              <w:ind w:left="106"/>
              <w:rPr>
                <w:sz w:val="21"/>
              </w:rPr>
            </w:pPr>
            <w:r>
              <w:rPr>
                <w:w w:val="100"/>
                <w:sz w:val="21"/>
              </w:rPr>
              <w:t>（1</w:t>
            </w:r>
            <w:r>
              <w:rPr>
                <w:spacing w:val="-3"/>
                <w:w w:val="100"/>
                <w:sz w:val="21"/>
              </w:rPr>
              <w:t>）被保险人因疾病接受输血治疗而感染人类免疫缺陷病毒（</w:t>
            </w:r>
            <w:r>
              <w:rPr>
                <w:w w:val="100"/>
                <w:sz w:val="21"/>
              </w:rPr>
              <w:t>HIV</w:t>
            </w:r>
            <w:r>
              <w:rPr>
                <w:spacing w:val="-108"/>
                <w:w w:val="100"/>
                <w:sz w:val="21"/>
              </w:rPr>
              <w:t>）；</w:t>
            </w:r>
          </w:p>
          <w:p>
            <w:pPr>
              <w:pStyle w:val="TableParagraph"/>
              <w:spacing w:line="242" w:lineRule="auto" w:before="5"/>
              <w:ind w:left="106" w:right="216"/>
              <w:jc w:val="both"/>
              <w:rPr>
                <w:sz w:val="21"/>
              </w:rPr>
            </w:pPr>
            <w:r>
              <w:rPr>
                <w:sz w:val="21"/>
              </w:rPr>
              <w:t>（2）提供输血治疗的输血中心或医院出具该项输血感染属医疗责任事故的报告，或经法院终审判决为医疗责任；</w:t>
            </w:r>
          </w:p>
          <w:p>
            <w:pPr>
              <w:pStyle w:val="TableParagraph"/>
              <w:spacing w:before="3"/>
              <w:ind w:left="106"/>
              <w:rPr>
                <w:sz w:val="21"/>
              </w:rPr>
            </w:pPr>
            <w:r>
              <w:rPr>
                <w:sz w:val="21"/>
              </w:rPr>
              <w:t>（3）受感染的被保险人不是血友病患者。</w:t>
            </w:r>
          </w:p>
          <w:p>
            <w:pPr>
              <w:pStyle w:val="TableParagraph"/>
              <w:spacing w:before="8"/>
              <w:ind w:left="0"/>
              <w:rPr>
                <w:rFonts w:ascii="Times New Roman"/>
                <w:sz w:val="24"/>
              </w:rPr>
            </w:pPr>
          </w:p>
          <w:p>
            <w:pPr>
              <w:pStyle w:val="TableParagraph"/>
              <w:spacing w:line="244" w:lineRule="auto"/>
              <w:ind w:left="106" w:right="198"/>
              <w:jc w:val="both"/>
              <w:rPr>
                <w:sz w:val="21"/>
              </w:rPr>
            </w:pPr>
            <w:r>
              <w:rPr>
                <w:sz w:val="21"/>
              </w:rPr>
              <w:t>在任何治愈艾滋病（AIDS）或阻止人类免疫缺陷病毒（HIV）作用的疗法被发现以后，或能防止艾滋病（AIDS）发生的医疗方法被研究出来以后， 本保障将不再予以赔付。</w:t>
            </w:r>
          </w:p>
          <w:p>
            <w:pPr>
              <w:pStyle w:val="TableParagraph"/>
              <w:spacing w:before="3"/>
              <w:ind w:left="0"/>
              <w:rPr>
                <w:rFonts w:ascii="Times New Roman"/>
                <w:sz w:val="24"/>
              </w:rPr>
            </w:pPr>
          </w:p>
          <w:p>
            <w:pPr>
              <w:pStyle w:val="TableParagraph"/>
              <w:spacing w:line="244" w:lineRule="auto" w:before="1"/>
              <w:ind w:left="106" w:right="210"/>
              <w:jc w:val="both"/>
              <w:rPr>
                <w:sz w:val="21"/>
              </w:rPr>
            </w:pPr>
            <w:r>
              <w:rPr>
                <w:rFonts w:ascii="黑体" w:eastAsia="黑体" w:hint="eastAsia"/>
                <w:spacing w:val="-4"/>
                <w:sz w:val="21"/>
              </w:rPr>
              <w:t>任何因其它传播方式</w:t>
            </w:r>
            <w:r>
              <w:rPr>
                <w:rFonts w:ascii="黑体" w:eastAsia="黑体" w:hint="eastAsia"/>
                <w:spacing w:val="-3"/>
                <w:sz w:val="21"/>
              </w:rPr>
              <w:t>（包括：性传播或静脉注射毒品</w:t>
            </w:r>
            <w:r>
              <w:rPr>
                <w:rFonts w:ascii="黑体" w:eastAsia="黑体" w:hint="eastAsia"/>
                <w:spacing w:val="-5"/>
                <w:sz w:val="21"/>
              </w:rPr>
              <w:t>）</w:t>
            </w:r>
            <w:r>
              <w:rPr>
                <w:rFonts w:ascii="黑体" w:eastAsia="黑体" w:hint="eastAsia"/>
                <w:spacing w:val="-3"/>
                <w:sz w:val="21"/>
              </w:rPr>
              <w:t>导致的人类免疫缺陷病毒（HIV）感染不在本合同保障范围内。</w:t>
            </w:r>
            <w:r>
              <w:rPr>
                <w:sz w:val="21"/>
              </w:rPr>
              <w:t>本公司必须拥有获得使用被</w:t>
            </w:r>
            <w:r>
              <w:rPr>
                <w:spacing w:val="-3"/>
                <w:sz w:val="21"/>
              </w:rPr>
              <w:t>保险人的所有血液样本的权利和能够对这些样本进行独立检验的权利。</w:t>
            </w:r>
          </w:p>
        </w:tc>
      </w:tr>
      <w:tr>
        <w:trPr>
          <w:trHeight w:val="3080" w:hRule="atLeast"/>
        </w:trPr>
        <w:tc>
          <w:tcPr>
            <w:tcW w:w="1791" w:type="dxa"/>
          </w:tcPr>
          <w:p>
            <w:pPr>
              <w:pStyle w:val="TableParagraph"/>
              <w:spacing w:line="273" w:lineRule="auto" w:before="121"/>
              <w:ind w:left="200" w:right="216"/>
              <w:rPr>
                <w:b/>
                <w:sz w:val="21"/>
              </w:rPr>
            </w:pPr>
            <w:r>
              <w:rPr>
                <w:b/>
                <w:sz w:val="21"/>
              </w:rPr>
              <w:t>37.严重类风湿性关节炎</w:t>
            </w:r>
          </w:p>
        </w:tc>
        <w:tc>
          <w:tcPr>
            <w:tcW w:w="7033" w:type="dxa"/>
          </w:tcPr>
          <w:p>
            <w:pPr>
              <w:pStyle w:val="TableParagraph"/>
              <w:spacing w:line="244" w:lineRule="auto" w:before="111"/>
              <w:ind w:left="106" w:right="208"/>
              <w:jc w:val="both"/>
              <w:rPr>
                <w:sz w:val="21"/>
              </w:rPr>
            </w:pPr>
            <w:r>
              <w:rPr>
                <w:spacing w:val="-4"/>
                <w:sz w:val="21"/>
              </w:rPr>
              <w:t>类风湿性关节炎为广泛分布的慢性进行性多关节病变，表现为关节严重变</w:t>
            </w:r>
            <w:r>
              <w:rPr>
                <w:spacing w:val="-13"/>
                <w:sz w:val="21"/>
              </w:rPr>
              <w:t>形，侵犯至少三个主要关节或关节组【如：双手</w:t>
            </w:r>
            <w:r>
              <w:rPr>
                <w:sz w:val="21"/>
              </w:rPr>
              <w:t>（</w:t>
            </w:r>
            <w:r>
              <w:rPr>
                <w:spacing w:val="-3"/>
                <w:sz w:val="21"/>
              </w:rPr>
              <w:t>多手指</w:t>
            </w:r>
            <w:r>
              <w:rPr>
                <w:spacing w:val="-32"/>
                <w:sz w:val="21"/>
              </w:rPr>
              <w:t>）</w:t>
            </w:r>
            <w:r>
              <w:rPr>
                <w:spacing w:val="-15"/>
                <w:sz w:val="21"/>
              </w:rPr>
              <w:t>关节、双足</w:t>
            </w:r>
            <w:r>
              <w:rPr>
                <w:sz w:val="21"/>
              </w:rPr>
              <w:t>（多足趾）</w:t>
            </w:r>
            <w:r>
              <w:rPr>
                <w:spacing w:val="-6"/>
                <w:sz w:val="21"/>
              </w:rPr>
              <w:t>关节、双腕关节、双膝关节和双髋关节】。类风湿性关节炎必须明</w:t>
            </w:r>
            <w:r>
              <w:rPr>
                <w:spacing w:val="-4"/>
                <w:sz w:val="21"/>
              </w:rPr>
              <w:t>确诊断并且已经达到类风湿性关节炎功能分类 </w:t>
            </w:r>
            <w:r>
              <w:rPr>
                <w:sz w:val="21"/>
              </w:rPr>
              <w:t>IV</w:t>
            </w:r>
            <w:r>
              <w:rPr>
                <w:spacing w:val="-3"/>
                <w:sz w:val="21"/>
              </w:rPr>
              <w:t> 级的永久不可逆性关节功能障碍（生活不能自理，且丧失工作能力）并且满足下列全部条件：</w:t>
            </w:r>
          </w:p>
          <w:p>
            <w:pPr>
              <w:pStyle w:val="TableParagraph"/>
              <w:spacing w:before="1"/>
              <w:ind w:left="106"/>
              <w:jc w:val="both"/>
              <w:rPr>
                <w:sz w:val="21"/>
              </w:rPr>
            </w:pPr>
            <w:r>
              <w:rPr>
                <w:sz w:val="21"/>
              </w:rPr>
              <w:t>（1）晨僵；</w:t>
            </w:r>
          </w:p>
          <w:p>
            <w:pPr>
              <w:pStyle w:val="TableParagraph"/>
              <w:spacing w:before="5"/>
              <w:ind w:left="106"/>
              <w:jc w:val="both"/>
              <w:rPr>
                <w:sz w:val="21"/>
              </w:rPr>
            </w:pPr>
            <w:r>
              <w:rPr>
                <w:sz w:val="21"/>
              </w:rPr>
              <w:t>（2）对称性关节炎；</w:t>
            </w:r>
          </w:p>
          <w:p>
            <w:pPr>
              <w:pStyle w:val="TableParagraph"/>
              <w:spacing w:before="3"/>
              <w:ind w:left="106"/>
              <w:jc w:val="both"/>
              <w:rPr>
                <w:sz w:val="21"/>
              </w:rPr>
            </w:pPr>
            <w:r>
              <w:rPr>
                <w:sz w:val="21"/>
              </w:rPr>
              <w:t>（3）类风湿性皮下结节；</w:t>
            </w:r>
          </w:p>
          <w:p>
            <w:pPr>
              <w:pStyle w:val="TableParagraph"/>
              <w:spacing w:before="6"/>
              <w:ind w:left="106"/>
              <w:jc w:val="both"/>
              <w:rPr>
                <w:sz w:val="21"/>
              </w:rPr>
            </w:pPr>
            <w:r>
              <w:rPr>
                <w:sz w:val="21"/>
              </w:rPr>
              <w:t>（4）类风湿因子滴度升高；</w:t>
            </w:r>
          </w:p>
          <w:p>
            <w:pPr>
              <w:pStyle w:val="TableParagraph"/>
              <w:spacing w:before="6"/>
              <w:ind w:left="106"/>
              <w:jc w:val="both"/>
              <w:rPr>
                <w:sz w:val="21"/>
              </w:rPr>
            </w:pPr>
            <w:r>
              <w:rPr>
                <w:sz w:val="21"/>
              </w:rPr>
              <w:t>（5）X 线显示严重的关节（软骨和骨）破坏和关节畸形。</w:t>
            </w:r>
          </w:p>
        </w:tc>
      </w:tr>
      <w:tr>
        <w:trPr>
          <w:trHeight w:val="1119" w:hRule="atLeast"/>
        </w:trPr>
        <w:tc>
          <w:tcPr>
            <w:tcW w:w="1791" w:type="dxa"/>
          </w:tcPr>
          <w:p>
            <w:pPr>
              <w:pStyle w:val="TableParagraph"/>
              <w:spacing w:before="120"/>
              <w:ind w:left="200"/>
              <w:rPr>
                <w:b/>
                <w:sz w:val="21"/>
              </w:rPr>
            </w:pPr>
            <w:r>
              <w:rPr>
                <w:b/>
                <w:sz w:val="21"/>
              </w:rPr>
              <w:t>38.疾病末期</w:t>
            </w:r>
          </w:p>
        </w:tc>
        <w:tc>
          <w:tcPr>
            <w:tcW w:w="7033" w:type="dxa"/>
          </w:tcPr>
          <w:p>
            <w:pPr>
              <w:pStyle w:val="TableParagraph"/>
              <w:spacing w:line="244" w:lineRule="auto" w:before="110"/>
              <w:ind w:left="106" w:right="210"/>
              <w:jc w:val="both"/>
              <w:rPr>
                <w:sz w:val="21"/>
              </w:rPr>
            </w:pPr>
            <w:r>
              <w:rPr>
                <w:spacing w:val="-4"/>
                <w:sz w:val="21"/>
              </w:rPr>
              <w:t>被保险人经医生诊断确定为严重疾病末期，并经专科医生认定其所患疾病</w:t>
            </w:r>
            <w:r>
              <w:rPr>
                <w:spacing w:val="1"/>
                <w:sz w:val="21"/>
              </w:rPr>
              <w:t>依现有医疗技术无法治愈且根据医学及临床经验其平均存活期间在六个</w:t>
            </w:r>
            <w:r>
              <w:rPr>
                <w:sz w:val="21"/>
              </w:rPr>
              <w:t>月以下。</w:t>
            </w:r>
          </w:p>
        </w:tc>
      </w:tr>
      <w:tr>
        <w:trPr>
          <w:trHeight w:val="840" w:hRule="atLeast"/>
        </w:trPr>
        <w:tc>
          <w:tcPr>
            <w:tcW w:w="1791" w:type="dxa"/>
          </w:tcPr>
          <w:p>
            <w:pPr>
              <w:pStyle w:val="TableParagraph"/>
              <w:spacing w:before="121"/>
              <w:ind w:left="200"/>
              <w:rPr>
                <w:b/>
                <w:sz w:val="21"/>
              </w:rPr>
            </w:pPr>
            <w:r>
              <w:rPr>
                <w:b/>
                <w:sz w:val="21"/>
              </w:rPr>
              <w:t>39.严重克隆病</w:t>
            </w:r>
          </w:p>
        </w:tc>
        <w:tc>
          <w:tcPr>
            <w:tcW w:w="7033" w:type="dxa"/>
          </w:tcPr>
          <w:p>
            <w:pPr>
              <w:pStyle w:val="TableParagraph"/>
              <w:spacing w:line="244" w:lineRule="auto" w:before="111"/>
              <w:ind w:left="106" w:right="183"/>
              <w:rPr>
                <w:sz w:val="21"/>
              </w:rPr>
            </w:pPr>
            <w:r>
              <w:rPr>
                <w:sz w:val="21"/>
              </w:rPr>
              <w:t>指一种慢性肉芽肿性肠炎，具有特征性的克隆病病理组织学变化，须由病理学检查结果证实，且已经造成瘘管形成并伴有肠梗阻或肠穿孔。</w:t>
            </w:r>
          </w:p>
        </w:tc>
      </w:tr>
      <w:tr>
        <w:trPr>
          <w:trHeight w:val="1119" w:hRule="atLeast"/>
        </w:trPr>
        <w:tc>
          <w:tcPr>
            <w:tcW w:w="1791" w:type="dxa"/>
          </w:tcPr>
          <w:p>
            <w:pPr>
              <w:pStyle w:val="TableParagraph"/>
              <w:spacing w:line="273" w:lineRule="auto" w:before="121"/>
              <w:ind w:left="200" w:right="110"/>
              <w:rPr>
                <w:b/>
                <w:sz w:val="21"/>
              </w:rPr>
            </w:pPr>
            <w:r>
              <w:rPr>
                <w:b/>
                <w:sz w:val="21"/>
              </w:rPr>
              <w:t>40. 溶血性链球菌引起的坏疽</w:t>
            </w:r>
          </w:p>
        </w:tc>
        <w:tc>
          <w:tcPr>
            <w:tcW w:w="7033" w:type="dxa"/>
          </w:tcPr>
          <w:p>
            <w:pPr>
              <w:pStyle w:val="TableParagraph"/>
              <w:spacing w:line="244" w:lineRule="auto" w:before="111"/>
              <w:ind w:left="106" w:right="208"/>
              <w:jc w:val="both"/>
              <w:rPr>
                <w:sz w:val="21"/>
              </w:rPr>
            </w:pPr>
            <w:r>
              <w:rPr>
                <w:spacing w:val="-4"/>
                <w:sz w:val="21"/>
              </w:rPr>
              <w:t>指包围肢体或躯干的浅筋膜或深筋膜受到溶血性链球菌的感染，病情在短</w:t>
            </w:r>
            <w:r>
              <w:rPr>
                <w:spacing w:val="-5"/>
                <w:sz w:val="21"/>
              </w:rPr>
              <w:t>时间内急剧恶化，且已经立刻进行了手术及清创术。最后的诊断必须由微</w:t>
            </w:r>
            <w:r>
              <w:rPr>
                <w:spacing w:val="-4"/>
                <w:sz w:val="21"/>
              </w:rPr>
              <w:t>生物或病理学专家进行相关检查后证实。</w:t>
            </w:r>
          </w:p>
        </w:tc>
      </w:tr>
      <w:tr>
        <w:trPr>
          <w:trHeight w:val="1505" w:hRule="atLeast"/>
        </w:trPr>
        <w:tc>
          <w:tcPr>
            <w:tcW w:w="1791" w:type="dxa"/>
          </w:tcPr>
          <w:p>
            <w:pPr>
              <w:pStyle w:val="TableParagraph"/>
              <w:spacing w:line="273" w:lineRule="auto" w:before="120"/>
              <w:ind w:left="200" w:right="216"/>
              <w:rPr>
                <w:b/>
                <w:sz w:val="21"/>
              </w:rPr>
            </w:pPr>
            <w:r>
              <w:rPr>
                <w:b/>
                <w:sz w:val="21"/>
              </w:rPr>
              <w:t>41.系统性硬皮病</w:t>
            </w:r>
          </w:p>
        </w:tc>
        <w:tc>
          <w:tcPr>
            <w:tcW w:w="7033" w:type="dxa"/>
          </w:tcPr>
          <w:p>
            <w:pPr>
              <w:pStyle w:val="TableParagraph"/>
              <w:spacing w:line="244" w:lineRule="auto" w:before="110"/>
              <w:ind w:left="106" w:right="208"/>
              <w:jc w:val="both"/>
              <w:rPr>
                <w:sz w:val="21"/>
              </w:rPr>
            </w:pPr>
            <w:r>
              <w:rPr>
                <w:spacing w:val="0"/>
                <w:w w:val="100"/>
                <w:sz w:val="21"/>
              </w:rPr>
              <w:t>系统性硬皮病</w:t>
            </w:r>
            <w:r>
              <w:rPr>
                <w:spacing w:val="1"/>
                <w:w w:val="100"/>
                <w:sz w:val="21"/>
              </w:rPr>
              <w:t>（</w:t>
            </w:r>
            <w:r>
              <w:rPr>
                <w:w w:val="100"/>
                <w:sz w:val="21"/>
              </w:rPr>
              <w:t>须累及内脏器官</w:t>
            </w:r>
            <w:r>
              <w:rPr>
                <w:spacing w:val="-101"/>
                <w:w w:val="100"/>
                <w:sz w:val="21"/>
              </w:rPr>
              <w:t>）</w:t>
            </w:r>
            <w:r>
              <w:rPr>
                <w:w w:val="100"/>
                <w:sz w:val="21"/>
              </w:rPr>
              <w:t>，指一种以局限性或弥漫性皮肤增厚和</w:t>
            </w:r>
            <w:r>
              <w:rPr>
                <w:spacing w:val="-3"/>
                <w:sz w:val="21"/>
              </w:rPr>
              <w:t>皮肤、血管、内脏器官异常纤维化为特征的结缔组织病。须满足下列至少一项条件：</w:t>
            </w:r>
          </w:p>
          <w:p>
            <w:pPr>
              <w:pStyle w:val="TableParagraph"/>
              <w:numPr>
                <w:ilvl w:val="0"/>
                <w:numId w:val="6"/>
              </w:numPr>
              <w:tabs>
                <w:tab w:pos="738" w:val="left" w:leader="none"/>
              </w:tabs>
              <w:spacing w:line="274" w:lineRule="exact" w:before="0" w:after="0"/>
              <w:ind w:left="737" w:right="0" w:hanging="631"/>
              <w:jc w:val="both"/>
              <w:rPr>
                <w:sz w:val="21"/>
              </w:rPr>
            </w:pPr>
            <w:r>
              <w:rPr>
                <w:spacing w:val="-3"/>
                <w:sz w:val="21"/>
              </w:rPr>
              <w:t>肺脏：肺部病变进而发展为肺间质纤维化和肺动脉高压；</w:t>
            </w:r>
          </w:p>
          <w:p>
            <w:pPr>
              <w:pStyle w:val="TableParagraph"/>
              <w:numPr>
                <w:ilvl w:val="0"/>
                <w:numId w:val="6"/>
              </w:numPr>
              <w:tabs>
                <w:tab w:pos="738" w:val="left" w:leader="none"/>
              </w:tabs>
              <w:spacing w:line="255" w:lineRule="exact" w:before="6" w:after="0"/>
              <w:ind w:left="737" w:right="0" w:hanging="631"/>
              <w:jc w:val="both"/>
              <w:rPr>
                <w:sz w:val="21"/>
              </w:rPr>
            </w:pPr>
            <w:r>
              <w:rPr>
                <w:spacing w:val="-3"/>
                <w:sz w:val="21"/>
              </w:rPr>
              <w:t>心脏：左室腔扩大至少达到正常值上限的 </w:t>
            </w:r>
            <w:r>
              <w:rPr>
                <w:sz w:val="21"/>
              </w:rPr>
              <w:t>120</w:t>
            </w:r>
            <w:r>
              <w:rPr>
                <w:spacing w:val="-3"/>
                <w:sz w:val="21"/>
              </w:rPr>
              <w:t>％，且左室射血分数</w:t>
            </w:r>
          </w:p>
        </w:tc>
      </w:tr>
    </w:tbl>
    <w:p>
      <w:pPr>
        <w:spacing w:after="0" w:line="255" w:lineRule="exact"/>
        <w:jc w:val="both"/>
        <w:rPr>
          <w:sz w:val="21"/>
        </w:rPr>
        <w:sectPr>
          <w:pgSz w:w="11910" w:h="16840"/>
          <w:pgMar w:header="0" w:footer="919" w:top="1460" w:bottom="1100" w:left="1680" w:right="920"/>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7033"/>
      </w:tblGrid>
      <w:tr>
        <w:trPr>
          <w:trHeight w:val="666" w:hRule="atLeast"/>
        </w:trPr>
        <w:tc>
          <w:tcPr>
            <w:tcW w:w="1791" w:type="dxa"/>
          </w:tcPr>
          <w:p>
            <w:pPr>
              <w:pStyle w:val="TableParagraph"/>
              <w:ind w:left="0"/>
              <w:rPr>
                <w:rFonts w:ascii="Times New Roman"/>
                <w:sz w:val="20"/>
              </w:rPr>
            </w:pPr>
          </w:p>
        </w:tc>
        <w:tc>
          <w:tcPr>
            <w:tcW w:w="7033" w:type="dxa"/>
          </w:tcPr>
          <w:p>
            <w:pPr>
              <w:pStyle w:val="TableParagraph"/>
              <w:spacing w:line="211" w:lineRule="exact"/>
              <w:ind w:left="106"/>
              <w:rPr>
                <w:sz w:val="21"/>
              </w:rPr>
            </w:pPr>
            <w:r>
              <w:rPr>
                <w:sz w:val="21"/>
              </w:rPr>
              <w:t>持续性低于 40％；</w:t>
            </w:r>
          </w:p>
          <w:p>
            <w:pPr>
              <w:pStyle w:val="TableParagraph"/>
              <w:spacing w:before="6"/>
              <w:ind w:left="106"/>
              <w:rPr>
                <w:sz w:val="21"/>
              </w:rPr>
            </w:pPr>
            <w:r>
              <w:rPr>
                <w:sz w:val="21"/>
              </w:rPr>
              <w:t>（3） 肾脏：肾脏受损导致双肾功能慢性不可逆衰竭，达到尿毒症期。</w:t>
            </w:r>
          </w:p>
        </w:tc>
      </w:tr>
      <w:tr>
        <w:trPr>
          <w:trHeight w:val="1119" w:hRule="atLeast"/>
        </w:trPr>
        <w:tc>
          <w:tcPr>
            <w:tcW w:w="1791" w:type="dxa"/>
          </w:tcPr>
          <w:p>
            <w:pPr>
              <w:pStyle w:val="TableParagraph"/>
              <w:spacing w:line="273" w:lineRule="auto" w:before="120"/>
              <w:ind w:left="200" w:right="216"/>
              <w:rPr>
                <w:b/>
                <w:sz w:val="21"/>
              </w:rPr>
            </w:pPr>
            <w:r>
              <w:rPr>
                <w:b/>
                <w:sz w:val="21"/>
              </w:rPr>
              <w:t>42.严重溃疡性结肠炎</w:t>
            </w:r>
          </w:p>
        </w:tc>
        <w:tc>
          <w:tcPr>
            <w:tcW w:w="7033" w:type="dxa"/>
          </w:tcPr>
          <w:p>
            <w:pPr>
              <w:pStyle w:val="TableParagraph"/>
              <w:spacing w:line="244" w:lineRule="auto" w:before="110"/>
              <w:ind w:left="106" w:right="198"/>
              <w:jc w:val="both"/>
              <w:rPr>
                <w:sz w:val="21"/>
              </w:rPr>
            </w:pPr>
            <w:r>
              <w:rPr>
                <w:sz w:val="21"/>
              </w:rPr>
              <w:t>指伴有致命性电解质紊乱的急性暴发性溃疡性结肠炎，病变累及全结肠， 表现为严重的血便和系统性症状体征，须根据组织病理学特点诊断，并且被保险人已经接受了全结肠切除和回肠造瘘术。</w:t>
            </w:r>
          </w:p>
        </w:tc>
      </w:tr>
      <w:tr>
        <w:trPr>
          <w:trHeight w:val="2241" w:hRule="atLeast"/>
        </w:trPr>
        <w:tc>
          <w:tcPr>
            <w:tcW w:w="1791" w:type="dxa"/>
          </w:tcPr>
          <w:p>
            <w:pPr>
              <w:pStyle w:val="TableParagraph"/>
              <w:spacing w:line="273" w:lineRule="auto" w:before="121"/>
              <w:ind w:left="200" w:right="216"/>
              <w:rPr>
                <w:b/>
                <w:sz w:val="21"/>
              </w:rPr>
            </w:pPr>
            <w:r>
              <w:rPr>
                <w:b/>
                <w:sz w:val="21"/>
              </w:rPr>
              <w:t>43.肝豆状核变性</w:t>
            </w:r>
          </w:p>
        </w:tc>
        <w:tc>
          <w:tcPr>
            <w:tcW w:w="7033" w:type="dxa"/>
          </w:tcPr>
          <w:p>
            <w:pPr>
              <w:pStyle w:val="TableParagraph"/>
              <w:spacing w:line="244" w:lineRule="auto" w:before="111"/>
              <w:ind w:left="106" w:right="208"/>
              <w:jc w:val="both"/>
              <w:rPr>
                <w:sz w:val="21"/>
              </w:rPr>
            </w:pPr>
            <w:r>
              <w:rPr>
                <w:spacing w:val="-5"/>
                <w:sz w:val="21"/>
              </w:rPr>
              <w:t>指一种常染色体隐性遗传的铜代谢缺陷病，以不同程度的肝细胞损害、脑退行性病变和角膜边缘有铜盐沉着环为其临床特征，并须满足下列全部条件：</w:t>
            </w:r>
          </w:p>
          <w:p>
            <w:pPr>
              <w:pStyle w:val="TableParagraph"/>
              <w:spacing w:before="1"/>
              <w:ind w:left="106"/>
              <w:jc w:val="both"/>
              <w:rPr>
                <w:sz w:val="21"/>
              </w:rPr>
            </w:pPr>
            <w:r>
              <w:rPr>
                <w:sz w:val="21"/>
              </w:rPr>
              <w:t>（1）典型症状；</w:t>
            </w:r>
          </w:p>
          <w:p>
            <w:pPr>
              <w:pStyle w:val="TableParagraph"/>
              <w:spacing w:before="3"/>
              <w:ind w:left="106"/>
              <w:jc w:val="both"/>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5"/>
              <w:ind w:left="106"/>
              <w:jc w:val="both"/>
              <w:rPr>
                <w:sz w:val="21"/>
              </w:rPr>
            </w:pPr>
            <w:r>
              <w:rPr>
                <w:sz w:val="21"/>
              </w:rPr>
              <w:t>（3）血清铜和血清铜蓝蛋白降低，尿铜增加；</w:t>
            </w:r>
          </w:p>
          <w:p>
            <w:pPr>
              <w:pStyle w:val="TableParagraph"/>
              <w:spacing w:before="6"/>
              <w:ind w:left="106"/>
              <w:jc w:val="both"/>
              <w:rPr>
                <w:sz w:val="21"/>
              </w:rPr>
            </w:pPr>
            <w:r>
              <w:rPr>
                <w:sz w:val="21"/>
              </w:rPr>
              <w:t>（4）经皮做肝脏活检来定量分析肝脏铜的含量。</w:t>
            </w:r>
          </w:p>
        </w:tc>
      </w:tr>
      <w:tr>
        <w:trPr>
          <w:trHeight w:val="1156" w:hRule="atLeast"/>
        </w:trPr>
        <w:tc>
          <w:tcPr>
            <w:tcW w:w="1791" w:type="dxa"/>
          </w:tcPr>
          <w:p>
            <w:pPr>
              <w:pStyle w:val="TableParagraph"/>
              <w:spacing w:line="273" w:lineRule="auto" w:before="120"/>
              <w:ind w:left="200" w:right="216"/>
              <w:jc w:val="both"/>
              <w:rPr>
                <w:b/>
                <w:sz w:val="21"/>
              </w:rPr>
            </w:pPr>
            <w:r>
              <w:rPr>
                <w:b/>
                <w:sz w:val="21"/>
              </w:rPr>
              <w:t>44.侵蚀性葡萄胎-须化疗或手术治疗</w:t>
            </w:r>
          </w:p>
        </w:tc>
        <w:tc>
          <w:tcPr>
            <w:tcW w:w="7033" w:type="dxa"/>
          </w:tcPr>
          <w:p>
            <w:pPr>
              <w:pStyle w:val="TableParagraph"/>
              <w:spacing w:line="244" w:lineRule="auto" w:before="110"/>
              <w:ind w:left="106" w:right="210"/>
              <w:jc w:val="both"/>
              <w:rPr>
                <w:sz w:val="21"/>
              </w:rPr>
            </w:pPr>
            <w:r>
              <w:rPr>
                <w:spacing w:val="-4"/>
                <w:sz w:val="21"/>
              </w:rPr>
              <w:t>指异常增生的绒毛组织浸润性生长，侵入子宫肌层引起组织破坏或转移至</w:t>
            </w:r>
            <w:r>
              <w:rPr>
                <w:spacing w:val="-5"/>
                <w:sz w:val="21"/>
              </w:rPr>
              <w:t>其它器官或组织的葡萄胎，经病理学检查结果明确诊断，并须实际实施了</w:t>
            </w:r>
            <w:r>
              <w:rPr>
                <w:spacing w:val="-4"/>
                <w:sz w:val="21"/>
              </w:rPr>
              <w:t>化疗或手术切除治疗。</w:t>
            </w:r>
          </w:p>
        </w:tc>
      </w:tr>
      <w:tr>
        <w:trPr>
          <w:trHeight w:val="1922" w:hRule="atLeast"/>
        </w:trPr>
        <w:tc>
          <w:tcPr>
            <w:tcW w:w="1791" w:type="dxa"/>
          </w:tcPr>
          <w:p>
            <w:pPr>
              <w:pStyle w:val="TableParagraph"/>
              <w:spacing w:line="273" w:lineRule="auto" w:before="84"/>
              <w:ind w:left="200" w:right="216"/>
              <w:rPr>
                <w:b/>
                <w:sz w:val="21"/>
              </w:rPr>
            </w:pPr>
            <w:r>
              <w:rPr>
                <w:b/>
                <w:sz w:val="21"/>
              </w:rPr>
              <w:t>45.坏死性筋膜炎</w:t>
            </w:r>
          </w:p>
        </w:tc>
        <w:tc>
          <w:tcPr>
            <w:tcW w:w="7033" w:type="dxa"/>
          </w:tcPr>
          <w:p>
            <w:pPr>
              <w:pStyle w:val="TableParagraph"/>
              <w:spacing w:line="242" w:lineRule="auto" w:before="74"/>
              <w:ind w:left="106" w:right="183"/>
              <w:rPr>
                <w:sz w:val="21"/>
              </w:rPr>
            </w:pPr>
            <w:r>
              <w:rPr>
                <w:sz w:val="21"/>
              </w:rPr>
              <w:t>指一种严重软组织混合性细菌感染，常于手术或皮肤损伤后发生。须满足下列全部条件：</w:t>
            </w:r>
          </w:p>
          <w:p>
            <w:pPr>
              <w:pStyle w:val="TableParagraph"/>
              <w:numPr>
                <w:ilvl w:val="0"/>
                <w:numId w:val="7"/>
              </w:numPr>
              <w:tabs>
                <w:tab w:pos="738" w:val="left" w:leader="none"/>
              </w:tabs>
              <w:spacing w:line="240" w:lineRule="auto" w:before="3" w:after="0"/>
              <w:ind w:left="106" w:right="0" w:firstLine="0"/>
              <w:jc w:val="left"/>
              <w:rPr>
                <w:sz w:val="21"/>
              </w:rPr>
            </w:pPr>
            <w:r>
              <w:rPr>
                <w:spacing w:val="-3"/>
                <w:sz w:val="21"/>
              </w:rPr>
              <w:t>符合坏死性筋膜炎的一般临床表现；</w:t>
            </w:r>
          </w:p>
          <w:p>
            <w:pPr>
              <w:pStyle w:val="TableParagraph"/>
              <w:numPr>
                <w:ilvl w:val="0"/>
                <w:numId w:val="7"/>
              </w:numPr>
              <w:tabs>
                <w:tab w:pos="738" w:val="left" w:leader="none"/>
              </w:tabs>
              <w:spacing w:line="240" w:lineRule="auto" w:before="5" w:after="0"/>
              <w:ind w:left="106" w:right="0" w:firstLine="0"/>
              <w:jc w:val="left"/>
              <w:rPr>
                <w:sz w:val="21"/>
              </w:rPr>
            </w:pPr>
            <w:r>
              <w:rPr>
                <w:spacing w:val="-3"/>
                <w:sz w:val="21"/>
              </w:rPr>
              <w:t>细菌培养检出致病菌；</w:t>
            </w:r>
          </w:p>
          <w:p>
            <w:pPr>
              <w:pStyle w:val="TableParagraph"/>
              <w:numPr>
                <w:ilvl w:val="0"/>
                <w:numId w:val="7"/>
              </w:numPr>
              <w:tabs>
                <w:tab w:pos="733" w:val="left" w:leader="none"/>
              </w:tabs>
              <w:spacing w:line="244" w:lineRule="auto" w:before="3" w:after="0"/>
              <w:ind w:left="106" w:right="213" w:firstLine="0"/>
              <w:jc w:val="left"/>
              <w:rPr>
                <w:sz w:val="21"/>
              </w:rPr>
            </w:pPr>
            <w:r>
              <w:rPr>
                <w:spacing w:val="-4"/>
                <w:sz w:val="21"/>
              </w:rPr>
              <w:t>出现广泛性肌肉及软组织坏死，并导致身体受影响部位完全丧失功</w:t>
            </w:r>
            <w:r>
              <w:rPr>
                <w:spacing w:val="-15"/>
                <w:sz w:val="21"/>
              </w:rPr>
              <w:t>能超过 </w:t>
            </w:r>
            <w:r>
              <w:rPr>
                <w:sz w:val="21"/>
              </w:rPr>
              <w:t>180</w:t>
            </w:r>
            <w:r>
              <w:rPr>
                <w:spacing w:val="-18"/>
                <w:sz w:val="21"/>
              </w:rPr>
              <w:t> 天。</w:t>
            </w:r>
          </w:p>
        </w:tc>
      </w:tr>
      <w:tr>
        <w:trPr>
          <w:trHeight w:val="1121" w:hRule="atLeast"/>
        </w:trPr>
        <w:tc>
          <w:tcPr>
            <w:tcW w:w="1791" w:type="dxa"/>
          </w:tcPr>
          <w:p>
            <w:pPr>
              <w:pStyle w:val="TableParagraph"/>
              <w:spacing w:before="120"/>
              <w:ind w:left="200"/>
              <w:rPr>
                <w:b/>
                <w:sz w:val="21"/>
              </w:rPr>
            </w:pPr>
            <w:r>
              <w:rPr>
                <w:b/>
                <w:sz w:val="21"/>
              </w:rPr>
              <w:t>46.象皮病</w:t>
            </w:r>
          </w:p>
        </w:tc>
        <w:tc>
          <w:tcPr>
            <w:tcW w:w="7033" w:type="dxa"/>
          </w:tcPr>
          <w:p>
            <w:pPr>
              <w:pStyle w:val="TableParagraph"/>
              <w:spacing w:line="244" w:lineRule="auto" w:before="110"/>
              <w:ind w:left="106" w:right="210"/>
              <w:jc w:val="both"/>
              <w:rPr>
                <w:sz w:val="21"/>
              </w:rPr>
            </w:pPr>
            <w:r>
              <w:rPr>
                <w:spacing w:val="-5"/>
                <w:sz w:val="21"/>
              </w:rPr>
              <w:t>指末期丝虫病，按国际淋巴学会分级为三度淋巴液肿，其临床表现为肢体</w:t>
            </w:r>
            <w:r>
              <w:rPr>
                <w:spacing w:val="-6"/>
                <w:sz w:val="21"/>
              </w:rPr>
              <w:t>非凹陷性水肿伴畸形增大、硬皮症和疣状增生。此病症须经专科医生根据</w:t>
            </w:r>
            <w:r>
              <w:rPr>
                <w:spacing w:val="-4"/>
                <w:sz w:val="21"/>
              </w:rPr>
              <w:t>临床表现和微丝蚴的化验结果确诊。</w:t>
            </w:r>
          </w:p>
        </w:tc>
      </w:tr>
      <w:tr>
        <w:trPr>
          <w:trHeight w:val="2239" w:hRule="atLeast"/>
        </w:trPr>
        <w:tc>
          <w:tcPr>
            <w:tcW w:w="1791" w:type="dxa"/>
          </w:tcPr>
          <w:p>
            <w:pPr>
              <w:pStyle w:val="TableParagraph"/>
              <w:spacing w:line="273" w:lineRule="auto" w:before="120"/>
              <w:ind w:left="200" w:right="105"/>
              <w:rPr>
                <w:b/>
                <w:sz w:val="21"/>
              </w:rPr>
            </w:pPr>
            <w:r>
              <w:rPr>
                <w:b/>
                <w:sz w:val="21"/>
              </w:rPr>
              <w:t>47.严重瑞氏综</w:t>
            </w:r>
            <w:r>
              <w:rPr>
                <w:b/>
                <w:spacing w:val="-51"/>
                <w:sz w:val="21"/>
              </w:rPr>
              <w:t>合症</w:t>
            </w:r>
            <w:r>
              <w:rPr>
                <w:b/>
                <w:sz w:val="21"/>
              </w:rPr>
              <w:t>（Reye 综合征，也称赖氏综合征、雷氏综合征）</w:t>
            </w:r>
          </w:p>
        </w:tc>
        <w:tc>
          <w:tcPr>
            <w:tcW w:w="7033" w:type="dxa"/>
          </w:tcPr>
          <w:p>
            <w:pPr>
              <w:pStyle w:val="TableParagraph"/>
              <w:spacing w:line="244" w:lineRule="auto" w:before="110"/>
              <w:ind w:left="106" w:right="210"/>
              <w:jc w:val="both"/>
              <w:rPr>
                <w:sz w:val="21"/>
              </w:rPr>
            </w:pPr>
            <w:r>
              <w:rPr>
                <w:spacing w:val="-5"/>
                <w:sz w:val="21"/>
              </w:rPr>
              <w:t>瑞氏综合征是线粒体功能障碍性疾病。导致脂肪代谢障碍，引起短链脂肪酸、血氨升高，造成脑水肿。主要临床表现为急性发热、反复呕吐、惊厥</w:t>
            </w:r>
            <w:r>
              <w:rPr>
                <w:spacing w:val="-6"/>
                <w:sz w:val="21"/>
              </w:rPr>
              <w:t>及意识障碍等等。肝脏活检是确诊的重要手段。瑞氏综合征需由三级医院</w:t>
            </w:r>
            <w:r>
              <w:rPr>
                <w:spacing w:val="-4"/>
                <w:sz w:val="21"/>
              </w:rPr>
              <w:t>的儿科专科医生确诊，并符合下列所有条件：</w:t>
            </w:r>
          </w:p>
          <w:p>
            <w:pPr>
              <w:pStyle w:val="TableParagraph"/>
              <w:spacing w:before="1"/>
              <w:ind w:left="106"/>
              <w:jc w:val="both"/>
              <w:rPr>
                <w:sz w:val="21"/>
              </w:rPr>
            </w:pPr>
            <w:r>
              <w:rPr>
                <w:sz w:val="21"/>
              </w:rPr>
              <w:t>（1）有脑水肿和颅内压升高的脑脊液检查和影像学检查证据；</w:t>
            </w:r>
          </w:p>
          <w:p>
            <w:pPr>
              <w:pStyle w:val="TableParagraph"/>
              <w:spacing w:before="3"/>
              <w:ind w:left="106"/>
              <w:jc w:val="both"/>
              <w:rPr>
                <w:sz w:val="21"/>
              </w:rPr>
            </w:pPr>
            <w:r>
              <w:rPr>
                <w:sz w:val="21"/>
              </w:rPr>
              <w:t>（2）血氨超过正常值的 3 倍；</w:t>
            </w:r>
          </w:p>
          <w:p>
            <w:pPr>
              <w:pStyle w:val="TableParagraph"/>
              <w:spacing w:before="6"/>
              <w:ind w:left="106"/>
              <w:jc w:val="both"/>
              <w:rPr>
                <w:sz w:val="21"/>
              </w:rPr>
            </w:pPr>
            <w:r>
              <w:rPr>
                <w:sz w:val="21"/>
              </w:rPr>
              <w:t>（3）临床出现昏迷，病程至少达到疾病分期第 3 期。</w:t>
            </w:r>
          </w:p>
        </w:tc>
      </w:tr>
      <w:tr>
        <w:trPr>
          <w:trHeight w:val="1506" w:hRule="atLeast"/>
        </w:trPr>
        <w:tc>
          <w:tcPr>
            <w:tcW w:w="1791" w:type="dxa"/>
          </w:tcPr>
          <w:p>
            <w:pPr>
              <w:pStyle w:val="TableParagraph"/>
              <w:spacing w:line="273" w:lineRule="auto" w:before="120"/>
              <w:ind w:left="200" w:right="216"/>
              <w:rPr>
                <w:b/>
                <w:sz w:val="21"/>
              </w:rPr>
            </w:pPr>
            <w:r>
              <w:rPr>
                <w:b/>
                <w:sz w:val="21"/>
              </w:rPr>
              <w:t>48.进行性核上性麻痹</w:t>
            </w:r>
          </w:p>
        </w:tc>
        <w:tc>
          <w:tcPr>
            <w:tcW w:w="7033" w:type="dxa"/>
          </w:tcPr>
          <w:p>
            <w:pPr>
              <w:pStyle w:val="TableParagraph"/>
              <w:spacing w:line="244" w:lineRule="auto" w:before="110"/>
              <w:ind w:left="106" w:right="208"/>
              <w:jc w:val="both"/>
              <w:rPr>
                <w:sz w:val="21"/>
              </w:rPr>
            </w:pPr>
            <w:r>
              <w:rPr>
                <w:spacing w:val="-3"/>
                <w:sz w:val="21"/>
              </w:rPr>
              <w:t>进行性核上性麻痹(</w:t>
            </w:r>
            <w:r>
              <w:rPr>
                <w:sz w:val="21"/>
              </w:rPr>
              <w:t>PSP</w:t>
            </w:r>
            <w:r>
              <w:rPr>
                <w:spacing w:val="-2"/>
                <w:sz w:val="21"/>
              </w:rPr>
              <w:t>)又称 </w:t>
            </w:r>
            <w:r>
              <w:rPr>
                <w:sz w:val="21"/>
              </w:rPr>
              <w:t>Steele-Rchardson-Olszewski</w:t>
            </w:r>
            <w:r>
              <w:rPr>
                <w:spacing w:val="-3"/>
                <w:sz w:val="21"/>
              </w:rPr>
              <w:t> 综合征,是一</w:t>
            </w:r>
            <w:r>
              <w:rPr>
                <w:sz w:val="21"/>
              </w:rPr>
              <w:t>种少见的神经系统变性疾病,以假球麻痹、垂直性核上性眼肌麻痹、锥体</w:t>
            </w:r>
            <w:r>
              <w:rPr>
                <w:spacing w:val="-3"/>
                <w:sz w:val="21"/>
              </w:rPr>
              <w:t>外系肌僵直、步态共济失调和轻度痴呆为主要临床特征。</w:t>
            </w:r>
            <w:r>
              <w:rPr>
                <w:sz w:val="21"/>
              </w:rPr>
              <w:t>PSP</w:t>
            </w:r>
            <w:r>
              <w:rPr>
                <w:spacing w:val="0"/>
                <w:sz w:val="21"/>
              </w:rPr>
              <w:t> 必须由三级</w:t>
            </w:r>
            <w:r>
              <w:rPr>
                <w:spacing w:val="1"/>
                <w:sz w:val="21"/>
              </w:rPr>
              <w:t>甲等医院的神经内科专科医生确诊，并且被保险人自主生活能力完全丧</w:t>
            </w:r>
          </w:p>
          <w:p>
            <w:pPr>
              <w:pStyle w:val="TableParagraph"/>
              <w:spacing w:line="255" w:lineRule="exact" w:before="1"/>
              <w:ind w:left="106"/>
              <w:jc w:val="both"/>
              <w:rPr>
                <w:sz w:val="21"/>
              </w:rPr>
            </w:pPr>
            <w:r>
              <w:rPr>
                <w:sz w:val="21"/>
              </w:rPr>
              <w:t>失，无法独立完成六项基本日常生活活动中的三项或三项以上。</w:t>
            </w:r>
          </w:p>
        </w:tc>
      </w:tr>
    </w:tbl>
    <w:sectPr>
      <w:pgSz w:w="11910" w:h="16840"/>
      <w:pgMar w:header="0" w:footer="919" w:top="1460" w:bottom="1100" w:left="16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8.25pt;margin-top:780.985596pt;width:78.95pt;height:12pt;mso-position-horizontal-relative:page;mso-position-vertical-relative:page;z-index:-23464" type="#_x0000_t202" filled="false" stroked="false">
          <v:textbox inset="0,0,0,0">
            <w:txbxContent>
              <w:p>
                <w:pPr>
                  <w:spacing w:line="223"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11</w:t>
                </w:r>
                <w:r>
                  <w:rPr/>
                  <w:fldChar w:fldCharType="end"/>
                </w:r>
                <w:r>
                  <w:rPr>
                    <w:rFonts w:ascii="Calibri" w:eastAsia="Calibri"/>
                    <w:sz w:val="18"/>
                  </w:rPr>
                  <w:t>  </w:t>
                </w:r>
                <w:r>
                  <w:rPr>
                    <w:sz w:val="18"/>
                  </w:rPr>
                  <w:t>页 共 </w:t>
                </w:r>
                <w:r>
                  <w:rPr>
                    <w:rFonts w:ascii="Calibri" w:eastAsia="Calibri"/>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483"/>
        <w:jc w:val="left"/>
      </w:pPr>
      <w:rPr>
        <w:rFonts w:hint="default" w:ascii="宋体" w:hAnsi="宋体" w:eastAsia="宋体" w:cs="宋体"/>
        <w:spacing w:val="0"/>
        <w:w w:val="99"/>
        <w:sz w:val="20"/>
        <w:szCs w:val="20"/>
      </w:rPr>
    </w:lvl>
    <w:lvl w:ilvl="1">
      <w:start w:val="0"/>
      <w:numFmt w:val="bullet"/>
      <w:lvlText w:val="•"/>
      <w:lvlJc w:val="left"/>
      <w:pPr>
        <w:ind w:left="962" w:hanging="483"/>
      </w:pPr>
      <w:rPr>
        <w:rFonts w:hint="default"/>
      </w:rPr>
    </w:lvl>
    <w:lvl w:ilvl="2">
      <w:start w:val="0"/>
      <w:numFmt w:val="bullet"/>
      <w:lvlText w:val="•"/>
      <w:lvlJc w:val="left"/>
      <w:pPr>
        <w:ind w:left="1805" w:hanging="483"/>
      </w:pPr>
      <w:rPr>
        <w:rFonts w:hint="default"/>
      </w:rPr>
    </w:lvl>
    <w:lvl w:ilvl="3">
      <w:start w:val="0"/>
      <w:numFmt w:val="bullet"/>
      <w:lvlText w:val="•"/>
      <w:lvlJc w:val="left"/>
      <w:pPr>
        <w:ind w:left="2647" w:hanging="483"/>
      </w:pPr>
      <w:rPr>
        <w:rFonts w:hint="default"/>
      </w:rPr>
    </w:lvl>
    <w:lvl w:ilvl="4">
      <w:start w:val="0"/>
      <w:numFmt w:val="bullet"/>
      <w:lvlText w:val="•"/>
      <w:lvlJc w:val="left"/>
      <w:pPr>
        <w:ind w:left="3490" w:hanging="483"/>
      </w:pPr>
      <w:rPr>
        <w:rFonts w:hint="default"/>
      </w:rPr>
    </w:lvl>
    <w:lvl w:ilvl="5">
      <w:start w:val="0"/>
      <w:numFmt w:val="bullet"/>
      <w:lvlText w:val="•"/>
      <w:lvlJc w:val="left"/>
      <w:pPr>
        <w:ind w:left="4333" w:hanging="483"/>
      </w:pPr>
      <w:rPr>
        <w:rFonts w:hint="default"/>
      </w:rPr>
    </w:lvl>
    <w:lvl w:ilvl="6">
      <w:start w:val="0"/>
      <w:numFmt w:val="bullet"/>
      <w:lvlText w:val="•"/>
      <w:lvlJc w:val="left"/>
      <w:pPr>
        <w:ind w:left="5175" w:hanging="483"/>
      </w:pPr>
      <w:rPr>
        <w:rFonts w:hint="default"/>
      </w:rPr>
    </w:lvl>
    <w:lvl w:ilvl="7">
      <w:start w:val="0"/>
      <w:numFmt w:val="bullet"/>
      <w:lvlText w:val="•"/>
      <w:lvlJc w:val="left"/>
      <w:pPr>
        <w:ind w:left="6018" w:hanging="483"/>
      </w:pPr>
      <w:rPr>
        <w:rFonts w:hint="default"/>
      </w:rPr>
    </w:lvl>
    <w:lvl w:ilvl="8">
      <w:start w:val="0"/>
      <w:numFmt w:val="bullet"/>
      <w:lvlText w:val="•"/>
      <w:lvlJc w:val="left"/>
      <w:pPr>
        <w:ind w:left="6861" w:hanging="483"/>
      </w:pPr>
      <w:rPr>
        <w:rFonts w:hint="default"/>
      </w:rPr>
    </w:lvl>
  </w:abstractNum>
  <w:abstractNum w:abstractNumId="6">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793" w:hanging="632"/>
      </w:pPr>
      <w:rPr>
        <w:rFonts w:hint="default"/>
      </w:rPr>
    </w:lvl>
    <w:lvl w:ilvl="2">
      <w:start w:val="0"/>
      <w:numFmt w:val="bullet"/>
      <w:lvlText w:val="•"/>
      <w:lvlJc w:val="left"/>
      <w:pPr>
        <w:ind w:left="1486" w:hanging="632"/>
      </w:pPr>
      <w:rPr>
        <w:rFonts w:hint="default"/>
      </w:rPr>
    </w:lvl>
    <w:lvl w:ilvl="3">
      <w:start w:val="0"/>
      <w:numFmt w:val="bullet"/>
      <w:lvlText w:val="•"/>
      <w:lvlJc w:val="left"/>
      <w:pPr>
        <w:ind w:left="2179" w:hanging="632"/>
      </w:pPr>
      <w:rPr>
        <w:rFonts w:hint="default"/>
      </w:rPr>
    </w:lvl>
    <w:lvl w:ilvl="4">
      <w:start w:val="0"/>
      <w:numFmt w:val="bullet"/>
      <w:lvlText w:val="•"/>
      <w:lvlJc w:val="left"/>
      <w:pPr>
        <w:ind w:left="2873" w:hanging="632"/>
      </w:pPr>
      <w:rPr>
        <w:rFonts w:hint="default"/>
      </w:rPr>
    </w:lvl>
    <w:lvl w:ilvl="5">
      <w:start w:val="0"/>
      <w:numFmt w:val="bullet"/>
      <w:lvlText w:val="•"/>
      <w:lvlJc w:val="left"/>
      <w:pPr>
        <w:ind w:left="3566" w:hanging="632"/>
      </w:pPr>
      <w:rPr>
        <w:rFonts w:hint="default"/>
      </w:rPr>
    </w:lvl>
    <w:lvl w:ilvl="6">
      <w:start w:val="0"/>
      <w:numFmt w:val="bullet"/>
      <w:lvlText w:val="•"/>
      <w:lvlJc w:val="left"/>
      <w:pPr>
        <w:ind w:left="4259" w:hanging="632"/>
      </w:pPr>
      <w:rPr>
        <w:rFonts w:hint="default"/>
      </w:rPr>
    </w:lvl>
    <w:lvl w:ilvl="7">
      <w:start w:val="0"/>
      <w:numFmt w:val="bullet"/>
      <w:lvlText w:val="•"/>
      <w:lvlJc w:val="left"/>
      <w:pPr>
        <w:ind w:left="4953" w:hanging="632"/>
      </w:pPr>
      <w:rPr>
        <w:rFonts w:hint="default"/>
      </w:rPr>
    </w:lvl>
    <w:lvl w:ilvl="8">
      <w:start w:val="0"/>
      <w:numFmt w:val="bullet"/>
      <w:lvlText w:val="•"/>
      <w:lvlJc w:val="left"/>
      <w:pPr>
        <w:ind w:left="5646" w:hanging="632"/>
      </w:pPr>
      <w:rPr>
        <w:rFonts w:hint="default"/>
      </w:rPr>
    </w:lvl>
  </w:abstractNum>
  <w:abstractNum w:abstractNumId="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4" w:hanging="632"/>
      </w:pPr>
      <w:rPr>
        <w:rFonts w:hint="default"/>
      </w:rPr>
    </w:lvl>
  </w:abstractNum>
  <w:abstractNum w:abstractNumId="4">
    <w:multiLevelType w:val="hybridMultilevel"/>
    <w:lvl w:ilvl="0">
      <w:start w:val="1"/>
      <w:numFmt w:val="decimal"/>
      <w:lvlText w:val="%1."/>
      <w:lvlJc w:val="left"/>
      <w:pPr>
        <w:ind w:left="840" w:hanging="360"/>
        <w:jc w:val="right"/>
      </w:pPr>
      <w:rPr>
        <w:rFonts w:hint="default"/>
        <w:spacing w:val="0"/>
        <w:w w:val="99"/>
      </w:rPr>
    </w:lvl>
    <w:lvl w:ilvl="1">
      <w:start w:val="0"/>
      <w:numFmt w:val="bullet"/>
      <w:lvlText w:val="•"/>
      <w:lvlJc w:val="left"/>
      <w:pPr>
        <w:ind w:left="1618" w:hanging="360"/>
      </w:pPr>
      <w:rPr>
        <w:rFonts w:hint="default"/>
      </w:rPr>
    </w:lvl>
    <w:lvl w:ilvl="2">
      <w:start w:val="0"/>
      <w:numFmt w:val="bullet"/>
      <w:lvlText w:val="•"/>
      <w:lvlJc w:val="left"/>
      <w:pPr>
        <w:ind w:left="239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3954" w:hanging="360"/>
      </w:pPr>
      <w:rPr>
        <w:rFonts w:hint="default"/>
      </w:rPr>
    </w:lvl>
    <w:lvl w:ilvl="5">
      <w:start w:val="0"/>
      <w:numFmt w:val="bullet"/>
      <w:lvlText w:val="•"/>
      <w:lvlJc w:val="left"/>
      <w:pPr>
        <w:ind w:left="4733" w:hanging="360"/>
      </w:pPr>
      <w:rPr>
        <w:rFonts w:hint="default"/>
      </w:rPr>
    </w:lvl>
    <w:lvl w:ilvl="6">
      <w:start w:val="0"/>
      <w:numFmt w:val="bullet"/>
      <w:lvlText w:val="•"/>
      <w:lvlJc w:val="left"/>
      <w:pPr>
        <w:ind w:left="5511" w:hanging="360"/>
      </w:pPr>
      <w:rPr>
        <w:rFonts w:hint="default"/>
      </w:rPr>
    </w:lvl>
    <w:lvl w:ilvl="7">
      <w:start w:val="0"/>
      <w:numFmt w:val="bullet"/>
      <w:lvlText w:val="•"/>
      <w:lvlJc w:val="left"/>
      <w:pPr>
        <w:ind w:left="6290" w:hanging="360"/>
      </w:pPr>
      <w:rPr>
        <w:rFonts w:hint="default"/>
      </w:rPr>
    </w:lvl>
    <w:lvl w:ilvl="8">
      <w:start w:val="0"/>
      <w:numFmt w:val="bullet"/>
      <w:lvlText w:val="•"/>
      <w:lvlJc w:val="left"/>
      <w:pPr>
        <w:ind w:left="7069" w:hanging="360"/>
      </w:pPr>
      <w:rPr>
        <w:rFonts w:hint="default"/>
      </w:rPr>
    </w:lvl>
  </w:abstractNum>
  <w:abstractNum w:abstractNumId="3">
    <w:multiLevelType w:val="hybridMultilevel"/>
    <w:lvl w:ilvl="0">
      <w:start w:val="3"/>
      <w:numFmt w:val="decimal"/>
      <w:lvlText w:val="%1."/>
      <w:lvlJc w:val="left"/>
      <w:pPr>
        <w:ind w:left="120" w:hanging="303"/>
        <w:jc w:val="left"/>
      </w:pPr>
      <w:rPr>
        <w:rFonts w:hint="default" w:ascii="宋体" w:hAnsi="宋体" w:eastAsia="宋体" w:cs="宋体"/>
        <w:spacing w:val="0"/>
        <w:w w:val="99"/>
        <w:sz w:val="20"/>
        <w:szCs w:val="20"/>
      </w:rPr>
    </w:lvl>
    <w:lvl w:ilvl="1">
      <w:start w:val="0"/>
      <w:numFmt w:val="bullet"/>
      <w:lvlText w:val="•"/>
      <w:lvlJc w:val="left"/>
      <w:pPr>
        <w:ind w:left="982" w:hanging="303"/>
      </w:pPr>
      <w:rPr>
        <w:rFonts w:hint="default"/>
      </w:rPr>
    </w:lvl>
    <w:lvl w:ilvl="2">
      <w:start w:val="0"/>
      <w:numFmt w:val="bullet"/>
      <w:lvlText w:val="•"/>
      <w:lvlJc w:val="left"/>
      <w:pPr>
        <w:ind w:left="1845" w:hanging="303"/>
      </w:pPr>
      <w:rPr>
        <w:rFonts w:hint="default"/>
      </w:rPr>
    </w:lvl>
    <w:lvl w:ilvl="3">
      <w:start w:val="0"/>
      <w:numFmt w:val="bullet"/>
      <w:lvlText w:val="•"/>
      <w:lvlJc w:val="left"/>
      <w:pPr>
        <w:ind w:left="2707" w:hanging="303"/>
      </w:pPr>
      <w:rPr>
        <w:rFonts w:hint="default"/>
      </w:rPr>
    </w:lvl>
    <w:lvl w:ilvl="4">
      <w:start w:val="0"/>
      <w:numFmt w:val="bullet"/>
      <w:lvlText w:val="•"/>
      <w:lvlJc w:val="left"/>
      <w:pPr>
        <w:ind w:left="3570" w:hanging="303"/>
      </w:pPr>
      <w:rPr>
        <w:rFonts w:hint="default"/>
      </w:rPr>
    </w:lvl>
    <w:lvl w:ilvl="5">
      <w:start w:val="0"/>
      <w:numFmt w:val="bullet"/>
      <w:lvlText w:val="•"/>
      <w:lvlJc w:val="left"/>
      <w:pPr>
        <w:ind w:left="4433" w:hanging="303"/>
      </w:pPr>
      <w:rPr>
        <w:rFonts w:hint="default"/>
      </w:rPr>
    </w:lvl>
    <w:lvl w:ilvl="6">
      <w:start w:val="0"/>
      <w:numFmt w:val="bullet"/>
      <w:lvlText w:val="•"/>
      <w:lvlJc w:val="left"/>
      <w:pPr>
        <w:ind w:left="5295" w:hanging="303"/>
      </w:pPr>
      <w:rPr>
        <w:rFonts w:hint="default"/>
      </w:rPr>
    </w:lvl>
    <w:lvl w:ilvl="7">
      <w:start w:val="0"/>
      <w:numFmt w:val="bullet"/>
      <w:lvlText w:val="•"/>
      <w:lvlJc w:val="left"/>
      <w:pPr>
        <w:ind w:left="6158" w:hanging="303"/>
      </w:pPr>
      <w:rPr>
        <w:rFonts w:hint="default"/>
      </w:rPr>
    </w:lvl>
    <w:lvl w:ilvl="8">
      <w:start w:val="0"/>
      <w:numFmt w:val="bullet"/>
      <w:lvlText w:val="•"/>
      <w:lvlJc w:val="left"/>
      <w:pPr>
        <w:ind w:left="7021" w:hanging="303"/>
      </w:pPr>
      <w:rPr>
        <w:rFonts w:hint="default"/>
      </w:rPr>
    </w:lvl>
  </w:abstractNum>
  <w:abstractNum w:abstractNumId="2">
    <w:multiLevelType w:val="hybridMultilevel"/>
    <w:lvl w:ilvl="0">
      <w:start w:val="4"/>
      <w:numFmt w:val="decimal"/>
      <w:lvlText w:val="%1."/>
      <w:lvlJc w:val="left"/>
      <w:pPr>
        <w:ind w:left="120" w:hanging="303"/>
        <w:jc w:val="left"/>
      </w:pPr>
      <w:rPr>
        <w:rFonts w:hint="default" w:ascii="宋体" w:hAnsi="宋体" w:eastAsia="宋体" w:cs="宋体"/>
        <w:spacing w:val="0"/>
        <w:w w:val="99"/>
        <w:sz w:val="20"/>
        <w:szCs w:val="20"/>
      </w:rPr>
    </w:lvl>
    <w:lvl w:ilvl="1">
      <w:start w:val="0"/>
      <w:numFmt w:val="bullet"/>
      <w:lvlText w:val="•"/>
      <w:lvlJc w:val="left"/>
      <w:pPr>
        <w:ind w:left="982" w:hanging="303"/>
      </w:pPr>
      <w:rPr>
        <w:rFonts w:hint="default"/>
      </w:rPr>
    </w:lvl>
    <w:lvl w:ilvl="2">
      <w:start w:val="0"/>
      <w:numFmt w:val="bullet"/>
      <w:lvlText w:val="•"/>
      <w:lvlJc w:val="left"/>
      <w:pPr>
        <w:ind w:left="1845" w:hanging="303"/>
      </w:pPr>
      <w:rPr>
        <w:rFonts w:hint="default"/>
      </w:rPr>
    </w:lvl>
    <w:lvl w:ilvl="3">
      <w:start w:val="0"/>
      <w:numFmt w:val="bullet"/>
      <w:lvlText w:val="•"/>
      <w:lvlJc w:val="left"/>
      <w:pPr>
        <w:ind w:left="2707" w:hanging="303"/>
      </w:pPr>
      <w:rPr>
        <w:rFonts w:hint="default"/>
      </w:rPr>
    </w:lvl>
    <w:lvl w:ilvl="4">
      <w:start w:val="0"/>
      <w:numFmt w:val="bullet"/>
      <w:lvlText w:val="•"/>
      <w:lvlJc w:val="left"/>
      <w:pPr>
        <w:ind w:left="3570" w:hanging="303"/>
      </w:pPr>
      <w:rPr>
        <w:rFonts w:hint="default"/>
      </w:rPr>
    </w:lvl>
    <w:lvl w:ilvl="5">
      <w:start w:val="0"/>
      <w:numFmt w:val="bullet"/>
      <w:lvlText w:val="•"/>
      <w:lvlJc w:val="left"/>
      <w:pPr>
        <w:ind w:left="4433" w:hanging="303"/>
      </w:pPr>
      <w:rPr>
        <w:rFonts w:hint="default"/>
      </w:rPr>
    </w:lvl>
    <w:lvl w:ilvl="6">
      <w:start w:val="0"/>
      <w:numFmt w:val="bullet"/>
      <w:lvlText w:val="•"/>
      <w:lvlJc w:val="left"/>
      <w:pPr>
        <w:ind w:left="5295" w:hanging="303"/>
      </w:pPr>
      <w:rPr>
        <w:rFonts w:hint="default"/>
      </w:rPr>
    </w:lvl>
    <w:lvl w:ilvl="7">
      <w:start w:val="0"/>
      <w:numFmt w:val="bullet"/>
      <w:lvlText w:val="•"/>
      <w:lvlJc w:val="left"/>
      <w:pPr>
        <w:ind w:left="6158" w:hanging="303"/>
      </w:pPr>
      <w:rPr>
        <w:rFonts w:hint="default"/>
      </w:rPr>
    </w:lvl>
    <w:lvl w:ilvl="8">
      <w:start w:val="0"/>
      <w:numFmt w:val="bullet"/>
      <w:lvlText w:val="•"/>
      <w:lvlJc w:val="left"/>
      <w:pPr>
        <w:ind w:left="7021" w:hanging="303"/>
      </w:pPr>
      <w:rPr>
        <w:rFonts w:hint="default"/>
      </w:rPr>
    </w:lvl>
  </w:abstractNum>
  <w:abstractNum w:abstractNumId="1">
    <w:multiLevelType w:val="hybridMultilevel"/>
    <w:lvl w:ilvl="0">
      <w:start w:val="1"/>
      <w:numFmt w:val="decimal"/>
      <w:lvlText w:val="%1."/>
      <w:lvlJc w:val="left"/>
      <w:pPr>
        <w:ind w:left="941" w:hanging="420"/>
        <w:jc w:val="left"/>
      </w:pPr>
      <w:rPr>
        <w:rFonts w:hint="default" w:ascii="黑体" w:hAnsi="黑体" w:eastAsia="黑体" w:cs="黑体"/>
        <w:spacing w:val="0"/>
        <w:w w:val="99"/>
        <w:sz w:val="20"/>
        <w:szCs w:val="20"/>
      </w:rPr>
    </w:lvl>
    <w:lvl w:ilvl="1">
      <w:start w:val="0"/>
      <w:numFmt w:val="bullet"/>
      <w:lvlText w:val="•"/>
      <w:lvlJc w:val="left"/>
      <w:pPr>
        <w:ind w:left="1700" w:hanging="420"/>
      </w:pPr>
      <w:rPr>
        <w:rFonts w:hint="default"/>
      </w:rPr>
    </w:lvl>
    <w:lvl w:ilvl="2">
      <w:start w:val="0"/>
      <w:numFmt w:val="bullet"/>
      <w:lvlText w:val="•"/>
      <w:lvlJc w:val="left"/>
      <w:pPr>
        <w:ind w:left="2461" w:hanging="420"/>
      </w:pPr>
      <w:rPr>
        <w:rFonts w:hint="default"/>
      </w:rPr>
    </w:lvl>
    <w:lvl w:ilvl="3">
      <w:start w:val="0"/>
      <w:numFmt w:val="bullet"/>
      <w:lvlText w:val="•"/>
      <w:lvlJc w:val="left"/>
      <w:pPr>
        <w:ind w:left="3221" w:hanging="420"/>
      </w:pPr>
      <w:rPr>
        <w:rFonts w:hint="default"/>
      </w:rPr>
    </w:lvl>
    <w:lvl w:ilvl="4">
      <w:start w:val="0"/>
      <w:numFmt w:val="bullet"/>
      <w:lvlText w:val="•"/>
      <w:lvlJc w:val="left"/>
      <w:pPr>
        <w:ind w:left="3982" w:hanging="420"/>
      </w:pPr>
      <w:rPr>
        <w:rFonts w:hint="default"/>
      </w:rPr>
    </w:lvl>
    <w:lvl w:ilvl="5">
      <w:start w:val="0"/>
      <w:numFmt w:val="bullet"/>
      <w:lvlText w:val="•"/>
      <w:lvlJc w:val="left"/>
      <w:pPr>
        <w:ind w:left="4743" w:hanging="420"/>
      </w:pPr>
      <w:rPr>
        <w:rFonts w:hint="default"/>
      </w:rPr>
    </w:lvl>
    <w:lvl w:ilvl="6">
      <w:start w:val="0"/>
      <w:numFmt w:val="bullet"/>
      <w:lvlText w:val="•"/>
      <w:lvlJc w:val="left"/>
      <w:pPr>
        <w:ind w:left="5503" w:hanging="420"/>
      </w:pPr>
      <w:rPr>
        <w:rFonts w:hint="default"/>
      </w:rPr>
    </w:lvl>
    <w:lvl w:ilvl="7">
      <w:start w:val="0"/>
      <w:numFmt w:val="bullet"/>
      <w:lvlText w:val="•"/>
      <w:lvlJc w:val="left"/>
      <w:pPr>
        <w:ind w:left="6264" w:hanging="420"/>
      </w:pPr>
      <w:rPr>
        <w:rFonts w:hint="default"/>
      </w:rPr>
    </w:lvl>
    <w:lvl w:ilvl="8">
      <w:start w:val="0"/>
      <w:numFmt w:val="bullet"/>
      <w:lvlText w:val="•"/>
      <w:lvlJc w:val="left"/>
      <w:pPr>
        <w:ind w:left="7025" w:hanging="420"/>
      </w:pPr>
      <w:rPr>
        <w:rFonts w:hint="default"/>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0"/>
      <w:szCs w:val="20"/>
    </w:rPr>
  </w:style>
  <w:style w:styleId="Heading1" w:type="paragraph">
    <w:name w:val="Heading 1"/>
    <w:basedOn w:val="Normal"/>
    <w:uiPriority w:val="1"/>
    <w:qFormat/>
    <w:pPr>
      <w:ind w:left="2254"/>
      <w:jc w:val="center"/>
      <w:outlineLvl w:val="1"/>
    </w:pPr>
    <w:rPr>
      <w:rFonts w:ascii="宋体" w:hAnsi="宋体" w:eastAsia="宋体" w:cs="宋体"/>
      <w:b/>
      <w:bCs/>
      <w:sz w:val="24"/>
      <w:szCs w:val="24"/>
    </w:rPr>
  </w:style>
  <w:style w:styleId="Heading2" w:type="paragraph">
    <w:name w:val="Heading 2"/>
    <w:basedOn w:val="Normal"/>
    <w:uiPriority w:val="1"/>
    <w:qFormat/>
    <w:pPr>
      <w:spacing w:before="8"/>
      <w:outlineLvl w:val="2"/>
    </w:pPr>
    <w:rPr>
      <w:rFonts w:ascii="黑体" w:hAnsi="黑体" w:eastAsia="黑体" w:cs="黑体"/>
      <w:sz w:val="21"/>
      <w:szCs w:val="21"/>
    </w:rPr>
  </w:style>
  <w:style w:styleId="Heading3" w:type="paragraph">
    <w:name w:val="Heading 3"/>
    <w:basedOn w:val="Normal"/>
    <w:uiPriority w:val="1"/>
    <w:qFormat/>
    <w:pPr>
      <w:spacing w:before="132"/>
      <w:ind w:left="523"/>
      <w:outlineLvl w:val="3"/>
    </w:pPr>
    <w:rPr>
      <w:rFonts w:ascii="宋体" w:hAnsi="宋体" w:eastAsia="宋体" w:cs="宋体"/>
      <w:b/>
      <w:bCs/>
      <w:sz w:val="20"/>
      <w:szCs w:val="20"/>
    </w:rPr>
  </w:style>
  <w:style w:styleId="ListParagraph" w:type="paragraph">
    <w:name w:val="List Paragraph"/>
    <w:basedOn w:val="Normal"/>
    <w:uiPriority w:val="1"/>
    <w:qFormat/>
    <w:pPr>
      <w:ind w:left="120" w:hanging="360"/>
    </w:pPr>
    <w:rPr>
      <w:rFonts w:ascii="宋体" w:hAnsi="宋体" w:eastAsia="宋体" w:cs="宋体"/>
    </w:rPr>
  </w:style>
  <w:style w:styleId="TableParagraph" w:type="paragraph">
    <w:name w:val="Table Paragraph"/>
    <w:basedOn w:val="Normal"/>
    <w:uiPriority w:val="1"/>
    <w:qFormat/>
    <w:pPr>
      <w:ind w:left="10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april_liu</dc:creator>
  <dcterms:created xsi:type="dcterms:W3CDTF">2018-10-20T04:26:12Z</dcterms:created>
  <dcterms:modified xsi:type="dcterms:W3CDTF">2018-10-20T04:26:12Z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Microsoft® Word 2010</vt:lpwstr>
  </property>
  <property fmtid="{D5CDD505-2E9C-101B-9397-08002B2CF9AE}" pid="4" name="LastSaved">
    <vt:filetime>2018-10-19T00:00:00Z</vt:filetime>
  </property>
</Properties>
</file>