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98" w:firstLine="0"/>
        <w:jc w:val="right"/>
        <w:rPr>
          <w:sz w:val="18"/>
        </w:rPr>
      </w:pPr>
      <w:r>
        <w:rPr/>
        <w:drawing>
          <wp:anchor distT="0" distB="0" distL="0" distR="0" allowOverlap="1" layoutInCell="1" locked="0" behindDoc="0" simplePos="0" relativeHeight="1048">
            <wp:simplePos x="0" y="0"/>
            <wp:positionH relativeFrom="page">
              <wp:posOffset>6173470</wp:posOffset>
            </wp:positionH>
            <wp:positionV relativeFrom="paragraph">
              <wp:posOffset>240686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合众人寿〔2009〕疾病保险 015 号</w:t>
      </w:r>
    </w:p>
    <w:p>
      <w:pPr>
        <w:pStyle w:val="BodyText"/>
        <w:rPr>
          <w:sz w:val="20"/>
        </w:rPr>
      </w:pPr>
    </w:p>
    <w:p>
      <w:pPr>
        <w:pStyle w:val="BodyText"/>
        <w:rPr>
          <w:sz w:val="20"/>
        </w:rPr>
      </w:pPr>
    </w:p>
    <w:p>
      <w:pPr>
        <w:pStyle w:val="BodyText"/>
        <w:spacing w:before="7"/>
        <w:rPr>
          <w:sz w:val="14"/>
        </w:rPr>
      </w:pPr>
    </w:p>
    <w:p>
      <w:pPr>
        <w:spacing w:after="0"/>
        <w:rPr>
          <w:sz w:val="14"/>
        </w:rPr>
        <w:sectPr>
          <w:footerReference w:type="default" r:id="rId5"/>
          <w:type w:val="continuous"/>
          <w:pgSz w:w="11910" w:h="16840"/>
          <w:pgMar w:footer="912" w:top="140" w:bottom="1100" w:left="860" w:right="180"/>
          <w:pgNumType w:start="1"/>
        </w:sectPr>
      </w:pPr>
    </w:p>
    <w:p>
      <w:pPr>
        <w:pStyle w:val="Heading1"/>
        <w:spacing w:line="220" w:lineRule="auto"/>
        <w:ind w:right="543"/>
        <w:jc w:val="center"/>
      </w:pPr>
      <w:r>
        <w:rPr/>
        <w:t>合众附加至尊安康重大疾病保险条款阅  读  指 引</w:t>
      </w:r>
    </w:p>
    <w:p>
      <w:pPr>
        <w:pStyle w:val="BodyText"/>
        <w:spacing w:before="230"/>
        <w:ind w:left="2046"/>
        <w:jc w:val="center"/>
      </w:pPr>
      <w:r>
        <w:rPr/>
        <w:drawing>
          <wp:anchor distT="0" distB="0" distL="0" distR="0" allowOverlap="1" layoutInCell="1" locked="0" behindDoc="1" simplePos="0" relativeHeight="268404527">
            <wp:simplePos x="0" y="0"/>
            <wp:positionH relativeFrom="page">
              <wp:posOffset>609600</wp:posOffset>
            </wp:positionH>
            <wp:positionV relativeFrom="paragraph">
              <wp:posOffset>394762</wp:posOffset>
            </wp:positionV>
            <wp:extent cx="6341364" cy="780384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80384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4"/>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rPr>
          <w:b/>
          <w:sz w:val="18"/>
        </w:rPr>
      </w:pPr>
    </w:p>
    <w:p>
      <w:pPr>
        <w:spacing w:before="139"/>
        <w:ind w:left="239" w:right="0" w:firstLine="0"/>
        <w:jc w:val="left"/>
        <w:rPr>
          <w:sz w:val="18"/>
        </w:rPr>
      </w:pPr>
      <w:r>
        <w:rPr>
          <w:sz w:val="18"/>
        </w:rPr>
        <w:t>请扫描以查询验证条款</w:t>
      </w:r>
    </w:p>
    <w:p>
      <w:pPr>
        <w:spacing w:after="0"/>
        <w:jc w:val="left"/>
        <w:rPr>
          <w:sz w:val="18"/>
        </w:rPr>
        <w:sectPr>
          <w:type w:val="continuous"/>
          <w:pgSz w:w="11910" w:h="16840"/>
          <w:pgMar w:top="140" w:bottom="1100" w:left="860" w:right="180"/>
          <w:cols w:num="2" w:equalWidth="0">
            <w:col w:w="8205" w:space="91"/>
            <w:col w:w="2574"/>
          </w:cols>
        </w:sectPr>
      </w:pPr>
    </w:p>
    <w:p>
      <w:pPr>
        <w:pStyle w:val="ListParagraph"/>
        <w:numPr>
          <w:ilvl w:val="0"/>
          <w:numId w:val="1"/>
        </w:numPr>
        <w:tabs>
          <w:tab w:pos="1269" w:val="left" w:leader="none"/>
          <w:tab w:pos="1270" w:val="left" w:leader="none"/>
          <w:tab w:pos="9567"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3411"/>
        <w:gridCol w:w="3341"/>
      </w:tblGrid>
      <w:tr>
        <w:trPr>
          <w:trHeight w:val="5827" w:hRule="atLeast"/>
        </w:trPr>
        <w:tc>
          <w:tcPr>
            <w:tcW w:w="3194"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保险金申请</w:t>
            </w:r>
          </w:p>
        </w:tc>
        <w:tc>
          <w:tcPr>
            <w:tcW w:w="3411" w:type="dxa"/>
          </w:tcPr>
          <w:p>
            <w:pPr>
              <w:pStyle w:val="TableParagraph"/>
              <w:numPr>
                <w:ilvl w:val="1"/>
                <w:numId w:val="3"/>
              </w:numPr>
              <w:tabs>
                <w:tab w:pos="684" w:val="left" w:leader="none"/>
              </w:tabs>
              <w:spacing w:line="211" w:lineRule="exact" w:before="0" w:after="0"/>
              <w:ind w:left="683" w:right="0" w:hanging="423"/>
              <w:jc w:val="left"/>
              <w:rPr>
                <w:sz w:val="21"/>
              </w:rPr>
            </w:pPr>
            <w:r>
              <w:rPr>
                <w:spacing w:val="-3"/>
                <w:sz w:val="21"/>
              </w:rPr>
              <w:t>保险金的给付</w:t>
            </w:r>
          </w:p>
          <w:p>
            <w:pPr>
              <w:pStyle w:val="TableParagraph"/>
              <w:numPr>
                <w:ilvl w:val="1"/>
                <w:numId w:val="3"/>
              </w:numPr>
              <w:tabs>
                <w:tab w:pos="684" w:val="left" w:leader="none"/>
              </w:tabs>
              <w:spacing w:line="240" w:lineRule="auto" w:before="37" w:after="0"/>
              <w:ind w:left="683" w:right="0" w:hanging="423"/>
              <w:jc w:val="left"/>
              <w:rPr>
                <w:sz w:val="21"/>
              </w:rPr>
            </w:pPr>
            <w:r>
              <w:rPr>
                <w:spacing w:val="-3"/>
                <w:sz w:val="21"/>
              </w:rPr>
              <w:t>诉讼时效</w:t>
            </w:r>
          </w:p>
          <w:p>
            <w:pPr>
              <w:pStyle w:val="TableParagraph"/>
              <w:numPr>
                <w:ilvl w:val="0"/>
                <w:numId w:val="4"/>
              </w:numPr>
              <w:tabs>
                <w:tab w:pos="473" w:val="left" w:leader="none"/>
              </w:tabs>
              <w:spacing w:line="240" w:lineRule="auto" w:before="37" w:after="0"/>
              <w:ind w:left="472" w:right="0" w:hanging="317"/>
              <w:jc w:val="left"/>
              <w:rPr>
                <w:b/>
                <w:sz w:val="21"/>
              </w:rPr>
            </w:pPr>
            <w:r>
              <w:rPr>
                <w:b/>
                <w:spacing w:val="-1"/>
                <w:sz w:val="21"/>
              </w:rPr>
              <w:t>保险费的支付和现金价值权益</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保险费的支付</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保险费率调整</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保险单的现金价值</w:t>
            </w:r>
          </w:p>
          <w:p>
            <w:pPr>
              <w:pStyle w:val="TableParagraph"/>
              <w:numPr>
                <w:ilvl w:val="1"/>
                <w:numId w:val="4"/>
              </w:numPr>
              <w:tabs>
                <w:tab w:pos="684" w:val="left" w:leader="none"/>
              </w:tabs>
              <w:spacing w:line="240" w:lineRule="auto" w:before="37" w:after="0"/>
              <w:ind w:left="683" w:right="0" w:hanging="423"/>
              <w:jc w:val="left"/>
              <w:rPr>
                <w:sz w:val="21"/>
              </w:rPr>
            </w:pPr>
            <w:r>
              <w:rPr>
                <w:spacing w:val="-2"/>
                <w:sz w:val="21"/>
              </w:rPr>
              <w:t>宽限期</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合同效力中止</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合同效力恢复</w:t>
            </w:r>
          </w:p>
          <w:p>
            <w:pPr>
              <w:pStyle w:val="TableParagraph"/>
              <w:numPr>
                <w:ilvl w:val="0"/>
                <w:numId w:val="4"/>
              </w:numPr>
              <w:tabs>
                <w:tab w:pos="473" w:val="left" w:leader="none"/>
              </w:tabs>
              <w:spacing w:line="240" w:lineRule="auto" w:before="37" w:after="0"/>
              <w:ind w:left="472" w:right="0" w:hanging="317"/>
              <w:jc w:val="left"/>
              <w:rPr>
                <w:b/>
                <w:sz w:val="21"/>
              </w:rPr>
            </w:pPr>
            <w:r>
              <w:rPr>
                <w:b/>
                <w:sz w:val="21"/>
              </w:rPr>
              <w:t>其他事项</w:t>
            </w:r>
          </w:p>
          <w:p>
            <w:pPr>
              <w:pStyle w:val="TableParagraph"/>
              <w:numPr>
                <w:ilvl w:val="1"/>
                <w:numId w:val="4"/>
              </w:numPr>
              <w:tabs>
                <w:tab w:pos="684" w:val="left" w:leader="none"/>
              </w:tabs>
              <w:spacing w:line="240" w:lineRule="auto" w:before="37" w:after="0"/>
              <w:ind w:left="683" w:right="0" w:hanging="423"/>
              <w:jc w:val="left"/>
              <w:rPr>
                <w:sz w:val="21"/>
              </w:rPr>
            </w:pPr>
            <w:r>
              <w:rPr>
                <w:spacing w:val="-3"/>
                <w:sz w:val="21"/>
              </w:rPr>
              <w:t>明确说明与如实告知</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本公司合同解除权的限制</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年龄性别错误</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未还款项</w:t>
            </w:r>
          </w:p>
          <w:p>
            <w:pPr>
              <w:pStyle w:val="TableParagraph"/>
              <w:numPr>
                <w:ilvl w:val="0"/>
                <w:numId w:val="4"/>
              </w:numPr>
              <w:tabs>
                <w:tab w:pos="473" w:val="left" w:leader="none"/>
              </w:tabs>
              <w:spacing w:line="240" w:lineRule="auto" w:before="36" w:after="0"/>
              <w:ind w:left="472" w:right="0" w:hanging="317"/>
              <w:jc w:val="left"/>
              <w:rPr>
                <w:b/>
                <w:sz w:val="21"/>
              </w:rPr>
            </w:pPr>
            <w:r>
              <w:rPr>
                <w:b/>
                <w:sz w:val="21"/>
              </w:rPr>
              <w:t>释义</w:t>
            </w:r>
          </w:p>
          <w:p>
            <w:pPr>
              <w:pStyle w:val="TableParagraph"/>
              <w:numPr>
                <w:ilvl w:val="1"/>
                <w:numId w:val="4"/>
              </w:numPr>
              <w:tabs>
                <w:tab w:pos="631" w:val="left" w:leader="none"/>
              </w:tabs>
              <w:spacing w:line="240" w:lineRule="auto" w:before="36" w:after="0"/>
              <w:ind w:left="630" w:right="0" w:hanging="370"/>
              <w:jc w:val="left"/>
              <w:rPr>
                <w:sz w:val="21"/>
              </w:rPr>
            </w:pPr>
            <w:r>
              <w:rPr>
                <w:spacing w:val="-3"/>
                <w:sz w:val="21"/>
              </w:rPr>
              <w:t>周岁</w:t>
            </w:r>
          </w:p>
          <w:p>
            <w:pPr>
              <w:pStyle w:val="TableParagraph"/>
              <w:numPr>
                <w:ilvl w:val="1"/>
                <w:numId w:val="4"/>
              </w:numPr>
              <w:tabs>
                <w:tab w:pos="631" w:val="left" w:leader="none"/>
              </w:tabs>
              <w:spacing w:line="240" w:lineRule="auto" w:before="36" w:after="0"/>
              <w:ind w:left="630" w:right="0" w:hanging="370"/>
              <w:jc w:val="left"/>
              <w:rPr>
                <w:sz w:val="21"/>
              </w:rPr>
            </w:pPr>
            <w:r>
              <w:rPr>
                <w:spacing w:val="-3"/>
                <w:sz w:val="21"/>
              </w:rPr>
              <w:t>有效身份证件</w:t>
            </w:r>
          </w:p>
          <w:p>
            <w:pPr>
              <w:pStyle w:val="TableParagraph"/>
              <w:numPr>
                <w:ilvl w:val="1"/>
                <w:numId w:val="4"/>
              </w:numPr>
              <w:tabs>
                <w:tab w:pos="684" w:val="left" w:leader="none"/>
              </w:tabs>
              <w:spacing w:line="240" w:lineRule="auto" w:before="36" w:after="0"/>
              <w:ind w:left="683" w:right="0" w:hanging="423"/>
              <w:jc w:val="left"/>
              <w:rPr>
                <w:sz w:val="21"/>
              </w:rPr>
            </w:pPr>
            <w:r>
              <w:rPr>
                <w:spacing w:val="-3"/>
                <w:sz w:val="21"/>
              </w:rPr>
              <w:t>现金价值</w:t>
            </w:r>
          </w:p>
          <w:p>
            <w:pPr>
              <w:pStyle w:val="TableParagraph"/>
              <w:numPr>
                <w:ilvl w:val="1"/>
                <w:numId w:val="4"/>
              </w:numPr>
              <w:tabs>
                <w:tab w:pos="684" w:val="left" w:leader="none"/>
              </w:tabs>
              <w:spacing w:line="255" w:lineRule="exact" w:before="36" w:after="0"/>
              <w:ind w:left="683" w:right="0" w:hanging="423"/>
              <w:jc w:val="left"/>
              <w:rPr>
                <w:sz w:val="21"/>
              </w:rPr>
            </w:pPr>
            <w:r>
              <w:rPr>
                <w:sz w:val="21"/>
              </w:rPr>
              <w:t>A</w:t>
            </w:r>
            <w:r>
              <w:rPr>
                <w:spacing w:val="-10"/>
                <w:sz w:val="21"/>
              </w:rPr>
              <w:t> 组重大疾病</w:t>
            </w:r>
          </w:p>
        </w:tc>
        <w:tc>
          <w:tcPr>
            <w:tcW w:w="3341" w:type="dxa"/>
          </w:tcPr>
          <w:p>
            <w:pPr>
              <w:pStyle w:val="TableParagraph"/>
              <w:numPr>
                <w:ilvl w:val="1"/>
                <w:numId w:val="5"/>
              </w:numPr>
              <w:tabs>
                <w:tab w:pos="621" w:val="left" w:leader="none"/>
              </w:tabs>
              <w:spacing w:line="211" w:lineRule="exact" w:before="0" w:after="0"/>
              <w:ind w:left="723" w:right="0" w:hanging="525"/>
              <w:jc w:val="left"/>
              <w:rPr>
                <w:sz w:val="21"/>
              </w:rPr>
            </w:pPr>
            <w:r>
              <w:rPr>
                <w:sz w:val="21"/>
              </w:rPr>
              <w:t>B</w:t>
            </w:r>
            <w:r>
              <w:rPr>
                <w:spacing w:val="-10"/>
                <w:sz w:val="21"/>
              </w:rPr>
              <w:t> 组重大疾病</w:t>
            </w:r>
          </w:p>
          <w:p>
            <w:pPr>
              <w:pStyle w:val="TableParagraph"/>
              <w:numPr>
                <w:ilvl w:val="1"/>
                <w:numId w:val="5"/>
              </w:numPr>
              <w:tabs>
                <w:tab w:pos="621" w:val="left" w:leader="none"/>
              </w:tabs>
              <w:spacing w:line="240" w:lineRule="auto" w:before="37" w:after="0"/>
              <w:ind w:left="723" w:right="0" w:hanging="525"/>
              <w:jc w:val="left"/>
              <w:rPr>
                <w:sz w:val="21"/>
              </w:rPr>
            </w:pPr>
            <w:r>
              <w:rPr>
                <w:sz w:val="21"/>
              </w:rPr>
              <w:t>C</w:t>
            </w:r>
            <w:r>
              <w:rPr>
                <w:spacing w:val="-10"/>
                <w:sz w:val="21"/>
              </w:rPr>
              <w:t> 组重大疾病</w:t>
            </w:r>
          </w:p>
          <w:p>
            <w:pPr>
              <w:pStyle w:val="TableParagraph"/>
              <w:numPr>
                <w:ilvl w:val="1"/>
                <w:numId w:val="5"/>
              </w:numPr>
              <w:tabs>
                <w:tab w:pos="621" w:val="left" w:leader="none"/>
              </w:tabs>
              <w:spacing w:line="240" w:lineRule="auto" w:before="37" w:after="0"/>
              <w:ind w:left="723" w:right="0" w:hanging="525"/>
              <w:jc w:val="left"/>
              <w:rPr>
                <w:sz w:val="21"/>
              </w:rPr>
            </w:pPr>
            <w:r>
              <w:rPr>
                <w:spacing w:val="-3"/>
                <w:sz w:val="21"/>
              </w:rPr>
              <w:t>意外伤害</w:t>
            </w:r>
          </w:p>
          <w:p>
            <w:pPr>
              <w:pStyle w:val="TableParagraph"/>
              <w:numPr>
                <w:ilvl w:val="1"/>
                <w:numId w:val="5"/>
              </w:numPr>
              <w:tabs>
                <w:tab w:pos="568" w:val="left" w:leader="none"/>
              </w:tabs>
              <w:spacing w:line="240" w:lineRule="auto" w:before="37" w:after="0"/>
              <w:ind w:left="567" w:right="0" w:hanging="369"/>
              <w:jc w:val="left"/>
              <w:rPr>
                <w:sz w:val="21"/>
              </w:rPr>
            </w:pPr>
            <w:r>
              <w:rPr>
                <w:spacing w:val="-3"/>
                <w:sz w:val="21"/>
              </w:rPr>
              <w:t>专科医生</w:t>
            </w:r>
          </w:p>
          <w:p>
            <w:pPr>
              <w:pStyle w:val="TableParagraph"/>
              <w:numPr>
                <w:ilvl w:val="1"/>
                <w:numId w:val="5"/>
              </w:numPr>
              <w:tabs>
                <w:tab w:pos="621" w:val="left" w:leader="none"/>
              </w:tabs>
              <w:spacing w:line="240" w:lineRule="auto" w:before="37" w:after="0"/>
              <w:ind w:left="723" w:right="0" w:hanging="525"/>
              <w:jc w:val="left"/>
              <w:rPr>
                <w:sz w:val="21"/>
              </w:rPr>
            </w:pPr>
            <w:r>
              <w:rPr>
                <w:spacing w:val="-3"/>
                <w:sz w:val="21"/>
              </w:rPr>
              <w:t>毒品</w:t>
            </w:r>
          </w:p>
          <w:p>
            <w:pPr>
              <w:pStyle w:val="TableParagraph"/>
              <w:numPr>
                <w:ilvl w:val="1"/>
                <w:numId w:val="5"/>
              </w:numPr>
              <w:tabs>
                <w:tab w:pos="724" w:val="left" w:leader="none"/>
              </w:tabs>
              <w:spacing w:line="240" w:lineRule="auto" w:before="37" w:after="0"/>
              <w:ind w:left="723" w:right="0" w:hanging="525"/>
              <w:jc w:val="left"/>
              <w:rPr>
                <w:sz w:val="21"/>
              </w:rPr>
            </w:pPr>
            <w:r>
              <w:rPr>
                <w:spacing w:val="-2"/>
                <w:sz w:val="21"/>
              </w:rPr>
              <w:t>酒后驾驶</w:t>
            </w:r>
          </w:p>
          <w:p>
            <w:pPr>
              <w:pStyle w:val="TableParagraph"/>
              <w:numPr>
                <w:ilvl w:val="1"/>
                <w:numId w:val="5"/>
              </w:numPr>
              <w:tabs>
                <w:tab w:pos="724" w:val="left" w:leader="none"/>
              </w:tabs>
              <w:spacing w:line="240" w:lineRule="auto" w:before="37" w:after="0"/>
              <w:ind w:left="723" w:right="0" w:hanging="525"/>
              <w:jc w:val="left"/>
              <w:rPr>
                <w:sz w:val="21"/>
              </w:rPr>
            </w:pPr>
            <w:r>
              <w:rPr>
                <w:spacing w:val="-3"/>
                <w:sz w:val="21"/>
              </w:rPr>
              <w:t>无合法有效驾驶证驾驶</w:t>
            </w:r>
          </w:p>
          <w:p>
            <w:pPr>
              <w:pStyle w:val="TableParagraph"/>
              <w:numPr>
                <w:ilvl w:val="1"/>
                <w:numId w:val="5"/>
              </w:numPr>
              <w:tabs>
                <w:tab w:pos="724" w:val="left" w:leader="none"/>
              </w:tabs>
              <w:spacing w:line="240" w:lineRule="auto" w:before="37" w:after="0"/>
              <w:ind w:left="723" w:right="0" w:hanging="525"/>
              <w:jc w:val="left"/>
              <w:rPr>
                <w:sz w:val="21"/>
              </w:rPr>
            </w:pPr>
            <w:r>
              <w:rPr>
                <w:spacing w:val="-3"/>
                <w:sz w:val="21"/>
              </w:rPr>
              <w:t>无有效行驶证</w:t>
            </w:r>
          </w:p>
          <w:p>
            <w:pPr>
              <w:pStyle w:val="TableParagraph"/>
              <w:numPr>
                <w:ilvl w:val="1"/>
                <w:numId w:val="5"/>
              </w:numPr>
              <w:tabs>
                <w:tab w:pos="724" w:val="left" w:leader="none"/>
              </w:tabs>
              <w:spacing w:line="240" w:lineRule="auto" w:before="37" w:after="0"/>
              <w:ind w:left="723" w:right="0" w:hanging="525"/>
              <w:jc w:val="left"/>
              <w:rPr>
                <w:sz w:val="21"/>
              </w:rPr>
            </w:pPr>
            <w:r>
              <w:rPr>
                <w:spacing w:val="-3"/>
                <w:sz w:val="21"/>
              </w:rPr>
              <w:t>遗传性疾病</w:t>
            </w:r>
          </w:p>
          <w:p>
            <w:pPr>
              <w:pStyle w:val="TableParagraph"/>
              <w:numPr>
                <w:ilvl w:val="1"/>
                <w:numId w:val="5"/>
              </w:numPr>
              <w:tabs>
                <w:tab w:pos="734" w:val="left" w:leader="none"/>
              </w:tabs>
              <w:spacing w:line="273" w:lineRule="auto" w:before="37" w:after="0"/>
              <w:ind w:left="723" w:right="195" w:hanging="525"/>
              <w:jc w:val="left"/>
              <w:rPr>
                <w:sz w:val="21"/>
              </w:rPr>
            </w:pPr>
            <w:r>
              <w:rPr>
                <w:spacing w:val="5"/>
                <w:sz w:val="21"/>
              </w:rPr>
              <w:t>先天性畸形、变形或染色</w:t>
            </w:r>
            <w:r>
              <w:rPr>
                <w:sz w:val="21"/>
              </w:rPr>
              <w:t>体异常</w:t>
            </w:r>
          </w:p>
          <w:p>
            <w:pPr>
              <w:pStyle w:val="TableParagraph"/>
              <w:numPr>
                <w:ilvl w:val="1"/>
                <w:numId w:val="5"/>
              </w:numPr>
              <w:tabs>
                <w:tab w:pos="724" w:val="left" w:leader="none"/>
              </w:tabs>
              <w:spacing w:line="240" w:lineRule="auto" w:before="7" w:after="0"/>
              <w:ind w:left="723" w:right="0" w:hanging="525"/>
              <w:jc w:val="left"/>
              <w:rPr>
                <w:sz w:val="21"/>
              </w:rPr>
            </w:pPr>
            <w:r>
              <w:rPr>
                <w:spacing w:val="-3"/>
                <w:sz w:val="21"/>
              </w:rPr>
              <w:t>本合同约定利率</w:t>
            </w:r>
          </w:p>
          <w:p>
            <w:pPr>
              <w:pStyle w:val="TableParagraph"/>
              <w:numPr>
                <w:ilvl w:val="1"/>
                <w:numId w:val="5"/>
              </w:numPr>
              <w:tabs>
                <w:tab w:pos="724" w:val="left" w:leader="none"/>
              </w:tabs>
              <w:spacing w:line="240" w:lineRule="auto" w:before="36" w:after="0"/>
              <w:ind w:left="723" w:right="0" w:hanging="525"/>
              <w:jc w:val="left"/>
              <w:rPr>
                <w:sz w:val="21"/>
              </w:rPr>
            </w:pPr>
            <w:r>
              <w:rPr>
                <w:spacing w:val="-3"/>
                <w:sz w:val="21"/>
              </w:rPr>
              <w:t>肢体机能完全丧失</w:t>
            </w:r>
          </w:p>
          <w:p>
            <w:pPr>
              <w:pStyle w:val="TableParagraph"/>
              <w:numPr>
                <w:ilvl w:val="1"/>
                <w:numId w:val="5"/>
              </w:numPr>
              <w:tabs>
                <w:tab w:pos="734" w:val="left" w:leader="none"/>
              </w:tabs>
              <w:spacing w:line="273" w:lineRule="auto" w:before="36" w:after="0"/>
              <w:ind w:left="723" w:right="205" w:hanging="525"/>
              <w:jc w:val="left"/>
              <w:rPr>
                <w:sz w:val="21"/>
              </w:rPr>
            </w:pPr>
            <w:r>
              <w:rPr>
                <w:spacing w:val="3"/>
                <w:sz w:val="21"/>
              </w:rPr>
              <w:t>语言能力或咀嚼吞咽能力</w:t>
            </w:r>
            <w:r>
              <w:rPr>
                <w:sz w:val="21"/>
              </w:rPr>
              <w:t>完全丧失</w:t>
            </w:r>
          </w:p>
          <w:p>
            <w:pPr>
              <w:pStyle w:val="TableParagraph"/>
              <w:numPr>
                <w:ilvl w:val="1"/>
                <w:numId w:val="5"/>
              </w:numPr>
              <w:tabs>
                <w:tab w:pos="724" w:val="left" w:leader="none"/>
              </w:tabs>
              <w:spacing w:line="240" w:lineRule="auto" w:before="7" w:after="0"/>
              <w:ind w:left="723" w:right="0" w:hanging="525"/>
              <w:jc w:val="left"/>
              <w:rPr>
                <w:sz w:val="21"/>
              </w:rPr>
            </w:pPr>
            <w:r>
              <w:rPr>
                <w:spacing w:val="-3"/>
                <w:sz w:val="21"/>
              </w:rPr>
              <w:t>六项基本日常生活活动</w:t>
            </w:r>
          </w:p>
          <w:p>
            <w:pPr>
              <w:pStyle w:val="TableParagraph"/>
              <w:numPr>
                <w:ilvl w:val="1"/>
                <w:numId w:val="5"/>
              </w:numPr>
              <w:tabs>
                <w:tab w:pos="724" w:val="left" w:leader="none"/>
              </w:tabs>
              <w:spacing w:line="240" w:lineRule="auto" w:before="37" w:after="0"/>
              <w:ind w:left="723"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140" w:bottom="1100" w:left="860" w:right="180"/>
        </w:sectPr>
      </w:pPr>
    </w:p>
    <w:p>
      <w:pPr>
        <w:pStyle w:val="Heading1"/>
        <w:spacing w:line="478" w:lineRule="exact"/>
      </w:pPr>
      <w:r>
        <w:rPr/>
        <w:t>合众附加至尊安康重大疾病保险条款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522" w:hRule="atLeast"/>
        </w:trPr>
        <w:tc>
          <w:tcPr>
            <w:tcW w:w="748" w:type="dxa"/>
            <w:tcBorders>
              <w:bottom w:val="single" w:sz="4"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rPr>
                <w:sz w:val="15"/>
              </w:rPr>
            </w:pPr>
          </w:p>
          <w:p>
            <w:pPr>
              <w:pStyle w:val="TableParagraph"/>
              <w:spacing w:before="0"/>
              <w:ind w:left="108"/>
              <w:rPr>
                <w:b/>
                <w:sz w:val="21"/>
              </w:rPr>
            </w:pPr>
            <w:r>
              <w:rPr>
                <w:b/>
                <w:sz w:val="21"/>
              </w:rPr>
              <w:t>1.1</w:t>
            </w:r>
          </w:p>
        </w:tc>
        <w:tc>
          <w:tcPr>
            <w:tcW w:w="1752" w:type="dxa"/>
            <w:tcBorders>
              <w:top w:val="single" w:sz="4" w:space="0" w:color="000000"/>
            </w:tcBorders>
          </w:tcPr>
          <w:p>
            <w:pPr>
              <w:pStyle w:val="TableParagraph"/>
              <w:spacing w:before="9"/>
              <w:rPr>
                <w:sz w:val="15"/>
              </w:rPr>
            </w:pPr>
          </w:p>
          <w:p>
            <w:pPr>
              <w:pStyle w:val="TableParagraph"/>
              <w:spacing w:before="0"/>
              <w:ind w:left="282"/>
              <w:rPr>
                <w:b/>
                <w:sz w:val="21"/>
              </w:rPr>
            </w:pPr>
            <w:r>
              <w:rPr>
                <w:b/>
                <w:sz w:val="21"/>
              </w:rPr>
              <w:t>投保范围</w:t>
            </w:r>
          </w:p>
        </w:tc>
        <w:tc>
          <w:tcPr>
            <w:tcW w:w="6861" w:type="dxa"/>
            <w:tcBorders>
              <w:top w:val="single" w:sz="4" w:space="0" w:color="000000"/>
            </w:tcBorders>
          </w:tcPr>
          <w:p>
            <w:pPr>
              <w:pStyle w:val="TableParagraph"/>
              <w:spacing w:before="9"/>
              <w:rPr>
                <w:sz w:val="15"/>
              </w:rPr>
            </w:pPr>
          </w:p>
          <w:p>
            <w:pPr>
              <w:pStyle w:val="TableParagraph"/>
              <w:spacing w:line="273" w:lineRule="auto" w:before="0"/>
              <w:ind w:left="201" w:right="196"/>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201" w:right="141"/>
              <w:rPr>
                <w:sz w:val="21"/>
              </w:rPr>
            </w:pPr>
            <w:r>
              <w:rPr>
                <w:spacing w:val="-13"/>
                <w:sz w:val="21"/>
              </w:rPr>
              <w:t>凡年满 </w:t>
            </w:r>
            <w:r>
              <w:rPr>
                <w:sz w:val="21"/>
              </w:rPr>
              <w:t>18</w:t>
            </w:r>
            <w:r>
              <w:rPr>
                <w:spacing w:val="-20"/>
                <w:sz w:val="21"/>
              </w:rPr>
              <w:t> 周岁至 </w:t>
            </w:r>
            <w:r>
              <w:rPr>
                <w:sz w:val="21"/>
              </w:rPr>
              <w:t>55</w:t>
            </w:r>
            <w:r>
              <w:rPr>
                <w:spacing w:val="-8"/>
                <w:sz w:val="21"/>
              </w:rPr>
              <w:t> 周岁，符合本公司承保条件的人，均可作为被保险人。</w:t>
            </w:r>
          </w:p>
        </w:tc>
      </w:tr>
      <w:tr>
        <w:trPr>
          <w:trHeight w:val="2453" w:hRule="atLeast"/>
        </w:trPr>
        <w:tc>
          <w:tcPr>
            <w:tcW w:w="748" w:type="dxa"/>
          </w:tcPr>
          <w:p>
            <w:pPr>
              <w:pStyle w:val="TableParagraph"/>
              <w:spacing w:before="143"/>
              <w:ind w:left="108"/>
              <w:rPr>
                <w:b/>
                <w:sz w:val="21"/>
              </w:rPr>
            </w:pPr>
            <w:r>
              <w:rPr>
                <w:b/>
                <w:sz w:val="21"/>
              </w:rPr>
              <w:t>1.2</w:t>
            </w:r>
          </w:p>
        </w:tc>
        <w:tc>
          <w:tcPr>
            <w:tcW w:w="1752" w:type="dxa"/>
          </w:tcPr>
          <w:p>
            <w:pPr>
              <w:pStyle w:val="TableParagraph"/>
              <w:spacing w:before="143"/>
              <w:ind w:left="282"/>
              <w:rPr>
                <w:b/>
                <w:sz w:val="21"/>
              </w:rPr>
            </w:pPr>
            <w:r>
              <w:rPr>
                <w:b/>
                <w:sz w:val="21"/>
              </w:rPr>
              <w:t>合同构成</w:t>
            </w:r>
          </w:p>
        </w:tc>
        <w:tc>
          <w:tcPr>
            <w:tcW w:w="6861" w:type="dxa"/>
          </w:tcPr>
          <w:p>
            <w:pPr>
              <w:pStyle w:val="TableParagraph"/>
              <w:spacing w:line="264" w:lineRule="auto" w:before="143"/>
              <w:ind w:left="201" w:right="106"/>
              <w:jc w:val="both"/>
              <w:rPr>
                <w:sz w:val="21"/>
              </w:rPr>
            </w:pPr>
            <w:r>
              <w:rPr>
                <w:w w:val="100"/>
                <w:sz w:val="21"/>
              </w:rPr>
              <w:t>本附加保险合同（以下简称“本附加合同</w:t>
            </w:r>
            <w:r>
              <w:rPr>
                <w:spacing w:val="-104"/>
                <w:w w:val="100"/>
                <w:sz w:val="21"/>
              </w:rPr>
              <w:t>”）</w:t>
            </w:r>
            <w:r>
              <w:rPr>
                <w:spacing w:val="-1"/>
                <w:w w:val="100"/>
                <w:sz w:val="21"/>
              </w:rPr>
              <w:t>，需由合众至尊安康终身寿</w:t>
            </w:r>
            <w:r>
              <w:rPr>
                <w:spacing w:val="-1"/>
                <w:sz w:val="21"/>
              </w:rPr>
              <w:t>险（分红型）主保险合同（以下简称</w:t>
            </w:r>
            <w:r>
              <w:rPr>
                <w:rFonts w:ascii="Times New Roman" w:hAnsi="Times New Roman" w:eastAsia="Times New Roman"/>
                <w:spacing w:val="-1"/>
                <w:sz w:val="21"/>
              </w:rPr>
              <w:t>“</w:t>
            </w:r>
            <w:r>
              <w:rPr>
                <w:spacing w:val="-1"/>
                <w:sz w:val="21"/>
              </w:rPr>
              <w:t>主合同</w:t>
            </w:r>
            <w:r>
              <w:rPr>
                <w:rFonts w:ascii="Times New Roman" w:hAnsi="Times New Roman" w:eastAsia="Times New Roman"/>
                <w:spacing w:val="-1"/>
                <w:sz w:val="21"/>
              </w:rPr>
              <w:t>”</w:t>
            </w:r>
            <w:r>
              <w:rPr>
                <w:spacing w:val="-1"/>
                <w:sz w:val="21"/>
              </w:rPr>
              <w:t>）投保人提出申请，经我</w:t>
            </w:r>
            <w:r>
              <w:rPr>
                <w:spacing w:val="-3"/>
                <w:sz w:val="21"/>
              </w:rPr>
              <w:t>们同意而订立。</w:t>
            </w:r>
          </w:p>
          <w:p>
            <w:pPr>
              <w:pStyle w:val="TableParagraph"/>
              <w:spacing w:line="273" w:lineRule="auto" w:before="16"/>
              <w:ind w:left="201" w:right="140"/>
              <w:jc w:val="both"/>
              <w:rPr>
                <w:sz w:val="21"/>
              </w:rPr>
            </w:pPr>
            <w:r>
              <w:rPr>
                <w:sz w:val="21"/>
              </w:rPr>
              <w:t>主合同所附条款、投保书及与本附加合同有关的其他投保文件、合法有效的声明、批注、附贴批单、其他书面协议，凡与本附加合同相关者， 都是本附加合同的构成部分。若主合同与本附加合同的条款互有冲突， 则以本附加合同的条款为准。</w:t>
            </w:r>
          </w:p>
        </w:tc>
      </w:tr>
      <w:tr>
        <w:trPr>
          <w:trHeight w:val="2166" w:hRule="atLeast"/>
        </w:trPr>
        <w:tc>
          <w:tcPr>
            <w:tcW w:w="748" w:type="dxa"/>
          </w:tcPr>
          <w:p>
            <w:pPr>
              <w:pStyle w:val="TableParagraph"/>
              <w:spacing w:before="99"/>
              <w:ind w:left="108"/>
              <w:rPr>
                <w:b/>
                <w:sz w:val="21"/>
              </w:rPr>
            </w:pPr>
            <w:r>
              <w:rPr>
                <w:b/>
                <w:sz w:val="21"/>
              </w:rPr>
              <w:t>1.3</w:t>
            </w:r>
          </w:p>
        </w:tc>
        <w:tc>
          <w:tcPr>
            <w:tcW w:w="1752" w:type="dxa"/>
          </w:tcPr>
          <w:p>
            <w:pPr>
              <w:pStyle w:val="TableParagraph"/>
              <w:spacing w:line="273" w:lineRule="auto" w:before="99"/>
              <w:ind w:left="282" w:right="200"/>
              <w:rPr>
                <w:b/>
                <w:sz w:val="21"/>
              </w:rPr>
            </w:pPr>
            <w:r>
              <w:rPr>
                <w:b/>
                <w:sz w:val="21"/>
              </w:rPr>
              <w:t>合同成立与生效</w:t>
            </w:r>
          </w:p>
        </w:tc>
        <w:tc>
          <w:tcPr>
            <w:tcW w:w="6861" w:type="dxa"/>
          </w:tcPr>
          <w:p>
            <w:pPr>
              <w:pStyle w:val="TableParagraph"/>
              <w:spacing w:line="273" w:lineRule="auto" w:before="99"/>
              <w:ind w:left="201" w:right="141"/>
              <w:jc w:val="both"/>
              <w:rPr>
                <w:sz w:val="21"/>
              </w:rPr>
            </w:pPr>
            <w:r>
              <w:rPr>
                <w:sz w:val="21"/>
              </w:rPr>
              <w:t>您提出保险申请、我们同意承保，本附加合同成立，合同成立日期在保险单上载明。</w:t>
            </w:r>
          </w:p>
          <w:p>
            <w:pPr>
              <w:pStyle w:val="TableParagraph"/>
              <w:spacing w:line="273" w:lineRule="auto" w:before="7"/>
              <w:ind w:left="201" w:right="141"/>
              <w:jc w:val="both"/>
              <w:rPr>
                <w:sz w:val="21"/>
              </w:rPr>
            </w:pPr>
            <w:r>
              <w:rPr>
                <w:sz w:val="21"/>
              </w:rPr>
              <w:t>自本附加合同成立、我们收取首期保险费并签发保险单的次日零时起本附加合同生效，合同生效日期在保险单上载明。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ind w:left="108"/>
              <w:rPr>
                <w:b/>
                <w:sz w:val="21"/>
              </w:rPr>
            </w:pPr>
            <w:r>
              <w:rPr>
                <w:b/>
                <w:sz w:val="21"/>
              </w:rPr>
              <w:t>1.4</w:t>
            </w:r>
          </w:p>
        </w:tc>
        <w:tc>
          <w:tcPr>
            <w:tcW w:w="1752" w:type="dxa"/>
          </w:tcPr>
          <w:p>
            <w:pPr>
              <w:pStyle w:val="TableParagraph"/>
              <w:spacing w:before="168"/>
              <w:ind w:left="282"/>
              <w:rPr>
                <w:b/>
                <w:sz w:val="21"/>
              </w:rPr>
            </w:pPr>
            <w:r>
              <w:rPr>
                <w:b/>
                <w:sz w:val="21"/>
              </w:rPr>
              <w:t>犹豫期</w:t>
            </w:r>
          </w:p>
        </w:tc>
        <w:tc>
          <w:tcPr>
            <w:tcW w:w="6861" w:type="dxa"/>
          </w:tcPr>
          <w:p>
            <w:pPr>
              <w:pStyle w:val="TableParagraph"/>
              <w:spacing w:line="273" w:lineRule="auto" w:before="168"/>
              <w:ind w:left="201" w:right="1"/>
              <w:rPr>
                <w:sz w:val="21"/>
              </w:rPr>
            </w:pPr>
            <w:r>
              <w:rPr>
                <w:spacing w:val="-7"/>
                <w:sz w:val="21"/>
              </w:rPr>
              <w:t>为了使您充分了解本附加合同的保障范围，确定选择了合适的保险金额、</w:t>
            </w:r>
            <w:r>
              <w:rPr>
                <w:spacing w:val="-10"/>
                <w:sz w:val="21"/>
              </w:rPr>
              <w:t>交费期限和交费金额，自您签收保险合同之日起，有 </w:t>
            </w:r>
            <w:r>
              <w:rPr>
                <w:sz w:val="21"/>
              </w:rPr>
              <w:t>10</w:t>
            </w:r>
            <w:r>
              <w:rPr>
                <w:spacing w:val="-11"/>
                <w:sz w:val="21"/>
              </w:rPr>
              <w:t> 天的犹豫期。如</w:t>
            </w:r>
            <w:r>
              <w:rPr>
                <w:spacing w:val="-6"/>
                <w:sz w:val="21"/>
              </w:rPr>
              <w:t>果您在此期间提出解除本附加合同，需要填写书面申请书，并提供您的</w:t>
            </w:r>
            <w:r>
              <w:rPr>
                <w:spacing w:val="-4"/>
                <w:w w:val="100"/>
                <w:sz w:val="21"/>
              </w:rPr>
              <w:t>保险合同及</w:t>
            </w:r>
            <w:r>
              <w:rPr>
                <w:b/>
                <w:spacing w:val="-7"/>
                <w:w w:val="100"/>
                <w:sz w:val="21"/>
              </w:rPr>
              <w:t>有效身份证件</w:t>
            </w:r>
            <w:r>
              <w:rPr>
                <w:w w:val="100"/>
                <w:sz w:val="21"/>
              </w:rPr>
              <w:t>（</w:t>
            </w:r>
            <w:r>
              <w:rPr>
                <w:spacing w:val="-2"/>
                <w:w w:val="100"/>
                <w:sz w:val="21"/>
              </w:rPr>
              <w:t>见释义</w:t>
            </w:r>
            <w:r>
              <w:rPr>
                <w:spacing w:val="-55"/>
                <w:sz w:val="21"/>
              </w:rPr>
              <w:t> </w:t>
            </w:r>
            <w:r>
              <w:rPr>
                <w:w w:val="100"/>
                <w:sz w:val="21"/>
              </w:rPr>
              <w:t>6.2</w:t>
            </w:r>
            <w:r>
              <w:rPr>
                <w:spacing w:val="-108"/>
                <w:w w:val="100"/>
                <w:sz w:val="21"/>
              </w:rPr>
              <w:t>）</w:t>
            </w:r>
            <w:r>
              <w:rPr>
                <w:spacing w:val="-8"/>
                <w:w w:val="100"/>
                <w:sz w:val="21"/>
              </w:rPr>
              <w:t>，我们会在扣除不超过人民币</w:t>
            </w:r>
            <w:r>
              <w:rPr>
                <w:spacing w:val="-8"/>
                <w:sz w:val="21"/>
              </w:rPr>
              <w:t> </w:t>
            </w:r>
            <w:r>
              <w:rPr>
                <w:spacing w:val="-3"/>
                <w:w w:val="100"/>
                <w:sz w:val="21"/>
              </w:rPr>
              <w:t>10</w:t>
            </w:r>
            <w:r>
              <w:rPr>
                <w:spacing w:val="-3"/>
                <w:sz w:val="21"/>
              </w:rPr>
              <w:t>元的保单工本费后无息退还您所交的本附加合同的保险费。自我们收到您解除本附加合同的书面申请时起，本附加合同即被解除。对本附加合同解除前发生的保险事故我们不承担保险责任。</w:t>
            </w:r>
          </w:p>
        </w:tc>
      </w:tr>
      <w:tr>
        <w:trPr>
          <w:trHeight w:val="1584" w:hRule="atLeast"/>
        </w:trPr>
        <w:tc>
          <w:tcPr>
            <w:tcW w:w="748" w:type="dxa"/>
          </w:tcPr>
          <w:p>
            <w:pPr>
              <w:pStyle w:val="TableParagraph"/>
              <w:spacing w:before="167"/>
              <w:ind w:left="108"/>
              <w:rPr>
                <w:b/>
                <w:sz w:val="21"/>
              </w:rPr>
            </w:pPr>
            <w:r>
              <w:rPr>
                <w:b/>
                <w:sz w:val="21"/>
              </w:rPr>
              <w:t>1.5</w:t>
            </w:r>
          </w:p>
        </w:tc>
        <w:tc>
          <w:tcPr>
            <w:tcW w:w="1752" w:type="dxa"/>
          </w:tcPr>
          <w:p>
            <w:pPr>
              <w:pStyle w:val="TableParagraph"/>
              <w:spacing w:before="167"/>
              <w:ind w:left="282"/>
              <w:rPr>
                <w:b/>
                <w:sz w:val="21"/>
              </w:rPr>
            </w:pPr>
            <w:r>
              <w:rPr>
                <w:b/>
                <w:sz w:val="21"/>
              </w:rPr>
              <w:t>合同内容变更</w:t>
            </w:r>
          </w:p>
        </w:tc>
        <w:tc>
          <w:tcPr>
            <w:tcW w:w="6861" w:type="dxa"/>
          </w:tcPr>
          <w:p>
            <w:pPr>
              <w:pStyle w:val="TableParagraph"/>
              <w:spacing w:line="273" w:lineRule="auto" w:before="167"/>
              <w:ind w:left="201" w:right="141"/>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665" w:hRule="atLeast"/>
        </w:trPr>
        <w:tc>
          <w:tcPr>
            <w:tcW w:w="748" w:type="dxa"/>
          </w:tcPr>
          <w:p>
            <w:pPr>
              <w:pStyle w:val="TableParagraph"/>
              <w:spacing w:before="142"/>
              <w:ind w:left="108"/>
              <w:rPr>
                <w:b/>
                <w:sz w:val="21"/>
              </w:rPr>
            </w:pPr>
            <w:r>
              <w:rPr>
                <w:b/>
                <w:sz w:val="21"/>
              </w:rPr>
              <w:t>1.6</w:t>
            </w:r>
          </w:p>
        </w:tc>
        <w:tc>
          <w:tcPr>
            <w:tcW w:w="1752" w:type="dxa"/>
          </w:tcPr>
          <w:p>
            <w:pPr>
              <w:pStyle w:val="TableParagraph"/>
              <w:spacing w:line="273" w:lineRule="auto" w:before="142"/>
              <w:ind w:left="282" w:right="200"/>
              <w:rPr>
                <w:b/>
                <w:sz w:val="21"/>
              </w:rPr>
            </w:pPr>
            <w:r>
              <w:rPr>
                <w:b/>
                <w:sz w:val="21"/>
              </w:rPr>
              <w:t>您解除合同的手续及风险</w:t>
            </w:r>
          </w:p>
        </w:tc>
        <w:tc>
          <w:tcPr>
            <w:tcW w:w="6861" w:type="dxa"/>
          </w:tcPr>
          <w:p>
            <w:pPr>
              <w:pStyle w:val="TableParagraph"/>
              <w:spacing w:line="273" w:lineRule="auto" w:before="142"/>
              <w:ind w:left="201" w:right="142"/>
              <w:rPr>
                <w:sz w:val="21"/>
              </w:rPr>
            </w:pPr>
            <w:r>
              <w:rPr>
                <w:sz w:val="21"/>
              </w:rPr>
              <w:t>如您在犹豫期后申请解除本附加合同，请填写解除合同申请书并向我们提供下列资料：</w:t>
            </w:r>
          </w:p>
          <w:p>
            <w:pPr>
              <w:pStyle w:val="TableParagraph"/>
              <w:spacing w:before="7"/>
              <w:ind w:left="201"/>
              <w:rPr>
                <w:sz w:val="21"/>
              </w:rPr>
            </w:pPr>
            <w:r>
              <w:rPr>
                <w:sz w:val="21"/>
              </w:rPr>
              <w:t>（1）保险合同；</w:t>
            </w:r>
          </w:p>
          <w:p>
            <w:pPr>
              <w:pStyle w:val="TableParagraph"/>
              <w:ind w:left="201"/>
              <w:rPr>
                <w:sz w:val="21"/>
              </w:rPr>
            </w:pPr>
            <w:r>
              <w:rPr>
                <w:sz w:val="21"/>
              </w:rPr>
              <w:t>（2）您的有效身份证件。</w:t>
            </w:r>
          </w:p>
          <w:p>
            <w:pPr>
              <w:pStyle w:val="TableParagraph"/>
              <w:spacing w:line="255" w:lineRule="exact"/>
              <w:ind w:left="201"/>
              <w:rPr>
                <w:sz w:val="21"/>
              </w:rPr>
            </w:pPr>
            <w:r>
              <w:rPr>
                <w:sz w:val="21"/>
              </w:rPr>
              <w:t>自我们收到解除合同申请书时起，本附加合同终止。我们自收到解除合</w:t>
            </w:r>
          </w:p>
        </w:tc>
      </w:tr>
    </w:tbl>
    <w:p>
      <w:pPr>
        <w:spacing w:after="0" w:line="255" w:lineRule="exact"/>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8"/>
      </w:tblGrid>
      <w:tr>
        <w:trPr>
          <w:trHeight w:val="754" w:hRule="atLeast"/>
        </w:trPr>
        <w:tc>
          <w:tcPr>
            <w:tcW w:w="748" w:type="dxa"/>
          </w:tcPr>
          <w:p>
            <w:pPr>
              <w:pStyle w:val="TableParagraph"/>
              <w:spacing w:before="0"/>
              <w:rPr>
                <w:rFonts w:ascii="Times New Roman"/>
                <w:sz w:val="20"/>
              </w:rPr>
            </w:pPr>
          </w:p>
        </w:tc>
        <w:tc>
          <w:tcPr>
            <w:tcW w:w="1752" w:type="dxa"/>
          </w:tcPr>
          <w:p>
            <w:pPr>
              <w:pStyle w:val="TableParagraph"/>
              <w:spacing w:before="0"/>
              <w:rPr>
                <w:rFonts w:ascii="Times New Roman"/>
                <w:sz w:val="20"/>
              </w:rPr>
            </w:pPr>
          </w:p>
        </w:tc>
        <w:tc>
          <w:tcPr>
            <w:tcW w:w="6858" w:type="dxa"/>
          </w:tcPr>
          <w:p>
            <w:pPr>
              <w:pStyle w:val="TableParagraph"/>
              <w:spacing w:line="211" w:lineRule="exact" w:before="0"/>
              <w:ind w:left="201"/>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ind w:left="201"/>
              <w:rPr>
                <w:sz w:val="21"/>
              </w:rPr>
            </w:pPr>
            <w:r>
              <w:rPr>
                <w:sz w:val="21"/>
              </w:rPr>
              <w:t>您在犹豫期后解除合同会遭受一定损失。</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0" w:type="dxa"/>
            <w:gridSpan w:val="2"/>
            <w:tcBorders>
              <w:bottom w:val="single" w:sz="4" w:space="0" w:color="000000"/>
            </w:tcBorders>
          </w:tcPr>
          <w:p>
            <w:pPr>
              <w:pStyle w:val="TableParagraph"/>
              <w:spacing w:before="10"/>
              <w:rPr>
                <w:sz w:val="18"/>
              </w:rPr>
            </w:pPr>
          </w:p>
          <w:p>
            <w:pPr>
              <w:pStyle w:val="TableParagraph"/>
              <w:spacing w:before="0"/>
              <w:ind w:left="282"/>
              <w:rPr>
                <w:b/>
                <w:sz w:val="24"/>
              </w:rPr>
            </w:pPr>
            <w:r>
              <w:rPr>
                <w:b/>
                <w:w w:val="95"/>
                <w:sz w:val="24"/>
              </w:rPr>
              <w:t>我们提供的保障</w:t>
            </w:r>
          </w:p>
        </w:tc>
      </w:tr>
      <w:tr>
        <w:trPr>
          <w:trHeight w:val="2636" w:hRule="atLeast"/>
        </w:trPr>
        <w:tc>
          <w:tcPr>
            <w:tcW w:w="748" w:type="dxa"/>
            <w:tcBorders>
              <w:top w:val="single" w:sz="4" w:space="0" w:color="000000"/>
            </w:tcBorders>
          </w:tcPr>
          <w:p>
            <w:pPr>
              <w:pStyle w:val="TableParagraph"/>
              <w:spacing w:before="7"/>
              <w:rPr>
                <w:sz w:val="21"/>
              </w:rPr>
            </w:pPr>
          </w:p>
          <w:p>
            <w:pPr>
              <w:pStyle w:val="TableParagraph"/>
              <w:spacing w:before="0"/>
              <w:ind w:left="108"/>
              <w:rPr>
                <w:b/>
                <w:sz w:val="21"/>
              </w:rPr>
            </w:pPr>
            <w:r>
              <w:rPr>
                <w:b/>
                <w:sz w:val="21"/>
              </w:rPr>
              <w:t>2.1</w:t>
            </w:r>
          </w:p>
        </w:tc>
        <w:tc>
          <w:tcPr>
            <w:tcW w:w="1752" w:type="dxa"/>
            <w:tcBorders>
              <w:top w:val="single" w:sz="4" w:space="0" w:color="000000"/>
            </w:tcBorders>
          </w:tcPr>
          <w:p>
            <w:pPr>
              <w:pStyle w:val="TableParagraph"/>
              <w:spacing w:before="7"/>
              <w:rPr>
                <w:sz w:val="21"/>
              </w:rPr>
            </w:pPr>
          </w:p>
          <w:p>
            <w:pPr>
              <w:pStyle w:val="TableParagraph"/>
              <w:spacing w:before="0"/>
              <w:ind w:left="282"/>
              <w:rPr>
                <w:b/>
                <w:sz w:val="21"/>
              </w:rPr>
            </w:pPr>
            <w:r>
              <w:rPr>
                <w:b/>
                <w:sz w:val="21"/>
              </w:rPr>
              <w:t>保险金额</w:t>
            </w:r>
          </w:p>
        </w:tc>
        <w:tc>
          <w:tcPr>
            <w:tcW w:w="6858" w:type="dxa"/>
            <w:tcBorders>
              <w:top w:val="single" w:sz="4" w:space="0" w:color="000000"/>
            </w:tcBorders>
          </w:tcPr>
          <w:p>
            <w:pPr>
              <w:pStyle w:val="TableParagraph"/>
              <w:spacing w:before="7"/>
              <w:rPr>
                <w:sz w:val="21"/>
              </w:rPr>
            </w:pPr>
          </w:p>
          <w:p>
            <w:pPr>
              <w:pStyle w:val="TableParagraph"/>
              <w:spacing w:before="0"/>
              <w:ind w:left="201"/>
              <w:rPr>
                <w:sz w:val="21"/>
              </w:rPr>
            </w:pPr>
            <w:r>
              <w:rPr>
                <w:sz w:val="21"/>
              </w:rPr>
              <w:t>本附加合同的基本保险金额是主合同基本保险金额的十一分之十。</w:t>
            </w:r>
          </w:p>
          <w:p>
            <w:pPr>
              <w:pStyle w:val="TableParagraph"/>
              <w:spacing w:line="273" w:lineRule="auto" w:before="36"/>
              <w:ind w:left="201" w:right="137"/>
              <w:jc w:val="both"/>
              <w:rPr>
                <w:sz w:val="21"/>
              </w:rPr>
            </w:pPr>
            <w:r>
              <w:rPr>
                <w:sz w:val="21"/>
              </w:rPr>
              <w:t>本附加合同的保险金额在交费期内每个保单年度初按基本保险金额的2% 增加。交费期限为10年的，保险金额在最后一期交费时将增加至基本保险金额的120%。交费期限为20年的，保险金额在最后一期交费时将增加至基本保险金额的140%。交费期限为30年的，保险金额在最后一期交费时将增加至基本保险金额的160%。交费期满后，保险金额将维持不变直至本附加合同终止。</w:t>
            </w:r>
          </w:p>
        </w:tc>
      </w:tr>
      <w:tr>
        <w:trPr>
          <w:trHeight w:val="936" w:hRule="atLeast"/>
        </w:trPr>
        <w:tc>
          <w:tcPr>
            <w:tcW w:w="748" w:type="dxa"/>
          </w:tcPr>
          <w:p>
            <w:pPr>
              <w:pStyle w:val="TableParagraph"/>
              <w:spacing w:before="143"/>
              <w:ind w:left="108"/>
              <w:rPr>
                <w:b/>
                <w:sz w:val="21"/>
              </w:rPr>
            </w:pPr>
            <w:r>
              <w:rPr>
                <w:b/>
                <w:sz w:val="21"/>
              </w:rPr>
              <w:t>2.2</w:t>
            </w:r>
          </w:p>
        </w:tc>
        <w:tc>
          <w:tcPr>
            <w:tcW w:w="1752" w:type="dxa"/>
          </w:tcPr>
          <w:p>
            <w:pPr>
              <w:pStyle w:val="TableParagraph"/>
              <w:spacing w:before="143"/>
              <w:ind w:left="282"/>
              <w:rPr>
                <w:b/>
                <w:sz w:val="21"/>
              </w:rPr>
            </w:pPr>
            <w:r>
              <w:rPr>
                <w:b/>
                <w:sz w:val="21"/>
              </w:rPr>
              <w:t>保险期间</w:t>
            </w:r>
          </w:p>
        </w:tc>
        <w:tc>
          <w:tcPr>
            <w:tcW w:w="6858" w:type="dxa"/>
          </w:tcPr>
          <w:p>
            <w:pPr>
              <w:pStyle w:val="TableParagraph"/>
              <w:spacing w:line="273" w:lineRule="auto" w:before="143"/>
              <w:ind w:left="201" w:right="138"/>
              <w:rPr>
                <w:sz w:val="21"/>
              </w:rPr>
            </w:pPr>
            <w:r>
              <w:rPr>
                <w:sz w:val="21"/>
              </w:rPr>
              <w:t>本附加合同的保险期间为被保险人终身，自保险单上记载的保险合同生效日零时起至被保险人身故时止。</w:t>
            </w:r>
          </w:p>
        </w:tc>
      </w:tr>
      <w:tr>
        <w:trPr>
          <w:trHeight w:val="623" w:hRule="atLeast"/>
        </w:trPr>
        <w:tc>
          <w:tcPr>
            <w:tcW w:w="748" w:type="dxa"/>
          </w:tcPr>
          <w:p>
            <w:pPr>
              <w:pStyle w:val="TableParagraph"/>
              <w:spacing w:before="142"/>
              <w:ind w:left="108"/>
              <w:rPr>
                <w:b/>
                <w:sz w:val="21"/>
              </w:rPr>
            </w:pPr>
            <w:r>
              <w:rPr>
                <w:b/>
                <w:sz w:val="21"/>
              </w:rPr>
              <w:t>2.3</w:t>
            </w:r>
          </w:p>
        </w:tc>
        <w:tc>
          <w:tcPr>
            <w:tcW w:w="1752" w:type="dxa"/>
          </w:tcPr>
          <w:p>
            <w:pPr>
              <w:pStyle w:val="TableParagraph"/>
              <w:spacing w:before="142"/>
              <w:ind w:left="282"/>
              <w:rPr>
                <w:b/>
                <w:sz w:val="21"/>
              </w:rPr>
            </w:pPr>
            <w:r>
              <w:rPr>
                <w:b/>
                <w:sz w:val="21"/>
              </w:rPr>
              <w:t>保险责任</w:t>
            </w:r>
          </w:p>
        </w:tc>
        <w:tc>
          <w:tcPr>
            <w:tcW w:w="6858" w:type="dxa"/>
          </w:tcPr>
          <w:p>
            <w:pPr>
              <w:pStyle w:val="TableParagraph"/>
              <w:spacing w:before="142"/>
              <w:ind w:left="201"/>
              <w:rPr>
                <w:sz w:val="21"/>
              </w:rPr>
            </w:pPr>
            <w:r>
              <w:rPr>
                <w:sz w:val="21"/>
              </w:rPr>
              <w:t>在本附加合同保险期间内，我们承担如下保险责任：</w:t>
            </w:r>
          </w:p>
        </w:tc>
      </w:tr>
      <w:tr>
        <w:trPr>
          <w:trHeight w:val="8530" w:hRule="atLeast"/>
        </w:trPr>
        <w:tc>
          <w:tcPr>
            <w:tcW w:w="748" w:type="dxa"/>
          </w:tcPr>
          <w:p>
            <w:pPr>
              <w:pStyle w:val="TableParagraph"/>
              <w:spacing w:before="0"/>
              <w:rPr>
                <w:rFonts w:ascii="Times New Roman"/>
                <w:sz w:val="20"/>
              </w:rPr>
            </w:pPr>
          </w:p>
        </w:tc>
        <w:tc>
          <w:tcPr>
            <w:tcW w:w="1752" w:type="dxa"/>
          </w:tcPr>
          <w:p>
            <w:pPr>
              <w:pStyle w:val="TableParagraph"/>
              <w:spacing w:before="142"/>
              <w:ind w:left="282"/>
              <w:rPr>
                <w:rFonts w:ascii="黑体" w:eastAsia="黑体" w:hint="eastAsia"/>
                <w:b/>
                <w:sz w:val="21"/>
              </w:rPr>
            </w:pPr>
            <w:r>
              <w:rPr>
                <w:rFonts w:ascii="黑体" w:eastAsia="黑体" w:hint="eastAsia"/>
                <w:b/>
                <w:sz w:val="21"/>
              </w:rPr>
              <w:t>重大疾病分组</w:t>
            </w:r>
          </w:p>
        </w:tc>
        <w:tc>
          <w:tcPr>
            <w:tcW w:w="6858" w:type="dxa"/>
          </w:tcPr>
          <w:p>
            <w:pPr>
              <w:pStyle w:val="TableParagraph"/>
              <w:spacing w:before="142"/>
              <w:ind w:left="201"/>
              <w:rPr>
                <w:sz w:val="21"/>
              </w:rPr>
            </w:pPr>
            <w:r>
              <w:rPr>
                <w:sz w:val="21"/>
              </w:rPr>
              <w:t>本附加合同所保障的31种重大疾病分为以下三组。</w:t>
            </w:r>
          </w:p>
          <w:p>
            <w:pPr>
              <w:pStyle w:val="TableParagraph"/>
              <w:spacing w:before="8"/>
              <w:rPr>
                <w:sz w:val="26"/>
              </w:rPr>
            </w:pPr>
          </w:p>
          <w:p>
            <w:pPr>
              <w:pStyle w:val="TableParagraph"/>
              <w:spacing w:before="0"/>
              <w:ind w:left="201"/>
              <w:rPr>
                <w:sz w:val="21"/>
              </w:rPr>
            </w:pPr>
            <w:r>
              <w:rPr>
                <w:b/>
                <w:sz w:val="21"/>
              </w:rPr>
              <w:t>A组重大疾病</w:t>
            </w:r>
            <w:r>
              <w:rPr>
                <w:sz w:val="21"/>
              </w:rPr>
              <w:t>（见释义6.4）：</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恶性肿瘤；</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重大器官移植术或造血干细胞移植术；</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终末期肾病；</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急性或亚急性重症肝炎；</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慢性肝功能衰竭失代偿期；</w:t>
            </w:r>
          </w:p>
          <w:p>
            <w:pPr>
              <w:pStyle w:val="TableParagraph"/>
              <w:numPr>
                <w:ilvl w:val="0"/>
                <w:numId w:val="6"/>
              </w:numPr>
              <w:tabs>
                <w:tab w:pos="518" w:val="left" w:leader="none"/>
              </w:tabs>
              <w:spacing w:line="240" w:lineRule="auto" w:before="37" w:after="0"/>
              <w:ind w:left="517" w:right="0" w:hanging="316"/>
              <w:jc w:val="left"/>
              <w:rPr>
                <w:sz w:val="21"/>
              </w:rPr>
            </w:pPr>
            <w:r>
              <w:rPr>
                <w:spacing w:val="-2"/>
                <w:sz w:val="21"/>
              </w:rPr>
              <w:t>严重</w:t>
            </w:r>
            <w:r>
              <w:rPr>
                <w:spacing w:val="-1"/>
                <w:sz w:val="21"/>
              </w:rPr>
              <w:t>III</w:t>
            </w:r>
            <w:r>
              <w:rPr>
                <w:spacing w:val="-2"/>
                <w:sz w:val="21"/>
              </w:rPr>
              <w:t>度烧伤；</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重型再生障碍性贫血；</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慢性呼吸衰竭；</w:t>
            </w:r>
          </w:p>
          <w:p>
            <w:pPr>
              <w:pStyle w:val="TableParagraph"/>
              <w:numPr>
                <w:ilvl w:val="0"/>
                <w:numId w:val="6"/>
              </w:numPr>
              <w:tabs>
                <w:tab w:pos="518" w:val="left" w:leader="none"/>
              </w:tabs>
              <w:spacing w:line="240" w:lineRule="auto" w:before="37" w:after="0"/>
              <w:ind w:left="517" w:right="0" w:hanging="316"/>
              <w:jc w:val="left"/>
              <w:rPr>
                <w:sz w:val="21"/>
              </w:rPr>
            </w:pPr>
            <w:r>
              <w:rPr>
                <w:spacing w:val="-3"/>
                <w:sz w:val="21"/>
              </w:rPr>
              <w:t>经输血导致的人类免疫缺陷病毒感染；</w:t>
            </w:r>
          </w:p>
          <w:p>
            <w:pPr>
              <w:pStyle w:val="TableParagraph"/>
              <w:numPr>
                <w:ilvl w:val="0"/>
                <w:numId w:val="6"/>
              </w:numPr>
              <w:tabs>
                <w:tab w:pos="624" w:val="left" w:leader="none"/>
              </w:tabs>
              <w:spacing w:line="240" w:lineRule="auto" w:before="37" w:after="0"/>
              <w:ind w:left="623" w:right="0" w:hanging="422"/>
              <w:jc w:val="left"/>
              <w:rPr>
                <w:sz w:val="21"/>
              </w:rPr>
            </w:pPr>
            <w:r>
              <w:rPr>
                <w:spacing w:val="-3"/>
                <w:sz w:val="21"/>
              </w:rPr>
              <w:t>急性坏死性胰腺炎；</w:t>
            </w:r>
          </w:p>
          <w:p>
            <w:pPr>
              <w:pStyle w:val="TableParagraph"/>
              <w:numPr>
                <w:ilvl w:val="0"/>
                <w:numId w:val="6"/>
              </w:numPr>
              <w:tabs>
                <w:tab w:pos="624" w:val="left" w:leader="none"/>
              </w:tabs>
              <w:spacing w:line="240" w:lineRule="auto" w:before="37" w:after="0"/>
              <w:ind w:left="623" w:right="0" w:hanging="422"/>
              <w:jc w:val="left"/>
              <w:rPr>
                <w:sz w:val="21"/>
              </w:rPr>
            </w:pPr>
            <w:r>
              <w:rPr>
                <w:spacing w:val="-3"/>
                <w:sz w:val="21"/>
              </w:rPr>
              <w:t>系统性红斑狼疮</w:t>
            </w:r>
            <w:r>
              <w:rPr>
                <w:sz w:val="21"/>
              </w:rPr>
              <w:t>-III</w:t>
            </w:r>
            <w:r>
              <w:rPr>
                <w:spacing w:val="-3"/>
                <w:sz w:val="21"/>
              </w:rPr>
              <w:t>型或以上狼疮性肾炎</w:t>
            </w:r>
          </w:p>
          <w:p>
            <w:pPr>
              <w:pStyle w:val="TableParagraph"/>
              <w:spacing w:before="8"/>
              <w:rPr>
                <w:sz w:val="26"/>
              </w:rPr>
            </w:pPr>
          </w:p>
          <w:p>
            <w:pPr>
              <w:pStyle w:val="TableParagraph"/>
              <w:spacing w:before="0"/>
              <w:ind w:left="201"/>
              <w:rPr>
                <w:sz w:val="21"/>
              </w:rPr>
            </w:pPr>
            <w:r>
              <w:rPr>
                <w:b/>
                <w:sz w:val="21"/>
              </w:rPr>
              <w:t>B组重大疾病</w:t>
            </w:r>
            <w:r>
              <w:rPr>
                <w:sz w:val="21"/>
              </w:rPr>
              <w:t>（见释义6.5）：</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脑中风后遗症；</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多个肢体缺失；</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良性脑肿瘤；</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脑炎后遗症或脑膜炎后遗症；</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双耳失聪；</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双目失明；</w:t>
            </w:r>
          </w:p>
          <w:p>
            <w:pPr>
              <w:pStyle w:val="TableParagraph"/>
              <w:numPr>
                <w:ilvl w:val="0"/>
                <w:numId w:val="7"/>
              </w:numPr>
              <w:tabs>
                <w:tab w:pos="518" w:val="left" w:leader="none"/>
              </w:tabs>
              <w:spacing w:line="240" w:lineRule="auto" w:before="37" w:after="0"/>
              <w:ind w:left="517" w:right="0" w:hanging="316"/>
              <w:jc w:val="left"/>
              <w:rPr>
                <w:sz w:val="21"/>
              </w:rPr>
            </w:pPr>
            <w:r>
              <w:rPr>
                <w:spacing w:val="-2"/>
                <w:sz w:val="21"/>
              </w:rPr>
              <w:t>瘫痪；</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严重阿尔茨海默病；</w:t>
            </w:r>
          </w:p>
          <w:p>
            <w:pPr>
              <w:pStyle w:val="TableParagraph"/>
              <w:numPr>
                <w:ilvl w:val="0"/>
                <w:numId w:val="7"/>
              </w:numPr>
              <w:tabs>
                <w:tab w:pos="518" w:val="left" w:leader="none"/>
              </w:tabs>
              <w:spacing w:line="240" w:lineRule="auto" w:before="37" w:after="0"/>
              <w:ind w:left="517" w:right="0" w:hanging="316"/>
              <w:jc w:val="left"/>
              <w:rPr>
                <w:sz w:val="21"/>
              </w:rPr>
            </w:pPr>
            <w:r>
              <w:rPr>
                <w:spacing w:val="-3"/>
                <w:sz w:val="21"/>
              </w:rPr>
              <w:t>严重脑损伤；</w:t>
            </w:r>
          </w:p>
          <w:p>
            <w:pPr>
              <w:pStyle w:val="TableParagraph"/>
              <w:numPr>
                <w:ilvl w:val="0"/>
                <w:numId w:val="7"/>
              </w:numPr>
              <w:tabs>
                <w:tab w:pos="624" w:val="left" w:leader="none"/>
              </w:tabs>
              <w:spacing w:line="240" w:lineRule="auto" w:before="37" w:after="0"/>
              <w:ind w:left="623" w:right="0" w:hanging="422"/>
              <w:jc w:val="left"/>
              <w:rPr>
                <w:sz w:val="21"/>
              </w:rPr>
            </w:pPr>
            <w:r>
              <w:rPr>
                <w:spacing w:val="-3"/>
                <w:sz w:val="21"/>
              </w:rPr>
              <w:t>严重帕金森病；</w:t>
            </w:r>
          </w:p>
          <w:p>
            <w:pPr>
              <w:pStyle w:val="TableParagraph"/>
              <w:numPr>
                <w:ilvl w:val="0"/>
                <w:numId w:val="7"/>
              </w:numPr>
              <w:tabs>
                <w:tab w:pos="624" w:val="left" w:leader="none"/>
              </w:tabs>
              <w:spacing w:line="255" w:lineRule="exact" w:before="37" w:after="0"/>
              <w:ind w:left="623" w:right="0" w:hanging="422"/>
              <w:jc w:val="left"/>
              <w:rPr>
                <w:sz w:val="21"/>
              </w:rPr>
            </w:pPr>
            <w:r>
              <w:rPr>
                <w:spacing w:val="-3"/>
                <w:sz w:val="21"/>
              </w:rPr>
              <w:t>严重运动神经元病；</w:t>
            </w:r>
          </w:p>
        </w:tc>
      </w:tr>
    </w:tbl>
    <w:p>
      <w:pPr>
        <w:spacing w:after="0" w:line="255" w:lineRule="exact"/>
        <w:jc w:val="left"/>
        <w:rPr>
          <w:sz w:val="21"/>
        </w:rPr>
        <w:sectPr>
          <w:pgSz w:w="11910" w:h="16840"/>
          <w:pgMar w:header="0" w:footer="912" w:top="1160" w:bottom="1100" w:left="860" w:right="1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877"/>
        <w:gridCol w:w="6950"/>
      </w:tblGrid>
      <w:tr>
        <w:trPr>
          <w:trHeight w:val="3537" w:hRule="atLeast"/>
        </w:trPr>
        <w:tc>
          <w:tcPr>
            <w:tcW w:w="820" w:type="dxa"/>
          </w:tcPr>
          <w:p>
            <w:pPr>
              <w:pStyle w:val="TableParagraph"/>
              <w:spacing w:before="0"/>
              <w:rPr>
                <w:rFonts w:ascii="Times New Roman"/>
                <w:sz w:val="20"/>
              </w:rPr>
            </w:pPr>
          </w:p>
        </w:tc>
        <w:tc>
          <w:tcPr>
            <w:tcW w:w="1877" w:type="dxa"/>
          </w:tcPr>
          <w:p>
            <w:pPr>
              <w:pStyle w:val="TableParagraph"/>
              <w:spacing w:before="0"/>
              <w:rPr>
                <w:rFonts w:ascii="Times New Roman"/>
                <w:sz w:val="20"/>
              </w:rPr>
            </w:pPr>
          </w:p>
        </w:tc>
        <w:tc>
          <w:tcPr>
            <w:tcW w:w="6950" w:type="dxa"/>
          </w:tcPr>
          <w:p>
            <w:pPr>
              <w:pStyle w:val="TableParagraph"/>
              <w:numPr>
                <w:ilvl w:val="0"/>
                <w:numId w:val="8"/>
              </w:numPr>
              <w:tabs>
                <w:tab w:pos="519" w:val="left" w:leader="none"/>
              </w:tabs>
              <w:spacing w:line="211" w:lineRule="exact" w:before="0" w:after="0"/>
              <w:ind w:left="518" w:right="0" w:hanging="422"/>
              <w:jc w:val="left"/>
              <w:rPr>
                <w:sz w:val="21"/>
              </w:rPr>
            </w:pPr>
            <w:r>
              <w:rPr>
                <w:spacing w:val="-3"/>
                <w:sz w:val="21"/>
              </w:rPr>
              <w:t>语言能力丧失；</w:t>
            </w:r>
          </w:p>
          <w:p>
            <w:pPr>
              <w:pStyle w:val="TableParagraph"/>
              <w:numPr>
                <w:ilvl w:val="0"/>
                <w:numId w:val="8"/>
              </w:numPr>
              <w:tabs>
                <w:tab w:pos="519" w:val="left" w:leader="none"/>
              </w:tabs>
              <w:spacing w:line="240" w:lineRule="auto" w:before="37" w:after="0"/>
              <w:ind w:left="518" w:right="0" w:hanging="422"/>
              <w:jc w:val="left"/>
              <w:rPr>
                <w:sz w:val="21"/>
              </w:rPr>
            </w:pPr>
            <w:r>
              <w:rPr>
                <w:spacing w:val="-3"/>
                <w:sz w:val="21"/>
              </w:rPr>
              <w:t>严重多发性硬化；</w:t>
            </w:r>
          </w:p>
          <w:p>
            <w:pPr>
              <w:pStyle w:val="TableParagraph"/>
              <w:spacing w:before="9"/>
              <w:rPr>
                <w:sz w:val="26"/>
              </w:rPr>
            </w:pPr>
          </w:p>
          <w:p>
            <w:pPr>
              <w:pStyle w:val="TableParagraph"/>
              <w:spacing w:before="0"/>
              <w:ind w:left="96"/>
              <w:rPr>
                <w:sz w:val="21"/>
              </w:rPr>
            </w:pPr>
            <w:r>
              <w:rPr>
                <w:b/>
                <w:sz w:val="21"/>
              </w:rPr>
              <w:t>C组重大疾病</w:t>
            </w:r>
            <w:r>
              <w:rPr>
                <w:sz w:val="21"/>
              </w:rPr>
              <w:t>（见释义6.6）：</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急性心肌梗塞；</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冠状动脉搭桥术；</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心脏瓣膜手术；</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严重原发性肺动脉高压；</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主动脉手术；</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严重冠心病；</w:t>
            </w:r>
          </w:p>
          <w:p>
            <w:pPr>
              <w:pStyle w:val="TableParagraph"/>
              <w:numPr>
                <w:ilvl w:val="0"/>
                <w:numId w:val="9"/>
              </w:numPr>
              <w:tabs>
                <w:tab w:pos="413" w:val="left" w:leader="none"/>
              </w:tabs>
              <w:spacing w:line="240" w:lineRule="auto" w:before="37" w:after="0"/>
              <w:ind w:left="412" w:right="0" w:hanging="316"/>
              <w:jc w:val="left"/>
              <w:rPr>
                <w:sz w:val="21"/>
              </w:rPr>
            </w:pPr>
            <w:r>
              <w:rPr>
                <w:spacing w:val="-3"/>
                <w:sz w:val="21"/>
              </w:rPr>
              <w:t>严重心肌病；</w:t>
            </w:r>
          </w:p>
        </w:tc>
      </w:tr>
      <w:tr>
        <w:trPr>
          <w:trHeight w:val="2184" w:hRule="atLeast"/>
        </w:trPr>
        <w:tc>
          <w:tcPr>
            <w:tcW w:w="820" w:type="dxa"/>
          </w:tcPr>
          <w:p>
            <w:pPr>
              <w:pStyle w:val="TableParagraph"/>
              <w:spacing w:before="0"/>
              <w:rPr>
                <w:rFonts w:ascii="Times New Roman"/>
                <w:sz w:val="20"/>
              </w:rPr>
            </w:pPr>
          </w:p>
        </w:tc>
        <w:tc>
          <w:tcPr>
            <w:tcW w:w="1877" w:type="dxa"/>
          </w:tcPr>
          <w:p>
            <w:pPr>
              <w:pStyle w:val="TableParagraph"/>
              <w:spacing w:before="142"/>
              <w:ind w:left="302"/>
              <w:rPr>
                <w:rFonts w:ascii="黑体" w:eastAsia="黑体" w:hint="eastAsia"/>
                <w:b/>
                <w:sz w:val="21"/>
              </w:rPr>
            </w:pPr>
            <w:r>
              <w:rPr>
                <w:rFonts w:ascii="黑体" w:eastAsia="黑体" w:hint="eastAsia"/>
                <w:b/>
                <w:sz w:val="21"/>
              </w:rPr>
              <w:t>等待期</w:t>
            </w:r>
          </w:p>
        </w:tc>
        <w:tc>
          <w:tcPr>
            <w:tcW w:w="6950" w:type="dxa"/>
          </w:tcPr>
          <w:p>
            <w:pPr>
              <w:pStyle w:val="TableParagraph"/>
              <w:spacing w:line="273" w:lineRule="auto" w:before="142"/>
              <w:ind w:left="96" w:right="198"/>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4"/>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Th本</w:t>
            </w:r>
            <w:r>
              <w:rPr>
                <w:rFonts w:ascii="黑体" w:eastAsia="黑体" w:hint="eastAsia"/>
                <w:spacing w:val="-3"/>
                <w:sz w:val="21"/>
              </w:rPr>
              <w:t>附加合同所定义的任何一个组别内的重大疾病，我们将无息返还您所交</w:t>
            </w:r>
            <w:r>
              <w:rPr>
                <w:rFonts w:ascii="黑体" w:eastAsia="黑体" w:hint="eastAsia"/>
                <w:spacing w:val="-10"/>
                <w:sz w:val="21"/>
              </w:rPr>
              <w:t>的本附加合同的保险费，本附加合同终止。这 </w:t>
            </w:r>
            <w:r>
              <w:rPr>
                <w:rFonts w:ascii="黑体" w:eastAsia="黑体" w:hint="eastAsia"/>
                <w:sz w:val="21"/>
              </w:rPr>
              <w:t>180</w:t>
            </w:r>
            <w:r>
              <w:rPr>
                <w:rFonts w:ascii="黑体" w:eastAsia="黑体" w:hint="eastAsia"/>
                <w:spacing w:val="-8"/>
                <w:sz w:val="21"/>
              </w:rPr>
              <w:t> 天的时间称为等待期； </w:t>
            </w:r>
            <w:r>
              <w:rPr>
                <w:rFonts w:ascii="黑体" w:eastAsia="黑体" w:hint="eastAsia"/>
                <w:spacing w:val="-6"/>
                <w:sz w:val="21"/>
              </w:rPr>
              <w:t>被保险人因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1"/>
                <w:sz w:val="21"/>
              </w:rPr>
              <w:t>见释义 </w:t>
            </w:r>
            <w:r>
              <w:rPr>
                <w:rFonts w:ascii="黑体" w:eastAsia="黑体" w:hint="eastAsia"/>
                <w:sz w:val="21"/>
              </w:rPr>
              <w:t>6.7）</w:t>
            </w:r>
            <w:r>
              <w:rPr>
                <w:rFonts w:ascii="黑体" w:eastAsia="黑体" w:hint="eastAsia"/>
                <w:spacing w:val="-3"/>
                <w:sz w:val="21"/>
              </w:rPr>
              <w:t>导致本附加合同定义的重大疾病， 无等待期。</w:t>
            </w:r>
          </w:p>
          <w:p>
            <w:pPr>
              <w:pStyle w:val="TableParagraph"/>
              <w:spacing w:before="7"/>
              <w:ind w:left="96"/>
              <w:rPr>
                <w:rFonts w:ascii="黑体" w:eastAsia="黑体" w:hint="eastAsia"/>
                <w:sz w:val="21"/>
              </w:rPr>
            </w:pPr>
            <w:r>
              <w:rPr>
                <w:rFonts w:ascii="黑体" w:eastAsia="黑体" w:hint="eastAsia"/>
                <w:sz w:val="21"/>
              </w:rPr>
              <w:t>等待期后发Th保险事故，我们按照下列方式给付保险金：</w:t>
            </w:r>
          </w:p>
        </w:tc>
      </w:tr>
      <w:tr>
        <w:trPr>
          <w:trHeight w:val="3120" w:hRule="atLeast"/>
        </w:trPr>
        <w:tc>
          <w:tcPr>
            <w:tcW w:w="820" w:type="dxa"/>
          </w:tcPr>
          <w:p>
            <w:pPr>
              <w:pStyle w:val="TableParagraph"/>
              <w:spacing w:before="0"/>
              <w:rPr>
                <w:rFonts w:ascii="Times New Roman"/>
                <w:sz w:val="20"/>
              </w:rPr>
            </w:pPr>
          </w:p>
        </w:tc>
        <w:tc>
          <w:tcPr>
            <w:tcW w:w="1877" w:type="dxa"/>
          </w:tcPr>
          <w:p>
            <w:pPr>
              <w:pStyle w:val="TableParagraph"/>
              <w:spacing w:line="273" w:lineRule="auto" w:before="142"/>
              <w:ind w:left="302" w:right="305"/>
              <w:rPr>
                <w:rFonts w:ascii="黑体" w:eastAsia="黑体" w:hint="eastAsia"/>
                <w:b/>
                <w:sz w:val="21"/>
              </w:rPr>
            </w:pPr>
            <w:r>
              <w:rPr>
                <w:rFonts w:ascii="黑体" w:eastAsia="黑体" w:hint="eastAsia"/>
                <w:b/>
                <w:sz w:val="21"/>
              </w:rPr>
              <w:t>首次重大疾病保险金</w:t>
            </w:r>
          </w:p>
        </w:tc>
        <w:tc>
          <w:tcPr>
            <w:tcW w:w="6950" w:type="dxa"/>
          </w:tcPr>
          <w:p>
            <w:pPr>
              <w:pStyle w:val="TableParagraph"/>
              <w:spacing w:line="273" w:lineRule="auto" w:before="142"/>
              <w:ind w:left="96" w:right="298"/>
              <w:jc w:val="both"/>
              <w:rPr>
                <w:sz w:val="21"/>
              </w:rPr>
            </w:pPr>
            <w:r>
              <w:rPr>
                <w:spacing w:val="-3"/>
                <w:sz w:val="21"/>
              </w:rPr>
              <w:t>被保险人初次发生且经</w:t>
            </w:r>
            <w:r>
              <w:rPr>
                <w:b/>
                <w:spacing w:val="-9"/>
                <w:sz w:val="21"/>
              </w:rPr>
              <w:t>专科医生</w:t>
            </w:r>
            <w:r>
              <w:rPr>
                <w:sz w:val="21"/>
              </w:rPr>
              <w:t>（</w:t>
            </w:r>
            <w:r>
              <w:rPr>
                <w:spacing w:val="-3"/>
                <w:sz w:val="21"/>
              </w:rPr>
              <w:t>见释义</w:t>
            </w:r>
            <w:r>
              <w:rPr>
                <w:spacing w:val="-10"/>
                <w:sz w:val="21"/>
              </w:rPr>
              <w:t>6.8）</w:t>
            </w:r>
            <w:r>
              <w:rPr>
                <w:spacing w:val="-3"/>
                <w:sz w:val="21"/>
              </w:rPr>
              <w:t>明确诊断患本附加合同所定义的三组重大疾病中的任何一组中所包含的重大疾病，我们按照确诊时本附加合同的保险金额给付首次重大疾病保险金。本组重大疾病保险责任终止，本附加合同其余两组重大疾病保险责任继续有效，同时本附加合同的现金价值减少为零。</w:t>
            </w:r>
          </w:p>
          <w:p>
            <w:pPr>
              <w:pStyle w:val="TableParagraph"/>
              <w:spacing w:line="273" w:lineRule="auto" w:before="7"/>
              <w:ind w:left="96" w:right="335"/>
              <w:jc w:val="both"/>
              <w:rPr>
                <w:rFonts w:ascii="黑体" w:eastAsia="黑体" w:hint="eastAsia"/>
                <w:sz w:val="21"/>
              </w:rPr>
            </w:pPr>
            <w:r>
              <w:rPr>
                <w:rFonts w:ascii="黑体" w:eastAsia="黑体" w:hint="eastAsia"/>
                <w:sz w:val="21"/>
              </w:rPr>
              <w:t>我们给付首次重大疾病保险金后，主合同的基本保险金额会相应减少， 但本附加合同的基本保险金额不变。主合同减少的基本保险金额等于本附加合同的基本保险金额，主合同约定的各项保险金额及现金价值按减少后的主合同基本保险金额确定。</w:t>
            </w:r>
          </w:p>
        </w:tc>
      </w:tr>
      <w:tr>
        <w:trPr>
          <w:trHeight w:val="1248" w:hRule="atLeast"/>
        </w:trPr>
        <w:tc>
          <w:tcPr>
            <w:tcW w:w="820" w:type="dxa"/>
          </w:tcPr>
          <w:p>
            <w:pPr>
              <w:pStyle w:val="TableParagraph"/>
              <w:spacing w:before="0"/>
              <w:rPr>
                <w:rFonts w:ascii="Times New Roman"/>
                <w:sz w:val="20"/>
              </w:rPr>
            </w:pPr>
          </w:p>
        </w:tc>
        <w:tc>
          <w:tcPr>
            <w:tcW w:w="1877" w:type="dxa"/>
          </w:tcPr>
          <w:p>
            <w:pPr>
              <w:pStyle w:val="TableParagraph"/>
              <w:spacing w:before="142"/>
              <w:ind w:left="302"/>
              <w:rPr>
                <w:rFonts w:ascii="黑体" w:eastAsia="黑体" w:hint="eastAsia"/>
                <w:b/>
                <w:sz w:val="21"/>
              </w:rPr>
            </w:pPr>
            <w:r>
              <w:rPr>
                <w:rFonts w:ascii="黑体" w:eastAsia="黑体" w:hint="eastAsia"/>
                <w:b/>
                <w:sz w:val="21"/>
              </w:rPr>
              <w:t>保费豁免</w:t>
            </w:r>
          </w:p>
        </w:tc>
        <w:tc>
          <w:tcPr>
            <w:tcW w:w="6950" w:type="dxa"/>
          </w:tcPr>
          <w:p>
            <w:pPr>
              <w:pStyle w:val="TableParagraph"/>
              <w:spacing w:line="273" w:lineRule="auto" w:before="142"/>
              <w:ind w:left="96" w:right="335"/>
              <w:jc w:val="both"/>
              <w:rPr>
                <w:sz w:val="21"/>
              </w:rPr>
            </w:pPr>
            <w:r>
              <w:rPr>
                <w:sz w:val="21"/>
              </w:rPr>
              <w:t>我们将在给付首次重大疾病保险金后豁免主合同和本附加合同自首次重大疾病确诊之日以后的各期保险费，并将不再受理主合同和本附加合同的退保以及减保申请。</w:t>
            </w:r>
          </w:p>
        </w:tc>
      </w:tr>
      <w:tr>
        <w:trPr>
          <w:trHeight w:val="1872" w:hRule="atLeast"/>
        </w:trPr>
        <w:tc>
          <w:tcPr>
            <w:tcW w:w="820" w:type="dxa"/>
          </w:tcPr>
          <w:p>
            <w:pPr>
              <w:pStyle w:val="TableParagraph"/>
              <w:spacing w:before="0"/>
              <w:rPr>
                <w:rFonts w:ascii="Times New Roman"/>
                <w:sz w:val="20"/>
              </w:rPr>
            </w:pPr>
          </w:p>
        </w:tc>
        <w:tc>
          <w:tcPr>
            <w:tcW w:w="1877" w:type="dxa"/>
          </w:tcPr>
          <w:p>
            <w:pPr>
              <w:pStyle w:val="TableParagraph"/>
              <w:spacing w:line="273" w:lineRule="auto" w:before="142"/>
              <w:ind w:left="302" w:right="305"/>
              <w:rPr>
                <w:rFonts w:ascii="黑体" w:eastAsia="黑体" w:hint="eastAsia"/>
                <w:b/>
                <w:sz w:val="21"/>
              </w:rPr>
            </w:pPr>
            <w:r>
              <w:rPr>
                <w:rFonts w:ascii="黑体" w:eastAsia="黑体" w:hint="eastAsia"/>
                <w:b/>
                <w:sz w:val="21"/>
              </w:rPr>
              <w:t>第二次重大疾病保险金</w:t>
            </w:r>
          </w:p>
        </w:tc>
        <w:tc>
          <w:tcPr>
            <w:tcW w:w="6950" w:type="dxa"/>
          </w:tcPr>
          <w:p>
            <w:pPr>
              <w:pStyle w:val="TableParagraph"/>
              <w:spacing w:line="273" w:lineRule="auto" w:before="142"/>
              <w:ind w:left="96" w:right="299"/>
              <w:jc w:val="both"/>
              <w:rPr>
                <w:sz w:val="21"/>
              </w:rPr>
            </w:pPr>
            <w:r>
              <w:rPr>
                <w:spacing w:val="-3"/>
                <w:sz w:val="21"/>
              </w:rPr>
              <w:t>若被保险人已领取首次重大疾病保险金并且自首次重大疾病确诊之日起满365</w:t>
            </w:r>
            <w:r>
              <w:rPr>
                <w:spacing w:val="-10"/>
                <w:sz w:val="21"/>
              </w:rPr>
              <w:t>天后，初次确诊患首次重大疾病所属组别以外其他两组中的任何一</w:t>
            </w:r>
            <w:r>
              <w:rPr>
                <w:spacing w:val="-5"/>
                <w:sz w:val="21"/>
              </w:rPr>
              <w:t>种重大疾病，并且自确诊之日起</w:t>
            </w:r>
            <w:r>
              <w:rPr>
                <w:sz w:val="21"/>
              </w:rPr>
              <w:t>30</w:t>
            </w:r>
            <w:r>
              <w:rPr>
                <w:spacing w:val="-3"/>
                <w:sz w:val="21"/>
              </w:rPr>
              <w:t>天后仍生存的，我们将按照确诊时本附加合同的保险金额给付第二次重大疾病保险金，本组重大疾病保险责任终止，本附加合同剩余一组重大疾病保险责任继续有效。</w:t>
            </w:r>
          </w:p>
        </w:tc>
      </w:tr>
      <w:tr>
        <w:trPr>
          <w:trHeight w:val="1871" w:hRule="atLeast"/>
        </w:trPr>
        <w:tc>
          <w:tcPr>
            <w:tcW w:w="820" w:type="dxa"/>
          </w:tcPr>
          <w:p>
            <w:pPr>
              <w:pStyle w:val="TableParagraph"/>
              <w:spacing w:before="0"/>
              <w:rPr>
                <w:rFonts w:ascii="Times New Roman"/>
                <w:sz w:val="20"/>
              </w:rPr>
            </w:pPr>
          </w:p>
        </w:tc>
        <w:tc>
          <w:tcPr>
            <w:tcW w:w="1877" w:type="dxa"/>
          </w:tcPr>
          <w:p>
            <w:pPr>
              <w:pStyle w:val="TableParagraph"/>
              <w:spacing w:line="273" w:lineRule="auto" w:before="142"/>
              <w:ind w:left="302" w:right="305"/>
              <w:rPr>
                <w:rFonts w:ascii="黑体" w:eastAsia="黑体" w:hint="eastAsia"/>
                <w:b/>
                <w:sz w:val="21"/>
              </w:rPr>
            </w:pPr>
            <w:r>
              <w:rPr>
                <w:rFonts w:ascii="黑体" w:eastAsia="黑体" w:hint="eastAsia"/>
                <w:b/>
                <w:sz w:val="21"/>
              </w:rPr>
              <w:t>第三次重大疾病保险金</w:t>
            </w:r>
          </w:p>
        </w:tc>
        <w:tc>
          <w:tcPr>
            <w:tcW w:w="6950" w:type="dxa"/>
          </w:tcPr>
          <w:p>
            <w:pPr>
              <w:pStyle w:val="TableParagraph"/>
              <w:spacing w:line="273" w:lineRule="auto" w:before="142"/>
              <w:ind w:left="96" w:right="299"/>
              <w:jc w:val="both"/>
              <w:rPr>
                <w:sz w:val="21"/>
              </w:rPr>
            </w:pPr>
            <w:r>
              <w:rPr>
                <w:spacing w:val="-3"/>
                <w:sz w:val="21"/>
              </w:rPr>
              <w:t>若被保险人已领取首次和第二次重大疾病保险金并且自第二次重大疾病确诊之日起满</w:t>
            </w:r>
            <w:r>
              <w:rPr>
                <w:sz w:val="21"/>
              </w:rPr>
              <w:t>365</w:t>
            </w:r>
            <w:r>
              <w:rPr>
                <w:spacing w:val="-10"/>
                <w:sz w:val="21"/>
              </w:rPr>
              <w:t>天后，初次确诊患重大疾病分组中仍然有效的一组疾病</w:t>
            </w:r>
            <w:r>
              <w:rPr>
                <w:spacing w:val="-5"/>
                <w:sz w:val="21"/>
              </w:rPr>
              <w:t>中的任何一种重大疾病，并且自确诊之日起</w:t>
            </w:r>
            <w:r>
              <w:rPr>
                <w:sz w:val="21"/>
              </w:rPr>
              <w:t>30</w:t>
            </w:r>
            <w:r>
              <w:rPr>
                <w:spacing w:val="-3"/>
                <w:sz w:val="21"/>
              </w:rPr>
              <w:t>天后仍生存的，我们将按照确诊时本附加合同的保险金额给付第三次重大疾病保险金。本附加合同终止。</w:t>
            </w:r>
          </w:p>
        </w:tc>
      </w:tr>
      <w:tr>
        <w:trPr>
          <w:trHeight w:val="417" w:hRule="atLeast"/>
        </w:trPr>
        <w:tc>
          <w:tcPr>
            <w:tcW w:w="820" w:type="dxa"/>
          </w:tcPr>
          <w:p>
            <w:pPr>
              <w:pStyle w:val="TableParagraph"/>
              <w:spacing w:line="255" w:lineRule="exact" w:before="142"/>
              <w:ind w:left="200"/>
              <w:rPr>
                <w:b/>
                <w:sz w:val="21"/>
              </w:rPr>
            </w:pPr>
            <w:r>
              <w:rPr>
                <w:b/>
                <w:sz w:val="21"/>
              </w:rPr>
              <w:t>2.4</w:t>
            </w:r>
          </w:p>
        </w:tc>
        <w:tc>
          <w:tcPr>
            <w:tcW w:w="1877" w:type="dxa"/>
          </w:tcPr>
          <w:p>
            <w:pPr>
              <w:pStyle w:val="TableParagraph"/>
              <w:spacing w:line="255" w:lineRule="exact" w:before="142"/>
              <w:ind w:left="302"/>
              <w:rPr>
                <w:rFonts w:ascii="黑体" w:eastAsia="黑体" w:hint="eastAsia"/>
                <w:b/>
                <w:sz w:val="21"/>
              </w:rPr>
            </w:pPr>
            <w:r>
              <w:rPr>
                <w:rFonts w:ascii="黑体" w:eastAsia="黑体" w:hint="eastAsia"/>
                <w:b/>
                <w:sz w:val="21"/>
              </w:rPr>
              <w:t>保险责任的免除</w:t>
            </w:r>
          </w:p>
        </w:tc>
        <w:tc>
          <w:tcPr>
            <w:tcW w:w="6950" w:type="dxa"/>
          </w:tcPr>
          <w:p>
            <w:pPr>
              <w:pStyle w:val="TableParagraph"/>
              <w:spacing w:line="255" w:lineRule="exact" w:before="142"/>
              <w:ind w:left="96"/>
              <w:rPr>
                <w:rFonts w:ascii="黑体" w:eastAsia="黑体" w:hint="eastAsia"/>
                <w:sz w:val="21"/>
              </w:rPr>
            </w:pPr>
            <w:r>
              <w:rPr>
                <w:rFonts w:ascii="黑体" w:eastAsia="黑体" w:hint="eastAsia"/>
                <w:sz w:val="21"/>
              </w:rPr>
              <w:t>因下列情形之一，导致被保险人发Th本附加合同所定义的重大疾病，本</w:t>
            </w:r>
          </w:p>
        </w:tc>
      </w:tr>
    </w:tbl>
    <w:p>
      <w:pPr>
        <w:spacing w:after="0" w:line="255" w:lineRule="exact"/>
        <w:rPr>
          <w:rFonts w:ascii="黑体" w:eastAsia="黑体" w:hint="eastAsia"/>
          <w:sz w:val="21"/>
        </w:rPr>
        <w:sectPr>
          <w:pgSz w:w="11910" w:h="16840"/>
          <w:pgMar w:header="0" w:footer="912" w:top="1160" w:bottom="1100" w:left="760" w:right="12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722" w:hRule="atLeast"/>
        </w:trPr>
        <w:tc>
          <w:tcPr>
            <w:tcW w:w="748" w:type="dxa"/>
          </w:tcPr>
          <w:p>
            <w:pPr>
              <w:pStyle w:val="TableParagraph"/>
              <w:spacing w:before="0"/>
              <w:rPr>
                <w:rFonts w:ascii="Times New Roman"/>
                <w:sz w:val="20"/>
              </w:rPr>
            </w:pPr>
          </w:p>
        </w:tc>
        <w:tc>
          <w:tcPr>
            <w:tcW w:w="1857" w:type="dxa"/>
          </w:tcPr>
          <w:p>
            <w:pPr>
              <w:pStyle w:val="TableParagraph"/>
              <w:spacing w:before="0"/>
              <w:rPr>
                <w:rFonts w:ascii="Times New Roman"/>
                <w:sz w:val="20"/>
              </w:rPr>
            </w:pPr>
          </w:p>
        </w:tc>
        <w:tc>
          <w:tcPr>
            <w:tcW w:w="6755" w:type="dxa"/>
          </w:tcPr>
          <w:p>
            <w:pPr>
              <w:pStyle w:val="TableParagraph"/>
              <w:spacing w:line="211" w:lineRule="exact" w:before="0"/>
              <w:ind w:left="96"/>
              <w:rPr>
                <w:rFonts w:ascii="黑体" w:eastAsia="黑体" w:hint="eastAsia"/>
                <w:sz w:val="21"/>
              </w:rPr>
            </w:pPr>
            <w:r>
              <w:rPr>
                <w:rFonts w:ascii="黑体" w:eastAsia="黑体" w:hint="eastAsia"/>
                <w:sz w:val="21"/>
              </w:rPr>
              <w:t>公司不承担保险责任：</w:t>
            </w:r>
          </w:p>
          <w:p>
            <w:pPr>
              <w:pStyle w:val="TableParagraph"/>
              <w:spacing w:before="10"/>
              <w:rPr>
                <w:sz w:val="14"/>
              </w:rPr>
            </w:pPr>
          </w:p>
          <w:p>
            <w:pPr>
              <w:pStyle w:val="TableParagraph"/>
              <w:numPr>
                <w:ilvl w:val="0"/>
                <w:numId w:val="10"/>
              </w:numPr>
              <w:tabs>
                <w:tab w:pos="816" w:val="left" w:leader="none"/>
              </w:tabs>
              <w:spacing w:line="240" w:lineRule="auto" w:before="0" w:after="0"/>
              <w:ind w:left="816"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816" w:val="left" w:leader="none"/>
              </w:tabs>
              <w:spacing w:line="240" w:lineRule="auto" w:before="37" w:after="0"/>
              <w:ind w:left="816"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10"/>
              </w:numPr>
              <w:tabs>
                <w:tab w:pos="816" w:val="left" w:leader="none"/>
              </w:tabs>
              <w:spacing w:line="240" w:lineRule="auto" w:before="37" w:after="0"/>
              <w:ind w:left="816"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6.9</w:t>
            </w:r>
            <w:r>
              <w:rPr>
                <w:rFonts w:ascii="黑体" w:eastAsia="黑体" w:hint="eastAsia"/>
                <w:spacing w:val="-108"/>
                <w:w w:val="100"/>
                <w:sz w:val="21"/>
              </w:rPr>
              <w:t>）；</w:t>
            </w:r>
          </w:p>
          <w:p>
            <w:pPr>
              <w:pStyle w:val="TableParagraph"/>
              <w:numPr>
                <w:ilvl w:val="0"/>
                <w:numId w:val="10"/>
              </w:numPr>
              <w:tabs>
                <w:tab w:pos="816" w:val="left" w:leader="none"/>
              </w:tabs>
              <w:spacing w:line="273" w:lineRule="auto" w:before="37" w:after="0"/>
              <w:ind w:left="816" w:right="106"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16"/>
                <w:sz w:val="21"/>
              </w:rPr>
              <w:t>释义 </w:t>
            </w:r>
            <w:r>
              <w:rPr>
                <w:rFonts w:ascii="黑体" w:eastAsia="黑体" w:hint="eastAsia"/>
                <w:sz w:val="21"/>
              </w:rPr>
              <w:t>6.11）</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6.12）</w:t>
            </w:r>
            <w:r>
              <w:rPr>
                <w:rFonts w:ascii="黑体" w:eastAsia="黑体" w:hint="eastAsia"/>
                <w:spacing w:val="-3"/>
                <w:sz w:val="21"/>
              </w:rPr>
              <w:t>的机动车；</w:t>
            </w:r>
          </w:p>
          <w:p>
            <w:pPr>
              <w:pStyle w:val="TableParagraph"/>
              <w:numPr>
                <w:ilvl w:val="0"/>
                <w:numId w:val="10"/>
              </w:numPr>
              <w:tabs>
                <w:tab w:pos="816" w:val="left" w:leader="none"/>
              </w:tabs>
              <w:spacing w:line="240" w:lineRule="auto" w:before="8" w:after="0"/>
              <w:ind w:left="816"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816" w:val="left" w:leader="none"/>
              </w:tabs>
              <w:spacing w:line="240" w:lineRule="auto" w:before="37" w:after="0"/>
              <w:ind w:left="816"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816" w:val="left" w:leader="none"/>
              </w:tabs>
              <w:spacing w:line="273" w:lineRule="auto" w:before="37" w:after="0"/>
              <w:ind w:left="816" w:right="108"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3</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4</w:t>
            </w:r>
            <w:r>
              <w:rPr>
                <w:rFonts w:ascii="黑体" w:eastAsia="黑体" w:hint="eastAsia"/>
                <w:spacing w:val="-108"/>
                <w:w w:val="100"/>
                <w:sz w:val="21"/>
              </w:rPr>
              <w:t>）；</w:t>
            </w:r>
          </w:p>
          <w:p>
            <w:pPr>
              <w:pStyle w:val="TableParagraph"/>
              <w:numPr>
                <w:ilvl w:val="0"/>
                <w:numId w:val="10"/>
              </w:numPr>
              <w:tabs>
                <w:tab w:pos="816" w:val="left" w:leader="none"/>
              </w:tabs>
              <w:spacing w:line="273" w:lineRule="auto" w:before="8" w:after="0"/>
              <w:ind w:left="816" w:right="106"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spacing w:line="273" w:lineRule="auto" w:before="164"/>
              <w:ind w:left="96" w:right="103"/>
              <w:jc w:val="both"/>
              <w:rPr>
                <w:sz w:val="21"/>
              </w:rPr>
            </w:pPr>
            <w:r>
              <w:rPr>
                <w:spacing w:val="-8"/>
                <w:sz w:val="21"/>
              </w:rPr>
              <w:t>发生上述第</w:t>
            </w:r>
            <w:r>
              <w:rPr>
                <w:spacing w:val="-14"/>
                <w:sz w:val="21"/>
              </w:rPr>
              <w:t>（1）</w:t>
            </w:r>
            <w:r>
              <w:rPr>
                <w:spacing w:val="-3"/>
                <w:sz w:val="21"/>
              </w:rPr>
              <w:t>项情形导致被保险人发生本附加合同所定义的重大疾病</w:t>
            </w:r>
            <w:r>
              <w:rPr>
                <w:spacing w:val="-5"/>
                <w:sz w:val="21"/>
              </w:rPr>
              <w:t>的，本附加合同终止，您已交足 </w:t>
            </w:r>
            <w:r>
              <w:rPr>
                <w:sz w:val="21"/>
              </w:rPr>
              <w:t>2</w:t>
            </w:r>
            <w:r>
              <w:rPr>
                <w:spacing w:val="-5"/>
                <w:sz w:val="21"/>
              </w:rPr>
              <w:t> 年以上保险费的，我们向其他权利人</w:t>
            </w:r>
            <w:r>
              <w:rPr>
                <w:spacing w:val="-3"/>
                <w:sz w:val="21"/>
              </w:rPr>
              <w:t>退还保险单的现金价值。</w:t>
            </w:r>
          </w:p>
          <w:p>
            <w:pPr>
              <w:pStyle w:val="TableParagraph"/>
              <w:spacing w:line="273" w:lineRule="auto" w:before="7"/>
              <w:ind w:left="96" w:right="107"/>
              <w:rPr>
                <w:sz w:val="21"/>
              </w:rPr>
            </w:pPr>
            <w:r>
              <w:rPr>
                <w:sz w:val="21"/>
              </w:rPr>
              <w:t>发生上述其他情形导致被保险人发生本附加合同所定义的重大疾病的， 本附加合同终止，我们向您退还保险单的现金价值。</w:t>
            </w:r>
          </w:p>
        </w:tc>
      </w:tr>
      <w:tr>
        <w:trPr>
          <w:trHeight w:val="2209" w:hRule="atLeast"/>
        </w:trPr>
        <w:tc>
          <w:tcPr>
            <w:tcW w:w="748" w:type="dxa"/>
          </w:tcPr>
          <w:p>
            <w:pPr>
              <w:pStyle w:val="TableParagraph"/>
              <w:spacing w:before="142"/>
              <w:ind w:left="108"/>
              <w:rPr>
                <w:b/>
                <w:sz w:val="21"/>
              </w:rPr>
            </w:pPr>
            <w:r>
              <w:rPr>
                <w:b/>
                <w:sz w:val="21"/>
              </w:rPr>
              <w:t>2.5</w:t>
            </w:r>
          </w:p>
        </w:tc>
        <w:tc>
          <w:tcPr>
            <w:tcW w:w="1857" w:type="dxa"/>
          </w:tcPr>
          <w:p>
            <w:pPr>
              <w:pStyle w:val="TableParagraph"/>
              <w:spacing w:before="142"/>
              <w:ind w:left="282"/>
              <w:rPr>
                <w:b/>
                <w:sz w:val="21"/>
              </w:rPr>
            </w:pPr>
            <w:r>
              <w:rPr>
                <w:b/>
                <w:sz w:val="21"/>
              </w:rPr>
              <w:t>保险责任的终止</w:t>
            </w:r>
          </w:p>
        </w:tc>
        <w:tc>
          <w:tcPr>
            <w:tcW w:w="6755" w:type="dxa"/>
          </w:tcPr>
          <w:p>
            <w:pPr>
              <w:pStyle w:val="TableParagraph"/>
              <w:spacing w:before="142"/>
              <w:ind w:left="96"/>
              <w:rPr>
                <w:sz w:val="21"/>
              </w:rPr>
            </w:pPr>
            <w:r>
              <w:rPr>
                <w:sz w:val="21"/>
              </w:rPr>
              <w:t>以下任何一种情况发生时，本附加合同及其保险责任自动终止：</w:t>
            </w:r>
          </w:p>
          <w:p>
            <w:pPr>
              <w:pStyle w:val="TableParagraph"/>
              <w:spacing w:before="36"/>
              <w:ind w:left="96"/>
              <w:rPr>
                <w:sz w:val="21"/>
              </w:rPr>
            </w:pPr>
            <w:r>
              <w:rPr>
                <w:sz w:val="21"/>
              </w:rPr>
              <w:t>（1）在本附加合同有效期内您向我们申请解除合同；</w:t>
            </w:r>
          </w:p>
          <w:p>
            <w:pPr>
              <w:pStyle w:val="TableParagraph"/>
              <w:spacing w:before="36"/>
              <w:ind w:left="96"/>
              <w:rPr>
                <w:sz w:val="21"/>
              </w:rPr>
            </w:pPr>
            <w:r>
              <w:rPr>
                <w:sz w:val="21"/>
              </w:rPr>
              <w:t>（2）本附加合同其他条款所列保险责任终止或本附加合同终止的情形；</w:t>
            </w:r>
          </w:p>
          <w:p>
            <w:pPr>
              <w:pStyle w:val="TableParagraph"/>
              <w:spacing w:before="36"/>
              <w:ind w:left="96"/>
              <w:rPr>
                <w:sz w:val="21"/>
              </w:rPr>
            </w:pPr>
            <w:r>
              <w:rPr>
                <w:sz w:val="21"/>
              </w:rPr>
              <w:t>（3）主合同效力终止；</w:t>
            </w:r>
          </w:p>
          <w:p>
            <w:pPr>
              <w:pStyle w:val="TableParagraph"/>
              <w:spacing w:line="273" w:lineRule="auto" w:before="36"/>
              <w:ind w:left="621" w:right="35" w:hanging="526"/>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0"/>
              <w:rPr>
                <w:sz w:val="18"/>
              </w:rPr>
            </w:pPr>
          </w:p>
          <w:p>
            <w:pPr>
              <w:pStyle w:val="TableParagraph"/>
              <w:spacing w:before="0"/>
              <w:ind w:left="282"/>
              <w:rPr>
                <w:b/>
                <w:sz w:val="24"/>
              </w:rPr>
            </w:pPr>
            <w:r>
              <w:rPr>
                <w:b/>
                <w:w w:val="95"/>
                <w:sz w:val="24"/>
              </w:rPr>
              <w:t>如何申请领取保险金</w:t>
            </w:r>
          </w:p>
        </w:tc>
      </w:tr>
      <w:tr>
        <w:trPr>
          <w:trHeight w:val="761" w:hRule="atLeast"/>
        </w:trPr>
        <w:tc>
          <w:tcPr>
            <w:tcW w:w="748" w:type="dxa"/>
            <w:tcBorders>
              <w:top w:val="single" w:sz="4" w:space="0" w:color="000000"/>
            </w:tcBorders>
          </w:tcPr>
          <w:p>
            <w:pPr>
              <w:pStyle w:val="TableParagraph"/>
              <w:spacing w:before="10"/>
              <w:rPr>
                <w:sz w:val="21"/>
              </w:rPr>
            </w:pPr>
          </w:p>
          <w:p>
            <w:pPr>
              <w:pStyle w:val="TableParagraph"/>
              <w:spacing w:before="0"/>
              <w:ind w:left="108"/>
              <w:rPr>
                <w:b/>
                <w:sz w:val="21"/>
              </w:rPr>
            </w:pPr>
            <w:r>
              <w:rPr>
                <w:b/>
                <w:sz w:val="21"/>
              </w:rPr>
              <w:t>3.1</w:t>
            </w:r>
          </w:p>
        </w:tc>
        <w:tc>
          <w:tcPr>
            <w:tcW w:w="1857" w:type="dxa"/>
            <w:tcBorders>
              <w:top w:val="single" w:sz="4" w:space="0" w:color="000000"/>
            </w:tcBorders>
          </w:tcPr>
          <w:p>
            <w:pPr>
              <w:pStyle w:val="TableParagraph"/>
              <w:spacing w:before="10"/>
              <w:rPr>
                <w:sz w:val="21"/>
              </w:rPr>
            </w:pPr>
          </w:p>
          <w:p>
            <w:pPr>
              <w:pStyle w:val="TableParagraph"/>
              <w:spacing w:before="0"/>
              <w:ind w:left="282"/>
              <w:rPr>
                <w:b/>
                <w:sz w:val="21"/>
              </w:rPr>
            </w:pPr>
            <w:r>
              <w:rPr>
                <w:b/>
                <w:sz w:val="21"/>
              </w:rPr>
              <w:t>保险金受益人</w:t>
            </w:r>
          </w:p>
        </w:tc>
        <w:tc>
          <w:tcPr>
            <w:tcW w:w="6755" w:type="dxa"/>
            <w:tcBorders>
              <w:top w:val="single" w:sz="4" w:space="0" w:color="000000"/>
            </w:tcBorders>
          </w:tcPr>
          <w:p>
            <w:pPr>
              <w:pStyle w:val="TableParagraph"/>
              <w:spacing w:before="10"/>
              <w:rPr>
                <w:sz w:val="21"/>
              </w:rPr>
            </w:pPr>
          </w:p>
          <w:p>
            <w:pPr>
              <w:pStyle w:val="TableParagraph"/>
              <w:spacing w:before="0"/>
              <w:ind w:left="96"/>
              <w:rPr>
                <w:sz w:val="21"/>
              </w:rPr>
            </w:pPr>
            <w:r>
              <w:rPr>
                <w:sz w:val="21"/>
              </w:rPr>
              <w:t>除另有约定，本附加合同重大疾病保险金的受益人为被保险人本人。</w:t>
            </w:r>
          </w:p>
        </w:tc>
      </w:tr>
      <w:tr>
        <w:trPr>
          <w:trHeight w:val="2189" w:hRule="atLeast"/>
        </w:trPr>
        <w:tc>
          <w:tcPr>
            <w:tcW w:w="748" w:type="dxa"/>
          </w:tcPr>
          <w:p>
            <w:pPr>
              <w:pStyle w:val="TableParagraph"/>
              <w:spacing w:before="147"/>
              <w:ind w:left="108"/>
              <w:rPr>
                <w:b/>
                <w:sz w:val="21"/>
              </w:rPr>
            </w:pPr>
            <w:r>
              <w:rPr>
                <w:b/>
                <w:sz w:val="21"/>
              </w:rPr>
              <w:t>3.2</w:t>
            </w:r>
          </w:p>
        </w:tc>
        <w:tc>
          <w:tcPr>
            <w:tcW w:w="1857" w:type="dxa"/>
          </w:tcPr>
          <w:p>
            <w:pPr>
              <w:pStyle w:val="TableParagraph"/>
              <w:spacing w:before="147"/>
              <w:ind w:left="282"/>
              <w:rPr>
                <w:b/>
                <w:sz w:val="21"/>
              </w:rPr>
            </w:pPr>
            <w:r>
              <w:rPr>
                <w:b/>
                <w:sz w:val="21"/>
              </w:rPr>
              <w:t>保险事故通知</w:t>
            </w:r>
          </w:p>
        </w:tc>
        <w:tc>
          <w:tcPr>
            <w:tcW w:w="6755" w:type="dxa"/>
          </w:tcPr>
          <w:p>
            <w:pPr>
              <w:pStyle w:val="TableParagraph"/>
              <w:spacing w:before="136"/>
              <w:ind w:left="96"/>
              <w:rPr>
                <w:i/>
                <w:sz w:val="22"/>
              </w:rPr>
            </w:pPr>
            <w:r>
              <w:rPr>
                <w:sz w:val="21"/>
              </w:rPr>
              <w:t>您或受益人知道保险事故后应当在 10 日内通知本公司</w:t>
            </w:r>
            <w:r>
              <w:rPr>
                <w:i/>
                <w:sz w:val="22"/>
              </w:rPr>
              <w:t>。</w:t>
            </w:r>
          </w:p>
          <w:p>
            <w:pPr>
              <w:pStyle w:val="TableParagraph"/>
              <w:spacing w:line="273" w:lineRule="auto" w:before="36"/>
              <w:ind w:left="96"/>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24" w:hRule="atLeast"/>
        </w:trPr>
        <w:tc>
          <w:tcPr>
            <w:tcW w:w="748" w:type="dxa"/>
          </w:tcPr>
          <w:p>
            <w:pPr>
              <w:pStyle w:val="TableParagraph"/>
              <w:spacing w:before="142"/>
              <w:ind w:left="108"/>
              <w:rPr>
                <w:b/>
                <w:sz w:val="21"/>
              </w:rPr>
            </w:pPr>
            <w:r>
              <w:rPr>
                <w:b/>
                <w:sz w:val="21"/>
              </w:rPr>
              <w:t>3.3</w:t>
            </w:r>
          </w:p>
        </w:tc>
        <w:tc>
          <w:tcPr>
            <w:tcW w:w="1857" w:type="dxa"/>
          </w:tcPr>
          <w:p>
            <w:pPr>
              <w:pStyle w:val="TableParagraph"/>
              <w:spacing w:before="142"/>
              <w:ind w:left="282"/>
              <w:rPr>
                <w:b/>
                <w:sz w:val="21"/>
              </w:rPr>
            </w:pPr>
            <w:r>
              <w:rPr>
                <w:b/>
                <w:sz w:val="21"/>
              </w:rPr>
              <w:t>保险金申请</w:t>
            </w:r>
          </w:p>
        </w:tc>
        <w:tc>
          <w:tcPr>
            <w:tcW w:w="6755" w:type="dxa"/>
          </w:tcPr>
          <w:p>
            <w:pPr>
              <w:pStyle w:val="TableParagraph"/>
              <w:spacing w:before="142"/>
              <w:ind w:left="96"/>
              <w:rPr>
                <w:sz w:val="21"/>
              </w:rPr>
            </w:pPr>
            <w:r>
              <w:rPr>
                <w:sz w:val="21"/>
              </w:rPr>
              <w:t>在申请保险金时，请按照下列方式办理：</w:t>
            </w:r>
          </w:p>
        </w:tc>
      </w:tr>
      <w:tr>
        <w:trPr>
          <w:trHeight w:val="1977" w:hRule="atLeast"/>
        </w:trPr>
        <w:tc>
          <w:tcPr>
            <w:tcW w:w="748" w:type="dxa"/>
          </w:tcPr>
          <w:p>
            <w:pPr>
              <w:pStyle w:val="TableParagraph"/>
              <w:spacing w:before="0"/>
              <w:rPr>
                <w:rFonts w:ascii="Times New Roman"/>
                <w:sz w:val="20"/>
              </w:rPr>
            </w:pPr>
          </w:p>
        </w:tc>
        <w:tc>
          <w:tcPr>
            <w:tcW w:w="1857" w:type="dxa"/>
          </w:tcPr>
          <w:p>
            <w:pPr>
              <w:pStyle w:val="TableParagraph"/>
              <w:spacing w:line="273" w:lineRule="auto" w:before="142"/>
              <w:ind w:left="282" w:right="305"/>
              <w:rPr>
                <w:rFonts w:ascii="黑体" w:eastAsia="黑体" w:hint="eastAsia"/>
                <w:b/>
                <w:sz w:val="21"/>
              </w:rPr>
            </w:pPr>
            <w:r>
              <w:rPr>
                <w:rFonts w:ascii="黑体" w:eastAsia="黑体" w:hint="eastAsia"/>
                <w:b/>
                <w:sz w:val="21"/>
              </w:rPr>
              <w:t>重大疾病保险金的申请</w:t>
            </w:r>
          </w:p>
        </w:tc>
        <w:tc>
          <w:tcPr>
            <w:tcW w:w="6755" w:type="dxa"/>
          </w:tcPr>
          <w:p>
            <w:pPr>
              <w:pStyle w:val="TableParagraph"/>
              <w:spacing w:before="142"/>
              <w:ind w:left="96"/>
              <w:rPr>
                <w:sz w:val="21"/>
              </w:rPr>
            </w:pPr>
            <w:r>
              <w:rPr>
                <w:sz w:val="21"/>
              </w:rPr>
              <w:t>申请人须填写保险金给付申请书，并须提供下列证明和资料：</w:t>
            </w:r>
          </w:p>
          <w:p>
            <w:pPr>
              <w:pStyle w:val="TableParagraph"/>
              <w:spacing w:before="36"/>
              <w:ind w:left="98"/>
              <w:rPr>
                <w:sz w:val="21"/>
              </w:rPr>
            </w:pPr>
            <w:r>
              <w:rPr>
                <w:sz w:val="21"/>
              </w:rPr>
              <w:t>（1）保险合同；</w:t>
            </w:r>
          </w:p>
          <w:p>
            <w:pPr>
              <w:pStyle w:val="TableParagraph"/>
              <w:spacing w:before="36"/>
              <w:ind w:left="96"/>
              <w:rPr>
                <w:sz w:val="21"/>
              </w:rPr>
            </w:pPr>
            <w:r>
              <w:rPr>
                <w:sz w:val="21"/>
              </w:rPr>
              <w:t>（2）申请人的有效身份证件；</w:t>
            </w:r>
          </w:p>
          <w:p>
            <w:pPr>
              <w:pStyle w:val="TableParagraph"/>
              <w:spacing w:line="310" w:lineRule="atLeast" w:before="1"/>
              <w:ind w:left="588" w:right="104" w:hanging="490"/>
              <w:jc w:val="both"/>
              <w:rPr>
                <w:sz w:val="21"/>
              </w:rPr>
            </w:pPr>
            <w:r>
              <w:rPr>
                <w:sz w:val="21"/>
              </w:rPr>
              <w:t>（3）</w:t>
            </w:r>
            <w:r>
              <w:rPr>
                <w:spacing w:val="-3"/>
                <w:sz w:val="21"/>
              </w:rPr>
              <w:t>专科医生出具的诊断证明书(包括：完整病历、出院小结、病理组</w:t>
            </w:r>
            <w:r>
              <w:rPr>
                <w:spacing w:val="-8"/>
                <w:sz w:val="21"/>
              </w:rPr>
              <w:t>织检查报告、血液检查、其他科学方法检验报告的病史资料及疾病</w:t>
            </w:r>
            <w:r>
              <w:rPr>
                <w:spacing w:val="-5"/>
                <w:sz w:val="21"/>
              </w:rPr>
              <w:t>诊断报告书)；</w:t>
            </w:r>
          </w:p>
        </w:tc>
      </w:tr>
    </w:tbl>
    <w:p>
      <w:pPr>
        <w:spacing w:after="0" w:line="310" w:lineRule="atLeast"/>
        <w:jc w:val="both"/>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1042" w:hRule="atLeast"/>
        </w:trPr>
        <w:tc>
          <w:tcPr>
            <w:tcW w:w="748" w:type="dxa"/>
          </w:tcPr>
          <w:p>
            <w:pPr>
              <w:pStyle w:val="TableParagraph"/>
              <w:spacing w:before="0"/>
              <w:rPr>
                <w:rFonts w:ascii="Times New Roman"/>
                <w:sz w:val="20"/>
              </w:rPr>
            </w:pPr>
          </w:p>
        </w:tc>
        <w:tc>
          <w:tcPr>
            <w:tcW w:w="1752" w:type="dxa"/>
          </w:tcPr>
          <w:p>
            <w:pPr>
              <w:pStyle w:val="TableParagraph"/>
              <w:spacing w:before="0"/>
              <w:rPr>
                <w:rFonts w:ascii="Times New Roman"/>
                <w:sz w:val="20"/>
              </w:rPr>
            </w:pPr>
          </w:p>
        </w:tc>
        <w:tc>
          <w:tcPr>
            <w:tcW w:w="6859" w:type="dxa"/>
          </w:tcPr>
          <w:p>
            <w:pPr>
              <w:pStyle w:val="TableParagraph"/>
              <w:spacing w:line="211" w:lineRule="exact" w:before="0"/>
              <w:ind w:left="203"/>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p>
          <w:p>
            <w:pPr>
              <w:pStyle w:val="TableParagraph"/>
              <w:spacing w:line="273" w:lineRule="auto"/>
              <w:ind w:left="201" w:right="139"/>
              <w:rPr>
                <w:sz w:val="21"/>
              </w:rPr>
            </w:pPr>
            <w:r>
              <w:rPr>
                <w:sz w:val="21"/>
              </w:rPr>
              <w:t>以上证明和资料不完整的，我们将及时一次性通知申请人补充提供有关证明和资料。</w:t>
            </w:r>
          </w:p>
        </w:tc>
      </w:tr>
      <w:tr>
        <w:trPr>
          <w:trHeight w:val="3744" w:hRule="atLeast"/>
        </w:trPr>
        <w:tc>
          <w:tcPr>
            <w:tcW w:w="748" w:type="dxa"/>
          </w:tcPr>
          <w:p>
            <w:pPr>
              <w:pStyle w:val="TableParagraph"/>
              <w:spacing w:before="142"/>
              <w:ind w:left="108"/>
              <w:rPr>
                <w:b/>
                <w:sz w:val="21"/>
              </w:rPr>
            </w:pPr>
            <w:r>
              <w:rPr>
                <w:b/>
                <w:sz w:val="21"/>
              </w:rPr>
              <w:t>3.4</w:t>
            </w:r>
          </w:p>
        </w:tc>
        <w:tc>
          <w:tcPr>
            <w:tcW w:w="1752" w:type="dxa"/>
          </w:tcPr>
          <w:p>
            <w:pPr>
              <w:pStyle w:val="TableParagraph"/>
              <w:spacing w:before="142"/>
              <w:ind w:left="282"/>
              <w:rPr>
                <w:b/>
                <w:sz w:val="21"/>
              </w:rPr>
            </w:pPr>
            <w:r>
              <w:rPr>
                <w:b/>
                <w:sz w:val="21"/>
              </w:rPr>
              <w:t>保险金的给付</w:t>
            </w:r>
          </w:p>
        </w:tc>
        <w:tc>
          <w:tcPr>
            <w:tcW w:w="6859" w:type="dxa"/>
          </w:tcPr>
          <w:p>
            <w:pPr>
              <w:pStyle w:val="TableParagraph"/>
              <w:spacing w:before="142"/>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7"/>
              <w:jc w:val="both"/>
              <w:rPr>
                <w:sz w:val="21"/>
              </w:rPr>
            </w:pPr>
            <w:r>
              <w:rPr>
                <w:sz w:val="21"/>
              </w:rPr>
              <w:t>对属于保险责任的，本公司在与受益人达成给付保险金的协议后 10 日内，履行给付保险金义务。</w:t>
            </w:r>
          </w:p>
          <w:p>
            <w:pPr>
              <w:pStyle w:val="TableParagraph"/>
              <w:spacing w:line="273" w:lineRule="auto" w:before="7"/>
              <w:ind w:left="201" w:right="106"/>
              <w:jc w:val="both"/>
              <w:rPr>
                <w:sz w:val="21"/>
              </w:rPr>
            </w:pPr>
            <w:r>
              <w:rPr>
                <w:sz w:val="21"/>
              </w:rPr>
              <w:t>本公司未及时履行前款规定义务的，除支付保险金外，应当赔偿受益人因此受到的损失。</w:t>
            </w:r>
          </w:p>
          <w:p>
            <w:pPr>
              <w:pStyle w:val="TableParagraph"/>
              <w:spacing w:line="273" w:lineRule="auto" w:before="7"/>
              <w:ind w:left="201" w:right="140"/>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201" w:right="103"/>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3"/>
                <w:sz w:val="21"/>
              </w:rPr>
              <w:t>支付；本公司最终确定给付保险金的数额后，将支付相应的差额。</w:t>
            </w:r>
          </w:p>
        </w:tc>
      </w:tr>
      <w:tr>
        <w:trPr>
          <w:trHeight w:val="960" w:hRule="atLeast"/>
        </w:trPr>
        <w:tc>
          <w:tcPr>
            <w:tcW w:w="748" w:type="dxa"/>
          </w:tcPr>
          <w:p>
            <w:pPr>
              <w:pStyle w:val="TableParagraph"/>
              <w:spacing w:before="142"/>
              <w:ind w:left="108"/>
              <w:rPr>
                <w:b/>
                <w:sz w:val="21"/>
              </w:rPr>
            </w:pPr>
            <w:r>
              <w:rPr>
                <w:b/>
                <w:sz w:val="21"/>
              </w:rPr>
              <w:t>3.5</w:t>
            </w:r>
          </w:p>
        </w:tc>
        <w:tc>
          <w:tcPr>
            <w:tcW w:w="1752" w:type="dxa"/>
          </w:tcPr>
          <w:p>
            <w:pPr>
              <w:pStyle w:val="TableParagraph"/>
              <w:spacing w:before="142"/>
              <w:ind w:left="282"/>
              <w:rPr>
                <w:b/>
                <w:sz w:val="21"/>
              </w:rPr>
            </w:pPr>
            <w:r>
              <w:rPr>
                <w:b/>
                <w:sz w:val="21"/>
              </w:rPr>
              <w:t>诉讼时效</w:t>
            </w:r>
          </w:p>
        </w:tc>
        <w:tc>
          <w:tcPr>
            <w:tcW w:w="6859" w:type="dxa"/>
          </w:tcPr>
          <w:p>
            <w:pPr>
              <w:pStyle w:val="TableParagraph"/>
              <w:spacing w:line="273" w:lineRule="auto" w:before="142"/>
              <w:ind w:left="201" w:right="139"/>
              <w:rPr>
                <w:sz w:val="21"/>
              </w:rPr>
            </w:pPr>
            <w:r>
              <w:rPr>
                <w:spacing w:val="-5"/>
                <w:sz w:val="21"/>
              </w:rPr>
              <w:t>受益人向我们请求给付保险金的诉讼时效为 </w:t>
            </w:r>
            <w:r>
              <w:rPr>
                <w:sz w:val="21"/>
              </w:rPr>
              <w:t>2</w:t>
            </w:r>
            <w:r>
              <w:rPr>
                <w:spacing w:val="-8"/>
                <w:sz w:val="21"/>
              </w:rPr>
              <w:t> 年，自其知道或应当知道</w:t>
            </w:r>
            <w:r>
              <w:rPr>
                <w:spacing w:val="-5"/>
                <w:sz w:val="21"/>
              </w:rPr>
              <w:t>保险事故发生之日起计算。</w:t>
            </w:r>
          </w:p>
        </w:tc>
      </w:tr>
      <w:tr>
        <w:trPr>
          <w:trHeight w:val="753"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rPr>
                <w:sz w:val="18"/>
              </w:rPr>
            </w:pPr>
          </w:p>
          <w:p>
            <w:pPr>
              <w:pStyle w:val="TableParagraph"/>
              <w:spacing w:before="0"/>
              <w:ind w:left="289"/>
              <w:rPr>
                <w:b/>
                <w:sz w:val="24"/>
              </w:rPr>
            </w:pPr>
            <w:r>
              <w:rPr>
                <w:b/>
                <w:w w:val="95"/>
                <w:sz w:val="24"/>
              </w:rPr>
              <w:t>保险费的支付和现金价值权益</w:t>
            </w:r>
          </w:p>
        </w:tc>
      </w:tr>
      <w:tr>
        <w:trPr>
          <w:trHeight w:val="1719" w:hRule="atLeast"/>
        </w:trPr>
        <w:tc>
          <w:tcPr>
            <w:tcW w:w="748" w:type="dxa"/>
            <w:tcBorders>
              <w:top w:val="single" w:sz="4" w:space="0" w:color="000000"/>
            </w:tcBorders>
          </w:tcPr>
          <w:p>
            <w:pPr>
              <w:pStyle w:val="TableParagraph"/>
              <w:spacing w:before="0"/>
              <w:rPr>
                <w:sz w:val="23"/>
              </w:rPr>
            </w:pPr>
          </w:p>
          <w:p>
            <w:pPr>
              <w:pStyle w:val="TableParagraph"/>
              <w:spacing w:before="0"/>
              <w:ind w:left="108"/>
              <w:rPr>
                <w:b/>
                <w:sz w:val="21"/>
              </w:rPr>
            </w:pPr>
            <w:r>
              <w:rPr>
                <w:b/>
                <w:sz w:val="21"/>
              </w:rPr>
              <w:t>4.1</w:t>
            </w:r>
          </w:p>
        </w:tc>
        <w:tc>
          <w:tcPr>
            <w:tcW w:w="1752" w:type="dxa"/>
            <w:tcBorders>
              <w:top w:val="single" w:sz="4" w:space="0" w:color="000000"/>
            </w:tcBorders>
          </w:tcPr>
          <w:p>
            <w:pPr>
              <w:pStyle w:val="TableParagraph"/>
              <w:spacing w:before="0"/>
              <w:rPr>
                <w:sz w:val="23"/>
              </w:rPr>
            </w:pPr>
          </w:p>
          <w:p>
            <w:pPr>
              <w:pStyle w:val="TableParagraph"/>
              <w:spacing w:before="0"/>
              <w:ind w:left="282"/>
              <w:rPr>
                <w:b/>
                <w:sz w:val="21"/>
              </w:rPr>
            </w:pPr>
            <w:r>
              <w:rPr>
                <w:b/>
                <w:sz w:val="21"/>
              </w:rPr>
              <w:t>保险费的支付</w:t>
            </w:r>
          </w:p>
        </w:tc>
        <w:tc>
          <w:tcPr>
            <w:tcW w:w="6859" w:type="dxa"/>
            <w:tcBorders>
              <w:top w:val="single" w:sz="4" w:space="0" w:color="000000"/>
            </w:tcBorders>
          </w:tcPr>
          <w:p>
            <w:pPr>
              <w:pStyle w:val="TableParagraph"/>
              <w:spacing w:before="0"/>
              <w:rPr>
                <w:sz w:val="23"/>
              </w:rPr>
            </w:pPr>
          </w:p>
          <w:p>
            <w:pPr>
              <w:pStyle w:val="TableParagraph"/>
              <w:spacing w:line="273" w:lineRule="auto" w:before="0"/>
              <w:ind w:left="201" w:right="139"/>
              <w:jc w:val="both"/>
              <w:rPr>
                <w:sz w:val="21"/>
              </w:rPr>
            </w:pPr>
            <w:r>
              <w:rPr>
                <w:sz w:val="21"/>
              </w:rPr>
              <w:t>本附加合同的交费方式和交费期限由您和我们约定并在保险单上载明。交费期限一经确定，在保险期间内不得变更。如果您选择分期支付保险费，在支付首期保险费后，您应当按约定的交费日期支付其余各期的保险费。</w:t>
            </w:r>
          </w:p>
        </w:tc>
      </w:tr>
      <w:tr>
        <w:trPr>
          <w:trHeight w:val="3120" w:hRule="atLeast"/>
        </w:trPr>
        <w:tc>
          <w:tcPr>
            <w:tcW w:w="748" w:type="dxa"/>
          </w:tcPr>
          <w:p>
            <w:pPr>
              <w:pStyle w:val="TableParagraph"/>
              <w:spacing w:before="142"/>
              <w:ind w:left="108"/>
              <w:rPr>
                <w:b/>
                <w:sz w:val="21"/>
              </w:rPr>
            </w:pPr>
            <w:r>
              <w:rPr>
                <w:b/>
                <w:sz w:val="21"/>
              </w:rPr>
              <w:t>4.2</w:t>
            </w:r>
          </w:p>
        </w:tc>
        <w:tc>
          <w:tcPr>
            <w:tcW w:w="1752" w:type="dxa"/>
          </w:tcPr>
          <w:p>
            <w:pPr>
              <w:pStyle w:val="TableParagraph"/>
              <w:spacing w:before="142"/>
              <w:ind w:left="282"/>
              <w:rPr>
                <w:b/>
                <w:sz w:val="21"/>
              </w:rPr>
            </w:pPr>
            <w:r>
              <w:rPr>
                <w:b/>
                <w:sz w:val="21"/>
              </w:rPr>
              <w:t>保险费率调整</w:t>
            </w:r>
          </w:p>
        </w:tc>
        <w:tc>
          <w:tcPr>
            <w:tcW w:w="6859" w:type="dxa"/>
          </w:tcPr>
          <w:p>
            <w:pPr>
              <w:pStyle w:val="TableParagraph"/>
              <w:spacing w:line="273" w:lineRule="auto" w:before="142"/>
              <w:ind w:left="201" w:right="139"/>
              <w:jc w:val="both"/>
              <w:rPr>
                <w:sz w:val="21"/>
              </w:rPr>
            </w:pPr>
            <w:r>
              <w:rPr>
                <w:sz w:val="21"/>
              </w:rPr>
              <w:t>因为确定本附加合同保险费率所使用的重大疾病发生率等定价基础将可能在未来发生变化，因此我们保留对保险费率进行调整的权利。</w:t>
            </w:r>
          </w:p>
          <w:p>
            <w:pPr>
              <w:pStyle w:val="TableParagraph"/>
              <w:spacing w:line="273" w:lineRule="auto" w:before="7"/>
              <w:ind w:left="201" w:right="139"/>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201" w:right="139"/>
              <w:jc w:val="both"/>
              <w:rPr>
                <w:sz w:val="21"/>
              </w:rPr>
            </w:pPr>
            <w:r>
              <w:rPr>
                <w:sz w:val="21"/>
              </w:rPr>
              <w:t>我们进行保险费率调整后，您须按调整后的保险费率支付以后各期保险费，保险费率调整前您已经支付的保险费不受影响。</w:t>
            </w:r>
          </w:p>
        </w:tc>
      </w:tr>
      <w:tr>
        <w:trPr>
          <w:trHeight w:val="1248" w:hRule="atLeast"/>
        </w:trPr>
        <w:tc>
          <w:tcPr>
            <w:tcW w:w="748" w:type="dxa"/>
          </w:tcPr>
          <w:p>
            <w:pPr>
              <w:pStyle w:val="TableParagraph"/>
              <w:spacing w:before="142"/>
              <w:ind w:left="108"/>
              <w:rPr>
                <w:b/>
                <w:sz w:val="21"/>
              </w:rPr>
            </w:pPr>
            <w:r>
              <w:rPr>
                <w:b/>
                <w:sz w:val="21"/>
              </w:rPr>
              <w:t>4.3</w:t>
            </w:r>
          </w:p>
        </w:tc>
        <w:tc>
          <w:tcPr>
            <w:tcW w:w="1752" w:type="dxa"/>
          </w:tcPr>
          <w:p>
            <w:pPr>
              <w:pStyle w:val="TableParagraph"/>
              <w:spacing w:line="273" w:lineRule="auto" w:before="142"/>
              <w:ind w:left="282" w:right="200"/>
              <w:rPr>
                <w:b/>
                <w:sz w:val="21"/>
              </w:rPr>
            </w:pPr>
            <w:r>
              <w:rPr>
                <w:b/>
                <w:sz w:val="21"/>
              </w:rPr>
              <w:t>保险单的现金价值</w:t>
            </w:r>
          </w:p>
        </w:tc>
        <w:tc>
          <w:tcPr>
            <w:tcW w:w="6859" w:type="dxa"/>
          </w:tcPr>
          <w:p>
            <w:pPr>
              <w:pStyle w:val="TableParagraph"/>
              <w:spacing w:line="273" w:lineRule="auto" w:before="142"/>
              <w:ind w:left="201" w:right="138"/>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1665" w:hRule="atLeast"/>
        </w:trPr>
        <w:tc>
          <w:tcPr>
            <w:tcW w:w="748" w:type="dxa"/>
          </w:tcPr>
          <w:p>
            <w:pPr>
              <w:pStyle w:val="TableParagraph"/>
              <w:spacing w:before="142"/>
              <w:ind w:left="108"/>
              <w:rPr>
                <w:b/>
                <w:sz w:val="21"/>
              </w:rPr>
            </w:pPr>
            <w:r>
              <w:rPr>
                <w:b/>
                <w:sz w:val="21"/>
              </w:rPr>
              <w:t>4.4</w:t>
            </w:r>
          </w:p>
        </w:tc>
        <w:tc>
          <w:tcPr>
            <w:tcW w:w="1752" w:type="dxa"/>
          </w:tcPr>
          <w:p>
            <w:pPr>
              <w:pStyle w:val="TableParagraph"/>
              <w:spacing w:before="142"/>
              <w:ind w:left="282"/>
              <w:rPr>
                <w:b/>
                <w:sz w:val="21"/>
              </w:rPr>
            </w:pPr>
            <w:r>
              <w:rPr>
                <w:b/>
                <w:sz w:val="21"/>
              </w:rPr>
              <w:t>宽限期</w:t>
            </w:r>
          </w:p>
        </w:tc>
        <w:tc>
          <w:tcPr>
            <w:tcW w:w="6859" w:type="dxa"/>
          </w:tcPr>
          <w:p>
            <w:pPr>
              <w:pStyle w:val="TableParagraph"/>
              <w:spacing w:line="273" w:lineRule="auto" w:before="142"/>
              <w:ind w:left="201" w:right="139"/>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p>
            <w:pPr>
              <w:pStyle w:val="TableParagraph"/>
              <w:spacing w:line="255" w:lineRule="exact" w:before="7"/>
              <w:ind w:left="201"/>
              <w:rPr>
                <w:sz w:val="21"/>
              </w:rPr>
            </w:pPr>
            <w:r>
              <w:rPr>
                <w:sz w:val="21"/>
              </w:rPr>
              <w:t>如果您宽限期结束之后仍未支付保险费，则本附加合同自宽限期满的次</w:t>
            </w:r>
          </w:p>
        </w:tc>
      </w:tr>
    </w:tbl>
    <w:p>
      <w:pPr>
        <w:spacing w:after="0" w:line="255"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7"/>
      </w:tblGrid>
      <w:tr>
        <w:trPr>
          <w:trHeight w:val="417" w:hRule="atLeast"/>
        </w:trPr>
        <w:tc>
          <w:tcPr>
            <w:tcW w:w="748" w:type="dxa"/>
          </w:tcPr>
          <w:p>
            <w:pPr>
              <w:pStyle w:val="TableParagraph"/>
              <w:spacing w:before="0"/>
              <w:rPr>
                <w:rFonts w:ascii="Times New Roman"/>
                <w:sz w:val="20"/>
              </w:rPr>
            </w:pPr>
          </w:p>
        </w:tc>
        <w:tc>
          <w:tcPr>
            <w:tcW w:w="1755" w:type="dxa"/>
          </w:tcPr>
          <w:p>
            <w:pPr>
              <w:pStyle w:val="TableParagraph"/>
              <w:spacing w:before="0"/>
              <w:rPr>
                <w:rFonts w:ascii="Times New Roman"/>
                <w:sz w:val="20"/>
              </w:rPr>
            </w:pPr>
          </w:p>
        </w:tc>
        <w:tc>
          <w:tcPr>
            <w:tcW w:w="6857" w:type="dxa"/>
          </w:tcPr>
          <w:p>
            <w:pPr>
              <w:pStyle w:val="TableParagraph"/>
              <w:spacing w:line="211" w:lineRule="exact" w:before="0"/>
              <w:ind w:left="198"/>
              <w:rPr>
                <w:sz w:val="21"/>
              </w:rPr>
            </w:pPr>
            <w:r>
              <w:rPr>
                <w:sz w:val="21"/>
              </w:rPr>
              <w:t>日零时起效力中止。</w:t>
            </w:r>
          </w:p>
        </w:tc>
      </w:tr>
      <w:tr>
        <w:trPr>
          <w:trHeight w:val="1248" w:hRule="atLeast"/>
        </w:trPr>
        <w:tc>
          <w:tcPr>
            <w:tcW w:w="748" w:type="dxa"/>
          </w:tcPr>
          <w:p>
            <w:pPr>
              <w:pStyle w:val="TableParagraph"/>
              <w:spacing w:before="143"/>
              <w:ind w:left="108"/>
              <w:rPr>
                <w:b/>
                <w:sz w:val="21"/>
              </w:rPr>
            </w:pPr>
            <w:r>
              <w:rPr>
                <w:b/>
                <w:sz w:val="21"/>
              </w:rPr>
              <w:t>4.5</w:t>
            </w:r>
          </w:p>
        </w:tc>
        <w:tc>
          <w:tcPr>
            <w:tcW w:w="1755" w:type="dxa"/>
          </w:tcPr>
          <w:p>
            <w:pPr>
              <w:pStyle w:val="TableParagraph"/>
              <w:spacing w:before="143"/>
              <w:ind w:left="282"/>
              <w:rPr>
                <w:b/>
                <w:sz w:val="21"/>
              </w:rPr>
            </w:pPr>
            <w:r>
              <w:rPr>
                <w:b/>
                <w:sz w:val="21"/>
              </w:rPr>
              <w:t>合同效力中止</w:t>
            </w:r>
          </w:p>
        </w:tc>
        <w:tc>
          <w:tcPr>
            <w:tcW w:w="6857" w:type="dxa"/>
          </w:tcPr>
          <w:p>
            <w:pPr>
              <w:pStyle w:val="TableParagraph"/>
              <w:spacing w:line="273" w:lineRule="auto" w:before="143"/>
              <w:ind w:left="198" w:right="141"/>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48" w:type="dxa"/>
          </w:tcPr>
          <w:p>
            <w:pPr>
              <w:pStyle w:val="TableParagraph"/>
              <w:spacing w:before="142"/>
              <w:ind w:left="108"/>
              <w:rPr>
                <w:b/>
                <w:sz w:val="21"/>
              </w:rPr>
            </w:pPr>
            <w:r>
              <w:rPr>
                <w:b/>
                <w:sz w:val="21"/>
              </w:rPr>
              <w:t>4.6</w:t>
            </w:r>
          </w:p>
        </w:tc>
        <w:tc>
          <w:tcPr>
            <w:tcW w:w="1755" w:type="dxa"/>
          </w:tcPr>
          <w:p>
            <w:pPr>
              <w:pStyle w:val="TableParagraph"/>
              <w:spacing w:before="142"/>
              <w:ind w:left="282"/>
              <w:rPr>
                <w:b/>
                <w:sz w:val="21"/>
              </w:rPr>
            </w:pPr>
            <w:r>
              <w:rPr>
                <w:b/>
                <w:sz w:val="21"/>
              </w:rPr>
              <w:t>合同效力恢复</w:t>
            </w:r>
          </w:p>
        </w:tc>
        <w:tc>
          <w:tcPr>
            <w:tcW w:w="6857" w:type="dxa"/>
          </w:tcPr>
          <w:p>
            <w:pPr>
              <w:pStyle w:val="TableParagraph"/>
              <w:spacing w:line="273" w:lineRule="auto" w:before="142"/>
              <w:ind w:left="198" w:right="139"/>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3"/>
                <w:sz w:val="21"/>
              </w:rPr>
              <w:t>（</w:t>
            </w:r>
            <w:r>
              <w:rPr>
                <w:spacing w:val="-11"/>
                <w:sz w:val="21"/>
              </w:rPr>
              <w:t>见释义 </w:t>
            </w:r>
            <w:r>
              <w:rPr>
                <w:sz w:val="21"/>
              </w:rPr>
              <w:t>6.15）</w:t>
            </w:r>
            <w:r>
              <w:rPr>
                <w:spacing w:val="-3"/>
                <w:sz w:val="21"/>
              </w:rPr>
              <w:t>按日复利计算。</w:t>
            </w:r>
          </w:p>
          <w:p>
            <w:pPr>
              <w:pStyle w:val="TableParagraph"/>
              <w:spacing w:line="273" w:lineRule="auto" w:before="7"/>
              <w:ind w:left="198" w:right="141"/>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4" w:hRule="atLeast"/>
        </w:trPr>
        <w:tc>
          <w:tcPr>
            <w:tcW w:w="74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10"/>
              <w:rPr>
                <w:sz w:val="18"/>
              </w:rPr>
            </w:pPr>
          </w:p>
          <w:p>
            <w:pPr>
              <w:pStyle w:val="TableParagraph"/>
              <w:spacing w:before="0"/>
              <w:ind w:left="289"/>
              <w:rPr>
                <w:b/>
                <w:sz w:val="24"/>
              </w:rPr>
            </w:pPr>
            <w:r>
              <w:rPr>
                <w:b/>
                <w:sz w:val="24"/>
              </w:rPr>
              <w:t>其他事项</w:t>
            </w:r>
          </w:p>
        </w:tc>
        <w:tc>
          <w:tcPr>
            <w:tcW w:w="6857" w:type="dxa"/>
            <w:tcBorders>
              <w:bottom w:val="single" w:sz="4" w:space="0" w:color="000000"/>
            </w:tcBorders>
          </w:tcPr>
          <w:p>
            <w:pPr>
              <w:pStyle w:val="TableParagraph"/>
              <w:spacing w:before="0"/>
              <w:rPr>
                <w:rFonts w:ascii="Times New Roman"/>
                <w:sz w:val="20"/>
              </w:rPr>
            </w:pPr>
          </w:p>
        </w:tc>
      </w:tr>
      <w:tr>
        <w:trPr>
          <w:trHeight w:val="5458" w:hRule="atLeast"/>
        </w:trPr>
        <w:tc>
          <w:tcPr>
            <w:tcW w:w="748" w:type="dxa"/>
            <w:tcBorders>
              <w:top w:val="single" w:sz="4" w:space="0" w:color="000000"/>
            </w:tcBorders>
          </w:tcPr>
          <w:p>
            <w:pPr>
              <w:pStyle w:val="TableParagraph"/>
              <w:spacing w:before="9"/>
              <w:rPr>
                <w:sz w:val="22"/>
              </w:rPr>
            </w:pPr>
          </w:p>
          <w:p>
            <w:pPr>
              <w:pStyle w:val="TableParagraph"/>
              <w:spacing w:before="0"/>
              <w:ind w:left="108"/>
              <w:rPr>
                <w:b/>
                <w:sz w:val="21"/>
              </w:rPr>
            </w:pPr>
            <w:r>
              <w:rPr>
                <w:b/>
                <w:sz w:val="21"/>
              </w:rPr>
              <w:t>5.1</w:t>
            </w:r>
          </w:p>
        </w:tc>
        <w:tc>
          <w:tcPr>
            <w:tcW w:w="1755" w:type="dxa"/>
            <w:tcBorders>
              <w:top w:val="single" w:sz="4" w:space="0" w:color="000000"/>
            </w:tcBorders>
          </w:tcPr>
          <w:p>
            <w:pPr>
              <w:pStyle w:val="TableParagraph"/>
              <w:spacing w:before="9"/>
              <w:rPr>
                <w:sz w:val="22"/>
              </w:rPr>
            </w:pPr>
          </w:p>
          <w:p>
            <w:pPr>
              <w:pStyle w:val="TableParagraph"/>
              <w:spacing w:line="273" w:lineRule="auto" w:before="0"/>
              <w:ind w:left="289" w:right="196"/>
              <w:rPr>
                <w:b/>
                <w:sz w:val="21"/>
              </w:rPr>
            </w:pPr>
            <w:r>
              <w:rPr>
                <w:b/>
                <w:sz w:val="21"/>
              </w:rPr>
              <w:t>明确说明与如实告知</w:t>
            </w:r>
          </w:p>
        </w:tc>
        <w:tc>
          <w:tcPr>
            <w:tcW w:w="6857" w:type="dxa"/>
            <w:tcBorders>
              <w:top w:val="single" w:sz="4" w:space="0" w:color="000000"/>
            </w:tcBorders>
          </w:tcPr>
          <w:p>
            <w:pPr>
              <w:pStyle w:val="TableParagraph"/>
              <w:spacing w:before="9"/>
              <w:rPr>
                <w:sz w:val="22"/>
              </w:rPr>
            </w:pPr>
          </w:p>
          <w:p>
            <w:pPr>
              <w:pStyle w:val="TableParagraph"/>
              <w:spacing w:before="0"/>
              <w:ind w:left="224"/>
              <w:rPr>
                <w:sz w:val="21"/>
              </w:rPr>
            </w:pPr>
            <w:r>
              <w:rPr>
                <w:sz w:val="21"/>
              </w:rPr>
              <w:t>订立本合同时，本公司应向投保人说明本合同的内容。</w:t>
            </w:r>
          </w:p>
          <w:p>
            <w:pPr>
              <w:pStyle w:val="TableParagraph"/>
              <w:spacing w:line="273" w:lineRule="auto"/>
              <w:ind w:left="224" w:right="113"/>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4"/>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24" w:right="113"/>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24" w:right="113"/>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24" w:right="106"/>
              <w:jc w:val="both"/>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48" w:type="dxa"/>
          </w:tcPr>
          <w:p>
            <w:pPr>
              <w:pStyle w:val="TableParagraph"/>
              <w:spacing w:before="142"/>
              <w:ind w:left="108"/>
              <w:rPr>
                <w:b/>
                <w:sz w:val="21"/>
              </w:rPr>
            </w:pPr>
            <w:r>
              <w:rPr>
                <w:b/>
                <w:sz w:val="21"/>
              </w:rPr>
              <w:t>5.2</w:t>
            </w:r>
          </w:p>
        </w:tc>
        <w:tc>
          <w:tcPr>
            <w:tcW w:w="1755" w:type="dxa"/>
          </w:tcPr>
          <w:p>
            <w:pPr>
              <w:pStyle w:val="TableParagraph"/>
              <w:spacing w:line="273" w:lineRule="auto" w:before="142"/>
              <w:ind w:left="289" w:right="196"/>
              <w:rPr>
                <w:b/>
                <w:sz w:val="21"/>
              </w:rPr>
            </w:pPr>
            <w:r>
              <w:rPr>
                <w:b/>
                <w:sz w:val="21"/>
              </w:rPr>
              <w:t>本公司合同解除权的限制</w:t>
            </w:r>
          </w:p>
        </w:tc>
        <w:tc>
          <w:tcPr>
            <w:tcW w:w="6857" w:type="dxa"/>
          </w:tcPr>
          <w:p>
            <w:pPr>
              <w:pStyle w:val="TableParagraph"/>
              <w:spacing w:before="142"/>
              <w:ind w:left="224"/>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224" w:right="113"/>
              <w:rPr>
                <w:sz w:val="21"/>
              </w:rPr>
            </w:pPr>
            <w:r>
              <w:rPr>
                <w:spacing w:val="-5"/>
                <w:sz w:val="21"/>
              </w:rPr>
              <w:t>行使而消灭。自本附加合同成立之日起超过 </w:t>
            </w:r>
            <w:r>
              <w:rPr>
                <w:sz w:val="21"/>
              </w:rPr>
              <w:t>2</w:t>
            </w:r>
            <w:r>
              <w:rPr>
                <w:spacing w:val="-8"/>
                <w:sz w:val="21"/>
              </w:rPr>
              <w:t> 年的，本公司不得解除合</w:t>
            </w:r>
            <w:r>
              <w:rPr>
                <w:spacing w:val="-3"/>
                <w:sz w:val="21"/>
              </w:rPr>
              <w:t>同；发生保险事故的，本公司承担给付保险金的责任。</w:t>
            </w:r>
          </w:p>
        </w:tc>
      </w:tr>
      <w:tr>
        <w:trPr>
          <w:trHeight w:val="2913" w:hRule="atLeast"/>
        </w:trPr>
        <w:tc>
          <w:tcPr>
            <w:tcW w:w="748" w:type="dxa"/>
          </w:tcPr>
          <w:p>
            <w:pPr>
              <w:pStyle w:val="TableParagraph"/>
              <w:spacing w:before="142"/>
              <w:ind w:left="108"/>
              <w:rPr>
                <w:b/>
                <w:sz w:val="21"/>
              </w:rPr>
            </w:pPr>
            <w:r>
              <w:rPr>
                <w:b/>
                <w:sz w:val="21"/>
              </w:rPr>
              <w:t>5.3</w:t>
            </w:r>
          </w:p>
        </w:tc>
        <w:tc>
          <w:tcPr>
            <w:tcW w:w="1755" w:type="dxa"/>
          </w:tcPr>
          <w:p>
            <w:pPr>
              <w:pStyle w:val="TableParagraph"/>
              <w:spacing w:before="142"/>
              <w:ind w:left="289"/>
              <w:rPr>
                <w:b/>
                <w:sz w:val="21"/>
              </w:rPr>
            </w:pPr>
            <w:r>
              <w:rPr>
                <w:b/>
                <w:sz w:val="21"/>
              </w:rPr>
              <w:t>年龄性别错误</w:t>
            </w:r>
          </w:p>
        </w:tc>
        <w:tc>
          <w:tcPr>
            <w:tcW w:w="6857" w:type="dxa"/>
          </w:tcPr>
          <w:p>
            <w:pPr>
              <w:pStyle w:val="TableParagraph"/>
              <w:spacing w:line="273" w:lineRule="auto" w:before="142"/>
              <w:ind w:left="224" w:right="113"/>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728" w:right="101" w:hanging="504"/>
              <w:jc w:val="both"/>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约定投保年龄限制的，在保险事故发生之前我们有权解除合同，并向您退还保险单的现金价值。我们行使合同解除权适用“本公司合</w:t>
            </w:r>
            <w:r>
              <w:rPr>
                <w:spacing w:val="-5"/>
                <w:sz w:val="21"/>
              </w:rPr>
              <w:t>同解除权的限制”的规定。</w:t>
            </w:r>
          </w:p>
          <w:p>
            <w:pPr>
              <w:pStyle w:val="TableParagraph"/>
              <w:spacing w:line="312" w:lineRule="exact" w:before="3"/>
              <w:ind w:left="716" w:right="101" w:hanging="490"/>
              <w:jc w:val="both"/>
              <w:rPr>
                <w:sz w:val="21"/>
              </w:rPr>
            </w:pPr>
            <w:r>
              <w:rPr>
                <w:spacing w:val="-17"/>
                <w:sz w:val="21"/>
              </w:rPr>
              <w:t>（2）</w:t>
            </w:r>
            <w:r>
              <w:rPr>
                <w:spacing w:val="-6"/>
                <w:sz w:val="21"/>
              </w:rPr>
              <w:t>您申报的被保险人年龄或性别不真实，致使您实付保险费少于应付</w:t>
            </w:r>
            <w:r>
              <w:rPr>
                <w:spacing w:val="-10"/>
                <w:sz w:val="21"/>
              </w:rPr>
              <w:t>保险费的，本公司有权更正并要求您补交保险费。若已经发生保险</w:t>
            </w:r>
            <w:r>
              <w:rPr>
                <w:spacing w:val="-5"/>
                <w:sz w:val="21"/>
              </w:rPr>
              <w:t>事故，在给付保险金时按实付保险费和应付保险费的比例给付。</w:t>
            </w:r>
          </w:p>
        </w:tc>
      </w:tr>
    </w:tbl>
    <w:p>
      <w:pPr>
        <w:spacing w:after="0" w:line="312" w:lineRule="exact"/>
        <w:jc w:val="both"/>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729" w:hRule="atLeast"/>
        </w:trPr>
        <w:tc>
          <w:tcPr>
            <w:tcW w:w="751" w:type="dxa"/>
          </w:tcPr>
          <w:p>
            <w:pPr>
              <w:pStyle w:val="TableParagraph"/>
              <w:spacing w:before="0"/>
              <w:rPr>
                <w:rFonts w:ascii="Times New Roman"/>
                <w:sz w:val="20"/>
              </w:rPr>
            </w:pPr>
          </w:p>
        </w:tc>
        <w:tc>
          <w:tcPr>
            <w:tcW w:w="1876" w:type="dxa"/>
          </w:tcPr>
          <w:p>
            <w:pPr>
              <w:pStyle w:val="TableParagraph"/>
              <w:spacing w:before="0"/>
              <w:rPr>
                <w:rFonts w:ascii="Times New Roman"/>
                <w:sz w:val="20"/>
              </w:rPr>
            </w:pPr>
          </w:p>
        </w:tc>
        <w:tc>
          <w:tcPr>
            <w:tcW w:w="6732" w:type="dxa"/>
          </w:tcPr>
          <w:p>
            <w:pPr>
              <w:pStyle w:val="TableParagraph"/>
              <w:spacing w:line="211" w:lineRule="exact" w:before="0"/>
              <w:ind w:left="102"/>
              <w:rPr>
                <w:sz w:val="21"/>
              </w:rPr>
            </w:pPr>
            <w:r>
              <w:rPr>
                <w:sz w:val="21"/>
              </w:rPr>
              <w:t>（3）您申报的被保险人年龄或性别不真实，致使您实付保险费多于应付</w:t>
            </w:r>
          </w:p>
          <w:p>
            <w:pPr>
              <w:pStyle w:val="TableParagraph"/>
              <w:ind w:left="592"/>
              <w:rPr>
                <w:sz w:val="21"/>
              </w:rPr>
            </w:pPr>
            <w:r>
              <w:rPr>
                <w:sz w:val="21"/>
              </w:rPr>
              <w:t>保险费的，本公司会将多收的保险费退还给您。</w:t>
            </w:r>
          </w:p>
        </w:tc>
      </w:tr>
      <w:tr>
        <w:trPr>
          <w:trHeight w:val="1585" w:hRule="atLeast"/>
        </w:trPr>
        <w:tc>
          <w:tcPr>
            <w:tcW w:w="751" w:type="dxa"/>
          </w:tcPr>
          <w:p>
            <w:pPr>
              <w:pStyle w:val="TableParagraph"/>
              <w:spacing w:before="143"/>
              <w:ind w:left="108"/>
              <w:rPr>
                <w:b/>
                <w:sz w:val="21"/>
              </w:rPr>
            </w:pPr>
            <w:r>
              <w:rPr>
                <w:b/>
                <w:sz w:val="21"/>
              </w:rPr>
              <w:t>5.4</w:t>
            </w:r>
          </w:p>
        </w:tc>
        <w:tc>
          <w:tcPr>
            <w:tcW w:w="1876" w:type="dxa"/>
          </w:tcPr>
          <w:p>
            <w:pPr>
              <w:pStyle w:val="TableParagraph"/>
              <w:spacing w:before="143"/>
              <w:ind w:left="286"/>
              <w:rPr>
                <w:b/>
                <w:sz w:val="21"/>
              </w:rPr>
            </w:pPr>
            <w:r>
              <w:rPr>
                <w:b/>
                <w:sz w:val="21"/>
              </w:rPr>
              <w:t>未还款项</w:t>
            </w:r>
          </w:p>
        </w:tc>
        <w:tc>
          <w:tcPr>
            <w:tcW w:w="6732" w:type="dxa"/>
          </w:tcPr>
          <w:p>
            <w:pPr>
              <w:pStyle w:val="TableParagraph"/>
              <w:spacing w:line="273" w:lineRule="auto" w:before="143"/>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3" w:hRule="atLeast"/>
        </w:trPr>
        <w:tc>
          <w:tcPr>
            <w:tcW w:w="751"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rPr>
                <w:sz w:val="18"/>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rPr>
                <w:rFonts w:ascii="Times New Roman"/>
                <w:sz w:val="20"/>
              </w:rPr>
            </w:pPr>
          </w:p>
        </w:tc>
      </w:tr>
      <w:tr>
        <w:trPr>
          <w:trHeight w:val="1095" w:hRule="atLeast"/>
        </w:trPr>
        <w:tc>
          <w:tcPr>
            <w:tcW w:w="751" w:type="dxa"/>
            <w:tcBorders>
              <w:top w:val="single" w:sz="4" w:space="0" w:color="000000"/>
            </w:tcBorders>
          </w:tcPr>
          <w:p>
            <w:pPr>
              <w:pStyle w:val="TableParagraph"/>
              <w:spacing w:before="0"/>
              <w:rPr>
                <w:sz w:val="23"/>
              </w:rPr>
            </w:pPr>
          </w:p>
          <w:p>
            <w:pPr>
              <w:pStyle w:val="TableParagraph"/>
              <w:spacing w:before="0"/>
              <w:ind w:left="108"/>
              <w:rPr>
                <w:b/>
                <w:sz w:val="21"/>
              </w:rPr>
            </w:pPr>
            <w:r>
              <w:rPr>
                <w:b/>
                <w:sz w:val="21"/>
              </w:rPr>
              <w:t>6.1</w:t>
            </w:r>
          </w:p>
        </w:tc>
        <w:tc>
          <w:tcPr>
            <w:tcW w:w="1876" w:type="dxa"/>
            <w:tcBorders>
              <w:top w:val="single" w:sz="4" w:space="0" w:color="000000"/>
            </w:tcBorders>
          </w:tcPr>
          <w:p>
            <w:pPr>
              <w:pStyle w:val="TableParagraph"/>
              <w:spacing w:before="0"/>
              <w:rPr>
                <w:sz w:val="23"/>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0"/>
              <w:rPr>
                <w:sz w:val="23"/>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6" w:hRule="atLeast"/>
        </w:trPr>
        <w:tc>
          <w:tcPr>
            <w:tcW w:w="751" w:type="dxa"/>
          </w:tcPr>
          <w:p>
            <w:pPr>
              <w:pStyle w:val="TableParagraph"/>
              <w:spacing w:before="143"/>
              <w:ind w:left="108"/>
              <w:rPr>
                <w:b/>
                <w:sz w:val="21"/>
              </w:rPr>
            </w:pPr>
            <w:r>
              <w:rPr>
                <w:b/>
                <w:sz w:val="21"/>
              </w:rPr>
              <w:t>6.2</w:t>
            </w:r>
          </w:p>
        </w:tc>
        <w:tc>
          <w:tcPr>
            <w:tcW w:w="1876" w:type="dxa"/>
          </w:tcPr>
          <w:p>
            <w:pPr>
              <w:pStyle w:val="TableParagraph"/>
              <w:spacing w:before="143"/>
              <w:ind w:left="286"/>
              <w:rPr>
                <w:b/>
                <w:sz w:val="21"/>
              </w:rPr>
            </w:pPr>
            <w:r>
              <w:rPr>
                <w:b/>
                <w:sz w:val="21"/>
              </w:rPr>
              <w:t>有效身份证件</w:t>
            </w:r>
          </w:p>
        </w:tc>
        <w:tc>
          <w:tcPr>
            <w:tcW w:w="6732" w:type="dxa"/>
          </w:tcPr>
          <w:p>
            <w:pPr>
              <w:pStyle w:val="TableParagraph"/>
              <w:spacing w:line="273" w:lineRule="auto" w:before="143"/>
              <w:ind w:left="100" w:right="112"/>
              <w:rPr>
                <w:sz w:val="21"/>
              </w:rPr>
            </w:pPr>
            <w:r>
              <w:rPr>
                <w:sz w:val="21"/>
              </w:rPr>
              <w:t>指由政府主管部门规定的证明其身份的证件，如：居民身份证、按规定可使用的有效护照、军官证、警官证、士兵证等证件。</w:t>
            </w:r>
          </w:p>
        </w:tc>
      </w:tr>
      <w:tr>
        <w:trPr>
          <w:trHeight w:val="935" w:hRule="atLeast"/>
        </w:trPr>
        <w:tc>
          <w:tcPr>
            <w:tcW w:w="751" w:type="dxa"/>
          </w:tcPr>
          <w:p>
            <w:pPr>
              <w:pStyle w:val="TableParagraph"/>
              <w:spacing w:before="142"/>
              <w:ind w:left="108"/>
              <w:rPr>
                <w:b/>
                <w:sz w:val="21"/>
              </w:rPr>
            </w:pPr>
            <w:r>
              <w:rPr>
                <w:b/>
                <w:sz w:val="21"/>
              </w:rPr>
              <w:t>6.3</w:t>
            </w:r>
          </w:p>
        </w:tc>
        <w:tc>
          <w:tcPr>
            <w:tcW w:w="1876" w:type="dxa"/>
          </w:tcPr>
          <w:p>
            <w:pPr>
              <w:pStyle w:val="TableParagraph"/>
              <w:spacing w:before="142"/>
              <w:ind w:left="286"/>
              <w:rPr>
                <w:b/>
                <w:sz w:val="21"/>
              </w:rPr>
            </w:pPr>
            <w:r>
              <w:rPr>
                <w:b/>
                <w:sz w:val="21"/>
              </w:rPr>
              <w:t>现金价值</w:t>
            </w:r>
          </w:p>
        </w:tc>
        <w:tc>
          <w:tcPr>
            <w:tcW w:w="6732" w:type="dxa"/>
          </w:tcPr>
          <w:p>
            <w:pPr>
              <w:pStyle w:val="TableParagraph"/>
              <w:spacing w:line="273" w:lineRule="auto" w:before="142"/>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780" w:hRule="atLeast"/>
        </w:trPr>
        <w:tc>
          <w:tcPr>
            <w:tcW w:w="751" w:type="dxa"/>
          </w:tcPr>
          <w:p>
            <w:pPr>
              <w:pStyle w:val="TableParagraph"/>
              <w:spacing w:before="142"/>
              <w:ind w:left="108"/>
              <w:rPr>
                <w:b/>
                <w:sz w:val="21"/>
              </w:rPr>
            </w:pPr>
            <w:r>
              <w:rPr>
                <w:b/>
                <w:sz w:val="21"/>
              </w:rPr>
              <w:t>6.4</w:t>
            </w:r>
          </w:p>
        </w:tc>
        <w:tc>
          <w:tcPr>
            <w:tcW w:w="1876" w:type="dxa"/>
          </w:tcPr>
          <w:p>
            <w:pPr>
              <w:pStyle w:val="TableParagraph"/>
              <w:spacing w:before="142"/>
              <w:ind w:left="286"/>
              <w:rPr>
                <w:b/>
                <w:sz w:val="21"/>
              </w:rPr>
            </w:pPr>
            <w:r>
              <w:rPr>
                <w:b/>
                <w:sz w:val="21"/>
              </w:rPr>
              <w:t>A 组重大疾病</w:t>
            </w:r>
          </w:p>
        </w:tc>
        <w:tc>
          <w:tcPr>
            <w:tcW w:w="6732" w:type="dxa"/>
          </w:tcPr>
          <w:p>
            <w:pPr>
              <w:pStyle w:val="TableParagraph"/>
              <w:spacing w:line="273" w:lineRule="auto" w:before="142"/>
              <w:ind w:left="100" w:right="112"/>
              <w:rPr>
                <w:sz w:val="21"/>
              </w:rPr>
            </w:pPr>
            <w:r>
              <w:rPr>
                <w:sz w:val="21"/>
              </w:rPr>
              <w:t>指保险责任生效后，经专科医生明确诊断，被保险人初次发生符合以下疾病定义所述条件的疾病：</w:t>
            </w:r>
          </w:p>
        </w:tc>
      </w:tr>
      <w:tr>
        <w:trPr>
          <w:trHeight w:val="3537" w:hRule="atLeast"/>
        </w:trPr>
        <w:tc>
          <w:tcPr>
            <w:tcW w:w="751" w:type="dxa"/>
          </w:tcPr>
          <w:p>
            <w:pPr>
              <w:pStyle w:val="TableParagraph"/>
              <w:spacing w:before="0"/>
              <w:rPr>
                <w:rFonts w:ascii="Times New Roman"/>
                <w:sz w:val="20"/>
              </w:rPr>
            </w:pPr>
          </w:p>
        </w:tc>
        <w:tc>
          <w:tcPr>
            <w:tcW w:w="1876" w:type="dxa"/>
          </w:tcPr>
          <w:p>
            <w:pPr>
              <w:pStyle w:val="TableParagraph"/>
              <w:spacing w:line="261" w:lineRule="exact" w:before="0"/>
              <w:ind w:left="286"/>
              <w:rPr>
                <w:sz w:val="21"/>
              </w:rPr>
            </w:pPr>
            <w:r>
              <w:rPr>
                <w:sz w:val="21"/>
              </w:rPr>
              <w:t>(一) 恶性肿瘤</w:t>
            </w:r>
          </w:p>
          <w:p>
            <w:pPr>
              <w:pStyle w:val="TableParagraph"/>
              <w:spacing w:line="273" w:lineRule="auto"/>
              <w:ind w:left="286" w:right="114"/>
              <w:rPr>
                <w:sz w:val="21"/>
              </w:rPr>
            </w:pPr>
            <w:r>
              <w:rPr>
                <w:sz w:val="21"/>
              </w:rPr>
              <w:t>－“中国保险行业协会推荐”</w:t>
            </w:r>
          </w:p>
        </w:tc>
        <w:tc>
          <w:tcPr>
            <w:tcW w:w="6732" w:type="dxa"/>
          </w:tcPr>
          <w:p>
            <w:pPr>
              <w:pStyle w:val="TableParagraph"/>
              <w:spacing w:line="261" w:lineRule="exact" w:before="0"/>
              <w:ind w:left="100"/>
              <w:rPr>
                <w:sz w:val="21"/>
              </w:rPr>
            </w:pPr>
            <w:r>
              <w:rPr>
                <w:sz w:val="21"/>
              </w:rPr>
              <w:t>指恶性细胞不受控制的进行性增长和扩散，浸润和破坏周围正常组织，</w:t>
            </w:r>
          </w:p>
          <w:p>
            <w:pPr>
              <w:pStyle w:val="TableParagraph"/>
              <w:spacing w:line="273" w:lineRule="auto"/>
              <w:ind w:left="100" w:right="112"/>
              <w:jc w:val="both"/>
              <w:rPr>
                <w:sz w:val="21"/>
              </w:rPr>
            </w:pPr>
            <w:r>
              <w:rPr>
                <w:sz w:val="21"/>
              </w:rPr>
              <w:t>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00"/>
              <w:jc w:val="both"/>
              <w:rPr>
                <w:sz w:val="21"/>
              </w:rPr>
            </w:pPr>
            <w:r>
              <w:rPr>
                <w:sz w:val="21"/>
              </w:rPr>
              <w:t>下列疾病不在保障范围内：</w:t>
            </w:r>
          </w:p>
          <w:p>
            <w:pPr>
              <w:pStyle w:val="TableParagraph"/>
              <w:spacing w:before="36"/>
              <w:ind w:left="100"/>
              <w:jc w:val="both"/>
              <w:rPr>
                <w:sz w:val="21"/>
              </w:rPr>
            </w:pPr>
            <w:r>
              <w:rPr>
                <w:sz w:val="21"/>
              </w:rPr>
              <w:t>（1）原位癌；</w:t>
            </w:r>
          </w:p>
          <w:p>
            <w:pPr>
              <w:pStyle w:val="TableParagraph"/>
              <w:spacing w:before="36"/>
              <w:ind w:left="100"/>
              <w:jc w:val="both"/>
              <w:rPr>
                <w:sz w:val="21"/>
              </w:rPr>
            </w:pPr>
            <w:r>
              <w:rPr>
                <w:sz w:val="21"/>
              </w:rPr>
              <w:t>（2）相当于Binet分期方案A期程度的慢性淋巴细胞白血病；</w:t>
            </w:r>
          </w:p>
          <w:p>
            <w:pPr>
              <w:pStyle w:val="TableParagraph"/>
              <w:spacing w:before="36"/>
              <w:ind w:left="100"/>
              <w:jc w:val="both"/>
              <w:rPr>
                <w:sz w:val="21"/>
              </w:rPr>
            </w:pPr>
            <w:r>
              <w:rPr>
                <w:sz w:val="21"/>
              </w:rPr>
              <w:t>（3）相当于Ann Arbor分期方案I期程度的何杰金氏病；</w:t>
            </w:r>
          </w:p>
          <w:p>
            <w:pPr>
              <w:pStyle w:val="TableParagraph"/>
              <w:spacing w:line="273" w:lineRule="exact" w:before="15"/>
              <w:ind w:left="100"/>
              <w:jc w:val="both"/>
              <w:rPr>
                <w:sz w:val="21"/>
              </w:rPr>
            </w:pPr>
            <w:r>
              <w:rPr>
                <w:sz w:val="21"/>
              </w:rPr>
              <w:t>（4）皮肤癌（不包括恶性黑色素瘤及已发生转移的皮肤癌）；</w:t>
            </w:r>
          </w:p>
          <w:p>
            <w:pPr>
              <w:pStyle w:val="TableParagraph"/>
              <w:spacing w:line="229" w:lineRule="exact" w:before="0"/>
              <w:ind w:left="100"/>
              <w:jc w:val="both"/>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3"/>
              <w:ind w:left="100"/>
              <w:jc w:val="both"/>
              <w:rPr>
                <w:sz w:val="21"/>
              </w:rPr>
            </w:pPr>
            <w:r>
              <w:rPr>
                <w:sz w:val="21"/>
              </w:rPr>
              <w:t>（6）感染艾滋病病毒或患艾滋病期间所患恶性肿瘤。</w:t>
            </w:r>
          </w:p>
        </w:tc>
      </w:tr>
      <w:tr>
        <w:trPr>
          <w:trHeight w:val="1863" w:hRule="atLeast"/>
        </w:trPr>
        <w:tc>
          <w:tcPr>
            <w:tcW w:w="751" w:type="dxa"/>
          </w:tcPr>
          <w:p>
            <w:pPr>
              <w:pStyle w:val="TableParagraph"/>
              <w:spacing w:before="0"/>
              <w:rPr>
                <w:rFonts w:ascii="Times New Roman"/>
                <w:sz w:val="20"/>
              </w:rPr>
            </w:pPr>
          </w:p>
        </w:tc>
        <w:tc>
          <w:tcPr>
            <w:tcW w:w="1876" w:type="dxa"/>
          </w:tcPr>
          <w:p>
            <w:pPr>
              <w:pStyle w:val="TableParagraph"/>
              <w:spacing w:line="273" w:lineRule="auto" w:before="133"/>
              <w:ind w:left="286" w:right="97"/>
              <w:jc w:val="both"/>
              <w:rPr>
                <w:sz w:val="21"/>
              </w:rPr>
            </w:pPr>
            <w:r>
              <w:rPr>
                <w:spacing w:val="13"/>
                <w:sz w:val="21"/>
              </w:rPr>
              <w:t>(二) 重大器官</w:t>
            </w:r>
            <w:r>
              <w:rPr>
                <w:spacing w:val="-2"/>
                <w:sz w:val="21"/>
              </w:rPr>
              <w:t>移植术或造血干</w:t>
            </w:r>
            <w:r>
              <w:rPr>
                <w:spacing w:val="-32"/>
                <w:sz w:val="21"/>
              </w:rPr>
              <w:t>细 胞 移 植 术 －</w:t>
            </w:r>
          </w:p>
          <w:p>
            <w:pPr>
              <w:pStyle w:val="TableParagraph"/>
              <w:spacing w:line="273" w:lineRule="auto" w:before="7"/>
              <w:ind w:left="286" w:right="114"/>
              <w:jc w:val="both"/>
              <w:rPr>
                <w:sz w:val="21"/>
              </w:rPr>
            </w:pPr>
            <w:r>
              <w:rPr>
                <w:sz w:val="21"/>
              </w:rPr>
              <w:t>“中国保险行业协会推荐”</w:t>
            </w:r>
          </w:p>
        </w:tc>
        <w:tc>
          <w:tcPr>
            <w:tcW w:w="6732" w:type="dxa"/>
          </w:tcPr>
          <w:p>
            <w:pPr>
              <w:pStyle w:val="TableParagraph"/>
              <w:spacing w:line="273" w:lineRule="auto" w:before="133"/>
              <w:ind w:left="100" w:right="11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1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977" w:hRule="atLeast"/>
        </w:trPr>
        <w:tc>
          <w:tcPr>
            <w:tcW w:w="751" w:type="dxa"/>
          </w:tcPr>
          <w:p>
            <w:pPr>
              <w:pStyle w:val="TableParagraph"/>
              <w:spacing w:before="0"/>
              <w:rPr>
                <w:rFonts w:ascii="Times New Roman"/>
                <w:sz w:val="20"/>
              </w:rPr>
            </w:pPr>
          </w:p>
        </w:tc>
        <w:tc>
          <w:tcPr>
            <w:tcW w:w="1876" w:type="dxa"/>
          </w:tcPr>
          <w:p>
            <w:pPr>
              <w:pStyle w:val="TableParagraph"/>
              <w:spacing w:line="310" w:lineRule="atLeast" w:before="107"/>
              <w:ind w:left="286" w:right="97"/>
              <w:jc w:val="both"/>
              <w:rPr>
                <w:sz w:val="21"/>
              </w:rPr>
            </w:pPr>
            <w:r>
              <w:rPr>
                <w:spacing w:val="13"/>
                <w:sz w:val="21"/>
              </w:rPr>
              <w:t>(三) 终末期肾</w:t>
            </w:r>
            <w:r>
              <w:rPr>
                <w:sz w:val="21"/>
              </w:rPr>
              <w:t>病（</w:t>
            </w:r>
            <w:r>
              <w:rPr>
                <w:spacing w:val="-3"/>
                <w:sz w:val="21"/>
              </w:rPr>
              <w:t>或称慢性肾功能衰竭尿毒症期）－“中国保</w:t>
            </w:r>
            <w:r>
              <w:rPr>
                <w:spacing w:val="-33"/>
                <w:sz w:val="21"/>
              </w:rPr>
              <w:t>险 行 业 协 会 推荐”</w:t>
            </w:r>
          </w:p>
        </w:tc>
        <w:tc>
          <w:tcPr>
            <w:tcW w:w="6732" w:type="dxa"/>
          </w:tcPr>
          <w:p>
            <w:pPr>
              <w:pStyle w:val="TableParagraph"/>
              <w:spacing w:line="273" w:lineRule="auto" w:before="142"/>
              <w:ind w:left="100" w:right="10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73" w:lineRule="auto"/>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14"/>
      </w:tblGrid>
      <w:tr>
        <w:trPr>
          <w:trHeight w:val="1985" w:hRule="atLeast"/>
        </w:trPr>
        <w:tc>
          <w:tcPr>
            <w:tcW w:w="1796" w:type="dxa"/>
          </w:tcPr>
          <w:p>
            <w:pPr>
              <w:pStyle w:val="TableParagraph"/>
              <w:spacing w:line="209" w:lineRule="exact" w:before="0"/>
              <w:ind w:left="200"/>
              <w:rPr>
                <w:sz w:val="21"/>
              </w:rPr>
            </w:pPr>
            <w:r>
              <w:rPr>
                <w:sz w:val="21"/>
              </w:rPr>
              <w:t>(四) 急性或亚</w:t>
            </w:r>
          </w:p>
          <w:p>
            <w:pPr>
              <w:pStyle w:val="TableParagraph"/>
              <w:ind w:left="200"/>
              <w:rPr>
                <w:sz w:val="21"/>
              </w:rPr>
            </w:pPr>
            <w:r>
              <w:rPr>
                <w:sz w:val="21"/>
              </w:rPr>
              <w:t>急性重症肝炎－</w:t>
            </w:r>
          </w:p>
          <w:p>
            <w:pPr>
              <w:pStyle w:val="TableParagraph"/>
              <w:spacing w:line="273" w:lineRule="auto" w:before="36"/>
              <w:ind w:left="200" w:right="120"/>
              <w:rPr>
                <w:sz w:val="21"/>
              </w:rPr>
            </w:pPr>
            <w:r>
              <w:rPr>
                <w:sz w:val="21"/>
              </w:rPr>
              <w:t>“中国保险行业协会推荐”</w:t>
            </w:r>
          </w:p>
        </w:tc>
        <w:tc>
          <w:tcPr>
            <w:tcW w:w="6914" w:type="dxa"/>
          </w:tcPr>
          <w:p>
            <w:pPr>
              <w:pStyle w:val="TableParagraph"/>
              <w:spacing w:line="209" w:lineRule="exact" w:before="0"/>
              <w:ind w:left="94"/>
              <w:rPr>
                <w:sz w:val="21"/>
              </w:rPr>
            </w:pPr>
            <w:r>
              <w:rPr>
                <w:sz w:val="21"/>
              </w:rPr>
              <w:t>指因肝炎病毒感染引起肝脏组织弥漫性坏死，导致急性肝功能衰竭，且</w:t>
            </w:r>
          </w:p>
          <w:p>
            <w:pPr>
              <w:pStyle w:val="TableParagraph"/>
              <w:ind w:left="94"/>
              <w:rPr>
                <w:sz w:val="21"/>
              </w:rPr>
            </w:pPr>
            <w:r>
              <w:rPr>
                <w:sz w:val="21"/>
              </w:rPr>
              <w:t>经血清学或病毒学检查证实，并须满足下列全部条件：</w:t>
            </w:r>
          </w:p>
          <w:p>
            <w:pPr>
              <w:pStyle w:val="TableParagraph"/>
              <w:spacing w:before="36"/>
              <w:ind w:left="94"/>
              <w:rPr>
                <w:sz w:val="21"/>
              </w:rPr>
            </w:pPr>
            <w:r>
              <w:rPr>
                <w:sz w:val="21"/>
              </w:rPr>
              <w:t>（1）重度黄疸或黄疸迅速加重；</w:t>
            </w:r>
          </w:p>
          <w:p>
            <w:pPr>
              <w:pStyle w:val="TableParagraph"/>
              <w:spacing w:before="36"/>
              <w:ind w:left="94"/>
              <w:rPr>
                <w:sz w:val="21"/>
              </w:rPr>
            </w:pPr>
            <w:r>
              <w:rPr>
                <w:sz w:val="21"/>
              </w:rPr>
              <w:t>（2）肝性脑病；</w:t>
            </w:r>
          </w:p>
          <w:p>
            <w:pPr>
              <w:pStyle w:val="TableParagraph"/>
              <w:spacing w:before="36"/>
              <w:ind w:left="94"/>
              <w:rPr>
                <w:sz w:val="21"/>
              </w:rPr>
            </w:pPr>
            <w:r>
              <w:rPr>
                <w:sz w:val="21"/>
              </w:rPr>
              <w:t>（3）B超或其他影像学检查显示肝脏体积急速萎缩；</w:t>
            </w:r>
          </w:p>
          <w:p>
            <w:pPr>
              <w:pStyle w:val="TableParagraph"/>
              <w:spacing w:before="36"/>
              <w:ind w:left="94"/>
              <w:rPr>
                <w:sz w:val="21"/>
              </w:rPr>
            </w:pPr>
            <w:r>
              <w:rPr>
                <w:sz w:val="21"/>
              </w:rPr>
              <w:t>（</w:t>
            </w:r>
            <w:r>
              <w:rPr>
                <w:rFonts w:ascii="Times New Roman" w:eastAsia="Times New Roman"/>
                <w:sz w:val="21"/>
              </w:rPr>
              <w:t>4</w:t>
            </w:r>
            <w:r>
              <w:rPr>
                <w:sz w:val="21"/>
              </w:rPr>
              <w:t>）肝功能指标进行性恶化。</w:t>
            </w:r>
          </w:p>
        </w:tc>
      </w:tr>
      <w:tr>
        <w:trPr>
          <w:trHeight w:val="2173" w:hRule="atLeast"/>
        </w:trPr>
        <w:tc>
          <w:tcPr>
            <w:tcW w:w="1796" w:type="dxa"/>
          </w:tcPr>
          <w:p>
            <w:pPr>
              <w:pStyle w:val="TableParagraph"/>
              <w:spacing w:line="273" w:lineRule="auto" w:before="132"/>
              <w:ind w:left="200" w:right="103"/>
              <w:rPr>
                <w:sz w:val="21"/>
              </w:rPr>
            </w:pPr>
            <w:r>
              <w:rPr>
                <w:sz w:val="21"/>
              </w:rPr>
              <w:t>(五) 慢性肝功能衰竭失代偿期</w:t>
            </w:r>
          </w:p>
          <w:p>
            <w:pPr>
              <w:pStyle w:val="TableParagraph"/>
              <w:spacing w:line="273" w:lineRule="auto" w:before="7"/>
              <w:ind w:left="200" w:right="120"/>
              <w:rPr>
                <w:sz w:val="21"/>
              </w:rPr>
            </w:pPr>
            <w:r>
              <w:rPr>
                <w:sz w:val="21"/>
              </w:rPr>
              <w:t>－“中国保险行业协会推荐”</w:t>
            </w:r>
          </w:p>
        </w:tc>
        <w:tc>
          <w:tcPr>
            <w:tcW w:w="6914" w:type="dxa"/>
          </w:tcPr>
          <w:p>
            <w:pPr>
              <w:pStyle w:val="TableParagraph"/>
              <w:spacing w:before="132"/>
              <w:ind w:left="94"/>
              <w:rPr>
                <w:sz w:val="21"/>
              </w:rPr>
            </w:pPr>
            <w:r>
              <w:rPr>
                <w:sz w:val="21"/>
              </w:rPr>
              <w:t>指因慢性肝脏疾病导致肝功能衰竭。须满足下列全部条件：</w:t>
            </w:r>
          </w:p>
          <w:p>
            <w:pPr>
              <w:pStyle w:val="TableParagraph"/>
              <w:ind w:left="94"/>
              <w:rPr>
                <w:sz w:val="21"/>
              </w:rPr>
            </w:pPr>
            <w:r>
              <w:rPr>
                <w:sz w:val="21"/>
              </w:rPr>
              <w:t>（1）持续性黄疸；</w:t>
            </w:r>
          </w:p>
          <w:p>
            <w:pPr>
              <w:pStyle w:val="TableParagraph"/>
              <w:ind w:left="94"/>
              <w:rPr>
                <w:sz w:val="21"/>
              </w:rPr>
            </w:pPr>
            <w:r>
              <w:rPr>
                <w:sz w:val="21"/>
              </w:rPr>
              <w:t>（2）腹水；</w:t>
            </w:r>
          </w:p>
          <w:p>
            <w:pPr>
              <w:pStyle w:val="TableParagraph"/>
              <w:ind w:left="94"/>
              <w:rPr>
                <w:sz w:val="21"/>
              </w:rPr>
            </w:pPr>
            <w:r>
              <w:rPr>
                <w:sz w:val="21"/>
              </w:rPr>
              <w:t>（3）肝性脑病；</w:t>
            </w:r>
          </w:p>
          <w:p>
            <w:pPr>
              <w:pStyle w:val="TableParagraph"/>
              <w:spacing w:line="273" w:lineRule="auto"/>
              <w:ind w:left="94" w:right="1668"/>
              <w:rPr>
                <w:sz w:val="21"/>
              </w:rPr>
            </w:pPr>
            <w:r>
              <w:rPr>
                <w:sz w:val="21"/>
              </w:rPr>
              <w:t>（4）充血性脾肿大伴脾功能亢进或食管胃底静脉曲张。因酗酒或药物滥用导致的肝功能衰竭不在保障范围内。</w:t>
            </w:r>
          </w:p>
        </w:tc>
      </w:tr>
      <w:tr>
        <w:trPr>
          <w:trHeight w:val="1560" w:hRule="atLeast"/>
        </w:trPr>
        <w:tc>
          <w:tcPr>
            <w:tcW w:w="1796" w:type="dxa"/>
          </w:tcPr>
          <w:p>
            <w:pPr>
              <w:pStyle w:val="TableParagraph"/>
              <w:spacing w:line="266" w:lineRule="auto" w:before="143"/>
              <w:ind w:left="200" w:right="115"/>
              <w:jc w:val="both"/>
              <w:rPr>
                <w:sz w:val="21"/>
              </w:rPr>
            </w:pPr>
            <w:r>
              <w:rPr>
                <w:spacing w:val="2"/>
                <w:sz w:val="21"/>
              </w:rPr>
              <w:t>（</w:t>
            </w:r>
            <w:r>
              <w:rPr>
                <w:spacing w:val="5"/>
                <w:sz w:val="21"/>
              </w:rPr>
              <w:t>六</w:t>
            </w:r>
            <w:r>
              <w:rPr>
                <w:rFonts w:ascii="Times New Roman" w:hAnsi="Times New Roman" w:eastAsia="Times New Roman"/>
                <w:spacing w:val="6"/>
                <w:sz w:val="21"/>
              </w:rPr>
              <w:t>) </w:t>
            </w:r>
            <w:r>
              <w:rPr>
                <w:spacing w:val="2"/>
                <w:sz w:val="21"/>
              </w:rPr>
              <w:t>严重Ⅲ度</w:t>
            </w:r>
            <w:r>
              <w:rPr>
                <w:spacing w:val="-1"/>
                <w:sz w:val="21"/>
              </w:rPr>
              <w:t>烧伤－“中国保</w:t>
            </w:r>
            <w:r>
              <w:rPr>
                <w:spacing w:val="-32"/>
                <w:sz w:val="21"/>
              </w:rPr>
              <w:t>险 行 业 协 会 推荐”</w:t>
            </w:r>
          </w:p>
        </w:tc>
        <w:tc>
          <w:tcPr>
            <w:tcW w:w="6914" w:type="dxa"/>
          </w:tcPr>
          <w:p>
            <w:pPr>
              <w:pStyle w:val="TableParagraph"/>
              <w:spacing w:before="143"/>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0"/>
              <w:ind w:left="94"/>
              <w:rPr>
                <w:sz w:val="21"/>
              </w:rPr>
            </w:pPr>
            <w:r>
              <w:rPr>
                <w:sz w:val="21"/>
              </w:rPr>
              <w:t>以上。体表面积根据《中国新九分法》计算。</w:t>
            </w:r>
          </w:p>
        </w:tc>
      </w:tr>
      <w:tr>
        <w:trPr>
          <w:trHeight w:val="2467" w:hRule="atLeast"/>
        </w:trPr>
        <w:tc>
          <w:tcPr>
            <w:tcW w:w="1796" w:type="dxa"/>
          </w:tcPr>
          <w:p>
            <w:pPr>
              <w:pStyle w:val="TableParagraph"/>
              <w:spacing w:line="256" w:lineRule="auto" w:before="143"/>
              <w:ind w:left="200" w:right="91"/>
              <w:rPr>
                <w:sz w:val="21"/>
              </w:rPr>
            </w:pPr>
            <w:r>
              <w:rPr>
                <w:rFonts w:ascii="Times New Roman" w:eastAsia="Times New Roman"/>
                <w:spacing w:val="-12"/>
                <w:sz w:val="21"/>
              </w:rPr>
              <w:t>( </w:t>
            </w:r>
            <w:r>
              <w:rPr>
                <w:spacing w:val="26"/>
                <w:sz w:val="21"/>
              </w:rPr>
              <w:t>七</w:t>
            </w:r>
            <w:r>
              <w:rPr>
                <w:rFonts w:ascii="Times New Roman" w:eastAsia="Times New Roman"/>
                <w:spacing w:val="17"/>
                <w:sz w:val="21"/>
              </w:rPr>
              <w:t>) </w:t>
            </w:r>
            <w:r>
              <w:rPr>
                <w:spacing w:val="26"/>
                <w:sz w:val="21"/>
              </w:rPr>
              <w:t>重型再生</w:t>
            </w:r>
            <w:r>
              <w:rPr>
                <w:spacing w:val="-32"/>
                <w:sz w:val="21"/>
              </w:rPr>
              <w:t>障 碍 性 贫 血 －</w:t>
            </w:r>
          </w:p>
          <w:p>
            <w:pPr>
              <w:pStyle w:val="TableParagraph"/>
              <w:spacing w:line="273" w:lineRule="auto" w:before="22"/>
              <w:ind w:left="200" w:right="120"/>
              <w:rPr>
                <w:sz w:val="21"/>
              </w:rPr>
            </w:pPr>
            <w:r>
              <w:rPr>
                <w:sz w:val="21"/>
              </w:rPr>
              <w:t>“中国保险行业协会推荐”</w:t>
            </w:r>
          </w:p>
        </w:tc>
        <w:tc>
          <w:tcPr>
            <w:tcW w:w="6914" w:type="dxa"/>
          </w:tcPr>
          <w:p>
            <w:pPr>
              <w:pStyle w:val="TableParagraph"/>
              <w:spacing w:line="273" w:lineRule="auto" w:before="143"/>
              <w:ind w:left="94" w:right="293"/>
              <w:rPr>
                <w:sz w:val="21"/>
              </w:rPr>
            </w:pPr>
            <w:r>
              <w:rPr>
                <w:sz w:val="21"/>
              </w:rPr>
              <w:t>指因骨髓造血功能慢性持续性衰竭导致的贫血、中性粒细胞减少及血小板减少。须满足下列全部条件：</w:t>
            </w:r>
          </w:p>
          <w:p>
            <w:pPr>
              <w:pStyle w:val="TableParagraph"/>
              <w:spacing w:before="7"/>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5"/>
              <w:ind w:left="333"/>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5"/>
              <w:ind w:right="720"/>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2178" w:hRule="atLeast"/>
        </w:trPr>
        <w:tc>
          <w:tcPr>
            <w:tcW w:w="1796" w:type="dxa"/>
          </w:tcPr>
          <w:p>
            <w:pPr>
              <w:pStyle w:val="TableParagraph"/>
              <w:spacing w:line="256" w:lineRule="auto" w:before="134"/>
              <w:ind w:left="200" w:right="91"/>
              <w:rPr>
                <w:sz w:val="21"/>
              </w:rPr>
            </w:pPr>
            <w:r>
              <w:rPr>
                <w:rFonts w:ascii="Times New Roman" w:eastAsia="Times New Roman"/>
                <w:sz w:val="21"/>
              </w:rPr>
              <w:t>( </w:t>
            </w:r>
            <w:r>
              <w:rPr>
                <w:sz w:val="21"/>
              </w:rPr>
              <w:t>八</w:t>
            </w:r>
            <w:r>
              <w:rPr>
                <w:rFonts w:ascii="Times New Roman" w:eastAsia="Times New Roman"/>
                <w:sz w:val="21"/>
              </w:rPr>
              <w:t>) </w:t>
            </w:r>
            <w:r>
              <w:rPr>
                <w:sz w:val="21"/>
              </w:rPr>
              <w:t>慢性呼吸衰竭</w:t>
            </w:r>
          </w:p>
        </w:tc>
        <w:tc>
          <w:tcPr>
            <w:tcW w:w="6914" w:type="dxa"/>
          </w:tcPr>
          <w:p>
            <w:pPr>
              <w:pStyle w:val="TableParagraph"/>
              <w:spacing w:line="273" w:lineRule="auto" w:before="134"/>
              <w:ind w:left="94" w:right="293"/>
              <w:rPr>
                <w:sz w:val="21"/>
              </w:rPr>
            </w:pPr>
            <w:r>
              <w:rPr>
                <w:sz w:val="21"/>
              </w:rPr>
              <w:t>慢性肺部疾病导致永久不可逆性的慢性呼吸功能衰竭，必须由呼吸专科医师确认并符合下列所有条件：</w:t>
            </w:r>
          </w:p>
          <w:p>
            <w:pPr>
              <w:pStyle w:val="TableParagraph"/>
              <w:spacing w:before="7"/>
              <w:ind w:left="94"/>
              <w:rPr>
                <w:sz w:val="21"/>
              </w:rPr>
            </w:pPr>
            <w:r>
              <w:rPr>
                <w:sz w:val="21"/>
              </w:rPr>
              <w:t>（1）休息时出现呼吸困难；</w:t>
            </w:r>
          </w:p>
          <w:p>
            <w:pPr>
              <w:pStyle w:val="TableParagraph"/>
              <w:spacing w:before="36"/>
              <w:ind w:left="94"/>
              <w:rPr>
                <w:sz w:val="21"/>
              </w:rPr>
            </w:pPr>
            <w:r>
              <w:rPr>
                <w:position w:val="1"/>
                <w:sz w:val="21"/>
              </w:rPr>
              <w:t>（2）</w:t>
            </w:r>
            <w:r>
              <w:rPr>
                <w:spacing w:val="-3"/>
                <w:position w:val="1"/>
                <w:sz w:val="21"/>
              </w:rPr>
              <w:t>动脉血氧分压 </w:t>
            </w:r>
            <w:r>
              <w:rPr>
                <w:position w:val="1"/>
                <w:sz w:val="21"/>
              </w:rPr>
              <w:t>（PaO</w:t>
            </w:r>
            <w:r>
              <w:rPr>
                <w:sz w:val="11"/>
              </w:rPr>
              <w:t>2</w:t>
            </w:r>
            <w:r>
              <w:rPr>
                <w:spacing w:val="51"/>
                <w:sz w:val="11"/>
              </w:rPr>
              <w:t> </w:t>
            </w:r>
            <w:r>
              <w:rPr>
                <w:position w:val="1"/>
                <w:sz w:val="21"/>
              </w:rPr>
              <w:t>）&lt; 50mmHg；</w:t>
            </w:r>
          </w:p>
          <w:p>
            <w:pPr>
              <w:pStyle w:val="TableParagraph"/>
              <w:ind w:left="94"/>
              <w:rPr>
                <w:sz w:val="21"/>
              </w:rPr>
            </w:pPr>
            <w:r>
              <w:rPr>
                <w:position w:val="1"/>
                <w:sz w:val="21"/>
              </w:rPr>
              <w:t>（3）</w:t>
            </w:r>
            <w:r>
              <w:rPr>
                <w:spacing w:val="-3"/>
                <w:position w:val="1"/>
                <w:sz w:val="21"/>
              </w:rPr>
              <w:t>动脉血氧饱和度 </w:t>
            </w:r>
            <w:r>
              <w:rPr>
                <w:position w:val="1"/>
                <w:sz w:val="21"/>
              </w:rPr>
              <w:t>（SaO</w:t>
            </w:r>
            <w:r>
              <w:rPr>
                <w:sz w:val="11"/>
              </w:rPr>
              <w:t>2</w:t>
            </w:r>
            <w:r>
              <w:rPr>
                <w:spacing w:val="50"/>
                <w:sz w:val="11"/>
              </w:rPr>
              <w:t> </w:t>
            </w:r>
            <w:r>
              <w:rPr>
                <w:position w:val="1"/>
                <w:sz w:val="21"/>
              </w:rPr>
              <w:t>）&lt; 80%；</w:t>
            </w:r>
          </w:p>
          <w:p>
            <w:pPr>
              <w:pStyle w:val="TableParagraph"/>
              <w:ind w:left="94"/>
              <w:rPr>
                <w:sz w:val="21"/>
              </w:rPr>
            </w:pPr>
            <w:r>
              <w:rPr>
                <w:sz w:val="21"/>
              </w:rPr>
              <w:t>（4）因缺氧必须接受持续的输氧治疗。</w:t>
            </w:r>
          </w:p>
        </w:tc>
      </w:tr>
      <w:tr>
        <w:trPr>
          <w:trHeight w:val="3225" w:hRule="atLeast"/>
        </w:trPr>
        <w:tc>
          <w:tcPr>
            <w:tcW w:w="1796" w:type="dxa"/>
          </w:tcPr>
          <w:p>
            <w:pPr>
              <w:pStyle w:val="TableParagraph"/>
              <w:spacing w:line="273" w:lineRule="auto" w:before="140"/>
              <w:ind w:left="200" w:right="120"/>
              <w:jc w:val="both"/>
              <w:rPr>
                <w:sz w:val="21"/>
              </w:rPr>
            </w:pPr>
            <w:r>
              <w:rPr>
                <w:sz w:val="21"/>
              </w:rPr>
              <w:t>（九）经输血导致的人类免疫缺陷病毒感染</w:t>
            </w:r>
          </w:p>
        </w:tc>
        <w:tc>
          <w:tcPr>
            <w:tcW w:w="6914" w:type="dxa"/>
          </w:tcPr>
          <w:p>
            <w:pPr>
              <w:pStyle w:val="TableParagraph"/>
              <w:spacing w:before="140"/>
              <w:ind w:left="94"/>
              <w:rPr>
                <w:sz w:val="21"/>
              </w:rPr>
            </w:pPr>
            <w:r>
              <w:rPr>
                <w:sz w:val="21"/>
              </w:rPr>
              <w:t>被保险人感染上人类免疫缺陷病毒（HIV）并且符合下列所有条件：</w:t>
            </w:r>
          </w:p>
          <w:p>
            <w:pPr>
              <w:pStyle w:val="TableParagraph"/>
              <w:spacing w:before="36"/>
              <w:ind w:left="94"/>
              <w:rPr>
                <w:sz w:val="21"/>
              </w:rPr>
            </w:pPr>
            <w:r>
              <w:rPr>
                <w:sz w:val="21"/>
              </w:rPr>
              <w:t>（1）在保障起始日或复效日之后，被保险人因输血而感染HIV；</w:t>
            </w:r>
          </w:p>
          <w:p>
            <w:pPr>
              <w:pStyle w:val="TableParagraph"/>
              <w:spacing w:line="273" w:lineRule="auto" w:before="36"/>
              <w:ind w:left="619" w:right="288" w:hanging="526"/>
              <w:rPr>
                <w:sz w:val="21"/>
              </w:rPr>
            </w:pPr>
            <w:r>
              <w:rPr>
                <w:w w:val="100"/>
                <w:sz w:val="21"/>
              </w:rPr>
              <w:t>（2</w:t>
            </w:r>
            <w:r>
              <w:rPr>
                <w:spacing w:val="-94"/>
                <w:w w:val="100"/>
                <w:sz w:val="21"/>
              </w:rPr>
              <w:t>）</w:t>
            </w:r>
            <w:r>
              <w:rPr>
                <w:spacing w:val="-3"/>
                <w:w w:val="100"/>
                <w:sz w:val="21"/>
              </w:rPr>
              <w:t>提供输血治疗的输血中心或医院出具该项输血感染属医疗责任事故</w:t>
            </w:r>
            <w:r>
              <w:rPr>
                <w:spacing w:val="-3"/>
                <w:sz w:val="21"/>
              </w:rPr>
              <w:t>的报告，或者法院终审裁定为医疗责任并且不准上诉；</w:t>
            </w:r>
          </w:p>
          <w:p>
            <w:pPr>
              <w:pStyle w:val="TableParagraph"/>
              <w:spacing w:before="7"/>
              <w:ind w:left="94"/>
              <w:rPr>
                <w:sz w:val="21"/>
              </w:rPr>
            </w:pPr>
            <w:r>
              <w:rPr>
                <w:sz w:val="21"/>
              </w:rPr>
              <w:t>（3）受感染的被保险人不是血友病患者；</w:t>
            </w:r>
          </w:p>
          <w:p>
            <w:pPr>
              <w:pStyle w:val="TableParagraph"/>
              <w:spacing w:line="310" w:lineRule="atLeast" w:before="2"/>
              <w:ind w:left="94" w:right="197"/>
              <w:rPr>
                <w:sz w:val="21"/>
              </w:rPr>
            </w:pPr>
            <w:r>
              <w:rPr>
                <w:spacing w:val="-3"/>
                <w:sz w:val="21"/>
              </w:rPr>
              <w:t>在任何治愈艾滋病</w:t>
            </w:r>
            <w:r>
              <w:rPr>
                <w:sz w:val="21"/>
              </w:rPr>
              <w:t>（AIDS）</w:t>
            </w:r>
            <w:r>
              <w:rPr>
                <w:spacing w:val="-13"/>
                <w:sz w:val="21"/>
              </w:rPr>
              <w:t>或阻止 </w:t>
            </w:r>
            <w:r>
              <w:rPr>
                <w:sz w:val="21"/>
              </w:rPr>
              <w:t>HIV</w:t>
            </w:r>
            <w:r>
              <w:rPr>
                <w:spacing w:val="-9"/>
                <w:sz w:val="21"/>
              </w:rPr>
              <w:t> 病毒作用的疗法被发现以后，或</w:t>
            </w:r>
            <w:r>
              <w:rPr>
                <w:spacing w:val="-13"/>
                <w:sz w:val="21"/>
              </w:rPr>
              <w:t>能防止 </w:t>
            </w:r>
            <w:r>
              <w:rPr>
                <w:sz w:val="21"/>
              </w:rPr>
              <w:t>AIDS</w:t>
            </w:r>
            <w:r>
              <w:rPr>
                <w:spacing w:val="-8"/>
                <w:sz w:val="21"/>
              </w:rPr>
              <w:t> 发生的医疗方法被研究出来以后，本保障将不再予以赔付。</w:t>
            </w:r>
            <w:r>
              <w:rPr>
                <w:spacing w:val="-9"/>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bl>
    <w:p>
      <w:pPr>
        <w:spacing w:after="0" w:line="310" w:lineRule="atLeast"/>
        <w:rPr>
          <w:sz w:val="21"/>
        </w:rPr>
        <w:sectPr>
          <w:pgSz w:w="11910" w:h="16840"/>
          <w:pgMar w:header="0" w:footer="912" w:top="1480" w:bottom="1100" w:left="1680" w:right="12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97"/>
        <w:gridCol w:w="6932"/>
      </w:tblGrid>
      <w:tr>
        <w:trPr>
          <w:trHeight w:val="1042" w:hRule="atLeast"/>
        </w:trPr>
        <w:tc>
          <w:tcPr>
            <w:tcW w:w="823" w:type="dxa"/>
          </w:tcPr>
          <w:p>
            <w:pPr>
              <w:pStyle w:val="TableParagraph"/>
              <w:spacing w:before="0"/>
              <w:rPr>
                <w:rFonts w:ascii="Times New Roman"/>
                <w:sz w:val="20"/>
              </w:rPr>
            </w:pPr>
          </w:p>
        </w:tc>
        <w:tc>
          <w:tcPr>
            <w:tcW w:w="1897" w:type="dxa"/>
          </w:tcPr>
          <w:p>
            <w:pPr>
              <w:pStyle w:val="TableParagraph"/>
              <w:spacing w:line="211" w:lineRule="exact" w:before="0"/>
              <w:ind w:left="306"/>
              <w:rPr>
                <w:sz w:val="21"/>
              </w:rPr>
            </w:pPr>
            <w:r>
              <w:rPr>
                <w:sz w:val="21"/>
              </w:rPr>
              <w:t>（十）急性坏死</w:t>
            </w:r>
          </w:p>
          <w:p>
            <w:pPr>
              <w:pStyle w:val="TableParagraph"/>
              <w:ind w:left="306"/>
              <w:rPr>
                <w:sz w:val="21"/>
              </w:rPr>
            </w:pPr>
            <w:r>
              <w:rPr>
                <w:sz w:val="21"/>
              </w:rPr>
              <w:t>性胰腺炎</w:t>
            </w:r>
          </w:p>
        </w:tc>
        <w:tc>
          <w:tcPr>
            <w:tcW w:w="6932" w:type="dxa"/>
          </w:tcPr>
          <w:p>
            <w:pPr>
              <w:pStyle w:val="TableParagraph"/>
              <w:spacing w:line="211" w:lineRule="exact" w:before="0"/>
              <w:ind w:left="99"/>
              <w:rPr>
                <w:sz w:val="21"/>
              </w:rPr>
            </w:pPr>
            <w:r>
              <w:rPr>
                <w:sz w:val="21"/>
              </w:rPr>
              <w:t>指经专科医生确诊为急性坏死性胰腺炎，确实实施了坏死组织清除、病</w:t>
            </w:r>
          </w:p>
          <w:p>
            <w:pPr>
              <w:pStyle w:val="TableParagraph"/>
              <w:spacing w:line="273" w:lineRule="auto"/>
              <w:ind w:left="99" w:right="313"/>
              <w:rPr>
                <w:sz w:val="21"/>
              </w:rPr>
            </w:pPr>
            <w:r>
              <w:rPr>
                <w:sz w:val="21"/>
              </w:rPr>
              <w:t>灶切除或胰腺部分切除的手术治疗，但不包括因酒精中毒引起的急性坏死性胰腺炎。</w:t>
            </w:r>
          </w:p>
        </w:tc>
      </w:tr>
      <w:tr>
        <w:trPr>
          <w:trHeight w:val="4992" w:hRule="atLeast"/>
        </w:trPr>
        <w:tc>
          <w:tcPr>
            <w:tcW w:w="823" w:type="dxa"/>
          </w:tcPr>
          <w:p>
            <w:pPr>
              <w:pStyle w:val="TableParagraph"/>
              <w:spacing w:before="0"/>
              <w:rPr>
                <w:rFonts w:ascii="Times New Roman"/>
                <w:sz w:val="20"/>
              </w:rPr>
            </w:pPr>
          </w:p>
        </w:tc>
        <w:tc>
          <w:tcPr>
            <w:tcW w:w="1897" w:type="dxa"/>
          </w:tcPr>
          <w:p>
            <w:pPr>
              <w:pStyle w:val="TableParagraph"/>
              <w:spacing w:before="142"/>
              <w:ind w:left="306"/>
              <w:rPr>
                <w:sz w:val="21"/>
              </w:rPr>
            </w:pPr>
            <w:r>
              <w:rPr>
                <w:sz w:val="21"/>
              </w:rPr>
              <w:t>（十一）</w:t>
            </w:r>
          </w:p>
          <w:p>
            <w:pPr>
              <w:pStyle w:val="TableParagraph"/>
              <w:spacing w:before="36"/>
              <w:ind w:left="306"/>
              <w:rPr>
                <w:sz w:val="21"/>
              </w:rPr>
            </w:pPr>
            <w:r>
              <w:rPr>
                <w:sz w:val="21"/>
              </w:rPr>
              <w:t>系统性红斑狼疮</w:t>
            </w:r>
          </w:p>
          <w:p>
            <w:pPr>
              <w:pStyle w:val="TableParagraph"/>
              <w:spacing w:line="273" w:lineRule="auto" w:before="36"/>
              <w:ind w:left="306" w:right="209"/>
              <w:rPr>
                <w:sz w:val="21"/>
              </w:rPr>
            </w:pPr>
            <w:r>
              <w:rPr>
                <w:sz w:val="21"/>
              </w:rPr>
              <w:t>－ III 型或以上狼疮性肾炎</w:t>
            </w:r>
          </w:p>
        </w:tc>
        <w:tc>
          <w:tcPr>
            <w:tcW w:w="6932" w:type="dxa"/>
          </w:tcPr>
          <w:p>
            <w:pPr>
              <w:pStyle w:val="TableParagraph"/>
              <w:spacing w:line="273" w:lineRule="auto" w:before="142"/>
              <w:ind w:left="99" w:right="313"/>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99" w:right="313"/>
              <w:jc w:val="both"/>
              <w:rPr>
                <w:sz w:val="21"/>
              </w:rPr>
            </w:pPr>
            <w:r>
              <w:rPr>
                <w:spacing w:val="-3"/>
                <w:sz w:val="21"/>
              </w:rPr>
              <w:t>本保单所指的系统性红斑狼疮仅限于累及肾脏</w:t>
            </w:r>
            <w:r>
              <w:rPr>
                <w:sz w:val="21"/>
              </w:rPr>
              <w:t>（</w:t>
            </w:r>
            <w:r>
              <w:rPr>
                <w:spacing w:val="-3"/>
                <w:sz w:val="21"/>
              </w:rPr>
              <w:t>经肾脏活检确认的，符</w:t>
            </w:r>
            <w:r>
              <w:rPr>
                <w:spacing w:val="-26"/>
                <w:sz w:val="21"/>
              </w:rPr>
              <w:t>合 </w:t>
            </w:r>
            <w:r>
              <w:rPr>
                <w:sz w:val="21"/>
              </w:rPr>
              <w:t>WHO</w:t>
            </w:r>
            <w:r>
              <w:rPr>
                <w:spacing w:val="-15"/>
                <w:sz w:val="21"/>
              </w:rPr>
              <w:t> 诊断标准定义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的系统性红斑狼疮。其他类型的红斑性狼疮，如盘状狼疮、仅累及血液及关节的狼疮不在本保单保障范围內。</w:t>
            </w:r>
          </w:p>
          <w:p>
            <w:pPr>
              <w:pStyle w:val="TableParagraph"/>
              <w:spacing w:before="7"/>
              <w:ind w:left="99"/>
              <w:jc w:val="both"/>
              <w:rPr>
                <w:sz w:val="21"/>
              </w:rPr>
            </w:pPr>
            <w:r>
              <w:rPr>
                <w:sz w:val="21"/>
              </w:rPr>
              <w:t>本病必须由免疫和风湿科专家医师确诊。</w:t>
            </w:r>
          </w:p>
          <w:p>
            <w:pPr>
              <w:pStyle w:val="TableParagraph"/>
              <w:spacing w:before="8"/>
              <w:rPr>
                <w:sz w:val="26"/>
              </w:rPr>
            </w:pPr>
          </w:p>
          <w:p>
            <w:pPr>
              <w:pStyle w:val="TableParagraph"/>
              <w:spacing w:before="0"/>
              <w:ind w:left="99"/>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11"/>
              </w:numPr>
              <w:tabs>
                <w:tab w:pos="383" w:val="left" w:leader="none"/>
                <w:tab w:pos="2449" w:val="left" w:leader="none"/>
              </w:tabs>
              <w:spacing w:line="240" w:lineRule="auto" w:before="37" w:after="0"/>
              <w:ind w:left="224"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11"/>
              </w:numPr>
              <w:tabs>
                <w:tab w:pos="489" w:val="left" w:leader="none"/>
                <w:tab w:pos="2449" w:val="left" w:leader="none"/>
              </w:tabs>
              <w:spacing w:line="240" w:lineRule="auto" w:before="36" w:after="0"/>
              <w:ind w:left="488"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11"/>
              </w:numPr>
              <w:tabs>
                <w:tab w:pos="594" w:val="left" w:leader="none"/>
                <w:tab w:pos="2449" w:val="left" w:leader="none"/>
              </w:tabs>
              <w:spacing w:line="273" w:lineRule="auto" w:before="36" w:after="0"/>
              <w:ind w:left="224" w:right="2586" w:firstLine="0"/>
              <w:jc w:val="left"/>
              <w:rPr>
                <w:sz w:val="21"/>
              </w:rPr>
            </w:pPr>
            <w:r>
              <w:rPr>
                <w:spacing w:val="-41"/>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11"/>
              </w:numPr>
              <w:tabs>
                <w:tab w:pos="489" w:val="left" w:leader="none"/>
                <w:tab w:pos="2449" w:val="left" w:leader="none"/>
              </w:tabs>
              <w:spacing w:line="240" w:lineRule="auto" w:before="7" w:after="0"/>
              <w:ind w:left="488"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11"/>
              </w:numPr>
              <w:tabs>
                <w:tab w:pos="383" w:val="left" w:leader="none"/>
                <w:tab w:pos="2449" w:val="left" w:leader="none"/>
              </w:tabs>
              <w:spacing w:line="240" w:lineRule="auto" w:before="37" w:after="0"/>
              <w:ind w:left="224"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936" w:hRule="atLeast"/>
        </w:trPr>
        <w:tc>
          <w:tcPr>
            <w:tcW w:w="823" w:type="dxa"/>
          </w:tcPr>
          <w:p>
            <w:pPr>
              <w:pStyle w:val="TableParagraph"/>
              <w:spacing w:before="142"/>
              <w:ind w:left="200"/>
              <w:rPr>
                <w:b/>
                <w:sz w:val="21"/>
              </w:rPr>
            </w:pPr>
            <w:r>
              <w:rPr>
                <w:b/>
                <w:sz w:val="21"/>
              </w:rPr>
              <w:t>6.5</w:t>
            </w:r>
          </w:p>
        </w:tc>
        <w:tc>
          <w:tcPr>
            <w:tcW w:w="1897" w:type="dxa"/>
          </w:tcPr>
          <w:p>
            <w:pPr>
              <w:pStyle w:val="TableParagraph"/>
              <w:spacing w:before="142"/>
              <w:ind w:left="306"/>
              <w:rPr>
                <w:b/>
                <w:sz w:val="21"/>
              </w:rPr>
            </w:pPr>
            <w:r>
              <w:rPr>
                <w:b/>
                <w:sz w:val="21"/>
              </w:rPr>
              <w:t>B 组重大疾病</w:t>
            </w:r>
          </w:p>
        </w:tc>
        <w:tc>
          <w:tcPr>
            <w:tcW w:w="6932" w:type="dxa"/>
          </w:tcPr>
          <w:p>
            <w:pPr>
              <w:pStyle w:val="TableParagraph"/>
              <w:spacing w:line="273" w:lineRule="auto" w:before="142"/>
              <w:ind w:left="99" w:right="313"/>
              <w:rPr>
                <w:sz w:val="21"/>
              </w:rPr>
            </w:pPr>
            <w:r>
              <w:rPr>
                <w:sz w:val="21"/>
              </w:rPr>
              <w:t>指保险责任生效后，经专科医生明确诊断，被保险人初次发生符合以下疾病定义所述条件的疾病：</w:t>
            </w:r>
          </w:p>
        </w:tc>
      </w:tr>
      <w:tr>
        <w:trPr>
          <w:trHeight w:val="2496" w:hRule="atLeast"/>
        </w:trPr>
        <w:tc>
          <w:tcPr>
            <w:tcW w:w="823" w:type="dxa"/>
          </w:tcPr>
          <w:p>
            <w:pPr>
              <w:pStyle w:val="TableParagraph"/>
              <w:spacing w:before="0"/>
              <w:rPr>
                <w:rFonts w:ascii="Times New Roman"/>
                <w:sz w:val="20"/>
              </w:rPr>
            </w:pPr>
          </w:p>
        </w:tc>
        <w:tc>
          <w:tcPr>
            <w:tcW w:w="1897" w:type="dxa"/>
          </w:tcPr>
          <w:p>
            <w:pPr>
              <w:pStyle w:val="TableParagraph"/>
              <w:spacing w:line="273" w:lineRule="auto" w:before="142"/>
              <w:ind w:left="306" w:right="98"/>
              <w:jc w:val="both"/>
              <w:rPr>
                <w:sz w:val="21"/>
              </w:rPr>
            </w:pPr>
            <w:r>
              <w:rPr>
                <w:spacing w:val="13"/>
                <w:sz w:val="21"/>
              </w:rPr>
              <w:t>(一) 脑中风后</w:t>
            </w:r>
            <w:r>
              <w:rPr>
                <w:spacing w:val="-1"/>
                <w:sz w:val="21"/>
              </w:rPr>
              <w:t>遗症－“中国保</w:t>
            </w:r>
            <w:r>
              <w:rPr>
                <w:spacing w:val="-32"/>
                <w:sz w:val="21"/>
              </w:rPr>
              <w:t>险 行 业 协 会 推荐”</w:t>
            </w:r>
          </w:p>
        </w:tc>
        <w:tc>
          <w:tcPr>
            <w:tcW w:w="6932" w:type="dxa"/>
          </w:tcPr>
          <w:p>
            <w:pPr>
              <w:pStyle w:val="TableParagraph"/>
              <w:spacing w:line="273" w:lineRule="auto" w:before="142"/>
              <w:ind w:left="99" w:right="209"/>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ind w:left="99"/>
              <w:rPr>
                <w:sz w:val="21"/>
              </w:rPr>
            </w:pPr>
            <w:r>
              <w:rPr>
                <w:sz w:val="21"/>
              </w:rPr>
              <w:t>（1）一肢或一肢以上</w:t>
            </w:r>
            <w:r>
              <w:rPr>
                <w:b/>
                <w:sz w:val="21"/>
              </w:rPr>
              <w:t>肢体机能完全丧失</w:t>
            </w:r>
            <w:r>
              <w:rPr>
                <w:sz w:val="21"/>
              </w:rPr>
              <w:t>（见释义6.16）；</w:t>
            </w:r>
          </w:p>
          <w:p>
            <w:pPr>
              <w:pStyle w:val="TableParagraph"/>
              <w:ind w:left="99"/>
              <w:rPr>
                <w:sz w:val="21"/>
              </w:rPr>
            </w:pPr>
            <w:r>
              <w:rPr>
                <w:sz w:val="21"/>
              </w:rPr>
              <w:t>（2）</w:t>
            </w:r>
            <w:r>
              <w:rPr>
                <w:b/>
                <w:sz w:val="21"/>
              </w:rPr>
              <w:t>语言能力或咀嚼吞咽能力完全丧失</w:t>
            </w:r>
            <w:r>
              <w:rPr>
                <w:sz w:val="21"/>
              </w:rPr>
              <w:t>（见释义6.17）；</w:t>
            </w:r>
          </w:p>
          <w:p>
            <w:pPr>
              <w:pStyle w:val="TableParagraph"/>
              <w:spacing w:line="256" w:lineRule="auto"/>
              <w:ind w:left="625" w:right="305"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w:t>
            </w:r>
            <w:r>
              <w:rPr>
                <w:b/>
                <w:spacing w:val="-4"/>
                <w:sz w:val="21"/>
              </w:rPr>
              <w:t>六项基本日常生活活动</w:t>
            </w:r>
            <w:r>
              <w:rPr>
                <w:spacing w:val="-3"/>
                <w:sz w:val="21"/>
              </w:rPr>
              <w:t>（</w:t>
            </w:r>
            <w:r>
              <w:rPr>
                <w:sz w:val="21"/>
              </w:rPr>
              <w:t>见</w:t>
            </w:r>
            <w:r>
              <w:rPr>
                <w:spacing w:val="-14"/>
                <w:sz w:val="21"/>
              </w:rPr>
              <w:t>释义 </w:t>
            </w:r>
            <w:r>
              <w:rPr>
                <w:sz w:val="21"/>
              </w:rPr>
              <w:t>6.18）</w:t>
            </w:r>
            <w:r>
              <w:rPr>
                <w:spacing w:val="-3"/>
                <w:sz w:val="21"/>
              </w:rPr>
              <w:t>中的三项或三项以上。</w:t>
            </w:r>
          </w:p>
        </w:tc>
      </w:tr>
      <w:tr>
        <w:trPr>
          <w:trHeight w:val="1560" w:hRule="atLeast"/>
        </w:trPr>
        <w:tc>
          <w:tcPr>
            <w:tcW w:w="823" w:type="dxa"/>
          </w:tcPr>
          <w:p>
            <w:pPr>
              <w:pStyle w:val="TableParagraph"/>
              <w:spacing w:before="0"/>
              <w:rPr>
                <w:rFonts w:ascii="Times New Roman"/>
                <w:sz w:val="20"/>
              </w:rPr>
            </w:pPr>
          </w:p>
        </w:tc>
        <w:tc>
          <w:tcPr>
            <w:tcW w:w="1897" w:type="dxa"/>
          </w:tcPr>
          <w:p>
            <w:pPr>
              <w:pStyle w:val="TableParagraph"/>
              <w:spacing w:line="273" w:lineRule="auto" w:before="142"/>
              <w:ind w:left="306" w:right="98"/>
              <w:jc w:val="both"/>
              <w:rPr>
                <w:sz w:val="21"/>
              </w:rPr>
            </w:pPr>
            <w:r>
              <w:rPr>
                <w:spacing w:val="13"/>
                <w:sz w:val="21"/>
              </w:rPr>
              <w:t>(二) 多个肢体</w:t>
            </w:r>
            <w:r>
              <w:rPr>
                <w:spacing w:val="-1"/>
                <w:sz w:val="21"/>
              </w:rPr>
              <w:t>缺失－“中国保</w:t>
            </w:r>
            <w:r>
              <w:rPr>
                <w:spacing w:val="-32"/>
                <w:sz w:val="21"/>
              </w:rPr>
              <w:t>险 行 业 协 会 推荐”</w:t>
            </w:r>
          </w:p>
        </w:tc>
        <w:tc>
          <w:tcPr>
            <w:tcW w:w="6932" w:type="dxa"/>
          </w:tcPr>
          <w:p>
            <w:pPr>
              <w:pStyle w:val="TableParagraph"/>
              <w:spacing w:before="142"/>
              <w:ind w:left="99"/>
              <w:rPr>
                <w:sz w:val="21"/>
              </w:rPr>
            </w:pPr>
            <w:r>
              <w:rPr>
                <w:sz w:val="21"/>
              </w:rPr>
              <w:t>指因疾病或意外伤害导致两个或两个以上肢体自腕关节或踝关节近端</w:t>
            </w:r>
          </w:p>
          <w:p>
            <w:pPr>
              <w:pStyle w:val="TableParagraph"/>
              <w:spacing w:before="36"/>
              <w:ind w:left="99"/>
              <w:rPr>
                <w:sz w:val="21"/>
              </w:rPr>
            </w:pPr>
            <w:r>
              <w:rPr>
                <w:sz w:val="21"/>
              </w:rPr>
              <w:t>（靠近躯干端）以上完全性断离。</w:t>
            </w:r>
          </w:p>
        </w:tc>
      </w:tr>
      <w:tr>
        <w:trPr>
          <w:trHeight w:val="2496" w:hRule="atLeast"/>
        </w:trPr>
        <w:tc>
          <w:tcPr>
            <w:tcW w:w="823" w:type="dxa"/>
          </w:tcPr>
          <w:p>
            <w:pPr>
              <w:pStyle w:val="TableParagraph"/>
              <w:spacing w:before="0"/>
              <w:rPr>
                <w:rFonts w:ascii="Times New Roman"/>
                <w:sz w:val="20"/>
              </w:rPr>
            </w:pPr>
          </w:p>
        </w:tc>
        <w:tc>
          <w:tcPr>
            <w:tcW w:w="1897" w:type="dxa"/>
          </w:tcPr>
          <w:p>
            <w:pPr>
              <w:pStyle w:val="TableParagraph"/>
              <w:spacing w:line="273" w:lineRule="auto" w:before="143"/>
              <w:ind w:left="306" w:right="98"/>
              <w:jc w:val="both"/>
              <w:rPr>
                <w:sz w:val="21"/>
              </w:rPr>
            </w:pPr>
            <w:r>
              <w:rPr>
                <w:sz w:val="21"/>
              </w:rPr>
              <w:t>(三) 良性脑肿瘤－“中国保险行业协会推荐”</w:t>
            </w:r>
          </w:p>
        </w:tc>
        <w:tc>
          <w:tcPr>
            <w:tcW w:w="6932" w:type="dxa"/>
          </w:tcPr>
          <w:p>
            <w:pPr>
              <w:pStyle w:val="TableParagraph"/>
              <w:spacing w:line="273" w:lineRule="auto" w:before="143"/>
              <w:ind w:left="99" w:right="198"/>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8"/>
              <w:ind w:left="99"/>
              <w:rPr>
                <w:sz w:val="21"/>
              </w:rPr>
            </w:pPr>
            <w:r>
              <w:rPr>
                <w:sz w:val="21"/>
              </w:rPr>
              <w:t>（1）实际实施了开颅进行的脑肿瘤完全切除或部分切除的手术；</w:t>
            </w:r>
          </w:p>
          <w:p>
            <w:pPr>
              <w:pStyle w:val="TableParagraph"/>
              <w:ind w:left="99"/>
              <w:rPr>
                <w:sz w:val="21"/>
              </w:rPr>
            </w:pPr>
            <w:r>
              <w:rPr>
                <w:sz w:val="21"/>
              </w:rPr>
              <w:t>（2）实际实施了对脑肿瘤进行的放射治疗。</w:t>
            </w:r>
          </w:p>
          <w:p>
            <w:pPr>
              <w:pStyle w:val="TableParagraph"/>
              <w:ind w:left="99"/>
              <w:rPr>
                <w:sz w:val="21"/>
              </w:rPr>
            </w:pPr>
            <w:r>
              <w:rPr>
                <w:sz w:val="21"/>
              </w:rPr>
              <w:t>脑垂体瘤、脑囊肿、脑血管性疾病不在保障范围内。</w:t>
            </w:r>
          </w:p>
        </w:tc>
      </w:tr>
      <w:tr>
        <w:trPr>
          <w:trHeight w:val="729" w:hRule="atLeast"/>
        </w:trPr>
        <w:tc>
          <w:tcPr>
            <w:tcW w:w="823" w:type="dxa"/>
          </w:tcPr>
          <w:p>
            <w:pPr>
              <w:pStyle w:val="TableParagraph"/>
              <w:spacing w:before="0"/>
              <w:rPr>
                <w:rFonts w:ascii="Times New Roman"/>
                <w:sz w:val="20"/>
              </w:rPr>
            </w:pPr>
          </w:p>
        </w:tc>
        <w:tc>
          <w:tcPr>
            <w:tcW w:w="1897" w:type="dxa"/>
          </w:tcPr>
          <w:p>
            <w:pPr>
              <w:pStyle w:val="TableParagraph"/>
              <w:spacing w:line="310" w:lineRule="atLeast" w:before="107"/>
              <w:ind w:left="306" w:right="98"/>
              <w:rPr>
                <w:sz w:val="21"/>
              </w:rPr>
            </w:pPr>
            <w:r>
              <w:rPr>
                <w:sz w:val="21"/>
              </w:rPr>
              <w:t>(四) 脑炎后遗症或脑膜炎后遗</w:t>
            </w:r>
          </w:p>
        </w:tc>
        <w:tc>
          <w:tcPr>
            <w:tcW w:w="6932" w:type="dxa"/>
          </w:tcPr>
          <w:p>
            <w:pPr>
              <w:pStyle w:val="TableParagraph"/>
              <w:spacing w:line="310" w:lineRule="atLeast" w:before="107"/>
              <w:ind w:left="99" w:right="210"/>
              <w:rPr>
                <w:sz w:val="21"/>
              </w:rPr>
            </w:pPr>
            <w:r>
              <w:rPr>
                <w:sz w:val="21"/>
              </w:rPr>
              <w:t>指因患脑炎或脑膜炎导致的神经系统永久性的功能障碍。神经系统永久性的功能障碍，指疾病确诊180天后，仍遗留下列一种或一种以上障碍：</w:t>
            </w:r>
          </w:p>
        </w:tc>
      </w:tr>
    </w:tbl>
    <w:p>
      <w:pPr>
        <w:spacing w:after="0" w:line="310" w:lineRule="atLeast"/>
        <w:rPr>
          <w:sz w:val="21"/>
        </w:rPr>
        <w:sectPr>
          <w:pgSz w:w="11910" w:h="16840"/>
          <w:pgMar w:header="0" w:footer="912" w:top="1160" w:bottom="1100" w:left="76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350" w:hRule="atLeast"/>
        </w:trPr>
        <w:tc>
          <w:tcPr>
            <w:tcW w:w="1796" w:type="dxa"/>
          </w:tcPr>
          <w:p>
            <w:pPr>
              <w:pStyle w:val="TableParagraph"/>
              <w:spacing w:line="211" w:lineRule="exact" w:before="0"/>
              <w:ind w:left="200"/>
              <w:rPr>
                <w:sz w:val="21"/>
              </w:rPr>
            </w:pPr>
            <w:r>
              <w:rPr>
                <w:sz w:val="21"/>
              </w:rPr>
              <w:t>症－“中国保险</w:t>
            </w:r>
          </w:p>
          <w:p>
            <w:pPr>
              <w:pStyle w:val="TableParagraph"/>
              <w:ind w:left="200"/>
              <w:rPr>
                <w:sz w:val="21"/>
              </w:rPr>
            </w:pPr>
            <w:r>
              <w:rPr>
                <w:sz w:val="21"/>
              </w:rPr>
              <w:t>行业协会推荐”</w:t>
            </w:r>
          </w:p>
        </w:tc>
        <w:tc>
          <w:tcPr>
            <w:tcW w:w="6926" w:type="dxa"/>
          </w:tcPr>
          <w:p>
            <w:pPr>
              <w:pStyle w:val="TableParagraph"/>
              <w:spacing w:line="211" w:lineRule="exact" w:before="0"/>
              <w:ind w:left="94"/>
              <w:rPr>
                <w:sz w:val="21"/>
              </w:rPr>
            </w:pPr>
            <w:r>
              <w:rPr>
                <w:sz w:val="21"/>
              </w:rPr>
              <w:t>（1）一肢或一肢以上肢体机能完全丧失；</w:t>
            </w:r>
          </w:p>
          <w:p>
            <w:pPr>
              <w:pStyle w:val="TableParagraph"/>
              <w:ind w:left="94"/>
              <w:rPr>
                <w:sz w:val="21"/>
              </w:rPr>
            </w:pPr>
            <w:r>
              <w:rPr>
                <w:sz w:val="21"/>
              </w:rPr>
              <w:t>（2）语言能力或咀嚼吞咽能力完全丧失；</w:t>
            </w:r>
          </w:p>
          <w:p>
            <w:pPr>
              <w:pStyle w:val="TableParagraph"/>
              <w:spacing w:line="256" w:lineRule="auto"/>
              <w:ind w:left="619"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r>
        <w:trPr>
          <w:trHeight w:val="1251" w:hRule="atLeast"/>
        </w:trPr>
        <w:tc>
          <w:tcPr>
            <w:tcW w:w="1796" w:type="dxa"/>
          </w:tcPr>
          <w:p>
            <w:pPr>
              <w:pStyle w:val="TableParagraph"/>
              <w:spacing w:before="146"/>
              <w:ind w:left="200"/>
              <w:rPr>
                <w:sz w:val="21"/>
              </w:rPr>
            </w:pPr>
            <w:r>
              <w:rPr>
                <w:sz w:val="21"/>
              </w:rPr>
              <w:t>(五) 双耳失聪</w:t>
            </w:r>
          </w:p>
          <w:p>
            <w:pPr>
              <w:pStyle w:val="TableParagraph"/>
              <w:spacing w:line="273" w:lineRule="auto"/>
              <w:ind w:left="200" w:right="120"/>
              <w:rPr>
                <w:sz w:val="21"/>
              </w:rPr>
            </w:pPr>
            <w:r>
              <w:rPr>
                <w:sz w:val="21"/>
              </w:rPr>
              <w:t>－“中国保险行业协会推荐”</w:t>
            </w:r>
          </w:p>
        </w:tc>
        <w:tc>
          <w:tcPr>
            <w:tcW w:w="6926" w:type="dxa"/>
          </w:tcPr>
          <w:p>
            <w:pPr>
              <w:pStyle w:val="TableParagraph"/>
              <w:spacing w:line="256" w:lineRule="auto" w:before="146"/>
              <w:ind w:left="94" w:right="197"/>
              <w:rPr>
                <w:sz w:val="21"/>
              </w:rPr>
            </w:pPr>
            <w:r>
              <w:rPr>
                <w:spacing w:val="-3"/>
                <w:sz w:val="21"/>
              </w:rPr>
              <w:t>指因疾病或意外伤害导致双耳听力</w:t>
            </w:r>
            <w:r>
              <w:rPr>
                <w:b/>
                <w:sz w:val="21"/>
              </w:rPr>
              <w:t>永久不可逆</w:t>
            </w:r>
            <w:r>
              <w:rPr>
                <w:spacing w:val="-3"/>
                <w:sz w:val="21"/>
              </w:rPr>
              <w:t>（</w:t>
            </w:r>
            <w:r>
              <w:rPr>
                <w:spacing w:val="-11"/>
                <w:sz w:val="21"/>
              </w:rPr>
              <w:t>见释义 </w:t>
            </w:r>
            <w:r>
              <w:rPr>
                <w:rFonts w:ascii="Times New Roman" w:eastAsia="Times New Roman"/>
                <w:sz w:val="21"/>
              </w:rPr>
              <w:t>6.19</w:t>
            </w:r>
            <w:r>
              <w:rPr>
                <w:sz w:val="21"/>
              </w:rPr>
              <w:t>）</w:t>
            </w:r>
            <w:r>
              <w:rPr>
                <w:spacing w:val="-2"/>
                <w:sz w:val="21"/>
              </w:rPr>
              <w:t>性丧失， </w:t>
            </w:r>
            <w:r>
              <w:rPr>
                <w:spacing w:val="-26"/>
                <w:sz w:val="21"/>
              </w:rPr>
              <w:t>在 </w:t>
            </w:r>
            <w:r>
              <w:rPr>
                <w:rFonts w:ascii="Times New Roman" w:eastAsia="Times New Roman"/>
                <w:sz w:val="21"/>
              </w:rPr>
              <w:t>500 </w:t>
            </w:r>
            <w:r>
              <w:rPr>
                <w:spacing w:val="-27"/>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2"/>
                <w:sz w:val="21"/>
              </w:rPr>
              <w:t>分贝， </w:t>
            </w:r>
            <w:r>
              <w:rPr>
                <w:spacing w:val="-3"/>
                <w:sz w:val="21"/>
              </w:rPr>
              <w:t>且经纯音听力测试、声导抗检测或听觉诱发电位检测等证实。</w:t>
            </w:r>
          </w:p>
        </w:tc>
      </w:tr>
      <w:tr>
        <w:trPr>
          <w:trHeight w:val="2184" w:hRule="atLeast"/>
        </w:trPr>
        <w:tc>
          <w:tcPr>
            <w:tcW w:w="1796" w:type="dxa"/>
          </w:tcPr>
          <w:p>
            <w:pPr>
              <w:pStyle w:val="TableParagraph"/>
              <w:spacing w:before="142"/>
              <w:ind w:left="200"/>
              <w:rPr>
                <w:sz w:val="21"/>
              </w:rPr>
            </w:pPr>
            <w:r>
              <w:rPr>
                <w:sz w:val="21"/>
              </w:rPr>
              <w:t>(六) 双目失明</w:t>
            </w:r>
          </w:p>
          <w:p>
            <w:pPr>
              <w:pStyle w:val="TableParagraph"/>
              <w:spacing w:line="273" w:lineRule="auto" w:before="36"/>
              <w:ind w:left="200" w:right="120"/>
              <w:rPr>
                <w:sz w:val="21"/>
              </w:rPr>
            </w:pPr>
            <w:r>
              <w:rPr>
                <w:sz w:val="21"/>
              </w:rPr>
              <w:t>－“中国保险行业协会推荐”</w:t>
            </w:r>
          </w:p>
        </w:tc>
        <w:tc>
          <w:tcPr>
            <w:tcW w:w="6926" w:type="dxa"/>
          </w:tcPr>
          <w:p>
            <w:pPr>
              <w:pStyle w:val="TableParagraph"/>
              <w:spacing w:line="273" w:lineRule="auto" w:before="142"/>
              <w:ind w:left="94" w:right="305"/>
              <w:rPr>
                <w:sz w:val="21"/>
              </w:rPr>
            </w:pPr>
            <w:r>
              <w:rPr>
                <w:sz w:val="21"/>
              </w:rPr>
              <w:t>指因疾病或意外伤害导致双眼视力永久不可逆性丧失，双眼中较好眼须满足下列至少一项条件：</w:t>
            </w:r>
          </w:p>
          <w:p>
            <w:pPr>
              <w:pStyle w:val="TableParagraph"/>
              <w:spacing w:before="7"/>
              <w:ind w:left="94"/>
              <w:rPr>
                <w:sz w:val="21"/>
              </w:rPr>
            </w:pPr>
            <w:r>
              <w:rPr>
                <w:sz w:val="21"/>
              </w:rPr>
              <w:t>（1）眼球缺失或摘除；</w:t>
            </w:r>
          </w:p>
          <w:p>
            <w:pPr>
              <w:pStyle w:val="TableParagraph"/>
              <w:spacing w:line="273" w:lineRule="auto"/>
              <w:ind w:left="619" w:right="303" w:hanging="526"/>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ind w:left="94"/>
              <w:rPr>
                <w:sz w:val="21"/>
              </w:rPr>
            </w:pPr>
            <w:r>
              <w:rPr>
                <w:sz w:val="21"/>
              </w:rPr>
              <w:t>（3）视野半径小于 5 度。</w:t>
            </w:r>
          </w:p>
        </w:tc>
      </w:tr>
      <w:tr>
        <w:trPr>
          <w:trHeight w:val="1247" w:hRule="atLeast"/>
        </w:trPr>
        <w:tc>
          <w:tcPr>
            <w:tcW w:w="1796" w:type="dxa"/>
          </w:tcPr>
          <w:p>
            <w:pPr>
              <w:pStyle w:val="TableParagraph"/>
              <w:spacing w:line="273" w:lineRule="auto" w:before="142"/>
              <w:ind w:left="200" w:right="120"/>
              <w:jc w:val="both"/>
              <w:rPr>
                <w:sz w:val="21"/>
              </w:rPr>
            </w:pPr>
            <w:r>
              <w:rPr>
                <w:w w:val="100"/>
                <w:sz w:val="21"/>
              </w:rPr>
              <w:t>(七)</w:t>
            </w:r>
            <w:r>
              <w:rPr>
                <w:sz w:val="21"/>
              </w:rPr>
              <w:t> </w:t>
            </w:r>
            <w:r>
              <w:rPr>
                <w:spacing w:val="-23"/>
                <w:w w:val="100"/>
                <w:sz w:val="21"/>
              </w:rPr>
              <w:t>瘫痪－“中</w:t>
            </w:r>
            <w:r>
              <w:rPr>
                <w:spacing w:val="-2"/>
                <w:sz w:val="21"/>
              </w:rPr>
              <w:t>国保险行业协会推荐”</w:t>
            </w:r>
          </w:p>
        </w:tc>
        <w:tc>
          <w:tcPr>
            <w:tcW w:w="6926" w:type="dxa"/>
          </w:tcPr>
          <w:p>
            <w:pPr>
              <w:pStyle w:val="TableParagraph"/>
              <w:spacing w:line="273" w:lineRule="auto" w:before="142"/>
              <w:ind w:left="94"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sz w:val="21"/>
              </w:rPr>
              <w:t>180</w:t>
            </w:r>
            <w:r>
              <w:rPr>
                <w:spacing w:val="-12"/>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2184" w:hRule="atLeast"/>
        </w:trPr>
        <w:tc>
          <w:tcPr>
            <w:tcW w:w="1796" w:type="dxa"/>
          </w:tcPr>
          <w:p>
            <w:pPr>
              <w:pStyle w:val="TableParagraph"/>
              <w:spacing w:line="273" w:lineRule="auto" w:before="142"/>
              <w:ind w:left="200" w:right="103"/>
              <w:jc w:val="both"/>
              <w:rPr>
                <w:sz w:val="21"/>
              </w:rPr>
            </w:pPr>
            <w:r>
              <w:rPr>
                <w:sz w:val="21"/>
              </w:rPr>
              <w:t>(八) 严重阿尔茨海默病－“中国保险行业协会推荐”</w:t>
            </w:r>
          </w:p>
        </w:tc>
        <w:tc>
          <w:tcPr>
            <w:tcW w:w="6926" w:type="dxa"/>
          </w:tcPr>
          <w:p>
            <w:pPr>
              <w:pStyle w:val="TableParagraph"/>
              <w:spacing w:line="273" w:lineRule="auto" w:before="142"/>
              <w:ind w:left="94"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94"/>
              <w:rPr>
                <w:sz w:val="21"/>
              </w:rPr>
            </w:pPr>
            <w:r>
              <w:rPr>
                <w:sz w:val="21"/>
              </w:rPr>
              <w:t>神经官能症和精神疾病不在保障范围内。</w:t>
            </w:r>
          </w:p>
        </w:tc>
      </w:tr>
      <w:tr>
        <w:trPr>
          <w:trHeight w:val="2808" w:hRule="atLeast"/>
        </w:trPr>
        <w:tc>
          <w:tcPr>
            <w:tcW w:w="1796" w:type="dxa"/>
          </w:tcPr>
          <w:p>
            <w:pPr>
              <w:pStyle w:val="TableParagraph"/>
              <w:spacing w:line="273" w:lineRule="auto" w:before="142"/>
              <w:ind w:left="200" w:right="103"/>
              <w:jc w:val="both"/>
              <w:rPr>
                <w:sz w:val="21"/>
              </w:rPr>
            </w:pPr>
            <w:r>
              <w:rPr>
                <w:sz w:val="21"/>
              </w:rPr>
              <w:t>(九) 严重脑损伤－“中国保险行业协会推荐”</w:t>
            </w:r>
          </w:p>
        </w:tc>
        <w:tc>
          <w:tcPr>
            <w:tcW w:w="6926" w:type="dxa"/>
          </w:tcPr>
          <w:p>
            <w:pPr>
              <w:pStyle w:val="TableParagraph"/>
              <w:spacing w:line="273" w:lineRule="auto" w:before="142"/>
              <w:ind w:left="94"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94"/>
              <w:rPr>
                <w:sz w:val="21"/>
              </w:rPr>
            </w:pPr>
            <w:r>
              <w:rPr>
                <w:sz w:val="21"/>
              </w:rPr>
              <w:t>（1）一肢或一肢以上肢体机能完全丧失；</w:t>
            </w:r>
          </w:p>
          <w:p>
            <w:pPr>
              <w:pStyle w:val="TableParagraph"/>
              <w:ind w:left="94"/>
              <w:rPr>
                <w:sz w:val="21"/>
              </w:rPr>
            </w:pPr>
            <w:r>
              <w:rPr>
                <w:sz w:val="21"/>
              </w:rPr>
              <w:t>（2）语言能力或咀嚼吞咽能力完全丧失；</w:t>
            </w:r>
          </w:p>
          <w:p>
            <w:pPr>
              <w:pStyle w:val="TableParagraph"/>
              <w:spacing w:line="256" w:lineRule="auto"/>
              <w:ind w:left="619"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r>
        <w:trPr>
          <w:trHeight w:val="2180" w:hRule="atLeast"/>
        </w:trPr>
        <w:tc>
          <w:tcPr>
            <w:tcW w:w="1796" w:type="dxa"/>
          </w:tcPr>
          <w:p>
            <w:pPr>
              <w:pStyle w:val="TableParagraph"/>
              <w:spacing w:line="273" w:lineRule="auto" w:before="143"/>
              <w:ind w:left="200" w:right="103"/>
              <w:jc w:val="both"/>
              <w:rPr>
                <w:sz w:val="21"/>
              </w:rPr>
            </w:pPr>
            <w:r>
              <w:rPr>
                <w:spacing w:val="13"/>
                <w:sz w:val="21"/>
              </w:rPr>
              <w:t>(十) 严重帕金</w:t>
            </w:r>
            <w:r>
              <w:rPr>
                <w:spacing w:val="-1"/>
                <w:sz w:val="21"/>
              </w:rPr>
              <w:t>森病－“中国保</w:t>
            </w:r>
            <w:r>
              <w:rPr>
                <w:spacing w:val="-32"/>
                <w:sz w:val="21"/>
              </w:rPr>
              <w:t>险 行 业 协 会 推荐”</w:t>
            </w:r>
          </w:p>
        </w:tc>
        <w:tc>
          <w:tcPr>
            <w:tcW w:w="6926" w:type="dxa"/>
          </w:tcPr>
          <w:p>
            <w:pPr>
              <w:pStyle w:val="TableParagraph"/>
              <w:spacing w:line="273" w:lineRule="auto" w:before="143"/>
              <w:ind w:left="94" w:right="197"/>
              <w:rPr>
                <w:sz w:val="21"/>
              </w:rPr>
            </w:pPr>
            <w:r>
              <w:rPr>
                <w:spacing w:val="-8"/>
                <w:sz w:val="21"/>
              </w:rPr>
              <w:t>是一种中枢神经系统的退行性疾病，临床表现为震颤麻痹、共济失调等。</w:t>
            </w:r>
            <w:r>
              <w:rPr>
                <w:spacing w:val="-5"/>
                <w:sz w:val="21"/>
              </w:rPr>
              <w:t>须满足下列全部条件：</w:t>
            </w:r>
          </w:p>
          <w:p>
            <w:pPr>
              <w:pStyle w:val="TableParagraph"/>
              <w:spacing w:before="8"/>
              <w:ind w:left="94"/>
              <w:rPr>
                <w:sz w:val="21"/>
              </w:rPr>
            </w:pPr>
            <w:r>
              <w:rPr>
                <w:sz w:val="21"/>
              </w:rPr>
              <w:t>（1）药物治疗无法控制病情；</w:t>
            </w:r>
          </w:p>
          <w:p>
            <w:pPr>
              <w:pStyle w:val="TableParagraph"/>
              <w:spacing w:line="273" w:lineRule="auto"/>
              <w:ind w:left="619" w:right="303" w:hanging="526"/>
              <w:rPr>
                <w:sz w:val="21"/>
              </w:rPr>
            </w:pPr>
            <w:r>
              <w:rPr>
                <w:spacing w:val="-17"/>
                <w:sz w:val="21"/>
              </w:rPr>
              <w:t>（2）</w:t>
            </w:r>
            <w:r>
              <w:rPr>
                <w:spacing w:val="-8"/>
                <w:sz w:val="21"/>
              </w:rPr>
              <w:t>自主生活能力完全丧失，无法独立完成六项基本日常生活活动中的</w:t>
            </w:r>
            <w:r>
              <w:rPr>
                <w:spacing w:val="-5"/>
                <w:sz w:val="21"/>
              </w:rPr>
              <w:t>三项或三项以上。</w:t>
            </w:r>
          </w:p>
          <w:p>
            <w:pPr>
              <w:pStyle w:val="TableParagraph"/>
              <w:spacing w:before="7"/>
              <w:ind w:left="94"/>
              <w:rPr>
                <w:sz w:val="21"/>
              </w:rPr>
            </w:pPr>
            <w:r>
              <w:rPr>
                <w:sz w:val="21"/>
              </w:rPr>
              <w:t>继发性帕金森综合征不在保障范围内。</w:t>
            </w:r>
          </w:p>
        </w:tc>
      </w:tr>
      <w:tr>
        <w:trPr>
          <w:trHeight w:val="1044" w:hRule="atLeast"/>
        </w:trPr>
        <w:tc>
          <w:tcPr>
            <w:tcW w:w="1796" w:type="dxa"/>
          </w:tcPr>
          <w:p>
            <w:pPr>
              <w:pStyle w:val="TableParagraph"/>
              <w:spacing w:line="256" w:lineRule="auto" w:before="146"/>
              <w:ind w:left="200" w:right="91"/>
              <w:rPr>
                <w:sz w:val="21"/>
              </w:rPr>
            </w:pPr>
            <w:r>
              <w:rPr>
                <w:rFonts w:ascii="Times New Roman" w:eastAsia="Times New Roman"/>
                <w:spacing w:val="-12"/>
                <w:sz w:val="21"/>
              </w:rPr>
              <w:t>( </w:t>
            </w:r>
            <w:r>
              <w:rPr>
                <w:spacing w:val="26"/>
                <w:sz w:val="21"/>
              </w:rPr>
              <w:t>十一</w:t>
            </w:r>
            <w:r>
              <w:rPr>
                <w:rFonts w:ascii="Times New Roman" w:eastAsia="Times New Roman"/>
                <w:spacing w:val="17"/>
                <w:sz w:val="21"/>
              </w:rPr>
              <w:t>) </w:t>
            </w:r>
            <w:r>
              <w:rPr>
                <w:spacing w:val="26"/>
                <w:sz w:val="21"/>
              </w:rPr>
              <w:t>严重运</w:t>
            </w:r>
            <w:r>
              <w:rPr>
                <w:spacing w:val="-32"/>
                <w:sz w:val="21"/>
              </w:rPr>
              <w:t>动 神 经 元 病 －</w:t>
            </w:r>
          </w:p>
          <w:p>
            <w:pPr>
              <w:pStyle w:val="TableParagraph"/>
              <w:spacing w:line="255" w:lineRule="exact" w:before="22"/>
              <w:ind w:left="200"/>
              <w:rPr>
                <w:sz w:val="21"/>
              </w:rPr>
            </w:pPr>
            <w:r>
              <w:rPr>
                <w:sz w:val="21"/>
              </w:rPr>
              <w:t>“中国保险行业</w:t>
            </w:r>
          </w:p>
        </w:tc>
        <w:tc>
          <w:tcPr>
            <w:tcW w:w="6926" w:type="dxa"/>
          </w:tcPr>
          <w:p>
            <w:pPr>
              <w:pStyle w:val="TableParagraph"/>
              <w:spacing w:line="310" w:lineRule="atLeast" w:before="110"/>
              <w:ind w:left="94"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w:t>
            </w:r>
          </w:p>
        </w:tc>
      </w:tr>
    </w:tbl>
    <w:p>
      <w:pPr>
        <w:spacing w:after="0" w:line="310" w:lineRule="atLeast"/>
        <w:jc w:val="both"/>
        <w:rPr>
          <w:sz w:val="21"/>
        </w:rPr>
        <w:sectPr>
          <w:pgSz w:w="11910" w:h="16840"/>
          <w:pgMar w:header="0" w:footer="912" w:top="1160" w:bottom="1100" w:left="168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903"/>
        <w:gridCol w:w="6927"/>
      </w:tblGrid>
      <w:tr>
        <w:trPr>
          <w:trHeight w:val="414" w:hRule="atLeast"/>
        </w:trPr>
        <w:tc>
          <w:tcPr>
            <w:tcW w:w="823" w:type="dxa"/>
          </w:tcPr>
          <w:p>
            <w:pPr>
              <w:pStyle w:val="TableParagraph"/>
              <w:spacing w:before="0"/>
              <w:rPr>
                <w:rFonts w:ascii="Times New Roman"/>
                <w:sz w:val="20"/>
              </w:rPr>
            </w:pPr>
          </w:p>
        </w:tc>
        <w:tc>
          <w:tcPr>
            <w:tcW w:w="1903" w:type="dxa"/>
          </w:tcPr>
          <w:p>
            <w:pPr>
              <w:pStyle w:val="TableParagraph"/>
              <w:spacing w:line="211" w:lineRule="exact" w:before="0"/>
              <w:ind w:left="306"/>
              <w:rPr>
                <w:sz w:val="21"/>
              </w:rPr>
            </w:pPr>
            <w:r>
              <w:rPr>
                <w:sz w:val="21"/>
              </w:rPr>
              <w:t>协会推荐”</w:t>
            </w:r>
          </w:p>
        </w:tc>
        <w:tc>
          <w:tcPr>
            <w:tcW w:w="6927" w:type="dxa"/>
          </w:tcPr>
          <w:p>
            <w:pPr>
              <w:pStyle w:val="TableParagraph"/>
              <w:spacing w:line="211" w:lineRule="exact" w:before="0"/>
              <w:ind w:left="93"/>
              <w:rPr>
                <w:sz w:val="21"/>
              </w:rPr>
            </w:pPr>
            <w:r>
              <w:rPr>
                <w:sz w:val="21"/>
              </w:rPr>
              <w:t>的三项或三项以上的条件。</w:t>
            </w:r>
          </w:p>
        </w:tc>
      </w:tr>
      <w:tr>
        <w:trPr>
          <w:trHeight w:val="1560" w:hRule="atLeast"/>
        </w:trPr>
        <w:tc>
          <w:tcPr>
            <w:tcW w:w="823" w:type="dxa"/>
          </w:tcPr>
          <w:p>
            <w:pPr>
              <w:pStyle w:val="TableParagraph"/>
              <w:spacing w:before="0"/>
              <w:rPr>
                <w:rFonts w:ascii="Times New Roman"/>
                <w:sz w:val="20"/>
              </w:rPr>
            </w:pPr>
          </w:p>
        </w:tc>
        <w:tc>
          <w:tcPr>
            <w:tcW w:w="1903" w:type="dxa"/>
          </w:tcPr>
          <w:p>
            <w:pPr>
              <w:pStyle w:val="TableParagraph"/>
              <w:spacing w:line="266" w:lineRule="auto" w:before="146"/>
              <w:ind w:left="306" w:right="92"/>
              <w:jc w:val="both"/>
              <w:rPr>
                <w:sz w:val="21"/>
              </w:rPr>
            </w:pPr>
            <w:r>
              <w:rPr>
                <w:rFonts w:ascii="Times New Roman" w:hAnsi="Times New Roman" w:eastAsia="Times New Roman"/>
                <w:sz w:val="21"/>
              </w:rPr>
              <w:t>( </w:t>
            </w:r>
            <w:r>
              <w:rPr>
                <w:sz w:val="21"/>
              </w:rPr>
              <w:t>十二</w:t>
            </w:r>
            <w:r>
              <w:rPr>
                <w:rFonts w:ascii="Times New Roman" w:hAnsi="Times New Roman" w:eastAsia="Times New Roman"/>
                <w:sz w:val="21"/>
              </w:rPr>
              <w:t>) </w:t>
            </w:r>
            <w:r>
              <w:rPr>
                <w:sz w:val="21"/>
              </w:rPr>
              <w:t>语言能力丧失－“中国保险行业协会推荐”</w:t>
            </w:r>
          </w:p>
        </w:tc>
        <w:tc>
          <w:tcPr>
            <w:tcW w:w="6927" w:type="dxa"/>
          </w:tcPr>
          <w:p>
            <w:pPr>
              <w:pStyle w:val="TableParagraph"/>
              <w:spacing w:before="146"/>
              <w:ind w:left="93"/>
              <w:rPr>
                <w:sz w:val="21"/>
              </w:rPr>
            </w:pPr>
            <w:r>
              <w:rPr>
                <w:sz w:val="21"/>
              </w:rPr>
              <w:t>指因疾病或意外伤害导致完全丧失语言能力，经过积极治疗至少12个月</w:t>
            </w:r>
          </w:p>
          <w:p>
            <w:pPr>
              <w:pStyle w:val="TableParagraph"/>
              <w:spacing w:line="273" w:lineRule="auto"/>
              <w:ind w:left="93" w:right="525"/>
              <w:rPr>
                <w:sz w:val="21"/>
              </w:rPr>
            </w:pPr>
            <w:r>
              <w:rPr>
                <w:sz w:val="21"/>
              </w:rPr>
              <w:t>（声带完全切除不受此时间限制），仍无法通过现有医疗手段恢复。精神心理因素所致的语言能力丧失不在保障范围内。</w:t>
            </w:r>
          </w:p>
        </w:tc>
      </w:tr>
      <w:tr>
        <w:trPr>
          <w:trHeight w:val="2187" w:hRule="atLeast"/>
        </w:trPr>
        <w:tc>
          <w:tcPr>
            <w:tcW w:w="823" w:type="dxa"/>
          </w:tcPr>
          <w:p>
            <w:pPr>
              <w:pStyle w:val="TableParagraph"/>
              <w:spacing w:before="0"/>
              <w:rPr>
                <w:rFonts w:ascii="Times New Roman"/>
                <w:sz w:val="20"/>
              </w:rPr>
            </w:pPr>
          </w:p>
        </w:tc>
        <w:tc>
          <w:tcPr>
            <w:tcW w:w="1903" w:type="dxa"/>
          </w:tcPr>
          <w:p>
            <w:pPr>
              <w:pStyle w:val="TableParagraph"/>
              <w:spacing w:line="256" w:lineRule="auto" w:before="146"/>
              <w:ind w:left="306" w:right="121"/>
              <w:rPr>
                <w:sz w:val="21"/>
              </w:rPr>
            </w:pPr>
            <w:r>
              <w:rPr>
                <w:rFonts w:ascii="Times New Roman" w:eastAsia="Times New Roman"/>
                <w:sz w:val="21"/>
              </w:rPr>
              <w:t>( </w:t>
            </w:r>
            <w:r>
              <w:rPr>
                <w:sz w:val="21"/>
              </w:rPr>
              <w:t>十三</w:t>
            </w:r>
            <w:r>
              <w:rPr>
                <w:rFonts w:ascii="Times New Roman" w:eastAsia="Times New Roman"/>
                <w:sz w:val="21"/>
              </w:rPr>
              <w:t>) </w:t>
            </w:r>
            <w:r>
              <w:rPr>
                <w:sz w:val="21"/>
              </w:rPr>
              <w:t>严重多发性硬化</w:t>
            </w:r>
          </w:p>
        </w:tc>
        <w:tc>
          <w:tcPr>
            <w:tcW w:w="6927" w:type="dxa"/>
          </w:tcPr>
          <w:p>
            <w:pPr>
              <w:pStyle w:val="TableParagraph"/>
              <w:spacing w:line="273" w:lineRule="auto" w:before="146"/>
              <w:ind w:left="93" w:right="199"/>
              <w:rPr>
                <w:sz w:val="21"/>
              </w:rPr>
            </w:pPr>
            <w:r>
              <w:rPr>
                <w:spacing w:val="-8"/>
                <w:sz w:val="21"/>
              </w:rPr>
              <w:t>多发性硬化为中枢神经系统白质多灶性脱髓鞘病变，病变有时累及灰质。</w:t>
            </w:r>
            <w:r>
              <w:rPr>
                <w:spacing w:val="-5"/>
                <w:sz w:val="21"/>
              </w:rPr>
              <w:t>多发性硬化必须明确诊断，并且已经造成永久不可逆的神经系统功能损</w:t>
            </w:r>
            <w:r>
              <w:rPr>
                <w:spacing w:val="-6"/>
                <w:sz w:val="21"/>
              </w:rPr>
              <w:t>害。永久不可逆的神经系统功能损害指被保险人持续 </w:t>
            </w:r>
            <w:r>
              <w:rPr>
                <w:sz w:val="21"/>
              </w:rPr>
              <w:t>180</w:t>
            </w:r>
            <w:r>
              <w:rPr>
                <w:spacing w:val="-9"/>
                <w:sz w:val="21"/>
              </w:rPr>
              <w:t> 天无法独立完</w:t>
            </w:r>
            <w:r>
              <w:rPr>
                <w:spacing w:val="-5"/>
                <w:sz w:val="21"/>
              </w:rPr>
              <w:t>成下列基本日常生活活动：</w:t>
            </w:r>
          </w:p>
          <w:p>
            <w:pPr>
              <w:pStyle w:val="TableParagraph"/>
              <w:spacing w:before="8"/>
              <w:ind w:left="93"/>
              <w:rPr>
                <w:sz w:val="21"/>
              </w:rPr>
            </w:pPr>
            <w:r>
              <w:rPr>
                <w:sz w:val="21"/>
              </w:rPr>
              <w:t>（1）移动：自己从一个房间到另一个房间；或者</w:t>
            </w:r>
          </w:p>
          <w:p>
            <w:pPr>
              <w:pStyle w:val="TableParagraph"/>
              <w:ind w:left="93"/>
              <w:rPr>
                <w:sz w:val="21"/>
              </w:rPr>
            </w:pPr>
            <w:r>
              <w:rPr>
                <w:sz w:val="21"/>
              </w:rPr>
              <w:t>（2）进食：自己从已准备好的碗或碟中取食物放入口中。</w:t>
            </w:r>
          </w:p>
        </w:tc>
      </w:tr>
      <w:tr>
        <w:trPr>
          <w:trHeight w:val="936" w:hRule="atLeast"/>
        </w:trPr>
        <w:tc>
          <w:tcPr>
            <w:tcW w:w="823" w:type="dxa"/>
          </w:tcPr>
          <w:p>
            <w:pPr>
              <w:pStyle w:val="TableParagraph"/>
              <w:spacing w:before="143"/>
              <w:ind w:left="200"/>
              <w:rPr>
                <w:b/>
                <w:sz w:val="21"/>
              </w:rPr>
            </w:pPr>
            <w:r>
              <w:rPr>
                <w:b/>
                <w:sz w:val="21"/>
              </w:rPr>
              <w:t>6.6</w:t>
            </w:r>
          </w:p>
        </w:tc>
        <w:tc>
          <w:tcPr>
            <w:tcW w:w="1903" w:type="dxa"/>
          </w:tcPr>
          <w:p>
            <w:pPr>
              <w:pStyle w:val="TableParagraph"/>
              <w:spacing w:before="143"/>
              <w:ind w:left="306"/>
              <w:rPr>
                <w:b/>
                <w:sz w:val="21"/>
              </w:rPr>
            </w:pPr>
            <w:r>
              <w:rPr>
                <w:b/>
                <w:sz w:val="21"/>
              </w:rPr>
              <w:t>C 组重大疾病</w:t>
            </w:r>
          </w:p>
        </w:tc>
        <w:tc>
          <w:tcPr>
            <w:tcW w:w="6927" w:type="dxa"/>
          </w:tcPr>
          <w:p>
            <w:pPr>
              <w:pStyle w:val="TableParagraph"/>
              <w:spacing w:line="273" w:lineRule="auto" w:before="143"/>
              <w:ind w:left="93" w:right="314"/>
              <w:rPr>
                <w:sz w:val="21"/>
              </w:rPr>
            </w:pPr>
            <w:r>
              <w:rPr>
                <w:sz w:val="21"/>
              </w:rPr>
              <w:t>指保险责任生效后，经专科医生明确诊断，被保险人初次发生符合以下疾病定义所述条件的疾病：</w:t>
            </w:r>
          </w:p>
        </w:tc>
      </w:tr>
      <w:tr>
        <w:trPr>
          <w:trHeight w:val="2808" w:hRule="atLeast"/>
        </w:trPr>
        <w:tc>
          <w:tcPr>
            <w:tcW w:w="823" w:type="dxa"/>
          </w:tcPr>
          <w:p>
            <w:pPr>
              <w:pStyle w:val="TableParagraph"/>
              <w:spacing w:before="0"/>
              <w:rPr>
                <w:rFonts w:ascii="Times New Roman"/>
                <w:sz w:val="20"/>
              </w:rPr>
            </w:pPr>
          </w:p>
        </w:tc>
        <w:tc>
          <w:tcPr>
            <w:tcW w:w="1903" w:type="dxa"/>
          </w:tcPr>
          <w:p>
            <w:pPr>
              <w:pStyle w:val="TableParagraph"/>
              <w:spacing w:line="273" w:lineRule="auto" w:before="142"/>
              <w:ind w:left="306" w:right="104"/>
              <w:jc w:val="both"/>
              <w:rPr>
                <w:sz w:val="21"/>
              </w:rPr>
            </w:pPr>
            <w:r>
              <w:rPr>
                <w:spacing w:val="13"/>
                <w:sz w:val="21"/>
              </w:rPr>
              <w:t>(一) 急性心肌</w:t>
            </w:r>
            <w:r>
              <w:rPr>
                <w:spacing w:val="-1"/>
                <w:sz w:val="21"/>
              </w:rPr>
              <w:t>梗塞－“中国保</w:t>
            </w:r>
            <w:r>
              <w:rPr>
                <w:spacing w:val="-32"/>
                <w:sz w:val="21"/>
              </w:rPr>
              <w:t>险 行 业 协 会 推荐”</w:t>
            </w:r>
          </w:p>
        </w:tc>
        <w:tc>
          <w:tcPr>
            <w:tcW w:w="6927" w:type="dxa"/>
          </w:tcPr>
          <w:p>
            <w:pPr>
              <w:pStyle w:val="TableParagraph"/>
              <w:spacing w:line="273" w:lineRule="auto" w:before="142"/>
              <w:ind w:left="93" w:right="307"/>
              <w:rPr>
                <w:sz w:val="21"/>
              </w:rPr>
            </w:pPr>
            <w:r>
              <w:rPr>
                <w:sz w:val="21"/>
              </w:rPr>
              <w:t>指因冠状动脉阻塞导致的相应区域供血不足造成部分心肌坏死。须满足下列至少三项条件：</w:t>
            </w:r>
          </w:p>
          <w:p>
            <w:pPr>
              <w:pStyle w:val="TableParagraph"/>
              <w:spacing w:before="7"/>
              <w:ind w:left="93"/>
              <w:rPr>
                <w:sz w:val="21"/>
              </w:rPr>
            </w:pPr>
            <w:r>
              <w:rPr>
                <w:sz w:val="21"/>
              </w:rPr>
              <w:t>（1）典型临床表现，例如急性胸痛等；</w:t>
            </w:r>
          </w:p>
          <w:p>
            <w:pPr>
              <w:pStyle w:val="TableParagraph"/>
              <w:ind w:left="93"/>
              <w:rPr>
                <w:sz w:val="21"/>
              </w:rPr>
            </w:pPr>
            <w:r>
              <w:rPr>
                <w:sz w:val="21"/>
              </w:rPr>
              <w:t>（2）新近的心电图改变提示急性心肌梗塞；</w:t>
            </w:r>
          </w:p>
          <w:p>
            <w:pPr>
              <w:pStyle w:val="TableParagraph"/>
              <w:spacing w:line="273" w:lineRule="auto"/>
              <w:ind w:left="618" w:right="304" w:hanging="526"/>
              <w:rPr>
                <w:sz w:val="21"/>
              </w:rPr>
            </w:pPr>
            <w:r>
              <w:rPr>
                <w:spacing w:val="-17"/>
                <w:sz w:val="21"/>
              </w:rPr>
              <w:t>（3）</w:t>
            </w:r>
            <w:r>
              <w:rPr>
                <w:spacing w:val="-6"/>
                <w:sz w:val="21"/>
              </w:rPr>
              <w:t>心肌酶或肌钙蛋白有诊断意义的升高，或呈符合急性心肌梗塞的动</w:t>
            </w:r>
            <w:r>
              <w:rPr>
                <w:spacing w:val="-4"/>
                <w:sz w:val="21"/>
              </w:rPr>
              <w:t>态性变化；</w:t>
            </w:r>
          </w:p>
          <w:p>
            <w:pPr>
              <w:pStyle w:val="TableParagraph"/>
              <w:spacing w:line="273" w:lineRule="auto" w:before="7"/>
              <w:ind w:left="618" w:right="302" w:hanging="526"/>
              <w:rPr>
                <w:sz w:val="21"/>
              </w:rPr>
            </w:pPr>
            <w:r>
              <w:rPr>
                <w:sz w:val="21"/>
              </w:rPr>
              <w:t>（4）</w:t>
            </w:r>
            <w:r>
              <w:rPr>
                <w:spacing w:val="-11"/>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2184" w:hRule="atLeast"/>
        </w:trPr>
        <w:tc>
          <w:tcPr>
            <w:tcW w:w="823" w:type="dxa"/>
          </w:tcPr>
          <w:p>
            <w:pPr>
              <w:pStyle w:val="TableParagraph"/>
              <w:spacing w:before="0"/>
              <w:rPr>
                <w:rFonts w:ascii="Times New Roman"/>
                <w:sz w:val="20"/>
              </w:rPr>
            </w:pPr>
          </w:p>
        </w:tc>
        <w:tc>
          <w:tcPr>
            <w:tcW w:w="1903" w:type="dxa"/>
          </w:tcPr>
          <w:p>
            <w:pPr>
              <w:pStyle w:val="TableParagraph"/>
              <w:spacing w:line="273" w:lineRule="auto" w:before="142"/>
              <w:ind w:left="306" w:right="104"/>
              <w:jc w:val="both"/>
              <w:rPr>
                <w:sz w:val="21"/>
              </w:rPr>
            </w:pPr>
            <w:r>
              <w:rPr>
                <w:spacing w:val="13"/>
                <w:sz w:val="21"/>
              </w:rPr>
              <w:t>(二)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27" w:type="dxa"/>
          </w:tcPr>
          <w:p>
            <w:pPr>
              <w:pStyle w:val="TableParagraph"/>
              <w:spacing w:line="273" w:lineRule="auto" w:before="142"/>
              <w:ind w:left="93" w:right="307"/>
              <w:rPr>
                <w:sz w:val="21"/>
              </w:rPr>
            </w:pPr>
            <w:r>
              <w:rPr>
                <w:sz w:val="21"/>
              </w:rPr>
              <w:t>指为治疗严重的冠心病，实际实施了开胸进行的冠状动脉血管旁路移植的手术。</w:t>
            </w:r>
          </w:p>
          <w:p>
            <w:pPr>
              <w:pStyle w:val="TableParagraph"/>
              <w:spacing w:line="273" w:lineRule="auto" w:before="7"/>
              <w:ind w:left="93" w:right="307"/>
              <w:rPr>
                <w:sz w:val="21"/>
              </w:rPr>
            </w:pPr>
            <w:r>
              <w:rPr>
                <w:sz w:val="21"/>
              </w:rPr>
              <w:t>冠状动脉支架植入术、心导管球囊扩张术、激光射频技术及其他非开胸的介入手术、腔镜手术不在保障范围内。</w:t>
            </w:r>
          </w:p>
        </w:tc>
      </w:tr>
      <w:tr>
        <w:trPr>
          <w:trHeight w:val="1555" w:hRule="atLeast"/>
        </w:trPr>
        <w:tc>
          <w:tcPr>
            <w:tcW w:w="823" w:type="dxa"/>
          </w:tcPr>
          <w:p>
            <w:pPr>
              <w:pStyle w:val="TableParagraph"/>
              <w:spacing w:before="0"/>
              <w:rPr>
                <w:rFonts w:ascii="Times New Roman"/>
                <w:sz w:val="20"/>
              </w:rPr>
            </w:pPr>
          </w:p>
        </w:tc>
        <w:tc>
          <w:tcPr>
            <w:tcW w:w="1903" w:type="dxa"/>
          </w:tcPr>
          <w:p>
            <w:pPr>
              <w:pStyle w:val="TableParagraph"/>
              <w:spacing w:line="273" w:lineRule="auto" w:before="142"/>
              <w:ind w:left="306" w:right="104"/>
              <w:jc w:val="both"/>
              <w:rPr>
                <w:sz w:val="21"/>
              </w:rPr>
            </w:pPr>
            <w:r>
              <w:rPr>
                <w:spacing w:val="13"/>
                <w:sz w:val="21"/>
              </w:rPr>
              <w:t>(三) 心脏瓣膜</w:t>
            </w:r>
            <w:r>
              <w:rPr>
                <w:spacing w:val="-1"/>
                <w:sz w:val="21"/>
              </w:rPr>
              <w:t>手术－“中国保</w:t>
            </w:r>
            <w:r>
              <w:rPr>
                <w:spacing w:val="-32"/>
                <w:sz w:val="21"/>
              </w:rPr>
              <w:t>险 行 业 协 会 推荐”</w:t>
            </w:r>
          </w:p>
        </w:tc>
        <w:tc>
          <w:tcPr>
            <w:tcW w:w="6927" w:type="dxa"/>
          </w:tcPr>
          <w:p>
            <w:pPr>
              <w:pStyle w:val="TableParagraph"/>
              <w:spacing w:line="273" w:lineRule="auto" w:before="142"/>
              <w:ind w:left="93" w:right="307"/>
              <w:rPr>
                <w:sz w:val="21"/>
              </w:rPr>
            </w:pPr>
            <w:r>
              <w:rPr>
                <w:sz w:val="21"/>
              </w:rPr>
              <w:t>指为治疗心脏瓣膜疾病，实际实施了开胸进行的心脏瓣膜置换或修复的手术。</w:t>
            </w:r>
          </w:p>
        </w:tc>
      </w:tr>
      <w:tr>
        <w:trPr>
          <w:trHeight w:val="1561" w:hRule="atLeast"/>
        </w:trPr>
        <w:tc>
          <w:tcPr>
            <w:tcW w:w="823" w:type="dxa"/>
          </w:tcPr>
          <w:p>
            <w:pPr>
              <w:pStyle w:val="TableParagraph"/>
              <w:spacing w:before="0"/>
              <w:rPr>
                <w:rFonts w:ascii="Times New Roman"/>
                <w:sz w:val="20"/>
              </w:rPr>
            </w:pPr>
          </w:p>
        </w:tc>
        <w:tc>
          <w:tcPr>
            <w:tcW w:w="1903" w:type="dxa"/>
          </w:tcPr>
          <w:p>
            <w:pPr>
              <w:pStyle w:val="TableParagraph"/>
              <w:spacing w:line="259" w:lineRule="auto" w:before="147"/>
              <w:ind w:left="306" w:right="92"/>
              <w:rPr>
                <w:sz w:val="21"/>
              </w:rPr>
            </w:pPr>
            <w:r>
              <w:rPr>
                <w:rFonts w:ascii="Arial" w:eastAsia="Arial"/>
                <w:sz w:val="21"/>
              </w:rPr>
              <w:t>( </w:t>
            </w:r>
            <w:r>
              <w:rPr>
                <w:sz w:val="21"/>
              </w:rPr>
              <w:t>四</w:t>
            </w:r>
            <w:r>
              <w:rPr>
                <w:rFonts w:ascii="Arial" w:eastAsia="Arial"/>
                <w:sz w:val="21"/>
              </w:rPr>
              <w:t>) </w:t>
            </w:r>
            <w:r>
              <w:rPr>
                <w:sz w:val="21"/>
              </w:rPr>
              <w:t>严重原发性肺动脉高压－</w:t>
            </w:r>
          </w:p>
          <w:p>
            <w:pPr>
              <w:pStyle w:val="TableParagraph"/>
              <w:spacing w:line="273" w:lineRule="auto" w:before="20"/>
              <w:ind w:left="306" w:right="121"/>
              <w:rPr>
                <w:sz w:val="21"/>
              </w:rPr>
            </w:pPr>
            <w:r>
              <w:rPr>
                <w:sz w:val="21"/>
              </w:rPr>
              <w:t>“中国保险行业协会推荐”</w:t>
            </w:r>
          </w:p>
        </w:tc>
        <w:tc>
          <w:tcPr>
            <w:tcW w:w="6927" w:type="dxa"/>
          </w:tcPr>
          <w:p>
            <w:pPr>
              <w:pStyle w:val="TableParagraph"/>
              <w:spacing w:line="273" w:lineRule="auto" w:before="147"/>
              <w:ind w:left="93" w:right="307"/>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044" w:hRule="atLeast"/>
        </w:trPr>
        <w:tc>
          <w:tcPr>
            <w:tcW w:w="823" w:type="dxa"/>
          </w:tcPr>
          <w:p>
            <w:pPr>
              <w:pStyle w:val="TableParagraph"/>
              <w:spacing w:before="0"/>
              <w:rPr>
                <w:rFonts w:ascii="Times New Roman"/>
                <w:sz w:val="20"/>
              </w:rPr>
            </w:pPr>
          </w:p>
        </w:tc>
        <w:tc>
          <w:tcPr>
            <w:tcW w:w="1903" w:type="dxa"/>
          </w:tcPr>
          <w:p>
            <w:pPr>
              <w:pStyle w:val="TableParagraph"/>
              <w:spacing w:line="312" w:lineRule="exact" w:before="141"/>
              <w:ind w:left="306" w:right="92"/>
              <w:jc w:val="both"/>
              <w:rPr>
                <w:sz w:val="21"/>
              </w:rPr>
            </w:pPr>
            <w:r>
              <w:rPr>
                <w:rFonts w:ascii="Times New Roman" w:hAnsi="Times New Roman" w:eastAsia="Times New Roman"/>
                <w:sz w:val="21"/>
              </w:rPr>
              <w:t>( </w:t>
            </w:r>
            <w:r>
              <w:rPr>
                <w:sz w:val="21"/>
              </w:rPr>
              <w:t>五</w:t>
            </w:r>
            <w:r>
              <w:rPr>
                <w:rFonts w:ascii="Times New Roman" w:hAnsi="Times New Roman" w:eastAsia="Times New Roman"/>
                <w:sz w:val="21"/>
              </w:rPr>
              <w:t>) </w:t>
            </w:r>
            <w:r>
              <w:rPr>
                <w:sz w:val="21"/>
              </w:rPr>
              <w:t>主动脉手术－“中国保险行业协会推荐”</w:t>
            </w:r>
          </w:p>
        </w:tc>
        <w:tc>
          <w:tcPr>
            <w:tcW w:w="6927" w:type="dxa"/>
          </w:tcPr>
          <w:p>
            <w:pPr>
              <w:pStyle w:val="TableParagraph"/>
              <w:spacing w:line="310" w:lineRule="atLeast" w:before="110"/>
              <w:ind w:left="93" w:right="30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10" w:lineRule="atLeast"/>
        <w:jc w:val="both"/>
        <w:rPr>
          <w:sz w:val="21"/>
        </w:rPr>
        <w:sectPr>
          <w:pgSz w:w="11910" w:h="16840"/>
          <w:pgMar w:header="0" w:footer="912" w:top="116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50"/>
        <w:gridCol w:w="6926"/>
      </w:tblGrid>
      <w:tr>
        <w:trPr>
          <w:trHeight w:val="414" w:hRule="atLeast"/>
        </w:trPr>
        <w:tc>
          <w:tcPr>
            <w:tcW w:w="876" w:type="dxa"/>
          </w:tcPr>
          <w:p>
            <w:pPr>
              <w:pStyle w:val="TableParagraph"/>
              <w:spacing w:before="0"/>
              <w:rPr>
                <w:rFonts w:ascii="Times New Roman"/>
                <w:sz w:val="20"/>
              </w:rPr>
            </w:pPr>
          </w:p>
        </w:tc>
        <w:tc>
          <w:tcPr>
            <w:tcW w:w="1850" w:type="dxa"/>
          </w:tcPr>
          <w:p>
            <w:pPr>
              <w:pStyle w:val="TableParagraph"/>
              <w:spacing w:before="0"/>
              <w:rPr>
                <w:rFonts w:ascii="Times New Roman"/>
                <w:sz w:val="20"/>
              </w:rPr>
            </w:pPr>
          </w:p>
        </w:tc>
        <w:tc>
          <w:tcPr>
            <w:tcW w:w="6926" w:type="dxa"/>
          </w:tcPr>
          <w:p>
            <w:pPr>
              <w:pStyle w:val="TableParagraph"/>
              <w:spacing w:line="211" w:lineRule="exact" w:before="0"/>
              <w:ind w:left="93"/>
              <w:rPr>
                <w:sz w:val="21"/>
              </w:rPr>
            </w:pPr>
            <w:r>
              <w:rPr>
                <w:sz w:val="21"/>
              </w:rPr>
              <w:t>动脉内血管成形术不在保障范围内。</w:t>
            </w:r>
          </w:p>
        </w:tc>
      </w:tr>
      <w:tr>
        <w:trPr>
          <w:trHeight w:val="1872" w:hRule="atLeast"/>
        </w:trPr>
        <w:tc>
          <w:tcPr>
            <w:tcW w:w="876" w:type="dxa"/>
          </w:tcPr>
          <w:p>
            <w:pPr>
              <w:pStyle w:val="TableParagraph"/>
              <w:spacing w:before="0"/>
              <w:rPr>
                <w:rFonts w:ascii="Times New Roman"/>
                <w:sz w:val="20"/>
              </w:rPr>
            </w:pPr>
          </w:p>
        </w:tc>
        <w:tc>
          <w:tcPr>
            <w:tcW w:w="1850" w:type="dxa"/>
          </w:tcPr>
          <w:p>
            <w:pPr>
              <w:pStyle w:val="TableParagraph"/>
              <w:spacing w:line="256" w:lineRule="auto" w:before="146"/>
              <w:ind w:left="253" w:right="92"/>
              <w:rPr>
                <w:sz w:val="21"/>
              </w:rPr>
            </w:pPr>
            <w:r>
              <w:rPr>
                <w:rFonts w:ascii="Times New Roman" w:eastAsia="Times New Roman"/>
                <w:sz w:val="21"/>
              </w:rPr>
              <w:t>( </w:t>
            </w:r>
            <w:r>
              <w:rPr>
                <w:sz w:val="21"/>
              </w:rPr>
              <w:t>六</w:t>
            </w:r>
            <w:r>
              <w:rPr>
                <w:rFonts w:ascii="Times New Roman" w:eastAsia="Times New Roman"/>
                <w:sz w:val="21"/>
              </w:rPr>
              <w:t>) </w:t>
            </w:r>
            <w:r>
              <w:rPr>
                <w:sz w:val="21"/>
              </w:rPr>
              <w:t>严重冠心病</w:t>
            </w:r>
          </w:p>
        </w:tc>
        <w:tc>
          <w:tcPr>
            <w:tcW w:w="6926" w:type="dxa"/>
          </w:tcPr>
          <w:p>
            <w:pPr>
              <w:pStyle w:val="TableParagraph"/>
              <w:spacing w:before="146"/>
              <w:ind w:left="93"/>
              <w:rPr>
                <w:sz w:val="21"/>
              </w:rPr>
            </w:pPr>
            <w:r>
              <w:rPr>
                <w:sz w:val="21"/>
              </w:rPr>
              <w:t>指经心脏科专科医师根据冠状动脉造影检查结果确诊的三支主要血管</w:t>
            </w:r>
          </w:p>
          <w:p>
            <w:pPr>
              <w:pStyle w:val="TableParagraph"/>
              <w:spacing w:line="261" w:lineRule="auto"/>
              <w:ind w:left="93" w:right="301"/>
              <w:jc w:val="both"/>
              <w:rPr>
                <w:sz w:val="21"/>
              </w:rPr>
            </w:pPr>
            <w:r>
              <w:rPr>
                <w:sz w:val="21"/>
              </w:rPr>
              <w:t>（</w:t>
            </w:r>
            <w:r>
              <w:rPr>
                <w:spacing w:val="-3"/>
                <w:sz w:val="21"/>
              </w:rPr>
              <w:t>左冠状动脉主干和右冠状动脉，或前降支、左旋支和右冠状动脉</w:t>
            </w:r>
            <w:r>
              <w:rPr>
                <w:sz w:val="21"/>
              </w:rPr>
              <w:t>）严</w:t>
            </w:r>
            <w:r>
              <w:rPr>
                <w:spacing w:val="-2"/>
                <w:sz w:val="21"/>
              </w:rPr>
              <w:t>重狭窄性病变</w:t>
            </w:r>
            <w:r>
              <w:rPr>
                <w:spacing w:val="-3"/>
                <w:sz w:val="21"/>
              </w:rPr>
              <w:t>（</w:t>
            </w:r>
            <w:r>
              <w:rPr>
                <w:spacing w:val="-2"/>
                <w:sz w:val="21"/>
              </w:rPr>
              <w:t>至少一支血管管腔直径减少 </w:t>
            </w:r>
            <w:r>
              <w:rPr>
                <w:rFonts w:ascii="Trebuchet MS" w:eastAsia="Trebuchet MS"/>
                <w:sz w:val="21"/>
              </w:rPr>
              <w:t>75%</w:t>
            </w:r>
            <w:r>
              <w:rPr>
                <w:spacing w:val="-3"/>
                <w:sz w:val="21"/>
              </w:rPr>
              <w:t>以上和其他两支血管管</w:t>
            </w:r>
            <w:r>
              <w:rPr>
                <w:spacing w:val="-7"/>
                <w:sz w:val="21"/>
              </w:rPr>
              <w:t>腔直径减少 </w:t>
            </w:r>
            <w:r>
              <w:rPr>
                <w:rFonts w:ascii="Trebuchet MS" w:eastAsia="Trebuchet MS"/>
                <w:sz w:val="21"/>
              </w:rPr>
              <w:t>60%</w:t>
            </w:r>
            <w:r>
              <w:rPr>
                <w:spacing w:val="-2"/>
                <w:sz w:val="21"/>
              </w:rPr>
              <w:t>以上</w:t>
            </w:r>
            <w:r>
              <w:rPr>
                <w:spacing w:val="-106"/>
                <w:sz w:val="21"/>
              </w:rPr>
              <w:t>）</w:t>
            </w:r>
            <w:r>
              <w:rPr>
                <w:spacing w:val="-11"/>
                <w:sz w:val="21"/>
              </w:rPr>
              <w:t>。前降支、左旋支及右冠状动脉的分支血管的狭窄</w:t>
            </w:r>
            <w:r>
              <w:rPr>
                <w:spacing w:val="-6"/>
                <w:sz w:val="21"/>
              </w:rPr>
              <w:t>不作为本保障的衡量指标。</w:t>
            </w:r>
          </w:p>
        </w:tc>
      </w:tr>
      <w:tr>
        <w:trPr>
          <w:trHeight w:val="1563" w:hRule="atLeast"/>
        </w:trPr>
        <w:tc>
          <w:tcPr>
            <w:tcW w:w="876" w:type="dxa"/>
          </w:tcPr>
          <w:p>
            <w:pPr>
              <w:pStyle w:val="TableParagraph"/>
              <w:spacing w:before="0"/>
              <w:rPr>
                <w:rFonts w:ascii="Times New Roman"/>
                <w:sz w:val="20"/>
              </w:rPr>
            </w:pPr>
          </w:p>
        </w:tc>
        <w:tc>
          <w:tcPr>
            <w:tcW w:w="1850" w:type="dxa"/>
          </w:tcPr>
          <w:p>
            <w:pPr>
              <w:pStyle w:val="TableParagraph"/>
              <w:spacing w:line="256" w:lineRule="auto" w:before="146"/>
              <w:ind w:left="253" w:right="92"/>
              <w:rPr>
                <w:sz w:val="21"/>
              </w:rPr>
            </w:pPr>
            <w:r>
              <w:rPr>
                <w:rFonts w:ascii="Times New Roman" w:eastAsia="Times New Roman"/>
                <w:sz w:val="21"/>
              </w:rPr>
              <w:t>( </w:t>
            </w:r>
            <w:r>
              <w:rPr>
                <w:sz w:val="21"/>
              </w:rPr>
              <w:t>七</w:t>
            </w:r>
            <w:r>
              <w:rPr>
                <w:rFonts w:ascii="Times New Roman" w:eastAsia="Times New Roman"/>
                <w:sz w:val="21"/>
              </w:rPr>
              <w:t>) </w:t>
            </w:r>
            <w:r>
              <w:rPr>
                <w:sz w:val="21"/>
              </w:rPr>
              <w:t>严重心肌病</w:t>
            </w:r>
          </w:p>
        </w:tc>
        <w:tc>
          <w:tcPr>
            <w:tcW w:w="6926" w:type="dxa"/>
          </w:tcPr>
          <w:p>
            <w:pPr>
              <w:pStyle w:val="TableParagraph"/>
              <w:spacing w:line="266" w:lineRule="auto" w:before="146"/>
              <w:ind w:left="93" w:right="301"/>
              <w:jc w:val="both"/>
              <w:rPr>
                <w:sz w:val="21"/>
              </w:rPr>
            </w:pPr>
            <w:r>
              <w:rPr>
                <w:spacing w:val="1"/>
                <w:sz w:val="21"/>
              </w:rPr>
              <w:t>指被保人因心肌病导致慢性心功能损害造成永久不可逆性的心功能衰</w:t>
            </w:r>
            <w:r>
              <w:rPr>
                <w:spacing w:val="-4"/>
                <w:sz w:val="21"/>
              </w:rPr>
              <w:t>竭。心功能衰竭程度达到纽约心脏病学会的心功能分级标准之心功能 </w:t>
            </w:r>
            <w:r>
              <w:rPr>
                <w:rFonts w:ascii="Trebuchet MS" w:eastAsia="Trebuchet MS"/>
                <w:sz w:val="21"/>
              </w:rPr>
              <w:t>IV </w:t>
            </w:r>
            <w:r>
              <w:rPr>
                <w:spacing w:val="-3"/>
                <w:sz w:val="21"/>
              </w:rPr>
              <w:t>级。被保险人永久不可逆性的体力活动能力受限，不能从事任何体力活动。</w:t>
            </w:r>
          </w:p>
        </w:tc>
      </w:tr>
      <w:tr>
        <w:trPr>
          <w:trHeight w:val="936" w:hRule="atLeast"/>
        </w:trPr>
        <w:tc>
          <w:tcPr>
            <w:tcW w:w="876" w:type="dxa"/>
          </w:tcPr>
          <w:p>
            <w:pPr>
              <w:pStyle w:val="TableParagraph"/>
              <w:spacing w:before="143"/>
              <w:ind w:left="200"/>
              <w:rPr>
                <w:b/>
                <w:sz w:val="21"/>
              </w:rPr>
            </w:pPr>
            <w:r>
              <w:rPr>
                <w:b/>
                <w:sz w:val="21"/>
              </w:rPr>
              <w:t>6.7</w:t>
            </w:r>
          </w:p>
        </w:tc>
        <w:tc>
          <w:tcPr>
            <w:tcW w:w="1850" w:type="dxa"/>
          </w:tcPr>
          <w:p>
            <w:pPr>
              <w:pStyle w:val="TableParagraph"/>
              <w:spacing w:before="143"/>
              <w:ind w:left="253"/>
              <w:rPr>
                <w:b/>
                <w:sz w:val="21"/>
              </w:rPr>
            </w:pPr>
            <w:r>
              <w:rPr>
                <w:b/>
                <w:sz w:val="21"/>
              </w:rPr>
              <w:t>意外伤害</w:t>
            </w:r>
          </w:p>
        </w:tc>
        <w:tc>
          <w:tcPr>
            <w:tcW w:w="6926" w:type="dxa"/>
          </w:tcPr>
          <w:p>
            <w:pPr>
              <w:pStyle w:val="TableParagraph"/>
              <w:spacing w:line="273" w:lineRule="auto" w:before="143"/>
              <w:ind w:left="93" w:right="313"/>
              <w:rPr>
                <w:sz w:val="21"/>
              </w:rPr>
            </w:pPr>
            <w:r>
              <w:rPr>
                <w:sz w:val="21"/>
              </w:rPr>
              <w:t>指遭受外来的、突发的、非本意的、非疾病的使身体受到伤害的客观事件。</w:t>
            </w:r>
          </w:p>
        </w:tc>
      </w:tr>
      <w:tr>
        <w:trPr>
          <w:trHeight w:val="2496" w:hRule="atLeast"/>
        </w:trPr>
        <w:tc>
          <w:tcPr>
            <w:tcW w:w="876" w:type="dxa"/>
          </w:tcPr>
          <w:p>
            <w:pPr>
              <w:pStyle w:val="TableParagraph"/>
              <w:spacing w:before="142"/>
              <w:ind w:left="200"/>
              <w:rPr>
                <w:b/>
                <w:sz w:val="21"/>
              </w:rPr>
            </w:pPr>
            <w:r>
              <w:rPr>
                <w:b/>
                <w:sz w:val="21"/>
              </w:rPr>
              <w:t>6.8</w:t>
            </w:r>
          </w:p>
        </w:tc>
        <w:tc>
          <w:tcPr>
            <w:tcW w:w="1850" w:type="dxa"/>
          </w:tcPr>
          <w:p>
            <w:pPr>
              <w:pStyle w:val="TableParagraph"/>
              <w:spacing w:before="142"/>
              <w:ind w:left="253"/>
              <w:rPr>
                <w:b/>
                <w:sz w:val="21"/>
              </w:rPr>
            </w:pPr>
            <w:r>
              <w:rPr>
                <w:b/>
                <w:sz w:val="21"/>
              </w:rPr>
              <w:t>专科医生</w:t>
            </w:r>
          </w:p>
        </w:tc>
        <w:tc>
          <w:tcPr>
            <w:tcW w:w="6926" w:type="dxa"/>
          </w:tcPr>
          <w:p>
            <w:pPr>
              <w:pStyle w:val="TableParagraph"/>
              <w:spacing w:before="142"/>
              <w:ind w:left="93"/>
              <w:rPr>
                <w:sz w:val="21"/>
              </w:rPr>
            </w:pPr>
            <w:r>
              <w:rPr>
                <w:sz w:val="21"/>
              </w:rPr>
              <w:t>专科医生应当同时满足以下四项资格条件：</w:t>
            </w:r>
          </w:p>
          <w:p>
            <w:pPr>
              <w:pStyle w:val="TableParagraph"/>
              <w:spacing w:before="36"/>
              <w:ind w:left="175"/>
              <w:rPr>
                <w:sz w:val="21"/>
              </w:rPr>
            </w:pPr>
            <w:r>
              <w:rPr>
                <w:sz w:val="21"/>
              </w:rPr>
              <w:t>（1）具有有效的中华人民共和国《医师资格证书》；</w:t>
            </w:r>
          </w:p>
          <w:p>
            <w:pPr>
              <w:pStyle w:val="TableParagraph"/>
              <w:spacing w:line="273" w:lineRule="auto" w:before="36"/>
              <w:ind w:left="715" w:right="307" w:hanging="540"/>
              <w:rPr>
                <w:sz w:val="21"/>
              </w:rPr>
            </w:pPr>
            <w:r>
              <w:rPr>
                <w:sz w:val="21"/>
              </w:rPr>
              <w:t>（2）具有有效的中华人民共和国《医师执业证书》，并按期到相关部门登记注册；</w:t>
            </w:r>
          </w:p>
          <w:p>
            <w:pPr>
              <w:pStyle w:val="TableParagraph"/>
              <w:spacing w:line="273" w:lineRule="auto" w:before="7"/>
              <w:ind w:left="715" w:right="307" w:hanging="540"/>
              <w:rPr>
                <w:sz w:val="21"/>
              </w:rPr>
            </w:pPr>
            <w:r>
              <w:rPr>
                <w:sz w:val="21"/>
              </w:rPr>
              <w:t>（3）具有有效的中华人民共和国主治医师或主治医师以上职称的《医师职称证书》；</w:t>
            </w:r>
          </w:p>
          <w:p>
            <w:pPr>
              <w:pStyle w:val="TableParagraph"/>
              <w:spacing w:before="7"/>
              <w:ind w:left="175"/>
              <w:rPr>
                <w:sz w:val="21"/>
              </w:rPr>
            </w:pPr>
            <w:r>
              <w:rPr>
                <w:sz w:val="21"/>
              </w:rPr>
              <w:t>（4）在二级或二级以上医院的相应科室从事临床工作三年以上。</w:t>
            </w:r>
          </w:p>
        </w:tc>
      </w:tr>
      <w:tr>
        <w:trPr>
          <w:trHeight w:val="1560" w:hRule="atLeast"/>
        </w:trPr>
        <w:tc>
          <w:tcPr>
            <w:tcW w:w="876" w:type="dxa"/>
          </w:tcPr>
          <w:p>
            <w:pPr>
              <w:pStyle w:val="TableParagraph"/>
              <w:spacing w:before="143"/>
              <w:ind w:left="200"/>
              <w:rPr>
                <w:b/>
                <w:sz w:val="21"/>
              </w:rPr>
            </w:pPr>
            <w:r>
              <w:rPr>
                <w:b/>
                <w:sz w:val="21"/>
              </w:rPr>
              <w:t>6.9</w:t>
            </w:r>
          </w:p>
        </w:tc>
        <w:tc>
          <w:tcPr>
            <w:tcW w:w="1850" w:type="dxa"/>
          </w:tcPr>
          <w:p>
            <w:pPr>
              <w:pStyle w:val="TableParagraph"/>
              <w:spacing w:before="143"/>
              <w:ind w:left="253"/>
              <w:rPr>
                <w:b/>
                <w:sz w:val="21"/>
              </w:rPr>
            </w:pPr>
            <w:r>
              <w:rPr>
                <w:b/>
                <w:sz w:val="21"/>
              </w:rPr>
              <w:t>毒品</w:t>
            </w:r>
          </w:p>
        </w:tc>
        <w:tc>
          <w:tcPr>
            <w:tcW w:w="6926" w:type="dxa"/>
          </w:tcPr>
          <w:p>
            <w:pPr>
              <w:pStyle w:val="TableParagraph"/>
              <w:spacing w:line="273" w:lineRule="auto" w:before="143"/>
              <w:ind w:left="93"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76" w:type="dxa"/>
          </w:tcPr>
          <w:p>
            <w:pPr>
              <w:pStyle w:val="TableParagraph"/>
              <w:spacing w:before="142"/>
              <w:ind w:left="200"/>
              <w:rPr>
                <w:b/>
                <w:sz w:val="21"/>
              </w:rPr>
            </w:pPr>
            <w:r>
              <w:rPr>
                <w:b/>
                <w:sz w:val="21"/>
              </w:rPr>
              <w:t>6.10</w:t>
            </w:r>
          </w:p>
        </w:tc>
        <w:tc>
          <w:tcPr>
            <w:tcW w:w="1850" w:type="dxa"/>
          </w:tcPr>
          <w:p>
            <w:pPr>
              <w:pStyle w:val="TableParagraph"/>
              <w:spacing w:before="142"/>
              <w:ind w:left="253"/>
              <w:rPr>
                <w:b/>
                <w:sz w:val="21"/>
              </w:rPr>
            </w:pPr>
            <w:r>
              <w:rPr>
                <w:b/>
                <w:sz w:val="21"/>
              </w:rPr>
              <w:t>酒后驾驶</w:t>
            </w:r>
          </w:p>
        </w:tc>
        <w:tc>
          <w:tcPr>
            <w:tcW w:w="6926" w:type="dxa"/>
          </w:tcPr>
          <w:p>
            <w:pPr>
              <w:pStyle w:val="TableParagraph"/>
              <w:spacing w:line="273" w:lineRule="auto" w:before="142"/>
              <w:ind w:left="93" w:right="198"/>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6" w:type="dxa"/>
          </w:tcPr>
          <w:p>
            <w:pPr>
              <w:pStyle w:val="TableParagraph"/>
              <w:spacing w:before="142"/>
              <w:ind w:left="200"/>
              <w:rPr>
                <w:b/>
                <w:sz w:val="21"/>
              </w:rPr>
            </w:pPr>
            <w:r>
              <w:rPr>
                <w:b/>
                <w:sz w:val="21"/>
              </w:rPr>
              <w:t>6.11</w:t>
            </w:r>
          </w:p>
        </w:tc>
        <w:tc>
          <w:tcPr>
            <w:tcW w:w="1850" w:type="dxa"/>
          </w:tcPr>
          <w:p>
            <w:pPr>
              <w:pStyle w:val="TableParagraph"/>
              <w:spacing w:line="273" w:lineRule="auto" w:before="142"/>
              <w:ind w:left="253" w:right="327"/>
              <w:rPr>
                <w:b/>
                <w:sz w:val="21"/>
              </w:rPr>
            </w:pPr>
            <w:r>
              <w:rPr>
                <w:b/>
                <w:sz w:val="21"/>
              </w:rPr>
              <w:t>无合法有效驾驶证驾驶</w:t>
            </w:r>
          </w:p>
        </w:tc>
        <w:tc>
          <w:tcPr>
            <w:tcW w:w="6926" w:type="dxa"/>
          </w:tcPr>
          <w:p>
            <w:pPr>
              <w:pStyle w:val="TableParagraph"/>
              <w:spacing w:before="142"/>
              <w:ind w:left="93"/>
              <w:rPr>
                <w:sz w:val="21"/>
              </w:rPr>
            </w:pPr>
            <w:r>
              <w:rPr>
                <w:sz w:val="21"/>
              </w:rPr>
              <w:t>指下列情形之一：</w:t>
            </w:r>
          </w:p>
          <w:p>
            <w:pPr>
              <w:pStyle w:val="TableParagraph"/>
              <w:spacing w:before="36"/>
              <w:ind w:left="165"/>
              <w:rPr>
                <w:sz w:val="21"/>
              </w:rPr>
            </w:pPr>
            <w:r>
              <w:rPr>
                <w:sz w:val="21"/>
              </w:rPr>
              <w:t>（1）没有取得驾驶资格；</w:t>
            </w:r>
          </w:p>
          <w:p>
            <w:pPr>
              <w:pStyle w:val="TableParagraph"/>
              <w:ind w:left="165"/>
              <w:rPr>
                <w:sz w:val="21"/>
              </w:rPr>
            </w:pPr>
            <w:r>
              <w:rPr>
                <w:sz w:val="21"/>
              </w:rPr>
              <w:t>（2）驾驶与驾驶证准驾车型不相符合的车辆；</w:t>
            </w:r>
          </w:p>
          <w:p>
            <w:pPr>
              <w:pStyle w:val="TableParagraph"/>
              <w:ind w:left="165"/>
              <w:rPr>
                <w:sz w:val="21"/>
              </w:rPr>
            </w:pPr>
            <w:r>
              <w:rPr>
                <w:sz w:val="21"/>
              </w:rPr>
              <w:t>（3）持审验不合格的驾驶证驾驶；</w:t>
            </w:r>
          </w:p>
          <w:p>
            <w:pPr>
              <w:pStyle w:val="TableParagraph"/>
              <w:spacing w:line="273" w:lineRule="auto"/>
              <w:ind w:left="688" w:right="141" w:hanging="524"/>
              <w:rPr>
                <w:sz w:val="21"/>
              </w:rPr>
            </w:pPr>
            <w:r>
              <w:rPr>
                <w:sz w:val="21"/>
              </w:rPr>
              <w:t>（4）持学习驾驶证学习驾车时，无教练员随车指导，或不按指定时间、路线学习驾车。</w:t>
            </w:r>
          </w:p>
        </w:tc>
      </w:tr>
      <w:tr>
        <w:trPr>
          <w:trHeight w:val="1247" w:hRule="atLeast"/>
        </w:trPr>
        <w:tc>
          <w:tcPr>
            <w:tcW w:w="876" w:type="dxa"/>
          </w:tcPr>
          <w:p>
            <w:pPr>
              <w:pStyle w:val="TableParagraph"/>
              <w:spacing w:before="142"/>
              <w:ind w:left="200"/>
              <w:rPr>
                <w:b/>
                <w:sz w:val="21"/>
              </w:rPr>
            </w:pPr>
            <w:r>
              <w:rPr>
                <w:b/>
                <w:sz w:val="21"/>
              </w:rPr>
              <w:t>6.12</w:t>
            </w:r>
          </w:p>
        </w:tc>
        <w:tc>
          <w:tcPr>
            <w:tcW w:w="1850" w:type="dxa"/>
          </w:tcPr>
          <w:p>
            <w:pPr>
              <w:pStyle w:val="TableParagraph"/>
              <w:spacing w:before="142"/>
              <w:ind w:left="253"/>
              <w:rPr>
                <w:b/>
                <w:sz w:val="21"/>
              </w:rPr>
            </w:pPr>
            <w:r>
              <w:rPr>
                <w:b/>
                <w:sz w:val="21"/>
              </w:rPr>
              <w:t>无有效行驶证</w:t>
            </w:r>
          </w:p>
        </w:tc>
        <w:tc>
          <w:tcPr>
            <w:tcW w:w="6926" w:type="dxa"/>
          </w:tcPr>
          <w:p>
            <w:pPr>
              <w:pStyle w:val="TableParagraph"/>
              <w:spacing w:before="142"/>
              <w:ind w:left="93"/>
              <w:rPr>
                <w:sz w:val="21"/>
              </w:rPr>
            </w:pPr>
            <w:r>
              <w:rPr>
                <w:sz w:val="21"/>
              </w:rPr>
              <w:t>指下列情形之一：</w:t>
            </w:r>
          </w:p>
          <w:p>
            <w:pPr>
              <w:pStyle w:val="TableParagraph"/>
              <w:spacing w:before="36"/>
              <w:ind w:left="93"/>
              <w:rPr>
                <w:sz w:val="21"/>
              </w:rPr>
            </w:pPr>
            <w:r>
              <w:rPr>
                <w:sz w:val="21"/>
              </w:rPr>
              <w:t>（1）机动车被依法注销登记的；</w:t>
            </w:r>
          </w:p>
          <w:p>
            <w:pPr>
              <w:pStyle w:val="TableParagraph"/>
              <w:spacing w:before="36"/>
              <w:ind w:left="93"/>
              <w:rPr>
                <w:sz w:val="21"/>
              </w:rPr>
            </w:pPr>
            <w:r>
              <w:rPr>
                <w:sz w:val="21"/>
              </w:rPr>
              <w:t>（2）未依法按时进行或通过机动车安全技术检验。</w:t>
            </w:r>
          </w:p>
        </w:tc>
      </w:tr>
      <w:tr>
        <w:trPr>
          <w:trHeight w:val="729" w:hRule="atLeast"/>
        </w:trPr>
        <w:tc>
          <w:tcPr>
            <w:tcW w:w="876" w:type="dxa"/>
          </w:tcPr>
          <w:p>
            <w:pPr>
              <w:pStyle w:val="TableParagraph"/>
              <w:spacing w:before="142"/>
              <w:ind w:left="200"/>
              <w:rPr>
                <w:b/>
                <w:sz w:val="21"/>
              </w:rPr>
            </w:pPr>
            <w:r>
              <w:rPr>
                <w:b/>
                <w:sz w:val="21"/>
              </w:rPr>
              <w:t>6.13</w:t>
            </w:r>
          </w:p>
        </w:tc>
        <w:tc>
          <w:tcPr>
            <w:tcW w:w="1850" w:type="dxa"/>
          </w:tcPr>
          <w:p>
            <w:pPr>
              <w:pStyle w:val="TableParagraph"/>
              <w:spacing w:before="142"/>
              <w:ind w:left="253"/>
              <w:rPr>
                <w:b/>
                <w:sz w:val="21"/>
              </w:rPr>
            </w:pPr>
            <w:r>
              <w:rPr>
                <w:b/>
                <w:sz w:val="21"/>
              </w:rPr>
              <w:t>遗传性疾病</w:t>
            </w:r>
          </w:p>
        </w:tc>
        <w:tc>
          <w:tcPr>
            <w:tcW w:w="6926" w:type="dxa"/>
          </w:tcPr>
          <w:p>
            <w:pPr>
              <w:pStyle w:val="TableParagraph"/>
              <w:spacing w:line="310" w:lineRule="atLeast" w:before="107"/>
              <w:ind w:left="93" w:right="313"/>
              <w:rPr>
                <w:sz w:val="21"/>
              </w:rPr>
            </w:pPr>
            <w:r>
              <w:rPr>
                <w:sz w:val="21"/>
              </w:rPr>
              <w:t>指生殖细胞或受精卵的遗传物质（染色体和基因）发生突变或畸变所引起的疾病，通常具有由亲代传至后代的垂直传递的特征。</w:t>
            </w:r>
          </w:p>
        </w:tc>
      </w:tr>
    </w:tbl>
    <w:p>
      <w:pPr>
        <w:spacing w:after="0" w:line="310" w:lineRule="atLeast"/>
        <w:rPr>
          <w:sz w:val="21"/>
        </w:rPr>
        <w:sectPr>
          <w:pgSz w:w="11910" w:h="16840"/>
          <w:pgMar w:header="0" w:footer="912" w:top="116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835"/>
        <w:gridCol w:w="6940"/>
      </w:tblGrid>
      <w:tr>
        <w:trPr>
          <w:trHeight w:val="1041" w:hRule="atLeast"/>
        </w:trPr>
        <w:tc>
          <w:tcPr>
            <w:tcW w:w="876" w:type="dxa"/>
          </w:tcPr>
          <w:p>
            <w:pPr>
              <w:pStyle w:val="TableParagraph"/>
              <w:spacing w:line="209" w:lineRule="exact" w:before="0"/>
              <w:ind w:left="200"/>
              <w:rPr>
                <w:b/>
                <w:sz w:val="21"/>
              </w:rPr>
            </w:pPr>
            <w:r>
              <w:rPr>
                <w:b/>
                <w:sz w:val="21"/>
              </w:rPr>
              <w:t>6.14</w:t>
            </w:r>
          </w:p>
        </w:tc>
        <w:tc>
          <w:tcPr>
            <w:tcW w:w="1835" w:type="dxa"/>
          </w:tcPr>
          <w:p>
            <w:pPr>
              <w:pStyle w:val="TableParagraph"/>
              <w:spacing w:line="209" w:lineRule="exact" w:before="0"/>
              <w:ind w:left="253"/>
              <w:rPr>
                <w:b/>
                <w:sz w:val="21"/>
              </w:rPr>
            </w:pPr>
            <w:r>
              <w:rPr>
                <w:b/>
                <w:sz w:val="21"/>
              </w:rPr>
              <w:t>先天性畸形、变</w:t>
            </w:r>
          </w:p>
          <w:p>
            <w:pPr>
              <w:pStyle w:val="TableParagraph"/>
              <w:spacing w:line="273" w:lineRule="auto"/>
              <w:ind w:left="253" w:right="312"/>
              <w:rPr>
                <w:b/>
                <w:sz w:val="21"/>
              </w:rPr>
            </w:pPr>
            <w:r>
              <w:rPr>
                <w:b/>
                <w:sz w:val="21"/>
              </w:rPr>
              <w:t>形或染色体异常</w:t>
            </w:r>
          </w:p>
        </w:tc>
        <w:tc>
          <w:tcPr>
            <w:tcW w:w="6940" w:type="dxa"/>
          </w:tcPr>
          <w:p>
            <w:pPr>
              <w:pStyle w:val="TableParagraph"/>
              <w:spacing w:line="209" w:lineRule="exact" w:before="0"/>
              <w:ind w:left="108"/>
              <w:rPr>
                <w:sz w:val="21"/>
              </w:rPr>
            </w:pPr>
            <w:r>
              <w:rPr>
                <w:sz w:val="21"/>
              </w:rPr>
              <w:t>指被保险人出生时就具有的畸形、变形或染色体异常。先天性畸形、变</w:t>
            </w:r>
          </w:p>
          <w:p>
            <w:pPr>
              <w:pStyle w:val="TableParagraph"/>
              <w:spacing w:line="273" w:lineRule="auto"/>
              <w:ind w:left="108" w:right="312"/>
              <w:rPr>
                <w:sz w:val="21"/>
              </w:rPr>
            </w:pPr>
            <w:r>
              <w:rPr>
                <w:spacing w:val="-3"/>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248" w:hRule="atLeast"/>
        </w:trPr>
        <w:tc>
          <w:tcPr>
            <w:tcW w:w="876" w:type="dxa"/>
          </w:tcPr>
          <w:p>
            <w:pPr>
              <w:pStyle w:val="TableParagraph"/>
              <w:spacing w:before="140"/>
              <w:ind w:left="200"/>
              <w:rPr>
                <w:b/>
                <w:sz w:val="21"/>
              </w:rPr>
            </w:pPr>
            <w:r>
              <w:rPr>
                <w:b/>
                <w:sz w:val="21"/>
              </w:rPr>
              <w:t>6.15</w:t>
            </w:r>
          </w:p>
        </w:tc>
        <w:tc>
          <w:tcPr>
            <w:tcW w:w="1835" w:type="dxa"/>
          </w:tcPr>
          <w:p>
            <w:pPr>
              <w:pStyle w:val="TableParagraph"/>
              <w:spacing w:line="273" w:lineRule="auto" w:before="140"/>
              <w:ind w:left="253" w:right="312"/>
              <w:rPr>
                <w:b/>
                <w:sz w:val="21"/>
              </w:rPr>
            </w:pPr>
            <w:r>
              <w:rPr>
                <w:b/>
                <w:sz w:val="21"/>
              </w:rPr>
              <w:t>本合同约定利率</w:t>
            </w:r>
          </w:p>
        </w:tc>
        <w:tc>
          <w:tcPr>
            <w:tcW w:w="6940" w:type="dxa"/>
          </w:tcPr>
          <w:p>
            <w:pPr>
              <w:pStyle w:val="TableParagraph"/>
              <w:spacing w:line="273" w:lineRule="auto" w:before="140"/>
              <w:ind w:left="108" w:right="312"/>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5" w:hRule="atLeast"/>
        </w:trPr>
        <w:tc>
          <w:tcPr>
            <w:tcW w:w="876" w:type="dxa"/>
          </w:tcPr>
          <w:p>
            <w:pPr>
              <w:pStyle w:val="TableParagraph"/>
              <w:spacing w:before="140"/>
              <w:ind w:left="200"/>
              <w:rPr>
                <w:b/>
                <w:sz w:val="21"/>
              </w:rPr>
            </w:pPr>
            <w:r>
              <w:rPr>
                <w:b/>
                <w:sz w:val="21"/>
              </w:rPr>
              <w:t>6.16</w:t>
            </w:r>
          </w:p>
        </w:tc>
        <w:tc>
          <w:tcPr>
            <w:tcW w:w="1835" w:type="dxa"/>
          </w:tcPr>
          <w:p>
            <w:pPr>
              <w:pStyle w:val="TableParagraph"/>
              <w:spacing w:line="273" w:lineRule="auto" w:before="140"/>
              <w:ind w:left="253" w:right="312"/>
              <w:rPr>
                <w:b/>
                <w:sz w:val="21"/>
              </w:rPr>
            </w:pPr>
            <w:r>
              <w:rPr>
                <w:b/>
                <w:sz w:val="21"/>
              </w:rPr>
              <w:t>肢体机能完全丧失</w:t>
            </w:r>
          </w:p>
        </w:tc>
        <w:tc>
          <w:tcPr>
            <w:tcW w:w="6940" w:type="dxa"/>
          </w:tcPr>
          <w:p>
            <w:pPr>
              <w:pStyle w:val="TableParagraph"/>
              <w:spacing w:line="273" w:lineRule="auto" w:before="140"/>
              <w:ind w:left="108" w:right="312"/>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spacing w:before="140"/>
              <w:ind w:left="200"/>
              <w:rPr>
                <w:b/>
                <w:sz w:val="21"/>
              </w:rPr>
            </w:pPr>
            <w:r>
              <w:rPr>
                <w:b/>
                <w:sz w:val="21"/>
              </w:rPr>
              <w:t>6.17</w:t>
            </w:r>
          </w:p>
        </w:tc>
        <w:tc>
          <w:tcPr>
            <w:tcW w:w="1835" w:type="dxa"/>
          </w:tcPr>
          <w:p>
            <w:pPr>
              <w:pStyle w:val="TableParagraph"/>
              <w:spacing w:line="273" w:lineRule="auto" w:before="140"/>
              <w:ind w:left="253" w:right="312"/>
              <w:jc w:val="both"/>
              <w:rPr>
                <w:b/>
                <w:sz w:val="21"/>
              </w:rPr>
            </w:pPr>
            <w:r>
              <w:rPr>
                <w:b/>
                <w:sz w:val="21"/>
              </w:rPr>
              <w:t>语言能力或咀嚼吞咽能力完全丧失</w:t>
            </w:r>
          </w:p>
        </w:tc>
        <w:tc>
          <w:tcPr>
            <w:tcW w:w="6940" w:type="dxa"/>
          </w:tcPr>
          <w:p>
            <w:pPr>
              <w:pStyle w:val="TableParagraph"/>
              <w:spacing w:line="273" w:lineRule="auto" w:before="140"/>
              <w:ind w:left="108"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8" w:right="197"/>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1" w:hRule="atLeast"/>
        </w:trPr>
        <w:tc>
          <w:tcPr>
            <w:tcW w:w="876" w:type="dxa"/>
          </w:tcPr>
          <w:p>
            <w:pPr>
              <w:pStyle w:val="TableParagraph"/>
              <w:spacing w:before="140"/>
              <w:ind w:left="200"/>
              <w:rPr>
                <w:b/>
                <w:sz w:val="21"/>
              </w:rPr>
            </w:pPr>
            <w:r>
              <w:rPr>
                <w:b/>
                <w:sz w:val="21"/>
              </w:rPr>
              <w:t>6.18</w:t>
            </w:r>
          </w:p>
        </w:tc>
        <w:tc>
          <w:tcPr>
            <w:tcW w:w="1835" w:type="dxa"/>
          </w:tcPr>
          <w:p>
            <w:pPr>
              <w:pStyle w:val="TableParagraph"/>
              <w:spacing w:line="273" w:lineRule="auto" w:before="140"/>
              <w:ind w:left="253" w:right="312"/>
              <w:rPr>
                <w:b/>
                <w:sz w:val="21"/>
              </w:rPr>
            </w:pPr>
            <w:r>
              <w:rPr>
                <w:b/>
                <w:sz w:val="21"/>
              </w:rPr>
              <w:t>六项基本日常生活活动</w:t>
            </w:r>
          </w:p>
        </w:tc>
        <w:tc>
          <w:tcPr>
            <w:tcW w:w="6940" w:type="dxa"/>
          </w:tcPr>
          <w:p>
            <w:pPr>
              <w:pStyle w:val="TableParagraph"/>
              <w:spacing w:before="140"/>
              <w:ind w:left="108"/>
              <w:rPr>
                <w:sz w:val="21"/>
              </w:rPr>
            </w:pPr>
            <w:r>
              <w:rPr>
                <w:sz w:val="21"/>
              </w:rPr>
              <w:t>六项基本日常生活活动是指：</w:t>
            </w:r>
          </w:p>
          <w:p>
            <w:pPr>
              <w:pStyle w:val="TableParagraph"/>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76" w:type="dxa"/>
          </w:tcPr>
          <w:p>
            <w:pPr>
              <w:pStyle w:val="TableParagraph"/>
              <w:spacing w:before="135"/>
              <w:ind w:left="200"/>
              <w:rPr>
                <w:b/>
                <w:sz w:val="21"/>
              </w:rPr>
            </w:pPr>
            <w:r>
              <w:rPr>
                <w:b/>
                <w:sz w:val="21"/>
              </w:rPr>
              <w:t>6.19</w:t>
            </w:r>
          </w:p>
        </w:tc>
        <w:tc>
          <w:tcPr>
            <w:tcW w:w="1835" w:type="dxa"/>
          </w:tcPr>
          <w:p>
            <w:pPr>
              <w:pStyle w:val="TableParagraph"/>
              <w:spacing w:before="135"/>
              <w:ind w:left="253"/>
              <w:rPr>
                <w:b/>
                <w:sz w:val="21"/>
              </w:rPr>
            </w:pPr>
            <w:r>
              <w:rPr>
                <w:b/>
                <w:sz w:val="21"/>
              </w:rPr>
              <w:t>永久不可逆</w:t>
            </w:r>
          </w:p>
        </w:tc>
        <w:tc>
          <w:tcPr>
            <w:tcW w:w="6940" w:type="dxa"/>
          </w:tcPr>
          <w:p>
            <w:pPr>
              <w:pStyle w:val="TableParagraph"/>
              <w:spacing w:line="290" w:lineRule="atLeast" w:before="135"/>
              <w:ind w:left="108" w:right="25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8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Trebuchet MS">
    <w:altName w:val="Trebuchet MS"/>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0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224" w:hanging="159"/>
        <w:jc w:val="left"/>
      </w:pPr>
      <w:rPr>
        <w:rFonts w:hint="default" w:ascii="宋体" w:hAnsi="宋体" w:eastAsia="宋体" w:cs="宋体"/>
        <w:w w:val="100"/>
        <w:sz w:val="21"/>
        <w:szCs w:val="21"/>
      </w:rPr>
    </w:lvl>
    <w:lvl w:ilvl="1">
      <w:start w:val="0"/>
      <w:numFmt w:val="bullet"/>
      <w:lvlText w:val="•"/>
      <w:lvlJc w:val="left"/>
      <w:pPr>
        <w:ind w:left="891" w:hanging="159"/>
      </w:pPr>
      <w:rPr>
        <w:rFonts w:hint="default"/>
      </w:rPr>
    </w:lvl>
    <w:lvl w:ilvl="2">
      <w:start w:val="0"/>
      <w:numFmt w:val="bullet"/>
      <w:lvlText w:val="•"/>
      <w:lvlJc w:val="left"/>
      <w:pPr>
        <w:ind w:left="1562" w:hanging="159"/>
      </w:pPr>
      <w:rPr>
        <w:rFonts w:hint="default"/>
      </w:rPr>
    </w:lvl>
    <w:lvl w:ilvl="3">
      <w:start w:val="0"/>
      <w:numFmt w:val="bullet"/>
      <w:lvlText w:val="•"/>
      <w:lvlJc w:val="left"/>
      <w:pPr>
        <w:ind w:left="2233" w:hanging="159"/>
      </w:pPr>
      <w:rPr>
        <w:rFonts w:hint="default"/>
      </w:rPr>
    </w:lvl>
    <w:lvl w:ilvl="4">
      <w:start w:val="0"/>
      <w:numFmt w:val="bullet"/>
      <w:lvlText w:val="•"/>
      <w:lvlJc w:val="left"/>
      <w:pPr>
        <w:ind w:left="2904" w:hanging="159"/>
      </w:pPr>
      <w:rPr>
        <w:rFonts w:hint="default"/>
      </w:rPr>
    </w:lvl>
    <w:lvl w:ilvl="5">
      <w:start w:val="0"/>
      <w:numFmt w:val="bullet"/>
      <w:lvlText w:val="•"/>
      <w:lvlJc w:val="left"/>
      <w:pPr>
        <w:ind w:left="3576" w:hanging="159"/>
      </w:pPr>
      <w:rPr>
        <w:rFonts w:hint="default"/>
      </w:rPr>
    </w:lvl>
    <w:lvl w:ilvl="6">
      <w:start w:val="0"/>
      <w:numFmt w:val="bullet"/>
      <w:lvlText w:val="•"/>
      <w:lvlJc w:val="left"/>
      <w:pPr>
        <w:ind w:left="4247" w:hanging="159"/>
      </w:pPr>
      <w:rPr>
        <w:rFonts w:hint="default"/>
      </w:rPr>
    </w:lvl>
    <w:lvl w:ilvl="7">
      <w:start w:val="0"/>
      <w:numFmt w:val="bullet"/>
      <w:lvlText w:val="•"/>
      <w:lvlJc w:val="left"/>
      <w:pPr>
        <w:ind w:left="4918" w:hanging="159"/>
      </w:pPr>
      <w:rPr>
        <w:rFonts w:hint="default"/>
      </w:rPr>
    </w:lvl>
    <w:lvl w:ilvl="8">
      <w:start w:val="0"/>
      <w:numFmt w:val="bullet"/>
      <w:lvlText w:val="•"/>
      <w:lvlJc w:val="left"/>
      <w:pPr>
        <w:ind w:left="5589" w:hanging="159"/>
      </w:pPr>
      <w:rPr>
        <w:rFonts w:hint="default"/>
      </w:rPr>
    </w:lvl>
  </w:abstractNum>
  <w:abstractNum w:abstractNumId="9">
    <w:multiLevelType w:val="hybridMultilevel"/>
    <w:lvl w:ilvl="0">
      <w:start w:val="1"/>
      <w:numFmt w:val="decimal"/>
      <w:lvlText w:val="（%1）"/>
      <w:lvlJc w:val="left"/>
      <w:pPr>
        <w:ind w:left="816" w:hanging="720"/>
        <w:jc w:val="left"/>
      </w:pPr>
      <w:rPr>
        <w:rFonts w:hint="default" w:ascii="黑体" w:hAnsi="黑体" w:eastAsia="黑体" w:cs="黑体"/>
        <w:w w:val="100"/>
        <w:sz w:val="21"/>
        <w:szCs w:val="21"/>
      </w:rPr>
    </w:lvl>
    <w:lvl w:ilvl="1">
      <w:start w:val="0"/>
      <w:numFmt w:val="bullet"/>
      <w:lvlText w:val="•"/>
      <w:lvlJc w:val="left"/>
      <w:pPr>
        <w:ind w:left="1413" w:hanging="720"/>
      </w:pPr>
      <w:rPr>
        <w:rFonts w:hint="default"/>
      </w:rPr>
    </w:lvl>
    <w:lvl w:ilvl="2">
      <w:start w:val="0"/>
      <w:numFmt w:val="bullet"/>
      <w:lvlText w:val="•"/>
      <w:lvlJc w:val="left"/>
      <w:pPr>
        <w:ind w:left="2007" w:hanging="720"/>
      </w:pPr>
      <w:rPr>
        <w:rFonts w:hint="default"/>
      </w:rPr>
    </w:lvl>
    <w:lvl w:ilvl="3">
      <w:start w:val="0"/>
      <w:numFmt w:val="bullet"/>
      <w:lvlText w:val="•"/>
      <w:lvlJc w:val="left"/>
      <w:pPr>
        <w:ind w:left="2600" w:hanging="720"/>
      </w:pPr>
      <w:rPr>
        <w:rFonts w:hint="default"/>
      </w:rPr>
    </w:lvl>
    <w:lvl w:ilvl="4">
      <w:start w:val="0"/>
      <w:numFmt w:val="bullet"/>
      <w:lvlText w:val="•"/>
      <w:lvlJc w:val="left"/>
      <w:pPr>
        <w:ind w:left="3194" w:hanging="720"/>
      </w:pPr>
      <w:rPr>
        <w:rFonts w:hint="default"/>
      </w:rPr>
    </w:lvl>
    <w:lvl w:ilvl="5">
      <w:start w:val="0"/>
      <w:numFmt w:val="bullet"/>
      <w:lvlText w:val="•"/>
      <w:lvlJc w:val="left"/>
      <w:pPr>
        <w:ind w:left="3787" w:hanging="720"/>
      </w:pPr>
      <w:rPr>
        <w:rFonts w:hint="default"/>
      </w:rPr>
    </w:lvl>
    <w:lvl w:ilvl="6">
      <w:start w:val="0"/>
      <w:numFmt w:val="bullet"/>
      <w:lvlText w:val="•"/>
      <w:lvlJc w:val="left"/>
      <w:pPr>
        <w:ind w:left="4381" w:hanging="720"/>
      </w:pPr>
      <w:rPr>
        <w:rFonts w:hint="default"/>
      </w:rPr>
    </w:lvl>
    <w:lvl w:ilvl="7">
      <w:start w:val="0"/>
      <w:numFmt w:val="bullet"/>
      <w:lvlText w:val="•"/>
      <w:lvlJc w:val="left"/>
      <w:pPr>
        <w:ind w:left="4974" w:hanging="720"/>
      </w:pPr>
      <w:rPr>
        <w:rFonts w:hint="default"/>
      </w:rPr>
    </w:lvl>
    <w:lvl w:ilvl="8">
      <w:start w:val="0"/>
      <w:numFmt w:val="bullet"/>
      <w:lvlText w:val="•"/>
      <w:lvlJc w:val="left"/>
      <w:pPr>
        <w:ind w:left="5568" w:hanging="720"/>
      </w:pPr>
      <w:rPr>
        <w:rFonts w:hint="default"/>
      </w:rPr>
    </w:lvl>
  </w:abstractNum>
  <w:abstractNum w:abstractNumId="8">
    <w:multiLevelType w:val="hybridMultilevel"/>
    <w:lvl w:ilvl="0">
      <w:start w:val="1"/>
      <w:numFmt w:val="decimal"/>
      <w:lvlText w:val="%1."/>
      <w:lvlJc w:val="left"/>
      <w:pPr>
        <w:ind w:left="412" w:hanging="317"/>
        <w:jc w:val="left"/>
      </w:pPr>
      <w:rPr>
        <w:rFonts w:hint="default" w:ascii="宋体" w:hAnsi="宋体" w:eastAsia="宋体" w:cs="宋体"/>
        <w:w w:val="100"/>
        <w:sz w:val="21"/>
        <w:szCs w:val="21"/>
      </w:rPr>
    </w:lvl>
    <w:lvl w:ilvl="1">
      <w:start w:val="0"/>
      <w:numFmt w:val="bullet"/>
      <w:lvlText w:val="•"/>
      <w:lvlJc w:val="left"/>
      <w:pPr>
        <w:ind w:left="1073" w:hanging="317"/>
      </w:pPr>
      <w:rPr>
        <w:rFonts w:hint="default"/>
      </w:rPr>
    </w:lvl>
    <w:lvl w:ilvl="2">
      <w:start w:val="0"/>
      <w:numFmt w:val="bullet"/>
      <w:lvlText w:val="•"/>
      <w:lvlJc w:val="left"/>
      <w:pPr>
        <w:ind w:left="1726" w:hanging="317"/>
      </w:pPr>
      <w:rPr>
        <w:rFonts w:hint="default"/>
      </w:rPr>
    </w:lvl>
    <w:lvl w:ilvl="3">
      <w:start w:val="0"/>
      <w:numFmt w:val="bullet"/>
      <w:lvlText w:val="•"/>
      <w:lvlJc w:val="left"/>
      <w:pPr>
        <w:ind w:left="2379" w:hanging="317"/>
      </w:pPr>
      <w:rPr>
        <w:rFonts w:hint="default"/>
      </w:rPr>
    </w:lvl>
    <w:lvl w:ilvl="4">
      <w:start w:val="0"/>
      <w:numFmt w:val="bullet"/>
      <w:lvlText w:val="•"/>
      <w:lvlJc w:val="left"/>
      <w:pPr>
        <w:ind w:left="3032" w:hanging="317"/>
      </w:pPr>
      <w:rPr>
        <w:rFonts w:hint="default"/>
      </w:rPr>
    </w:lvl>
    <w:lvl w:ilvl="5">
      <w:start w:val="0"/>
      <w:numFmt w:val="bullet"/>
      <w:lvlText w:val="•"/>
      <w:lvlJc w:val="left"/>
      <w:pPr>
        <w:ind w:left="3685" w:hanging="317"/>
      </w:pPr>
      <w:rPr>
        <w:rFonts w:hint="default"/>
      </w:rPr>
    </w:lvl>
    <w:lvl w:ilvl="6">
      <w:start w:val="0"/>
      <w:numFmt w:val="bullet"/>
      <w:lvlText w:val="•"/>
      <w:lvlJc w:val="left"/>
      <w:pPr>
        <w:ind w:left="4338" w:hanging="317"/>
      </w:pPr>
      <w:rPr>
        <w:rFonts w:hint="default"/>
      </w:rPr>
    </w:lvl>
    <w:lvl w:ilvl="7">
      <w:start w:val="0"/>
      <w:numFmt w:val="bullet"/>
      <w:lvlText w:val="•"/>
      <w:lvlJc w:val="left"/>
      <w:pPr>
        <w:ind w:left="4991" w:hanging="317"/>
      </w:pPr>
      <w:rPr>
        <w:rFonts w:hint="default"/>
      </w:rPr>
    </w:lvl>
    <w:lvl w:ilvl="8">
      <w:start w:val="0"/>
      <w:numFmt w:val="bullet"/>
      <w:lvlText w:val="•"/>
      <w:lvlJc w:val="left"/>
      <w:pPr>
        <w:ind w:left="5644" w:hanging="317"/>
      </w:pPr>
      <w:rPr>
        <w:rFonts w:hint="default"/>
      </w:rPr>
    </w:lvl>
  </w:abstractNum>
  <w:abstractNum w:abstractNumId="7">
    <w:multiLevelType w:val="hybridMultilevel"/>
    <w:lvl w:ilvl="0">
      <w:start w:val="12"/>
      <w:numFmt w:val="decimal"/>
      <w:lvlText w:val="%1."/>
      <w:lvlJc w:val="left"/>
      <w:pPr>
        <w:ind w:left="518" w:hanging="423"/>
        <w:jc w:val="left"/>
      </w:pPr>
      <w:rPr>
        <w:rFonts w:hint="default" w:ascii="宋体" w:hAnsi="宋体" w:eastAsia="宋体" w:cs="宋体"/>
        <w:w w:val="100"/>
        <w:sz w:val="21"/>
        <w:szCs w:val="21"/>
      </w:rPr>
    </w:lvl>
    <w:lvl w:ilvl="1">
      <w:start w:val="0"/>
      <w:numFmt w:val="bullet"/>
      <w:lvlText w:val="•"/>
      <w:lvlJc w:val="left"/>
      <w:pPr>
        <w:ind w:left="1163" w:hanging="423"/>
      </w:pPr>
      <w:rPr>
        <w:rFonts w:hint="default"/>
      </w:rPr>
    </w:lvl>
    <w:lvl w:ilvl="2">
      <w:start w:val="0"/>
      <w:numFmt w:val="bullet"/>
      <w:lvlText w:val="•"/>
      <w:lvlJc w:val="left"/>
      <w:pPr>
        <w:ind w:left="1806" w:hanging="423"/>
      </w:pPr>
      <w:rPr>
        <w:rFonts w:hint="default"/>
      </w:rPr>
    </w:lvl>
    <w:lvl w:ilvl="3">
      <w:start w:val="0"/>
      <w:numFmt w:val="bullet"/>
      <w:lvlText w:val="•"/>
      <w:lvlJc w:val="left"/>
      <w:pPr>
        <w:ind w:left="2449" w:hanging="423"/>
      </w:pPr>
      <w:rPr>
        <w:rFonts w:hint="default"/>
      </w:rPr>
    </w:lvl>
    <w:lvl w:ilvl="4">
      <w:start w:val="0"/>
      <w:numFmt w:val="bullet"/>
      <w:lvlText w:val="•"/>
      <w:lvlJc w:val="left"/>
      <w:pPr>
        <w:ind w:left="3092" w:hanging="423"/>
      </w:pPr>
      <w:rPr>
        <w:rFonts w:hint="default"/>
      </w:rPr>
    </w:lvl>
    <w:lvl w:ilvl="5">
      <w:start w:val="0"/>
      <w:numFmt w:val="bullet"/>
      <w:lvlText w:val="•"/>
      <w:lvlJc w:val="left"/>
      <w:pPr>
        <w:ind w:left="3735" w:hanging="423"/>
      </w:pPr>
      <w:rPr>
        <w:rFonts w:hint="default"/>
      </w:rPr>
    </w:lvl>
    <w:lvl w:ilvl="6">
      <w:start w:val="0"/>
      <w:numFmt w:val="bullet"/>
      <w:lvlText w:val="•"/>
      <w:lvlJc w:val="left"/>
      <w:pPr>
        <w:ind w:left="4378" w:hanging="423"/>
      </w:pPr>
      <w:rPr>
        <w:rFonts w:hint="default"/>
      </w:rPr>
    </w:lvl>
    <w:lvl w:ilvl="7">
      <w:start w:val="0"/>
      <w:numFmt w:val="bullet"/>
      <w:lvlText w:val="•"/>
      <w:lvlJc w:val="left"/>
      <w:pPr>
        <w:ind w:left="5021" w:hanging="423"/>
      </w:pPr>
      <w:rPr>
        <w:rFonts w:hint="default"/>
      </w:rPr>
    </w:lvl>
    <w:lvl w:ilvl="8">
      <w:start w:val="0"/>
      <w:numFmt w:val="bullet"/>
      <w:lvlText w:val="•"/>
      <w:lvlJc w:val="left"/>
      <w:pPr>
        <w:ind w:left="5664" w:hanging="423"/>
      </w:pPr>
      <w:rPr>
        <w:rFonts w:hint="default"/>
      </w:rPr>
    </w:lvl>
  </w:abstractNum>
  <w:abstractNum w:abstractNumId="6">
    <w:multiLevelType w:val="hybridMultilevel"/>
    <w:lvl w:ilvl="0">
      <w:start w:val="1"/>
      <w:numFmt w:val="decimal"/>
      <w:lvlText w:val="%1."/>
      <w:lvlJc w:val="left"/>
      <w:pPr>
        <w:ind w:left="517" w:hanging="317"/>
        <w:jc w:val="left"/>
      </w:pPr>
      <w:rPr>
        <w:rFonts w:hint="default" w:ascii="宋体" w:hAnsi="宋体" w:eastAsia="宋体" w:cs="宋体"/>
        <w:w w:val="100"/>
        <w:sz w:val="21"/>
        <w:szCs w:val="21"/>
      </w:rPr>
    </w:lvl>
    <w:lvl w:ilvl="1">
      <w:start w:val="0"/>
      <w:numFmt w:val="bullet"/>
      <w:lvlText w:val="•"/>
      <w:lvlJc w:val="left"/>
      <w:pPr>
        <w:ind w:left="1153" w:hanging="317"/>
      </w:pPr>
      <w:rPr>
        <w:rFonts w:hint="default"/>
      </w:rPr>
    </w:lvl>
    <w:lvl w:ilvl="2">
      <w:start w:val="0"/>
      <w:numFmt w:val="bullet"/>
      <w:lvlText w:val="•"/>
      <w:lvlJc w:val="left"/>
      <w:pPr>
        <w:ind w:left="1787" w:hanging="317"/>
      </w:pPr>
      <w:rPr>
        <w:rFonts w:hint="default"/>
      </w:rPr>
    </w:lvl>
    <w:lvl w:ilvl="3">
      <w:start w:val="0"/>
      <w:numFmt w:val="bullet"/>
      <w:lvlText w:val="•"/>
      <w:lvlJc w:val="left"/>
      <w:pPr>
        <w:ind w:left="2421" w:hanging="317"/>
      </w:pPr>
      <w:rPr>
        <w:rFonts w:hint="default"/>
      </w:rPr>
    </w:lvl>
    <w:lvl w:ilvl="4">
      <w:start w:val="0"/>
      <w:numFmt w:val="bullet"/>
      <w:lvlText w:val="•"/>
      <w:lvlJc w:val="left"/>
      <w:pPr>
        <w:ind w:left="3055" w:hanging="317"/>
      </w:pPr>
      <w:rPr>
        <w:rFonts w:hint="default"/>
      </w:rPr>
    </w:lvl>
    <w:lvl w:ilvl="5">
      <w:start w:val="0"/>
      <w:numFmt w:val="bullet"/>
      <w:lvlText w:val="•"/>
      <w:lvlJc w:val="left"/>
      <w:pPr>
        <w:ind w:left="3689" w:hanging="317"/>
      </w:pPr>
      <w:rPr>
        <w:rFonts w:hint="default"/>
      </w:rPr>
    </w:lvl>
    <w:lvl w:ilvl="6">
      <w:start w:val="0"/>
      <w:numFmt w:val="bullet"/>
      <w:lvlText w:val="•"/>
      <w:lvlJc w:val="left"/>
      <w:pPr>
        <w:ind w:left="4322" w:hanging="317"/>
      </w:pPr>
      <w:rPr>
        <w:rFonts w:hint="default"/>
      </w:rPr>
    </w:lvl>
    <w:lvl w:ilvl="7">
      <w:start w:val="0"/>
      <w:numFmt w:val="bullet"/>
      <w:lvlText w:val="•"/>
      <w:lvlJc w:val="left"/>
      <w:pPr>
        <w:ind w:left="4956" w:hanging="317"/>
      </w:pPr>
      <w:rPr>
        <w:rFonts w:hint="default"/>
      </w:rPr>
    </w:lvl>
    <w:lvl w:ilvl="8">
      <w:start w:val="0"/>
      <w:numFmt w:val="bullet"/>
      <w:lvlText w:val="•"/>
      <w:lvlJc w:val="left"/>
      <w:pPr>
        <w:ind w:left="5590" w:hanging="317"/>
      </w:pPr>
      <w:rPr>
        <w:rFonts w:hint="default"/>
      </w:rPr>
    </w:lvl>
  </w:abstractNum>
  <w:abstractNum w:abstractNumId="5">
    <w:multiLevelType w:val="hybridMultilevel"/>
    <w:lvl w:ilvl="0">
      <w:start w:val="1"/>
      <w:numFmt w:val="decimal"/>
      <w:lvlText w:val="%1."/>
      <w:lvlJc w:val="left"/>
      <w:pPr>
        <w:ind w:left="517" w:hanging="317"/>
        <w:jc w:val="left"/>
      </w:pPr>
      <w:rPr>
        <w:rFonts w:hint="default" w:ascii="宋体" w:hAnsi="宋体" w:eastAsia="宋体" w:cs="宋体"/>
        <w:w w:val="100"/>
        <w:sz w:val="21"/>
        <w:szCs w:val="21"/>
      </w:rPr>
    </w:lvl>
    <w:lvl w:ilvl="1">
      <w:start w:val="0"/>
      <w:numFmt w:val="bullet"/>
      <w:lvlText w:val="•"/>
      <w:lvlJc w:val="left"/>
      <w:pPr>
        <w:ind w:left="1153" w:hanging="317"/>
      </w:pPr>
      <w:rPr>
        <w:rFonts w:hint="default"/>
      </w:rPr>
    </w:lvl>
    <w:lvl w:ilvl="2">
      <w:start w:val="0"/>
      <w:numFmt w:val="bullet"/>
      <w:lvlText w:val="•"/>
      <w:lvlJc w:val="left"/>
      <w:pPr>
        <w:ind w:left="1787" w:hanging="317"/>
      </w:pPr>
      <w:rPr>
        <w:rFonts w:hint="default"/>
      </w:rPr>
    </w:lvl>
    <w:lvl w:ilvl="3">
      <w:start w:val="0"/>
      <w:numFmt w:val="bullet"/>
      <w:lvlText w:val="•"/>
      <w:lvlJc w:val="left"/>
      <w:pPr>
        <w:ind w:left="2421" w:hanging="317"/>
      </w:pPr>
      <w:rPr>
        <w:rFonts w:hint="default"/>
      </w:rPr>
    </w:lvl>
    <w:lvl w:ilvl="4">
      <w:start w:val="0"/>
      <w:numFmt w:val="bullet"/>
      <w:lvlText w:val="•"/>
      <w:lvlJc w:val="left"/>
      <w:pPr>
        <w:ind w:left="3055" w:hanging="317"/>
      </w:pPr>
      <w:rPr>
        <w:rFonts w:hint="default"/>
      </w:rPr>
    </w:lvl>
    <w:lvl w:ilvl="5">
      <w:start w:val="0"/>
      <w:numFmt w:val="bullet"/>
      <w:lvlText w:val="•"/>
      <w:lvlJc w:val="left"/>
      <w:pPr>
        <w:ind w:left="3689" w:hanging="317"/>
      </w:pPr>
      <w:rPr>
        <w:rFonts w:hint="default"/>
      </w:rPr>
    </w:lvl>
    <w:lvl w:ilvl="6">
      <w:start w:val="0"/>
      <w:numFmt w:val="bullet"/>
      <w:lvlText w:val="•"/>
      <w:lvlJc w:val="left"/>
      <w:pPr>
        <w:ind w:left="4322" w:hanging="317"/>
      </w:pPr>
      <w:rPr>
        <w:rFonts w:hint="default"/>
      </w:rPr>
    </w:lvl>
    <w:lvl w:ilvl="7">
      <w:start w:val="0"/>
      <w:numFmt w:val="bullet"/>
      <w:lvlText w:val="•"/>
      <w:lvlJc w:val="left"/>
      <w:pPr>
        <w:ind w:left="4956" w:hanging="317"/>
      </w:pPr>
      <w:rPr>
        <w:rFonts w:hint="default"/>
      </w:rPr>
    </w:lvl>
    <w:lvl w:ilvl="8">
      <w:start w:val="0"/>
      <w:numFmt w:val="bullet"/>
      <w:lvlText w:val="•"/>
      <w:lvlJc w:val="left"/>
      <w:pPr>
        <w:ind w:left="5590" w:hanging="317"/>
      </w:pPr>
      <w:rPr>
        <w:rFonts w:hint="default"/>
      </w:rPr>
    </w:lvl>
  </w:abstractNum>
  <w:abstractNum w:abstractNumId="4">
    <w:multiLevelType w:val="hybridMultilevel"/>
    <w:lvl w:ilvl="0">
      <w:start w:val="6"/>
      <w:numFmt w:val="decimal"/>
      <w:lvlText w:val="%1"/>
      <w:lvlJc w:val="left"/>
      <w:pPr>
        <w:ind w:left="620" w:hanging="423"/>
        <w:jc w:val="left"/>
      </w:pPr>
      <w:rPr>
        <w:rFonts w:hint="default"/>
      </w:rPr>
    </w:lvl>
    <w:lvl w:ilvl="1">
      <w:start w:val="5"/>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1011" w:hanging="423"/>
      </w:pPr>
      <w:rPr>
        <w:rFonts w:hint="default"/>
      </w:rPr>
    </w:lvl>
    <w:lvl w:ilvl="3">
      <w:start w:val="0"/>
      <w:numFmt w:val="bullet"/>
      <w:lvlText w:val="•"/>
      <w:lvlJc w:val="left"/>
      <w:pPr>
        <w:ind w:left="1302" w:hanging="423"/>
      </w:pPr>
      <w:rPr>
        <w:rFonts w:hint="default"/>
      </w:rPr>
    </w:lvl>
    <w:lvl w:ilvl="4">
      <w:start w:val="0"/>
      <w:numFmt w:val="bullet"/>
      <w:lvlText w:val="•"/>
      <w:lvlJc w:val="left"/>
      <w:pPr>
        <w:ind w:left="1593" w:hanging="423"/>
      </w:pPr>
      <w:rPr>
        <w:rFonts w:hint="default"/>
      </w:rPr>
    </w:lvl>
    <w:lvl w:ilvl="5">
      <w:start w:val="0"/>
      <w:numFmt w:val="bullet"/>
      <w:lvlText w:val="•"/>
      <w:lvlJc w:val="left"/>
      <w:pPr>
        <w:ind w:left="1884" w:hanging="423"/>
      </w:pPr>
      <w:rPr>
        <w:rFonts w:hint="default"/>
      </w:rPr>
    </w:lvl>
    <w:lvl w:ilvl="6">
      <w:start w:val="0"/>
      <w:numFmt w:val="bullet"/>
      <w:lvlText w:val="•"/>
      <w:lvlJc w:val="left"/>
      <w:pPr>
        <w:ind w:left="2176" w:hanging="423"/>
      </w:pPr>
      <w:rPr>
        <w:rFonts w:hint="default"/>
      </w:rPr>
    </w:lvl>
    <w:lvl w:ilvl="7">
      <w:start w:val="0"/>
      <w:numFmt w:val="bullet"/>
      <w:lvlText w:val="•"/>
      <w:lvlJc w:val="left"/>
      <w:pPr>
        <w:ind w:left="2467" w:hanging="423"/>
      </w:pPr>
      <w:rPr>
        <w:rFonts w:hint="default"/>
      </w:rPr>
    </w:lvl>
    <w:lvl w:ilvl="8">
      <w:start w:val="0"/>
      <w:numFmt w:val="bullet"/>
      <w:lvlText w:val="•"/>
      <w:lvlJc w:val="left"/>
      <w:pPr>
        <w:ind w:left="2758" w:hanging="423"/>
      </w:pPr>
      <w:rPr>
        <w:rFonts w:hint="default"/>
      </w:rPr>
    </w:lvl>
  </w:abstractNum>
  <w:abstractNum w:abstractNumId="3">
    <w:multiLevelType w:val="hybridMultilevel"/>
    <w:lvl w:ilvl="0">
      <w:start w:val="4"/>
      <w:numFmt w:val="decimal"/>
      <w:lvlText w:val="%1."/>
      <w:lvlJc w:val="left"/>
      <w:pPr>
        <w:ind w:left="472" w:hanging="317"/>
        <w:jc w:val="left"/>
      </w:pPr>
      <w:rPr>
        <w:rFonts w:hint="default" w:ascii="宋体" w:hAnsi="宋体" w:eastAsia="宋体" w:cs="宋体"/>
        <w:b/>
        <w:bCs/>
        <w:w w:val="99"/>
        <w:sz w:val="21"/>
        <w:szCs w:val="21"/>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680" w:hanging="423"/>
      </w:pPr>
      <w:rPr>
        <w:rFonts w:hint="default"/>
      </w:rPr>
    </w:lvl>
    <w:lvl w:ilvl="3">
      <w:start w:val="0"/>
      <w:numFmt w:val="bullet"/>
      <w:lvlText w:val="•"/>
      <w:lvlJc w:val="left"/>
      <w:pPr>
        <w:ind w:left="1021" w:hanging="423"/>
      </w:pPr>
      <w:rPr>
        <w:rFonts w:hint="default"/>
      </w:rPr>
    </w:lvl>
    <w:lvl w:ilvl="4">
      <w:start w:val="0"/>
      <w:numFmt w:val="bullet"/>
      <w:lvlText w:val="•"/>
      <w:lvlJc w:val="left"/>
      <w:pPr>
        <w:ind w:left="1362" w:hanging="423"/>
      </w:pPr>
      <w:rPr>
        <w:rFonts w:hint="default"/>
      </w:rPr>
    </w:lvl>
    <w:lvl w:ilvl="5">
      <w:start w:val="0"/>
      <w:numFmt w:val="bullet"/>
      <w:lvlText w:val="•"/>
      <w:lvlJc w:val="left"/>
      <w:pPr>
        <w:ind w:left="1704" w:hanging="423"/>
      </w:pPr>
      <w:rPr>
        <w:rFonts w:hint="default"/>
      </w:rPr>
    </w:lvl>
    <w:lvl w:ilvl="6">
      <w:start w:val="0"/>
      <w:numFmt w:val="bullet"/>
      <w:lvlText w:val="•"/>
      <w:lvlJc w:val="left"/>
      <w:pPr>
        <w:ind w:left="2045" w:hanging="423"/>
      </w:pPr>
      <w:rPr>
        <w:rFonts w:hint="default"/>
      </w:rPr>
    </w:lvl>
    <w:lvl w:ilvl="7">
      <w:start w:val="0"/>
      <w:numFmt w:val="bullet"/>
      <w:lvlText w:val="•"/>
      <w:lvlJc w:val="left"/>
      <w:pPr>
        <w:ind w:left="2386" w:hanging="423"/>
      </w:pPr>
      <w:rPr>
        <w:rFonts w:hint="default"/>
      </w:rPr>
    </w:lvl>
    <w:lvl w:ilvl="8">
      <w:start w:val="0"/>
      <w:numFmt w:val="bullet"/>
      <w:lvlText w:val="•"/>
      <w:lvlJc w:val="left"/>
      <w:pPr>
        <w:ind w:left="2728" w:hanging="423"/>
      </w:pPr>
      <w:rPr>
        <w:rFonts w:hint="default"/>
      </w:rPr>
    </w:lvl>
  </w:abstractNum>
  <w:abstractNum w:abstractNumId="2">
    <w:multiLevelType w:val="hybridMultilevel"/>
    <w:lvl w:ilvl="0">
      <w:start w:val="3"/>
      <w:numFmt w:val="decimal"/>
      <w:lvlText w:val="%1"/>
      <w:lvlJc w:val="left"/>
      <w:pPr>
        <w:ind w:left="683" w:hanging="423"/>
        <w:jc w:val="left"/>
      </w:pPr>
      <w:rPr>
        <w:rFonts w:hint="default"/>
      </w:rPr>
    </w:lvl>
    <w:lvl w:ilvl="1">
      <w:start w:val="4"/>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226" w:hanging="423"/>
      </w:pPr>
      <w:rPr>
        <w:rFonts w:hint="default"/>
      </w:rPr>
    </w:lvl>
    <w:lvl w:ilvl="3">
      <w:start w:val="0"/>
      <w:numFmt w:val="bullet"/>
      <w:lvlText w:val="•"/>
      <w:lvlJc w:val="left"/>
      <w:pPr>
        <w:ind w:left="1499" w:hanging="423"/>
      </w:pPr>
      <w:rPr>
        <w:rFonts w:hint="default"/>
      </w:rPr>
    </w:lvl>
    <w:lvl w:ilvl="4">
      <w:start w:val="0"/>
      <w:numFmt w:val="bullet"/>
      <w:lvlText w:val="•"/>
      <w:lvlJc w:val="left"/>
      <w:pPr>
        <w:ind w:left="1772"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91" w:hanging="423"/>
      </w:pPr>
      <w:rPr>
        <w:rFonts w:hint="default"/>
      </w:rPr>
    </w:lvl>
    <w:lvl w:ilvl="8">
      <w:start w:val="0"/>
      <w:numFmt w:val="bullet"/>
      <w:lvlText w:val="•"/>
      <w:lvlJc w:val="left"/>
      <w:pPr>
        <w:ind w:left="2864"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4" w:hanging="423"/>
      </w:pPr>
      <w:rPr>
        <w:rFonts w:hint="default"/>
      </w:rPr>
    </w:lvl>
    <w:lvl w:ilvl="3">
      <w:start w:val="0"/>
      <w:numFmt w:val="bullet"/>
      <w:lvlText w:val="•"/>
      <w:lvlJc w:val="left"/>
      <w:pPr>
        <w:ind w:left="1269" w:hanging="423"/>
      </w:pPr>
      <w:rPr>
        <w:rFonts w:hint="default"/>
      </w:rPr>
    </w:lvl>
    <w:lvl w:ilvl="4">
      <w:start w:val="0"/>
      <w:numFmt w:val="bullet"/>
      <w:lvlText w:val="•"/>
      <w:lvlJc w:val="left"/>
      <w:pPr>
        <w:ind w:left="1544" w:hanging="423"/>
      </w:pPr>
      <w:rPr>
        <w:rFonts w:hint="default"/>
      </w:rPr>
    </w:lvl>
    <w:lvl w:ilvl="5">
      <w:start w:val="0"/>
      <w:numFmt w:val="bullet"/>
      <w:lvlText w:val="•"/>
      <w:lvlJc w:val="left"/>
      <w:pPr>
        <w:ind w:left="1819" w:hanging="423"/>
      </w:pPr>
      <w:rPr>
        <w:rFonts w:hint="default"/>
      </w:rPr>
    </w:lvl>
    <w:lvl w:ilvl="6">
      <w:start w:val="0"/>
      <w:numFmt w:val="bullet"/>
      <w:lvlText w:val="•"/>
      <w:lvlJc w:val="left"/>
      <w:pPr>
        <w:ind w:left="2094" w:hanging="423"/>
      </w:pPr>
      <w:rPr>
        <w:rFonts w:hint="default"/>
      </w:rPr>
    </w:lvl>
    <w:lvl w:ilvl="7">
      <w:start w:val="0"/>
      <w:numFmt w:val="bullet"/>
      <w:lvlText w:val="•"/>
      <w:lvlJc w:val="left"/>
      <w:pPr>
        <w:ind w:left="2369" w:hanging="423"/>
      </w:pPr>
      <w:rPr>
        <w:rFonts w:hint="default"/>
      </w:rPr>
    </w:lvl>
    <w:lvl w:ilvl="8">
      <w:start w:val="0"/>
      <w:numFmt w:val="bullet"/>
      <w:lvlText w:val="•"/>
      <w:lvlJc w:val="left"/>
      <w:pPr>
        <w:ind w:left="2644"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20" w:hanging="399"/>
      </w:pPr>
      <w:rPr>
        <w:rFonts w:hint="default"/>
      </w:rPr>
    </w:lvl>
    <w:lvl w:ilvl="2">
      <w:start w:val="0"/>
      <w:numFmt w:val="bullet"/>
      <w:lvlText w:val="•"/>
      <w:lvlJc w:val="left"/>
      <w:pPr>
        <w:ind w:left="3181" w:hanging="399"/>
      </w:pPr>
      <w:rPr>
        <w:rFonts w:hint="default"/>
      </w:rPr>
    </w:lvl>
    <w:lvl w:ilvl="3">
      <w:start w:val="0"/>
      <w:numFmt w:val="bullet"/>
      <w:lvlText w:val="•"/>
      <w:lvlJc w:val="left"/>
      <w:pPr>
        <w:ind w:left="4141" w:hanging="399"/>
      </w:pPr>
      <w:rPr>
        <w:rFonts w:hint="default"/>
      </w:rPr>
    </w:lvl>
    <w:lvl w:ilvl="4">
      <w:start w:val="0"/>
      <w:numFmt w:val="bullet"/>
      <w:lvlText w:val="•"/>
      <w:lvlJc w:val="left"/>
      <w:pPr>
        <w:ind w:left="5102" w:hanging="399"/>
      </w:pPr>
      <w:rPr>
        <w:rFonts w:hint="default"/>
      </w:rPr>
    </w:lvl>
    <w:lvl w:ilvl="5">
      <w:start w:val="0"/>
      <w:numFmt w:val="bullet"/>
      <w:lvlText w:val="•"/>
      <w:lvlJc w:val="left"/>
      <w:pPr>
        <w:ind w:left="6063" w:hanging="399"/>
      </w:pPr>
      <w:rPr>
        <w:rFonts w:hint="default"/>
      </w:rPr>
    </w:lvl>
    <w:lvl w:ilvl="6">
      <w:start w:val="0"/>
      <w:numFmt w:val="bullet"/>
      <w:lvlText w:val="•"/>
      <w:lvlJc w:val="left"/>
      <w:pPr>
        <w:ind w:left="7023" w:hanging="399"/>
      </w:pPr>
      <w:rPr>
        <w:rFonts w:hint="default"/>
      </w:rPr>
    </w:lvl>
    <w:lvl w:ilvl="7">
      <w:start w:val="0"/>
      <w:numFmt w:val="bullet"/>
      <w:lvlText w:val="•"/>
      <w:lvlJc w:val="left"/>
      <w:pPr>
        <w:ind w:left="7984" w:hanging="399"/>
      </w:pPr>
      <w:rPr>
        <w:rFonts w:hint="default"/>
      </w:rPr>
    </w:lvl>
    <w:lvl w:ilvl="8">
      <w:start w:val="0"/>
      <w:numFmt w:val="bullet"/>
      <w:lvlText w:val="•"/>
      <w:lvlJc w:val="left"/>
      <w:pPr>
        <w:ind w:left="8945" w:hanging="39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3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3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2018-10-20T04:33:42Z</dcterms:created>
  <dcterms:modified xsi:type="dcterms:W3CDTF">2018-10-20T04:33:42Z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