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443"/>
        <w:rPr>
          <w:rFonts w:ascii="Times New Roman"/>
          <w:sz w:val="2"/>
        </w:rPr>
      </w:pPr>
      <w:r>
        <w:rPr>
          <w:rFonts w:ascii="Times New Roman"/>
          <w:spacing w:val="5"/>
          <w:sz w:val="2"/>
        </w:rPr>
        <w:t> </w:t>
      </w:r>
      <w:r>
        <w:rPr>
          <w:rFonts w:ascii="Times New Roman"/>
          <w:spacing w:val="5"/>
          <w:sz w:val="2"/>
        </w:rPr>
        <w:pict>
          <v:group style="width:496.2pt;height:.75pt;mso-position-horizontal-relative:char;mso-position-vertical-relative:line" coordorigin="0,0" coordsize="9924,15">
            <v:line style="position:absolute" from="0,7" to="9924,7" stroked="true" strokeweight=".71997pt" strokecolor="#000000">
              <v:stroke dashstyle="solid"/>
            </v:line>
          </v:group>
        </w:pict>
      </w:r>
      <w:r>
        <w:rPr>
          <w:rFonts w:ascii="Times New Roman"/>
          <w:spacing w:val="5"/>
          <w:sz w:val="2"/>
        </w:rPr>
      </w:r>
    </w:p>
    <w:p>
      <w:pPr>
        <w:pStyle w:val="BodyText"/>
        <w:spacing w:before="6"/>
        <w:rPr>
          <w:rFonts w:ascii="Times New Roman"/>
          <w:sz w:val="20"/>
        </w:rPr>
      </w:pPr>
    </w:p>
    <w:p>
      <w:pPr>
        <w:pStyle w:val="BodyText"/>
        <w:spacing w:before="42" w:after="16"/>
        <w:ind w:right="452"/>
        <w:jc w:val="right"/>
      </w:pPr>
      <w:r>
        <w:rPr/>
        <w:t>阳光人寿</w:t>
      </w:r>
      <w:r>
        <w:rPr>
          <w:rFonts w:ascii="Times New Roman" w:eastAsia="Times New Roman"/>
        </w:rPr>
        <w:t>[2014]</w:t>
      </w:r>
      <w:r>
        <w:rPr/>
        <w:t>疾病保险</w:t>
      </w:r>
      <w:r>
        <w:rPr>
          <w:rFonts w:ascii="Times New Roman" w:eastAsia="Times New Roman"/>
        </w:rPr>
        <w:t>016 </w:t>
      </w:r>
      <w:r>
        <w:rPr/>
        <w:t>号</w:t>
      </w:r>
    </w:p>
    <w:p>
      <w:pPr>
        <w:pStyle w:val="BodyText"/>
        <w:ind w:left="848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00" w:h="16840"/>
          <w:pgMar w:top="800" w:bottom="280" w:left="540" w:right="560"/>
        </w:sectPr>
      </w:pPr>
    </w:p>
    <w:p>
      <w:pPr>
        <w:pStyle w:val="Heading1"/>
        <w:spacing w:before="244"/>
        <w:ind w:left="3490"/>
      </w:pPr>
      <w:r>
        <w:rPr/>
        <w:t>阳光人寿保险股份有限公司</w:t>
      </w:r>
    </w:p>
    <w:p>
      <w:pPr>
        <w:pStyle w:val="BodyText"/>
        <w:spacing w:line="240" w:lineRule="exact"/>
        <w:ind w:left="665"/>
      </w:pPr>
      <w:r>
        <w:rPr/>
        <w:br w:type="column"/>
      </w:r>
      <w:r>
        <w:rPr/>
        <w:t>请扫描以查询验证条款</w:t>
      </w:r>
    </w:p>
    <w:p>
      <w:pPr>
        <w:spacing w:after="0" w:line="240" w:lineRule="exact"/>
        <w:sectPr>
          <w:type w:val="continuous"/>
          <w:pgSz w:w="11900" w:h="16840"/>
          <w:pgMar w:top="800" w:bottom="280" w:left="540" w:right="560"/>
          <w:cols w:num="2" w:equalWidth="0">
            <w:col w:w="7336" w:space="40"/>
            <w:col w:w="3424"/>
          </w:cols>
        </w:sectPr>
      </w:pPr>
    </w:p>
    <w:p>
      <w:pPr>
        <w:pStyle w:val="BodyText"/>
        <w:rPr>
          <w:sz w:val="20"/>
        </w:rPr>
      </w:pPr>
    </w:p>
    <w:p>
      <w:pPr>
        <w:pStyle w:val="Heading1"/>
        <w:spacing w:before="181"/>
        <w:ind w:right="2487"/>
        <w:jc w:val="center"/>
      </w:pPr>
      <w:r>
        <w:rPr/>
        <w:t>阳光人寿成长无忧少儿重大疾病保险条款</w:t>
      </w:r>
    </w:p>
    <w:p>
      <w:pPr>
        <w:pStyle w:val="BodyText"/>
        <w:spacing w:before="142"/>
        <w:ind w:left="2513" w:right="2487"/>
        <w:jc w:val="center"/>
      </w:pPr>
      <w:r>
        <w:rPr/>
        <w:t>CDDJ-1</w:t>
      </w:r>
    </w:p>
    <w:p>
      <w:pPr>
        <w:pStyle w:val="BodyText"/>
        <w:rPr>
          <w:sz w:val="20"/>
        </w:rPr>
      </w:pPr>
    </w:p>
    <w:p>
      <w:pPr>
        <w:pStyle w:val="BodyText"/>
        <w:spacing w:before="8"/>
        <w:rPr>
          <w:sz w:val="12"/>
        </w:rPr>
      </w:pPr>
      <w:r>
        <w:rPr/>
        <w:pict>
          <v:line style="position:absolute;mso-position-horizontal-relative:page;mso-position-vertical-relative:paragraph;z-index:1048;mso-wrap-distance-left:0;mso-wrap-distance-right:0" from="49.5pt,10.645781pt" to="546.72pt,10.645781pt" stroked="true" strokeweight=".75pt" strokecolor="#000000">
            <v:stroke dashstyle="solid"/>
            <w10:wrap type="topAndBottom"/>
          </v:line>
        </w:pict>
      </w:r>
    </w:p>
    <w:p>
      <w:pPr>
        <w:pStyle w:val="BodyText"/>
        <w:rPr>
          <w:sz w:val="20"/>
        </w:rPr>
      </w:pPr>
    </w:p>
    <w:p>
      <w:pPr>
        <w:pStyle w:val="BodyText"/>
        <w:spacing w:before="1"/>
        <w:rPr>
          <w:sz w:val="20"/>
        </w:rPr>
      </w:pPr>
    </w:p>
    <w:p>
      <w:pPr>
        <w:pStyle w:val="Heading1"/>
        <w:ind w:right="2487"/>
        <w:jc w:val="center"/>
      </w:pPr>
      <w:r>
        <w:rPr/>
        <w:t>条款目录</w:t>
      </w:r>
    </w:p>
    <w:p>
      <w:pPr>
        <w:pStyle w:val="BodyText"/>
        <w:spacing w:before="7"/>
        <w:rPr>
          <w:sz w:val="41"/>
        </w:rPr>
      </w:pPr>
    </w:p>
    <w:p>
      <w:pPr>
        <w:pStyle w:val="BodyText"/>
        <w:tabs>
          <w:tab w:pos="3877" w:val="left" w:leader="none"/>
          <w:tab w:pos="7063" w:val="left" w:leader="none"/>
        </w:tabs>
        <w:ind w:left="151"/>
      </w:pPr>
      <w:r>
        <w:rPr/>
        <w:drawing>
          <wp:anchor distT="0" distB="0" distL="0" distR="0" allowOverlap="1" layoutInCell="1" locked="0" behindDoc="1" simplePos="0" relativeHeight="268385255">
            <wp:simplePos x="0" y="0"/>
            <wp:positionH relativeFrom="page">
              <wp:posOffset>2599943</wp:posOffset>
            </wp:positionH>
            <wp:positionV relativeFrom="paragraph">
              <wp:posOffset>9443</wp:posOffset>
            </wp:positionV>
            <wp:extent cx="6095" cy="569671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5696712"/>
                    </a:xfrm>
                    <a:prstGeom prst="rect">
                      <a:avLst/>
                    </a:prstGeom>
                  </pic:spPr>
                </pic:pic>
              </a:graphicData>
            </a:graphic>
          </wp:anchor>
        </w:drawing>
      </w:r>
      <w:r>
        <w:rPr/>
        <w:drawing>
          <wp:anchor distT="0" distB="0" distL="0" distR="0" allowOverlap="1" layoutInCell="1" locked="0" behindDoc="1" simplePos="0" relativeHeight="268385279">
            <wp:simplePos x="0" y="0"/>
            <wp:positionH relativeFrom="page">
              <wp:posOffset>4757927</wp:posOffset>
            </wp:positionH>
            <wp:positionV relativeFrom="paragraph">
              <wp:posOffset>9443</wp:posOffset>
            </wp:positionV>
            <wp:extent cx="6096" cy="5696712"/>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5696712"/>
                    </a:xfrm>
                    <a:prstGeom prst="rect">
                      <a:avLst/>
                    </a:prstGeom>
                  </pic:spPr>
                </pic:pic>
              </a:graphicData>
            </a:graphic>
          </wp:anchor>
        </w:drawing>
      </w:r>
      <w:r>
        <w:rPr/>
        <w:t>1</w:t>
      </w:r>
      <w:r>
        <w:rPr>
          <w:spacing w:val="0"/>
        </w:rPr>
        <w:t> </w:t>
      </w:r>
      <w:r>
        <w:rPr/>
        <w:t>投保人与本公司订立的合同</w:t>
        <w:tab/>
        <w:t>5 保险金的申请</w:t>
        <w:tab/>
        <w:t>8</w:t>
      </w:r>
      <w:r>
        <w:rPr>
          <w:spacing w:val="0"/>
        </w:rPr>
        <w:t> </w:t>
      </w:r>
      <w:r>
        <w:rPr/>
        <w:t>释义</w:t>
      </w:r>
    </w:p>
    <w:p>
      <w:pPr>
        <w:pStyle w:val="BodyText"/>
        <w:spacing w:before="12"/>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
        <w:gridCol w:w="2966"/>
        <w:gridCol w:w="759"/>
        <w:gridCol w:w="3012"/>
        <w:gridCol w:w="3639"/>
      </w:tblGrid>
      <w:tr>
        <w:trPr>
          <w:trHeight w:val="274" w:hRule="atLeast"/>
        </w:trPr>
        <w:tc>
          <w:tcPr>
            <w:tcW w:w="208" w:type="dxa"/>
            <w:vMerge w:val="restart"/>
          </w:tcPr>
          <w:p>
            <w:pPr>
              <w:pStyle w:val="TableParagraph"/>
              <w:rPr>
                <w:rFonts w:ascii="Times New Roman"/>
                <w:sz w:val="20"/>
              </w:rPr>
            </w:pPr>
          </w:p>
        </w:tc>
        <w:tc>
          <w:tcPr>
            <w:tcW w:w="2966" w:type="dxa"/>
          </w:tcPr>
          <w:p>
            <w:pPr>
              <w:pStyle w:val="TableParagraph"/>
              <w:spacing w:line="210" w:lineRule="exact"/>
              <w:ind w:left="52"/>
              <w:rPr>
                <w:sz w:val="21"/>
              </w:rPr>
            </w:pPr>
            <w:r>
              <w:rPr>
                <w:sz w:val="21"/>
              </w:rPr>
              <w:t>1.1 合同构成</w:t>
            </w:r>
          </w:p>
        </w:tc>
        <w:tc>
          <w:tcPr>
            <w:tcW w:w="759" w:type="dxa"/>
          </w:tcPr>
          <w:p>
            <w:pPr>
              <w:pStyle w:val="TableParagraph"/>
              <w:rPr>
                <w:rFonts w:ascii="Times New Roman"/>
                <w:sz w:val="20"/>
              </w:rPr>
            </w:pPr>
          </w:p>
        </w:tc>
        <w:tc>
          <w:tcPr>
            <w:tcW w:w="3012" w:type="dxa"/>
          </w:tcPr>
          <w:p>
            <w:pPr>
              <w:pStyle w:val="TableParagraph"/>
              <w:spacing w:line="210" w:lineRule="exact"/>
              <w:ind w:left="51"/>
              <w:rPr>
                <w:sz w:val="21"/>
              </w:rPr>
            </w:pPr>
            <w:r>
              <w:rPr>
                <w:sz w:val="21"/>
              </w:rPr>
              <w:t>5.1 受益人</w:t>
            </w:r>
          </w:p>
        </w:tc>
        <w:tc>
          <w:tcPr>
            <w:tcW w:w="3639" w:type="dxa"/>
          </w:tcPr>
          <w:p>
            <w:pPr>
              <w:pStyle w:val="TableParagraph"/>
              <w:spacing w:line="210" w:lineRule="exact"/>
              <w:ind w:left="227"/>
              <w:rPr>
                <w:sz w:val="21"/>
              </w:rPr>
            </w:pPr>
            <w:r>
              <w:rPr>
                <w:sz w:val="21"/>
              </w:rPr>
              <w:t>8.1 意外伤害</w:t>
            </w:r>
          </w:p>
        </w:tc>
      </w:tr>
      <w:tr>
        <w:trPr>
          <w:trHeight w:val="339" w:hRule="atLeast"/>
        </w:trPr>
        <w:tc>
          <w:tcPr>
            <w:tcW w:w="208" w:type="dxa"/>
            <w:vMerge/>
            <w:tcBorders>
              <w:top w:val="nil"/>
            </w:tcBorders>
          </w:tcPr>
          <w:p>
            <w:pPr>
              <w:rPr>
                <w:sz w:val="2"/>
                <w:szCs w:val="2"/>
              </w:rPr>
            </w:pPr>
          </w:p>
        </w:tc>
        <w:tc>
          <w:tcPr>
            <w:tcW w:w="2966" w:type="dxa"/>
          </w:tcPr>
          <w:p>
            <w:pPr>
              <w:pStyle w:val="TableParagraph"/>
              <w:ind w:left="52"/>
              <w:rPr>
                <w:sz w:val="21"/>
              </w:rPr>
            </w:pPr>
            <w:r>
              <w:rPr>
                <w:sz w:val="21"/>
              </w:rPr>
              <w:t>1.2 合同成立与生效</w:t>
            </w:r>
          </w:p>
        </w:tc>
        <w:tc>
          <w:tcPr>
            <w:tcW w:w="759" w:type="dxa"/>
          </w:tcPr>
          <w:p>
            <w:pPr>
              <w:pStyle w:val="TableParagraph"/>
              <w:rPr>
                <w:rFonts w:ascii="Times New Roman"/>
                <w:sz w:val="20"/>
              </w:rPr>
            </w:pPr>
          </w:p>
        </w:tc>
        <w:tc>
          <w:tcPr>
            <w:tcW w:w="3012" w:type="dxa"/>
          </w:tcPr>
          <w:p>
            <w:pPr>
              <w:pStyle w:val="TableParagraph"/>
              <w:ind w:left="50"/>
              <w:rPr>
                <w:sz w:val="21"/>
              </w:rPr>
            </w:pPr>
            <w:r>
              <w:rPr>
                <w:sz w:val="21"/>
              </w:rPr>
              <w:t>5.2 保险事故通知</w:t>
            </w:r>
          </w:p>
        </w:tc>
        <w:tc>
          <w:tcPr>
            <w:tcW w:w="3639" w:type="dxa"/>
          </w:tcPr>
          <w:p>
            <w:pPr>
              <w:pStyle w:val="TableParagraph"/>
              <w:ind w:left="227"/>
              <w:rPr>
                <w:sz w:val="21"/>
              </w:rPr>
            </w:pPr>
            <w:r>
              <w:rPr>
                <w:sz w:val="21"/>
              </w:rPr>
              <w:t>8.2 本公司认可的医院</w:t>
            </w:r>
          </w:p>
        </w:tc>
      </w:tr>
      <w:tr>
        <w:trPr>
          <w:trHeight w:val="340" w:hRule="atLeast"/>
        </w:trPr>
        <w:tc>
          <w:tcPr>
            <w:tcW w:w="208" w:type="dxa"/>
            <w:vMerge/>
            <w:tcBorders>
              <w:top w:val="nil"/>
            </w:tcBorders>
          </w:tcPr>
          <w:p>
            <w:pPr>
              <w:rPr>
                <w:sz w:val="2"/>
                <w:szCs w:val="2"/>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ind w:left="51"/>
              <w:rPr>
                <w:sz w:val="21"/>
              </w:rPr>
            </w:pPr>
            <w:r>
              <w:rPr>
                <w:sz w:val="21"/>
              </w:rPr>
              <w:t>5.3 保险金申请</w:t>
            </w:r>
          </w:p>
        </w:tc>
        <w:tc>
          <w:tcPr>
            <w:tcW w:w="3639" w:type="dxa"/>
          </w:tcPr>
          <w:p>
            <w:pPr>
              <w:pStyle w:val="TableParagraph"/>
              <w:ind w:left="226"/>
              <w:rPr>
                <w:sz w:val="21"/>
              </w:rPr>
            </w:pPr>
            <w:r>
              <w:rPr>
                <w:sz w:val="21"/>
              </w:rPr>
              <w:t>8.3 专科医生</w:t>
            </w:r>
          </w:p>
        </w:tc>
      </w:tr>
      <w:tr>
        <w:trPr>
          <w:trHeight w:val="340" w:hRule="atLeast"/>
        </w:trPr>
        <w:tc>
          <w:tcPr>
            <w:tcW w:w="208" w:type="dxa"/>
            <w:vMerge/>
            <w:tcBorders>
              <w:top w:val="nil"/>
            </w:tcBorders>
          </w:tcPr>
          <w:p>
            <w:pPr>
              <w:rPr>
                <w:sz w:val="2"/>
                <w:szCs w:val="2"/>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ind w:left="51"/>
              <w:rPr>
                <w:sz w:val="21"/>
              </w:rPr>
            </w:pPr>
            <w:r>
              <w:rPr>
                <w:sz w:val="21"/>
              </w:rPr>
              <w:t>5.4 保险金给付</w:t>
            </w:r>
          </w:p>
        </w:tc>
        <w:tc>
          <w:tcPr>
            <w:tcW w:w="3639" w:type="dxa"/>
          </w:tcPr>
          <w:p>
            <w:pPr>
              <w:pStyle w:val="TableParagraph"/>
              <w:ind w:left="226"/>
              <w:rPr>
                <w:sz w:val="21"/>
              </w:rPr>
            </w:pPr>
            <w:r>
              <w:rPr>
                <w:sz w:val="21"/>
              </w:rPr>
              <w:t>8.4 初次确诊</w:t>
            </w:r>
          </w:p>
        </w:tc>
      </w:tr>
      <w:tr>
        <w:trPr>
          <w:trHeight w:val="339" w:hRule="atLeast"/>
        </w:trPr>
        <w:tc>
          <w:tcPr>
            <w:tcW w:w="208" w:type="dxa"/>
          </w:tcPr>
          <w:p>
            <w:pPr>
              <w:pStyle w:val="TableParagraph"/>
              <w:ind w:right="2"/>
              <w:jc w:val="center"/>
              <w:rPr>
                <w:sz w:val="21"/>
              </w:rPr>
            </w:pPr>
            <w:r>
              <w:rPr>
                <w:sz w:val="21"/>
              </w:rPr>
              <w:t>2</w:t>
            </w:r>
          </w:p>
        </w:tc>
        <w:tc>
          <w:tcPr>
            <w:tcW w:w="2966" w:type="dxa"/>
          </w:tcPr>
          <w:p>
            <w:pPr>
              <w:pStyle w:val="TableParagraph"/>
              <w:ind w:left="54"/>
              <w:rPr>
                <w:sz w:val="21"/>
              </w:rPr>
            </w:pPr>
            <w:r>
              <w:rPr>
                <w:sz w:val="21"/>
              </w:rPr>
              <w:t>本公司提供的保障</w:t>
            </w:r>
          </w:p>
        </w:tc>
        <w:tc>
          <w:tcPr>
            <w:tcW w:w="759" w:type="dxa"/>
          </w:tcPr>
          <w:p>
            <w:pPr>
              <w:pStyle w:val="TableParagraph"/>
              <w:rPr>
                <w:rFonts w:ascii="Times New Roman"/>
                <w:sz w:val="20"/>
              </w:rPr>
            </w:pPr>
          </w:p>
        </w:tc>
        <w:tc>
          <w:tcPr>
            <w:tcW w:w="3012" w:type="dxa"/>
          </w:tcPr>
          <w:p>
            <w:pPr>
              <w:pStyle w:val="TableParagraph"/>
              <w:ind w:left="53"/>
              <w:rPr>
                <w:sz w:val="21"/>
              </w:rPr>
            </w:pPr>
            <w:r>
              <w:rPr>
                <w:sz w:val="21"/>
              </w:rPr>
              <w:t>5.5 诉讼时效</w:t>
            </w:r>
          </w:p>
        </w:tc>
        <w:tc>
          <w:tcPr>
            <w:tcW w:w="3639" w:type="dxa"/>
          </w:tcPr>
          <w:p>
            <w:pPr>
              <w:pStyle w:val="TableParagraph"/>
              <w:ind w:left="227"/>
              <w:rPr>
                <w:sz w:val="21"/>
              </w:rPr>
            </w:pPr>
            <w:r>
              <w:rPr>
                <w:sz w:val="21"/>
              </w:rPr>
              <w:t>8.5 既往症</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2.1 保险金额</w:t>
            </w: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8.6 毒品</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2.2 保险期间</w:t>
            </w: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8.7 感染艾滋病病毒或患艾滋病</w:t>
            </w:r>
          </w:p>
        </w:tc>
      </w:tr>
      <w:tr>
        <w:trPr>
          <w:trHeight w:val="339"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2.3 保险责任</w:t>
            </w:r>
          </w:p>
        </w:tc>
        <w:tc>
          <w:tcPr>
            <w:tcW w:w="759" w:type="dxa"/>
          </w:tcPr>
          <w:p>
            <w:pPr>
              <w:pStyle w:val="TableParagraph"/>
              <w:ind w:right="50"/>
              <w:jc w:val="right"/>
              <w:rPr>
                <w:sz w:val="21"/>
              </w:rPr>
            </w:pPr>
            <w:r>
              <w:rPr>
                <w:sz w:val="21"/>
              </w:rPr>
              <w:t>6</w:t>
            </w:r>
          </w:p>
        </w:tc>
        <w:tc>
          <w:tcPr>
            <w:tcW w:w="3012" w:type="dxa"/>
          </w:tcPr>
          <w:p>
            <w:pPr>
              <w:pStyle w:val="TableParagraph"/>
              <w:ind w:left="53"/>
              <w:rPr>
                <w:sz w:val="21"/>
              </w:rPr>
            </w:pPr>
            <w:r>
              <w:rPr>
                <w:sz w:val="21"/>
              </w:rPr>
              <w:t>合同解除</w:t>
            </w:r>
          </w:p>
        </w:tc>
        <w:tc>
          <w:tcPr>
            <w:tcW w:w="3639" w:type="dxa"/>
          </w:tcPr>
          <w:p>
            <w:pPr>
              <w:pStyle w:val="TableParagraph"/>
              <w:ind w:left="227"/>
              <w:rPr>
                <w:sz w:val="21"/>
              </w:rPr>
            </w:pPr>
            <w:r>
              <w:rPr>
                <w:sz w:val="21"/>
              </w:rPr>
              <w:t>8.8 遗传性疾病</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2.4 责任免除</w:t>
            </w:r>
          </w:p>
        </w:tc>
        <w:tc>
          <w:tcPr>
            <w:tcW w:w="759" w:type="dxa"/>
          </w:tcPr>
          <w:p>
            <w:pPr>
              <w:pStyle w:val="TableParagraph"/>
              <w:rPr>
                <w:rFonts w:ascii="Times New Roman"/>
                <w:sz w:val="20"/>
              </w:rPr>
            </w:pPr>
          </w:p>
        </w:tc>
        <w:tc>
          <w:tcPr>
            <w:tcW w:w="3012" w:type="dxa"/>
          </w:tcPr>
          <w:p>
            <w:pPr>
              <w:pStyle w:val="TableParagraph"/>
              <w:ind w:left="50"/>
              <w:rPr>
                <w:sz w:val="21"/>
              </w:rPr>
            </w:pPr>
            <w:r>
              <w:rPr>
                <w:sz w:val="21"/>
              </w:rPr>
              <w:t>6.1 解除合同（退保）的手续</w:t>
            </w:r>
          </w:p>
        </w:tc>
        <w:tc>
          <w:tcPr>
            <w:tcW w:w="3639" w:type="dxa"/>
          </w:tcPr>
          <w:p>
            <w:pPr>
              <w:pStyle w:val="TableParagraph"/>
              <w:ind w:left="227"/>
              <w:rPr>
                <w:sz w:val="21"/>
              </w:rPr>
            </w:pPr>
            <w:r>
              <w:rPr>
                <w:sz w:val="21"/>
              </w:rPr>
              <w:t>8.9 先天性畸形、变形或染色体异常</w:t>
            </w:r>
          </w:p>
        </w:tc>
      </w:tr>
      <w:tr>
        <w:trPr>
          <w:trHeight w:val="340" w:hRule="atLeast"/>
        </w:trPr>
        <w:tc>
          <w:tcPr>
            <w:tcW w:w="208" w:type="dxa"/>
          </w:tcPr>
          <w:p>
            <w:pPr>
              <w:pStyle w:val="TableParagraph"/>
              <w:rPr>
                <w:rFonts w:ascii="Times New Roman"/>
                <w:sz w:val="20"/>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ind w:left="365"/>
              <w:rPr>
                <w:sz w:val="21"/>
              </w:rPr>
            </w:pPr>
            <w:r>
              <w:rPr>
                <w:sz w:val="21"/>
              </w:rPr>
              <w:t>及风险</w:t>
            </w:r>
          </w:p>
        </w:tc>
        <w:tc>
          <w:tcPr>
            <w:tcW w:w="3639" w:type="dxa"/>
          </w:tcPr>
          <w:p>
            <w:pPr>
              <w:pStyle w:val="TableParagraph"/>
              <w:ind w:left="227"/>
              <w:rPr>
                <w:sz w:val="21"/>
              </w:rPr>
            </w:pPr>
            <w:r>
              <w:rPr>
                <w:sz w:val="21"/>
              </w:rPr>
              <w:t>8.10 酒后驾驶</w:t>
            </w:r>
          </w:p>
        </w:tc>
      </w:tr>
      <w:tr>
        <w:trPr>
          <w:trHeight w:val="339" w:hRule="atLeast"/>
        </w:trPr>
        <w:tc>
          <w:tcPr>
            <w:tcW w:w="208" w:type="dxa"/>
          </w:tcPr>
          <w:p>
            <w:pPr>
              <w:pStyle w:val="TableParagraph"/>
              <w:rPr>
                <w:rFonts w:ascii="Times New Roman"/>
                <w:sz w:val="20"/>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8.11 无合法有效驾驶证驾驶</w:t>
            </w:r>
          </w:p>
        </w:tc>
      </w:tr>
      <w:tr>
        <w:trPr>
          <w:trHeight w:val="340" w:hRule="atLeast"/>
        </w:trPr>
        <w:tc>
          <w:tcPr>
            <w:tcW w:w="208" w:type="dxa"/>
          </w:tcPr>
          <w:p>
            <w:pPr>
              <w:pStyle w:val="TableParagraph"/>
              <w:ind w:right="2"/>
              <w:jc w:val="center"/>
              <w:rPr>
                <w:sz w:val="21"/>
              </w:rPr>
            </w:pPr>
            <w:r>
              <w:rPr>
                <w:sz w:val="21"/>
              </w:rPr>
              <w:t>3</w:t>
            </w:r>
          </w:p>
        </w:tc>
        <w:tc>
          <w:tcPr>
            <w:tcW w:w="2966" w:type="dxa"/>
          </w:tcPr>
          <w:p>
            <w:pPr>
              <w:pStyle w:val="TableParagraph"/>
              <w:ind w:left="54"/>
              <w:rPr>
                <w:sz w:val="21"/>
              </w:rPr>
            </w:pPr>
            <w:r>
              <w:rPr>
                <w:sz w:val="21"/>
              </w:rPr>
              <w:t>重大疾病</w:t>
            </w: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8.12 无有效行驶证</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3"/>
              <w:rPr>
                <w:sz w:val="21"/>
              </w:rPr>
            </w:pPr>
            <w:r>
              <w:rPr>
                <w:sz w:val="21"/>
              </w:rPr>
              <w:t>3.1 重大疾病的范围</w:t>
            </w:r>
          </w:p>
        </w:tc>
        <w:tc>
          <w:tcPr>
            <w:tcW w:w="759" w:type="dxa"/>
          </w:tcPr>
          <w:p>
            <w:pPr>
              <w:pStyle w:val="TableParagraph"/>
              <w:ind w:right="51"/>
              <w:jc w:val="right"/>
              <w:rPr>
                <w:sz w:val="21"/>
              </w:rPr>
            </w:pPr>
            <w:r>
              <w:rPr>
                <w:sz w:val="21"/>
              </w:rPr>
              <w:t>7</w:t>
            </w:r>
          </w:p>
        </w:tc>
        <w:tc>
          <w:tcPr>
            <w:tcW w:w="3012" w:type="dxa"/>
          </w:tcPr>
          <w:p>
            <w:pPr>
              <w:pStyle w:val="TableParagraph"/>
              <w:ind w:left="53"/>
              <w:rPr>
                <w:sz w:val="21"/>
              </w:rPr>
            </w:pPr>
            <w:r>
              <w:rPr>
                <w:sz w:val="21"/>
              </w:rPr>
              <w:t>其他需要关注的事项</w:t>
            </w:r>
          </w:p>
        </w:tc>
        <w:tc>
          <w:tcPr>
            <w:tcW w:w="3639" w:type="dxa"/>
          </w:tcPr>
          <w:p>
            <w:pPr>
              <w:pStyle w:val="TableParagraph"/>
              <w:ind w:left="226"/>
              <w:rPr>
                <w:sz w:val="21"/>
              </w:rPr>
            </w:pPr>
            <w:r>
              <w:rPr>
                <w:sz w:val="21"/>
              </w:rPr>
              <w:t>8.13 机动车</w:t>
            </w:r>
          </w:p>
        </w:tc>
      </w:tr>
      <w:tr>
        <w:trPr>
          <w:trHeight w:val="339"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3.2 重大疾病的定义</w:t>
            </w:r>
          </w:p>
        </w:tc>
        <w:tc>
          <w:tcPr>
            <w:tcW w:w="759" w:type="dxa"/>
          </w:tcPr>
          <w:p>
            <w:pPr>
              <w:pStyle w:val="TableParagraph"/>
              <w:rPr>
                <w:rFonts w:ascii="Times New Roman"/>
                <w:sz w:val="20"/>
              </w:rPr>
            </w:pPr>
          </w:p>
        </w:tc>
        <w:tc>
          <w:tcPr>
            <w:tcW w:w="3012" w:type="dxa"/>
          </w:tcPr>
          <w:p>
            <w:pPr>
              <w:pStyle w:val="TableParagraph"/>
              <w:ind w:left="50"/>
              <w:rPr>
                <w:sz w:val="21"/>
              </w:rPr>
            </w:pPr>
            <w:r>
              <w:rPr>
                <w:sz w:val="21"/>
              </w:rPr>
              <w:t>7.1 明确说明与如实告知</w:t>
            </w:r>
          </w:p>
        </w:tc>
        <w:tc>
          <w:tcPr>
            <w:tcW w:w="3639" w:type="dxa"/>
          </w:tcPr>
          <w:p>
            <w:pPr>
              <w:pStyle w:val="TableParagraph"/>
              <w:ind w:left="227"/>
              <w:rPr>
                <w:sz w:val="21"/>
              </w:rPr>
            </w:pPr>
            <w:r>
              <w:rPr>
                <w:sz w:val="21"/>
              </w:rPr>
              <w:t>8.14 未满期净保险费</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3.3 特定恶性肿瘤的范围</w:t>
            </w:r>
          </w:p>
        </w:tc>
        <w:tc>
          <w:tcPr>
            <w:tcW w:w="759" w:type="dxa"/>
          </w:tcPr>
          <w:p>
            <w:pPr>
              <w:pStyle w:val="TableParagraph"/>
              <w:rPr>
                <w:rFonts w:ascii="Times New Roman"/>
                <w:sz w:val="20"/>
              </w:rPr>
            </w:pPr>
          </w:p>
        </w:tc>
        <w:tc>
          <w:tcPr>
            <w:tcW w:w="3012" w:type="dxa"/>
          </w:tcPr>
          <w:p>
            <w:pPr>
              <w:pStyle w:val="TableParagraph"/>
              <w:ind w:left="52"/>
              <w:rPr>
                <w:sz w:val="21"/>
              </w:rPr>
            </w:pPr>
            <w:r>
              <w:rPr>
                <w:sz w:val="21"/>
              </w:rPr>
              <w:t>7.2 本公司合同解除权的限制</w:t>
            </w:r>
          </w:p>
        </w:tc>
        <w:tc>
          <w:tcPr>
            <w:tcW w:w="3639" w:type="dxa"/>
          </w:tcPr>
          <w:p>
            <w:pPr>
              <w:pStyle w:val="TableParagraph"/>
              <w:ind w:left="228"/>
              <w:rPr>
                <w:sz w:val="21"/>
              </w:rPr>
            </w:pPr>
            <w:r>
              <w:rPr>
                <w:sz w:val="21"/>
              </w:rPr>
              <w:t>8.15 原位癌</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3.4 特定恶性肿瘤的定义</w:t>
            </w:r>
          </w:p>
        </w:tc>
        <w:tc>
          <w:tcPr>
            <w:tcW w:w="759" w:type="dxa"/>
          </w:tcPr>
          <w:p>
            <w:pPr>
              <w:pStyle w:val="TableParagraph"/>
              <w:rPr>
                <w:rFonts w:ascii="Times New Roman"/>
                <w:sz w:val="20"/>
              </w:rPr>
            </w:pPr>
          </w:p>
        </w:tc>
        <w:tc>
          <w:tcPr>
            <w:tcW w:w="3012" w:type="dxa"/>
          </w:tcPr>
          <w:p>
            <w:pPr>
              <w:pStyle w:val="TableParagraph"/>
              <w:ind w:left="50"/>
              <w:rPr>
                <w:sz w:val="21"/>
              </w:rPr>
            </w:pPr>
            <w:r>
              <w:rPr>
                <w:sz w:val="21"/>
              </w:rPr>
              <w:t>7.3 年龄性别错误处理</w:t>
            </w:r>
          </w:p>
        </w:tc>
        <w:tc>
          <w:tcPr>
            <w:tcW w:w="3639" w:type="dxa"/>
          </w:tcPr>
          <w:p>
            <w:pPr>
              <w:pStyle w:val="TableParagraph"/>
              <w:ind w:left="227"/>
              <w:rPr>
                <w:sz w:val="21"/>
              </w:rPr>
            </w:pPr>
            <w:r>
              <w:rPr>
                <w:sz w:val="21"/>
              </w:rPr>
              <w:t>8.16 肢体机能完全丧失</w:t>
            </w:r>
          </w:p>
        </w:tc>
      </w:tr>
      <w:tr>
        <w:trPr>
          <w:trHeight w:val="339"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3.5 轻症重疾的范围</w:t>
            </w:r>
          </w:p>
        </w:tc>
        <w:tc>
          <w:tcPr>
            <w:tcW w:w="759" w:type="dxa"/>
          </w:tcPr>
          <w:p>
            <w:pPr>
              <w:pStyle w:val="TableParagraph"/>
              <w:rPr>
                <w:rFonts w:ascii="Times New Roman"/>
                <w:sz w:val="20"/>
              </w:rPr>
            </w:pPr>
          </w:p>
        </w:tc>
        <w:tc>
          <w:tcPr>
            <w:tcW w:w="3012" w:type="dxa"/>
          </w:tcPr>
          <w:p>
            <w:pPr>
              <w:pStyle w:val="TableParagraph"/>
              <w:ind w:left="52"/>
              <w:rPr>
                <w:sz w:val="21"/>
              </w:rPr>
            </w:pPr>
            <w:r>
              <w:rPr>
                <w:sz w:val="21"/>
              </w:rPr>
              <w:t>7.4 合同内容变更</w:t>
            </w:r>
          </w:p>
        </w:tc>
        <w:tc>
          <w:tcPr>
            <w:tcW w:w="3639" w:type="dxa"/>
          </w:tcPr>
          <w:p>
            <w:pPr>
              <w:pStyle w:val="TableParagraph"/>
              <w:ind w:left="227"/>
              <w:rPr>
                <w:sz w:val="21"/>
              </w:rPr>
            </w:pPr>
            <w:r>
              <w:rPr>
                <w:sz w:val="21"/>
              </w:rPr>
              <w:t>8.17 语言能力或咀嚼吞咽能力完全</w:t>
            </w:r>
          </w:p>
        </w:tc>
      </w:tr>
      <w:tr>
        <w:trPr>
          <w:trHeight w:val="340" w:hRule="atLeast"/>
        </w:trPr>
        <w:tc>
          <w:tcPr>
            <w:tcW w:w="208" w:type="dxa"/>
          </w:tcPr>
          <w:p>
            <w:pPr>
              <w:pStyle w:val="TableParagraph"/>
              <w:rPr>
                <w:rFonts w:ascii="Times New Roman"/>
                <w:sz w:val="20"/>
              </w:rPr>
            </w:pPr>
          </w:p>
        </w:tc>
        <w:tc>
          <w:tcPr>
            <w:tcW w:w="2966" w:type="dxa"/>
          </w:tcPr>
          <w:p>
            <w:pPr>
              <w:pStyle w:val="TableParagraph"/>
              <w:ind w:left="52"/>
              <w:rPr>
                <w:sz w:val="21"/>
              </w:rPr>
            </w:pPr>
            <w:r>
              <w:rPr>
                <w:sz w:val="21"/>
              </w:rPr>
              <w:t>3.6 轻症重疾的定义</w:t>
            </w:r>
          </w:p>
        </w:tc>
        <w:tc>
          <w:tcPr>
            <w:tcW w:w="759" w:type="dxa"/>
          </w:tcPr>
          <w:p>
            <w:pPr>
              <w:pStyle w:val="TableParagraph"/>
              <w:rPr>
                <w:rFonts w:ascii="Times New Roman"/>
                <w:sz w:val="20"/>
              </w:rPr>
            </w:pPr>
          </w:p>
        </w:tc>
        <w:tc>
          <w:tcPr>
            <w:tcW w:w="3012" w:type="dxa"/>
          </w:tcPr>
          <w:p>
            <w:pPr>
              <w:pStyle w:val="TableParagraph"/>
              <w:ind w:left="50"/>
              <w:rPr>
                <w:sz w:val="21"/>
              </w:rPr>
            </w:pPr>
            <w:r>
              <w:rPr>
                <w:sz w:val="21"/>
              </w:rPr>
              <w:t>7.5 联系方式变更</w:t>
            </w:r>
          </w:p>
        </w:tc>
        <w:tc>
          <w:tcPr>
            <w:tcW w:w="3639" w:type="dxa"/>
          </w:tcPr>
          <w:p>
            <w:pPr>
              <w:pStyle w:val="TableParagraph"/>
              <w:ind w:left="750"/>
              <w:rPr>
                <w:sz w:val="21"/>
              </w:rPr>
            </w:pPr>
            <w:r>
              <w:rPr>
                <w:sz w:val="21"/>
              </w:rPr>
              <w:t>丧失</w:t>
            </w:r>
          </w:p>
        </w:tc>
      </w:tr>
      <w:tr>
        <w:trPr>
          <w:trHeight w:val="340" w:hRule="atLeast"/>
        </w:trPr>
        <w:tc>
          <w:tcPr>
            <w:tcW w:w="208" w:type="dxa"/>
          </w:tcPr>
          <w:p>
            <w:pPr>
              <w:pStyle w:val="TableParagraph"/>
              <w:rPr>
                <w:rFonts w:ascii="Times New Roman"/>
                <w:sz w:val="20"/>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ind w:left="51"/>
              <w:rPr>
                <w:sz w:val="21"/>
              </w:rPr>
            </w:pPr>
            <w:r>
              <w:rPr>
                <w:sz w:val="21"/>
              </w:rPr>
              <w:t>7.6 争议处理</w:t>
            </w:r>
          </w:p>
        </w:tc>
        <w:tc>
          <w:tcPr>
            <w:tcW w:w="3639" w:type="dxa"/>
          </w:tcPr>
          <w:p>
            <w:pPr>
              <w:pStyle w:val="TableParagraph"/>
              <w:ind w:left="227"/>
              <w:rPr>
                <w:sz w:val="21"/>
              </w:rPr>
            </w:pPr>
            <w:r>
              <w:rPr>
                <w:sz w:val="21"/>
              </w:rPr>
              <w:t>8.18 六项基本日常生活活动</w:t>
            </w:r>
          </w:p>
        </w:tc>
      </w:tr>
      <w:tr>
        <w:trPr>
          <w:trHeight w:val="339" w:hRule="atLeast"/>
        </w:trPr>
        <w:tc>
          <w:tcPr>
            <w:tcW w:w="208" w:type="dxa"/>
          </w:tcPr>
          <w:p>
            <w:pPr>
              <w:pStyle w:val="TableParagraph"/>
              <w:rPr>
                <w:rFonts w:ascii="Times New Roman"/>
                <w:sz w:val="20"/>
              </w:rPr>
            </w:pPr>
          </w:p>
        </w:tc>
        <w:tc>
          <w:tcPr>
            <w:tcW w:w="2966" w:type="dxa"/>
          </w:tcPr>
          <w:p>
            <w:pPr>
              <w:pStyle w:val="TableParagraph"/>
              <w:rPr>
                <w:rFonts w:ascii="Times New Roman"/>
                <w:sz w:val="20"/>
              </w:rPr>
            </w:pP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8.19 有效身份证件</w:t>
            </w:r>
          </w:p>
        </w:tc>
      </w:tr>
      <w:tr>
        <w:trPr>
          <w:trHeight w:val="340" w:hRule="atLeast"/>
        </w:trPr>
        <w:tc>
          <w:tcPr>
            <w:tcW w:w="208" w:type="dxa"/>
          </w:tcPr>
          <w:p>
            <w:pPr>
              <w:pStyle w:val="TableParagraph"/>
              <w:ind w:right="2"/>
              <w:jc w:val="center"/>
              <w:rPr>
                <w:sz w:val="21"/>
              </w:rPr>
            </w:pPr>
            <w:r>
              <w:rPr>
                <w:sz w:val="21"/>
              </w:rPr>
              <w:t>4</w:t>
            </w:r>
          </w:p>
        </w:tc>
        <w:tc>
          <w:tcPr>
            <w:tcW w:w="2966" w:type="dxa"/>
          </w:tcPr>
          <w:p>
            <w:pPr>
              <w:pStyle w:val="TableParagraph"/>
              <w:ind w:left="54"/>
              <w:rPr>
                <w:sz w:val="21"/>
              </w:rPr>
            </w:pPr>
            <w:r>
              <w:rPr>
                <w:sz w:val="21"/>
              </w:rPr>
              <w:t>保险费的交纳</w:t>
            </w: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ind w:left="227"/>
              <w:rPr>
                <w:sz w:val="21"/>
              </w:rPr>
            </w:pPr>
            <w:r>
              <w:rPr>
                <w:sz w:val="21"/>
              </w:rPr>
              <w:t>8.20 周岁</w:t>
            </w:r>
          </w:p>
        </w:tc>
      </w:tr>
      <w:tr>
        <w:trPr>
          <w:trHeight w:val="275" w:hRule="atLeast"/>
        </w:trPr>
        <w:tc>
          <w:tcPr>
            <w:tcW w:w="208" w:type="dxa"/>
          </w:tcPr>
          <w:p>
            <w:pPr>
              <w:pStyle w:val="TableParagraph"/>
              <w:rPr>
                <w:rFonts w:ascii="Times New Roman"/>
                <w:sz w:val="20"/>
              </w:rPr>
            </w:pPr>
          </w:p>
        </w:tc>
        <w:tc>
          <w:tcPr>
            <w:tcW w:w="2966" w:type="dxa"/>
          </w:tcPr>
          <w:p>
            <w:pPr>
              <w:pStyle w:val="TableParagraph"/>
              <w:spacing w:line="255" w:lineRule="exact"/>
              <w:ind w:left="52"/>
              <w:rPr>
                <w:sz w:val="21"/>
              </w:rPr>
            </w:pPr>
            <w:r>
              <w:rPr>
                <w:sz w:val="21"/>
              </w:rPr>
              <w:t>4.1 保险费的交纳</w:t>
            </w:r>
          </w:p>
        </w:tc>
        <w:tc>
          <w:tcPr>
            <w:tcW w:w="759" w:type="dxa"/>
          </w:tcPr>
          <w:p>
            <w:pPr>
              <w:pStyle w:val="TableParagraph"/>
              <w:rPr>
                <w:rFonts w:ascii="Times New Roman"/>
                <w:sz w:val="20"/>
              </w:rPr>
            </w:pPr>
          </w:p>
        </w:tc>
        <w:tc>
          <w:tcPr>
            <w:tcW w:w="3012" w:type="dxa"/>
          </w:tcPr>
          <w:p>
            <w:pPr>
              <w:pStyle w:val="TableParagraph"/>
              <w:rPr>
                <w:rFonts w:ascii="Times New Roman"/>
                <w:sz w:val="20"/>
              </w:rPr>
            </w:pPr>
          </w:p>
        </w:tc>
        <w:tc>
          <w:tcPr>
            <w:tcW w:w="3639" w:type="dxa"/>
          </w:tcPr>
          <w:p>
            <w:pPr>
              <w:pStyle w:val="TableParagraph"/>
              <w:rPr>
                <w:rFonts w:ascii="Times New Roman"/>
                <w:sz w:val="20"/>
              </w:rPr>
            </w:pPr>
          </w:p>
        </w:tc>
      </w:tr>
    </w:tbl>
    <w:p>
      <w:pPr>
        <w:spacing w:after="0"/>
        <w:rPr>
          <w:rFonts w:ascii="Times New Roman"/>
          <w:sz w:val="20"/>
        </w:rPr>
        <w:sectPr>
          <w:type w:val="continuous"/>
          <w:pgSz w:w="11900" w:h="16840"/>
          <w:pgMar w:top="800" w:bottom="280" w:left="540" w:right="560"/>
        </w:sectPr>
      </w:pPr>
    </w:p>
    <w:p>
      <w:pPr>
        <w:pStyle w:val="BodyText"/>
        <w:spacing w:before="10"/>
        <w:rPr>
          <w:sz w:val="28"/>
        </w:rPr>
      </w:pPr>
    </w:p>
    <w:p>
      <w:pPr>
        <w:pStyle w:val="Heading1"/>
        <w:spacing w:before="2"/>
        <w:ind w:left="2262"/>
        <w:rPr>
          <w:rFonts w:ascii="黑体" w:eastAsia="黑体" w:hint="eastAsia"/>
        </w:rPr>
      </w:pPr>
      <w:r>
        <w:rPr>
          <w:rFonts w:ascii="黑体" w:eastAsia="黑体" w:hint="eastAsia"/>
        </w:rPr>
        <w:t>阳光人寿成长无忧少儿重大疾病保险条款</w:t>
      </w:r>
    </w:p>
    <w:p>
      <w:pPr>
        <w:pStyle w:val="BodyText"/>
        <w:spacing w:before="4"/>
        <w:rPr>
          <w:rFonts w:ascii="黑体"/>
          <w:sz w:val="34"/>
        </w:rPr>
      </w:pPr>
    </w:p>
    <w:p>
      <w:pPr>
        <w:pStyle w:val="BodyText"/>
        <w:spacing w:line="273" w:lineRule="auto"/>
        <w:ind w:left="221" w:right="332"/>
      </w:pPr>
      <w:r>
        <w:rPr>
          <w:spacing w:val="-5"/>
        </w:rPr>
        <w:t>在本条款中，“本公司”指阳光人寿保险股份有限公司，“本合同”指投保人与本公司之间订立的“阳光人寿成长无忧少儿重大疾病保险合同”。</w:t>
      </w:r>
    </w:p>
    <w:p>
      <w:pPr>
        <w:pStyle w:val="BodyText"/>
        <w:spacing w:before="6"/>
        <w:rPr>
          <w:sz w:val="25"/>
        </w:rPr>
      </w:pPr>
    </w:p>
    <w:p>
      <w:pPr>
        <w:pStyle w:val="Heading2"/>
        <w:numPr>
          <w:ilvl w:val="0"/>
          <w:numId w:val="1"/>
        </w:numPr>
        <w:tabs>
          <w:tab w:pos="1225" w:val="left" w:leader="none"/>
          <w:tab w:pos="1226" w:val="left" w:leader="none"/>
        </w:tabs>
        <w:spacing w:line="240" w:lineRule="auto" w:before="0" w:after="0"/>
        <w:ind w:left="1225" w:right="0" w:hanging="1003"/>
        <w:jc w:val="left"/>
      </w:pPr>
      <w:r>
        <w:rPr>
          <w:w w:val="95"/>
        </w:rPr>
        <w:t>投保人与本公司订立的合同</w:t>
      </w:r>
    </w:p>
    <w:p>
      <w:pPr>
        <w:pStyle w:val="BodyText"/>
        <w:rPr>
          <w:sz w:val="8"/>
        </w:rPr>
      </w:pPr>
      <w:r>
        <w:rPr/>
        <w:pict>
          <v:group style="position:absolute;margin-left:45.720001pt;margin-top:7.20593pt;width:509.4pt;height:1.45pt;mso-position-horizontal-relative:page;mso-position-vertical-relative:paragraph;z-index:1120;mso-wrap-distance-left:0;mso-wrap-distance-right:0" coordorigin="914,144" coordsize="10188,29">
            <v:line style="position:absolute" from="914,149" to="1919,149" stroked="true" strokeweight=".47998pt" strokecolor="#000000">
              <v:stroke dashstyle="solid"/>
            </v:line>
            <v:line style="position:absolute" from="914,168" to="1919,168" stroked="true" strokeweight=".47998pt" strokecolor="#000000">
              <v:stroke dashstyle="solid"/>
            </v:line>
            <v:rect style="position:absolute;left:1918;top:144;width:29;height:10" filled="true" fillcolor="#000000" stroked="false">
              <v:fill type="solid"/>
            </v:rect>
            <v:rect style="position:absolute;left:1918;top:163;width:29;height:10" filled="true" fillcolor="#000000" stroked="false">
              <v:fill type="solid"/>
            </v:rect>
            <v:line style="position:absolute" from="1948,149" to="3289,149" stroked="true" strokeweight=".47998pt" strokecolor="#000000">
              <v:stroke dashstyle="solid"/>
            </v:line>
            <v:line style="position:absolute" from="1948,168" to="3289,168" stroked="true" strokeweight=".47998pt" strokecolor="#000000">
              <v:stroke dashstyle="solid"/>
            </v:line>
            <v:rect style="position:absolute;left:3289;top:144;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pStyle w:val="ListParagraph"/>
        <w:numPr>
          <w:ilvl w:val="1"/>
          <w:numId w:val="1"/>
        </w:numPr>
        <w:tabs>
          <w:tab w:pos="1226" w:val="left" w:leader="none"/>
        </w:tabs>
        <w:spacing w:line="273" w:lineRule="auto" w:before="36" w:after="0"/>
        <w:ind w:left="2597" w:right="260" w:hanging="2375"/>
        <w:jc w:val="both"/>
        <w:rPr>
          <w:sz w:val="21"/>
        </w:rPr>
      </w:pPr>
      <w:r>
        <w:rPr>
          <w:sz w:val="21"/>
        </w:rPr>
        <w:t>合同构成    本保险条款、保险单或其他保险凭证、投保单、与保险合同有关的投保文件、合法有效的声明、批注、批单、附加合同、其他书面协议都是投保人与本公司之间订立的保险合同的构成部分。</w:t>
      </w:r>
    </w:p>
    <w:p>
      <w:pPr>
        <w:pStyle w:val="BodyText"/>
        <w:spacing w:before="2"/>
        <w:rPr>
          <w:sz w:val="15"/>
        </w:rPr>
      </w:pPr>
    </w:p>
    <w:p>
      <w:pPr>
        <w:spacing w:after="0"/>
        <w:rPr>
          <w:sz w:val="15"/>
        </w:rPr>
        <w:sectPr>
          <w:headerReference w:type="default" r:id="rId7"/>
          <w:pgSz w:w="11900" w:h="16840"/>
          <w:pgMar w:header="575" w:footer="0" w:top="800" w:bottom="280" w:left="800" w:right="680"/>
          <w:pgNumType w:start="1"/>
        </w:sectPr>
      </w:pPr>
    </w:p>
    <w:p>
      <w:pPr>
        <w:pStyle w:val="ListParagraph"/>
        <w:numPr>
          <w:ilvl w:val="1"/>
          <w:numId w:val="1"/>
        </w:numPr>
        <w:tabs>
          <w:tab w:pos="1225" w:val="left" w:leader="none"/>
          <w:tab w:pos="1226" w:val="left" w:leader="none"/>
        </w:tabs>
        <w:spacing w:line="273" w:lineRule="auto" w:before="36" w:after="0"/>
        <w:ind w:left="1225" w:right="0" w:hanging="1003"/>
        <w:jc w:val="left"/>
        <w:rPr>
          <w:sz w:val="21"/>
        </w:rPr>
      </w:pPr>
      <w:r>
        <w:rPr>
          <w:sz w:val="21"/>
        </w:rPr>
        <w:t>合同成立与生效</w:t>
      </w:r>
    </w:p>
    <w:p>
      <w:pPr>
        <w:pStyle w:val="BodyText"/>
        <w:spacing w:line="273" w:lineRule="auto" w:before="36"/>
        <w:ind w:left="222" w:right="260"/>
        <w:jc w:val="both"/>
      </w:pPr>
      <w:r>
        <w:rPr/>
        <w:br w:type="column"/>
      </w:r>
      <w:r>
        <w:rPr/>
        <w:t>投保人提出保险申请、本公司同意承保，本合同成立。本合同自本公司同意承保、收取保险费并签发保险单后开始生效，具体生效日以保险单或其他保险凭证所载的日期为准。本公司自生效日零时起开始承担本合同约定的保险责任。</w:t>
      </w:r>
    </w:p>
    <w:p>
      <w:pPr>
        <w:spacing w:after="0" w:line="273" w:lineRule="auto"/>
        <w:jc w:val="both"/>
        <w:sectPr>
          <w:type w:val="continuous"/>
          <w:pgSz w:w="11900" w:h="16840"/>
          <w:pgMar w:top="800" w:bottom="280" w:left="800" w:right="680"/>
          <w:cols w:num="2" w:equalWidth="0">
            <w:col w:w="2279" w:space="95"/>
            <w:col w:w="8046"/>
          </w:cols>
        </w:sectPr>
      </w:pPr>
    </w:p>
    <w:p>
      <w:pPr>
        <w:pStyle w:val="BodyText"/>
        <w:spacing w:before="6"/>
        <w:rPr>
          <w:sz w:val="24"/>
        </w:rPr>
      </w:pPr>
    </w:p>
    <w:p>
      <w:pPr>
        <w:pStyle w:val="Heading2"/>
        <w:numPr>
          <w:ilvl w:val="0"/>
          <w:numId w:val="1"/>
        </w:numPr>
        <w:tabs>
          <w:tab w:pos="1225" w:val="left" w:leader="none"/>
          <w:tab w:pos="1226" w:val="left" w:leader="none"/>
        </w:tabs>
        <w:spacing w:line="240" w:lineRule="auto" w:before="14" w:after="0"/>
        <w:ind w:left="1225" w:right="0" w:hanging="1003"/>
        <w:jc w:val="left"/>
      </w:pPr>
      <w:r>
        <w:rPr>
          <w:w w:val="95"/>
        </w:rPr>
        <w:t>本公司提供的保障</w:t>
      </w:r>
    </w:p>
    <w:p>
      <w:pPr>
        <w:pStyle w:val="BodyText"/>
        <w:rPr>
          <w:sz w:val="8"/>
        </w:rPr>
      </w:pPr>
      <w:r>
        <w:rPr/>
        <w:pict>
          <v:group style="position:absolute;margin-left:45.720001pt;margin-top:7.219891pt;width:509.4pt;height:1.45pt;mso-position-horizontal-relative:page;mso-position-vertical-relative:paragraph;z-index:1144;mso-wrap-distance-left:0;mso-wrap-distance-right:0" coordorigin="914,144" coordsize="10188,29">
            <v:line style="position:absolute" from="914,149" to="1919,149" stroked="true" strokeweight=".47998pt" strokecolor="#000000">
              <v:stroke dashstyle="solid"/>
            </v:line>
            <v:line style="position:absolute" from="914,168" to="1919,168" stroked="true" strokeweight=".48001pt" strokecolor="#000000">
              <v:stroke dashstyle="solid"/>
            </v:line>
            <v:rect style="position:absolute;left:1918;top:144;width:29;height:10" filled="true" fillcolor="#000000" stroked="false">
              <v:fill type="solid"/>
            </v:rect>
            <v:rect style="position:absolute;left:1918;top:163;width:29;height:10" filled="true" fillcolor="#000000" stroked="false">
              <v:fill type="solid"/>
            </v:rect>
            <v:line style="position:absolute" from="1948,149" to="3289,149" stroked="true" strokeweight=".47998pt" strokecolor="#000000">
              <v:stroke dashstyle="solid"/>
            </v:line>
            <v:line style="position:absolute" from="1948,168" to="3289,168" stroked="true" strokeweight=".48001pt" strokecolor="#000000">
              <v:stroke dashstyle="solid"/>
            </v:line>
            <v:rect style="position:absolute;left:3289;top:144;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pStyle w:val="ListParagraph"/>
        <w:numPr>
          <w:ilvl w:val="1"/>
          <w:numId w:val="1"/>
        </w:numPr>
        <w:tabs>
          <w:tab w:pos="1226" w:val="left" w:leader="none"/>
        </w:tabs>
        <w:spacing w:line="273" w:lineRule="auto" w:before="36" w:after="0"/>
        <w:ind w:left="2597" w:right="260" w:hanging="2375"/>
        <w:jc w:val="both"/>
        <w:rPr>
          <w:sz w:val="21"/>
        </w:rPr>
      </w:pPr>
      <w:r>
        <w:rPr>
          <w:sz w:val="21"/>
        </w:rPr>
        <w:t>保险金额    本合同的保险金额由投保人在投保时与本公司约定，并在保险单或其他保险凭证上载明。若该金额发生变更，则以变更后的金额为保险金额。</w:t>
      </w:r>
    </w:p>
    <w:p>
      <w:pPr>
        <w:pStyle w:val="BodyText"/>
        <w:rPr>
          <w:sz w:val="18"/>
        </w:rPr>
      </w:pPr>
    </w:p>
    <w:p>
      <w:pPr>
        <w:pStyle w:val="ListParagraph"/>
        <w:numPr>
          <w:ilvl w:val="1"/>
          <w:numId w:val="1"/>
        </w:numPr>
        <w:tabs>
          <w:tab w:pos="1226" w:val="left" w:leader="none"/>
        </w:tabs>
        <w:spacing w:line="273" w:lineRule="auto" w:before="0" w:after="0"/>
        <w:ind w:left="2597" w:right="260" w:hanging="2375"/>
        <w:jc w:val="both"/>
        <w:rPr>
          <w:sz w:val="21"/>
        </w:rPr>
      </w:pPr>
      <w:r>
        <w:rPr>
          <w:spacing w:val="-3"/>
          <w:sz w:val="21"/>
        </w:rPr>
        <w:t>保险期间    本合同的保险期间为 </w:t>
      </w:r>
      <w:r>
        <w:rPr>
          <w:sz w:val="21"/>
        </w:rPr>
        <w:t>1</w:t>
      </w:r>
      <w:r>
        <w:rPr>
          <w:spacing w:val="-8"/>
          <w:sz w:val="21"/>
        </w:rPr>
        <w:t> 年，自本合同生效日零时起至约定终止日二十四时止。本合同保险期间以保险单或其他保险凭证上所载为准。</w:t>
      </w:r>
    </w:p>
    <w:p>
      <w:pPr>
        <w:pStyle w:val="BodyText"/>
        <w:spacing w:before="12"/>
        <w:rPr>
          <w:sz w:val="17"/>
        </w:rPr>
      </w:pPr>
    </w:p>
    <w:p>
      <w:pPr>
        <w:pStyle w:val="ListParagraph"/>
        <w:numPr>
          <w:ilvl w:val="1"/>
          <w:numId w:val="1"/>
        </w:numPr>
        <w:tabs>
          <w:tab w:pos="1226" w:val="left" w:leader="none"/>
        </w:tabs>
        <w:spacing w:line="220" w:lineRule="auto" w:before="0" w:after="0"/>
        <w:ind w:left="2597" w:right="260" w:hanging="2375"/>
        <w:jc w:val="both"/>
        <w:rPr>
          <w:sz w:val="21"/>
        </w:rPr>
      </w:pPr>
      <w:r>
        <w:rPr>
          <w:position w:val="-1"/>
          <w:sz w:val="21"/>
        </w:rPr>
        <w:t>保险责任    </w:t>
      </w:r>
      <w:r>
        <w:rPr>
          <w:sz w:val="21"/>
        </w:rPr>
        <w:t>在本合同有效期内，本公司承担的保险责任，由投保人在投保时与本公司依据本条款约定，并在保险单或其他保险凭证上载明：</w:t>
      </w:r>
    </w:p>
    <w:p>
      <w:pPr>
        <w:pStyle w:val="BodyText"/>
        <w:spacing w:before="10"/>
        <w:rPr>
          <w:sz w:val="17"/>
        </w:rPr>
      </w:pPr>
    </w:p>
    <w:p>
      <w:pPr>
        <w:pStyle w:val="ListParagraph"/>
        <w:numPr>
          <w:ilvl w:val="2"/>
          <w:numId w:val="1"/>
        </w:numPr>
        <w:tabs>
          <w:tab w:pos="1226" w:val="left" w:leader="none"/>
        </w:tabs>
        <w:spacing w:line="271" w:lineRule="auto" w:before="0" w:after="0"/>
        <w:ind w:left="2597" w:right="222" w:hanging="2375"/>
        <w:jc w:val="both"/>
        <w:rPr>
          <w:sz w:val="21"/>
        </w:rPr>
      </w:pPr>
      <w:r>
        <w:rPr>
          <w:i/>
          <w:spacing w:val="6"/>
          <w:sz w:val="22"/>
        </w:rPr>
        <w:t>等待期     </w:t>
      </w:r>
      <w:r>
        <w:rPr>
          <w:spacing w:val="-5"/>
          <w:sz w:val="21"/>
          <w:shd w:fill="E5E5E5" w:color="auto" w:val="clear"/>
        </w:rPr>
        <w:t>自本合同生效之日起 </w:t>
      </w:r>
      <w:r>
        <w:rPr>
          <w:sz w:val="21"/>
          <w:shd w:fill="E5E5E5" w:color="auto" w:val="clear"/>
        </w:rPr>
        <w:t>90</w:t>
      </w:r>
      <w:r>
        <w:rPr>
          <w:spacing w:val="-16"/>
          <w:sz w:val="21"/>
          <w:shd w:fill="E5E5E5" w:color="auto" w:val="clear"/>
        </w:rPr>
        <w:t> 日内</w:t>
      </w:r>
      <w:r>
        <w:rPr>
          <w:sz w:val="21"/>
          <w:shd w:fill="E5E5E5" w:color="auto" w:val="clear"/>
        </w:rPr>
        <w:t>（</w:t>
      </w:r>
      <w:r>
        <w:rPr>
          <w:spacing w:val="-23"/>
          <w:sz w:val="21"/>
          <w:shd w:fill="E5E5E5" w:color="auto" w:val="clear"/>
        </w:rPr>
        <w:t>含 </w:t>
      </w:r>
      <w:r>
        <w:rPr>
          <w:sz w:val="21"/>
          <w:shd w:fill="E5E5E5" w:color="auto" w:val="clear"/>
        </w:rPr>
        <w:t>90</w:t>
      </w:r>
      <w:r>
        <w:rPr>
          <w:spacing w:val="-23"/>
          <w:sz w:val="21"/>
          <w:shd w:fill="E5E5E5" w:color="auto" w:val="clear"/>
        </w:rPr>
        <w:t> 日</w:t>
      </w:r>
      <w:r>
        <w:rPr>
          <w:sz w:val="21"/>
          <w:shd w:fill="E5E5E5" w:color="auto" w:val="clear"/>
        </w:rPr>
        <w:t>）为等待期。被保险人在等待期内发生下列</w:t>
      </w:r>
      <w:r>
        <w:rPr>
          <w:spacing w:val="-207"/>
          <w:sz w:val="21"/>
          <w:shd w:fill="E5E5E5" w:color="auto" w:val="clear"/>
        </w:rPr>
        <w:t>情</w:t>
      </w:r>
      <w:r>
        <w:rPr>
          <w:sz w:val="21"/>
          <w:shd w:fill="E5E5E5" w:color="auto" w:val="clear"/>
        </w:rPr>
        <w:t>形之一的，本公司不承担保险责任，本合同效力终止，本公司将无息全额退还本合同的保险费：</w:t>
      </w:r>
    </w:p>
    <w:p>
      <w:pPr>
        <w:pStyle w:val="BodyText"/>
        <w:spacing w:before="9"/>
        <w:ind w:left="2597"/>
      </w:pPr>
      <w:r>
        <w:rPr>
          <w:shd w:fill="E5E5E5" w:color="auto" w:val="clear"/>
        </w:rPr>
        <w:t>（一）重大疾病、特定恶性肿瘤或轻症重疾；</w:t>
      </w:r>
    </w:p>
    <w:p>
      <w:pPr>
        <w:pStyle w:val="BodyText"/>
        <w:spacing w:before="37"/>
        <w:ind w:left="2597"/>
      </w:pPr>
      <w:r>
        <w:rPr>
          <w:shd w:fill="E5E5E5" w:color="auto" w:val="clear"/>
        </w:rPr>
        <w:t>（二）因导致上述疾病的相关疾病就诊。</w:t>
      </w:r>
    </w:p>
    <w:p>
      <w:pPr>
        <w:pStyle w:val="BodyText"/>
        <w:spacing w:line="273" w:lineRule="auto" w:before="37"/>
        <w:ind w:left="2597" w:right="223"/>
      </w:pPr>
      <w:r>
        <w:rPr/>
        <w:t>连续投保本保险的无等待期。被保险人因意外伤害（见 8.1）发生上述两项情形之一的无等待期。</w:t>
      </w:r>
    </w:p>
    <w:p>
      <w:pPr>
        <w:pStyle w:val="BodyText"/>
        <w:spacing w:before="5"/>
        <w:rPr>
          <w:sz w:val="14"/>
        </w:rPr>
      </w:pPr>
    </w:p>
    <w:p>
      <w:pPr>
        <w:spacing w:after="0"/>
        <w:rPr>
          <w:sz w:val="14"/>
        </w:rPr>
        <w:sectPr>
          <w:type w:val="continuous"/>
          <w:pgSz w:w="11900" w:h="16840"/>
          <w:pgMar w:top="800" w:bottom="280" w:left="800" w:right="680"/>
        </w:sectPr>
      </w:pPr>
    </w:p>
    <w:p>
      <w:pPr>
        <w:pStyle w:val="Heading3"/>
        <w:numPr>
          <w:ilvl w:val="2"/>
          <w:numId w:val="1"/>
        </w:numPr>
        <w:tabs>
          <w:tab w:pos="1225" w:val="left" w:leader="none"/>
          <w:tab w:pos="1226" w:val="left" w:leader="none"/>
        </w:tabs>
        <w:spacing w:line="259" w:lineRule="auto" w:before="34" w:after="0"/>
        <w:ind w:left="1225" w:right="0" w:hanging="1003"/>
        <w:jc w:val="left"/>
      </w:pPr>
      <w:r>
        <w:rPr>
          <w:w w:val="95"/>
        </w:rPr>
        <w:t>重大疾病保险金</w:t>
      </w:r>
    </w:p>
    <w:p>
      <w:pPr>
        <w:pStyle w:val="BodyText"/>
        <w:spacing w:line="273" w:lineRule="auto" w:before="46"/>
        <w:ind w:left="222" w:right="222" w:hanging="1"/>
        <w:jc w:val="both"/>
      </w:pPr>
      <w:r>
        <w:rPr/>
        <w:br w:type="column"/>
      </w:r>
      <w:r>
        <w:rPr>
          <w:spacing w:val="-4"/>
        </w:rPr>
        <w:t>在等待期后，若被保险人经本公司认可的医院</w:t>
      </w:r>
      <w:r>
        <w:rPr/>
        <w:t>（</w:t>
      </w:r>
      <w:r>
        <w:rPr>
          <w:spacing w:val="-25"/>
        </w:rPr>
        <w:t>见 </w:t>
      </w:r>
      <w:r>
        <w:rPr>
          <w:spacing w:val="-5"/>
        </w:rPr>
        <w:t>8.2）</w:t>
      </w:r>
      <w:r>
        <w:rPr>
          <w:spacing w:val="-4"/>
        </w:rPr>
        <w:t>专科医生</w:t>
      </w:r>
      <w:r>
        <w:rPr/>
        <w:t>（</w:t>
      </w:r>
      <w:r>
        <w:rPr>
          <w:spacing w:val="-25"/>
        </w:rPr>
        <w:t>见 </w:t>
      </w:r>
      <w:r>
        <w:rPr>
          <w:spacing w:val="-5"/>
        </w:rPr>
        <w:t>8.3）</w:t>
      </w:r>
      <w:r>
        <w:rPr/>
        <w:t>初次确</w:t>
      </w:r>
      <w:r>
        <w:rPr>
          <w:spacing w:val="-3"/>
        </w:rPr>
        <w:t>诊</w:t>
      </w:r>
      <w:r>
        <w:rPr>
          <w:spacing w:val="-1"/>
        </w:rPr>
        <w:t>（</w:t>
      </w:r>
      <w:r>
        <w:rPr>
          <w:spacing w:val="-27"/>
        </w:rPr>
        <w:t>见 </w:t>
      </w:r>
      <w:r>
        <w:rPr>
          <w:spacing w:val="-1"/>
        </w:rPr>
        <w:t>8.4</w:t>
      </w:r>
      <w:r>
        <w:rPr>
          <w:spacing w:val="-5"/>
        </w:rPr>
        <w:t>）</w:t>
      </w:r>
      <w:r>
        <w:rPr>
          <w:spacing w:val="-2"/>
        </w:rPr>
        <w:t>发生本合同约定的重大疾病</w:t>
      </w:r>
      <w:r>
        <w:rPr>
          <w:spacing w:val="-1"/>
        </w:rPr>
        <w:t>（无论一种或多种</w:t>
      </w:r>
      <w:r>
        <w:rPr>
          <w:spacing w:val="-106"/>
        </w:rPr>
        <w:t>）</w:t>
      </w:r>
      <w:r>
        <w:rPr>
          <w:spacing w:val="-2"/>
        </w:rPr>
        <w:t>，本公司按本合同的保险金额给付重大疾病保险金，本合同效力终止。</w:t>
      </w:r>
    </w:p>
    <w:p>
      <w:pPr>
        <w:spacing w:after="0" w:line="273" w:lineRule="auto"/>
        <w:jc w:val="both"/>
        <w:sectPr>
          <w:type w:val="continuous"/>
          <w:pgSz w:w="11900" w:h="16840"/>
          <w:pgMar w:top="800" w:bottom="280" w:left="800" w:right="680"/>
          <w:cols w:num="2" w:equalWidth="0">
            <w:col w:w="2276" w:space="99"/>
            <w:col w:w="8045"/>
          </w:cols>
        </w:sectPr>
      </w:pPr>
    </w:p>
    <w:p>
      <w:pPr>
        <w:pStyle w:val="BodyText"/>
        <w:rPr>
          <w:sz w:val="16"/>
        </w:rPr>
      </w:pPr>
    </w:p>
    <w:p>
      <w:pPr>
        <w:spacing w:after="0"/>
        <w:rPr>
          <w:sz w:val="16"/>
        </w:rPr>
        <w:sectPr>
          <w:type w:val="continuous"/>
          <w:pgSz w:w="11900" w:h="16840"/>
          <w:pgMar w:top="800" w:bottom="280" w:left="800" w:right="680"/>
        </w:sectPr>
      </w:pPr>
    </w:p>
    <w:p>
      <w:pPr>
        <w:pStyle w:val="Heading3"/>
        <w:numPr>
          <w:ilvl w:val="2"/>
          <w:numId w:val="1"/>
        </w:numPr>
        <w:tabs>
          <w:tab w:pos="1226" w:val="left" w:leader="none"/>
        </w:tabs>
        <w:spacing w:line="259" w:lineRule="auto" w:before="33" w:after="0"/>
        <w:ind w:left="1225" w:right="0" w:hanging="1003"/>
        <w:jc w:val="both"/>
      </w:pPr>
      <w:r>
        <w:rPr>
          <w:w w:val="95"/>
        </w:rPr>
        <w:t>特定恶性肿瘤特别关爱保险金（可选）</w:t>
      </w:r>
    </w:p>
    <w:p>
      <w:pPr>
        <w:pStyle w:val="BodyText"/>
        <w:spacing w:line="268" w:lineRule="auto" w:before="34"/>
        <w:ind w:left="222" w:right="260" w:hanging="1"/>
        <w:jc w:val="both"/>
      </w:pPr>
      <w:r>
        <w:rPr/>
        <w:br w:type="column"/>
      </w:r>
      <w:r>
        <w:rPr>
          <w:spacing w:val="-7"/>
        </w:rPr>
        <w:t>本保险责任是在已投保 </w:t>
      </w:r>
      <w:r>
        <w:rPr>
          <w:i/>
          <w:sz w:val="22"/>
        </w:rPr>
        <w:t>2.3.2</w:t>
      </w:r>
      <w:r>
        <w:rPr>
          <w:i/>
          <w:spacing w:val="-71"/>
          <w:sz w:val="22"/>
        </w:rPr>
        <w:t> </w:t>
      </w:r>
      <w:r>
        <w:rPr/>
        <w:t>责任的前提下可选择的保险责任，若本项保险责任未在保险单或其他保险凭证上载明，则本项保险责任不产生效力。</w:t>
      </w:r>
    </w:p>
    <w:p>
      <w:pPr>
        <w:pStyle w:val="BodyText"/>
        <w:spacing w:line="273" w:lineRule="auto" w:before="12"/>
        <w:ind w:left="222" w:right="260"/>
        <w:jc w:val="both"/>
      </w:pPr>
      <w:r>
        <w:rPr/>
        <w:t>在等待期后，若被保险人经本公司认可的医院专科医生初次确诊发生本合同所定义的特定恶性肿瘤（无论一种或多种</w:t>
      </w:r>
      <w:r>
        <w:rPr>
          <w:spacing w:val="-106"/>
        </w:rPr>
        <w:t>）</w:t>
      </w:r>
      <w:r>
        <w:rPr>
          <w:spacing w:val="-4"/>
        </w:rPr>
        <w:t>，本公司按本合同保险金额的 </w:t>
      </w:r>
      <w:r>
        <w:rPr/>
        <w:t>20</w:t>
      </w:r>
      <w:r>
        <w:rPr>
          <w:spacing w:val="-1"/>
        </w:rPr>
        <w:t>％给付特定恶性肿瘤特别关爱保险金，本保险责任终止。</w:t>
      </w:r>
    </w:p>
    <w:p>
      <w:pPr>
        <w:spacing w:after="0" w:line="273" w:lineRule="auto"/>
        <w:jc w:val="both"/>
        <w:sectPr>
          <w:type w:val="continuous"/>
          <w:pgSz w:w="11900" w:h="16840"/>
          <w:pgMar w:top="800" w:bottom="280" w:left="800" w:right="680"/>
          <w:cols w:num="2" w:equalWidth="0">
            <w:col w:w="2276" w:space="99"/>
            <w:col w:w="8045"/>
          </w:cols>
        </w:sectPr>
      </w:pPr>
    </w:p>
    <w:p>
      <w:pPr>
        <w:pStyle w:val="BodyText"/>
        <w:spacing w:before="4"/>
        <w:rPr>
          <w:sz w:val="20"/>
        </w:rPr>
      </w:pPr>
    </w:p>
    <w:p>
      <w:pPr>
        <w:spacing w:after="0"/>
        <w:rPr>
          <w:sz w:val="20"/>
        </w:rPr>
        <w:sectPr>
          <w:pgSz w:w="11900" w:h="16840"/>
          <w:pgMar w:header="575" w:footer="0" w:top="800" w:bottom="280" w:left="800" w:right="600"/>
        </w:sectPr>
      </w:pPr>
    </w:p>
    <w:p>
      <w:pPr>
        <w:pStyle w:val="Heading3"/>
        <w:numPr>
          <w:ilvl w:val="2"/>
          <w:numId w:val="1"/>
        </w:numPr>
        <w:tabs>
          <w:tab w:pos="1225" w:val="left" w:leader="none"/>
          <w:tab w:pos="1226" w:val="left" w:leader="none"/>
        </w:tabs>
        <w:spacing w:line="259" w:lineRule="auto" w:before="34" w:after="0"/>
        <w:ind w:left="1225" w:right="0" w:hanging="1003"/>
        <w:jc w:val="left"/>
      </w:pPr>
      <w:r>
        <w:rPr/>
        <w:t>轻症重疾保</w:t>
      </w:r>
      <w:r>
        <w:rPr>
          <w:w w:val="95"/>
        </w:rPr>
        <w:t>险金（可选）</w:t>
      </w:r>
    </w:p>
    <w:p>
      <w:pPr>
        <w:pStyle w:val="BodyText"/>
        <w:spacing w:line="268" w:lineRule="auto" w:before="34"/>
        <w:ind w:left="71" w:right="340"/>
        <w:jc w:val="both"/>
      </w:pPr>
      <w:r>
        <w:rPr/>
        <w:br w:type="column"/>
      </w:r>
      <w:r>
        <w:rPr>
          <w:spacing w:val="-7"/>
        </w:rPr>
        <w:t>本保险责任是在已投保 </w:t>
      </w:r>
      <w:r>
        <w:rPr>
          <w:i/>
          <w:sz w:val="22"/>
        </w:rPr>
        <w:t>2.3.2</w:t>
      </w:r>
      <w:r>
        <w:rPr>
          <w:i/>
          <w:spacing w:val="-71"/>
          <w:sz w:val="22"/>
        </w:rPr>
        <w:t> </w:t>
      </w:r>
      <w:r>
        <w:rPr/>
        <w:t>责任的前提下可选择的保险责任，若本项保险责任未在保险单或其他保险凭证上载明，则本项保险责任不产生效力。</w:t>
      </w:r>
    </w:p>
    <w:p>
      <w:pPr>
        <w:pStyle w:val="BodyText"/>
        <w:spacing w:line="237" w:lineRule="auto"/>
        <w:ind w:left="71" w:right="340"/>
        <w:jc w:val="both"/>
      </w:pPr>
      <w:r>
        <w:rPr/>
        <w:t>在等待期后，若被保险人经本公司认可的医院专科医生初次确诊发生本合同所定义的轻症重疾（无论一种或多种</w:t>
      </w:r>
      <w:r>
        <w:rPr>
          <w:spacing w:val="-105"/>
        </w:rPr>
        <w:t>）</w:t>
      </w:r>
      <w:r>
        <w:rPr>
          <w:spacing w:val="-5"/>
        </w:rPr>
        <w:t>，本公司按本合同保险金额的 </w:t>
      </w:r>
      <w:r>
        <w:rPr/>
        <w:t>20％</w:t>
      </w:r>
      <w:r>
        <w:rPr>
          <w:spacing w:val="-1"/>
        </w:rPr>
        <w:t>给付轻症重疾保险金，本保险责任终止。</w:t>
      </w:r>
    </w:p>
    <w:p>
      <w:pPr>
        <w:spacing w:after="0" w:line="237" w:lineRule="auto"/>
        <w:jc w:val="both"/>
        <w:sectPr>
          <w:type w:val="continuous"/>
          <w:pgSz w:w="11900" w:h="16840"/>
          <w:pgMar w:top="800" w:bottom="280" w:left="800" w:right="600"/>
          <w:cols w:num="2" w:equalWidth="0">
            <w:col w:w="2486" w:space="40"/>
            <w:col w:w="7974"/>
          </w:cols>
        </w:sectPr>
      </w:pPr>
    </w:p>
    <w:p>
      <w:pPr>
        <w:pStyle w:val="BodyText"/>
        <w:spacing w:before="7"/>
        <w:rPr>
          <w:sz w:val="16"/>
        </w:rPr>
      </w:pPr>
    </w:p>
    <w:p>
      <w:pPr>
        <w:pStyle w:val="BodyText"/>
        <w:tabs>
          <w:tab w:pos="1225" w:val="left" w:leader="none"/>
          <w:tab w:pos="2597" w:val="left" w:leader="none"/>
        </w:tabs>
        <w:spacing w:line="220" w:lineRule="auto" w:before="56"/>
        <w:ind w:left="2597" w:right="340" w:hanging="2375"/>
      </w:pPr>
      <w:r>
        <w:rPr>
          <w:position w:val="-1"/>
        </w:rPr>
        <w:t>2.4</w:t>
        <w:tab/>
        <w:t>责任免除</w:t>
        <w:tab/>
      </w:r>
      <w:r>
        <w:rPr>
          <w:shd w:fill="E5E5E5" w:color="auto" w:val="clear"/>
        </w:rPr>
        <w:t>因下列情形之一导致被保险人发生本合同定义的重大疾病、特定恶性肿瘤、轻症重</w:t>
      </w:r>
      <w:r>
        <w:rPr>
          <w:spacing w:val="-210"/>
          <w:shd w:fill="E5E5E5" w:color="auto" w:val="clear"/>
        </w:rPr>
        <w:t>疾</w:t>
      </w:r>
      <w:r>
        <w:rPr>
          <w:shd w:fill="E5E5E5" w:color="auto" w:val="clear"/>
        </w:rPr>
        <w:t>                                                                       的，本公司不承担给付保险金的责任：</w:t>
      </w:r>
    </w:p>
    <w:p>
      <w:pPr>
        <w:pStyle w:val="BodyText"/>
        <w:spacing w:line="271" w:lineRule="exact"/>
        <w:ind w:left="2597"/>
      </w:pPr>
      <w:r>
        <w:rPr>
          <w:shd w:fill="E5E5E5" w:color="auto" w:val="clear"/>
        </w:rPr>
        <w:t>（1）投保人对被保险人的故意杀害、故意伤害；</w:t>
      </w:r>
    </w:p>
    <w:p>
      <w:pPr>
        <w:pStyle w:val="BodyText"/>
        <w:spacing w:line="272" w:lineRule="exact"/>
        <w:ind w:left="2597"/>
      </w:pPr>
      <w:r>
        <w:rPr>
          <w:shd w:fill="E5E5E5" w:color="auto" w:val="clear"/>
        </w:rPr>
        <w:t>（2）被保险人故意自伤、故意犯罪或抗拒依法采取的刑事强制措施；</w:t>
      </w:r>
    </w:p>
    <w:p>
      <w:pPr>
        <w:pStyle w:val="BodyText"/>
        <w:spacing w:line="272" w:lineRule="exact"/>
        <w:ind w:left="2597"/>
      </w:pPr>
      <w:r>
        <w:rPr>
          <w:shd w:fill="E5E5E5" w:color="auto" w:val="clear"/>
        </w:rPr>
        <w:t>（3）被保险人患未告知的既往症（见 8.5）；</w:t>
      </w:r>
    </w:p>
    <w:p>
      <w:pPr>
        <w:pStyle w:val="BodyText"/>
        <w:spacing w:line="272" w:lineRule="exact"/>
        <w:ind w:left="2597"/>
      </w:pPr>
      <w:r>
        <w:rPr>
          <w:shd w:fill="E5E5E5" w:color="auto" w:val="clear"/>
        </w:rPr>
        <w:t>（4）被保险人主动吸食或注射毒品（见 8.6）；</w:t>
      </w:r>
    </w:p>
    <w:p>
      <w:pPr>
        <w:pStyle w:val="BodyText"/>
        <w:spacing w:line="272" w:lineRule="exact"/>
        <w:ind w:left="2597"/>
      </w:pPr>
      <w:r>
        <w:rPr>
          <w:spacing w:val="-17"/>
          <w:shd w:fill="E5E5E5" w:color="auto" w:val="clear"/>
        </w:rPr>
        <w:t>（5）</w:t>
      </w:r>
      <w:r>
        <w:rPr>
          <w:spacing w:val="-4"/>
          <w:shd w:fill="E5E5E5" w:color="auto" w:val="clear"/>
        </w:rPr>
        <w:t>被保险人感染艾滋病病毒或患艾滋病</w:t>
      </w:r>
      <w:r>
        <w:rPr>
          <w:shd w:fill="E5E5E5" w:color="auto" w:val="clear"/>
        </w:rPr>
        <w:t>（</w:t>
      </w:r>
      <w:r>
        <w:rPr>
          <w:spacing w:val="-22"/>
          <w:shd w:fill="E5E5E5" w:color="auto" w:val="clear"/>
        </w:rPr>
        <w:t>见 </w:t>
      </w:r>
      <w:r>
        <w:rPr>
          <w:spacing w:val="-13"/>
          <w:shd w:fill="E5E5E5" w:color="auto" w:val="clear"/>
        </w:rPr>
        <w:t>8.7）</w:t>
      </w:r>
      <w:r>
        <w:rPr>
          <w:spacing w:val="-26"/>
          <w:shd w:fill="E5E5E5" w:color="auto" w:val="clear"/>
        </w:rPr>
        <w:t>期间</w:t>
      </w:r>
      <w:r>
        <w:rPr>
          <w:shd w:fill="E5E5E5" w:color="auto" w:val="clear"/>
        </w:rPr>
        <w:t>（本合同另有约定的除外</w:t>
      </w:r>
      <w:r>
        <w:rPr>
          <w:spacing w:val="-26"/>
          <w:shd w:fill="E5E5E5" w:color="auto" w:val="clear"/>
        </w:rPr>
        <w:t>）；</w:t>
      </w:r>
    </w:p>
    <w:p>
      <w:pPr>
        <w:pStyle w:val="BodyText"/>
        <w:spacing w:line="272" w:lineRule="exact"/>
        <w:ind w:left="2597"/>
      </w:pPr>
      <w:r>
        <w:rPr>
          <w:shd w:fill="E5E5E5" w:color="auto" w:val="clear"/>
        </w:rPr>
        <w:t>（6）遗传性疾病（见 8.8），先天性畸形、变形或染色体异常（见 8.9）；</w:t>
      </w:r>
    </w:p>
    <w:p>
      <w:pPr>
        <w:pStyle w:val="BodyText"/>
        <w:spacing w:line="272" w:lineRule="exact"/>
        <w:ind w:left="2597"/>
      </w:pPr>
      <w:r>
        <w:rPr>
          <w:shd w:fill="E5E5E5" w:color="auto" w:val="clear"/>
        </w:rPr>
        <w:t>（7）被保险人酒后驾驶（见 8.10）、无合法有效驾驶证驾驶（见 8.11）或驾驶无</w:t>
      </w:r>
    </w:p>
    <w:p>
      <w:pPr>
        <w:pStyle w:val="BodyText"/>
        <w:tabs>
          <w:tab w:pos="3125" w:val="left" w:leader="none"/>
        </w:tabs>
        <w:spacing w:line="272" w:lineRule="exact"/>
        <w:ind w:left="2597"/>
      </w:pPr>
      <w:r>
        <w:rPr>
          <w:rFonts w:ascii="Times New Roman" w:eastAsia="Times New Roman"/>
          <w:shd w:fill="E5E5E5" w:color="auto" w:val="clear"/>
        </w:rPr>
        <w:t> </w:t>
        <w:tab/>
      </w:r>
      <w:r>
        <w:rPr>
          <w:shd w:fill="E5E5E5" w:color="auto" w:val="clear"/>
        </w:rPr>
        <w:t>有效行驶证（</w:t>
      </w:r>
      <w:r>
        <w:rPr>
          <w:spacing w:val="-28"/>
          <w:shd w:fill="E5E5E5" w:color="auto" w:val="clear"/>
        </w:rPr>
        <w:t>见 </w:t>
      </w:r>
      <w:r>
        <w:rPr>
          <w:shd w:fill="E5E5E5" w:color="auto" w:val="clear"/>
        </w:rPr>
        <w:t>8.12）的机动车（</w:t>
      </w:r>
      <w:r>
        <w:rPr>
          <w:spacing w:val="-28"/>
          <w:shd w:fill="E5E5E5" w:color="auto" w:val="clear"/>
        </w:rPr>
        <w:t>见 </w:t>
      </w:r>
      <w:r>
        <w:rPr>
          <w:shd w:fill="E5E5E5" w:color="auto" w:val="clear"/>
        </w:rPr>
        <w:t>8.13）；</w:t>
      </w:r>
    </w:p>
    <w:p>
      <w:pPr>
        <w:pStyle w:val="BodyText"/>
        <w:spacing w:line="272" w:lineRule="exact"/>
        <w:ind w:left="2597"/>
      </w:pPr>
      <w:r>
        <w:rPr>
          <w:shd w:fill="E5E5E5" w:color="auto" w:val="clear"/>
        </w:rPr>
        <w:t>（8）被保险人未遵医嘱，私自服用、涂用、注射药物；</w:t>
      </w:r>
    </w:p>
    <w:p>
      <w:pPr>
        <w:pStyle w:val="BodyText"/>
        <w:spacing w:line="272" w:lineRule="exact"/>
        <w:ind w:left="2597"/>
      </w:pPr>
      <w:r>
        <w:rPr>
          <w:shd w:fill="E5E5E5" w:color="auto" w:val="clear"/>
        </w:rPr>
        <w:t>（9）战争、军事冲突、暴乱或武装叛乱；</w:t>
      </w:r>
    </w:p>
    <w:p>
      <w:pPr>
        <w:pStyle w:val="BodyText"/>
        <w:spacing w:line="272" w:lineRule="exact"/>
        <w:ind w:left="2597"/>
      </w:pPr>
      <w:r>
        <w:rPr>
          <w:shd w:fill="E5E5E5" w:color="auto" w:val="clear"/>
        </w:rPr>
        <w:t>（10）核爆炸、核辐射或核污染。</w:t>
      </w:r>
    </w:p>
    <w:p>
      <w:pPr>
        <w:pStyle w:val="BodyText"/>
        <w:spacing w:line="237" w:lineRule="auto" w:before="1"/>
        <w:ind w:left="2597" w:right="236"/>
      </w:pPr>
      <w:r>
        <w:rPr>
          <w:shd w:fill="E5E5E5" w:color="auto" w:val="clear"/>
        </w:rPr>
        <w:t>发生上述第（1）项情形导致被保险人发生重大疾病、特定恶性肿瘤、轻症重疾的，</w:t>
      </w:r>
      <w:r>
        <w:rPr>
          <w:spacing w:val="-210"/>
          <w:shd w:fill="E5E5E5" w:color="auto" w:val="clear"/>
        </w:rPr>
        <w:t>本</w:t>
      </w:r>
      <w:r>
        <w:rPr>
          <w:shd w:fill="E5E5E5" w:color="auto" w:val="clear"/>
        </w:rPr>
        <w:t>合同效力终止，本公司向保险金受益人退还未满期净保险费（</w:t>
      </w:r>
      <w:r>
        <w:rPr>
          <w:spacing w:val="-25"/>
          <w:shd w:fill="E5E5E5" w:color="auto" w:val="clear"/>
        </w:rPr>
        <w:t>见 </w:t>
      </w:r>
      <w:r>
        <w:rPr>
          <w:shd w:fill="E5E5E5" w:color="auto" w:val="clear"/>
        </w:rPr>
        <w:t>8.14）。</w:t>
      </w:r>
    </w:p>
    <w:p>
      <w:pPr>
        <w:pStyle w:val="BodyText"/>
        <w:spacing w:line="273" w:lineRule="auto" w:before="17"/>
        <w:ind w:left="2597" w:right="340"/>
      </w:pPr>
      <w:r>
        <w:rPr>
          <w:shd w:fill="E5E5E5" w:color="auto" w:val="clear"/>
        </w:rPr>
        <w:t>发生上述其它情形导致被保险人发生重大疾病、特定恶性肿瘤、轻症重疾的，本合同效力终止，本公司向投保人退还未满期净保险费。</w:t>
      </w:r>
    </w:p>
    <w:p>
      <w:pPr>
        <w:pStyle w:val="BodyText"/>
        <w:spacing w:before="11"/>
        <w:rPr>
          <w:sz w:val="26"/>
        </w:rPr>
      </w:pPr>
    </w:p>
    <w:p>
      <w:pPr>
        <w:pStyle w:val="Heading2"/>
        <w:numPr>
          <w:ilvl w:val="0"/>
          <w:numId w:val="1"/>
        </w:numPr>
        <w:tabs>
          <w:tab w:pos="1225" w:val="left" w:leader="none"/>
          <w:tab w:pos="1226" w:val="left" w:leader="none"/>
        </w:tabs>
        <w:spacing w:line="240" w:lineRule="auto" w:before="0" w:after="0"/>
        <w:ind w:left="1225" w:right="0" w:hanging="1003"/>
        <w:jc w:val="left"/>
      </w:pPr>
      <w:r>
        <w:rPr>
          <w:w w:val="95"/>
        </w:rPr>
        <w:t>重大疾病</w:t>
      </w:r>
    </w:p>
    <w:p>
      <w:pPr>
        <w:pStyle w:val="BodyText"/>
        <w:rPr>
          <w:sz w:val="8"/>
        </w:rPr>
      </w:pPr>
      <w:r>
        <w:rPr/>
        <w:pict>
          <v:group style="position:absolute;margin-left:45.720001pt;margin-top:7.195042pt;width:509.4pt;height:1.45pt;mso-position-horizontal-relative:page;mso-position-vertical-relative:paragraph;z-index:1168;mso-wrap-distance-left:0;mso-wrap-distance-right:0" coordorigin="914,144" coordsize="10188,29">
            <v:line style="position:absolute" from="914,149" to="1919,149" stroked="true" strokeweight=".47998pt" strokecolor="#000000">
              <v:stroke dashstyle="solid"/>
            </v:line>
            <v:line style="position:absolute" from="914,168" to="1919,168" stroked="true" strokeweight=".48001pt" strokecolor="#000000">
              <v:stroke dashstyle="solid"/>
            </v:line>
            <v:rect style="position:absolute;left:1918;top:143;width:29;height:10" filled="true" fillcolor="#000000" stroked="false">
              <v:fill type="solid"/>
            </v:rect>
            <v:rect style="position:absolute;left:1918;top:163;width:29;height:10" filled="true" fillcolor="#000000" stroked="false">
              <v:fill type="solid"/>
            </v:rect>
            <v:line style="position:absolute" from="1948,149" to="3289,149" stroked="true" strokeweight=".47998pt" strokecolor="#000000">
              <v:stroke dashstyle="solid"/>
            </v:line>
            <v:line style="position:absolute" from="1948,168" to="3289,168" stroked="true" strokeweight=".48001pt" strokecolor="#000000">
              <v:stroke dashstyle="solid"/>
            </v:line>
            <v:rect style="position:absolute;left:3289;top:143;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spacing w:before="6"/>
        <w:rPr>
          <w:sz w:val="7"/>
        </w:rPr>
      </w:pPr>
    </w:p>
    <w:p>
      <w:pPr>
        <w:spacing w:after="0"/>
        <w:rPr>
          <w:sz w:val="7"/>
        </w:rPr>
        <w:sectPr>
          <w:type w:val="continuous"/>
          <w:pgSz w:w="11900" w:h="16840"/>
          <w:pgMar w:top="800" w:bottom="280" w:left="800" w:right="600"/>
        </w:sectPr>
      </w:pPr>
    </w:p>
    <w:p>
      <w:pPr>
        <w:pStyle w:val="ListParagraph"/>
        <w:numPr>
          <w:ilvl w:val="1"/>
          <w:numId w:val="1"/>
        </w:numPr>
        <w:tabs>
          <w:tab w:pos="1225" w:val="left" w:leader="none"/>
          <w:tab w:pos="1226" w:val="left" w:leader="none"/>
        </w:tabs>
        <w:spacing w:line="273" w:lineRule="auto" w:before="56" w:after="0"/>
        <w:ind w:left="1225" w:right="0" w:hanging="1003"/>
        <w:jc w:val="left"/>
        <w:rPr>
          <w:sz w:val="21"/>
        </w:rPr>
      </w:pPr>
      <w:r>
        <w:rPr>
          <w:sz w:val="21"/>
        </w:rPr>
        <w:t>重大疾病的范围</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ListParagraph"/>
        <w:numPr>
          <w:ilvl w:val="1"/>
          <w:numId w:val="1"/>
        </w:numPr>
        <w:tabs>
          <w:tab w:pos="1225" w:val="left" w:leader="none"/>
          <w:tab w:pos="1226" w:val="left" w:leader="none"/>
        </w:tabs>
        <w:spacing w:line="273" w:lineRule="auto" w:before="0" w:after="0"/>
        <w:ind w:left="1225" w:right="0" w:hanging="1003"/>
        <w:jc w:val="left"/>
        <w:rPr>
          <w:sz w:val="21"/>
        </w:rPr>
      </w:pPr>
      <w:r>
        <w:rPr>
          <w:sz w:val="21"/>
        </w:rPr>
        <w:t>重大疾病的定义</w:t>
      </w:r>
    </w:p>
    <w:p>
      <w:pPr>
        <w:pStyle w:val="BodyText"/>
        <w:spacing w:line="237" w:lineRule="auto" w:before="38"/>
        <w:ind w:left="222" w:right="303"/>
        <w:jc w:val="both"/>
      </w:pPr>
      <w:r>
        <w:rPr/>
        <w:br w:type="column"/>
      </w:r>
      <w:r>
        <w:rPr/>
        <w:t>本合同所指的重大疾病在本合同中有确定的含义，不仅包括部分一般意义上的重大疾病，还包括某些重大手术。本合同所指的重大疾病可能与临床医学所指的重大疾病在概念和范围上有所不同，本公司将在本合同重大疾病的定义中详细列明，投保人投保本合同即表明认可并遵从本合同中对重大疾病的定义。</w:t>
      </w:r>
    </w:p>
    <w:p>
      <w:pPr>
        <w:pStyle w:val="BodyText"/>
        <w:spacing w:line="271" w:lineRule="exact"/>
        <w:ind w:left="222"/>
      </w:pPr>
      <w:r>
        <w:rPr/>
        <w:t>在本合同有效期内，本公司保障的重大疾病如下所示：</w:t>
      </w:r>
    </w:p>
    <w:p>
      <w:pPr>
        <w:pStyle w:val="BodyText"/>
        <w:spacing w:before="10"/>
        <w:rPr>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3080"/>
        <w:gridCol w:w="379"/>
        <w:gridCol w:w="2090"/>
      </w:tblGrid>
      <w:tr>
        <w:trPr>
          <w:trHeight w:val="253" w:hRule="atLeast"/>
        </w:trPr>
        <w:tc>
          <w:tcPr>
            <w:tcW w:w="291" w:type="dxa"/>
          </w:tcPr>
          <w:p>
            <w:pPr>
              <w:pStyle w:val="TableParagraph"/>
              <w:spacing w:line="180" w:lineRule="exact"/>
              <w:ind w:left="79"/>
              <w:jc w:val="center"/>
              <w:rPr>
                <w:sz w:val="18"/>
              </w:rPr>
            </w:pPr>
            <w:r>
              <w:rPr>
                <w:sz w:val="18"/>
              </w:rPr>
              <w:t>1</w:t>
            </w:r>
          </w:p>
        </w:tc>
        <w:tc>
          <w:tcPr>
            <w:tcW w:w="3080" w:type="dxa"/>
          </w:tcPr>
          <w:p>
            <w:pPr>
              <w:pStyle w:val="TableParagraph"/>
              <w:spacing w:line="180" w:lineRule="exact"/>
              <w:ind w:left="60"/>
              <w:rPr>
                <w:sz w:val="18"/>
              </w:rPr>
            </w:pPr>
            <w:r>
              <w:rPr>
                <w:sz w:val="18"/>
              </w:rPr>
              <w:t>恶性肿瘤</w:t>
            </w:r>
          </w:p>
        </w:tc>
        <w:tc>
          <w:tcPr>
            <w:tcW w:w="379" w:type="dxa"/>
          </w:tcPr>
          <w:p>
            <w:pPr>
              <w:pStyle w:val="TableParagraph"/>
              <w:spacing w:line="180" w:lineRule="exact"/>
              <w:ind w:right="59"/>
              <w:jc w:val="right"/>
              <w:rPr>
                <w:sz w:val="18"/>
              </w:rPr>
            </w:pPr>
            <w:r>
              <w:rPr>
                <w:sz w:val="18"/>
              </w:rPr>
              <w:t>11</w:t>
            </w:r>
          </w:p>
        </w:tc>
        <w:tc>
          <w:tcPr>
            <w:tcW w:w="2090" w:type="dxa"/>
          </w:tcPr>
          <w:p>
            <w:pPr>
              <w:pStyle w:val="TableParagraph"/>
              <w:spacing w:line="180" w:lineRule="exact"/>
              <w:ind w:left="58"/>
              <w:rPr>
                <w:sz w:val="18"/>
              </w:rPr>
            </w:pPr>
            <w:r>
              <w:rPr>
                <w:sz w:val="18"/>
              </w:rPr>
              <w:t>深度昏迷</w:t>
            </w:r>
          </w:p>
        </w:tc>
      </w:tr>
      <w:tr>
        <w:trPr>
          <w:trHeight w:val="326" w:hRule="atLeast"/>
        </w:trPr>
        <w:tc>
          <w:tcPr>
            <w:tcW w:w="291" w:type="dxa"/>
          </w:tcPr>
          <w:p>
            <w:pPr>
              <w:pStyle w:val="TableParagraph"/>
              <w:spacing w:before="17"/>
              <w:ind w:left="79"/>
              <w:jc w:val="center"/>
              <w:rPr>
                <w:sz w:val="18"/>
              </w:rPr>
            </w:pPr>
            <w:r>
              <w:rPr>
                <w:sz w:val="18"/>
              </w:rPr>
              <w:t>2</w:t>
            </w:r>
          </w:p>
        </w:tc>
        <w:tc>
          <w:tcPr>
            <w:tcW w:w="3080" w:type="dxa"/>
          </w:tcPr>
          <w:p>
            <w:pPr>
              <w:pStyle w:val="TableParagraph"/>
              <w:spacing w:before="17"/>
              <w:ind w:left="60"/>
              <w:rPr>
                <w:sz w:val="18"/>
              </w:rPr>
            </w:pPr>
            <w:r>
              <w:rPr>
                <w:sz w:val="18"/>
              </w:rPr>
              <w:t>急性心肌梗塞</w:t>
            </w:r>
          </w:p>
        </w:tc>
        <w:tc>
          <w:tcPr>
            <w:tcW w:w="379" w:type="dxa"/>
          </w:tcPr>
          <w:p>
            <w:pPr>
              <w:pStyle w:val="TableParagraph"/>
              <w:spacing w:before="17"/>
              <w:ind w:right="59"/>
              <w:jc w:val="right"/>
              <w:rPr>
                <w:sz w:val="18"/>
              </w:rPr>
            </w:pPr>
            <w:r>
              <w:rPr>
                <w:sz w:val="18"/>
              </w:rPr>
              <w:t>12</w:t>
            </w:r>
          </w:p>
        </w:tc>
        <w:tc>
          <w:tcPr>
            <w:tcW w:w="2090" w:type="dxa"/>
          </w:tcPr>
          <w:p>
            <w:pPr>
              <w:pStyle w:val="TableParagraph"/>
              <w:spacing w:before="17"/>
              <w:ind w:left="58"/>
              <w:rPr>
                <w:sz w:val="18"/>
              </w:rPr>
            </w:pPr>
            <w:r>
              <w:rPr>
                <w:sz w:val="18"/>
              </w:rPr>
              <w:t>瘫痪</w:t>
            </w:r>
          </w:p>
        </w:tc>
      </w:tr>
      <w:tr>
        <w:trPr>
          <w:trHeight w:val="326" w:hRule="atLeast"/>
        </w:trPr>
        <w:tc>
          <w:tcPr>
            <w:tcW w:w="291" w:type="dxa"/>
          </w:tcPr>
          <w:p>
            <w:pPr>
              <w:pStyle w:val="TableParagraph"/>
              <w:spacing w:before="18"/>
              <w:ind w:left="79"/>
              <w:jc w:val="center"/>
              <w:rPr>
                <w:sz w:val="18"/>
              </w:rPr>
            </w:pPr>
            <w:r>
              <w:rPr>
                <w:sz w:val="18"/>
              </w:rPr>
              <w:t>3</w:t>
            </w:r>
          </w:p>
        </w:tc>
        <w:tc>
          <w:tcPr>
            <w:tcW w:w="3080" w:type="dxa"/>
          </w:tcPr>
          <w:p>
            <w:pPr>
              <w:pStyle w:val="TableParagraph"/>
              <w:spacing w:before="18"/>
              <w:ind w:left="60"/>
              <w:rPr>
                <w:sz w:val="18"/>
              </w:rPr>
            </w:pPr>
            <w:r>
              <w:rPr>
                <w:sz w:val="18"/>
              </w:rPr>
              <w:t>脑中风后遗症</w:t>
            </w:r>
          </w:p>
        </w:tc>
        <w:tc>
          <w:tcPr>
            <w:tcW w:w="379" w:type="dxa"/>
          </w:tcPr>
          <w:p>
            <w:pPr>
              <w:pStyle w:val="TableParagraph"/>
              <w:spacing w:before="18"/>
              <w:ind w:right="59"/>
              <w:jc w:val="right"/>
              <w:rPr>
                <w:sz w:val="18"/>
              </w:rPr>
            </w:pPr>
            <w:r>
              <w:rPr>
                <w:sz w:val="18"/>
              </w:rPr>
              <w:t>13</w:t>
            </w:r>
          </w:p>
        </w:tc>
        <w:tc>
          <w:tcPr>
            <w:tcW w:w="2090" w:type="dxa"/>
          </w:tcPr>
          <w:p>
            <w:pPr>
              <w:pStyle w:val="TableParagraph"/>
              <w:spacing w:before="18"/>
              <w:ind w:left="58"/>
              <w:rPr>
                <w:sz w:val="18"/>
              </w:rPr>
            </w:pPr>
            <w:r>
              <w:rPr>
                <w:sz w:val="18"/>
              </w:rPr>
              <w:t>心脏瓣膜手术</w:t>
            </w:r>
          </w:p>
        </w:tc>
      </w:tr>
      <w:tr>
        <w:trPr>
          <w:trHeight w:val="326" w:hRule="atLeast"/>
        </w:trPr>
        <w:tc>
          <w:tcPr>
            <w:tcW w:w="291" w:type="dxa"/>
          </w:tcPr>
          <w:p>
            <w:pPr>
              <w:pStyle w:val="TableParagraph"/>
              <w:spacing w:before="17"/>
              <w:ind w:left="79"/>
              <w:jc w:val="center"/>
              <w:rPr>
                <w:sz w:val="18"/>
              </w:rPr>
            </w:pPr>
            <w:r>
              <w:rPr>
                <w:sz w:val="18"/>
              </w:rPr>
              <w:t>4</w:t>
            </w:r>
          </w:p>
        </w:tc>
        <w:tc>
          <w:tcPr>
            <w:tcW w:w="3080" w:type="dxa"/>
          </w:tcPr>
          <w:p>
            <w:pPr>
              <w:pStyle w:val="TableParagraph"/>
              <w:spacing w:before="17"/>
              <w:ind w:left="60"/>
              <w:rPr>
                <w:sz w:val="18"/>
              </w:rPr>
            </w:pPr>
            <w:r>
              <w:rPr>
                <w:sz w:val="18"/>
              </w:rPr>
              <w:t>重大器官移植术或造血干细胞移植术</w:t>
            </w:r>
          </w:p>
        </w:tc>
        <w:tc>
          <w:tcPr>
            <w:tcW w:w="379" w:type="dxa"/>
          </w:tcPr>
          <w:p>
            <w:pPr>
              <w:pStyle w:val="TableParagraph"/>
              <w:spacing w:before="17"/>
              <w:ind w:right="59"/>
              <w:jc w:val="right"/>
              <w:rPr>
                <w:sz w:val="18"/>
              </w:rPr>
            </w:pPr>
            <w:r>
              <w:rPr>
                <w:sz w:val="18"/>
              </w:rPr>
              <w:t>14</w:t>
            </w:r>
          </w:p>
        </w:tc>
        <w:tc>
          <w:tcPr>
            <w:tcW w:w="2090" w:type="dxa"/>
          </w:tcPr>
          <w:p>
            <w:pPr>
              <w:pStyle w:val="TableParagraph"/>
              <w:spacing w:before="17"/>
              <w:ind w:left="58"/>
              <w:rPr>
                <w:sz w:val="18"/>
              </w:rPr>
            </w:pPr>
            <w:r>
              <w:rPr>
                <w:sz w:val="18"/>
              </w:rPr>
              <w:t>严重运动神经元病</w:t>
            </w:r>
          </w:p>
        </w:tc>
      </w:tr>
      <w:tr>
        <w:trPr>
          <w:trHeight w:val="326" w:hRule="atLeast"/>
        </w:trPr>
        <w:tc>
          <w:tcPr>
            <w:tcW w:w="291" w:type="dxa"/>
          </w:tcPr>
          <w:p>
            <w:pPr>
              <w:pStyle w:val="TableParagraph"/>
              <w:spacing w:before="18"/>
              <w:ind w:left="79"/>
              <w:jc w:val="center"/>
              <w:rPr>
                <w:sz w:val="18"/>
              </w:rPr>
            </w:pPr>
            <w:r>
              <w:rPr>
                <w:sz w:val="18"/>
              </w:rPr>
              <w:t>5</w:t>
            </w:r>
          </w:p>
        </w:tc>
        <w:tc>
          <w:tcPr>
            <w:tcW w:w="3080" w:type="dxa"/>
          </w:tcPr>
          <w:p>
            <w:pPr>
              <w:pStyle w:val="TableParagraph"/>
              <w:spacing w:before="18"/>
              <w:ind w:left="60"/>
              <w:rPr>
                <w:sz w:val="18"/>
              </w:rPr>
            </w:pPr>
            <w:r>
              <w:rPr>
                <w:sz w:val="18"/>
              </w:rPr>
              <w:t>冠状动脉搭桥术</w:t>
            </w:r>
          </w:p>
        </w:tc>
        <w:tc>
          <w:tcPr>
            <w:tcW w:w="379" w:type="dxa"/>
          </w:tcPr>
          <w:p>
            <w:pPr>
              <w:pStyle w:val="TableParagraph"/>
              <w:spacing w:before="18"/>
              <w:ind w:right="59"/>
              <w:jc w:val="right"/>
              <w:rPr>
                <w:sz w:val="18"/>
              </w:rPr>
            </w:pPr>
            <w:r>
              <w:rPr>
                <w:sz w:val="18"/>
              </w:rPr>
              <w:t>15</w:t>
            </w:r>
          </w:p>
        </w:tc>
        <w:tc>
          <w:tcPr>
            <w:tcW w:w="2090" w:type="dxa"/>
          </w:tcPr>
          <w:p>
            <w:pPr>
              <w:pStyle w:val="TableParagraph"/>
              <w:spacing w:before="18"/>
              <w:ind w:left="58"/>
              <w:rPr>
                <w:sz w:val="18"/>
              </w:rPr>
            </w:pPr>
            <w:r>
              <w:rPr>
                <w:sz w:val="18"/>
              </w:rPr>
              <w:t>重型再生障碍性贫血</w:t>
            </w:r>
          </w:p>
        </w:tc>
      </w:tr>
      <w:tr>
        <w:trPr>
          <w:trHeight w:val="326" w:hRule="atLeast"/>
        </w:trPr>
        <w:tc>
          <w:tcPr>
            <w:tcW w:w="291" w:type="dxa"/>
          </w:tcPr>
          <w:p>
            <w:pPr>
              <w:pStyle w:val="TableParagraph"/>
              <w:rPr>
                <w:rFonts w:ascii="Times New Roman"/>
                <w:sz w:val="20"/>
              </w:rPr>
            </w:pPr>
          </w:p>
        </w:tc>
        <w:tc>
          <w:tcPr>
            <w:tcW w:w="3080" w:type="dxa"/>
          </w:tcPr>
          <w:p>
            <w:pPr>
              <w:pStyle w:val="TableParagraph"/>
              <w:spacing w:before="17"/>
              <w:ind w:left="60"/>
              <w:rPr>
                <w:sz w:val="18"/>
              </w:rPr>
            </w:pPr>
            <w:r>
              <w:rPr>
                <w:sz w:val="18"/>
              </w:rPr>
              <w:t>（或称冠状动脉旁路移植术）</w:t>
            </w:r>
          </w:p>
        </w:tc>
        <w:tc>
          <w:tcPr>
            <w:tcW w:w="379" w:type="dxa"/>
          </w:tcPr>
          <w:p>
            <w:pPr>
              <w:pStyle w:val="TableParagraph"/>
              <w:spacing w:before="17"/>
              <w:ind w:right="59"/>
              <w:jc w:val="right"/>
              <w:rPr>
                <w:sz w:val="18"/>
              </w:rPr>
            </w:pPr>
            <w:r>
              <w:rPr>
                <w:sz w:val="18"/>
              </w:rPr>
              <w:t>16</w:t>
            </w:r>
          </w:p>
        </w:tc>
        <w:tc>
          <w:tcPr>
            <w:tcW w:w="2090" w:type="dxa"/>
          </w:tcPr>
          <w:p>
            <w:pPr>
              <w:pStyle w:val="TableParagraph"/>
              <w:spacing w:before="17"/>
              <w:ind w:left="58"/>
              <w:rPr>
                <w:sz w:val="18"/>
              </w:rPr>
            </w:pPr>
            <w:r>
              <w:rPr>
                <w:sz w:val="18"/>
              </w:rPr>
              <w:t>主动脉手术</w:t>
            </w:r>
          </w:p>
        </w:tc>
      </w:tr>
      <w:tr>
        <w:trPr>
          <w:trHeight w:val="326" w:hRule="atLeast"/>
        </w:trPr>
        <w:tc>
          <w:tcPr>
            <w:tcW w:w="291" w:type="dxa"/>
          </w:tcPr>
          <w:p>
            <w:pPr>
              <w:pStyle w:val="TableParagraph"/>
              <w:spacing w:before="18"/>
              <w:ind w:left="79"/>
              <w:jc w:val="center"/>
              <w:rPr>
                <w:sz w:val="18"/>
              </w:rPr>
            </w:pPr>
            <w:r>
              <w:rPr>
                <w:sz w:val="18"/>
              </w:rPr>
              <w:t>6</w:t>
            </w:r>
          </w:p>
        </w:tc>
        <w:tc>
          <w:tcPr>
            <w:tcW w:w="3080" w:type="dxa"/>
          </w:tcPr>
          <w:p>
            <w:pPr>
              <w:pStyle w:val="TableParagraph"/>
              <w:spacing w:before="18"/>
              <w:ind w:left="60"/>
              <w:rPr>
                <w:sz w:val="18"/>
              </w:rPr>
            </w:pPr>
            <w:r>
              <w:rPr>
                <w:sz w:val="18"/>
              </w:rPr>
              <w:t>终末期肾病</w:t>
            </w:r>
          </w:p>
        </w:tc>
        <w:tc>
          <w:tcPr>
            <w:tcW w:w="379" w:type="dxa"/>
          </w:tcPr>
          <w:p>
            <w:pPr>
              <w:pStyle w:val="TableParagraph"/>
              <w:spacing w:before="18"/>
              <w:ind w:right="59"/>
              <w:jc w:val="right"/>
              <w:rPr>
                <w:sz w:val="18"/>
              </w:rPr>
            </w:pPr>
            <w:r>
              <w:rPr>
                <w:sz w:val="18"/>
              </w:rPr>
              <w:t>17</w:t>
            </w:r>
          </w:p>
        </w:tc>
        <w:tc>
          <w:tcPr>
            <w:tcW w:w="2090" w:type="dxa"/>
          </w:tcPr>
          <w:p>
            <w:pPr>
              <w:pStyle w:val="TableParagraph"/>
              <w:spacing w:before="18"/>
              <w:ind w:left="58"/>
              <w:rPr>
                <w:sz w:val="18"/>
              </w:rPr>
            </w:pPr>
            <w:r>
              <w:rPr>
                <w:sz w:val="18"/>
              </w:rPr>
              <w:t>胰岛素依赖型糖尿病</w:t>
            </w:r>
          </w:p>
        </w:tc>
      </w:tr>
      <w:tr>
        <w:trPr>
          <w:trHeight w:val="326" w:hRule="atLeast"/>
        </w:trPr>
        <w:tc>
          <w:tcPr>
            <w:tcW w:w="291" w:type="dxa"/>
          </w:tcPr>
          <w:p>
            <w:pPr>
              <w:pStyle w:val="TableParagraph"/>
              <w:rPr>
                <w:rFonts w:ascii="Times New Roman"/>
                <w:sz w:val="20"/>
              </w:rPr>
            </w:pPr>
          </w:p>
        </w:tc>
        <w:tc>
          <w:tcPr>
            <w:tcW w:w="3080" w:type="dxa"/>
          </w:tcPr>
          <w:p>
            <w:pPr>
              <w:pStyle w:val="TableParagraph"/>
              <w:spacing w:before="17"/>
              <w:ind w:left="60"/>
              <w:rPr>
                <w:sz w:val="18"/>
              </w:rPr>
            </w:pPr>
            <w:r>
              <w:rPr>
                <w:sz w:val="18"/>
              </w:rPr>
              <w:t>（或称慢性肾功能衰竭尿毒症期）</w:t>
            </w:r>
          </w:p>
        </w:tc>
        <w:tc>
          <w:tcPr>
            <w:tcW w:w="379" w:type="dxa"/>
          </w:tcPr>
          <w:p>
            <w:pPr>
              <w:pStyle w:val="TableParagraph"/>
              <w:spacing w:before="17"/>
              <w:ind w:right="59"/>
              <w:jc w:val="right"/>
              <w:rPr>
                <w:sz w:val="18"/>
              </w:rPr>
            </w:pPr>
            <w:r>
              <w:rPr>
                <w:sz w:val="18"/>
              </w:rPr>
              <w:t>18</w:t>
            </w:r>
          </w:p>
        </w:tc>
        <w:tc>
          <w:tcPr>
            <w:tcW w:w="2090" w:type="dxa"/>
          </w:tcPr>
          <w:p>
            <w:pPr>
              <w:pStyle w:val="TableParagraph"/>
              <w:spacing w:before="17"/>
              <w:ind w:left="58"/>
              <w:rPr>
                <w:sz w:val="18"/>
              </w:rPr>
            </w:pPr>
            <w:r>
              <w:rPr>
                <w:sz w:val="18"/>
              </w:rPr>
              <w:t>严重的心肌炎</w:t>
            </w:r>
          </w:p>
        </w:tc>
      </w:tr>
      <w:tr>
        <w:trPr>
          <w:trHeight w:val="326" w:hRule="atLeast"/>
        </w:trPr>
        <w:tc>
          <w:tcPr>
            <w:tcW w:w="291" w:type="dxa"/>
          </w:tcPr>
          <w:p>
            <w:pPr>
              <w:pStyle w:val="TableParagraph"/>
              <w:spacing w:before="18"/>
              <w:ind w:left="79"/>
              <w:jc w:val="center"/>
              <w:rPr>
                <w:sz w:val="18"/>
              </w:rPr>
            </w:pPr>
            <w:r>
              <w:rPr>
                <w:sz w:val="18"/>
              </w:rPr>
              <w:t>7</w:t>
            </w:r>
          </w:p>
        </w:tc>
        <w:tc>
          <w:tcPr>
            <w:tcW w:w="3080" w:type="dxa"/>
          </w:tcPr>
          <w:p>
            <w:pPr>
              <w:pStyle w:val="TableParagraph"/>
              <w:spacing w:before="18"/>
              <w:ind w:left="60"/>
              <w:rPr>
                <w:sz w:val="18"/>
              </w:rPr>
            </w:pPr>
            <w:r>
              <w:rPr>
                <w:sz w:val="18"/>
              </w:rPr>
              <w:t>急性或亚急性重症肝炎</w:t>
            </w:r>
          </w:p>
        </w:tc>
        <w:tc>
          <w:tcPr>
            <w:tcW w:w="379" w:type="dxa"/>
          </w:tcPr>
          <w:p>
            <w:pPr>
              <w:pStyle w:val="TableParagraph"/>
              <w:spacing w:before="18"/>
              <w:ind w:right="59"/>
              <w:jc w:val="right"/>
              <w:rPr>
                <w:sz w:val="18"/>
              </w:rPr>
            </w:pPr>
            <w:r>
              <w:rPr>
                <w:sz w:val="18"/>
              </w:rPr>
              <w:t>19</w:t>
            </w:r>
          </w:p>
        </w:tc>
        <w:tc>
          <w:tcPr>
            <w:tcW w:w="2090" w:type="dxa"/>
          </w:tcPr>
          <w:p>
            <w:pPr>
              <w:pStyle w:val="TableParagraph"/>
              <w:spacing w:before="18"/>
              <w:ind w:left="58"/>
              <w:rPr>
                <w:sz w:val="18"/>
              </w:rPr>
            </w:pPr>
            <w:r>
              <w:rPr>
                <w:sz w:val="18"/>
              </w:rPr>
              <w:t>严重川崎病</w:t>
            </w:r>
          </w:p>
        </w:tc>
      </w:tr>
      <w:tr>
        <w:trPr>
          <w:trHeight w:val="326" w:hRule="atLeast"/>
        </w:trPr>
        <w:tc>
          <w:tcPr>
            <w:tcW w:w="291" w:type="dxa"/>
          </w:tcPr>
          <w:p>
            <w:pPr>
              <w:pStyle w:val="TableParagraph"/>
              <w:spacing w:before="17"/>
              <w:ind w:left="79"/>
              <w:jc w:val="center"/>
              <w:rPr>
                <w:sz w:val="18"/>
              </w:rPr>
            </w:pPr>
            <w:r>
              <w:rPr>
                <w:sz w:val="18"/>
              </w:rPr>
              <w:t>8</w:t>
            </w:r>
          </w:p>
        </w:tc>
        <w:tc>
          <w:tcPr>
            <w:tcW w:w="3080" w:type="dxa"/>
          </w:tcPr>
          <w:p>
            <w:pPr>
              <w:pStyle w:val="TableParagraph"/>
              <w:spacing w:before="17"/>
              <w:ind w:left="60"/>
              <w:rPr>
                <w:sz w:val="18"/>
              </w:rPr>
            </w:pPr>
            <w:r>
              <w:rPr>
                <w:sz w:val="18"/>
              </w:rPr>
              <w:t>良性脑肿瘤</w:t>
            </w:r>
          </w:p>
        </w:tc>
        <w:tc>
          <w:tcPr>
            <w:tcW w:w="379" w:type="dxa"/>
          </w:tcPr>
          <w:p>
            <w:pPr>
              <w:pStyle w:val="TableParagraph"/>
              <w:spacing w:before="17"/>
              <w:ind w:right="59"/>
              <w:jc w:val="right"/>
              <w:rPr>
                <w:sz w:val="18"/>
              </w:rPr>
            </w:pPr>
            <w:r>
              <w:rPr>
                <w:sz w:val="18"/>
              </w:rPr>
              <w:t>20</w:t>
            </w:r>
          </w:p>
        </w:tc>
        <w:tc>
          <w:tcPr>
            <w:tcW w:w="2090" w:type="dxa"/>
          </w:tcPr>
          <w:p>
            <w:pPr>
              <w:pStyle w:val="TableParagraph"/>
              <w:spacing w:before="17"/>
              <w:ind w:left="58"/>
              <w:rPr>
                <w:sz w:val="18"/>
              </w:rPr>
            </w:pPr>
            <w:r>
              <w:rPr>
                <w:sz w:val="18"/>
              </w:rPr>
              <w:t>严重幼年型类风湿关节炎</w:t>
            </w:r>
          </w:p>
        </w:tc>
      </w:tr>
      <w:tr>
        <w:trPr>
          <w:trHeight w:val="326" w:hRule="atLeast"/>
        </w:trPr>
        <w:tc>
          <w:tcPr>
            <w:tcW w:w="291" w:type="dxa"/>
          </w:tcPr>
          <w:p>
            <w:pPr>
              <w:pStyle w:val="TableParagraph"/>
              <w:spacing w:before="18"/>
              <w:ind w:left="79"/>
              <w:jc w:val="center"/>
              <w:rPr>
                <w:sz w:val="18"/>
              </w:rPr>
            </w:pPr>
            <w:r>
              <w:rPr>
                <w:sz w:val="18"/>
              </w:rPr>
              <w:t>9</w:t>
            </w:r>
          </w:p>
        </w:tc>
        <w:tc>
          <w:tcPr>
            <w:tcW w:w="3080" w:type="dxa"/>
          </w:tcPr>
          <w:p>
            <w:pPr>
              <w:pStyle w:val="TableParagraph"/>
              <w:spacing w:before="18"/>
              <w:ind w:left="60"/>
              <w:rPr>
                <w:sz w:val="18"/>
              </w:rPr>
            </w:pPr>
            <w:r>
              <w:rPr>
                <w:sz w:val="18"/>
              </w:rPr>
              <w:t>慢性肝功能衰竭失代偿期</w:t>
            </w:r>
          </w:p>
        </w:tc>
        <w:tc>
          <w:tcPr>
            <w:tcW w:w="379" w:type="dxa"/>
          </w:tcPr>
          <w:p>
            <w:pPr>
              <w:pStyle w:val="TableParagraph"/>
              <w:spacing w:before="18"/>
              <w:ind w:right="59"/>
              <w:jc w:val="right"/>
              <w:rPr>
                <w:sz w:val="18"/>
              </w:rPr>
            </w:pPr>
            <w:r>
              <w:rPr>
                <w:sz w:val="18"/>
              </w:rPr>
              <w:t>21</w:t>
            </w:r>
          </w:p>
        </w:tc>
        <w:tc>
          <w:tcPr>
            <w:tcW w:w="2090" w:type="dxa"/>
          </w:tcPr>
          <w:p>
            <w:pPr>
              <w:pStyle w:val="TableParagraph"/>
              <w:spacing w:before="18"/>
              <w:ind w:left="58"/>
              <w:rPr>
                <w:sz w:val="18"/>
              </w:rPr>
            </w:pPr>
            <w:r>
              <w:rPr>
                <w:sz w:val="18"/>
              </w:rPr>
              <w:t>脊髓灰质炎</w:t>
            </w:r>
          </w:p>
        </w:tc>
      </w:tr>
      <w:tr>
        <w:trPr>
          <w:trHeight w:val="253" w:hRule="atLeast"/>
        </w:trPr>
        <w:tc>
          <w:tcPr>
            <w:tcW w:w="291" w:type="dxa"/>
          </w:tcPr>
          <w:p>
            <w:pPr>
              <w:pStyle w:val="TableParagraph"/>
              <w:spacing w:line="216" w:lineRule="exact" w:before="17"/>
              <w:ind w:left="30" w:right="40"/>
              <w:jc w:val="center"/>
              <w:rPr>
                <w:sz w:val="18"/>
              </w:rPr>
            </w:pPr>
            <w:r>
              <w:rPr>
                <w:sz w:val="18"/>
              </w:rPr>
              <w:t>10</w:t>
            </w:r>
          </w:p>
        </w:tc>
        <w:tc>
          <w:tcPr>
            <w:tcW w:w="3080" w:type="dxa"/>
          </w:tcPr>
          <w:p>
            <w:pPr>
              <w:pStyle w:val="TableParagraph"/>
              <w:spacing w:line="216" w:lineRule="exact" w:before="17"/>
              <w:ind w:left="60"/>
              <w:rPr>
                <w:sz w:val="18"/>
              </w:rPr>
            </w:pPr>
            <w:r>
              <w:rPr>
                <w:sz w:val="18"/>
              </w:rPr>
              <w:t>脑炎后遗症或脑膜炎后遗症</w:t>
            </w:r>
          </w:p>
        </w:tc>
        <w:tc>
          <w:tcPr>
            <w:tcW w:w="379" w:type="dxa"/>
          </w:tcPr>
          <w:p>
            <w:pPr>
              <w:pStyle w:val="TableParagraph"/>
              <w:spacing w:line="216" w:lineRule="exact" w:before="17"/>
              <w:ind w:right="59"/>
              <w:jc w:val="right"/>
              <w:rPr>
                <w:sz w:val="18"/>
              </w:rPr>
            </w:pPr>
            <w:r>
              <w:rPr>
                <w:sz w:val="18"/>
              </w:rPr>
              <w:t>22</w:t>
            </w:r>
          </w:p>
        </w:tc>
        <w:tc>
          <w:tcPr>
            <w:tcW w:w="2090" w:type="dxa"/>
          </w:tcPr>
          <w:p>
            <w:pPr>
              <w:pStyle w:val="TableParagraph"/>
              <w:spacing w:line="216" w:lineRule="exact" w:before="17"/>
              <w:ind w:left="58"/>
              <w:rPr>
                <w:sz w:val="18"/>
              </w:rPr>
            </w:pPr>
            <w:r>
              <w:rPr>
                <w:sz w:val="18"/>
              </w:rPr>
              <w:t>重度哮喘</w:t>
            </w:r>
          </w:p>
        </w:tc>
      </w:tr>
    </w:tbl>
    <w:p>
      <w:pPr>
        <w:pStyle w:val="BodyText"/>
        <w:rPr>
          <w:sz w:val="20"/>
        </w:rPr>
      </w:pPr>
    </w:p>
    <w:p>
      <w:pPr>
        <w:pStyle w:val="BodyText"/>
        <w:spacing w:before="6"/>
      </w:pPr>
    </w:p>
    <w:p>
      <w:pPr>
        <w:pStyle w:val="BodyText"/>
        <w:spacing w:line="273" w:lineRule="exact"/>
        <w:ind w:left="222"/>
      </w:pPr>
      <w:r>
        <w:rPr/>
        <w:t>以上各种重大疾病须本公司认可的医院专科医生明确诊断，符合以下定义（其中前</w:t>
      </w:r>
    </w:p>
    <w:p>
      <w:pPr>
        <w:pStyle w:val="BodyText"/>
        <w:spacing w:line="237" w:lineRule="auto"/>
        <w:ind w:left="222" w:right="302"/>
        <w:jc w:val="both"/>
      </w:pPr>
      <w:r>
        <w:rPr/>
        <w:t>16</w:t>
      </w:r>
      <w:r>
        <w:rPr>
          <w:spacing w:val="-9"/>
        </w:rPr>
        <w:t> 种重大疾病定义完全采用了中国保险行业协会发布的《重大疾病保险的疾病定义使用规范》中的疾病定义，其他为本公司增加的疾病</w:t>
      </w:r>
      <w:r>
        <w:rPr>
          <w:spacing w:val="-105"/>
        </w:rPr>
        <w:t>）</w:t>
      </w:r>
      <w:r>
        <w:rPr/>
        <w:t>：</w:t>
      </w:r>
    </w:p>
    <w:p>
      <w:pPr>
        <w:spacing w:after="0" w:line="237" w:lineRule="auto"/>
        <w:jc w:val="both"/>
        <w:sectPr>
          <w:type w:val="continuous"/>
          <w:pgSz w:w="11900" w:h="16840"/>
          <w:pgMar w:top="800" w:bottom="280" w:left="800" w:right="600"/>
          <w:cols w:num="2" w:equalWidth="0">
            <w:col w:w="2279" w:space="95"/>
            <w:col w:w="8126"/>
          </w:cols>
        </w:sectPr>
      </w:pPr>
    </w:p>
    <w:p>
      <w:pPr>
        <w:pStyle w:val="BodyText"/>
        <w:rPr>
          <w:rFonts w:ascii="Times New Roman"/>
          <w:sz w:val="20"/>
        </w:rPr>
      </w:pPr>
    </w:p>
    <w:p>
      <w:pPr>
        <w:pStyle w:val="BodyText"/>
        <w:spacing w:before="9"/>
        <w:rPr>
          <w:rFonts w:ascii="Times New Roman"/>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03"/>
        <w:gridCol w:w="7861"/>
      </w:tblGrid>
      <w:tr>
        <w:trPr>
          <w:trHeight w:val="272" w:hRule="atLeast"/>
        </w:trPr>
        <w:tc>
          <w:tcPr>
            <w:tcW w:w="814" w:type="dxa"/>
          </w:tcPr>
          <w:p>
            <w:pPr>
              <w:pStyle w:val="TableParagraph"/>
              <w:spacing w:line="222" w:lineRule="exact"/>
              <w:ind w:left="50"/>
              <w:rPr>
                <w:i/>
                <w:sz w:val="22"/>
              </w:rPr>
            </w:pPr>
            <w:r>
              <w:rPr>
                <w:i/>
                <w:sz w:val="22"/>
              </w:rPr>
              <w:t>3.2.1</w:t>
            </w:r>
          </w:p>
        </w:tc>
        <w:tc>
          <w:tcPr>
            <w:tcW w:w="1503" w:type="dxa"/>
          </w:tcPr>
          <w:p>
            <w:pPr>
              <w:pStyle w:val="TableParagraph"/>
              <w:spacing w:line="222" w:lineRule="exact"/>
              <w:ind w:left="239"/>
              <w:rPr>
                <w:i/>
                <w:sz w:val="22"/>
              </w:rPr>
            </w:pPr>
            <w:r>
              <w:rPr>
                <w:i/>
                <w:w w:val="95"/>
                <w:sz w:val="22"/>
              </w:rPr>
              <w:t>恶性肿瘤</w:t>
            </w:r>
          </w:p>
        </w:tc>
        <w:tc>
          <w:tcPr>
            <w:tcW w:w="7861" w:type="dxa"/>
          </w:tcPr>
          <w:p>
            <w:pPr>
              <w:pStyle w:val="TableParagraph"/>
              <w:spacing w:line="220" w:lineRule="exact"/>
              <w:ind w:left="107"/>
              <w:rPr>
                <w:sz w:val="21"/>
              </w:rPr>
            </w:pPr>
            <w:r>
              <w:rPr>
                <w:spacing w:val="-4"/>
                <w:sz w:val="21"/>
              </w:rPr>
              <w:t>指恶性细胞不受控制的进行性增长和扩散，浸润和破坏周围正常组织，可以经血管、</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0" w:lineRule="exact"/>
              <w:ind w:left="107"/>
              <w:rPr>
                <w:sz w:val="21"/>
              </w:rPr>
            </w:pPr>
            <w:r>
              <w:rPr>
                <w:sz w:val="21"/>
              </w:rPr>
              <w:t>淋巴管和体腔扩散转移到身体其它部位的疾病。经病理学检查结果明确诊断，临床</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pacing w:val="-4"/>
                <w:sz w:val="21"/>
              </w:rPr>
              <w:t>诊断属于世界卫生组织《疾病和有关健康问题的国际统计分类</w:t>
            </w:r>
            <w:r>
              <w:rPr>
                <w:spacing w:val="-128"/>
                <w:sz w:val="21"/>
              </w:rPr>
              <w:t>》</w:t>
            </w:r>
            <w:r>
              <w:rPr>
                <w:spacing w:val="-3"/>
                <w:sz w:val="21"/>
              </w:rPr>
              <w:t>（ICD-10）</w:t>
            </w:r>
            <w:r>
              <w:rPr>
                <w:sz w:val="21"/>
              </w:rPr>
              <w:t>的恶性肿</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瘤范畴。</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下列疾病不在保障范围内：</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（1）原位癌（见 8.15）；</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（2）相当于Binet 分期方案 A 期程度的慢性淋巴细胞白血病；</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（3）相当于Ann Arbor 分期方案 I 期程度的何杰金氏病；</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（4）皮肤癌（不包括恶性黑色素瘤及已发生转移的皮肤癌）；</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（5）TNM 分期为 T1N0M0 期或更轻分期的前列腺癌；</w:t>
            </w:r>
          </w:p>
        </w:tc>
      </w:tr>
      <w:tr>
        <w:trPr>
          <w:trHeight w:val="439"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shd w:fill="E5E5E5" w:color="auto" w:val="clear"/>
              </w:rPr>
              <w:t>（6）感染艾滋病病毒或患艾滋病期间所患恶性肿瘤。</w:t>
            </w:r>
          </w:p>
        </w:tc>
      </w:tr>
      <w:tr>
        <w:trPr>
          <w:trHeight w:val="762" w:hRule="atLeast"/>
        </w:trPr>
        <w:tc>
          <w:tcPr>
            <w:tcW w:w="814" w:type="dxa"/>
          </w:tcPr>
          <w:p>
            <w:pPr>
              <w:pStyle w:val="TableParagraph"/>
              <w:spacing w:before="112"/>
              <w:ind w:left="50"/>
              <w:rPr>
                <w:i/>
                <w:sz w:val="22"/>
              </w:rPr>
            </w:pPr>
            <w:r>
              <w:rPr>
                <w:i/>
                <w:sz w:val="22"/>
              </w:rPr>
              <w:t>3.2.2</w:t>
            </w:r>
          </w:p>
        </w:tc>
        <w:tc>
          <w:tcPr>
            <w:tcW w:w="1503" w:type="dxa"/>
          </w:tcPr>
          <w:p>
            <w:pPr>
              <w:pStyle w:val="TableParagraph"/>
              <w:spacing w:line="259" w:lineRule="auto" w:before="112"/>
              <w:ind w:left="239" w:right="211"/>
              <w:rPr>
                <w:i/>
                <w:sz w:val="22"/>
              </w:rPr>
            </w:pPr>
            <w:r>
              <w:rPr>
                <w:i/>
                <w:w w:val="95"/>
                <w:sz w:val="22"/>
              </w:rPr>
              <w:t>急性心肌梗</w:t>
            </w:r>
            <w:r>
              <w:rPr>
                <w:i/>
                <w:sz w:val="22"/>
              </w:rPr>
              <w:t>塞</w:t>
            </w:r>
          </w:p>
        </w:tc>
        <w:tc>
          <w:tcPr>
            <w:tcW w:w="7861" w:type="dxa"/>
          </w:tcPr>
          <w:p>
            <w:pPr>
              <w:pStyle w:val="TableParagraph"/>
              <w:spacing w:line="273" w:lineRule="auto" w:before="124"/>
              <w:ind w:left="107" w:right="191"/>
              <w:rPr>
                <w:sz w:val="21"/>
              </w:rPr>
            </w:pPr>
            <w:r>
              <w:rPr>
                <w:sz w:val="21"/>
              </w:rPr>
              <w:t>指因冠状动脉阻塞导致的相应区域供血不足造成部分心肌坏死。须满足下列至少三项条件：</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0" w:lineRule="exact"/>
              <w:ind w:left="107"/>
              <w:rPr>
                <w:sz w:val="21"/>
              </w:rPr>
            </w:pPr>
            <w:r>
              <w:rPr>
                <w:sz w:val="21"/>
              </w:rPr>
              <w:t>（1）典型临床表现，例如急性胸痛等；</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（2）新近的心电图改变提示急性心肌梗塞；</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（3）心肌酶或肌钙蛋白有诊断意义的升高，或呈符合急性心肌梗塞的动态性变化；</w:t>
            </w:r>
          </w:p>
        </w:tc>
      </w:tr>
      <w:tr>
        <w:trPr>
          <w:trHeight w:val="42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（4）发病 90 天后，经检查证实左心室功能降低，如左心室射血分数低于 50%。</w:t>
            </w:r>
          </w:p>
        </w:tc>
      </w:tr>
      <w:tr>
        <w:trPr>
          <w:trHeight w:val="745" w:hRule="atLeast"/>
        </w:trPr>
        <w:tc>
          <w:tcPr>
            <w:tcW w:w="814" w:type="dxa"/>
          </w:tcPr>
          <w:p>
            <w:pPr>
              <w:pStyle w:val="TableParagraph"/>
              <w:spacing w:before="95"/>
              <w:ind w:left="50"/>
              <w:rPr>
                <w:i/>
                <w:sz w:val="22"/>
              </w:rPr>
            </w:pPr>
            <w:r>
              <w:rPr>
                <w:i/>
                <w:sz w:val="22"/>
              </w:rPr>
              <w:t>3.2.3</w:t>
            </w:r>
          </w:p>
        </w:tc>
        <w:tc>
          <w:tcPr>
            <w:tcW w:w="1503" w:type="dxa"/>
          </w:tcPr>
          <w:p>
            <w:pPr>
              <w:pStyle w:val="TableParagraph"/>
              <w:spacing w:line="259" w:lineRule="auto" w:before="95"/>
              <w:ind w:left="239" w:right="211"/>
              <w:rPr>
                <w:i/>
                <w:sz w:val="22"/>
              </w:rPr>
            </w:pPr>
            <w:r>
              <w:rPr>
                <w:i/>
                <w:w w:val="95"/>
                <w:sz w:val="22"/>
              </w:rPr>
              <w:t>脑中风后遗</w:t>
            </w:r>
            <w:r>
              <w:rPr>
                <w:i/>
                <w:sz w:val="22"/>
              </w:rPr>
              <w:t>症</w:t>
            </w:r>
          </w:p>
        </w:tc>
        <w:tc>
          <w:tcPr>
            <w:tcW w:w="7861" w:type="dxa"/>
          </w:tcPr>
          <w:p>
            <w:pPr>
              <w:pStyle w:val="TableParagraph"/>
              <w:spacing w:line="273" w:lineRule="auto" w:before="107"/>
              <w:ind w:left="107" w:right="191"/>
              <w:rPr>
                <w:sz w:val="21"/>
              </w:rPr>
            </w:pPr>
            <w:r>
              <w:rPr>
                <w:sz w:val="21"/>
              </w:rPr>
              <w:t>指因脑血管的突发病变引起脑血管出血、栓塞或梗塞，并导致神经系统永久性的功</w:t>
            </w:r>
            <w:r>
              <w:rPr>
                <w:spacing w:val="-3"/>
                <w:sz w:val="21"/>
              </w:rPr>
              <w:t>能障碍。神经系统永久性的功能障碍，指疾病确诊 </w:t>
            </w:r>
            <w:r>
              <w:rPr>
                <w:sz w:val="21"/>
              </w:rPr>
              <w:t>180</w:t>
            </w:r>
            <w:r>
              <w:rPr>
                <w:spacing w:val="-8"/>
                <w:sz w:val="21"/>
              </w:rPr>
              <w:t> 天后，仍遗留下列一种或一</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0" w:lineRule="exact"/>
              <w:ind w:left="107"/>
              <w:rPr>
                <w:sz w:val="21"/>
              </w:rPr>
            </w:pPr>
            <w:r>
              <w:rPr>
                <w:sz w:val="21"/>
              </w:rPr>
              <w:t>种以上障碍：</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（1）</w:t>
            </w:r>
            <w:r>
              <w:rPr>
                <w:spacing w:val="-1"/>
                <w:sz w:val="21"/>
              </w:rPr>
              <w:t>一肢或一肢以上肢体机能完全丧失（</w:t>
            </w:r>
            <w:r>
              <w:rPr>
                <w:spacing w:val="-27"/>
                <w:sz w:val="21"/>
              </w:rPr>
              <w:t>见 </w:t>
            </w:r>
            <w:r>
              <w:rPr>
                <w:spacing w:val="-1"/>
                <w:sz w:val="21"/>
              </w:rPr>
              <w:t>8</w:t>
            </w:r>
            <w:r>
              <w:rPr>
                <w:sz w:val="21"/>
              </w:rPr>
              <w:t>.</w:t>
            </w:r>
            <w:r>
              <w:rPr>
                <w:spacing w:val="-1"/>
                <w:sz w:val="21"/>
              </w:rPr>
              <w:t>1</w:t>
            </w:r>
            <w:r>
              <w:rPr>
                <w:sz w:val="21"/>
              </w:rPr>
              <w:t>6</w:t>
            </w:r>
            <w:r>
              <w:rPr>
                <w:spacing w:val="-105"/>
                <w:sz w:val="21"/>
              </w:rPr>
              <w:t>）</w:t>
            </w:r>
            <w:r>
              <w:rPr>
                <w:sz w:val="21"/>
              </w:rPr>
              <w:t>；</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（2</w:t>
            </w:r>
            <w:r>
              <w:rPr>
                <w:spacing w:val="-1"/>
                <w:sz w:val="21"/>
              </w:rPr>
              <w:t>）</w:t>
            </w:r>
            <w:r>
              <w:rPr>
                <w:sz w:val="21"/>
              </w:rPr>
              <w:t>语言能力或咀嚼吞咽能力完全丧失</w:t>
            </w:r>
            <w:r>
              <w:rPr>
                <w:spacing w:val="-1"/>
                <w:sz w:val="21"/>
              </w:rPr>
              <w:t>（</w:t>
            </w:r>
            <w:r>
              <w:rPr>
                <w:spacing w:val="-27"/>
                <w:sz w:val="21"/>
              </w:rPr>
              <w:t>见 </w:t>
            </w:r>
            <w:r>
              <w:rPr>
                <w:spacing w:val="-1"/>
                <w:sz w:val="21"/>
              </w:rPr>
              <w:t>8</w:t>
            </w:r>
            <w:r>
              <w:rPr>
                <w:sz w:val="21"/>
              </w:rPr>
              <w:t>.</w:t>
            </w:r>
            <w:r>
              <w:rPr>
                <w:spacing w:val="-1"/>
                <w:sz w:val="21"/>
              </w:rPr>
              <w:t>1</w:t>
            </w:r>
            <w:r>
              <w:rPr>
                <w:sz w:val="21"/>
              </w:rPr>
              <w:t>7</w:t>
            </w:r>
            <w:r>
              <w:rPr>
                <w:spacing w:val="-105"/>
                <w:sz w:val="21"/>
              </w:rPr>
              <w:t>）</w:t>
            </w:r>
            <w:r>
              <w:rPr>
                <w:sz w:val="21"/>
              </w:rPr>
              <w:t>；</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（3）自主生活能力完全丧失，无法独立完成六项基本日常生活活动（见 8.18）中</w:t>
            </w:r>
          </w:p>
        </w:tc>
      </w:tr>
      <w:tr>
        <w:trPr>
          <w:trHeight w:val="43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的三项或三项以上。</w:t>
            </w:r>
          </w:p>
        </w:tc>
      </w:tr>
      <w:tr>
        <w:trPr>
          <w:trHeight w:val="1509" w:hRule="atLeast"/>
        </w:trPr>
        <w:tc>
          <w:tcPr>
            <w:tcW w:w="814" w:type="dxa"/>
          </w:tcPr>
          <w:p>
            <w:pPr>
              <w:pStyle w:val="TableParagraph"/>
              <w:spacing w:before="105"/>
              <w:ind w:left="50"/>
              <w:rPr>
                <w:i/>
                <w:sz w:val="22"/>
              </w:rPr>
            </w:pPr>
            <w:r>
              <w:rPr>
                <w:i/>
                <w:sz w:val="22"/>
              </w:rPr>
              <w:t>3.2.4</w:t>
            </w:r>
          </w:p>
        </w:tc>
        <w:tc>
          <w:tcPr>
            <w:tcW w:w="1503" w:type="dxa"/>
          </w:tcPr>
          <w:p>
            <w:pPr>
              <w:pStyle w:val="TableParagraph"/>
              <w:spacing w:line="259" w:lineRule="auto" w:before="105"/>
              <w:ind w:left="239" w:right="211"/>
              <w:jc w:val="both"/>
              <w:rPr>
                <w:i/>
                <w:sz w:val="22"/>
              </w:rPr>
            </w:pPr>
            <w:r>
              <w:rPr>
                <w:i/>
                <w:w w:val="95"/>
                <w:sz w:val="22"/>
              </w:rPr>
              <w:t>重大器官移植术或造血干细胞移植</w:t>
            </w:r>
            <w:r>
              <w:rPr>
                <w:i/>
                <w:sz w:val="22"/>
              </w:rPr>
              <w:t>术</w:t>
            </w:r>
          </w:p>
        </w:tc>
        <w:tc>
          <w:tcPr>
            <w:tcW w:w="7861" w:type="dxa"/>
          </w:tcPr>
          <w:p>
            <w:pPr>
              <w:pStyle w:val="TableParagraph"/>
              <w:spacing w:line="273" w:lineRule="auto" w:before="116"/>
              <w:ind w:left="107" w:right="191"/>
              <w:rPr>
                <w:sz w:val="21"/>
              </w:rPr>
            </w:pPr>
            <w:r>
              <w:rPr>
                <w:sz w:val="21"/>
              </w:rPr>
              <w:t>重大器官移植术，指因相应器官功能衰竭，已经实施了肾脏、肝脏、心脏或肺脏的异体移植手术。</w:t>
            </w:r>
          </w:p>
          <w:p>
            <w:pPr>
              <w:pStyle w:val="TableParagraph"/>
              <w:spacing w:line="273" w:lineRule="auto" w:before="7"/>
              <w:ind w:left="107" w:right="49"/>
              <w:rPr>
                <w:sz w:val="21"/>
              </w:rPr>
            </w:pPr>
            <w:r>
              <w:rPr>
                <w:sz w:val="21"/>
              </w:rPr>
              <w:t>造血干细胞移植术，指因造血功能损害或造血系统恶性肿瘤，已经实施了造血干细</w:t>
            </w:r>
            <w:r>
              <w:rPr>
                <w:spacing w:val="-23"/>
                <w:sz w:val="21"/>
              </w:rPr>
              <w:t>胞</w:t>
            </w:r>
            <w:r>
              <w:rPr>
                <w:sz w:val="21"/>
              </w:rPr>
              <w:t>（</w:t>
            </w:r>
            <w:r>
              <w:rPr>
                <w:spacing w:val="-3"/>
                <w:sz w:val="21"/>
              </w:rPr>
              <w:t>包括骨髓造血干细胞、外周血造血干细胞和脐血造血干细胞</w:t>
            </w:r>
            <w:r>
              <w:rPr>
                <w:spacing w:val="-23"/>
                <w:sz w:val="21"/>
              </w:rPr>
              <w:t>）</w:t>
            </w:r>
            <w:r>
              <w:rPr>
                <w:sz w:val="21"/>
              </w:rPr>
              <w:t>的异体移植手术。</w:t>
            </w:r>
          </w:p>
        </w:tc>
      </w:tr>
      <w:tr>
        <w:trPr>
          <w:trHeight w:val="1481" w:hRule="atLeast"/>
        </w:trPr>
        <w:tc>
          <w:tcPr>
            <w:tcW w:w="814" w:type="dxa"/>
          </w:tcPr>
          <w:p>
            <w:pPr>
              <w:pStyle w:val="TableParagraph"/>
              <w:spacing w:before="114"/>
              <w:ind w:left="50"/>
              <w:rPr>
                <w:i/>
                <w:sz w:val="22"/>
              </w:rPr>
            </w:pPr>
            <w:r>
              <w:rPr>
                <w:i/>
                <w:sz w:val="22"/>
              </w:rPr>
              <w:t>3.2.5</w:t>
            </w:r>
          </w:p>
        </w:tc>
        <w:tc>
          <w:tcPr>
            <w:tcW w:w="1503" w:type="dxa"/>
          </w:tcPr>
          <w:p>
            <w:pPr>
              <w:pStyle w:val="TableParagraph"/>
              <w:spacing w:line="259" w:lineRule="auto" w:before="114"/>
              <w:ind w:left="239" w:right="106"/>
              <w:rPr>
                <w:i/>
                <w:sz w:val="22"/>
              </w:rPr>
            </w:pPr>
            <w:r>
              <w:rPr>
                <w:i/>
                <w:sz w:val="22"/>
              </w:rPr>
              <w:t>冠状动脉搭</w:t>
            </w:r>
            <w:r>
              <w:rPr>
                <w:i/>
                <w:spacing w:val="-53"/>
                <w:w w:val="95"/>
                <w:sz w:val="22"/>
              </w:rPr>
              <w:t>桥术</w:t>
            </w:r>
            <w:r>
              <w:rPr>
                <w:i/>
                <w:w w:val="95"/>
                <w:sz w:val="22"/>
              </w:rPr>
              <w:t>（或称冠</w:t>
            </w:r>
            <w:r>
              <w:rPr>
                <w:i/>
                <w:sz w:val="22"/>
              </w:rPr>
              <w:t>状动脉旁路</w:t>
            </w:r>
            <w:r>
              <w:rPr>
                <w:i/>
                <w:w w:val="95"/>
                <w:sz w:val="22"/>
              </w:rPr>
              <w:t>移植术）</w:t>
            </w:r>
          </w:p>
        </w:tc>
        <w:tc>
          <w:tcPr>
            <w:tcW w:w="7861" w:type="dxa"/>
          </w:tcPr>
          <w:p>
            <w:pPr>
              <w:pStyle w:val="TableParagraph"/>
              <w:spacing w:before="125"/>
              <w:ind w:left="107"/>
              <w:rPr>
                <w:sz w:val="21"/>
              </w:rPr>
            </w:pPr>
            <w:r>
              <w:rPr>
                <w:sz w:val="21"/>
              </w:rPr>
              <w:t>指为治疗严重的冠心病，实际实施了开胸进行的冠状动脉血管旁路移植的手术。</w:t>
            </w:r>
          </w:p>
          <w:p>
            <w:pPr>
              <w:pStyle w:val="TableParagraph"/>
              <w:spacing w:line="273" w:lineRule="auto" w:before="36"/>
              <w:ind w:left="107" w:right="48"/>
              <w:rPr>
                <w:sz w:val="21"/>
              </w:rPr>
            </w:pPr>
            <w:r>
              <w:rPr>
                <w:spacing w:val="-6"/>
                <w:sz w:val="21"/>
                <w:shd w:fill="E5E5E5" w:color="auto" w:val="clear"/>
              </w:rPr>
              <w:t>冠状动脉支架植入术、心导管球囊扩张术、激光射频技术及其它非开胸的介入手术、</w:t>
            </w:r>
            <w:r>
              <w:rPr>
                <w:spacing w:val="-1"/>
                <w:sz w:val="21"/>
                <w:shd w:fill="E5E5E5" w:color="auto" w:val="clear"/>
              </w:rPr>
              <w:t>腔镜手术不在保障范围内。 </w:t>
            </w:r>
          </w:p>
        </w:tc>
      </w:tr>
      <w:tr>
        <w:trPr>
          <w:trHeight w:val="1452" w:hRule="atLeast"/>
        </w:trPr>
        <w:tc>
          <w:tcPr>
            <w:tcW w:w="814" w:type="dxa"/>
          </w:tcPr>
          <w:p>
            <w:pPr>
              <w:pStyle w:val="TableParagraph"/>
              <w:spacing w:before="77"/>
              <w:ind w:left="50"/>
              <w:rPr>
                <w:i/>
                <w:sz w:val="22"/>
              </w:rPr>
            </w:pPr>
            <w:r>
              <w:rPr>
                <w:i/>
                <w:sz w:val="22"/>
              </w:rPr>
              <w:t>3.2.6</w:t>
            </w:r>
          </w:p>
        </w:tc>
        <w:tc>
          <w:tcPr>
            <w:tcW w:w="1503" w:type="dxa"/>
          </w:tcPr>
          <w:p>
            <w:pPr>
              <w:pStyle w:val="TableParagraph"/>
              <w:spacing w:before="77"/>
              <w:ind w:left="239"/>
              <w:rPr>
                <w:i/>
                <w:sz w:val="22"/>
              </w:rPr>
            </w:pPr>
            <w:r>
              <w:rPr>
                <w:i/>
                <w:w w:val="95"/>
                <w:sz w:val="22"/>
              </w:rPr>
              <w:t>终末期肾病</w:t>
            </w:r>
          </w:p>
          <w:p>
            <w:pPr>
              <w:pStyle w:val="TableParagraph"/>
              <w:spacing w:line="259" w:lineRule="auto" w:before="24"/>
              <w:ind w:left="239" w:right="211"/>
              <w:jc w:val="both"/>
              <w:rPr>
                <w:i/>
                <w:sz w:val="22"/>
              </w:rPr>
            </w:pPr>
            <w:r>
              <w:rPr>
                <w:i/>
                <w:w w:val="95"/>
                <w:sz w:val="22"/>
              </w:rPr>
              <w:t>（或称慢性肾功能衰竭尿毒症期）</w:t>
            </w:r>
          </w:p>
        </w:tc>
        <w:tc>
          <w:tcPr>
            <w:tcW w:w="7861" w:type="dxa"/>
          </w:tcPr>
          <w:p>
            <w:pPr>
              <w:pStyle w:val="TableParagraph"/>
              <w:spacing w:line="273" w:lineRule="auto" w:before="89"/>
              <w:ind w:left="107" w:right="153"/>
              <w:rPr>
                <w:sz w:val="21"/>
              </w:rPr>
            </w:pPr>
            <w:r>
              <w:rPr>
                <w:spacing w:val="-7"/>
                <w:sz w:val="21"/>
              </w:rPr>
              <w:t>指双肾功能慢性不可逆性衰竭，达到尿毒症期，经诊断后已经进行了至少 </w:t>
            </w:r>
            <w:r>
              <w:rPr>
                <w:sz w:val="21"/>
              </w:rPr>
              <w:t>90</w:t>
            </w:r>
            <w:r>
              <w:rPr>
                <w:spacing w:val="-17"/>
                <w:sz w:val="21"/>
              </w:rPr>
              <w:t> 天的规</w:t>
            </w:r>
            <w:r>
              <w:rPr>
                <w:spacing w:val="-1"/>
                <w:sz w:val="21"/>
              </w:rPr>
              <w:t>律性透析治疗或实施了肾脏移植手术。</w:t>
            </w:r>
          </w:p>
        </w:tc>
      </w:tr>
      <w:tr>
        <w:trPr>
          <w:trHeight w:val="734" w:hRule="atLeast"/>
        </w:trPr>
        <w:tc>
          <w:tcPr>
            <w:tcW w:w="814" w:type="dxa"/>
          </w:tcPr>
          <w:p>
            <w:pPr>
              <w:pStyle w:val="TableParagraph"/>
              <w:spacing w:before="84"/>
              <w:ind w:left="50"/>
              <w:rPr>
                <w:i/>
                <w:sz w:val="22"/>
              </w:rPr>
            </w:pPr>
            <w:r>
              <w:rPr>
                <w:i/>
                <w:sz w:val="22"/>
              </w:rPr>
              <w:t>3.2.7</w:t>
            </w:r>
          </w:p>
        </w:tc>
        <w:tc>
          <w:tcPr>
            <w:tcW w:w="1503" w:type="dxa"/>
          </w:tcPr>
          <w:p>
            <w:pPr>
              <w:pStyle w:val="TableParagraph"/>
              <w:spacing w:line="259" w:lineRule="auto" w:before="84"/>
              <w:ind w:left="239" w:right="211"/>
              <w:rPr>
                <w:i/>
                <w:sz w:val="22"/>
              </w:rPr>
            </w:pPr>
            <w:r>
              <w:rPr>
                <w:i/>
                <w:w w:val="95"/>
                <w:sz w:val="22"/>
              </w:rPr>
              <w:t>急性或亚急性重症肝炎</w:t>
            </w:r>
          </w:p>
        </w:tc>
        <w:tc>
          <w:tcPr>
            <w:tcW w:w="7861" w:type="dxa"/>
          </w:tcPr>
          <w:p>
            <w:pPr>
              <w:pStyle w:val="TableParagraph"/>
              <w:spacing w:line="273" w:lineRule="auto" w:before="96"/>
              <w:ind w:left="107" w:right="191"/>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0" w:lineRule="exact"/>
              <w:ind w:left="107"/>
              <w:rPr>
                <w:sz w:val="21"/>
              </w:rPr>
            </w:pPr>
            <w:r>
              <w:rPr>
                <w:sz w:val="21"/>
              </w:rPr>
              <w:t>（1）重度黄疸或黄疸迅速加重；</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（2）肝性脑病；</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861" w:type="dxa"/>
          </w:tcPr>
          <w:p>
            <w:pPr>
              <w:pStyle w:val="TableParagraph"/>
              <w:spacing w:line="261" w:lineRule="exact"/>
              <w:ind w:left="107"/>
              <w:rPr>
                <w:sz w:val="21"/>
              </w:rPr>
            </w:pPr>
            <w:r>
              <w:rPr>
                <w:sz w:val="21"/>
              </w:rPr>
              <w:t>（3）B 超或其它影像学检查显示肝脏体积急速萎缩；</w:t>
            </w:r>
          </w:p>
        </w:tc>
      </w:tr>
      <w:tr>
        <w:trPr>
          <w:trHeight w:val="260" w:hRule="atLeast"/>
        </w:trPr>
        <w:tc>
          <w:tcPr>
            <w:tcW w:w="814" w:type="dxa"/>
          </w:tcPr>
          <w:p>
            <w:pPr>
              <w:pStyle w:val="TableParagraph"/>
              <w:rPr>
                <w:rFonts w:ascii="Times New Roman"/>
                <w:sz w:val="18"/>
              </w:rPr>
            </w:pPr>
          </w:p>
        </w:tc>
        <w:tc>
          <w:tcPr>
            <w:tcW w:w="1503" w:type="dxa"/>
          </w:tcPr>
          <w:p>
            <w:pPr>
              <w:pStyle w:val="TableParagraph"/>
              <w:rPr>
                <w:rFonts w:ascii="Times New Roman"/>
                <w:sz w:val="18"/>
              </w:rPr>
            </w:pPr>
          </w:p>
        </w:tc>
        <w:tc>
          <w:tcPr>
            <w:tcW w:w="7861" w:type="dxa"/>
          </w:tcPr>
          <w:p>
            <w:pPr>
              <w:pStyle w:val="TableParagraph"/>
              <w:spacing w:line="241" w:lineRule="exact"/>
              <w:ind w:left="107"/>
              <w:rPr>
                <w:sz w:val="21"/>
              </w:rPr>
            </w:pPr>
            <w:r>
              <w:rPr>
                <w:sz w:val="21"/>
              </w:rPr>
              <w:t>（4）肝功能指标进行性恶化。</w:t>
            </w:r>
          </w:p>
        </w:tc>
      </w:tr>
    </w:tbl>
    <w:p>
      <w:pPr>
        <w:spacing w:after="0" w:line="241" w:lineRule="exact"/>
        <w:rPr>
          <w:sz w:val="21"/>
        </w:rPr>
        <w:sectPr>
          <w:headerReference w:type="default" r:id="rId8"/>
          <w:pgSz w:w="11900" w:h="16840"/>
          <w:pgMar w:header="575" w:footer="0" w:top="800" w:bottom="280" w:left="860" w:right="640"/>
          <w:pgNumType w:start="3"/>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397"/>
        <w:gridCol w:w="7915"/>
      </w:tblGrid>
      <w:tr>
        <w:trPr>
          <w:trHeight w:val="272" w:hRule="atLeast"/>
        </w:trPr>
        <w:tc>
          <w:tcPr>
            <w:tcW w:w="867" w:type="dxa"/>
          </w:tcPr>
          <w:p>
            <w:pPr>
              <w:pStyle w:val="TableParagraph"/>
              <w:spacing w:line="222" w:lineRule="exact"/>
              <w:ind w:left="50"/>
              <w:rPr>
                <w:i/>
                <w:sz w:val="22"/>
              </w:rPr>
            </w:pPr>
            <w:r>
              <w:rPr>
                <w:i/>
                <w:sz w:val="22"/>
              </w:rPr>
              <w:t>3.2.8</w:t>
            </w:r>
          </w:p>
        </w:tc>
        <w:tc>
          <w:tcPr>
            <w:tcW w:w="1397" w:type="dxa"/>
          </w:tcPr>
          <w:p>
            <w:pPr>
              <w:pStyle w:val="TableParagraph"/>
              <w:spacing w:line="222" w:lineRule="exact"/>
              <w:ind w:left="186"/>
              <w:rPr>
                <w:i/>
                <w:sz w:val="22"/>
              </w:rPr>
            </w:pPr>
            <w:r>
              <w:rPr>
                <w:i/>
                <w:w w:val="95"/>
                <w:sz w:val="22"/>
              </w:rPr>
              <w:t>良性脑肿瘤</w:t>
            </w:r>
          </w:p>
        </w:tc>
        <w:tc>
          <w:tcPr>
            <w:tcW w:w="7915" w:type="dxa"/>
          </w:tcPr>
          <w:p>
            <w:pPr>
              <w:pStyle w:val="TableParagraph"/>
              <w:spacing w:line="220" w:lineRule="exact"/>
              <w:ind w:left="160"/>
              <w:rPr>
                <w:sz w:val="21"/>
              </w:rPr>
            </w:pPr>
            <w:r>
              <w:rPr>
                <w:sz w:val="21"/>
              </w:rPr>
              <w:t>指脑的良性肿瘤，已经引起颅内压增高，临床表现为视神经乳头水肿、精神症状、</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pacing w:val="-11"/>
                <w:sz w:val="21"/>
              </w:rPr>
              <w:t>癫痫及运动感觉障碍等，并危及生命。须由头颅断层扫描</w:t>
            </w:r>
            <w:r>
              <w:rPr>
                <w:spacing w:val="-1"/>
                <w:sz w:val="21"/>
              </w:rPr>
              <w:t>（CT</w:t>
            </w:r>
            <w:r>
              <w:rPr>
                <w:spacing w:val="-106"/>
                <w:sz w:val="21"/>
              </w:rPr>
              <w:t>）</w:t>
            </w:r>
            <w:r>
              <w:rPr>
                <w:spacing w:val="-17"/>
                <w:sz w:val="21"/>
              </w:rPr>
              <w:t>、核磁共振检查</w:t>
            </w:r>
            <w:r>
              <w:rPr>
                <w:sz w:val="21"/>
              </w:rPr>
              <w:t>（MRI）</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或正电子发射断层扫描（PET）等影像学检查证实，并须满足下列至少一项条件：</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（1）实际实施了开颅进行的脑肿瘤完全切除或部分切除的手术；</w:t>
            </w:r>
          </w:p>
        </w:tc>
      </w:tr>
      <w:tr>
        <w:trPr>
          <w:trHeight w:val="312"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（2）实际实施了对脑肿瘤进行的放射治疗。</w:t>
            </w:r>
          </w:p>
        </w:tc>
      </w:tr>
      <w:tr>
        <w:trPr>
          <w:trHeight w:val="483"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shd w:fill="E5E5E5" w:color="auto" w:val="clear"/>
              </w:rPr>
              <w:t>脑垂体瘤、脑囊肿、脑血管性疾病不在保障范围内。</w:t>
            </w:r>
          </w:p>
        </w:tc>
      </w:tr>
      <w:tr>
        <w:trPr>
          <w:trHeight w:val="489" w:hRule="atLeast"/>
        </w:trPr>
        <w:tc>
          <w:tcPr>
            <w:tcW w:w="867" w:type="dxa"/>
          </w:tcPr>
          <w:p>
            <w:pPr>
              <w:pStyle w:val="TableParagraph"/>
              <w:spacing w:before="156"/>
              <w:ind w:left="50"/>
              <w:rPr>
                <w:i/>
                <w:sz w:val="22"/>
              </w:rPr>
            </w:pPr>
            <w:r>
              <w:rPr>
                <w:i/>
                <w:sz w:val="22"/>
              </w:rPr>
              <w:t>3.2.9</w:t>
            </w:r>
          </w:p>
        </w:tc>
        <w:tc>
          <w:tcPr>
            <w:tcW w:w="1397" w:type="dxa"/>
          </w:tcPr>
          <w:p>
            <w:pPr>
              <w:pStyle w:val="TableParagraph"/>
              <w:spacing w:before="156"/>
              <w:ind w:left="186"/>
              <w:rPr>
                <w:i/>
                <w:sz w:val="22"/>
              </w:rPr>
            </w:pPr>
            <w:r>
              <w:rPr>
                <w:i/>
                <w:w w:val="95"/>
                <w:sz w:val="22"/>
              </w:rPr>
              <w:t>慢性肝功能</w:t>
            </w:r>
          </w:p>
        </w:tc>
        <w:tc>
          <w:tcPr>
            <w:tcW w:w="7915" w:type="dxa"/>
          </w:tcPr>
          <w:p>
            <w:pPr>
              <w:pStyle w:val="TableParagraph"/>
              <w:spacing w:before="167"/>
              <w:ind w:left="160"/>
              <w:rPr>
                <w:sz w:val="21"/>
              </w:rPr>
            </w:pPr>
            <w:r>
              <w:rPr>
                <w:sz w:val="21"/>
              </w:rPr>
              <w:t>指因慢性肝脏疾病导致肝功能衰竭,须满足下列全部条件：</w:t>
            </w:r>
          </w:p>
        </w:tc>
      </w:tr>
      <w:tr>
        <w:trPr>
          <w:trHeight w:val="311" w:hRule="atLeast"/>
        </w:trPr>
        <w:tc>
          <w:tcPr>
            <w:tcW w:w="867" w:type="dxa"/>
          </w:tcPr>
          <w:p>
            <w:pPr>
              <w:pStyle w:val="TableParagraph"/>
              <w:rPr>
                <w:rFonts w:ascii="Times New Roman"/>
                <w:sz w:val="20"/>
              </w:rPr>
            </w:pPr>
          </w:p>
        </w:tc>
        <w:tc>
          <w:tcPr>
            <w:tcW w:w="1397" w:type="dxa"/>
          </w:tcPr>
          <w:p>
            <w:pPr>
              <w:pStyle w:val="TableParagraph"/>
              <w:spacing w:line="267" w:lineRule="exact"/>
              <w:ind w:left="186"/>
              <w:rPr>
                <w:i/>
                <w:sz w:val="22"/>
              </w:rPr>
            </w:pPr>
            <w:r>
              <w:rPr>
                <w:i/>
                <w:w w:val="95"/>
                <w:sz w:val="22"/>
              </w:rPr>
              <w:t>衰竭失代偿</w:t>
            </w:r>
          </w:p>
        </w:tc>
        <w:tc>
          <w:tcPr>
            <w:tcW w:w="7915" w:type="dxa"/>
          </w:tcPr>
          <w:p>
            <w:pPr>
              <w:pStyle w:val="TableParagraph"/>
              <w:spacing w:line="265" w:lineRule="exact"/>
              <w:ind w:left="160"/>
              <w:rPr>
                <w:sz w:val="21"/>
              </w:rPr>
            </w:pPr>
            <w:r>
              <w:rPr>
                <w:sz w:val="21"/>
              </w:rPr>
              <w:t>（1）持续性黄疸；</w:t>
            </w:r>
          </w:p>
        </w:tc>
      </w:tr>
      <w:tr>
        <w:trPr>
          <w:trHeight w:val="316" w:hRule="atLeast"/>
        </w:trPr>
        <w:tc>
          <w:tcPr>
            <w:tcW w:w="867" w:type="dxa"/>
          </w:tcPr>
          <w:p>
            <w:pPr>
              <w:pStyle w:val="TableParagraph"/>
              <w:rPr>
                <w:rFonts w:ascii="Times New Roman"/>
                <w:sz w:val="20"/>
              </w:rPr>
            </w:pPr>
          </w:p>
        </w:tc>
        <w:tc>
          <w:tcPr>
            <w:tcW w:w="1397" w:type="dxa"/>
          </w:tcPr>
          <w:p>
            <w:pPr>
              <w:pStyle w:val="TableParagraph"/>
              <w:spacing w:line="266" w:lineRule="exact"/>
              <w:ind w:left="186"/>
              <w:rPr>
                <w:i/>
                <w:sz w:val="22"/>
              </w:rPr>
            </w:pPr>
            <w:r>
              <w:rPr>
                <w:i/>
                <w:w w:val="95"/>
                <w:sz w:val="22"/>
              </w:rPr>
              <w:t>期</w:t>
            </w:r>
          </w:p>
        </w:tc>
        <w:tc>
          <w:tcPr>
            <w:tcW w:w="7915" w:type="dxa"/>
          </w:tcPr>
          <w:p>
            <w:pPr>
              <w:pStyle w:val="TableParagraph"/>
              <w:spacing w:line="265" w:lineRule="exact"/>
              <w:ind w:left="160"/>
              <w:rPr>
                <w:sz w:val="21"/>
              </w:rPr>
            </w:pPr>
            <w:r>
              <w:rPr>
                <w:sz w:val="21"/>
              </w:rPr>
              <w:t>（2）腹水；</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z w:val="21"/>
              </w:rPr>
              <w:t>（3）肝性脑病；</w:t>
            </w:r>
          </w:p>
        </w:tc>
      </w:tr>
      <w:tr>
        <w:trPr>
          <w:trHeight w:val="312"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（4）充血性脾肿大伴脾功能亢进或食管胃底静脉曲张。</w:t>
            </w:r>
          </w:p>
        </w:tc>
      </w:tr>
      <w:tr>
        <w:trPr>
          <w:trHeight w:val="460"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shd w:fill="E5E5E5" w:color="auto" w:val="clear"/>
              </w:rPr>
              <w:t>因酗酒或药物滥用导致的肝功能衰竭不在保障范围内。 </w:t>
            </w:r>
          </w:p>
        </w:tc>
      </w:tr>
      <w:tr>
        <w:trPr>
          <w:trHeight w:val="466" w:hRule="atLeast"/>
        </w:trPr>
        <w:tc>
          <w:tcPr>
            <w:tcW w:w="867" w:type="dxa"/>
          </w:tcPr>
          <w:p>
            <w:pPr>
              <w:pStyle w:val="TableParagraph"/>
              <w:spacing w:before="133"/>
              <w:ind w:left="50"/>
              <w:rPr>
                <w:i/>
                <w:sz w:val="22"/>
              </w:rPr>
            </w:pPr>
            <w:r>
              <w:rPr>
                <w:i/>
                <w:sz w:val="22"/>
              </w:rPr>
              <w:t>3.2.10</w:t>
            </w:r>
          </w:p>
        </w:tc>
        <w:tc>
          <w:tcPr>
            <w:tcW w:w="1397" w:type="dxa"/>
          </w:tcPr>
          <w:p>
            <w:pPr>
              <w:pStyle w:val="TableParagraph"/>
              <w:spacing w:before="133"/>
              <w:ind w:left="186"/>
              <w:rPr>
                <w:i/>
                <w:sz w:val="22"/>
              </w:rPr>
            </w:pPr>
            <w:r>
              <w:rPr>
                <w:i/>
                <w:w w:val="95"/>
                <w:sz w:val="22"/>
              </w:rPr>
              <w:t>脑炎后遗症</w:t>
            </w:r>
          </w:p>
        </w:tc>
        <w:tc>
          <w:tcPr>
            <w:tcW w:w="7915" w:type="dxa"/>
          </w:tcPr>
          <w:p>
            <w:pPr>
              <w:pStyle w:val="TableParagraph"/>
              <w:spacing w:before="145"/>
              <w:ind w:left="160"/>
              <w:rPr>
                <w:sz w:val="21"/>
              </w:rPr>
            </w:pPr>
            <w:r>
              <w:rPr>
                <w:sz w:val="21"/>
              </w:rPr>
              <w:t>指因患脑炎或脑膜炎导致的神经系统永久性的功能障碍。神经系统永久性的功能障</w:t>
            </w:r>
          </w:p>
        </w:tc>
      </w:tr>
      <w:tr>
        <w:trPr>
          <w:trHeight w:val="311" w:hRule="atLeast"/>
        </w:trPr>
        <w:tc>
          <w:tcPr>
            <w:tcW w:w="867" w:type="dxa"/>
          </w:tcPr>
          <w:p>
            <w:pPr>
              <w:pStyle w:val="TableParagraph"/>
              <w:rPr>
                <w:rFonts w:ascii="Times New Roman"/>
                <w:sz w:val="20"/>
              </w:rPr>
            </w:pPr>
          </w:p>
        </w:tc>
        <w:tc>
          <w:tcPr>
            <w:tcW w:w="1397" w:type="dxa"/>
          </w:tcPr>
          <w:p>
            <w:pPr>
              <w:pStyle w:val="TableParagraph"/>
              <w:spacing w:line="267" w:lineRule="exact"/>
              <w:ind w:left="186"/>
              <w:rPr>
                <w:i/>
                <w:sz w:val="22"/>
              </w:rPr>
            </w:pPr>
            <w:r>
              <w:rPr>
                <w:i/>
                <w:w w:val="95"/>
                <w:sz w:val="22"/>
              </w:rPr>
              <w:t>或脑膜炎后</w:t>
            </w:r>
          </w:p>
        </w:tc>
        <w:tc>
          <w:tcPr>
            <w:tcW w:w="7915" w:type="dxa"/>
          </w:tcPr>
          <w:p>
            <w:pPr>
              <w:pStyle w:val="TableParagraph"/>
              <w:spacing w:line="265" w:lineRule="exact"/>
              <w:ind w:left="160"/>
              <w:rPr>
                <w:sz w:val="21"/>
              </w:rPr>
            </w:pPr>
            <w:r>
              <w:rPr>
                <w:sz w:val="21"/>
              </w:rPr>
              <w:t>碍，指疾病确诊 180 天后，仍遗留下列一种或一种以上障碍：</w:t>
            </w:r>
          </w:p>
        </w:tc>
      </w:tr>
      <w:tr>
        <w:trPr>
          <w:trHeight w:val="317" w:hRule="atLeast"/>
        </w:trPr>
        <w:tc>
          <w:tcPr>
            <w:tcW w:w="867" w:type="dxa"/>
          </w:tcPr>
          <w:p>
            <w:pPr>
              <w:pStyle w:val="TableParagraph"/>
              <w:rPr>
                <w:rFonts w:ascii="Times New Roman"/>
                <w:sz w:val="20"/>
              </w:rPr>
            </w:pPr>
          </w:p>
        </w:tc>
        <w:tc>
          <w:tcPr>
            <w:tcW w:w="1397" w:type="dxa"/>
          </w:tcPr>
          <w:p>
            <w:pPr>
              <w:pStyle w:val="TableParagraph"/>
              <w:spacing w:line="267" w:lineRule="exact"/>
              <w:ind w:left="186"/>
              <w:rPr>
                <w:i/>
                <w:sz w:val="22"/>
              </w:rPr>
            </w:pPr>
            <w:r>
              <w:rPr>
                <w:i/>
                <w:w w:val="95"/>
                <w:sz w:val="22"/>
              </w:rPr>
              <w:t>遗症</w:t>
            </w:r>
          </w:p>
        </w:tc>
        <w:tc>
          <w:tcPr>
            <w:tcW w:w="7915" w:type="dxa"/>
          </w:tcPr>
          <w:p>
            <w:pPr>
              <w:pStyle w:val="TableParagraph"/>
              <w:spacing w:line="265" w:lineRule="exact"/>
              <w:ind w:left="160"/>
              <w:rPr>
                <w:sz w:val="21"/>
              </w:rPr>
            </w:pPr>
            <w:r>
              <w:rPr>
                <w:sz w:val="21"/>
              </w:rPr>
              <w:t>（1）一肢或一肢以上肢体机能完全丧失；</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z w:val="21"/>
              </w:rPr>
              <w:t>（2）语言能力或咀嚼吞咽能力完全丧失；</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（3）自主生活能力完全丧失，无法独立完成六项基本日常生活活动中的三项或三项</w:t>
            </w:r>
          </w:p>
        </w:tc>
      </w:tr>
      <w:tr>
        <w:trPr>
          <w:trHeight w:val="445"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以上。</w:t>
            </w:r>
          </w:p>
        </w:tc>
      </w:tr>
      <w:tr>
        <w:trPr>
          <w:trHeight w:val="456" w:hRule="atLeast"/>
        </w:trPr>
        <w:tc>
          <w:tcPr>
            <w:tcW w:w="867" w:type="dxa"/>
          </w:tcPr>
          <w:p>
            <w:pPr>
              <w:pStyle w:val="TableParagraph"/>
              <w:spacing w:before="118"/>
              <w:ind w:left="50"/>
              <w:rPr>
                <w:i/>
                <w:sz w:val="22"/>
              </w:rPr>
            </w:pPr>
            <w:r>
              <w:rPr>
                <w:i/>
                <w:sz w:val="22"/>
              </w:rPr>
              <w:t>3.2.11</w:t>
            </w:r>
          </w:p>
        </w:tc>
        <w:tc>
          <w:tcPr>
            <w:tcW w:w="1397" w:type="dxa"/>
          </w:tcPr>
          <w:p>
            <w:pPr>
              <w:pStyle w:val="TableParagraph"/>
              <w:spacing w:before="118"/>
              <w:ind w:left="186"/>
              <w:rPr>
                <w:i/>
                <w:sz w:val="22"/>
              </w:rPr>
            </w:pPr>
            <w:r>
              <w:rPr>
                <w:i/>
                <w:w w:val="95"/>
                <w:sz w:val="22"/>
              </w:rPr>
              <w:t>深度昏迷</w:t>
            </w:r>
          </w:p>
        </w:tc>
        <w:tc>
          <w:tcPr>
            <w:tcW w:w="7915" w:type="dxa"/>
          </w:tcPr>
          <w:p>
            <w:pPr>
              <w:pStyle w:val="TableParagraph"/>
              <w:spacing w:before="130"/>
              <w:ind w:left="160"/>
              <w:rPr>
                <w:sz w:val="21"/>
              </w:rPr>
            </w:pPr>
            <w:r>
              <w:rPr>
                <w:sz w:val="21"/>
              </w:rPr>
              <w:t>指因疾病或意外伤害导致意识丧失,对外界刺激和体内需求均无反应,昏迷程度按照</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z w:val="21"/>
              </w:rPr>
              <w:t>格拉斯哥昏迷分级（Glasgow coma scale）</w:t>
            </w:r>
            <w:r>
              <w:rPr>
                <w:spacing w:val="-14"/>
                <w:sz w:val="21"/>
              </w:rPr>
              <w:t>结果为 </w:t>
            </w:r>
            <w:r>
              <w:rPr>
                <w:sz w:val="21"/>
              </w:rPr>
              <w:t>5</w:t>
            </w:r>
            <w:r>
              <w:rPr>
                <w:spacing w:val="-29"/>
                <w:sz w:val="21"/>
              </w:rPr>
              <w:t> 分或 </w:t>
            </w:r>
            <w:r>
              <w:rPr>
                <w:sz w:val="21"/>
              </w:rPr>
              <w:t>5</w:t>
            </w:r>
            <w:r>
              <w:rPr>
                <w:spacing w:val="-8"/>
                <w:sz w:val="21"/>
              </w:rPr>
              <w:t> 分以下，且已经持续使</w:t>
            </w:r>
          </w:p>
        </w:tc>
      </w:tr>
      <w:tr>
        <w:trPr>
          <w:trHeight w:val="312"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用呼吸机及其它生命维持系统 96 小时以上。</w:t>
            </w:r>
          </w:p>
        </w:tc>
      </w:tr>
      <w:tr>
        <w:trPr>
          <w:trHeight w:val="465"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shd w:fill="E5E5E5" w:color="auto" w:val="clear"/>
              </w:rPr>
              <w:t>因酗酒或药物滥用导致的深度昏迷不在保障范围内。</w:t>
            </w:r>
          </w:p>
        </w:tc>
      </w:tr>
      <w:tr>
        <w:trPr>
          <w:trHeight w:val="476" w:hRule="atLeast"/>
        </w:trPr>
        <w:tc>
          <w:tcPr>
            <w:tcW w:w="867" w:type="dxa"/>
          </w:tcPr>
          <w:p>
            <w:pPr>
              <w:pStyle w:val="TableParagraph"/>
              <w:spacing w:before="138"/>
              <w:ind w:left="50"/>
              <w:rPr>
                <w:i/>
                <w:sz w:val="22"/>
              </w:rPr>
            </w:pPr>
            <w:r>
              <w:rPr>
                <w:i/>
                <w:sz w:val="22"/>
              </w:rPr>
              <w:t>3.2.12</w:t>
            </w:r>
          </w:p>
        </w:tc>
        <w:tc>
          <w:tcPr>
            <w:tcW w:w="1397" w:type="dxa"/>
          </w:tcPr>
          <w:p>
            <w:pPr>
              <w:pStyle w:val="TableParagraph"/>
              <w:spacing w:before="138"/>
              <w:ind w:left="186"/>
              <w:rPr>
                <w:i/>
                <w:sz w:val="22"/>
              </w:rPr>
            </w:pPr>
            <w:r>
              <w:rPr>
                <w:i/>
                <w:w w:val="95"/>
                <w:sz w:val="22"/>
              </w:rPr>
              <w:t>瘫痪</w:t>
            </w:r>
          </w:p>
        </w:tc>
        <w:tc>
          <w:tcPr>
            <w:tcW w:w="7915" w:type="dxa"/>
          </w:tcPr>
          <w:p>
            <w:pPr>
              <w:pStyle w:val="TableParagraph"/>
              <w:spacing w:before="149"/>
              <w:ind w:left="160"/>
              <w:rPr>
                <w:sz w:val="21"/>
              </w:rPr>
            </w:pPr>
            <w:r>
              <w:rPr>
                <w:sz w:val="21"/>
              </w:rPr>
              <w:t>指因疾病或意外伤害导致两肢或两肢以上肢体机能永久完全丧失。肢体机能永久完</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pacing w:val="-6"/>
                <w:sz w:val="21"/>
              </w:rPr>
              <w:t>全丧失，指疾病确诊 </w:t>
            </w:r>
            <w:r>
              <w:rPr>
                <w:sz w:val="21"/>
              </w:rPr>
              <w:t>180</w:t>
            </w:r>
            <w:r>
              <w:rPr>
                <w:spacing w:val="-13"/>
                <w:sz w:val="21"/>
              </w:rPr>
              <w:t> 天后或意外伤害发生 </w:t>
            </w:r>
            <w:r>
              <w:rPr>
                <w:sz w:val="21"/>
              </w:rPr>
              <w:t>180</w:t>
            </w:r>
            <w:r>
              <w:rPr>
                <w:spacing w:val="-8"/>
                <w:sz w:val="21"/>
              </w:rPr>
              <w:t> 天后，每肢三大关节中的两大关</w:t>
            </w:r>
          </w:p>
        </w:tc>
      </w:tr>
      <w:tr>
        <w:trPr>
          <w:trHeight w:val="410"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1" w:lineRule="exact"/>
              <w:ind w:left="160"/>
              <w:rPr>
                <w:sz w:val="21"/>
              </w:rPr>
            </w:pPr>
            <w:r>
              <w:rPr>
                <w:sz w:val="21"/>
              </w:rPr>
              <w:t>节仍然完全僵硬，或不能随意识活动。</w:t>
            </w:r>
          </w:p>
        </w:tc>
      </w:tr>
      <w:tr>
        <w:trPr>
          <w:trHeight w:val="416" w:hRule="atLeast"/>
        </w:trPr>
        <w:tc>
          <w:tcPr>
            <w:tcW w:w="867" w:type="dxa"/>
          </w:tcPr>
          <w:p>
            <w:pPr>
              <w:pStyle w:val="TableParagraph"/>
              <w:spacing w:before="83"/>
              <w:ind w:left="50"/>
              <w:rPr>
                <w:i/>
                <w:sz w:val="22"/>
              </w:rPr>
            </w:pPr>
            <w:r>
              <w:rPr>
                <w:i/>
                <w:sz w:val="22"/>
              </w:rPr>
              <w:t>3.2.13</w:t>
            </w:r>
          </w:p>
        </w:tc>
        <w:tc>
          <w:tcPr>
            <w:tcW w:w="1397" w:type="dxa"/>
          </w:tcPr>
          <w:p>
            <w:pPr>
              <w:pStyle w:val="TableParagraph"/>
              <w:spacing w:before="83"/>
              <w:ind w:left="186"/>
              <w:rPr>
                <w:i/>
                <w:sz w:val="22"/>
              </w:rPr>
            </w:pPr>
            <w:r>
              <w:rPr>
                <w:i/>
                <w:w w:val="95"/>
                <w:sz w:val="22"/>
              </w:rPr>
              <w:t>心脏瓣膜手</w:t>
            </w:r>
          </w:p>
        </w:tc>
        <w:tc>
          <w:tcPr>
            <w:tcW w:w="7915" w:type="dxa"/>
          </w:tcPr>
          <w:p>
            <w:pPr>
              <w:pStyle w:val="TableParagraph"/>
              <w:spacing w:before="95"/>
              <w:ind w:left="160"/>
              <w:rPr>
                <w:sz w:val="21"/>
              </w:rPr>
            </w:pPr>
            <w:r>
              <w:rPr>
                <w:sz w:val="21"/>
              </w:rPr>
              <w:t>指为治疗心脏瓣膜疾病，实际实施了开胸进行的心脏瓣膜置换或修复的手术。</w:t>
            </w:r>
          </w:p>
        </w:tc>
      </w:tr>
      <w:tr>
        <w:trPr>
          <w:trHeight w:val="431" w:hRule="atLeast"/>
        </w:trPr>
        <w:tc>
          <w:tcPr>
            <w:tcW w:w="867" w:type="dxa"/>
          </w:tcPr>
          <w:p>
            <w:pPr>
              <w:pStyle w:val="TableParagraph"/>
              <w:rPr>
                <w:rFonts w:ascii="Times New Roman"/>
                <w:sz w:val="20"/>
              </w:rPr>
            </w:pPr>
          </w:p>
        </w:tc>
        <w:tc>
          <w:tcPr>
            <w:tcW w:w="1397" w:type="dxa"/>
          </w:tcPr>
          <w:p>
            <w:pPr>
              <w:pStyle w:val="TableParagraph"/>
              <w:spacing w:line="267" w:lineRule="exact"/>
              <w:ind w:left="186"/>
              <w:rPr>
                <w:i/>
                <w:sz w:val="22"/>
              </w:rPr>
            </w:pPr>
            <w:r>
              <w:rPr>
                <w:i/>
                <w:w w:val="95"/>
                <w:sz w:val="22"/>
              </w:rPr>
              <w:t>术</w:t>
            </w:r>
          </w:p>
        </w:tc>
        <w:tc>
          <w:tcPr>
            <w:tcW w:w="7915" w:type="dxa"/>
          </w:tcPr>
          <w:p>
            <w:pPr>
              <w:pStyle w:val="TableParagraph"/>
              <w:rPr>
                <w:rFonts w:ascii="Times New Roman"/>
                <w:sz w:val="20"/>
              </w:rPr>
            </w:pPr>
          </w:p>
        </w:tc>
      </w:tr>
      <w:tr>
        <w:trPr>
          <w:trHeight w:val="396" w:hRule="atLeast"/>
        </w:trPr>
        <w:tc>
          <w:tcPr>
            <w:tcW w:w="867" w:type="dxa"/>
          </w:tcPr>
          <w:p>
            <w:pPr>
              <w:pStyle w:val="TableParagraph"/>
              <w:spacing w:line="268" w:lineRule="exact" w:before="108"/>
              <w:ind w:left="50"/>
              <w:rPr>
                <w:i/>
                <w:sz w:val="22"/>
              </w:rPr>
            </w:pPr>
            <w:r>
              <w:rPr>
                <w:i/>
                <w:sz w:val="22"/>
              </w:rPr>
              <w:t>3.2.14</w:t>
            </w:r>
          </w:p>
        </w:tc>
        <w:tc>
          <w:tcPr>
            <w:tcW w:w="1397" w:type="dxa"/>
          </w:tcPr>
          <w:p>
            <w:pPr>
              <w:pStyle w:val="TableParagraph"/>
              <w:spacing w:line="268" w:lineRule="exact" w:before="108"/>
              <w:ind w:left="186"/>
              <w:rPr>
                <w:i/>
                <w:sz w:val="22"/>
              </w:rPr>
            </w:pPr>
            <w:r>
              <w:rPr>
                <w:i/>
                <w:w w:val="95"/>
                <w:sz w:val="22"/>
              </w:rPr>
              <w:t>严重运动神</w:t>
            </w:r>
          </w:p>
        </w:tc>
        <w:tc>
          <w:tcPr>
            <w:tcW w:w="7915" w:type="dxa"/>
          </w:tcPr>
          <w:p>
            <w:pPr>
              <w:pStyle w:val="TableParagraph"/>
              <w:spacing w:before="100"/>
              <w:ind w:left="160"/>
              <w:rPr>
                <w:sz w:val="21"/>
              </w:rPr>
            </w:pPr>
            <w:r>
              <w:rPr>
                <w:sz w:val="21"/>
              </w:rPr>
              <w:t>是一组中枢神经系统运动神经元的进行性变性疾病，包括进行性脊肌萎缩症、进行</w:t>
            </w:r>
          </w:p>
        </w:tc>
      </w:tr>
      <w:tr>
        <w:trPr>
          <w:trHeight w:val="729" w:hRule="atLeast"/>
        </w:trPr>
        <w:tc>
          <w:tcPr>
            <w:tcW w:w="867" w:type="dxa"/>
          </w:tcPr>
          <w:p>
            <w:pPr>
              <w:pStyle w:val="TableParagraph"/>
              <w:rPr>
                <w:rFonts w:ascii="Times New Roman"/>
                <w:sz w:val="20"/>
              </w:rPr>
            </w:pPr>
          </w:p>
        </w:tc>
        <w:tc>
          <w:tcPr>
            <w:tcW w:w="1397" w:type="dxa"/>
          </w:tcPr>
          <w:p>
            <w:pPr>
              <w:pStyle w:val="TableParagraph"/>
              <w:spacing w:before="24"/>
              <w:ind w:left="186"/>
              <w:rPr>
                <w:i/>
                <w:sz w:val="22"/>
              </w:rPr>
            </w:pPr>
            <w:r>
              <w:rPr>
                <w:i/>
                <w:w w:val="95"/>
                <w:sz w:val="22"/>
              </w:rPr>
              <w:t>经元病</w:t>
            </w:r>
          </w:p>
        </w:tc>
        <w:tc>
          <w:tcPr>
            <w:tcW w:w="7915" w:type="dxa"/>
          </w:tcPr>
          <w:p>
            <w:pPr>
              <w:pStyle w:val="TableParagraph"/>
              <w:spacing w:line="272" w:lineRule="exact" w:before="3"/>
              <w:ind w:left="160" w:right="155"/>
              <w:rPr>
                <w:sz w:val="21"/>
              </w:rPr>
            </w:pPr>
            <w:r>
              <w:rPr>
                <w:sz w:val="21"/>
              </w:rPr>
              <w:t>性延髓麻痹症、原发性侧索硬化症、肌萎缩性侧索硬化症。须满足自主生活能力完全丧失，无法独立完成六项基本日常生活活动中的三项或三项以上的条件。</w:t>
            </w:r>
          </w:p>
        </w:tc>
      </w:tr>
      <w:tr>
        <w:trPr>
          <w:trHeight w:val="474" w:hRule="atLeast"/>
        </w:trPr>
        <w:tc>
          <w:tcPr>
            <w:tcW w:w="867" w:type="dxa"/>
          </w:tcPr>
          <w:p>
            <w:pPr>
              <w:pStyle w:val="TableParagraph"/>
              <w:spacing w:before="141"/>
              <w:ind w:left="50"/>
              <w:rPr>
                <w:i/>
                <w:sz w:val="22"/>
              </w:rPr>
            </w:pPr>
            <w:r>
              <w:rPr>
                <w:i/>
                <w:sz w:val="22"/>
              </w:rPr>
              <w:t>3.2.15</w:t>
            </w:r>
          </w:p>
        </w:tc>
        <w:tc>
          <w:tcPr>
            <w:tcW w:w="1397" w:type="dxa"/>
          </w:tcPr>
          <w:p>
            <w:pPr>
              <w:pStyle w:val="TableParagraph"/>
              <w:spacing w:before="141"/>
              <w:ind w:left="186"/>
              <w:rPr>
                <w:i/>
                <w:sz w:val="22"/>
              </w:rPr>
            </w:pPr>
            <w:r>
              <w:rPr>
                <w:i/>
                <w:w w:val="95"/>
                <w:sz w:val="22"/>
              </w:rPr>
              <w:t>重型再生障</w:t>
            </w:r>
          </w:p>
        </w:tc>
        <w:tc>
          <w:tcPr>
            <w:tcW w:w="7915" w:type="dxa"/>
          </w:tcPr>
          <w:p>
            <w:pPr>
              <w:pStyle w:val="TableParagraph"/>
              <w:spacing w:before="152"/>
              <w:ind w:left="160"/>
              <w:rPr>
                <w:sz w:val="21"/>
              </w:rPr>
            </w:pPr>
            <w:r>
              <w:rPr>
                <w:sz w:val="21"/>
              </w:rPr>
              <w:t>指因骨髓造血功能慢性持续性衰竭导致的贫血、中性粒细胞减少及血小板减少。</w:t>
            </w:r>
          </w:p>
        </w:tc>
      </w:tr>
      <w:tr>
        <w:trPr>
          <w:trHeight w:val="317" w:hRule="atLeast"/>
        </w:trPr>
        <w:tc>
          <w:tcPr>
            <w:tcW w:w="867" w:type="dxa"/>
          </w:tcPr>
          <w:p>
            <w:pPr>
              <w:pStyle w:val="TableParagraph"/>
              <w:rPr>
                <w:rFonts w:ascii="Times New Roman"/>
                <w:sz w:val="20"/>
              </w:rPr>
            </w:pPr>
          </w:p>
        </w:tc>
        <w:tc>
          <w:tcPr>
            <w:tcW w:w="1397" w:type="dxa"/>
          </w:tcPr>
          <w:p>
            <w:pPr>
              <w:pStyle w:val="TableParagraph"/>
              <w:spacing w:line="267" w:lineRule="exact"/>
              <w:ind w:left="186"/>
              <w:rPr>
                <w:i/>
                <w:sz w:val="22"/>
              </w:rPr>
            </w:pPr>
            <w:r>
              <w:rPr>
                <w:i/>
                <w:w w:val="95"/>
                <w:sz w:val="22"/>
              </w:rPr>
              <w:t>碍性贫血</w:t>
            </w:r>
          </w:p>
        </w:tc>
        <w:tc>
          <w:tcPr>
            <w:tcW w:w="7915" w:type="dxa"/>
          </w:tcPr>
          <w:p>
            <w:pPr>
              <w:pStyle w:val="TableParagraph"/>
              <w:spacing w:line="265" w:lineRule="exact"/>
              <w:ind w:left="160"/>
              <w:rPr>
                <w:sz w:val="21"/>
              </w:rPr>
            </w:pPr>
            <w:r>
              <w:rPr>
                <w:sz w:val="21"/>
              </w:rPr>
              <w:t>须满足下列全部条件：</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60" w:lineRule="exact"/>
              <w:ind w:left="160"/>
              <w:rPr>
                <w:sz w:val="21"/>
              </w:rPr>
            </w:pPr>
            <w:r>
              <w:rPr>
                <w:sz w:val="21"/>
              </w:rPr>
              <w:t>（1）骨髓穿刺检查或骨髓活检结果支持诊断；</w:t>
            </w:r>
          </w:p>
        </w:tc>
      </w:tr>
      <w:tr>
        <w:trPr>
          <w:trHeight w:val="260" w:hRule="atLeast"/>
        </w:trPr>
        <w:tc>
          <w:tcPr>
            <w:tcW w:w="867" w:type="dxa"/>
          </w:tcPr>
          <w:p>
            <w:pPr>
              <w:pStyle w:val="TableParagraph"/>
              <w:rPr>
                <w:rFonts w:ascii="Times New Roman"/>
                <w:sz w:val="18"/>
              </w:rPr>
            </w:pPr>
          </w:p>
        </w:tc>
        <w:tc>
          <w:tcPr>
            <w:tcW w:w="1397" w:type="dxa"/>
          </w:tcPr>
          <w:p>
            <w:pPr>
              <w:pStyle w:val="TableParagraph"/>
              <w:rPr>
                <w:rFonts w:ascii="Times New Roman"/>
                <w:sz w:val="18"/>
              </w:rPr>
            </w:pPr>
          </w:p>
        </w:tc>
        <w:tc>
          <w:tcPr>
            <w:tcW w:w="7915" w:type="dxa"/>
          </w:tcPr>
          <w:p>
            <w:pPr>
              <w:pStyle w:val="TableParagraph"/>
              <w:spacing w:line="241" w:lineRule="exact"/>
              <w:ind w:left="160"/>
              <w:rPr>
                <w:sz w:val="21"/>
              </w:rPr>
            </w:pPr>
            <w:r>
              <w:rPr>
                <w:sz w:val="21"/>
              </w:rPr>
              <w:t>（2）外周血象须具备以下三项条件：</w:t>
            </w:r>
          </w:p>
        </w:tc>
      </w:tr>
      <w:tr>
        <w:trPr>
          <w:trHeight w:val="311" w:hRule="atLeast"/>
        </w:trPr>
        <w:tc>
          <w:tcPr>
            <w:tcW w:w="867" w:type="dxa"/>
          </w:tcPr>
          <w:p>
            <w:pPr>
              <w:pStyle w:val="TableParagraph"/>
              <w:rPr>
                <w:rFonts w:ascii="Times New Roman"/>
                <w:sz w:val="20"/>
              </w:rPr>
            </w:pPr>
          </w:p>
        </w:tc>
        <w:tc>
          <w:tcPr>
            <w:tcW w:w="1397" w:type="dxa"/>
          </w:tcPr>
          <w:p>
            <w:pPr>
              <w:pStyle w:val="TableParagraph"/>
              <w:rPr>
                <w:rFonts w:ascii="Times New Roman"/>
                <w:sz w:val="20"/>
              </w:rPr>
            </w:pPr>
          </w:p>
        </w:tc>
        <w:tc>
          <w:tcPr>
            <w:tcW w:w="7915" w:type="dxa"/>
          </w:tcPr>
          <w:p>
            <w:pPr>
              <w:pStyle w:val="TableParagraph"/>
              <w:spacing w:line="255" w:lineRule="exact" w:before="37"/>
              <w:ind w:left="686"/>
              <w:rPr>
                <w:sz w:val="21"/>
              </w:rPr>
            </w:pPr>
            <w:r>
              <w:rPr>
                <w:sz w:val="21"/>
              </w:rPr>
              <w:t>① 中性粒细胞绝对值≤0.5×10</w:t>
            </w:r>
            <w:r>
              <w:rPr>
                <w:position w:val="11"/>
                <w:sz w:val="11"/>
              </w:rPr>
              <w:t>9</w:t>
            </w:r>
            <w:r>
              <w:rPr>
                <w:sz w:val="21"/>
              </w:rPr>
              <w:t>/L ；</w:t>
            </w:r>
          </w:p>
        </w:tc>
      </w:tr>
    </w:tbl>
    <w:p>
      <w:pPr>
        <w:pStyle w:val="BodyText"/>
        <w:spacing w:before="37"/>
        <w:ind w:left="3062"/>
      </w:pPr>
      <w:r>
        <w:rPr/>
        <w:t>② 网织红细胞＜1%；</w:t>
      </w:r>
    </w:p>
    <w:p>
      <w:pPr>
        <w:pStyle w:val="BodyText"/>
        <w:spacing w:before="37"/>
        <w:ind w:left="3063"/>
      </w:pPr>
      <w:r>
        <w:rPr/>
        <w:t>③ 血小板绝对值≤20×10</w:t>
      </w:r>
      <w:r>
        <w:rPr>
          <w:position w:val="11"/>
          <w:sz w:val="11"/>
        </w:rPr>
        <w:t>9</w:t>
      </w:r>
      <w:r>
        <w:rPr/>
        <w:t>/L。</w:t>
      </w:r>
    </w:p>
    <w:p>
      <w:pPr>
        <w:spacing w:after="0"/>
        <w:sectPr>
          <w:pgSz w:w="11900" w:h="16840"/>
          <w:pgMar w:header="575" w:footer="0" w:top="800" w:bottom="280" w:left="860" w:right="640"/>
        </w:sectPr>
      </w:pPr>
    </w:p>
    <w:p>
      <w:pPr>
        <w:pStyle w:val="BodyText"/>
        <w:spacing w:before="7"/>
        <w:rPr>
          <w:sz w:val="19"/>
        </w:rPr>
      </w:pPr>
    </w:p>
    <w:p>
      <w:pPr>
        <w:pStyle w:val="ListParagraph"/>
        <w:numPr>
          <w:ilvl w:val="2"/>
          <w:numId w:val="2"/>
        </w:numPr>
        <w:tabs>
          <w:tab w:pos="1106" w:val="left" w:leader="none"/>
        </w:tabs>
        <w:spacing w:line="228" w:lineRule="auto" w:before="49" w:after="0"/>
        <w:ind w:left="2477" w:right="223" w:hanging="2375"/>
        <w:jc w:val="both"/>
        <w:rPr>
          <w:sz w:val="21"/>
        </w:rPr>
      </w:pPr>
      <w:r>
        <w:rPr>
          <w:i/>
          <w:spacing w:val="12"/>
          <w:position w:val="-1"/>
          <w:sz w:val="22"/>
        </w:rPr>
        <w:t>主动脉手术 </w:t>
      </w:r>
      <w:r>
        <w:rPr>
          <w:sz w:val="21"/>
        </w:rPr>
        <w:t>指为治疗主动脉疾病，实际实施了开胸或开腹进行的切除、置换、修补病损主动脉血管的手术。主动脉指胸主动脉和腹主动脉，</w:t>
      </w:r>
      <w:r>
        <w:rPr>
          <w:sz w:val="21"/>
          <w:shd w:fill="E5E5E5" w:color="auto" w:val="clear"/>
        </w:rPr>
        <w:t>不包括胸主动脉和腹主动脉的分支血管。动脉内血管成形术不在保障范围内。</w:t>
      </w:r>
    </w:p>
    <w:p>
      <w:pPr>
        <w:pStyle w:val="BodyText"/>
        <w:rPr>
          <w:sz w:val="24"/>
        </w:rPr>
      </w:pPr>
    </w:p>
    <w:p>
      <w:pPr>
        <w:spacing w:after="0"/>
        <w:rPr>
          <w:sz w:val="24"/>
        </w:rPr>
        <w:sectPr>
          <w:pgSz w:w="11900" w:h="16840"/>
          <w:pgMar w:header="575" w:footer="0" w:top="800" w:bottom="280" w:left="920" w:right="680"/>
        </w:sectPr>
      </w:pPr>
    </w:p>
    <w:p>
      <w:pPr>
        <w:pStyle w:val="Heading3"/>
        <w:numPr>
          <w:ilvl w:val="2"/>
          <w:numId w:val="2"/>
        </w:numPr>
        <w:tabs>
          <w:tab w:pos="1105" w:val="left" w:leader="none"/>
          <w:tab w:pos="1106" w:val="left" w:leader="none"/>
        </w:tabs>
        <w:spacing w:line="240" w:lineRule="auto" w:before="34" w:after="0"/>
        <w:ind w:left="2477" w:right="0" w:hanging="2375"/>
        <w:jc w:val="left"/>
      </w:pPr>
      <w:r>
        <w:rPr>
          <w:w w:val="95"/>
        </w:rPr>
        <w:t>胰岛素依赖</w:t>
      </w:r>
    </w:p>
    <w:p>
      <w:pPr>
        <w:spacing w:before="24"/>
        <w:ind w:left="1105" w:right="0" w:firstLine="0"/>
        <w:jc w:val="left"/>
        <w:rPr>
          <w:i/>
          <w:sz w:val="22"/>
        </w:rPr>
      </w:pPr>
      <w:r>
        <w:rPr>
          <w:i/>
          <w:w w:val="95"/>
          <w:sz w:val="22"/>
        </w:rPr>
        <w:t>型糖尿病</w:t>
      </w:r>
    </w:p>
    <w:p>
      <w:pPr>
        <w:pStyle w:val="BodyText"/>
        <w:spacing w:line="273" w:lineRule="auto" w:before="46"/>
        <w:ind w:left="102" w:right="260"/>
        <w:jc w:val="both"/>
      </w:pPr>
      <w:r>
        <w:rPr/>
        <w:br w:type="column"/>
      </w:r>
      <w:r>
        <w:rPr/>
        <w:t>胰岛素依赖型糖尿病是由于胰岛β细胞毁坏而导致的胰岛素分泌的绝对缺乏引起的</w:t>
      </w:r>
      <w:r>
        <w:rPr>
          <w:spacing w:val="-3"/>
        </w:rPr>
        <w:t>慢性血糖升高，并需要持续性地依赖外源性胰岛素维持 </w:t>
      </w:r>
      <w:r>
        <w:rPr/>
        <w:t>180</w:t>
      </w:r>
      <w:r>
        <w:rPr>
          <w:spacing w:val="-8"/>
        </w:rPr>
        <w:t> 天以上。该病必须由医院的内分泌科专科医生确诊，</w:t>
      </w:r>
      <w:r>
        <w:rPr>
          <w:spacing w:val="-8"/>
          <w:shd w:fill="E5E5E5" w:color="auto" w:val="clear"/>
        </w:rPr>
        <w:t>可以用其他方法（非胰岛素注射）治疗的糖尿病不在本合同保障范围内。</w:t>
      </w:r>
    </w:p>
    <w:p>
      <w:pPr>
        <w:spacing w:after="0" w:line="273" w:lineRule="auto"/>
        <w:jc w:val="both"/>
        <w:sectPr>
          <w:type w:val="continuous"/>
          <w:pgSz w:w="11900" w:h="16840"/>
          <w:pgMar w:top="800" w:bottom="280" w:left="920" w:right="680"/>
          <w:cols w:num="2" w:equalWidth="0">
            <w:col w:w="2156" w:space="219"/>
            <w:col w:w="7925"/>
          </w:cols>
        </w:sectPr>
      </w:pPr>
    </w:p>
    <w:p>
      <w:pPr>
        <w:pStyle w:val="BodyText"/>
        <w:spacing w:before="4"/>
        <w:rPr>
          <w:sz w:val="14"/>
        </w:rPr>
      </w:pPr>
    </w:p>
    <w:p>
      <w:pPr>
        <w:spacing w:after="0"/>
        <w:rPr>
          <w:sz w:val="14"/>
        </w:rPr>
        <w:sectPr>
          <w:type w:val="continuous"/>
          <w:pgSz w:w="11900" w:h="16840"/>
          <w:pgMar w:top="800" w:bottom="280" w:left="920" w:right="680"/>
        </w:sectPr>
      </w:pPr>
    </w:p>
    <w:p>
      <w:pPr>
        <w:pStyle w:val="Heading3"/>
        <w:numPr>
          <w:ilvl w:val="2"/>
          <w:numId w:val="2"/>
        </w:numPr>
        <w:tabs>
          <w:tab w:pos="1105" w:val="left" w:leader="none"/>
          <w:tab w:pos="1106" w:val="left" w:leader="none"/>
        </w:tabs>
        <w:spacing w:line="259" w:lineRule="auto" w:before="34" w:after="0"/>
        <w:ind w:left="1105" w:right="0" w:hanging="1003"/>
        <w:jc w:val="left"/>
      </w:pPr>
      <w:r>
        <w:rPr>
          <w:w w:val="95"/>
        </w:rPr>
        <w:t>严重的心肌</w:t>
      </w:r>
      <w:r>
        <w:rPr/>
        <w:t>炎</w:t>
      </w:r>
    </w:p>
    <w:p>
      <w:pPr>
        <w:pStyle w:val="BodyText"/>
        <w:spacing w:line="273" w:lineRule="auto" w:before="46"/>
        <w:ind w:left="102" w:right="260"/>
      </w:pPr>
      <w:r>
        <w:rPr/>
        <w:br w:type="column"/>
      </w:r>
      <w:r>
        <w:rPr/>
        <w:t>指心肌局限性或弥漫性的急性或慢性炎症病变，导致心脏功能障碍，达到美国纽约心脏病学会心功能状态分级 IV 级，且持续至少 90 天。</w:t>
      </w:r>
    </w:p>
    <w:p>
      <w:pPr>
        <w:spacing w:after="0" w:line="273" w:lineRule="auto"/>
        <w:sectPr>
          <w:type w:val="continuous"/>
          <w:pgSz w:w="11900" w:h="16840"/>
          <w:pgMar w:top="800" w:bottom="280" w:left="920" w:right="680"/>
          <w:cols w:num="2" w:equalWidth="0">
            <w:col w:w="2156" w:space="219"/>
            <w:col w:w="7925"/>
          </w:cols>
        </w:sectPr>
      </w:pPr>
    </w:p>
    <w:p>
      <w:pPr>
        <w:pStyle w:val="BodyText"/>
        <w:rPr>
          <w:sz w:val="15"/>
        </w:rPr>
      </w:pPr>
    </w:p>
    <w:p>
      <w:pPr>
        <w:pStyle w:val="ListParagraph"/>
        <w:numPr>
          <w:ilvl w:val="2"/>
          <w:numId w:val="2"/>
        </w:numPr>
        <w:tabs>
          <w:tab w:pos="1106" w:val="left" w:leader="none"/>
        </w:tabs>
        <w:spacing w:line="271" w:lineRule="auto" w:before="34" w:after="0"/>
        <w:ind w:left="2477" w:right="224" w:hanging="2375"/>
        <w:jc w:val="both"/>
        <w:rPr>
          <w:sz w:val="21"/>
        </w:rPr>
      </w:pPr>
      <w:r>
        <w:rPr>
          <w:i/>
          <w:spacing w:val="8"/>
          <w:sz w:val="22"/>
        </w:rPr>
        <w:t>严重川崎病 </w:t>
      </w:r>
      <w:r>
        <w:rPr>
          <w:sz w:val="21"/>
        </w:rPr>
        <w:t>严重川崎病是一种以皮肤粘膜出疹、淋巴结肿大和多发性动脉炎为特点的急性发热</w:t>
      </w:r>
      <w:r>
        <w:rPr>
          <w:spacing w:val="-1"/>
          <w:sz w:val="21"/>
        </w:rPr>
        <w:t>性疾病。本合同仅对因川崎病合并的冠状动脉炎导致的冠状动脉瘤 </w:t>
      </w:r>
      <w:r>
        <w:rPr>
          <w:sz w:val="21"/>
        </w:rPr>
        <w:t>(Nakano</w:t>
      </w:r>
      <w:r>
        <w:rPr>
          <w:spacing w:val="-17"/>
          <w:sz w:val="21"/>
        </w:rPr>
        <w:t> </w:t>
      </w:r>
      <w:r>
        <w:rPr>
          <w:sz w:val="21"/>
        </w:rPr>
        <w:t>II</w:t>
      </w:r>
      <w:r>
        <w:rPr>
          <w:spacing w:val="-18"/>
          <w:sz w:val="21"/>
        </w:rPr>
        <w:t> 级) </w:t>
      </w:r>
      <w:r>
        <w:rPr>
          <w:spacing w:val="-20"/>
          <w:sz w:val="21"/>
        </w:rPr>
        <w:t>予以理赔。理赔时冠状动脉瘤必须存在 </w:t>
      </w:r>
      <w:r>
        <w:rPr>
          <w:sz w:val="21"/>
        </w:rPr>
        <w:t>180</w:t>
      </w:r>
      <w:r>
        <w:rPr>
          <w:spacing w:val="-8"/>
          <w:sz w:val="21"/>
        </w:rPr>
        <w:t> 天以上，且必须提供冠状动脉瘤的超声心动图或血管造影的检查结果诊断报告。</w:t>
      </w:r>
    </w:p>
    <w:p>
      <w:pPr>
        <w:pStyle w:val="BodyText"/>
        <w:spacing w:before="9"/>
        <w:ind w:left="2477"/>
      </w:pPr>
      <w:r>
        <w:rPr/>
        <w:t>NakanoII 级：可为单发、多发或广泛性，最大内径为 4-8mm。</w:t>
      </w:r>
    </w:p>
    <w:p>
      <w:pPr>
        <w:pStyle w:val="BodyText"/>
        <w:spacing w:before="8"/>
        <w:rPr>
          <w:sz w:val="15"/>
        </w:rPr>
      </w:pPr>
    </w:p>
    <w:p>
      <w:pPr>
        <w:spacing w:after="0"/>
        <w:rPr>
          <w:sz w:val="15"/>
        </w:rPr>
        <w:sectPr>
          <w:type w:val="continuous"/>
          <w:pgSz w:w="11900" w:h="16840"/>
          <w:pgMar w:top="800" w:bottom="280" w:left="920" w:right="680"/>
        </w:sectPr>
      </w:pPr>
    </w:p>
    <w:p>
      <w:pPr>
        <w:pStyle w:val="Heading3"/>
        <w:numPr>
          <w:ilvl w:val="2"/>
          <w:numId w:val="2"/>
        </w:numPr>
        <w:tabs>
          <w:tab w:pos="1105" w:val="left" w:leader="none"/>
          <w:tab w:pos="1106" w:val="left" w:leader="none"/>
        </w:tabs>
        <w:spacing w:line="240" w:lineRule="auto" w:before="34" w:after="0"/>
        <w:ind w:left="2477" w:right="0" w:hanging="2375"/>
        <w:jc w:val="left"/>
      </w:pPr>
      <w:r>
        <w:rPr>
          <w:w w:val="95"/>
        </w:rPr>
        <w:t>严重幼年型</w:t>
      </w:r>
    </w:p>
    <w:p>
      <w:pPr>
        <w:spacing w:line="259" w:lineRule="auto" w:before="23"/>
        <w:ind w:left="1105" w:right="0" w:firstLine="0"/>
        <w:jc w:val="left"/>
        <w:rPr>
          <w:i/>
          <w:sz w:val="22"/>
        </w:rPr>
      </w:pPr>
      <w:r>
        <w:rPr>
          <w:i/>
          <w:w w:val="95"/>
          <w:sz w:val="22"/>
        </w:rPr>
        <w:t>类风湿关节</w:t>
      </w:r>
      <w:r>
        <w:rPr>
          <w:i/>
          <w:sz w:val="22"/>
        </w:rPr>
        <w:t>炎</w:t>
      </w:r>
    </w:p>
    <w:p>
      <w:pPr>
        <w:pStyle w:val="BodyText"/>
        <w:spacing w:line="273" w:lineRule="auto" w:before="46"/>
        <w:ind w:left="102" w:right="119"/>
      </w:pPr>
      <w:r>
        <w:rPr/>
        <w:br w:type="column"/>
      </w:r>
      <w:r>
        <w:rPr>
          <w:spacing w:val="-7"/>
        </w:rPr>
        <w:t>需要由类风湿专科医生确诊，有广泛的关节损坏，临床及 </w:t>
      </w:r>
      <w:r>
        <w:rPr/>
        <w:t>X</w:t>
      </w:r>
      <w:r>
        <w:rPr>
          <w:spacing w:val="-8"/>
        </w:rPr>
        <w:t> 线检查发现明显的畸形。</w:t>
      </w:r>
      <w:r>
        <w:rPr>
          <w:spacing w:val="-17"/>
        </w:rPr>
        <w:t>至少下列 </w:t>
      </w:r>
      <w:r>
        <w:rPr/>
        <w:t>3</w:t>
      </w:r>
      <w:r>
        <w:rPr>
          <w:spacing w:val="-8"/>
        </w:rPr>
        <w:t> 个关节受累：手关节、腕关节、肘关节、膝关节、髋关节、踝关节、脊</w:t>
      </w:r>
    </w:p>
    <w:p>
      <w:pPr>
        <w:pStyle w:val="BodyText"/>
        <w:spacing w:before="7"/>
        <w:ind w:left="102"/>
      </w:pPr>
      <w:r>
        <w:rPr/>
        <w:t>椎关节或跖趾关节。关节炎的症状须持续 1 年以上。</w:t>
      </w:r>
    </w:p>
    <w:p>
      <w:pPr>
        <w:spacing w:after="0"/>
        <w:sectPr>
          <w:type w:val="continuous"/>
          <w:pgSz w:w="11900" w:h="16840"/>
          <w:pgMar w:top="800" w:bottom="280" w:left="920" w:right="680"/>
          <w:cols w:num="2" w:equalWidth="0">
            <w:col w:w="2156" w:space="219"/>
            <w:col w:w="7925"/>
          </w:cols>
        </w:sectPr>
      </w:pPr>
    </w:p>
    <w:p>
      <w:pPr>
        <w:pStyle w:val="BodyText"/>
        <w:spacing w:before="12"/>
        <w:rPr>
          <w:sz w:val="14"/>
        </w:rPr>
      </w:pPr>
    </w:p>
    <w:p>
      <w:pPr>
        <w:pStyle w:val="ListParagraph"/>
        <w:numPr>
          <w:ilvl w:val="2"/>
          <w:numId w:val="2"/>
        </w:numPr>
        <w:tabs>
          <w:tab w:pos="1106" w:val="left" w:leader="none"/>
        </w:tabs>
        <w:spacing w:line="271" w:lineRule="auto" w:before="34" w:after="0"/>
        <w:ind w:left="2477" w:right="223" w:hanging="2375"/>
        <w:jc w:val="both"/>
        <w:rPr>
          <w:sz w:val="21"/>
        </w:rPr>
      </w:pPr>
      <w:r>
        <w:rPr>
          <w:i/>
          <w:spacing w:val="8"/>
          <w:sz w:val="22"/>
        </w:rPr>
        <w:t>脊髓灰质炎 </w:t>
      </w:r>
      <w:r>
        <w:rPr>
          <w:sz w:val="21"/>
        </w:rPr>
        <w:t>脊髓灰质炎是由脊髓灰质炎病毒感染所致的瘫痪性疾病，临床表现为运动功能损害或呼吸无力。该病必须由医院的专科医生确诊并提供相关的脊髓灰质炎病毒感染的</w:t>
      </w:r>
      <w:r>
        <w:rPr>
          <w:spacing w:val="-9"/>
          <w:sz w:val="21"/>
        </w:rPr>
        <w:t>证据</w:t>
      </w:r>
      <w:r>
        <w:rPr>
          <w:sz w:val="21"/>
        </w:rPr>
        <w:t>（</w:t>
      </w:r>
      <w:r>
        <w:rPr>
          <w:spacing w:val="-6"/>
          <w:sz w:val="21"/>
        </w:rPr>
        <w:t>例如：粪便检查、脑脊液检查或血清学抗体检查报告</w:t>
      </w:r>
      <w:r>
        <w:rPr>
          <w:spacing w:val="-106"/>
          <w:sz w:val="21"/>
        </w:rPr>
        <w:t>）</w:t>
      </w:r>
      <w:r>
        <w:rPr>
          <w:spacing w:val="-4"/>
          <w:sz w:val="21"/>
        </w:rPr>
        <w:t>。本合同仅对脊髓灰质炎造成的神经系统功能损害已导致被保险人永久性的肢体瘫痪的情况予以理赔。</w:t>
      </w:r>
      <w:r>
        <w:rPr>
          <w:spacing w:val="-4"/>
          <w:sz w:val="21"/>
          <w:shd w:fill="E5E5E5" w:color="auto" w:val="clear"/>
        </w:rPr>
        <w:t>其他原因导致的瘫痪则不在本合同保障范围内。</w:t>
      </w:r>
      <w:r>
        <w:rPr>
          <w:spacing w:val="-4"/>
          <w:sz w:val="21"/>
        </w:rPr>
        <w:t>所谓永久性的肢体瘫痪是指诊断为脊</w:t>
      </w:r>
      <w:r>
        <w:rPr>
          <w:spacing w:val="-8"/>
          <w:sz w:val="21"/>
        </w:rPr>
        <w:t>髓灰质炎后肢体瘫痪需持续 </w:t>
      </w:r>
      <w:r>
        <w:rPr>
          <w:sz w:val="21"/>
        </w:rPr>
        <w:t>180</w:t>
      </w:r>
      <w:r>
        <w:rPr>
          <w:spacing w:val="-48"/>
          <w:sz w:val="21"/>
        </w:rPr>
        <w:t> 天以上。</w:t>
      </w:r>
    </w:p>
    <w:p>
      <w:pPr>
        <w:pStyle w:val="BodyText"/>
        <w:spacing w:before="2"/>
        <w:rPr>
          <w:sz w:val="14"/>
        </w:rPr>
      </w:pPr>
    </w:p>
    <w:p>
      <w:pPr>
        <w:pStyle w:val="ListParagraph"/>
        <w:numPr>
          <w:ilvl w:val="2"/>
          <w:numId w:val="2"/>
        </w:numPr>
        <w:tabs>
          <w:tab w:pos="1105" w:val="left" w:leader="none"/>
          <w:tab w:pos="1106" w:val="left" w:leader="none"/>
          <w:tab w:pos="2477" w:val="left" w:leader="none"/>
        </w:tabs>
        <w:spacing w:line="326" w:lineRule="exact" w:before="0" w:after="0"/>
        <w:ind w:left="2477" w:right="0" w:hanging="2375"/>
        <w:jc w:val="left"/>
        <w:rPr>
          <w:sz w:val="21"/>
        </w:rPr>
      </w:pPr>
      <w:r>
        <w:rPr>
          <w:i/>
          <w:position w:val="-3"/>
          <w:sz w:val="22"/>
        </w:rPr>
        <w:t>重度哮喘</w:t>
        <w:tab/>
      </w:r>
      <w:r>
        <w:rPr>
          <w:sz w:val="21"/>
        </w:rPr>
        <w:t>指一种可逆性、反复发作的支气管阻塞性疾病。须满足下列至少三项条件：</w:t>
      </w:r>
    </w:p>
    <w:p>
      <w:pPr>
        <w:pStyle w:val="BodyText"/>
        <w:spacing w:line="273" w:lineRule="exact"/>
        <w:ind w:left="2477"/>
      </w:pPr>
      <w:r>
        <w:rPr/>
        <w:t>（1）过去2年中有哮喘持续状态病史；</w:t>
      </w:r>
    </w:p>
    <w:p>
      <w:pPr>
        <w:pStyle w:val="BodyText"/>
        <w:spacing w:before="37"/>
        <w:ind w:left="2477"/>
      </w:pPr>
      <w:r>
        <w:rPr/>
        <w:t>（2）身体活动耐受能力显著且持续下降；</w:t>
      </w:r>
    </w:p>
    <w:p>
      <w:pPr>
        <w:pStyle w:val="BodyText"/>
        <w:spacing w:before="37"/>
        <w:ind w:left="2477"/>
      </w:pPr>
      <w:r>
        <w:rPr/>
        <w:t>（3）肺部慢性过度膨胀充气导致的胸廓畸形；</w:t>
      </w:r>
    </w:p>
    <w:p>
      <w:pPr>
        <w:pStyle w:val="BodyText"/>
        <w:spacing w:before="37"/>
        <w:ind w:left="2477"/>
      </w:pPr>
      <w:r>
        <w:rPr/>
        <w:t>（4）在家中需要医师处方的氧气治疗法；</w:t>
      </w:r>
    </w:p>
    <w:p>
      <w:pPr>
        <w:pStyle w:val="BodyText"/>
        <w:spacing w:before="16"/>
        <w:ind w:left="2477"/>
      </w:pPr>
      <w:r>
        <w:rPr/>
        <w:t>（5）持续日常服用口服可的松类固醇激素（至少持续服用 6 个月以上）。</w:t>
      </w:r>
    </w:p>
    <w:p>
      <w:pPr>
        <w:pStyle w:val="BodyText"/>
        <w:spacing w:before="12"/>
        <w:rPr>
          <w:sz w:val="15"/>
        </w:rPr>
      </w:pPr>
    </w:p>
    <w:p>
      <w:pPr>
        <w:spacing w:after="0"/>
        <w:rPr>
          <w:sz w:val="15"/>
        </w:rPr>
        <w:sectPr>
          <w:type w:val="continuous"/>
          <w:pgSz w:w="11900" w:h="16840"/>
          <w:pgMar w:top="800" w:bottom="280" w:left="920" w:right="680"/>
        </w:sectPr>
      </w:pPr>
    </w:p>
    <w:p>
      <w:pPr>
        <w:pStyle w:val="ListParagraph"/>
        <w:numPr>
          <w:ilvl w:val="1"/>
          <w:numId w:val="3"/>
        </w:numPr>
        <w:tabs>
          <w:tab w:pos="1105" w:val="left" w:leader="none"/>
          <w:tab w:pos="1106" w:val="left" w:leader="none"/>
        </w:tabs>
        <w:spacing w:line="273" w:lineRule="auto" w:before="36" w:after="0"/>
        <w:ind w:left="1105" w:right="0" w:hanging="1003"/>
        <w:jc w:val="left"/>
        <w:rPr>
          <w:sz w:val="21"/>
        </w:rPr>
      </w:pPr>
      <w:r>
        <w:rPr>
          <w:sz w:val="21"/>
        </w:rPr>
        <w:t>特定恶性肿瘤的范围</w:t>
      </w:r>
    </w:p>
    <w:p>
      <w:pPr>
        <w:pStyle w:val="BodyText"/>
        <w:spacing w:line="273" w:lineRule="auto" w:before="36"/>
        <w:ind w:left="102" w:right="260"/>
        <w:jc w:val="both"/>
      </w:pPr>
      <w:r>
        <w:rPr/>
        <w:br w:type="column"/>
      </w:r>
      <w:r>
        <w:rPr/>
        <w:t>本合同所指的特定恶性肿瘤在本合同中有确定的含义，本公司将在本合同特定恶性肿瘤的定义中详细列明，投保人投保本合同即表明认可并遵从本合同中对特定恶性肿瘤的定义。</w:t>
      </w:r>
    </w:p>
    <w:p>
      <w:pPr>
        <w:pStyle w:val="ListParagraph"/>
        <w:numPr>
          <w:ilvl w:val="2"/>
          <w:numId w:val="3"/>
        </w:numPr>
        <w:tabs>
          <w:tab w:pos="668" w:val="left" w:leader="none"/>
          <w:tab w:pos="669" w:val="left" w:leader="none"/>
        </w:tabs>
        <w:spacing w:line="240" w:lineRule="auto" w:before="33" w:after="0"/>
        <w:ind w:left="668" w:right="0" w:hanging="345"/>
        <w:jc w:val="left"/>
        <w:rPr>
          <w:sz w:val="18"/>
        </w:rPr>
      </w:pPr>
      <w:r>
        <w:rPr>
          <w:sz w:val="18"/>
        </w:rPr>
        <w:t>白血病</w:t>
      </w:r>
    </w:p>
    <w:p>
      <w:pPr>
        <w:pStyle w:val="ListParagraph"/>
        <w:numPr>
          <w:ilvl w:val="2"/>
          <w:numId w:val="3"/>
        </w:numPr>
        <w:tabs>
          <w:tab w:pos="668" w:val="left" w:leader="none"/>
          <w:tab w:pos="669" w:val="left" w:leader="none"/>
        </w:tabs>
        <w:spacing w:line="240" w:lineRule="auto" w:before="76" w:after="0"/>
        <w:ind w:left="668" w:right="0" w:hanging="345"/>
        <w:jc w:val="left"/>
        <w:rPr>
          <w:sz w:val="18"/>
        </w:rPr>
      </w:pPr>
      <w:r>
        <w:rPr>
          <w:sz w:val="18"/>
        </w:rPr>
        <w:t>恶性脑肿瘤</w:t>
      </w:r>
    </w:p>
    <w:p>
      <w:pPr>
        <w:spacing w:after="0" w:line="240" w:lineRule="auto"/>
        <w:jc w:val="left"/>
        <w:rPr>
          <w:sz w:val="18"/>
        </w:rPr>
        <w:sectPr>
          <w:type w:val="continuous"/>
          <w:pgSz w:w="11900" w:h="16840"/>
          <w:pgMar w:top="800" w:bottom="280" w:left="920" w:right="680"/>
          <w:cols w:num="2" w:equalWidth="0">
            <w:col w:w="2159" w:space="215"/>
            <w:col w:w="7926"/>
          </w:cols>
        </w:sectPr>
      </w:pPr>
    </w:p>
    <w:p>
      <w:pPr>
        <w:pStyle w:val="BodyText"/>
        <w:spacing w:before="1"/>
        <w:rPr>
          <w:sz w:val="23"/>
        </w:rPr>
      </w:pPr>
    </w:p>
    <w:p>
      <w:pPr>
        <w:spacing w:after="0"/>
        <w:rPr>
          <w:sz w:val="23"/>
        </w:rPr>
        <w:sectPr>
          <w:type w:val="continuous"/>
          <w:pgSz w:w="11900" w:h="16840"/>
          <w:pgMar w:top="800" w:bottom="280" w:left="920" w:right="680"/>
        </w:sectPr>
      </w:pPr>
    </w:p>
    <w:p>
      <w:pPr>
        <w:pStyle w:val="ListParagraph"/>
        <w:numPr>
          <w:ilvl w:val="1"/>
          <w:numId w:val="3"/>
        </w:numPr>
        <w:tabs>
          <w:tab w:pos="1105" w:val="left" w:leader="none"/>
          <w:tab w:pos="1106" w:val="left" w:leader="none"/>
        </w:tabs>
        <w:spacing w:line="273" w:lineRule="auto" w:before="35" w:after="0"/>
        <w:ind w:left="1105" w:right="0" w:hanging="1003"/>
        <w:jc w:val="left"/>
        <w:rPr>
          <w:sz w:val="21"/>
        </w:rPr>
      </w:pPr>
      <w:r>
        <w:rPr>
          <w:sz w:val="21"/>
        </w:rPr>
        <w:t>特定恶性肿瘤的定义</w:t>
      </w:r>
    </w:p>
    <w:p>
      <w:pPr>
        <w:pStyle w:val="BodyText"/>
        <w:spacing w:before="35"/>
        <w:ind w:left="102"/>
      </w:pPr>
      <w:r>
        <w:rPr/>
        <w:br w:type="column"/>
      </w:r>
      <w:r>
        <w:rPr/>
        <w:t>以上各种特定恶性肿瘤须本公司认可的医院专科医生明确诊断，且符合以下定义：</w:t>
      </w:r>
    </w:p>
    <w:p>
      <w:pPr>
        <w:spacing w:after="0"/>
        <w:sectPr>
          <w:type w:val="continuous"/>
          <w:pgSz w:w="11900" w:h="16840"/>
          <w:pgMar w:top="800" w:bottom="280" w:left="920" w:right="680"/>
          <w:cols w:num="2" w:equalWidth="0">
            <w:col w:w="2159" w:space="215"/>
            <w:col w:w="7926"/>
          </w:cols>
        </w:sectPr>
      </w:pPr>
    </w:p>
    <w:p>
      <w:pPr>
        <w:pStyle w:val="BodyText"/>
        <w:spacing w:before="66"/>
        <w:ind w:left="4942" w:right="5053"/>
        <w:jc w:val="center"/>
        <w:rPr>
          <w:rFonts w:ascii="Times New Roman"/>
        </w:rPr>
      </w:pPr>
      <w:r>
        <w:rPr>
          <w:rFonts w:ascii="Times New Roman"/>
        </w:rPr>
        <w:t>10-6</w:t>
      </w:r>
    </w:p>
    <w:p>
      <w:pPr>
        <w:pStyle w:val="BodyText"/>
        <w:spacing w:before="1"/>
        <w:rPr>
          <w:rFonts w:ascii="Times New Roman"/>
          <w:sz w:val="26"/>
        </w:rPr>
      </w:pPr>
    </w:p>
    <w:p>
      <w:pPr>
        <w:pStyle w:val="ListParagraph"/>
        <w:numPr>
          <w:ilvl w:val="2"/>
          <w:numId w:val="4"/>
        </w:numPr>
        <w:tabs>
          <w:tab w:pos="1226" w:val="left" w:leader="none"/>
        </w:tabs>
        <w:spacing w:line="271" w:lineRule="auto" w:before="0" w:after="0"/>
        <w:ind w:left="2597" w:right="260" w:hanging="2375"/>
        <w:jc w:val="both"/>
        <w:rPr>
          <w:sz w:val="21"/>
        </w:rPr>
      </w:pPr>
      <w:r>
        <w:rPr>
          <w:i/>
          <w:spacing w:val="5"/>
          <w:sz w:val="22"/>
        </w:rPr>
        <w:t>白血病     </w:t>
      </w:r>
      <w:r>
        <w:rPr>
          <w:sz w:val="21"/>
        </w:rPr>
        <w:t>白血病是一种造血组织的恶性疾病，特点是某一类型的白血病细胞在骨髓或其他造血组织中的肿瘤性增生，导致正常造血细胞受抑制，可浸润体内各器官、组织，使各个脏器的功能受损，产生相应的症状和体征。临床上常有贫血、发热、感染、出血和肝、脾、淋巴结不同程度的肿大等。骨髓及外周血中可出现幼稚细胞。</w:t>
      </w:r>
    </w:p>
    <w:p>
      <w:pPr>
        <w:pStyle w:val="BodyText"/>
        <w:spacing w:before="9"/>
        <w:ind w:left="2597"/>
      </w:pPr>
      <w:r>
        <w:rPr>
          <w:shd w:fill="E5E5E5" w:color="auto" w:val="clear"/>
        </w:rPr>
        <w:t>相当于 Binet 分期方案A 期程度的慢性淋巴细胞白血病不在保障范围内。</w:t>
      </w:r>
    </w:p>
    <w:p>
      <w:pPr>
        <w:pStyle w:val="BodyText"/>
        <w:spacing w:before="9"/>
        <w:rPr>
          <w:sz w:val="29"/>
        </w:rPr>
      </w:pPr>
    </w:p>
    <w:p>
      <w:pPr>
        <w:pStyle w:val="ListParagraph"/>
        <w:numPr>
          <w:ilvl w:val="2"/>
          <w:numId w:val="4"/>
        </w:numPr>
        <w:tabs>
          <w:tab w:pos="1226" w:val="left" w:leader="none"/>
        </w:tabs>
        <w:spacing w:line="220" w:lineRule="auto" w:before="1" w:after="0"/>
        <w:ind w:left="2597" w:right="222" w:hanging="2375"/>
        <w:jc w:val="both"/>
        <w:rPr>
          <w:sz w:val="21"/>
        </w:rPr>
      </w:pPr>
      <w:r>
        <w:rPr>
          <w:i/>
          <w:spacing w:val="10"/>
          <w:position w:val="-1"/>
          <w:sz w:val="22"/>
        </w:rPr>
        <w:t>恶性脑肿瘤 </w:t>
      </w:r>
      <w:r>
        <w:rPr>
          <w:spacing w:val="-2"/>
          <w:sz w:val="21"/>
        </w:rPr>
        <w:t>指属于本合同 </w:t>
      </w:r>
      <w:r>
        <w:rPr>
          <w:i/>
          <w:sz w:val="22"/>
        </w:rPr>
        <w:t>3.2.1</w:t>
      </w:r>
      <w:r>
        <w:rPr>
          <w:sz w:val="21"/>
        </w:rPr>
        <w:t>“恶性肿瘤”的范畴内，但仅限于原发于脑神经组织的恶性肿</w:t>
      </w:r>
      <w:r>
        <w:rPr>
          <w:spacing w:val="-1"/>
          <w:sz w:val="21"/>
        </w:rPr>
        <w:t>瘤。</w:t>
      </w:r>
    </w:p>
    <w:p>
      <w:pPr>
        <w:pStyle w:val="BodyText"/>
        <w:tabs>
          <w:tab w:pos="5327" w:val="left" w:leader="none"/>
        </w:tabs>
        <w:spacing w:line="271" w:lineRule="exact"/>
        <w:ind w:left="2597"/>
      </w:pPr>
      <w:r>
        <w:rPr>
          <w:spacing w:val="-1"/>
          <w:shd w:fill="E5E5E5" w:color="auto" w:val="clear"/>
        </w:rPr>
        <w:t>下列疾病不在保障范围内</w:t>
      </w:r>
      <w:r>
        <w:rPr>
          <w:shd w:fill="E5E5E5" w:color="auto" w:val="clear"/>
        </w:rPr>
        <w:t>：</w:t>
        <w:tab/>
      </w:r>
    </w:p>
    <w:p>
      <w:pPr>
        <w:pStyle w:val="BodyText"/>
        <w:spacing w:line="274" w:lineRule="exact"/>
        <w:ind w:left="2597"/>
      </w:pPr>
      <w:r>
        <w:rPr>
          <w:shd w:fill="E5E5E5" w:color="auto" w:val="clear"/>
        </w:rPr>
        <w:t>（1）原发于其他器官组织而浸润、转移至脑神经组织的恶性肿瘤；</w:t>
      </w:r>
    </w:p>
    <w:p>
      <w:pPr>
        <w:pStyle w:val="BodyText"/>
        <w:spacing w:before="18"/>
        <w:ind w:left="2597"/>
      </w:pPr>
      <w:r>
        <w:rPr>
          <w:shd w:fill="E5E5E5" w:color="auto" w:val="clear"/>
        </w:rPr>
        <w:t>（2）感染艾滋病病毒或患艾滋病期间所患恶性肿瘤。</w:t>
      </w:r>
    </w:p>
    <w:p>
      <w:pPr>
        <w:pStyle w:val="BodyText"/>
        <w:spacing w:before="11"/>
        <w:rPr>
          <w:sz w:val="22"/>
        </w:rPr>
      </w:pPr>
    </w:p>
    <w:p>
      <w:pPr>
        <w:spacing w:after="0"/>
        <w:rPr>
          <w:sz w:val="22"/>
        </w:rPr>
        <w:sectPr>
          <w:headerReference w:type="default" r:id="rId9"/>
          <w:pgSz w:w="11900" w:h="16840"/>
          <w:pgMar w:header="0" w:footer="0" w:top="500" w:bottom="280" w:left="800" w:right="680"/>
        </w:sectPr>
      </w:pPr>
    </w:p>
    <w:p>
      <w:pPr>
        <w:pStyle w:val="ListParagraph"/>
        <w:numPr>
          <w:ilvl w:val="1"/>
          <w:numId w:val="5"/>
        </w:numPr>
        <w:tabs>
          <w:tab w:pos="1225" w:val="left" w:leader="none"/>
          <w:tab w:pos="1226" w:val="left" w:leader="none"/>
        </w:tabs>
        <w:spacing w:line="273" w:lineRule="auto" w:before="35" w:after="0"/>
        <w:ind w:left="1225" w:right="0" w:hanging="1003"/>
        <w:jc w:val="left"/>
        <w:rPr>
          <w:sz w:val="21"/>
        </w:rPr>
      </w:pPr>
      <w:r>
        <w:rPr>
          <w:sz w:val="21"/>
        </w:rPr>
        <w:t>轻症重疾的范围</w:t>
      </w:r>
    </w:p>
    <w:p>
      <w:pPr>
        <w:pStyle w:val="BodyText"/>
        <w:spacing w:line="273" w:lineRule="auto" w:before="35"/>
        <w:ind w:left="222" w:right="260"/>
      </w:pPr>
      <w:r>
        <w:rPr/>
        <w:br w:type="column"/>
      </w:r>
      <w:r>
        <w:rPr/>
        <w:t>本合同所指的轻症重疾在本合同中有确定的含义，本公司将在本合同轻症重疾的定义中详细列明，投保人投保本合同即表明认可并遵从本合同中对轻症重疾的定义。</w:t>
      </w:r>
    </w:p>
    <w:p>
      <w:pPr>
        <w:pStyle w:val="ListParagraph"/>
        <w:numPr>
          <w:ilvl w:val="2"/>
          <w:numId w:val="5"/>
        </w:numPr>
        <w:tabs>
          <w:tab w:pos="680" w:val="left" w:leader="none"/>
          <w:tab w:pos="681" w:val="left" w:leader="none"/>
        </w:tabs>
        <w:spacing w:line="240" w:lineRule="auto" w:before="32" w:after="0"/>
        <w:ind w:left="680" w:right="0" w:hanging="345"/>
        <w:jc w:val="left"/>
        <w:rPr>
          <w:sz w:val="18"/>
        </w:rPr>
      </w:pPr>
      <w:r>
        <w:rPr>
          <w:sz w:val="18"/>
        </w:rPr>
        <w:t>非危及生命的恶性病变</w:t>
      </w:r>
    </w:p>
    <w:p>
      <w:pPr>
        <w:pStyle w:val="ListParagraph"/>
        <w:numPr>
          <w:ilvl w:val="2"/>
          <w:numId w:val="5"/>
        </w:numPr>
        <w:tabs>
          <w:tab w:pos="680" w:val="left" w:leader="none"/>
          <w:tab w:pos="681" w:val="left" w:leader="none"/>
        </w:tabs>
        <w:spacing w:line="240" w:lineRule="auto" w:before="76" w:after="0"/>
        <w:ind w:left="680" w:right="0" w:hanging="345"/>
        <w:jc w:val="left"/>
        <w:rPr>
          <w:sz w:val="18"/>
        </w:rPr>
      </w:pPr>
      <w:r>
        <w:rPr>
          <w:sz w:val="18"/>
        </w:rPr>
        <w:t>脑垂体瘤、脑囊肿、脑动脉瘤及脑血管瘤</w:t>
      </w:r>
    </w:p>
    <w:p>
      <w:pPr>
        <w:spacing w:after="0" w:line="240" w:lineRule="auto"/>
        <w:jc w:val="left"/>
        <w:rPr>
          <w:sz w:val="18"/>
        </w:rPr>
        <w:sectPr>
          <w:type w:val="continuous"/>
          <w:pgSz w:w="11900" w:h="16840"/>
          <w:pgMar w:top="800" w:bottom="280" w:left="800" w:right="680"/>
          <w:cols w:num="2" w:equalWidth="0">
            <w:col w:w="2279" w:space="95"/>
            <w:col w:w="8046"/>
          </w:cols>
        </w:sectPr>
      </w:pPr>
    </w:p>
    <w:p>
      <w:pPr>
        <w:pStyle w:val="BodyText"/>
        <w:rPr>
          <w:sz w:val="20"/>
        </w:rPr>
      </w:pPr>
    </w:p>
    <w:p>
      <w:pPr>
        <w:pStyle w:val="BodyText"/>
        <w:spacing w:before="4"/>
        <w:rPr>
          <w:sz w:val="15"/>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03"/>
        <w:gridCol w:w="7717"/>
      </w:tblGrid>
      <w:tr>
        <w:trPr>
          <w:trHeight w:val="260" w:hRule="atLeast"/>
        </w:trPr>
        <w:tc>
          <w:tcPr>
            <w:tcW w:w="814" w:type="dxa"/>
          </w:tcPr>
          <w:p>
            <w:pPr>
              <w:pStyle w:val="TableParagraph"/>
              <w:spacing w:line="210" w:lineRule="exact"/>
              <w:ind w:left="50"/>
              <w:rPr>
                <w:sz w:val="21"/>
              </w:rPr>
            </w:pPr>
            <w:r>
              <w:rPr>
                <w:sz w:val="21"/>
              </w:rPr>
              <w:t>3.6</w:t>
            </w:r>
          </w:p>
        </w:tc>
        <w:tc>
          <w:tcPr>
            <w:tcW w:w="1503" w:type="dxa"/>
          </w:tcPr>
          <w:p>
            <w:pPr>
              <w:pStyle w:val="TableParagraph"/>
              <w:spacing w:line="210" w:lineRule="exact"/>
              <w:ind w:left="239"/>
              <w:rPr>
                <w:sz w:val="21"/>
              </w:rPr>
            </w:pPr>
            <w:r>
              <w:rPr>
                <w:sz w:val="21"/>
              </w:rPr>
              <w:t>轻症重疾的</w:t>
            </w:r>
          </w:p>
        </w:tc>
        <w:tc>
          <w:tcPr>
            <w:tcW w:w="7717" w:type="dxa"/>
          </w:tcPr>
          <w:p>
            <w:pPr>
              <w:pStyle w:val="TableParagraph"/>
              <w:spacing w:line="210" w:lineRule="exact"/>
              <w:ind w:left="107"/>
              <w:rPr>
                <w:sz w:val="21"/>
              </w:rPr>
            </w:pPr>
            <w:r>
              <w:rPr>
                <w:sz w:val="21"/>
              </w:rPr>
              <w:t>以上各种轻症重疾须本公司认可的医院专科医生明确诊断，且符合以下定义：</w:t>
            </w:r>
          </w:p>
        </w:tc>
      </w:tr>
      <w:tr>
        <w:trPr>
          <w:trHeight w:val="468" w:hRule="atLeast"/>
        </w:trPr>
        <w:tc>
          <w:tcPr>
            <w:tcW w:w="814" w:type="dxa"/>
          </w:tcPr>
          <w:p>
            <w:pPr>
              <w:pStyle w:val="TableParagraph"/>
              <w:rPr>
                <w:rFonts w:ascii="Times New Roman"/>
                <w:sz w:val="20"/>
              </w:rPr>
            </w:pPr>
          </w:p>
        </w:tc>
        <w:tc>
          <w:tcPr>
            <w:tcW w:w="1503" w:type="dxa"/>
          </w:tcPr>
          <w:p>
            <w:pPr>
              <w:pStyle w:val="TableParagraph"/>
              <w:spacing w:line="261" w:lineRule="exact"/>
              <w:ind w:left="239"/>
              <w:rPr>
                <w:sz w:val="21"/>
              </w:rPr>
            </w:pPr>
            <w:r>
              <w:rPr>
                <w:sz w:val="21"/>
              </w:rPr>
              <w:t>定义</w:t>
            </w:r>
          </w:p>
        </w:tc>
        <w:tc>
          <w:tcPr>
            <w:tcW w:w="7717" w:type="dxa"/>
          </w:tcPr>
          <w:p>
            <w:pPr>
              <w:pStyle w:val="TableParagraph"/>
              <w:rPr>
                <w:rFonts w:ascii="Times New Roman"/>
                <w:sz w:val="20"/>
              </w:rPr>
            </w:pPr>
          </w:p>
        </w:tc>
      </w:tr>
      <w:tr>
        <w:trPr>
          <w:trHeight w:val="791" w:hRule="atLeast"/>
        </w:trPr>
        <w:tc>
          <w:tcPr>
            <w:tcW w:w="814" w:type="dxa"/>
          </w:tcPr>
          <w:p>
            <w:pPr>
              <w:pStyle w:val="TableParagraph"/>
              <w:spacing w:before="141"/>
              <w:ind w:left="50"/>
              <w:rPr>
                <w:i/>
                <w:sz w:val="22"/>
              </w:rPr>
            </w:pPr>
            <w:r>
              <w:rPr>
                <w:i/>
                <w:sz w:val="22"/>
              </w:rPr>
              <w:t>3.6.1</w:t>
            </w:r>
          </w:p>
        </w:tc>
        <w:tc>
          <w:tcPr>
            <w:tcW w:w="1503" w:type="dxa"/>
          </w:tcPr>
          <w:p>
            <w:pPr>
              <w:pStyle w:val="TableParagraph"/>
              <w:spacing w:line="259" w:lineRule="auto" w:before="141"/>
              <w:ind w:left="239" w:right="211"/>
              <w:rPr>
                <w:i/>
                <w:sz w:val="22"/>
              </w:rPr>
            </w:pPr>
            <w:r>
              <w:rPr>
                <w:i/>
                <w:w w:val="95"/>
                <w:sz w:val="22"/>
              </w:rPr>
              <w:t>非危及生命的恶性病变</w:t>
            </w:r>
          </w:p>
        </w:tc>
        <w:tc>
          <w:tcPr>
            <w:tcW w:w="7717" w:type="dxa"/>
          </w:tcPr>
          <w:p>
            <w:pPr>
              <w:pStyle w:val="TableParagraph"/>
              <w:spacing w:before="153"/>
              <w:ind w:left="107"/>
              <w:rPr>
                <w:sz w:val="21"/>
              </w:rPr>
            </w:pPr>
            <w:r>
              <w:rPr>
                <w:sz w:val="21"/>
              </w:rPr>
              <w:t>指经组织病理学检查被明确诊断为下列恶性病变，并且接受了相应的治疗：</w:t>
            </w:r>
          </w:p>
          <w:p>
            <w:pPr>
              <w:pStyle w:val="TableParagraph"/>
              <w:spacing w:before="37"/>
              <w:ind w:left="107"/>
              <w:rPr>
                <w:sz w:val="21"/>
              </w:rPr>
            </w:pPr>
            <w:r>
              <w:rPr>
                <w:sz w:val="21"/>
              </w:rPr>
              <w:t>（1）原位癌；</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17" w:type="dxa"/>
          </w:tcPr>
          <w:p>
            <w:pPr>
              <w:pStyle w:val="TableParagraph"/>
              <w:spacing w:line="260" w:lineRule="exact"/>
              <w:ind w:left="107"/>
              <w:rPr>
                <w:sz w:val="21"/>
              </w:rPr>
            </w:pPr>
            <w:r>
              <w:rPr>
                <w:sz w:val="21"/>
              </w:rPr>
              <w:t>（2）相当于Binet 分期方案 A 期程度的慢性淋巴细胞白血病；</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17" w:type="dxa"/>
          </w:tcPr>
          <w:p>
            <w:pPr>
              <w:pStyle w:val="TableParagraph"/>
              <w:spacing w:line="261" w:lineRule="exact"/>
              <w:ind w:left="107"/>
              <w:rPr>
                <w:sz w:val="21"/>
              </w:rPr>
            </w:pPr>
            <w:r>
              <w:rPr>
                <w:sz w:val="21"/>
              </w:rPr>
              <w:t>（3）相当于Ann Arbor 分期方案 I 期程度的何杰金氏病；</w:t>
            </w:r>
          </w:p>
        </w:tc>
      </w:tr>
      <w:tr>
        <w:trPr>
          <w:trHeight w:val="312"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17" w:type="dxa"/>
          </w:tcPr>
          <w:p>
            <w:pPr>
              <w:pStyle w:val="TableParagraph"/>
              <w:spacing w:line="261" w:lineRule="exact"/>
              <w:ind w:left="107"/>
              <w:rPr>
                <w:sz w:val="21"/>
              </w:rPr>
            </w:pPr>
            <w:r>
              <w:rPr>
                <w:sz w:val="21"/>
              </w:rPr>
              <w:t>（4）皮肤癌</w:t>
            </w:r>
            <w:r>
              <w:rPr>
                <w:sz w:val="21"/>
                <w:shd w:fill="E5E5E5" w:color="auto" w:val="clear"/>
              </w:rPr>
              <w:t>（不包括恶性黑色素瘤及已发生转移的皮肤癌）；</w:t>
            </w:r>
          </w:p>
        </w:tc>
      </w:tr>
      <w:tr>
        <w:trPr>
          <w:trHeight w:val="408"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17" w:type="dxa"/>
          </w:tcPr>
          <w:p>
            <w:pPr>
              <w:pStyle w:val="TableParagraph"/>
              <w:spacing w:line="261" w:lineRule="exact"/>
              <w:ind w:left="107"/>
              <w:rPr>
                <w:sz w:val="21"/>
              </w:rPr>
            </w:pPr>
            <w:r>
              <w:rPr>
                <w:sz w:val="21"/>
              </w:rPr>
              <w:t>（5）TNM 分期为 T1N0M0 期或更轻分期的前列腺癌。</w:t>
            </w:r>
          </w:p>
        </w:tc>
      </w:tr>
      <w:tr>
        <w:trPr>
          <w:trHeight w:val="1355" w:hRule="atLeast"/>
        </w:trPr>
        <w:tc>
          <w:tcPr>
            <w:tcW w:w="814" w:type="dxa"/>
          </w:tcPr>
          <w:p>
            <w:pPr>
              <w:pStyle w:val="TableParagraph"/>
              <w:spacing w:before="81"/>
              <w:ind w:left="50"/>
              <w:rPr>
                <w:i/>
                <w:sz w:val="22"/>
              </w:rPr>
            </w:pPr>
            <w:r>
              <w:rPr>
                <w:i/>
                <w:sz w:val="22"/>
              </w:rPr>
              <w:t>3.6.2</w:t>
            </w:r>
          </w:p>
        </w:tc>
        <w:tc>
          <w:tcPr>
            <w:tcW w:w="1503" w:type="dxa"/>
          </w:tcPr>
          <w:p>
            <w:pPr>
              <w:pStyle w:val="TableParagraph"/>
              <w:spacing w:line="259" w:lineRule="auto" w:before="81"/>
              <w:ind w:left="239" w:right="106"/>
              <w:rPr>
                <w:i/>
                <w:sz w:val="22"/>
              </w:rPr>
            </w:pPr>
            <w:r>
              <w:rPr>
                <w:i/>
                <w:spacing w:val="-18"/>
                <w:w w:val="95"/>
                <w:sz w:val="22"/>
              </w:rPr>
              <w:t>脑垂体瘤、脑</w:t>
            </w:r>
            <w:r>
              <w:rPr>
                <w:i/>
                <w:spacing w:val="-25"/>
                <w:w w:val="95"/>
                <w:sz w:val="22"/>
              </w:rPr>
              <w:t>囊肿、脑动脉</w:t>
            </w:r>
            <w:r>
              <w:rPr>
                <w:i/>
                <w:spacing w:val="-25"/>
                <w:sz w:val="22"/>
              </w:rPr>
              <w:t>瘤和脑血管瘤</w:t>
            </w:r>
          </w:p>
        </w:tc>
        <w:tc>
          <w:tcPr>
            <w:tcW w:w="7717" w:type="dxa"/>
          </w:tcPr>
          <w:p>
            <w:pPr>
              <w:pStyle w:val="TableParagraph"/>
              <w:spacing w:line="273" w:lineRule="auto" w:before="92"/>
              <w:ind w:left="107" w:right="48"/>
              <w:rPr>
                <w:sz w:val="21"/>
              </w:rPr>
            </w:pPr>
            <w:r>
              <w:rPr>
                <w:spacing w:val="-1"/>
                <w:sz w:val="21"/>
              </w:rPr>
              <w:t>指经头颅断层扫描（CT</w:t>
            </w:r>
            <w:r>
              <w:rPr>
                <w:spacing w:val="-106"/>
                <w:sz w:val="21"/>
              </w:rPr>
              <w:t>）</w:t>
            </w:r>
            <w:r>
              <w:rPr>
                <w:sz w:val="21"/>
              </w:rPr>
              <w:t>、核磁共振（MRI）</w:t>
            </w:r>
            <w:r>
              <w:rPr>
                <w:spacing w:val="-1"/>
                <w:sz w:val="21"/>
              </w:rPr>
              <w:t>或其他影像学检查被确诊为下列病变，并实际接受了手术或放射治疗：</w:t>
            </w:r>
          </w:p>
          <w:p>
            <w:pPr>
              <w:pStyle w:val="TableParagraph"/>
              <w:spacing w:before="7"/>
              <w:ind w:left="107"/>
              <w:rPr>
                <w:sz w:val="21"/>
              </w:rPr>
            </w:pPr>
            <w:r>
              <w:rPr>
                <w:sz w:val="21"/>
              </w:rPr>
              <w:t>（1）脑垂体瘤；</w:t>
            </w:r>
          </w:p>
          <w:p>
            <w:pPr>
              <w:pStyle w:val="TableParagraph"/>
              <w:spacing w:before="37"/>
              <w:ind w:left="107"/>
              <w:rPr>
                <w:sz w:val="21"/>
              </w:rPr>
            </w:pPr>
            <w:r>
              <w:rPr>
                <w:sz w:val="21"/>
              </w:rPr>
              <w:t>（2）脑囊肿；</w:t>
            </w:r>
          </w:p>
        </w:tc>
      </w:tr>
      <w:tr>
        <w:trPr>
          <w:trHeight w:val="260" w:hRule="atLeast"/>
        </w:trPr>
        <w:tc>
          <w:tcPr>
            <w:tcW w:w="814" w:type="dxa"/>
          </w:tcPr>
          <w:p>
            <w:pPr>
              <w:pStyle w:val="TableParagraph"/>
              <w:rPr>
                <w:rFonts w:ascii="Times New Roman"/>
                <w:sz w:val="18"/>
              </w:rPr>
            </w:pPr>
          </w:p>
        </w:tc>
        <w:tc>
          <w:tcPr>
            <w:tcW w:w="1503" w:type="dxa"/>
          </w:tcPr>
          <w:p>
            <w:pPr>
              <w:pStyle w:val="TableParagraph"/>
              <w:rPr>
                <w:rFonts w:ascii="Times New Roman"/>
                <w:sz w:val="18"/>
              </w:rPr>
            </w:pPr>
          </w:p>
        </w:tc>
        <w:tc>
          <w:tcPr>
            <w:tcW w:w="7717" w:type="dxa"/>
          </w:tcPr>
          <w:p>
            <w:pPr>
              <w:pStyle w:val="TableParagraph"/>
              <w:spacing w:line="240" w:lineRule="exact"/>
              <w:ind w:left="107"/>
              <w:rPr>
                <w:sz w:val="21"/>
              </w:rPr>
            </w:pPr>
            <w:r>
              <w:rPr>
                <w:sz w:val="21"/>
              </w:rPr>
              <w:t>（3）脑动脉瘤、脑血管瘤。</w:t>
            </w:r>
          </w:p>
        </w:tc>
      </w:tr>
    </w:tbl>
    <w:p>
      <w:pPr>
        <w:pStyle w:val="BodyText"/>
        <w:rPr>
          <w:sz w:val="20"/>
        </w:rPr>
      </w:pPr>
    </w:p>
    <w:p>
      <w:pPr>
        <w:pStyle w:val="Heading2"/>
        <w:numPr>
          <w:ilvl w:val="0"/>
          <w:numId w:val="5"/>
        </w:numPr>
        <w:tabs>
          <w:tab w:pos="1225" w:val="left" w:leader="none"/>
          <w:tab w:pos="1226" w:val="left" w:leader="none"/>
        </w:tabs>
        <w:spacing w:line="240" w:lineRule="auto" w:before="148" w:after="0"/>
        <w:ind w:left="1225" w:right="0" w:hanging="1003"/>
        <w:jc w:val="left"/>
      </w:pPr>
      <w:r>
        <w:rPr>
          <w:w w:val="95"/>
        </w:rPr>
        <w:t>保险费的交纳</w:t>
      </w:r>
    </w:p>
    <w:p>
      <w:pPr>
        <w:pStyle w:val="BodyText"/>
        <w:spacing w:before="12"/>
        <w:rPr>
          <w:sz w:val="7"/>
        </w:rPr>
      </w:pPr>
      <w:r>
        <w:rPr/>
        <w:pict>
          <v:group style="position:absolute;margin-left:45.720001pt;margin-top:7.185001pt;width:509.4pt;height:1.45pt;mso-position-horizontal-relative:page;mso-position-vertical-relative:paragraph;z-index:1192;mso-wrap-distance-left:0;mso-wrap-distance-right:0" coordorigin="914,144" coordsize="10188,29">
            <v:line style="position:absolute" from="914,149" to="1919,149" stroked="true" strokeweight=".48pt" strokecolor="#000000">
              <v:stroke dashstyle="solid"/>
            </v:line>
            <v:line style="position:absolute" from="914,168" to="1919,168" stroked="true" strokeweight=".48pt" strokecolor="#000000">
              <v:stroke dashstyle="solid"/>
            </v:line>
            <v:rect style="position:absolute;left:1918;top:143;width:29;height:10" filled="true" fillcolor="#000000" stroked="false">
              <v:fill type="solid"/>
            </v:rect>
            <v:rect style="position:absolute;left:1918;top:162;width:29;height:10" filled="true" fillcolor="#000000" stroked="false">
              <v:fill type="solid"/>
            </v:rect>
            <v:line style="position:absolute" from="1948,149" to="3289,149" stroked="true" strokeweight=".48pt" strokecolor="#000000">
              <v:stroke dashstyle="solid"/>
            </v:line>
            <v:line style="position:absolute" from="1948,168" to="3289,168" stroked="true" strokeweight=".48pt" strokecolor="#000000">
              <v:stroke dashstyle="solid"/>
            </v:line>
            <v:rect style="position:absolute;left:3289;top:143;width:29;height:10" filled="true" fillcolor="#000000" stroked="false">
              <v:fill type="solid"/>
            </v:rect>
            <v:rect style="position:absolute;left:3289;top:162;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spacing w:after="0"/>
        <w:rPr>
          <w:sz w:val="9"/>
        </w:rPr>
        <w:sectPr>
          <w:type w:val="continuous"/>
          <w:pgSz w:w="11900" w:h="16840"/>
          <w:pgMar w:top="800" w:bottom="280" w:left="800" w:right="680"/>
        </w:sectPr>
      </w:pPr>
    </w:p>
    <w:p>
      <w:pPr>
        <w:pStyle w:val="BodyText"/>
        <w:tabs>
          <w:tab w:pos="1225" w:val="left" w:leader="none"/>
        </w:tabs>
        <w:spacing w:line="273" w:lineRule="auto" w:before="36"/>
        <w:ind w:left="1225" w:hanging="1004"/>
      </w:pPr>
      <w:r>
        <w:rPr/>
        <w:t>4.1</w:t>
        <w:tab/>
        <w:t>保险费的交 纳</w:t>
      </w:r>
    </w:p>
    <w:p>
      <w:pPr>
        <w:pStyle w:val="BodyText"/>
        <w:spacing w:before="36"/>
        <w:ind w:left="222"/>
      </w:pPr>
      <w:r>
        <w:rPr/>
        <w:br w:type="column"/>
      </w:r>
      <w:r>
        <w:rPr/>
        <w:t>本合同的保险费由投保人在投保时一次交清。</w:t>
      </w:r>
    </w:p>
    <w:p>
      <w:pPr>
        <w:spacing w:after="0"/>
        <w:sectPr>
          <w:type w:val="continuous"/>
          <w:pgSz w:w="11900" w:h="16840"/>
          <w:pgMar w:top="800" w:bottom="280" w:left="800" w:right="680"/>
          <w:cols w:num="2" w:equalWidth="0">
            <w:col w:w="2279" w:space="95"/>
            <w:col w:w="8046"/>
          </w:cols>
        </w:sectPr>
      </w:pPr>
    </w:p>
    <w:p>
      <w:pPr>
        <w:pStyle w:val="BodyText"/>
        <w:spacing w:before="6"/>
        <w:rPr>
          <w:sz w:val="24"/>
        </w:rPr>
      </w:pPr>
    </w:p>
    <w:p>
      <w:pPr>
        <w:pStyle w:val="Heading2"/>
        <w:numPr>
          <w:ilvl w:val="0"/>
          <w:numId w:val="5"/>
        </w:numPr>
        <w:tabs>
          <w:tab w:pos="1225" w:val="left" w:leader="none"/>
          <w:tab w:pos="1226" w:val="left" w:leader="none"/>
        </w:tabs>
        <w:spacing w:line="240" w:lineRule="auto" w:before="14" w:after="0"/>
        <w:ind w:left="1225" w:right="0" w:hanging="1003"/>
        <w:jc w:val="left"/>
      </w:pPr>
      <w:r>
        <w:rPr>
          <w:w w:val="95"/>
        </w:rPr>
        <w:t>保险金的申请</w:t>
      </w:r>
    </w:p>
    <w:p>
      <w:pPr>
        <w:pStyle w:val="BodyText"/>
        <w:rPr>
          <w:sz w:val="8"/>
        </w:rPr>
      </w:pPr>
      <w:r>
        <w:rPr/>
        <w:pict>
          <v:group style="position:absolute;margin-left:45.720001pt;margin-top:7.219987pt;width:509.4pt;height:1.45pt;mso-position-horizontal-relative:page;mso-position-vertical-relative:paragraph;z-index:1216;mso-wrap-distance-left:0;mso-wrap-distance-right:0" coordorigin="914,144" coordsize="10188,29">
            <v:line style="position:absolute" from="914,149" to="1919,149" stroked="true" strokeweight=".48001pt" strokecolor="#000000">
              <v:stroke dashstyle="solid"/>
            </v:line>
            <v:line style="position:absolute" from="914,168" to="1919,168" stroked="true" strokeweight=".48pt" strokecolor="#000000">
              <v:stroke dashstyle="solid"/>
            </v:line>
            <v:rect style="position:absolute;left:1918;top:144;width:29;height:10" filled="true" fillcolor="#000000" stroked="false">
              <v:fill type="solid"/>
            </v:rect>
            <v:rect style="position:absolute;left:1918;top:163;width:29;height:10" filled="true" fillcolor="#000000" stroked="false">
              <v:fill type="solid"/>
            </v:rect>
            <v:line style="position:absolute" from="1948,149" to="3289,149" stroked="true" strokeweight=".48001pt" strokecolor="#000000">
              <v:stroke dashstyle="solid"/>
            </v:line>
            <v:line style="position:absolute" from="1948,168" to="3289,168" stroked="true" strokeweight=".48pt" strokecolor="#000000">
              <v:stroke dashstyle="solid"/>
            </v:line>
            <v:rect style="position:absolute;left:3289;top:144;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pStyle w:val="BodyText"/>
        <w:tabs>
          <w:tab w:pos="1225" w:val="left" w:leader="none"/>
          <w:tab w:pos="2597" w:val="left" w:leader="none"/>
        </w:tabs>
        <w:spacing w:line="273" w:lineRule="auto" w:before="36"/>
        <w:ind w:left="2597" w:right="260" w:hanging="2375"/>
      </w:pPr>
      <w:r>
        <w:rPr/>
        <w:t>5.1</w:t>
        <w:tab/>
        <w:t>受益人</w:t>
        <w:tab/>
        <w:t>除另有约定外，本合同重大疾病保险金、特定恶性肿瘤特别关爱保险金、轻症重疾保险金的受益人为被保险人本人。</w:t>
      </w:r>
    </w:p>
    <w:p>
      <w:pPr>
        <w:spacing w:after="0" w:line="273" w:lineRule="auto"/>
        <w:sectPr>
          <w:type w:val="continuous"/>
          <w:pgSz w:w="11900" w:h="16840"/>
          <w:pgMar w:top="800" w:bottom="280" w:left="800" w:right="680"/>
        </w:sectPr>
      </w:pPr>
    </w:p>
    <w:p>
      <w:pPr>
        <w:pStyle w:val="BodyText"/>
        <w:spacing w:before="12" w:after="1"/>
        <w:rPr>
          <w:sz w:val="2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03"/>
        <w:gridCol w:w="7756"/>
      </w:tblGrid>
      <w:tr>
        <w:trPr>
          <w:trHeight w:val="272" w:hRule="atLeast"/>
        </w:trPr>
        <w:tc>
          <w:tcPr>
            <w:tcW w:w="814" w:type="dxa"/>
          </w:tcPr>
          <w:p>
            <w:pPr>
              <w:pStyle w:val="TableParagraph"/>
              <w:spacing w:line="220" w:lineRule="exact"/>
              <w:ind w:left="50"/>
              <w:rPr>
                <w:sz w:val="21"/>
              </w:rPr>
            </w:pPr>
            <w:r>
              <w:rPr>
                <w:sz w:val="21"/>
              </w:rPr>
              <w:t>5.2</w:t>
            </w:r>
          </w:p>
        </w:tc>
        <w:tc>
          <w:tcPr>
            <w:tcW w:w="1503" w:type="dxa"/>
          </w:tcPr>
          <w:p>
            <w:pPr>
              <w:pStyle w:val="TableParagraph"/>
              <w:spacing w:line="220" w:lineRule="exact"/>
              <w:ind w:left="239"/>
              <w:rPr>
                <w:sz w:val="21"/>
              </w:rPr>
            </w:pPr>
            <w:r>
              <w:rPr>
                <w:sz w:val="21"/>
              </w:rPr>
              <w:t>保险事故通</w:t>
            </w:r>
          </w:p>
        </w:tc>
        <w:tc>
          <w:tcPr>
            <w:tcW w:w="7756" w:type="dxa"/>
          </w:tcPr>
          <w:p>
            <w:pPr>
              <w:pStyle w:val="TableParagraph"/>
              <w:spacing w:line="222" w:lineRule="exact"/>
              <w:ind w:left="107"/>
              <w:rPr>
                <w:i/>
                <w:sz w:val="22"/>
              </w:rPr>
            </w:pPr>
            <w:r>
              <w:rPr>
                <w:sz w:val="21"/>
              </w:rPr>
              <w:t>投保人、被保险人或受益人知道保险事故后应当在 10 日内通知本公司</w:t>
            </w:r>
            <w:r>
              <w:rPr>
                <w:i/>
                <w:sz w:val="22"/>
              </w:rPr>
              <w:t>。</w:t>
            </w:r>
          </w:p>
        </w:tc>
      </w:tr>
      <w:tr>
        <w:trPr>
          <w:trHeight w:val="311" w:hRule="atLeast"/>
        </w:trPr>
        <w:tc>
          <w:tcPr>
            <w:tcW w:w="814" w:type="dxa"/>
          </w:tcPr>
          <w:p>
            <w:pPr>
              <w:pStyle w:val="TableParagraph"/>
              <w:rPr>
                <w:rFonts w:ascii="Times New Roman"/>
                <w:sz w:val="20"/>
              </w:rPr>
            </w:pPr>
          </w:p>
        </w:tc>
        <w:tc>
          <w:tcPr>
            <w:tcW w:w="1503" w:type="dxa"/>
          </w:tcPr>
          <w:p>
            <w:pPr>
              <w:pStyle w:val="TableParagraph"/>
              <w:spacing w:line="260" w:lineRule="exact"/>
              <w:ind w:left="239"/>
              <w:rPr>
                <w:sz w:val="21"/>
              </w:rPr>
            </w:pPr>
            <w:r>
              <w:rPr>
                <w:sz w:val="21"/>
              </w:rPr>
              <w:t>知</w:t>
            </w:r>
          </w:p>
        </w:tc>
        <w:tc>
          <w:tcPr>
            <w:tcW w:w="7756" w:type="dxa"/>
          </w:tcPr>
          <w:p>
            <w:pPr>
              <w:pStyle w:val="TableParagraph"/>
              <w:spacing w:line="260" w:lineRule="exact"/>
              <w:ind w:left="107"/>
              <w:rPr>
                <w:sz w:val="21"/>
              </w:rPr>
            </w:pPr>
            <w:r>
              <w:rPr>
                <w:sz w:val="21"/>
                <w:shd w:fill="E5E5E5" w:color="auto" w:val="clear"/>
              </w:rPr>
              <w:t>如果因故意或者因重大过失未及时通知，致使保险事故的性质、原因、损失程度等</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56" w:type="dxa"/>
          </w:tcPr>
          <w:p>
            <w:pPr>
              <w:pStyle w:val="TableParagraph"/>
              <w:spacing w:line="261" w:lineRule="exact"/>
              <w:ind w:left="107"/>
              <w:rPr>
                <w:sz w:val="21"/>
              </w:rPr>
            </w:pPr>
            <w:r>
              <w:rPr>
                <w:sz w:val="21"/>
                <w:shd w:fill="E5E5E5" w:color="auto" w:val="clear"/>
              </w:rPr>
              <w:t>难以确定的，本公司对无法确定的部分，不承担给付保险金的责任，</w:t>
            </w:r>
            <w:r>
              <w:rPr>
                <w:sz w:val="21"/>
              </w:rPr>
              <w:t>但本公司通过</w:t>
            </w:r>
          </w:p>
        </w:tc>
      </w:tr>
      <w:tr>
        <w:trPr>
          <w:trHeight w:val="311"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56" w:type="dxa"/>
          </w:tcPr>
          <w:p>
            <w:pPr>
              <w:pStyle w:val="TableParagraph"/>
              <w:spacing w:line="261" w:lineRule="exact"/>
              <w:ind w:left="107"/>
              <w:rPr>
                <w:sz w:val="21"/>
              </w:rPr>
            </w:pPr>
            <w:r>
              <w:rPr>
                <w:sz w:val="21"/>
              </w:rPr>
              <w:t>其他途径已经及时知道或者应当及时知道保险事故发生或者虽未及时通知但不影响</w:t>
            </w:r>
          </w:p>
        </w:tc>
      </w:tr>
      <w:tr>
        <w:trPr>
          <w:trHeight w:val="463" w:hRule="atLeast"/>
        </w:trPr>
        <w:tc>
          <w:tcPr>
            <w:tcW w:w="814" w:type="dxa"/>
          </w:tcPr>
          <w:p>
            <w:pPr>
              <w:pStyle w:val="TableParagraph"/>
              <w:rPr>
                <w:rFonts w:ascii="Times New Roman"/>
                <w:sz w:val="20"/>
              </w:rPr>
            </w:pPr>
          </w:p>
        </w:tc>
        <w:tc>
          <w:tcPr>
            <w:tcW w:w="1503" w:type="dxa"/>
          </w:tcPr>
          <w:p>
            <w:pPr>
              <w:pStyle w:val="TableParagraph"/>
              <w:rPr>
                <w:rFonts w:ascii="Times New Roman"/>
                <w:sz w:val="20"/>
              </w:rPr>
            </w:pPr>
          </w:p>
        </w:tc>
        <w:tc>
          <w:tcPr>
            <w:tcW w:w="7756" w:type="dxa"/>
          </w:tcPr>
          <w:p>
            <w:pPr>
              <w:pStyle w:val="TableParagraph"/>
              <w:spacing w:line="261" w:lineRule="exact"/>
              <w:ind w:left="107"/>
              <w:rPr>
                <w:sz w:val="21"/>
              </w:rPr>
            </w:pPr>
            <w:r>
              <w:rPr>
                <w:sz w:val="21"/>
              </w:rPr>
              <w:t>本公司确定保险事故的性质、原因、损失程度的除外。</w:t>
            </w:r>
          </w:p>
        </w:tc>
      </w:tr>
      <w:tr>
        <w:trPr>
          <w:trHeight w:val="587" w:hRule="atLeast"/>
        </w:trPr>
        <w:tc>
          <w:tcPr>
            <w:tcW w:w="814" w:type="dxa"/>
          </w:tcPr>
          <w:p>
            <w:pPr>
              <w:pStyle w:val="TableParagraph"/>
              <w:spacing w:before="138"/>
              <w:ind w:left="50"/>
              <w:rPr>
                <w:sz w:val="21"/>
              </w:rPr>
            </w:pPr>
            <w:r>
              <w:rPr>
                <w:sz w:val="21"/>
              </w:rPr>
              <w:t>5.3</w:t>
            </w:r>
          </w:p>
        </w:tc>
        <w:tc>
          <w:tcPr>
            <w:tcW w:w="1503" w:type="dxa"/>
          </w:tcPr>
          <w:p>
            <w:pPr>
              <w:pStyle w:val="TableParagraph"/>
              <w:spacing w:before="138"/>
              <w:ind w:left="239"/>
              <w:rPr>
                <w:sz w:val="21"/>
              </w:rPr>
            </w:pPr>
            <w:r>
              <w:rPr>
                <w:sz w:val="21"/>
              </w:rPr>
              <w:t>保险金申请</w:t>
            </w:r>
          </w:p>
        </w:tc>
        <w:tc>
          <w:tcPr>
            <w:tcW w:w="7756" w:type="dxa"/>
          </w:tcPr>
          <w:p>
            <w:pPr>
              <w:pStyle w:val="TableParagraph"/>
              <w:spacing w:before="138"/>
              <w:ind w:left="107"/>
              <w:rPr>
                <w:sz w:val="21"/>
              </w:rPr>
            </w:pPr>
            <w:r>
              <w:rPr>
                <w:sz w:val="21"/>
              </w:rPr>
              <w:t>在申请保险金时，请按照下列方式办理：</w:t>
            </w:r>
          </w:p>
        </w:tc>
      </w:tr>
      <w:tr>
        <w:trPr>
          <w:trHeight w:val="458" w:hRule="atLeast"/>
        </w:trPr>
        <w:tc>
          <w:tcPr>
            <w:tcW w:w="814" w:type="dxa"/>
          </w:tcPr>
          <w:p>
            <w:pPr>
              <w:pStyle w:val="TableParagraph"/>
              <w:spacing w:before="108"/>
              <w:ind w:left="50"/>
              <w:rPr>
                <w:i/>
                <w:sz w:val="22"/>
              </w:rPr>
            </w:pPr>
            <w:r>
              <w:rPr>
                <w:i/>
                <w:sz w:val="22"/>
              </w:rPr>
              <w:t>5.3.1</w:t>
            </w:r>
          </w:p>
        </w:tc>
        <w:tc>
          <w:tcPr>
            <w:tcW w:w="1503" w:type="dxa"/>
          </w:tcPr>
          <w:p>
            <w:pPr>
              <w:pStyle w:val="TableParagraph"/>
              <w:spacing w:before="133"/>
              <w:ind w:left="239"/>
              <w:rPr>
                <w:i/>
                <w:sz w:val="22"/>
              </w:rPr>
            </w:pPr>
            <w:r>
              <w:rPr>
                <w:i/>
                <w:w w:val="95"/>
                <w:sz w:val="22"/>
              </w:rPr>
              <w:t>重大疾病保</w:t>
            </w:r>
          </w:p>
        </w:tc>
        <w:tc>
          <w:tcPr>
            <w:tcW w:w="7756" w:type="dxa"/>
          </w:tcPr>
          <w:p>
            <w:pPr>
              <w:pStyle w:val="TableParagraph"/>
              <w:spacing w:before="119"/>
              <w:ind w:left="107"/>
              <w:rPr>
                <w:sz w:val="21"/>
              </w:rPr>
            </w:pPr>
            <w:r>
              <w:rPr>
                <w:sz w:val="21"/>
              </w:rPr>
              <w:t>申请人须填写保险金给付申请书，并须提供下列证明和资料：</w:t>
            </w:r>
          </w:p>
        </w:tc>
      </w:tr>
      <w:tr>
        <w:trPr>
          <w:trHeight w:val="315" w:hRule="atLeast"/>
        </w:trPr>
        <w:tc>
          <w:tcPr>
            <w:tcW w:w="814" w:type="dxa"/>
          </w:tcPr>
          <w:p>
            <w:pPr>
              <w:pStyle w:val="TableParagraph"/>
              <w:rPr>
                <w:rFonts w:ascii="Times New Roman"/>
                <w:sz w:val="20"/>
              </w:rPr>
            </w:pPr>
          </w:p>
        </w:tc>
        <w:tc>
          <w:tcPr>
            <w:tcW w:w="1503" w:type="dxa"/>
          </w:tcPr>
          <w:p>
            <w:pPr>
              <w:pStyle w:val="TableParagraph"/>
              <w:spacing w:line="281" w:lineRule="exact"/>
              <w:ind w:left="239"/>
              <w:rPr>
                <w:i/>
                <w:sz w:val="22"/>
              </w:rPr>
            </w:pPr>
            <w:r>
              <w:rPr>
                <w:i/>
                <w:w w:val="95"/>
                <w:sz w:val="22"/>
              </w:rPr>
              <w:t>险金、特定恶</w:t>
            </w:r>
          </w:p>
        </w:tc>
        <w:tc>
          <w:tcPr>
            <w:tcW w:w="7756" w:type="dxa"/>
          </w:tcPr>
          <w:p>
            <w:pPr>
              <w:pStyle w:val="TableParagraph"/>
              <w:spacing w:line="248" w:lineRule="exact"/>
              <w:ind w:left="107"/>
              <w:rPr>
                <w:sz w:val="21"/>
              </w:rPr>
            </w:pPr>
            <w:r>
              <w:rPr>
                <w:sz w:val="21"/>
              </w:rPr>
              <w:t>（1）保险合同；</w:t>
            </w:r>
          </w:p>
        </w:tc>
      </w:tr>
      <w:tr>
        <w:trPr>
          <w:trHeight w:val="606" w:hRule="atLeast"/>
        </w:trPr>
        <w:tc>
          <w:tcPr>
            <w:tcW w:w="814" w:type="dxa"/>
          </w:tcPr>
          <w:p>
            <w:pPr>
              <w:pStyle w:val="TableParagraph"/>
              <w:rPr>
                <w:rFonts w:ascii="Times New Roman"/>
                <w:sz w:val="20"/>
              </w:rPr>
            </w:pPr>
          </w:p>
        </w:tc>
        <w:tc>
          <w:tcPr>
            <w:tcW w:w="1503" w:type="dxa"/>
          </w:tcPr>
          <w:p>
            <w:pPr>
              <w:pStyle w:val="TableParagraph"/>
              <w:spacing w:line="286" w:lineRule="exact"/>
              <w:ind w:left="239"/>
              <w:rPr>
                <w:i/>
                <w:sz w:val="22"/>
              </w:rPr>
            </w:pPr>
            <w:r>
              <w:rPr>
                <w:i/>
                <w:w w:val="95"/>
                <w:sz w:val="22"/>
              </w:rPr>
              <w:t>性肿瘤特别</w:t>
            </w:r>
          </w:p>
          <w:p>
            <w:pPr>
              <w:pStyle w:val="TableParagraph"/>
              <w:spacing w:line="268" w:lineRule="exact" w:before="32"/>
              <w:ind w:left="239"/>
              <w:rPr>
                <w:i/>
                <w:sz w:val="22"/>
              </w:rPr>
            </w:pPr>
            <w:r>
              <w:rPr>
                <w:i/>
                <w:w w:val="95"/>
                <w:sz w:val="22"/>
              </w:rPr>
              <w:t>关爱保险金</w:t>
            </w:r>
          </w:p>
        </w:tc>
        <w:tc>
          <w:tcPr>
            <w:tcW w:w="7756" w:type="dxa"/>
          </w:tcPr>
          <w:p>
            <w:pPr>
              <w:pStyle w:val="TableParagraph"/>
              <w:spacing w:line="244" w:lineRule="exact"/>
              <w:ind w:left="107"/>
              <w:rPr>
                <w:sz w:val="21"/>
              </w:rPr>
            </w:pPr>
            <w:r>
              <w:rPr>
                <w:sz w:val="21"/>
              </w:rPr>
              <w:t>（2）</w:t>
            </w:r>
            <w:r>
              <w:rPr>
                <w:spacing w:val="-1"/>
                <w:sz w:val="21"/>
              </w:rPr>
              <w:t>受益人有效身份证件（</w:t>
            </w:r>
            <w:r>
              <w:rPr>
                <w:spacing w:val="-27"/>
                <w:sz w:val="21"/>
              </w:rPr>
              <w:t>见 </w:t>
            </w:r>
            <w:r>
              <w:rPr>
                <w:spacing w:val="-1"/>
                <w:sz w:val="21"/>
              </w:rPr>
              <w:t>8</w:t>
            </w:r>
            <w:r>
              <w:rPr>
                <w:sz w:val="21"/>
              </w:rPr>
              <w:t>.</w:t>
            </w:r>
            <w:r>
              <w:rPr>
                <w:spacing w:val="-1"/>
                <w:sz w:val="21"/>
              </w:rPr>
              <w:t>1</w:t>
            </w:r>
            <w:r>
              <w:rPr>
                <w:sz w:val="21"/>
              </w:rPr>
              <w:t>9</w:t>
            </w:r>
            <w:r>
              <w:rPr>
                <w:spacing w:val="-106"/>
                <w:sz w:val="21"/>
              </w:rPr>
              <w:t>）</w:t>
            </w:r>
            <w:r>
              <w:rPr>
                <w:sz w:val="21"/>
              </w:rPr>
              <w:t>；</w:t>
            </w:r>
          </w:p>
          <w:p>
            <w:pPr>
              <w:pStyle w:val="TableParagraph"/>
              <w:spacing w:before="37"/>
              <w:ind w:left="107"/>
              <w:rPr>
                <w:sz w:val="21"/>
              </w:rPr>
            </w:pPr>
            <w:r>
              <w:rPr>
                <w:spacing w:val="-12"/>
                <w:sz w:val="21"/>
              </w:rPr>
              <w:t>（3）</w:t>
            </w:r>
            <w:r>
              <w:rPr>
                <w:spacing w:val="-2"/>
                <w:sz w:val="21"/>
              </w:rPr>
              <w:t>本公司认可的医院出具的附有病理显微镜检查、血液检验及其他科学方法检验</w:t>
            </w:r>
          </w:p>
        </w:tc>
      </w:tr>
    </w:tbl>
    <w:p>
      <w:pPr>
        <w:spacing w:after="0"/>
        <w:rPr>
          <w:sz w:val="21"/>
        </w:rPr>
        <w:sectPr>
          <w:headerReference w:type="default" r:id="rId10"/>
          <w:pgSz w:w="11900" w:h="16840"/>
          <w:pgMar w:header="575" w:footer="0" w:top="800" w:bottom="280" w:left="800" w:right="680"/>
          <w:pgNumType w:start="7"/>
        </w:sectPr>
      </w:pPr>
    </w:p>
    <w:p>
      <w:pPr>
        <w:pStyle w:val="Heading3"/>
        <w:spacing w:line="266" w:lineRule="auto" w:before="31"/>
        <w:ind w:firstLine="0"/>
      </w:pPr>
      <w:r>
        <w:rPr>
          <w:w w:val="95"/>
        </w:rPr>
        <w:t>及轻症重疾保险金申请</w:t>
      </w:r>
    </w:p>
    <w:p>
      <w:pPr>
        <w:pStyle w:val="BodyText"/>
        <w:spacing w:line="261" w:lineRule="exact"/>
        <w:ind w:left="281"/>
      </w:pPr>
      <w:r>
        <w:rPr/>
        <w:br w:type="column"/>
      </w:r>
      <w:r>
        <w:rPr/>
        <w:t>报告的疾病诊断证明书；</w:t>
      </w:r>
    </w:p>
    <w:p>
      <w:pPr>
        <w:pStyle w:val="BodyText"/>
        <w:spacing w:before="37"/>
        <w:ind w:left="281"/>
      </w:pPr>
      <w:r>
        <w:rPr/>
        <w:t>（4）所能提供的与确认保险事故的性质、原因等有关的其他证明和资料。</w:t>
      </w:r>
    </w:p>
    <w:p>
      <w:pPr>
        <w:spacing w:after="0"/>
        <w:sectPr>
          <w:type w:val="continuous"/>
          <w:pgSz w:w="11900" w:h="16840"/>
          <w:pgMar w:top="800" w:bottom="280" w:left="800" w:right="680"/>
          <w:cols w:num="2" w:equalWidth="0">
            <w:col w:w="2276" w:space="40"/>
            <w:col w:w="8104"/>
          </w:cols>
        </w:sectPr>
      </w:pPr>
    </w:p>
    <w:p>
      <w:pPr>
        <w:pStyle w:val="BodyText"/>
        <w:spacing w:before="2"/>
        <w:rPr>
          <w:sz w:val="16"/>
        </w:rPr>
      </w:pPr>
    </w:p>
    <w:p>
      <w:pPr>
        <w:spacing w:after="0"/>
        <w:rPr>
          <w:sz w:val="16"/>
        </w:rPr>
        <w:sectPr>
          <w:type w:val="continuous"/>
          <w:pgSz w:w="11900" w:h="16840"/>
          <w:pgMar w:top="800" w:bottom="280" w:left="800" w:right="680"/>
        </w:sectPr>
      </w:pPr>
    </w:p>
    <w:p>
      <w:pPr>
        <w:pStyle w:val="Heading3"/>
        <w:numPr>
          <w:ilvl w:val="2"/>
          <w:numId w:val="6"/>
        </w:numPr>
        <w:tabs>
          <w:tab w:pos="1226" w:val="left" w:leader="none"/>
        </w:tabs>
        <w:spacing w:line="264" w:lineRule="auto" w:before="34" w:after="0"/>
        <w:ind w:left="1225" w:right="0" w:hanging="1003"/>
        <w:jc w:val="both"/>
      </w:pPr>
      <w:r>
        <w:rPr>
          <w:w w:val="95"/>
          <w:position w:val="-2"/>
        </w:rPr>
        <w:t>委托他人代</w:t>
      </w:r>
      <w:r>
        <w:rPr>
          <w:w w:val="95"/>
        </w:rPr>
        <w:t>为申请保险</w:t>
      </w:r>
      <w:r>
        <w:rPr/>
        <w:t>金</w:t>
      </w:r>
    </w:p>
    <w:p>
      <w:pPr>
        <w:pStyle w:val="BodyText"/>
        <w:spacing w:line="273" w:lineRule="auto" w:before="46"/>
        <w:ind w:left="222" w:right="260"/>
      </w:pPr>
      <w:r>
        <w:rPr/>
        <w:br w:type="column"/>
      </w:r>
      <w:r>
        <w:rPr/>
        <w:t>若受益人委托他人代为申请保险金，被委托人还应提供受益人签字的授权委托书、被委托人的有效身份证件等相关证明文件。</w:t>
      </w:r>
    </w:p>
    <w:p>
      <w:pPr>
        <w:spacing w:after="0" w:line="273" w:lineRule="auto"/>
        <w:sectPr>
          <w:type w:val="continuous"/>
          <w:pgSz w:w="11900" w:h="16840"/>
          <w:pgMar w:top="800" w:bottom="280" w:left="800" w:right="680"/>
          <w:cols w:num="2" w:equalWidth="0">
            <w:col w:w="2276" w:space="99"/>
            <w:col w:w="8045"/>
          </w:cols>
        </w:sectPr>
      </w:pPr>
    </w:p>
    <w:p>
      <w:pPr>
        <w:pStyle w:val="BodyText"/>
        <w:spacing w:before="2"/>
        <w:rPr>
          <w:sz w:val="17"/>
        </w:rPr>
      </w:pPr>
    </w:p>
    <w:p>
      <w:pPr>
        <w:pStyle w:val="ListParagraph"/>
        <w:numPr>
          <w:ilvl w:val="2"/>
          <w:numId w:val="6"/>
        </w:numPr>
        <w:tabs>
          <w:tab w:pos="1225" w:val="left" w:leader="none"/>
          <w:tab w:pos="1226" w:val="left" w:leader="none"/>
          <w:tab w:pos="2599" w:val="left" w:leader="none"/>
        </w:tabs>
        <w:spacing w:line="268" w:lineRule="auto" w:before="34" w:after="0"/>
        <w:ind w:left="2597" w:right="224" w:hanging="2375"/>
        <w:jc w:val="left"/>
        <w:rPr>
          <w:sz w:val="21"/>
        </w:rPr>
      </w:pPr>
      <w:r>
        <w:rPr>
          <w:i/>
          <w:sz w:val="22"/>
        </w:rPr>
        <w:t>补充通知</w:t>
        <w:tab/>
        <w:tab/>
      </w:r>
      <w:r>
        <w:rPr>
          <w:sz w:val="21"/>
        </w:rPr>
        <w:t>以上证明和资料不完整的，本公司将及时一次性通知申请人补充提供有关的证明和 资料。</w:t>
      </w:r>
    </w:p>
    <w:p>
      <w:pPr>
        <w:pStyle w:val="BodyText"/>
        <w:spacing w:before="10"/>
        <w:rPr>
          <w:sz w:val="23"/>
        </w:rPr>
      </w:pPr>
    </w:p>
    <w:p>
      <w:pPr>
        <w:pStyle w:val="ListParagraph"/>
        <w:numPr>
          <w:ilvl w:val="2"/>
          <w:numId w:val="6"/>
        </w:numPr>
        <w:tabs>
          <w:tab w:pos="1225" w:val="left" w:leader="none"/>
          <w:tab w:pos="1226" w:val="left" w:leader="none"/>
          <w:tab w:pos="2597" w:val="left" w:leader="none"/>
        </w:tabs>
        <w:spacing w:line="268" w:lineRule="auto" w:before="0" w:after="0"/>
        <w:ind w:left="2597" w:right="223" w:hanging="2375"/>
        <w:jc w:val="left"/>
        <w:rPr>
          <w:sz w:val="21"/>
        </w:rPr>
      </w:pPr>
      <w:r>
        <w:rPr>
          <w:i/>
          <w:sz w:val="22"/>
        </w:rPr>
        <w:t>身体检查</w:t>
        <w:tab/>
      </w:r>
      <w:r>
        <w:rPr>
          <w:sz w:val="21"/>
        </w:rPr>
        <w:t>除上述相关证明外，本公司如认为必要，在保险事故发生后可以对被保险人的身体 状况进行检查或鉴定。</w:t>
      </w:r>
    </w:p>
    <w:p>
      <w:pPr>
        <w:pStyle w:val="BodyText"/>
        <w:spacing w:before="7"/>
        <w:rPr>
          <w:sz w:val="24"/>
        </w:rPr>
      </w:pPr>
    </w:p>
    <w:p>
      <w:pPr>
        <w:pStyle w:val="ListParagraph"/>
        <w:numPr>
          <w:ilvl w:val="1"/>
          <w:numId w:val="6"/>
        </w:numPr>
        <w:tabs>
          <w:tab w:pos="1225" w:val="left" w:leader="none"/>
          <w:tab w:pos="1226" w:val="left" w:leader="none"/>
          <w:tab w:pos="2597" w:val="left" w:leader="none"/>
        </w:tabs>
        <w:spacing w:line="273" w:lineRule="auto" w:before="0" w:after="0"/>
        <w:ind w:left="2597" w:right="119" w:hanging="2375"/>
        <w:jc w:val="left"/>
        <w:rPr>
          <w:sz w:val="21"/>
        </w:rPr>
      </w:pPr>
      <w:r>
        <w:rPr>
          <w:sz w:val="21"/>
        </w:rPr>
        <w:t>保险金给付</w:t>
        <w:tab/>
        <w:t>本公司在收到保险金给付申请书及上述有关的证明和资料后</w:t>
      </w:r>
      <w:r>
        <w:rPr>
          <w:spacing w:val="-69"/>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0"/>
          <w:sz w:val="21"/>
        </w:rPr>
        <w:t> </w:t>
      </w:r>
      <w:r>
        <w:rPr>
          <w:sz w:val="21"/>
        </w:rPr>
        <w:t>日内作出核定。</w:t>
      </w:r>
    </w:p>
    <w:p>
      <w:pPr>
        <w:pStyle w:val="BodyText"/>
        <w:spacing w:before="7"/>
        <w:ind w:left="2597"/>
      </w:pPr>
      <w:r>
        <w:rPr/>
        <w:t>对属于保险责任的，本公司在与受益人达成给付保险金的协议后 10 日内，履行给付</w:t>
      </w:r>
    </w:p>
    <w:p>
      <w:pPr>
        <w:pStyle w:val="BodyText"/>
        <w:spacing w:before="36"/>
        <w:ind w:left="2597"/>
      </w:pPr>
      <w:r>
        <w:rPr/>
        <w:t>保险金义务。若本公司在收齐相关证明和资料后 30 日内仍未作出核定，除支付保险</w:t>
      </w:r>
    </w:p>
    <w:p>
      <w:pPr>
        <w:pStyle w:val="BodyText"/>
        <w:spacing w:line="273" w:lineRule="auto" w:before="36"/>
        <w:ind w:left="2597" w:right="224"/>
        <w:jc w:val="both"/>
      </w:pPr>
      <w:r>
        <w:rPr>
          <w:spacing w:val="-12"/>
        </w:rPr>
        <w:t>金外，本公司将从第 </w:t>
      </w:r>
      <w:r>
        <w:rPr/>
        <w:t>31</w:t>
      </w:r>
      <w:r>
        <w:rPr>
          <w:spacing w:val="-11"/>
        </w:rPr>
        <w:t> 日起按超过天数赔偿受益人因此受到的利息损失。利息按照中国人民银行公布的同期金融机构人民币活期存款基准利率计算。</w:t>
      </w:r>
    </w:p>
    <w:p>
      <w:pPr>
        <w:pStyle w:val="BodyText"/>
        <w:spacing w:line="273" w:lineRule="auto" w:before="7"/>
        <w:ind w:left="2597" w:right="260"/>
        <w:jc w:val="both"/>
      </w:pPr>
      <w:r>
        <w:rPr>
          <w:spacing w:val="-3"/>
        </w:rPr>
        <w:t>对不属于保险责任的，本公司自作出核定之日起 </w:t>
      </w:r>
      <w:r>
        <w:rPr/>
        <w:t>3</w:t>
      </w:r>
      <w:r>
        <w:rPr>
          <w:spacing w:val="-8"/>
        </w:rPr>
        <w:t> 日内向受益人发出拒绝给付保险金通知书并说明理由。</w:t>
      </w:r>
    </w:p>
    <w:p>
      <w:pPr>
        <w:pStyle w:val="BodyText"/>
        <w:spacing w:line="273" w:lineRule="auto" w:before="7"/>
        <w:ind w:left="2597" w:right="223"/>
        <w:jc w:val="both"/>
      </w:pPr>
      <w:r>
        <w:rPr>
          <w:spacing w:val="-3"/>
        </w:rPr>
        <w:t>本公司在收到保险金给付申请书及有关证明和资料之日起 </w:t>
      </w:r>
      <w:r>
        <w:rPr/>
        <w:t>60</w:t>
      </w:r>
      <w:r>
        <w:rPr>
          <w:spacing w:val="-15"/>
        </w:rPr>
        <w:t> 日内，对给付保险金的数额不能确定的，根据已有证明和资料可以确定的数额先予支付；本公司最终确定给付保险金的数额后，将支付相应的差额。</w:t>
      </w:r>
    </w:p>
    <w:p>
      <w:pPr>
        <w:pStyle w:val="BodyText"/>
        <w:spacing w:before="11"/>
        <w:rPr>
          <w:sz w:val="22"/>
        </w:rPr>
      </w:pPr>
    </w:p>
    <w:p>
      <w:pPr>
        <w:pStyle w:val="ListParagraph"/>
        <w:numPr>
          <w:ilvl w:val="1"/>
          <w:numId w:val="6"/>
        </w:numPr>
        <w:tabs>
          <w:tab w:pos="1225" w:val="left" w:leader="none"/>
          <w:tab w:pos="1226" w:val="left" w:leader="none"/>
          <w:tab w:pos="2597" w:val="left" w:leader="none"/>
        </w:tabs>
        <w:spacing w:line="273" w:lineRule="auto" w:before="0" w:after="0"/>
        <w:ind w:left="2597" w:right="260" w:hanging="2375"/>
        <w:jc w:val="left"/>
        <w:rPr>
          <w:sz w:val="21"/>
        </w:rPr>
      </w:pPr>
      <w:r>
        <w:rPr>
          <w:sz w:val="21"/>
        </w:rPr>
        <w:t>诉讼时效</w:t>
        <w:tab/>
        <w:t>受益人向本公司请求给付保险金的诉讼时效期间为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11"/>
        <w:rPr>
          <w:sz w:val="23"/>
        </w:rPr>
      </w:pPr>
    </w:p>
    <w:p>
      <w:pPr>
        <w:pStyle w:val="Heading2"/>
        <w:numPr>
          <w:ilvl w:val="0"/>
          <w:numId w:val="6"/>
        </w:numPr>
        <w:tabs>
          <w:tab w:pos="1225" w:val="left" w:leader="none"/>
          <w:tab w:pos="1226" w:val="left" w:leader="none"/>
        </w:tabs>
        <w:spacing w:line="240" w:lineRule="auto" w:before="0" w:after="0"/>
        <w:ind w:left="1225" w:right="0" w:hanging="1003"/>
        <w:jc w:val="left"/>
      </w:pPr>
      <w:r>
        <w:rPr>
          <w:w w:val="95"/>
        </w:rPr>
        <w:t>合同解除</w:t>
      </w:r>
    </w:p>
    <w:p>
      <w:pPr>
        <w:pStyle w:val="BodyText"/>
        <w:spacing w:before="13"/>
        <w:rPr>
          <w:sz w:val="7"/>
        </w:rPr>
      </w:pPr>
      <w:r>
        <w:rPr/>
        <w:pict>
          <v:group style="position:absolute;margin-left:45.720001pt;margin-top:7.190856pt;width:509.4pt;height:1.45pt;mso-position-horizontal-relative:page;mso-position-vertical-relative:paragraph;z-index:1240;mso-wrap-distance-left:0;mso-wrap-distance-right:0" coordorigin="914,144" coordsize="10188,29">
            <v:line style="position:absolute" from="914,149" to="1919,149" stroked="true" strokeweight=".48001pt" strokecolor="#000000">
              <v:stroke dashstyle="solid"/>
            </v:line>
            <v:line style="position:absolute" from="914,168" to="1919,168" stroked="true" strokeweight=".48001pt" strokecolor="#000000">
              <v:stroke dashstyle="solid"/>
            </v:line>
            <v:rect style="position:absolute;left:1918;top:143;width:29;height:10" filled="true" fillcolor="#000000" stroked="false">
              <v:fill type="solid"/>
            </v:rect>
            <v:rect style="position:absolute;left:1918;top:163;width:29;height:10" filled="true" fillcolor="#000000" stroked="false">
              <v:fill type="solid"/>
            </v:rect>
            <v:line style="position:absolute" from="1948,149" to="3289,149" stroked="true" strokeweight=".48001pt" strokecolor="#000000">
              <v:stroke dashstyle="solid"/>
            </v:line>
            <v:line style="position:absolute" from="1948,168" to="3289,168" stroked="true" strokeweight=".48001pt" strokecolor="#000000">
              <v:stroke dashstyle="solid"/>
            </v:line>
            <v:rect style="position:absolute;left:3289;top:143;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spacing w:after="0"/>
        <w:rPr>
          <w:sz w:val="9"/>
        </w:rPr>
        <w:sectPr>
          <w:type w:val="continuous"/>
          <w:pgSz w:w="11900" w:h="16840"/>
          <w:pgMar w:top="800" w:bottom="280" w:left="800" w:right="680"/>
        </w:sectPr>
      </w:pPr>
    </w:p>
    <w:p>
      <w:pPr>
        <w:pStyle w:val="BodyText"/>
        <w:tabs>
          <w:tab w:pos="1225" w:val="left" w:leader="none"/>
        </w:tabs>
        <w:spacing w:before="36"/>
        <w:ind w:left="222"/>
      </w:pPr>
      <w:r>
        <w:rPr/>
        <w:t>6.1</w:t>
        <w:tab/>
        <w:t>解除合同</w:t>
      </w:r>
    </w:p>
    <w:p>
      <w:pPr>
        <w:pStyle w:val="BodyText"/>
        <w:spacing w:line="273" w:lineRule="auto" w:before="37"/>
        <w:ind w:left="1225"/>
      </w:pPr>
      <w:r>
        <w:rPr/>
        <w:t>（退保）的手续及风险</w:t>
      </w:r>
    </w:p>
    <w:p>
      <w:pPr>
        <w:pStyle w:val="BodyText"/>
        <w:spacing w:line="273" w:lineRule="auto" w:before="36"/>
        <w:ind w:left="222" w:right="223"/>
      </w:pPr>
      <w:r>
        <w:rPr/>
        <w:br w:type="column"/>
      </w:r>
      <w:r>
        <w:rPr>
          <w:spacing w:val="-4"/>
        </w:rPr>
        <w:t>如投保人申请解除本合同</w:t>
      </w:r>
      <w:r>
        <w:rPr/>
        <w:t>（简称退保</w:t>
      </w:r>
      <w:r>
        <w:rPr>
          <w:spacing w:val="-70"/>
        </w:rPr>
        <w:t>）</w:t>
      </w:r>
      <w:r>
        <w:rPr>
          <w:spacing w:val="-9"/>
        </w:rPr>
        <w:t>，请填写解除合同申请书并向本公司提供下列资料：</w:t>
      </w:r>
    </w:p>
    <w:p>
      <w:pPr>
        <w:pStyle w:val="BodyText"/>
        <w:spacing w:before="7"/>
        <w:ind w:left="222"/>
      </w:pPr>
      <w:r>
        <w:rPr/>
        <w:t>（1）保险合同；</w:t>
      </w:r>
    </w:p>
    <w:p>
      <w:pPr>
        <w:pStyle w:val="BodyText"/>
        <w:spacing w:before="36"/>
        <w:ind w:left="222"/>
      </w:pPr>
      <w:r>
        <w:rPr/>
        <w:t>（2）投保人有效身份证件。</w:t>
      </w:r>
    </w:p>
    <w:p>
      <w:pPr>
        <w:spacing w:after="0"/>
        <w:sectPr>
          <w:type w:val="continuous"/>
          <w:pgSz w:w="11900" w:h="16840"/>
          <w:pgMar w:top="800" w:bottom="280" w:left="800" w:right="680"/>
          <w:cols w:num="2" w:equalWidth="0">
            <w:col w:w="2280" w:space="95"/>
            <w:col w:w="8045"/>
          </w:cols>
        </w:sectPr>
      </w:pPr>
    </w:p>
    <w:p>
      <w:pPr>
        <w:pStyle w:val="BodyText"/>
        <w:spacing w:before="1"/>
      </w:pPr>
    </w:p>
    <w:p>
      <w:pPr>
        <w:pStyle w:val="BodyText"/>
        <w:spacing w:line="273" w:lineRule="auto" w:before="36"/>
        <w:ind w:left="2597" w:right="223"/>
      </w:pPr>
      <w:r>
        <w:rPr/>
        <w:t>自本公司收到解除合同申请书时起，本合同效力终止。本公司自收到解除合同申请书之日起 30 日内向投保人退还未满期净保险费。</w:t>
      </w:r>
    </w:p>
    <w:p>
      <w:pPr>
        <w:pStyle w:val="BodyText"/>
        <w:spacing w:before="8"/>
        <w:ind w:left="2597"/>
      </w:pPr>
      <w:r>
        <w:rPr/>
        <w:t>投保人解除合同会遭受一定损失。</w:t>
      </w:r>
    </w:p>
    <w:p>
      <w:pPr>
        <w:pStyle w:val="BodyText"/>
        <w:spacing w:before="10"/>
        <w:rPr>
          <w:sz w:val="27"/>
        </w:rPr>
      </w:pPr>
    </w:p>
    <w:p>
      <w:pPr>
        <w:pStyle w:val="Heading2"/>
        <w:numPr>
          <w:ilvl w:val="0"/>
          <w:numId w:val="6"/>
        </w:numPr>
        <w:tabs>
          <w:tab w:pos="1225" w:val="left" w:leader="none"/>
          <w:tab w:pos="1226" w:val="left" w:leader="none"/>
        </w:tabs>
        <w:spacing w:line="240" w:lineRule="auto" w:before="0" w:after="0"/>
        <w:ind w:left="1225" w:right="0" w:hanging="1003"/>
        <w:jc w:val="left"/>
      </w:pPr>
      <w:r>
        <w:rPr/>
        <w:t>其他需要关注的事项</w:t>
      </w:r>
    </w:p>
    <w:p>
      <w:pPr>
        <w:pStyle w:val="BodyText"/>
        <w:rPr>
          <w:sz w:val="8"/>
        </w:rPr>
      </w:pPr>
      <w:r>
        <w:rPr/>
        <w:pict>
          <v:group style="position:absolute;margin-left:45.720001pt;margin-top:7.200086pt;width:509.4pt;height:1.45pt;mso-position-horizontal-relative:page;mso-position-vertical-relative:paragraph;z-index:1264;mso-wrap-distance-left:0;mso-wrap-distance-right:0" coordorigin="914,144" coordsize="10188,29">
            <v:line style="position:absolute" from="914,149" to="1919,149" stroked="true" strokeweight=".47998pt" strokecolor="#000000">
              <v:stroke dashstyle="solid"/>
            </v:line>
            <v:line style="position:absolute" from="914,168" to="1919,168" stroked="true" strokeweight=".47998pt" strokecolor="#000000">
              <v:stroke dashstyle="solid"/>
            </v:line>
            <v:rect style="position:absolute;left:1918;top:144;width:29;height:10" filled="true" fillcolor="#000000" stroked="false">
              <v:fill type="solid"/>
            </v:rect>
            <v:rect style="position:absolute;left:1918;top:163;width:29;height:10" filled="true" fillcolor="#000000" stroked="false">
              <v:fill type="solid"/>
            </v:rect>
            <v:line style="position:absolute" from="1948,149" to="3289,149" stroked="true" strokeweight=".47998pt" strokecolor="#000000">
              <v:stroke dashstyle="solid"/>
            </v:line>
            <v:line style="position:absolute" from="1948,168" to="3289,168" stroked="true" strokeweight=".47998pt" strokecolor="#000000">
              <v:stroke dashstyle="solid"/>
            </v:line>
            <v:rect style="position:absolute;left:3289;top:144;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rPr>
          <w:sz w:val="9"/>
        </w:rPr>
      </w:pPr>
    </w:p>
    <w:p>
      <w:pPr>
        <w:spacing w:after="0"/>
        <w:rPr>
          <w:sz w:val="9"/>
        </w:rPr>
        <w:sectPr>
          <w:pgSz w:w="11900" w:h="16840"/>
          <w:pgMar w:header="575" w:footer="0" w:top="800" w:bottom="280" w:left="800" w:right="680"/>
        </w:sectPr>
      </w:pPr>
    </w:p>
    <w:p>
      <w:pPr>
        <w:pStyle w:val="ListParagraph"/>
        <w:numPr>
          <w:ilvl w:val="1"/>
          <w:numId w:val="7"/>
        </w:numPr>
        <w:tabs>
          <w:tab w:pos="1225" w:val="left" w:leader="none"/>
          <w:tab w:pos="1226" w:val="left" w:leader="none"/>
        </w:tabs>
        <w:spacing w:line="273" w:lineRule="auto" w:before="36" w:after="0"/>
        <w:ind w:left="1225" w:right="0" w:hanging="1003"/>
        <w:jc w:val="left"/>
        <w:rPr>
          <w:sz w:val="21"/>
        </w:rPr>
      </w:pPr>
      <w:r>
        <w:rPr>
          <w:sz w:val="21"/>
        </w:rPr>
        <w:t>明确说明与如实告知</w:t>
      </w:r>
    </w:p>
    <w:p>
      <w:pPr>
        <w:pStyle w:val="BodyText"/>
        <w:spacing w:before="36"/>
        <w:ind w:left="222"/>
      </w:pPr>
      <w:r>
        <w:rPr/>
        <w:br w:type="column"/>
      </w:r>
      <w:r>
        <w:rPr/>
        <w:t>订立本合同时，本公司会向投保人说明本合同的内容。</w:t>
      </w:r>
    </w:p>
    <w:p>
      <w:pPr>
        <w:pStyle w:val="BodyText"/>
        <w:spacing w:line="273" w:lineRule="auto" w:before="37"/>
        <w:ind w:left="222" w:right="260"/>
      </w:pPr>
      <w:r>
        <w:rPr/>
        <w:t>对保险条款中免除本公司责任的条款，本公司在订立合同时会在投保单、保险单或其他保险凭证上作出足以引起投保人注意的提示，并对该条款的内容以书面或者口头形式向投保人作出明确说明，未作提示或者明确说明的，该条款不产生效力。 本公司就投保人和被保险人的有关情况提出询问，投保人应当如实告知。</w:t>
      </w:r>
    </w:p>
    <w:p>
      <w:pPr>
        <w:pStyle w:val="BodyText"/>
        <w:spacing w:line="273" w:lineRule="auto" w:before="7"/>
        <w:ind w:left="222" w:right="26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222" w:right="260"/>
      </w:pPr>
      <w:r>
        <w:rPr/>
        <w:t>如果投保人故意不履行如实告知义务，对于解除本合同前发生的保险事故，本公司不承担给付保险金的责任，并不退还保险费。</w:t>
      </w:r>
    </w:p>
    <w:p>
      <w:pPr>
        <w:pStyle w:val="BodyText"/>
        <w:spacing w:line="273" w:lineRule="auto" w:before="7"/>
        <w:ind w:left="222" w:right="260"/>
        <w:jc w:val="both"/>
      </w:pPr>
      <w:r>
        <w:rPr/>
        <w:t>如果投保人因重大过失未履行如实告知义务，对保险事故的发生有严重影响的，对于解除本合同前发生的保险事故，本公司不承担给付保险金的责任，但应当退还保险费。</w:t>
      </w:r>
    </w:p>
    <w:p>
      <w:pPr>
        <w:pStyle w:val="BodyText"/>
        <w:spacing w:line="273" w:lineRule="auto" w:before="7"/>
        <w:ind w:left="222" w:right="223"/>
      </w:pPr>
      <w:r>
        <w:rPr/>
        <w:t>本公司在合同订立时已经知道投保人未如实告知的情况的，本公司不得解除合同； 发生保险事故的，本公司承担给付保险金的责任。</w:t>
      </w:r>
    </w:p>
    <w:p>
      <w:pPr>
        <w:spacing w:after="0" w:line="273" w:lineRule="auto"/>
        <w:sectPr>
          <w:type w:val="continuous"/>
          <w:pgSz w:w="11900" w:h="16840"/>
          <w:pgMar w:top="800" w:bottom="280" w:left="800" w:right="680"/>
          <w:cols w:num="2" w:equalWidth="0">
            <w:col w:w="2279" w:space="95"/>
            <w:col w:w="8046"/>
          </w:cols>
        </w:sectPr>
      </w:pPr>
    </w:p>
    <w:p>
      <w:pPr>
        <w:pStyle w:val="BodyText"/>
        <w:spacing w:before="8"/>
        <w:rPr>
          <w:sz w:val="14"/>
        </w:rPr>
      </w:pPr>
    </w:p>
    <w:p>
      <w:pPr>
        <w:spacing w:after="0"/>
        <w:rPr>
          <w:sz w:val="14"/>
        </w:rPr>
        <w:sectPr>
          <w:type w:val="continuous"/>
          <w:pgSz w:w="11900" w:h="16840"/>
          <w:pgMar w:top="800" w:bottom="280" w:left="800" w:right="680"/>
        </w:sectPr>
      </w:pPr>
    </w:p>
    <w:p>
      <w:pPr>
        <w:pStyle w:val="ListParagraph"/>
        <w:numPr>
          <w:ilvl w:val="1"/>
          <w:numId w:val="7"/>
        </w:numPr>
        <w:tabs>
          <w:tab w:pos="1226" w:val="left" w:leader="none"/>
        </w:tabs>
        <w:spacing w:line="273" w:lineRule="auto" w:before="45" w:after="0"/>
        <w:ind w:left="1225" w:right="0" w:hanging="1003"/>
        <w:jc w:val="both"/>
        <w:rPr>
          <w:sz w:val="21"/>
        </w:rPr>
      </w:pPr>
      <w:r>
        <w:rPr>
          <w:sz w:val="21"/>
        </w:rPr>
        <w:t>本公司合同解除权的限制</w:t>
      </w:r>
    </w:p>
    <w:p>
      <w:pPr>
        <w:pStyle w:val="BodyText"/>
        <w:spacing w:line="268" w:lineRule="auto" w:before="34"/>
        <w:ind w:left="222" w:right="156"/>
      </w:pPr>
      <w:r>
        <w:rPr/>
        <w:br w:type="column"/>
      </w:r>
      <w:r>
        <w:rPr>
          <w:i/>
          <w:w w:val="95"/>
          <w:sz w:val="22"/>
        </w:rPr>
        <w:t>7.1</w:t>
      </w:r>
      <w:r>
        <w:rPr>
          <w:w w:val="95"/>
        </w:rPr>
        <w:t>“明确说明与如实告知”规定的合同解除权，自本公司知道有解除事由之日起，  </w:t>
      </w:r>
      <w:r>
        <w:rPr>
          <w:spacing w:val="-20"/>
        </w:rPr>
        <w:t>超过 </w:t>
      </w:r>
      <w:r>
        <w:rPr/>
        <w:t>30</w:t>
      </w:r>
      <w:r>
        <w:rPr>
          <w:spacing w:val="-8"/>
        </w:rPr>
        <w:t> 日不行使而消灭。</w:t>
      </w:r>
    </w:p>
    <w:p>
      <w:pPr>
        <w:spacing w:after="0" w:line="268" w:lineRule="auto"/>
        <w:sectPr>
          <w:type w:val="continuous"/>
          <w:pgSz w:w="11900" w:h="16840"/>
          <w:pgMar w:top="800" w:bottom="280" w:left="800" w:right="680"/>
          <w:cols w:num="2" w:equalWidth="0">
            <w:col w:w="2280" w:space="95"/>
            <w:col w:w="8045"/>
          </w:cols>
        </w:sectPr>
      </w:pPr>
    </w:p>
    <w:p>
      <w:pPr>
        <w:pStyle w:val="BodyText"/>
        <w:spacing w:before="2"/>
        <w:rPr>
          <w:sz w:val="15"/>
        </w:rPr>
      </w:pPr>
    </w:p>
    <w:p>
      <w:pPr>
        <w:spacing w:after="0"/>
        <w:rPr>
          <w:sz w:val="15"/>
        </w:rPr>
        <w:sectPr>
          <w:type w:val="continuous"/>
          <w:pgSz w:w="11900" w:h="16840"/>
          <w:pgMar w:top="800" w:bottom="280" w:left="800" w:right="680"/>
        </w:sectPr>
      </w:pPr>
    </w:p>
    <w:p>
      <w:pPr>
        <w:pStyle w:val="ListParagraph"/>
        <w:numPr>
          <w:ilvl w:val="1"/>
          <w:numId w:val="8"/>
        </w:numPr>
        <w:tabs>
          <w:tab w:pos="1225" w:val="left" w:leader="none"/>
          <w:tab w:pos="1226" w:val="left" w:leader="none"/>
        </w:tabs>
        <w:spacing w:line="273" w:lineRule="auto" w:before="35" w:after="0"/>
        <w:ind w:left="1225" w:right="0" w:hanging="1003"/>
        <w:jc w:val="left"/>
        <w:rPr>
          <w:sz w:val="21"/>
        </w:rPr>
      </w:pPr>
      <w:r>
        <w:rPr>
          <w:sz w:val="21"/>
        </w:rPr>
        <w:t>年龄性别错误处理</w:t>
      </w:r>
    </w:p>
    <w:p>
      <w:pPr>
        <w:pStyle w:val="BodyText"/>
        <w:spacing w:line="273" w:lineRule="auto" w:before="35"/>
        <w:ind w:left="222" w:right="223" w:firstLine="2"/>
        <w:jc w:val="both"/>
      </w:pPr>
      <w:r>
        <w:rPr/>
        <w:br w:type="column"/>
      </w:r>
      <w:r>
        <w:rPr>
          <w:spacing w:val="-1"/>
        </w:rPr>
        <w:t>被保险人的年龄以周岁</w:t>
      </w:r>
      <w:r>
        <w:rPr/>
        <w:t>（</w:t>
      </w:r>
      <w:r>
        <w:rPr>
          <w:spacing w:val="-30"/>
        </w:rPr>
        <w:t>见 </w:t>
      </w:r>
      <w:r>
        <w:rPr/>
        <w:t>8.20）</w:t>
      </w:r>
      <w:r>
        <w:rPr>
          <w:spacing w:val="-3"/>
        </w:rPr>
        <w:t>计算，投保人在申请投保时，应将与有效身份证件相符的被保险人的出生日期、年龄及真实性别在投保单上填明，如果发生错误按照下列方式办理：</w:t>
      </w:r>
    </w:p>
    <w:p>
      <w:pPr>
        <w:pStyle w:val="BodyText"/>
        <w:spacing w:line="266" w:lineRule="auto" w:before="7"/>
        <w:ind w:left="726" w:right="223" w:hanging="504"/>
        <w:jc w:val="both"/>
      </w:pPr>
      <w:r>
        <w:rPr>
          <w:spacing w:val="-12"/>
        </w:rPr>
        <w:t>（1）</w:t>
      </w:r>
      <w:r>
        <w:rPr>
          <w:spacing w:val="-3"/>
        </w:rPr>
        <w:t>投保人申报的被保险人年龄不真实，并且其真实年龄不符合本合同约定投保年</w:t>
      </w:r>
      <w:r>
        <w:rPr>
          <w:spacing w:val="-7"/>
        </w:rPr>
        <w:t>龄限制的，本公司有权解除本合同，并向投保人退还未满期净保险费。本公司</w:t>
      </w:r>
      <w:r>
        <w:rPr>
          <w:spacing w:val="-14"/>
        </w:rPr>
        <w:t>行使合同解除权适用 </w:t>
      </w:r>
      <w:r>
        <w:rPr>
          <w:i/>
          <w:sz w:val="22"/>
        </w:rPr>
        <w:t>7.2</w:t>
      </w:r>
      <w:r>
        <w:rPr/>
        <w:t>“本公司合同解除权的限制”的规定。</w:t>
      </w:r>
    </w:p>
    <w:p>
      <w:pPr>
        <w:spacing w:after="0" w:line="266" w:lineRule="auto"/>
        <w:jc w:val="both"/>
        <w:sectPr>
          <w:type w:val="continuous"/>
          <w:pgSz w:w="11900" w:h="16840"/>
          <w:pgMar w:top="800" w:bottom="280" w:left="800" w:right="680"/>
          <w:cols w:num="2" w:equalWidth="0">
            <w:col w:w="2279" w:space="95"/>
            <w:col w:w="8046"/>
          </w:cols>
        </w:sectPr>
      </w:pPr>
    </w:p>
    <w:p>
      <w:pPr>
        <w:pStyle w:val="BodyText"/>
        <w:spacing w:before="6"/>
        <w:rPr>
          <w:sz w:val="3"/>
        </w:rPr>
      </w:pPr>
    </w:p>
    <w:p>
      <w:pPr>
        <w:pStyle w:val="BodyText"/>
        <w:ind w:left="2597"/>
        <w:rPr>
          <w:sz w:val="20"/>
        </w:rPr>
      </w:pPr>
      <w:r>
        <w:rPr>
          <w:sz w:val="20"/>
        </w:rPr>
        <w:pict>
          <v:shape style="width:379.9pt;height:13.65pt;mso-position-horizontal-relative:char;mso-position-vertical-relative:line" type="#_x0000_t202" filled="true" fillcolor="#e5e5e5" stroked="false">
            <w10:anchorlock/>
            <v:textbox inset="0,0,0,0">
              <w:txbxContent>
                <w:p>
                  <w:pPr>
                    <w:pStyle w:val="BodyText"/>
                    <w:spacing w:line="241" w:lineRule="exact"/>
                    <w:ind w:right="-15"/>
                  </w:pPr>
                  <w:r>
                    <w:rPr>
                      <w:spacing w:val="-12"/>
                    </w:rPr>
                    <w:t>（2）</w:t>
                  </w:r>
                  <w:r>
                    <w:rPr>
                      <w:spacing w:val="-2"/>
                    </w:rPr>
                    <w:t>投保人申报的被保险人年龄或性别不真实，致使投保人实交保险费少于应交保</w:t>
                  </w:r>
                </w:p>
              </w:txbxContent>
            </v:textbox>
            <v:fill type="solid"/>
          </v:shape>
        </w:pict>
      </w:r>
      <w:r>
        <w:rPr>
          <w:sz w:val="20"/>
        </w:rPr>
      </w:r>
    </w:p>
    <w:p>
      <w:pPr>
        <w:pStyle w:val="BodyText"/>
        <w:ind w:left="2597"/>
        <w:rPr>
          <w:sz w:val="20"/>
        </w:rPr>
      </w:pPr>
      <w:r>
        <w:rPr>
          <w:sz w:val="20"/>
        </w:rPr>
        <w:pict>
          <v:group style="width:379.9pt;height:13.65pt;mso-position-horizontal-relative:char;mso-position-vertical-relative:line" coordorigin="0,0" coordsize="7598,273">
            <v:rect style="position:absolute;left:0;top:0;width:7598;height:273" filled="true" fillcolor="#e5e5e5" stroked="false">
              <v:fill type="solid"/>
            </v:rect>
            <v:shape style="position:absolute;left:0;top:0;width:7598;height:273" type="#_x0000_t202" filled="false" stroked="false">
              <v:textbox inset="0,0,0,0">
                <w:txbxContent>
                  <w:p>
                    <w:pPr>
                      <w:spacing w:line="241" w:lineRule="exact" w:before="0"/>
                      <w:ind w:left="525" w:right="-15" w:firstLine="0"/>
                      <w:jc w:val="left"/>
                      <w:rPr>
                        <w:sz w:val="21"/>
                      </w:rPr>
                    </w:pPr>
                    <w:r>
                      <w:rPr>
                        <w:spacing w:val="-8"/>
                        <w:sz w:val="21"/>
                      </w:rPr>
                      <w:t>险费的，本公司有权更正并要求投保人补交保险费。若该被保险人已经发生保</w:t>
                    </w:r>
                  </w:p>
                </w:txbxContent>
              </v:textbox>
              <w10:wrap type="none"/>
            </v:shape>
          </v:group>
        </w:pict>
      </w:r>
      <w:r>
        <w:rPr>
          <w:sz w:val="20"/>
        </w:rPr>
      </w:r>
    </w:p>
    <w:p>
      <w:pPr>
        <w:pStyle w:val="BodyText"/>
        <w:ind w:left="2597"/>
        <w:rPr>
          <w:sz w:val="20"/>
        </w:rPr>
      </w:pPr>
      <w:r>
        <w:rPr>
          <w:sz w:val="20"/>
        </w:rPr>
        <w:pict>
          <v:shape style="width:379.9pt;height:13.65pt;mso-position-horizontal-relative:char;mso-position-vertical-relative:line" type="#_x0000_t202" filled="true" fillcolor="#e5e5e5" stroked="false">
            <w10:anchorlock/>
            <v:textbox inset="0,0,0,0">
              <w:txbxContent>
                <w:p>
                  <w:pPr>
                    <w:pStyle w:val="BodyText"/>
                    <w:spacing w:line="241" w:lineRule="exact"/>
                    <w:ind w:left="525"/>
                  </w:pPr>
                  <w:r>
                    <w:rPr/>
                    <w:t>险事故，在给付保险金时按实交保险费和应交保险费的比例给付。</w:t>
                  </w:r>
                </w:p>
              </w:txbxContent>
            </v:textbox>
            <v:fill type="solid"/>
          </v:shape>
        </w:pict>
      </w:r>
      <w:r>
        <w:rPr>
          <w:sz w:val="20"/>
        </w:rPr>
      </w:r>
    </w:p>
    <w:p>
      <w:pPr>
        <w:pStyle w:val="BodyText"/>
        <w:spacing w:line="273" w:lineRule="auto"/>
        <w:ind w:left="3101" w:right="150" w:hanging="504"/>
      </w:pPr>
      <w:r>
        <w:rPr/>
        <w:t>（3）投保人申报的被保险人年龄或性别不真实，致使投保人实交保险费多于应交保险费的，本公司会将多收的保险费无息退还给投保人。</w:t>
      </w:r>
    </w:p>
    <w:p>
      <w:pPr>
        <w:pStyle w:val="BodyText"/>
        <w:spacing w:before="10"/>
        <w:rPr>
          <w:sz w:val="15"/>
        </w:rPr>
      </w:pPr>
    </w:p>
    <w:p>
      <w:pPr>
        <w:spacing w:after="0"/>
        <w:rPr>
          <w:sz w:val="15"/>
        </w:rPr>
        <w:sectPr>
          <w:type w:val="continuous"/>
          <w:pgSz w:w="11900" w:h="16840"/>
          <w:pgMar w:top="800" w:bottom="280" w:left="800" w:right="680"/>
        </w:sectPr>
      </w:pPr>
    </w:p>
    <w:p>
      <w:pPr>
        <w:pStyle w:val="ListParagraph"/>
        <w:numPr>
          <w:ilvl w:val="1"/>
          <w:numId w:val="8"/>
        </w:numPr>
        <w:tabs>
          <w:tab w:pos="1225" w:val="left" w:leader="none"/>
          <w:tab w:pos="1226" w:val="left" w:leader="none"/>
        </w:tabs>
        <w:spacing w:line="273" w:lineRule="auto" w:before="36" w:after="0"/>
        <w:ind w:left="1225" w:right="0" w:hanging="1003"/>
        <w:jc w:val="left"/>
        <w:rPr>
          <w:sz w:val="21"/>
        </w:rPr>
      </w:pPr>
      <w:r>
        <w:rPr>
          <w:sz w:val="21"/>
        </w:rPr>
        <w:t>合同内容变更</w:t>
      </w:r>
    </w:p>
    <w:p>
      <w:pPr>
        <w:pStyle w:val="BodyText"/>
        <w:spacing w:line="273" w:lineRule="auto" w:before="36"/>
        <w:ind w:left="222" w:right="223"/>
        <w:jc w:val="both"/>
      </w:pPr>
      <w:r>
        <w:rPr/>
        <w:br w:type="column"/>
      </w:r>
      <w:r>
        <w:rPr/>
        <w:t>在本合同有效期内，经投保人与本公司协商一致，可以变更本合同的有关内容。变更本合同的，应当由本公司在保险合同附贴批单，或者由投保人与本公司订立书面的变更协议。</w:t>
      </w:r>
    </w:p>
    <w:p>
      <w:pPr>
        <w:spacing w:after="0" w:line="273" w:lineRule="auto"/>
        <w:jc w:val="both"/>
        <w:sectPr>
          <w:type w:val="continuous"/>
          <w:pgSz w:w="11900" w:h="16840"/>
          <w:pgMar w:top="800" w:bottom="280" w:left="800" w:right="680"/>
          <w:cols w:num="2" w:equalWidth="0">
            <w:col w:w="2279" w:space="95"/>
            <w:col w:w="8046"/>
          </w:cols>
        </w:sectPr>
      </w:pPr>
    </w:p>
    <w:p>
      <w:pPr>
        <w:pStyle w:val="BodyText"/>
        <w:spacing w:before="2"/>
        <w:rPr>
          <w:sz w:val="15"/>
        </w:rPr>
      </w:pPr>
    </w:p>
    <w:p>
      <w:pPr>
        <w:spacing w:after="0"/>
        <w:rPr>
          <w:sz w:val="15"/>
        </w:rPr>
        <w:sectPr>
          <w:type w:val="continuous"/>
          <w:pgSz w:w="11900" w:h="16840"/>
          <w:pgMar w:top="800" w:bottom="280" w:left="800" w:right="680"/>
        </w:sectPr>
      </w:pPr>
    </w:p>
    <w:p>
      <w:pPr>
        <w:pStyle w:val="ListParagraph"/>
        <w:numPr>
          <w:ilvl w:val="1"/>
          <w:numId w:val="8"/>
        </w:numPr>
        <w:tabs>
          <w:tab w:pos="1225" w:val="left" w:leader="none"/>
          <w:tab w:pos="1226" w:val="left" w:leader="none"/>
        </w:tabs>
        <w:spacing w:line="273" w:lineRule="auto" w:before="36" w:after="0"/>
        <w:ind w:left="1225" w:right="0" w:hanging="1003"/>
        <w:jc w:val="left"/>
        <w:rPr>
          <w:sz w:val="21"/>
        </w:rPr>
      </w:pPr>
      <w:r>
        <w:rPr>
          <w:sz w:val="21"/>
        </w:rPr>
        <w:t>联系方式变更</w:t>
      </w:r>
    </w:p>
    <w:p>
      <w:pPr>
        <w:pStyle w:val="BodyText"/>
        <w:spacing w:line="273" w:lineRule="auto" w:before="36"/>
        <w:ind w:left="222" w:right="223"/>
        <w:jc w:val="both"/>
      </w:pPr>
      <w:r>
        <w:rPr/>
        <w:br w:type="column"/>
      </w:r>
      <w:r>
        <w:rPr/>
        <w:t>为了保障投保人的合法权益，投保人的住所、通讯地址或电话等联系方式变更时， 请及时以书面形式或双方认可的其他形式通知本公司。若投保人未以书面形式或双方认可的其他形式通知本公司，本公司按本合同载明的最后住所或通讯地址发送的有关通知，均视为已送达给投保人。</w:t>
      </w:r>
    </w:p>
    <w:p>
      <w:pPr>
        <w:spacing w:after="0" w:line="273" w:lineRule="auto"/>
        <w:jc w:val="both"/>
        <w:sectPr>
          <w:type w:val="continuous"/>
          <w:pgSz w:w="11900" w:h="16840"/>
          <w:pgMar w:top="800" w:bottom="280" w:left="800" w:right="680"/>
          <w:cols w:num="2" w:equalWidth="0">
            <w:col w:w="2279" w:space="95"/>
            <w:col w:w="8046"/>
          </w:cols>
        </w:sectPr>
      </w:pPr>
    </w:p>
    <w:p>
      <w:pPr>
        <w:pStyle w:val="BodyText"/>
        <w:spacing w:before="4"/>
        <w:rPr>
          <w:sz w:val="15"/>
        </w:rPr>
      </w:pPr>
    </w:p>
    <w:p>
      <w:pPr>
        <w:pStyle w:val="ListParagraph"/>
        <w:numPr>
          <w:ilvl w:val="1"/>
          <w:numId w:val="8"/>
        </w:numPr>
        <w:tabs>
          <w:tab w:pos="1225" w:val="left" w:leader="none"/>
          <w:tab w:pos="1226" w:val="left" w:leader="none"/>
          <w:tab w:pos="2597" w:val="left" w:leader="none"/>
        </w:tabs>
        <w:spacing w:line="240" w:lineRule="auto" w:before="35" w:after="0"/>
        <w:ind w:left="1225" w:right="0" w:hanging="1003"/>
        <w:jc w:val="left"/>
        <w:rPr>
          <w:sz w:val="21"/>
        </w:rPr>
      </w:pPr>
      <w:r>
        <w:rPr>
          <w:sz w:val="21"/>
        </w:rPr>
        <w:t>争议处理</w:t>
        <w:tab/>
        <w:t>本合同履行过程中，双方发生争议不能协商解决的，可以达成仲裁协议通过仲裁解</w:t>
      </w:r>
    </w:p>
    <w:p>
      <w:pPr>
        <w:spacing w:after="0" w:line="240" w:lineRule="auto"/>
        <w:jc w:val="left"/>
        <w:rPr>
          <w:sz w:val="21"/>
        </w:rPr>
        <w:sectPr>
          <w:type w:val="continuous"/>
          <w:pgSz w:w="11900" w:h="16840"/>
          <w:pgMar w:top="800" w:bottom="280" w:left="800" w:right="680"/>
        </w:sectPr>
      </w:pPr>
    </w:p>
    <w:p>
      <w:pPr>
        <w:pStyle w:val="BodyText"/>
        <w:spacing w:before="1"/>
      </w:pPr>
    </w:p>
    <w:p>
      <w:pPr>
        <w:pStyle w:val="BodyText"/>
        <w:spacing w:before="36"/>
        <w:ind w:left="2597"/>
      </w:pPr>
      <w:r>
        <w:rPr/>
        <w:t>决，也可以依法向人民法院起诉。</w:t>
      </w:r>
    </w:p>
    <w:p>
      <w:pPr>
        <w:pStyle w:val="BodyText"/>
        <w:spacing w:before="10"/>
        <w:rPr>
          <w:sz w:val="26"/>
        </w:rPr>
      </w:pPr>
    </w:p>
    <w:p>
      <w:pPr>
        <w:pStyle w:val="Heading2"/>
        <w:numPr>
          <w:ilvl w:val="0"/>
          <w:numId w:val="8"/>
        </w:numPr>
        <w:tabs>
          <w:tab w:pos="1225" w:val="left" w:leader="none"/>
          <w:tab w:pos="1226" w:val="left" w:leader="none"/>
        </w:tabs>
        <w:spacing w:line="240" w:lineRule="auto" w:before="13" w:after="0"/>
        <w:ind w:left="1225" w:right="0" w:hanging="1003"/>
        <w:jc w:val="left"/>
      </w:pPr>
      <w:r>
        <w:rPr/>
        <w:t>释义</w:t>
      </w:r>
    </w:p>
    <w:p>
      <w:pPr>
        <w:pStyle w:val="BodyText"/>
        <w:rPr>
          <w:sz w:val="8"/>
        </w:rPr>
      </w:pPr>
      <w:r>
        <w:rPr/>
        <w:pict>
          <v:group style="position:absolute;margin-left:45.720001pt;margin-top:7.196207pt;width:509.4pt;height:1.45pt;mso-position-horizontal-relative:page;mso-position-vertical-relative:paragraph;z-index:1384;mso-wrap-distance-left:0;mso-wrap-distance-right:0" coordorigin="914,144" coordsize="10188,29">
            <v:line style="position:absolute" from="914,149" to="1919,149" stroked="true" strokeweight=".48004pt" strokecolor="#000000">
              <v:stroke dashstyle="solid"/>
            </v:line>
            <v:line style="position:absolute" from="914,168" to="1919,168" stroked="true" strokeweight=".48004pt" strokecolor="#000000">
              <v:stroke dashstyle="solid"/>
            </v:line>
            <v:rect style="position:absolute;left:1918;top:143;width:29;height:10" filled="true" fillcolor="#000000" stroked="false">
              <v:fill type="solid"/>
            </v:rect>
            <v:rect style="position:absolute;left:1918;top:163;width:29;height:10" filled="true" fillcolor="#000000" stroked="false">
              <v:fill type="solid"/>
            </v:rect>
            <v:line style="position:absolute" from="1948,149" to="3289,149" stroked="true" strokeweight=".48004pt" strokecolor="#000000">
              <v:stroke dashstyle="solid"/>
            </v:line>
            <v:line style="position:absolute" from="1948,168" to="3289,168" stroked="true" strokeweight=".48004pt" strokecolor="#000000">
              <v:stroke dashstyle="solid"/>
            </v:line>
            <v:rect style="position:absolute;left:3289;top:143;width:29;height:10" filled="true" fillcolor="#000000" stroked="false">
              <v:fill type="solid"/>
            </v:rect>
            <v:rect style="position:absolute;left:3289;top:163;width:29;height:10" filled="true" fillcolor="#000000" stroked="false">
              <v:fill type="solid"/>
            </v:rect>
            <v:line style="position:absolute" from="3318,149" to="11102,149" stroked="true" strokeweight=".48pt" strokecolor="#000000">
              <v:stroke dashstyle="solid"/>
            </v:line>
            <v:line style="position:absolute" from="3318,168" to="11102,168" stroked="true" strokeweight=".48pt" strokecolor="#000000">
              <v:stroke dashstyle="solid"/>
            </v:line>
            <w10:wrap type="topAndBottom"/>
          </v:group>
        </w:pict>
      </w:r>
    </w:p>
    <w:p>
      <w:pPr>
        <w:pStyle w:val="BodyText"/>
        <w:spacing w:before="6"/>
        <w:rPr>
          <w:sz w:val="7"/>
        </w:rPr>
      </w:pPr>
    </w:p>
    <w:p>
      <w:pPr>
        <w:pStyle w:val="ListParagraph"/>
        <w:numPr>
          <w:ilvl w:val="1"/>
          <w:numId w:val="9"/>
        </w:numPr>
        <w:tabs>
          <w:tab w:pos="1225" w:val="left" w:leader="none"/>
          <w:tab w:pos="1226" w:val="left" w:leader="none"/>
          <w:tab w:pos="2597" w:val="left" w:leader="none"/>
        </w:tabs>
        <w:spacing w:line="240" w:lineRule="auto" w:before="36" w:after="0"/>
        <w:ind w:left="1225" w:right="0" w:hanging="1003"/>
        <w:jc w:val="left"/>
        <w:rPr>
          <w:sz w:val="21"/>
        </w:rPr>
      </w:pPr>
      <w:r>
        <w:rPr>
          <w:position w:val="-1"/>
          <w:sz w:val="21"/>
        </w:rPr>
        <w:t>意外伤害</w:t>
        <w:tab/>
      </w:r>
      <w:r>
        <w:rPr>
          <w:sz w:val="21"/>
        </w:rPr>
        <w:t>指遭受外来的、突发的、非本意的、非疾病的客观事件直接致使身体受到的伤害。</w:t>
      </w:r>
    </w:p>
    <w:p>
      <w:pPr>
        <w:pStyle w:val="BodyText"/>
        <w:spacing w:before="10"/>
        <w:rPr>
          <w:sz w:val="19"/>
        </w:rPr>
      </w:pPr>
    </w:p>
    <w:p>
      <w:pPr>
        <w:spacing w:after="0"/>
        <w:rPr>
          <w:sz w:val="19"/>
        </w:rPr>
        <w:sectPr>
          <w:pgSz w:w="11900" w:h="16840"/>
          <w:pgMar w:header="575" w:footer="0" w:top="800" w:bottom="280" w:left="800" w:right="620"/>
        </w:sectPr>
      </w:pPr>
    </w:p>
    <w:p>
      <w:pPr>
        <w:pStyle w:val="ListParagraph"/>
        <w:numPr>
          <w:ilvl w:val="1"/>
          <w:numId w:val="9"/>
        </w:numPr>
        <w:tabs>
          <w:tab w:pos="1225" w:val="left" w:leader="none"/>
          <w:tab w:pos="1226" w:val="left" w:leader="none"/>
        </w:tabs>
        <w:spacing w:line="273" w:lineRule="auto" w:before="56" w:after="0"/>
        <w:ind w:left="1225" w:right="0" w:hanging="1003"/>
        <w:jc w:val="left"/>
        <w:rPr>
          <w:sz w:val="21"/>
        </w:rPr>
      </w:pPr>
      <w:r>
        <w:rPr>
          <w:sz w:val="21"/>
        </w:rPr>
        <w:t>本公司认可的医院</w:t>
      </w:r>
    </w:p>
    <w:p>
      <w:pPr>
        <w:pStyle w:val="BodyText"/>
        <w:spacing w:line="237" w:lineRule="auto" w:before="38"/>
        <w:ind w:left="222" w:right="283"/>
        <w:jc w:val="both"/>
      </w:pPr>
      <w:r>
        <w:rPr/>
        <w:br w:type="column"/>
      </w:r>
      <w:r>
        <w:rPr/>
        <w:t>指经中华人民共和国卫生部门评审确定的二级或二级以上的公立医院，</w:t>
      </w:r>
      <w:r>
        <w:rPr>
          <w:shd w:fill="E5E5E5" w:color="auto" w:val="clear"/>
        </w:rPr>
        <w:t>但不包括精神病院及专供康复、休养、戒毒、戒酒、护理、养老等非以直接诊治病人为目的的医疗机构。该</w:t>
      </w:r>
      <w:r>
        <w:rPr/>
        <w:t>医院必须具有符合国家有关医院管理规则设置标准的医疗设备，且全天二十四小时有合格医师及护士驻医院提供医疗及护理服务。</w:t>
      </w:r>
    </w:p>
    <w:p>
      <w:pPr>
        <w:spacing w:after="0" w:line="237" w:lineRule="auto"/>
        <w:jc w:val="both"/>
        <w:sectPr>
          <w:type w:val="continuous"/>
          <w:pgSz w:w="11900" w:h="16840"/>
          <w:pgMar w:top="800" w:bottom="280" w:left="800" w:right="620"/>
          <w:cols w:num="2" w:equalWidth="0">
            <w:col w:w="2280" w:space="95"/>
            <w:col w:w="8105"/>
          </w:cols>
        </w:sectPr>
      </w:pPr>
    </w:p>
    <w:p>
      <w:pPr>
        <w:pStyle w:val="BodyText"/>
        <w:rPr>
          <w:sz w:val="20"/>
        </w:rPr>
      </w:pPr>
    </w:p>
    <w:p>
      <w:pPr>
        <w:pStyle w:val="ListParagraph"/>
        <w:numPr>
          <w:ilvl w:val="1"/>
          <w:numId w:val="9"/>
        </w:numPr>
        <w:tabs>
          <w:tab w:pos="1225" w:val="left" w:leader="none"/>
          <w:tab w:pos="1226" w:val="left" w:leader="none"/>
          <w:tab w:pos="2597" w:val="left" w:leader="none"/>
        </w:tabs>
        <w:spacing w:line="240" w:lineRule="auto" w:before="35" w:after="0"/>
        <w:ind w:left="1225" w:right="0" w:hanging="1003"/>
        <w:jc w:val="left"/>
        <w:rPr>
          <w:sz w:val="21"/>
        </w:rPr>
      </w:pPr>
      <w:r>
        <w:rPr>
          <w:sz w:val="21"/>
        </w:rPr>
        <w:t>专科医生</w:t>
        <w:tab/>
        <w:t>专科医生应当同时满足以下四项资格条件：</w:t>
      </w:r>
    </w:p>
    <w:p>
      <w:pPr>
        <w:pStyle w:val="BodyText"/>
        <w:spacing w:before="37"/>
        <w:ind w:left="2597"/>
      </w:pPr>
      <w:r>
        <w:rPr/>
        <w:t>（1）具有有效的中华人民共和国《医师资格证书》；</w:t>
      </w:r>
    </w:p>
    <w:p>
      <w:pPr>
        <w:pStyle w:val="BodyText"/>
        <w:spacing w:before="37"/>
        <w:ind w:left="2597"/>
      </w:pPr>
      <w:r>
        <w:rPr/>
        <w:t>（2）具有有效的中华人民共和国《医师执业证书》，并按期到相关部门登记注册；</w:t>
      </w:r>
    </w:p>
    <w:p>
      <w:pPr>
        <w:pStyle w:val="BodyText"/>
        <w:spacing w:before="37"/>
        <w:ind w:left="2597"/>
      </w:pPr>
      <w:r>
        <w:rPr/>
        <w:t>（3）具有有效的中华人民共和国主治医师或主治医师以上职称的《医师职称证书》；</w:t>
      </w:r>
    </w:p>
    <w:p>
      <w:pPr>
        <w:pStyle w:val="BodyText"/>
        <w:spacing w:before="37"/>
        <w:ind w:left="2597"/>
      </w:pPr>
      <w:r>
        <w:rPr/>
        <w:t>（4）在二级或二级以上医院的相应科室从事临床工作三年以上。</w:t>
      </w:r>
    </w:p>
    <w:p>
      <w:pPr>
        <w:pStyle w:val="BodyText"/>
        <w:spacing w:before="7"/>
        <w:rPr>
          <w:sz w:val="20"/>
        </w:rPr>
      </w:pPr>
    </w:p>
    <w:p>
      <w:pPr>
        <w:pStyle w:val="ListParagraph"/>
        <w:numPr>
          <w:ilvl w:val="1"/>
          <w:numId w:val="9"/>
        </w:numPr>
        <w:tabs>
          <w:tab w:pos="1225" w:val="left" w:leader="none"/>
          <w:tab w:pos="1226" w:val="left" w:leader="none"/>
          <w:tab w:pos="2597" w:val="left" w:leader="none"/>
        </w:tabs>
        <w:spacing w:line="273" w:lineRule="auto" w:before="1" w:after="0"/>
        <w:ind w:left="2597" w:right="320" w:hanging="2375"/>
        <w:jc w:val="left"/>
        <w:rPr>
          <w:sz w:val="21"/>
        </w:rPr>
      </w:pPr>
      <w:r>
        <w:rPr>
          <w:sz w:val="21"/>
        </w:rPr>
        <w:t>初次确诊</w:t>
        <w:tab/>
        <w:t>指自被保险人出生之日起第一次经医院确诊患有某种疾病，</w:t>
      </w:r>
      <w:r>
        <w:rPr>
          <w:sz w:val="21"/>
          <w:shd w:fill="E5E5E5" w:color="auto" w:val="clear"/>
        </w:rPr>
        <w:t>而不是指自本合同生效或等待期之后第一次经医院确诊患有某种疾病。</w:t>
      </w:r>
    </w:p>
    <w:p>
      <w:pPr>
        <w:pStyle w:val="BodyText"/>
        <w:spacing w:before="8"/>
        <w:rPr>
          <w:sz w:val="24"/>
        </w:rPr>
      </w:pPr>
    </w:p>
    <w:p>
      <w:pPr>
        <w:pStyle w:val="ListParagraph"/>
        <w:numPr>
          <w:ilvl w:val="1"/>
          <w:numId w:val="9"/>
        </w:numPr>
        <w:tabs>
          <w:tab w:pos="1225" w:val="left" w:leader="none"/>
          <w:tab w:pos="1226" w:val="left" w:leader="none"/>
          <w:tab w:pos="2597" w:val="left" w:leader="none"/>
        </w:tabs>
        <w:spacing w:line="240" w:lineRule="auto" w:before="0" w:after="0"/>
        <w:ind w:left="1225" w:right="0" w:hanging="1003"/>
        <w:jc w:val="left"/>
        <w:rPr>
          <w:sz w:val="21"/>
        </w:rPr>
      </w:pPr>
      <w:r>
        <w:rPr>
          <w:sz w:val="21"/>
        </w:rPr>
        <w:t>既往症</w:t>
        <w:tab/>
        <w:t>指被保险人在本合同生效之前所患的已知的有关疾病或症状。</w:t>
      </w:r>
    </w:p>
    <w:p>
      <w:pPr>
        <w:pStyle w:val="BodyText"/>
        <w:spacing w:before="1"/>
      </w:pPr>
    </w:p>
    <w:p>
      <w:pPr>
        <w:pStyle w:val="ListParagraph"/>
        <w:numPr>
          <w:ilvl w:val="1"/>
          <w:numId w:val="9"/>
        </w:numPr>
        <w:tabs>
          <w:tab w:pos="1226" w:val="left" w:leader="none"/>
        </w:tabs>
        <w:spacing w:line="273" w:lineRule="auto" w:before="0" w:after="0"/>
        <w:ind w:left="2597" w:right="283" w:hanging="2375"/>
        <w:jc w:val="both"/>
        <w:rPr>
          <w:sz w:val="21"/>
        </w:rPr>
      </w:pPr>
      <w:r>
        <w:rPr>
          <w:spacing w:val="-3"/>
          <w:sz w:val="21"/>
        </w:rPr>
        <w:t>毒品        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13"/>
        </w:rPr>
      </w:pPr>
    </w:p>
    <w:p>
      <w:pPr>
        <w:spacing w:after="0"/>
        <w:rPr>
          <w:sz w:val="13"/>
        </w:rPr>
        <w:sectPr>
          <w:type w:val="continuous"/>
          <w:pgSz w:w="11900" w:h="16840"/>
          <w:pgMar w:top="800" w:bottom="280" w:left="800" w:right="620"/>
        </w:sectPr>
      </w:pPr>
    </w:p>
    <w:p>
      <w:pPr>
        <w:pStyle w:val="ListParagraph"/>
        <w:numPr>
          <w:ilvl w:val="1"/>
          <w:numId w:val="9"/>
        </w:numPr>
        <w:tabs>
          <w:tab w:pos="1226" w:val="left" w:leader="none"/>
        </w:tabs>
        <w:spacing w:line="273" w:lineRule="auto" w:before="36" w:after="0"/>
        <w:ind w:left="1225" w:right="0" w:hanging="1003"/>
        <w:jc w:val="both"/>
        <w:rPr>
          <w:sz w:val="21"/>
        </w:rPr>
      </w:pPr>
      <w:r>
        <w:rPr>
          <w:sz w:val="21"/>
        </w:rPr>
        <w:t>感染艾滋病病毒或患艾滋病</w:t>
      </w:r>
    </w:p>
    <w:p>
      <w:pPr>
        <w:pStyle w:val="BodyText"/>
        <w:spacing w:line="273" w:lineRule="auto" w:before="36"/>
        <w:ind w:left="222" w:right="283"/>
      </w:pPr>
      <w:r>
        <w:rPr/>
        <w:br w:type="column"/>
      </w:r>
      <w:r>
        <w:rPr/>
        <w:t>艾滋病病毒指人类免疫缺陷病毒，英文缩写为 HIV。艾滋病指人类免疫缺陷病毒引起的获得性免疫缺陷综合征，英文缩写为 AIDS。</w:t>
      </w:r>
    </w:p>
    <w:p>
      <w:pPr>
        <w:pStyle w:val="BodyText"/>
        <w:spacing w:line="271" w:lineRule="auto" w:before="7"/>
        <w:ind w:left="222" w:right="179"/>
      </w:pPr>
      <w:r>
        <w:rPr/>
        <w:t>在人体血液或其他样本中检测到艾滋病病毒或其抗体呈阳性，没有出现临床症状或</w:t>
      </w:r>
      <w:r>
        <w:rPr>
          <w:spacing w:val="-8"/>
        </w:rPr>
        <w:t>体征的，为感染艾滋病病毒；如果同时出现了明显临床症状或体征的，为患艾滋病。</w:t>
      </w:r>
    </w:p>
    <w:p>
      <w:pPr>
        <w:spacing w:after="0" w:line="271" w:lineRule="auto"/>
        <w:sectPr>
          <w:type w:val="continuous"/>
          <w:pgSz w:w="11900" w:h="16840"/>
          <w:pgMar w:top="800" w:bottom="280" w:left="800" w:right="620"/>
          <w:cols w:num="2" w:equalWidth="0">
            <w:col w:w="2280" w:space="95"/>
            <w:col w:w="8105"/>
          </w:cols>
        </w:sectPr>
      </w:pPr>
    </w:p>
    <w:p>
      <w:pPr>
        <w:pStyle w:val="BodyText"/>
        <w:spacing w:before="4"/>
        <w:rPr>
          <w:sz w:val="18"/>
        </w:rPr>
      </w:pPr>
    </w:p>
    <w:p>
      <w:pPr>
        <w:pStyle w:val="ListParagraph"/>
        <w:numPr>
          <w:ilvl w:val="1"/>
          <w:numId w:val="9"/>
        </w:numPr>
        <w:tabs>
          <w:tab w:pos="1225" w:val="left" w:leader="none"/>
          <w:tab w:pos="1226" w:val="left" w:leader="none"/>
          <w:tab w:pos="2597" w:val="left" w:leader="none"/>
        </w:tabs>
        <w:spacing w:line="273" w:lineRule="auto" w:before="36" w:after="0"/>
        <w:ind w:left="2597" w:right="283" w:hanging="2375"/>
        <w:jc w:val="left"/>
        <w:rPr>
          <w:sz w:val="21"/>
        </w:rPr>
      </w:pPr>
      <w:r>
        <w:rPr>
          <w:sz w:val="21"/>
        </w:rPr>
        <w:t>遗传性疾病</w:t>
        <w:tab/>
        <w:t>指生殖细胞或受精卵的遗传物质（染色体和基因）发生突变或畸变所引起的疾病， 通常具有由亲代传至后代的垂直传递的特征。</w:t>
      </w:r>
    </w:p>
    <w:p>
      <w:pPr>
        <w:pStyle w:val="BodyText"/>
        <w:spacing w:before="5"/>
        <w:rPr>
          <w:sz w:val="15"/>
        </w:rPr>
      </w:pPr>
    </w:p>
    <w:p>
      <w:pPr>
        <w:spacing w:after="0"/>
        <w:rPr>
          <w:sz w:val="15"/>
        </w:rPr>
        <w:sectPr>
          <w:type w:val="continuous"/>
          <w:pgSz w:w="11900" w:h="16840"/>
          <w:pgMar w:top="800" w:bottom="280" w:left="800" w:right="620"/>
        </w:sectPr>
      </w:pPr>
    </w:p>
    <w:p>
      <w:pPr>
        <w:pStyle w:val="ListParagraph"/>
        <w:numPr>
          <w:ilvl w:val="1"/>
          <w:numId w:val="9"/>
        </w:numPr>
        <w:tabs>
          <w:tab w:pos="1225" w:val="left" w:leader="none"/>
          <w:tab w:pos="1226" w:val="left" w:leader="none"/>
        </w:tabs>
        <w:spacing w:line="273" w:lineRule="auto" w:before="35" w:after="0"/>
        <w:ind w:left="1225" w:right="0" w:hanging="1003"/>
        <w:jc w:val="left"/>
        <w:rPr>
          <w:sz w:val="21"/>
        </w:rPr>
      </w:pPr>
      <w:r>
        <w:rPr>
          <w:sz w:val="21"/>
        </w:rPr>
        <w:t>先天性畸形、变形或染色体异常</w:t>
      </w:r>
    </w:p>
    <w:p>
      <w:pPr>
        <w:pStyle w:val="BodyText"/>
        <w:spacing w:line="273" w:lineRule="auto" w:before="35"/>
        <w:ind w:left="222" w:right="283"/>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00" w:h="16840"/>
          <w:pgMar w:top="800" w:bottom="280" w:left="800" w:right="620"/>
          <w:cols w:num="2" w:equalWidth="0">
            <w:col w:w="2280" w:space="95"/>
            <w:col w:w="8105"/>
          </w:cols>
        </w:sectPr>
      </w:pPr>
    </w:p>
    <w:p>
      <w:pPr>
        <w:pStyle w:val="BodyText"/>
        <w:spacing w:before="8"/>
        <w:rPr>
          <w:sz w:val="18"/>
        </w:rPr>
      </w:pPr>
    </w:p>
    <w:p>
      <w:pPr>
        <w:pStyle w:val="ListParagraph"/>
        <w:numPr>
          <w:ilvl w:val="1"/>
          <w:numId w:val="9"/>
        </w:numPr>
        <w:tabs>
          <w:tab w:pos="1227" w:val="left" w:leader="none"/>
        </w:tabs>
        <w:spacing w:line="273" w:lineRule="auto" w:before="36" w:after="0"/>
        <w:ind w:left="2597" w:right="320" w:hanging="2375"/>
        <w:jc w:val="both"/>
        <w:rPr>
          <w:sz w:val="21"/>
        </w:rPr>
      </w:pPr>
      <w:r>
        <w:rPr>
          <w:sz w:val="21"/>
        </w:rPr>
        <w:t>酒后驾驶    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type w:val="continuous"/>
          <w:pgSz w:w="11900" w:h="16840"/>
          <w:pgMar w:top="800" w:bottom="280" w:left="800" w:right="620"/>
        </w:sectPr>
      </w:pPr>
    </w:p>
    <w:p>
      <w:pPr>
        <w:pStyle w:val="ListParagraph"/>
        <w:numPr>
          <w:ilvl w:val="1"/>
          <w:numId w:val="9"/>
        </w:numPr>
        <w:tabs>
          <w:tab w:pos="1225" w:val="left" w:leader="none"/>
          <w:tab w:pos="1226" w:val="left" w:leader="none"/>
        </w:tabs>
        <w:spacing w:line="273" w:lineRule="auto" w:before="35" w:after="0"/>
        <w:ind w:left="1225" w:right="0" w:hanging="1003"/>
        <w:jc w:val="left"/>
        <w:rPr>
          <w:sz w:val="21"/>
        </w:rPr>
      </w:pPr>
      <w:r>
        <w:rPr>
          <w:sz w:val="21"/>
        </w:rPr>
        <w:t>无合法有效驾驶证驾驶</w:t>
      </w:r>
    </w:p>
    <w:p>
      <w:pPr>
        <w:pStyle w:val="BodyText"/>
        <w:spacing w:before="35"/>
        <w:ind w:left="222"/>
      </w:pPr>
      <w:r>
        <w:rPr/>
        <w:br w:type="column"/>
      </w:r>
      <w:r>
        <w:rPr/>
        <w:t>指下列情形之一：</w:t>
      </w:r>
    </w:p>
    <w:p>
      <w:pPr>
        <w:pStyle w:val="BodyText"/>
        <w:spacing w:before="37"/>
        <w:ind w:left="222"/>
      </w:pPr>
      <w:r>
        <w:rPr/>
        <w:t>（1）没有取得驾驶资格；</w:t>
      </w:r>
    </w:p>
    <w:p>
      <w:pPr>
        <w:pStyle w:val="BodyText"/>
        <w:spacing w:before="37"/>
        <w:ind w:left="222"/>
      </w:pPr>
      <w:r>
        <w:rPr/>
        <w:t>（2）驾驶与驾驶证准驾车型不相符合的车辆；</w:t>
      </w:r>
    </w:p>
    <w:p>
      <w:pPr>
        <w:pStyle w:val="BodyText"/>
        <w:spacing w:before="37"/>
        <w:ind w:left="222"/>
      </w:pPr>
      <w:r>
        <w:rPr/>
        <w:t>（3）持审验不合格的驾驶证驾驶；</w:t>
      </w:r>
    </w:p>
    <w:p>
      <w:pPr>
        <w:pStyle w:val="BodyText"/>
        <w:spacing w:line="273" w:lineRule="auto" w:before="37"/>
        <w:ind w:left="222" w:right="210"/>
      </w:pPr>
      <w:r>
        <w:rPr/>
        <w:t>（4）持学习驾驶证学习驾车时，无教练员随车指导，或不按指定时间、路线学习驾车。</w:t>
      </w:r>
    </w:p>
    <w:p>
      <w:pPr>
        <w:spacing w:after="0" w:line="273" w:lineRule="auto"/>
        <w:sectPr>
          <w:type w:val="continuous"/>
          <w:pgSz w:w="11900" w:h="16840"/>
          <w:pgMar w:top="800" w:bottom="280" w:left="800" w:right="620"/>
          <w:cols w:num="2" w:equalWidth="0">
            <w:col w:w="2280" w:space="95"/>
            <w:col w:w="8105"/>
          </w:cols>
        </w:sectPr>
      </w:pPr>
    </w:p>
    <w:p>
      <w:pPr>
        <w:pStyle w:val="BodyText"/>
        <w:rPr>
          <w:rFonts w:ascii="Times New Roman"/>
          <w:sz w:val="20"/>
        </w:rPr>
      </w:pPr>
    </w:p>
    <w:p>
      <w:pPr>
        <w:pStyle w:val="BodyText"/>
        <w:rPr>
          <w:rFonts w:ascii="Times New Roman"/>
          <w:sz w:val="20"/>
        </w:rPr>
      </w:pPr>
    </w:p>
    <w:p>
      <w:pPr>
        <w:pStyle w:val="BodyText"/>
        <w:spacing w:before="8" w:after="1"/>
        <w:rPr>
          <w:rFonts w:ascii="Times New Roman"/>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1502"/>
        <w:gridCol w:w="7912"/>
      </w:tblGrid>
      <w:tr>
        <w:trPr>
          <w:trHeight w:val="260" w:hRule="atLeast"/>
        </w:trPr>
        <w:tc>
          <w:tcPr>
            <w:tcW w:w="764" w:type="dxa"/>
          </w:tcPr>
          <w:p>
            <w:pPr>
              <w:pStyle w:val="TableParagraph"/>
              <w:spacing w:line="210" w:lineRule="exact"/>
              <w:ind w:left="50"/>
              <w:rPr>
                <w:sz w:val="21"/>
              </w:rPr>
            </w:pPr>
            <w:r>
              <w:rPr>
                <w:sz w:val="21"/>
              </w:rPr>
              <w:t>8.12</w:t>
            </w:r>
          </w:p>
        </w:tc>
        <w:tc>
          <w:tcPr>
            <w:tcW w:w="1502" w:type="dxa"/>
          </w:tcPr>
          <w:p>
            <w:pPr>
              <w:pStyle w:val="TableParagraph"/>
              <w:spacing w:line="210" w:lineRule="exact"/>
              <w:ind w:left="289"/>
              <w:rPr>
                <w:sz w:val="21"/>
              </w:rPr>
            </w:pPr>
            <w:r>
              <w:rPr>
                <w:sz w:val="21"/>
              </w:rPr>
              <w:t>无有效行驶</w:t>
            </w:r>
          </w:p>
        </w:tc>
        <w:tc>
          <w:tcPr>
            <w:tcW w:w="7912" w:type="dxa"/>
          </w:tcPr>
          <w:p>
            <w:pPr>
              <w:pStyle w:val="TableParagraph"/>
              <w:spacing w:line="210" w:lineRule="exact"/>
              <w:ind w:left="158"/>
              <w:rPr>
                <w:sz w:val="21"/>
              </w:rPr>
            </w:pPr>
            <w:r>
              <w:rPr>
                <w:sz w:val="21"/>
              </w:rPr>
              <w:t>指下列情形之一：</w:t>
            </w:r>
          </w:p>
        </w:tc>
      </w:tr>
      <w:tr>
        <w:trPr>
          <w:trHeight w:val="311"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证</w:t>
            </w:r>
          </w:p>
        </w:tc>
        <w:tc>
          <w:tcPr>
            <w:tcW w:w="7912" w:type="dxa"/>
          </w:tcPr>
          <w:p>
            <w:pPr>
              <w:pStyle w:val="TableParagraph"/>
              <w:spacing w:line="261" w:lineRule="exact"/>
              <w:ind w:left="158"/>
              <w:rPr>
                <w:sz w:val="21"/>
              </w:rPr>
            </w:pPr>
            <w:r>
              <w:rPr>
                <w:sz w:val="21"/>
              </w:rPr>
              <w:t>（1）未取得机动车行驶证；</w:t>
            </w:r>
          </w:p>
        </w:tc>
      </w:tr>
      <w:tr>
        <w:trPr>
          <w:trHeight w:val="31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（2）机动车被依法注销登记的；</w:t>
            </w:r>
          </w:p>
        </w:tc>
      </w:tr>
      <w:tr>
        <w:trPr>
          <w:trHeight w:val="425"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（3）未依法按时进行或通过机动车安全技术检验。</w:t>
            </w:r>
          </w:p>
        </w:tc>
      </w:tr>
      <w:tr>
        <w:trPr>
          <w:trHeight w:val="425" w:hRule="atLeast"/>
        </w:trPr>
        <w:tc>
          <w:tcPr>
            <w:tcW w:w="764" w:type="dxa"/>
          </w:tcPr>
          <w:p>
            <w:pPr>
              <w:pStyle w:val="TableParagraph"/>
              <w:spacing w:before="99"/>
              <w:ind w:left="50"/>
              <w:rPr>
                <w:sz w:val="21"/>
              </w:rPr>
            </w:pPr>
            <w:r>
              <w:rPr>
                <w:sz w:val="21"/>
              </w:rPr>
              <w:t>8.13</w:t>
            </w:r>
          </w:p>
        </w:tc>
        <w:tc>
          <w:tcPr>
            <w:tcW w:w="1502" w:type="dxa"/>
          </w:tcPr>
          <w:p>
            <w:pPr>
              <w:pStyle w:val="TableParagraph"/>
              <w:spacing w:before="99"/>
              <w:ind w:left="289"/>
              <w:rPr>
                <w:sz w:val="21"/>
              </w:rPr>
            </w:pPr>
            <w:r>
              <w:rPr>
                <w:sz w:val="21"/>
              </w:rPr>
              <w:t>机动车</w:t>
            </w:r>
          </w:p>
        </w:tc>
        <w:tc>
          <w:tcPr>
            <w:tcW w:w="7912" w:type="dxa"/>
          </w:tcPr>
          <w:p>
            <w:pPr>
              <w:pStyle w:val="TableParagraph"/>
              <w:spacing w:before="99"/>
              <w:ind w:left="158"/>
              <w:rPr>
                <w:sz w:val="21"/>
              </w:rPr>
            </w:pPr>
            <w:r>
              <w:rPr>
                <w:sz w:val="21"/>
              </w:rPr>
              <w:t>指以动力装置驱动或者牵引，上道路行驶的供人员乘用或者用于运送物品以及进行</w:t>
            </w:r>
          </w:p>
        </w:tc>
      </w:tr>
      <w:tr>
        <w:trPr>
          <w:trHeight w:val="425"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工程专项作业的轮式车辆。</w:t>
            </w:r>
          </w:p>
        </w:tc>
      </w:tr>
      <w:tr>
        <w:trPr>
          <w:trHeight w:val="425" w:hRule="atLeast"/>
        </w:trPr>
        <w:tc>
          <w:tcPr>
            <w:tcW w:w="764" w:type="dxa"/>
          </w:tcPr>
          <w:p>
            <w:pPr>
              <w:pStyle w:val="TableParagraph"/>
              <w:spacing w:before="99"/>
              <w:ind w:left="50"/>
              <w:rPr>
                <w:sz w:val="21"/>
              </w:rPr>
            </w:pPr>
            <w:r>
              <w:rPr>
                <w:sz w:val="21"/>
              </w:rPr>
              <w:t>8.14</w:t>
            </w:r>
          </w:p>
        </w:tc>
        <w:tc>
          <w:tcPr>
            <w:tcW w:w="1502" w:type="dxa"/>
          </w:tcPr>
          <w:p>
            <w:pPr>
              <w:pStyle w:val="TableParagraph"/>
              <w:spacing w:before="99"/>
              <w:ind w:left="289"/>
              <w:rPr>
                <w:sz w:val="21"/>
              </w:rPr>
            </w:pPr>
            <w:r>
              <w:rPr>
                <w:sz w:val="21"/>
              </w:rPr>
              <w:t>未满期净保</w:t>
            </w:r>
          </w:p>
        </w:tc>
        <w:tc>
          <w:tcPr>
            <w:tcW w:w="7912" w:type="dxa"/>
          </w:tcPr>
          <w:p>
            <w:pPr>
              <w:pStyle w:val="TableParagraph"/>
              <w:spacing w:before="99"/>
              <w:ind w:left="158"/>
              <w:rPr>
                <w:sz w:val="21"/>
              </w:rPr>
            </w:pPr>
            <w:r>
              <w:rPr>
                <w:sz w:val="21"/>
              </w:rPr>
              <w:t>其计算公式为“（1-附加费用率）×（1－保险经过日数 / 保险期间的日数）”，</w:t>
            </w:r>
          </w:p>
        </w:tc>
      </w:tr>
      <w:tr>
        <w:trPr>
          <w:trHeight w:val="311"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险费</w:t>
            </w:r>
          </w:p>
        </w:tc>
        <w:tc>
          <w:tcPr>
            <w:tcW w:w="7912" w:type="dxa"/>
          </w:tcPr>
          <w:p>
            <w:pPr>
              <w:pStyle w:val="TableParagraph"/>
              <w:spacing w:line="261" w:lineRule="exact"/>
              <w:ind w:left="158"/>
              <w:rPr>
                <w:sz w:val="21"/>
              </w:rPr>
            </w:pPr>
            <w:r>
              <w:rPr>
                <w:sz w:val="21"/>
              </w:rPr>
              <w:t>经过天数不足一日的按一日计算。</w:t>
            </w:r>
          </w:p>
        </w:tc>
      </w:tr>
      <w:tr>
        <w:trPr>
          <w:trHeight w:val="425"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本合同附加费用率为 35%。</w:t>
            </w:r>
          </w:p>
        </w:tc>
      </w:tr>
      <w:tr>
        <w:trPr>
          <w:trHeight w:val="429" w:hRule="atLeast"/>
        </w:trPr>
        <w:tc>
          <w:tcPr>
            <w:tcW w:w="764" w:type="dxa"/>
          </w:tcPr>
          <w:p>
            <w:pPr>
              <w:pStyle w:val="TableParagraph"/>
              <w:spacing w:before="99"/>
              <w:ind w:left="50"/>
              <w:rPr>
                <w:sz w:val="21"/>
              </w:rPr>
            </w:pPr>
            <w:r>
              <w:rPr>
                <w:sz w:val="21"/>
              </w:rPr>
              <w:t>8.15</w:t>
            </w:r>
          </w:p>
        </w:tc>
        <w:tc>
          <w:tcPr>
            <w:tcW w:w="1502" w:type="dxa"/>
          </w:tcPr>
          <w:p>
            <w:pPr>
              <w:pStyle w:val="TableParagraph"/>
              <w:spacing w:before="99"/>
              <w:ind w:left="289"/>
              <w:rPr>
                <w:sz w:val="21"/>
              </w:rPr>
            </w:pPr>
            <w:r>
              <w:rPr>
                <w:sz w:val="21"/>
              </w:rPr>
              <w:t>原位癌</w:t>
            </w:r>
          </w:p>
        </w:tc>
        <w:tc>
          <w:tcPr>
            <w:tcW w:w="7912" w:type="dxa"/>
          </w:tcPr>
          <w:p>
            <w:pPr>
              <w:pStyle w:val="TableParagraph"/>
              <w:spacing w:before="109"/>
              <w:ind w:left="158"/>
              <w:rPr>
                <w:sz w:val="21"/>
              </w:rPr>
            </w:pPr>
            <w:r>
              <w:rPr>
                <w:sz w:val="21"/>
              </w:rPr>
              <w:t>指恶性细胞局限于上皮内尚未穿破基底膜浸润周围正常组织的癌细胞新生物。原位</w:t>
            </w:r>
          </w:p>
        </w:tc>
      </w:tr>
      <w:tr>
        <w:trPr>
          <w:trHeight w:val="300"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55" w:lineRule="exact"/>
              <w:ind w:left="158"/>
              <w:rPr>
                <w:sz w:val="21"/>
              </w:rPr>
            </w:pPr>
            <w:r>
              <w:rPr>
                <w:sz w:val="21"/>
              </w:rPr>
              <w:t>癌必须经对固定活组织的组织病理学检查明确诊断。</w:t>
            </w:r>
            <w:r>
              <w:rPr>
                <w:sz w:val="21"/>
                <w:shd w:fill="E5E5E5" w:color="auto" w:val="clear"/>
              </w:rPr>
              <w:t>任何未经固定活组织的组织病</w:t>
            </w:r>
          </w:p>
        </w:tc>
      </w:tr>
      <w:tr>
        <w:trPr>
          <w:trHeight w:val="448"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55" w:lineRule="exact"/>
              <w:ind w:left="158"/>
              <w:rPr>
                <w:sz w:val="21"/>
              </w:rPr>
            </w:pPr>
            <w:r>
              <w:rPr>
                <w:sz w:val="21"/>
                <w:shd w:fill="E5E5E5" w:color="auto" w:val="clear"/>
              </w:rPr>
              <w:t>理学检查确认的临床诊断将不被接受。</w:t>
            </w:r>
          </w:p>
        </w:tc>
      </w:tr>
      <w:tr>
        <w:trPr>
          <w:trHeight w:val="454" w:hRule="atLeast"/>
        </w:trPr>
        <w:tc>
          <w:tcPr>
            <w:tcW w:w="764" w:type="dxa"/>
          </w:tcPr>
          <w:p>
            <w:pPr>
              <w:pStyle w:val="TableParagraph"/>
              <w:spacing w:before="129"/>
              <w:ind w:left="50"/>
              <w:rPr>
                <w:sz w:val="21"/>
              </w:rPr>
            </w:pPr>
            <w:r>
              <w:rPr>
                <w:sz w:val="21"/>
              </w:rPr>
              <w:t>8.16</w:t>
            </w:r>
          </w:p>
        </w:tc>
        <w:tc>
          <w:tcPr>
            <w:tcW w:w="1502" w:type="dxa"/>
          </w:tcPr>
          <w:p>
            <w:pPr>
              <w:pStyle w:val="TableParagraph"/>
              <w:spacing w:before="129"/>
              <w:ind w:left="289"/>
              <w:rPr>
                <w:sz w:val="21"/>
              </w:rPr>
            </w:pPr>
            <w:r>
              <w:rPr>
                <w:sz w:val="21"/>
              </w:rPr>
              <w:t>肢体机能完</w:t>
            </w:r>
          </w:p>
        </w:tc>
        <w:tc>
          <w:tcPr>
            <w:tcW w:w="7912" w:type="dxa"/>
          </w:tcPr>
          <w:p>
            <w:pPr>
              <w:pStyle w:val="TableParagraph"/>
              <w:spacing w:before="129"/>
              <w:ind w:left="158"/>
              <w:rPr>
                <w:sz w:val="21"/>
              </w:rPr>
            </w:pPr>
            <w:r>
              <w:rPr>
                <w:sz w:val="21"/>
              </w:rPr>
              <w:t>指肢体的三大关节中的两大关节僵硬，或不能随意识活动。肢体是指包括肩关节的</w:t>
            </w:r>
          </w:p>
        </w:tc>
      </w:tr>
      <w:tr>
        <w:trPr>
          <w:trHeight w:val="439"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全丧失</w:t>
            </w:r>
          </w:p>
        </w:tc>
        <w:tc>
          <w:tcPr>
            <w:tcW w:w="7912" w:type="dxa"/>
          </w:tcPr>
          <w:p>
            <w:pPr>
              <w:pStyle w:val="TableParagraph"/>
              <w:spacing w:line="261" w:lineRule="exact"/>
              <w:ind w:left="158"/>
              <w:rPr>
                <w:sz w:val="21"/>
              </w:rPr>
            </w:pPr>
            <w:r>
              <w:rPr>
                <w:sz w:val="21"/>
              </w:rPr>
              <w:t>整个上肢或包括髋关节的整个下肢。</w:t>
            </w:r>
          </w:p>
        </w:tc>
      </w:tr>
      <w:tr>
        <w:trPr>
          <w:trHeight w:val="439" w:hRule="atLeast"/>
        </w:trPr>
        <w:tc>
          <w:tcPr>
            <w:tcW w:w="764" w:type="dxa"/>
          </w:tcPr>
          <w:p>
            <w:pPr>
              <w:pStyle w:val="TableParagraph"/>
              <w:spacing w:before="113"/>
              <w:ind w:left="50"/>
              <w:rPr>
                <w:sz w:val="21"/>
              </w:rPr>
            </w:pPr>
            <w:r>
              <w:rPr>
                <w:sz w:val="21"/>
              </w:rPr>
              <w:t>8.17</w:t>
            </w:r>
          </w:p>
        </w:tc>
        <w:tc>
          <w:tcPr>
            <w:tcW w:w="1502" w:type="dxa"/>
          </w:tcPr>
          <w:p>
            <w:pPr>
              <w:pStyle w:val="TableParagraph"/>
              <w:spacing w:before="113"/>
              <w:ind w:left="289"/>
              <w:rPr>
                <w:sz w:val="21"/>
              </w:rPr>
            </w:pPr>
            <w:r>
              <w:rPr>
                <w:sz w:val="21"/>
              </w:rPr>
              <w:t>语言能力或</w:t>
            </w:r>
          </w:p>
        </w:tc>
        <w:tc>
          <w:tcPr>
            <w:tcW w:w="7912" w:type="dxa"/>
          </w:tcPr>
          <w:p>
            <w:pPr>
              <w:pStyle w:val="TableParagraph"/>
              <w:spacing w:before="113"/>
              <w:ind w:left="158"/>
              <w:rPr>
                <w:sz w:val="21"/>
              </w:rPr>
            </w:pPr>
            <w:r>
              <w:rPr>
                <w:spacing w:val="-3"/>
                <w:sz w:val="21"/>
              </w:rPr>
              <w:t>语言能力完全丧失，指无法发出四种语音</w:t>
            </w:r>
            <w:r>
              <w:rPr>
                <w:sz w:val="21"/>
              </w:rPr>
              <w:t>（</w:t>
            </w:r>
            <w:r>
              <w:rPr>
                <w:spacing w:val="-5"/>
                <w:sz w:val="21"/>
              </w:rPr>
              <w:t>包括口唇音、齿舌音、口盖音和喉头音</w:t>
            </w:r>
            <w:r>
              <w:rPr>
                <w:sz w:val="21"/>
              </w:rPr>
              <w:t>）</w:t>
            </w:r>
          </w:p>
        </w:tc>
      </w:tr>
      <w:tr>
        <w:trPr>
          <w:trHeight w:val="311"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咀嚼吞咽能</w:t>
            </w:r>
          </w:p>
        </w:tc>
        <w:tc>
          <w:tcPr>
            <w:tcW w:w="7912" w:type="dxa"/>
          </w:tcPr>
          <w:p>
            <w:pPr>
              <w:pStyle w:val="TableParagraph"/>
              <w:spacing w:line="261" w:lineRule="exact"/>
              <w:ind w:left="158"/>
              <w:rPr>
                <w:sz w:val="21"/>
              </w:rPr>
            </w:pPr>
            <w:r>
              <w:rPr>
                <w:sz w:val="21"/>
              </w:rPr>
              <w:t>中的任何三种、或声带全部切除，或因大脑语言中枢受伤害而患失语症。咀嚼吞咽</w:t>
            </w:r>
          </w:p>
        </w:tc>
      </w:tr>
      <w:tr>
        <w:trPr>
          <w:trHeight w:val="311"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力完全丧失</w:t>
            </w:r>
          </w:p>
        </w:tc>
        <w:tc>
          <w:tcPr>
            <w:tcW w:w="7912" w:type="dxa"/>
          </w:tcPr>
          <w:p>
            <w:pPr>
              <w:pStyle w:val="TableParagraph"/>
              <w:spacing w:line="261" w:lineRule="exact"/>
              <w:ind w:left="158"/>
              <w:rPr>
                <w:sz w:val="21"/>
              </w:rPr>
            </w:pPr>
            <w:r>
              <w:rPr>
                <w:sz w:val="21"/>
              </w:rPr>
              <w:t>能力完全丧失，指因牙齿以外的原因导致器质障碍或机能障碍，以致不能作咀嚼吞</w:t>
            </w:r>
          </w:p>
        </w:tc>
      </w:tr>
      <w:tr>
        <w:trPr>
          <w:trHeight w:val="454"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咽运动，除流质食物外不能摄取或吞咽的状态。</w:t>
            </w:r>
          </w:p>
        </w:tc>
      </w:tr>
      <w:tr>
        <w:trPr>
          <w:trHeight w:val="454" w:hRule="atLeast"/>
        </w:trPr>
        <w:tc>
          <w:tcPr>
            <w:tcW w:w="764" w:type="dxa"/>
          </w:tcPr>
          <w:p>
            <w:pPr>
              <w:pStyle w:val="TableParagraph"/>
              <w:spacing w:before="128"/>
              <w:ind w:left="50"/>
              <w:rPr>
                <w:sz w:val="21"/>
              </w:rPr>
            </w:pPr>
            <w:r>
              <w:rPr>
                <w:sz w:val="21"/>
              </w:rPr>
              <w:t>8.18</w:t>
            </w:r>
          </w:p>
        </w:tc>
        <w:tc>
          <w:tcPr>
            <w:tcW w:w="1502" w:type="dxa"/>
          </w:tcPr>
          <w:p>
            <w:pPr>
              <w:pStyle w:val="TableParagraph"/>
              <w:spacing w:before="128"/>
              <w:ind w:left="289"/>
              <w:rPr>
                <w:sz w:val="21"/>
              </w:rPr>
            </w:pPr>
            <w:r>
              <w:rPr>
                <w:sz w:val="21"/>
              </w:rPr>
              <w:t>六项基本日</w:t>
            </w:r>
          </w:p>
        </w:tc>
        <w:tc>
          <w:tcPr>
            <w:tcW w:w="7912" w:type="dxa"/>
          </w:tcPr>
          <w:p>
            <w:pPr>
              <w:pStyle w:val="TableParagraph"/>
              <w:spacing w:before="128"/>
              <w:ind w:left="158"/>
              <w:rPr>
                <w:sz w:val="21"/>
              </w:rPr>
            </w:pPr>
            <w:r>
              <w:rPr>
                <w:sz w:val="21"/>
              </w:rPr>
              <w:t>六项基本日常生活活动是指：</w:t>
            </w:r>
          </w:p>
        </w:tc>
      </w:tr>
      <w:tr>
        <w:trPr>
          <w:trHeight w:val="311"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常生活活动</w:t>
            </w:r>
          </w:p>
        </w:tc>
        <w:tc>
          <w:tcPr>
            <w:tcW w:w="7912" w:type="dxa"/>
          </w:tcPr>
          <w:p>
            <w:pPr>
              <w:pStyle w:val="TableParagraph"/>
              <w:spacing w:line="261" w:lineRule="exact"/>
              <w:ind w:left="158"/>
              <w:rPr>
                <w:sz w:val="21"/>
              </w:rPr>
            </w:pPr>
            <w:r>
              <w:rPr>
                <w:sz w:val="21"/>
              </w:rPr>
              <w:t>（1）穿衣：自己能够穿衣及脱衣；</w:t>
            </w:r>
          </w:p>
        </w:tc>
      </w:tr>
      <w:tr>
        <w:trPr>
          <w:trHeight w:val="31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（2）移动：自己从一个房间到另一个房间；</w:t>
            </w:r>
          </w:p>
        </w:tc>
      </w:tr>
      <w:tr>
        <w:trPr>
          <w:trHeight w:val="31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（3）行动：自己上下床或上下轮椅；</w:t>
            </w:r>
          </w:p>
        </w:tc>
      </w:tr>
      <w:tr>
        <w:trPr>
          <w:trHeight w:val="31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（4）如厕：自己控制进行大小便；</w:t>
            </w:r>
          </w:p>
        </w:tc>
      </w:tr>
      <w:tr>
        <w:trPr>
          <w:trHeight w:val="31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（5）进食：自己从已准备好的碗或碟中取食物放入口中；</w:t>
            </w:r>
          </w:p>
        </w:tc>
      </w:tr>
      <w:tr>
        <w:trPr>
          <w:trHeight w:val="421" w:hRule="atLeast"/>
        </w:trPr>
        <w:tc>
          <w:tcPr>
            <w:tcW w:w="764" w:type="dxa"/>
          </w:tcPr>
          <w:p>
            <w:pPr>
              <w:pStyle w:val="TableParagraph"/>
              <w:rPr>
                <w:rFonts w:ascii="Times New Roman"/>
                <w:sz w:val="20"/>
              </w:rPr>
            </w:pPr>
          </w:p>
        </w:tc>
        <w:tc>
          <w:tcPr>
            <w:tcW w:w="1502" w:type="dxa"/>
          </w:tcPr>
          <w:p>
            <w:pPr>
              <w:pStyle w:val="TableParagraph"/>
              <w:rPr>
                <w:rFonts w:ascii="Times New Roman"/>
                <w:sz w:val="20"/>
              </w:rPr>
            </w:pPr>
          </w:p>
        </w:tc>
        <w:tc>
          <w:tcPr>
            <w:tcW w:w="7912" w:type="dxa"/>
          </w:tcPr>
          <w:p>
            <w:pPr>
              <w:pStyle w:val="TableParagraph"/>
              <w:spacing w:line="261" w:lineRule="exact"/>
              <w:ind w:left="158"/>
              <w:rPr>
                <w:sz w:val="21"/>
              </w:rPr>
            </w:pPr>
            <w:r>
              <w:rPr>
                <w:sz w:val="21"/>
              </w:rPr>
              <w:t>（6）洗澡：自己进行淋浴或盆浴。</w:t>
            </w:r>
          </w:p>
        </w:tc>
      </w:tr>
      <w:tr>
        <w:trPr>
          <w:trHeight w:val="421" w:hRule="atLeast"/>
        </w:trPr>
        <w:tc>
          <w:tcPr>
            <w:tcW w:w="764" w:type="dxa"/>
          </w:tcPr>
          <w:p>
            <w:pPr>
              <w:pStyle w:val="TableParagraph"/>
              <w:spacing w:before="96"/>
              <w:ind w:left="50"/>
              <w:rPr>
                <w:sz w:val="21"/>
              </w:rPr>
            </w:pPr>
            <w:r>
              <w:rPr>
                <w:sz w:val="21"/>
              </w:rPr>
              <w:t>8.19</w:t>
            </w:r>
          </w:p>
        </w:tc>
        <w:tc>
          <w:tcPr>
            <w:tcW w:w="1502" w:type="dxa"/>
          </w:tcPr>
          <w:p>
            <w:pPr>
              <w:pStyle w:val="TableParagraph"/>
              <w:spacing w:before="96"/>
              <w:ind w:left="289"/>
              <w:rPr>
                <w:sz w:val="21"/>
              </w:rPr>
            </w:pPr>
            <w:r>
              <w:rPr>
                <w:sz w:val="21"/>
              </w:rPr>
              <w:t>有效身份证</w:t>
            </w:r>
          </w:p>
        </w:tc>
        <w:tc>
          <w:tcPr>
            <w:tcW w:w="7912" w:type="dxa"/>
          </w:tcPr>
          <w:p>
            <w:pPr>
              <w:pStyle w:val="TableParagraph"/>
              <w:spacing w:before="96"/>
              <w:ind w:left="158"/>
              <w:rPr>
                <w:sz w:val="21"/>
              </w:rPr>
            </w:pPr>
            <w:r>
              <w:rPr>
                <w:sz w:val="21"/>
              </w:rPr>
              <w:t>指由政府主管部门规定的证明个人身份的证件，如：居民身份证、按规定可使用的</w:t>
            </w:r>
          </w:p>
        </w:tc>
      </w:tr>
      <w:tr>
        <w:trPr>
          <w:trHeight w:val="412" w:hRule="atLeast"/>
        </w:trPr>
        <w:tc>
          <w:tcPr>
            <w:tcW w:w="764" w:type="dxa"/>
          </w:tcPr>
          <w:p>
            <w:pPr>
              <w:pStyle w:val="TableParagraph"/>
              <w:rPr>
                <w:rFonts w:ascii="Times New Roman"/>
                <w:sz w:val="20"/>
              </w:rPr>
            </w:pPr>
          </w:p>
        </w:tc>
        <w:tc>
          <w:tcPr>
            <w:tcW w:w="1502" w:type="dxa"/>
          </w:tcPr>
          <w:p>
            <w:pPr>
              <w:pStyle w:val="TableParagraph"/>
              <w:spacing w:line="261" w:lineRule="exact"/>
              <w:ind w:left="289"/>
              <w:rPr>
                <w:sz w:val="21"/>
              </w:rPr>
            </w:pPr>
            <w:r>
              <w:rPr>
                <w:sz w:val="21"/>
              </w:rPr>
              <w:t>件</w:t>
            </w:r>
          </w:p>
        </w:tc>
        <w:tc>
          <w:tcPr>
            <w:tcW w:w="7912" w:type="dxa"/>
          </w:tcPr>
          <w:p>
            <w:pPr>
              <w:pStyle w:val="TableParagraph"/>
              <w:spacing w:line="261" w:lineRule="exact"/>
              <w:ind w:left="158"/>
              <w:rPr>
                <w:sz w:val="21"/>
              </w:rPr>
            </w:pPr>
            <w:r>
              <w:rPr>
                <w:sz w:val="21"/>
              </w:rPr>
              <w:t>有效护照、军官证、警官证、士兵证等证件。</w:t>
            </w:r>
          </w:p>
        </w:tc>
      </w:tr>
      <w:tr>
        <w:trPr>
          <w:trHeight w:val="634" w:hRule="atLeast"/>
        </w:trPr>
        <w:tc>
          <w:tcPr>
            <w:tcW w:w="764" w:type="dxa"/>
          </w:tcPr>
          <w:p>
            <w:pPr>
              <w:pStyle w:val="TableParagraph"/>
              <w:spacing w:before="107"/>
              <w:ind w:left="50"/>
              <w:rPr>
                <w:sz w:val="21"/>
              </w:rPr>
            </w:pPr>
            <w:r>
              <w:rPr>
                <w:sz w:val="21"/>
              </w:rPr>
              <w:t>8.20</w:t>
            </w:r>
          </w:p>
        </w:tc>
        <w:tc>
          <w:tcPr>
            <w:tcW w:w="1502" w:type="dxa"/>
          </w:tcPr>
          <w:p>
            <w:pPr>
              <w:pStyle w:val="TableParagraph"/>
              <w:spacing w:before="107"/>
              <w:ind w:left="289"/>
              <w:rPr>
                <w:sz w:val="21"/>
              </w:rPr>
            </w:pPr>
            <w:r>
              <w:rPr>
                <w:sz w:val="21"/>
              </w:rPr>
              <w:t>周岁</w:t>
            </w:r>
          </w:p>
        </w:tc>
        <w:tc>
          <w:tcPr>
            <w:tcW w:w="7912" w:type="dxa"/>
          </w:tcPr>
          <w:p>
            <w:pPr>
              <w:pStyle w:val="TableParagraph"/>
              <w:spacing w:line="272" w:lineRule="exact" w:before="114"/>
              <w:ind w:left="158" w:right="49"/>
              <w:rPr>
                <w:sz w:val="21"/>
              </w:rPr>
            </w:pPr>
            <w:r>
              <w:rPr>
                <w:spacing w:val="-3"/>
                <w:sz w:val="21"/>
              </w:rPr>
              <w:t>指按法定有效身份证明文件中记载的出生日期计算的年龄，自出生之日起为零周岁， 每经过一年增加一岁，不足一年的不计。</w:t>
            </w:r>
          </w:p>
        </w:tc>
      </w:tr>
    </w:tbl>
    <w:sectPr>
      <w:headerReference w:type="default" r:id="rId11"/>
      <w:pgSz w:w="11900" w:h="16840"/>
      <w:pgMar w:header="575" w:footer="0" w:top="800" w:bottom="280" w:left="860" w:right="640"/>
      <w:pgNumType w:start="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pt;margin-top:27.743011pt;width:22.35pt;height:13.65pt;mso-position-horizontal-relative:page;mso-position-vertical-relative:page;z-index:-50248" type="#_x0000_t202" filled="false" stroked="false">
          <v:textbox inset="0,0,0,0">
            <w:txbxContent>
              <w:p>
                <w:pPr>
                  <w:pStyle w:val="BodyText"/>
                  <w:spacing w:before="11"/>
                  <w:ind w:left="20"/>
                  <w:rPr>
                    <w:rFonts w:ascii="Times New Roman"/>
                  </w:rPr>
                </w:pPr>
                <w:r>
                  <w:rPr>
                    <w:rFonts w:ascii="Times New Roman"/>
                  </w:rPr>
                  <w:t>10-</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27.743011pt;width:22.35pt;height:13.65pt;mso-position-horizontal-relative:page;mso-position-vertical-relative:page;z-index:-50224" type="#_x0000_t202" filled="false" stroked="false">
          <v:textbox inset="0,0,0,0">
            <w:txbxContent>
              <w:p>
                <w:pPr>
                  <w:pStyle w:val="BodyText"/>
                  <w:spacing w:before="11"/>
                  <w:ind w:left="20"/>
                  <w:rPr>
                    <w:rFonts w:ascii="Times New Roman"/>
                  </w:rPr>
                </w:pPr>
                <w:r>
                  <w:rPr>
                    <w:rFonts w:ascii="Times New Roman"/>
                  </w:rPr>
                  <w:t>10-</w:t>
                </w:r>
                <w:r>
                  <w:rPr/>
                  <w:fldChar w:fldCharType="begin"/>
                </w:r>
                <w:r>
                  <w:rPr>
                    <w:rFonts w:ascii="Times New Roman"/>
                  </w:rPr>
                  <w:instrText> PAGE </w:instrText>
                </w:r>
                <w:r>
                  <w:rPr/>
                  <w:fldChar w:fldCharType="separate"/>
                </w:r>
                <w:r>
                  <w:rPr/>
                  <w:t>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27.743011pt;width:22.35pt;height:13.65pt;mso-position-horizontal-relative:page;mso-position-vertical-relative:page;z-index:-50200" type="#_x0000_t202" filled="false" stroked="false">
          <v:textbox inset="0,0,0,0">
            <w:txbxContent>
              <w:p>
                <w:pPr>
                  <w:pStyle w:val="BodyText"/>
                  <w:spacing w:before="11"/>
                  <w:ind w:left="20"/>
                  <w:rPr>
                    <w:rFonts w:ascii="Times New Roman"/>
                  </w:rPr>
                </w:pPr>
                <w:r>
                  <w:rPr>
                    <w:rFonts w:ascii="Times New Roman"/>
                  </w:rPr>
                  <w:t>10-</w:t>
                </w:r>
                <w:r>
                  <w:rPr/>
                  <w:fldChar w:fldCharType="begin"/>
                </w:r>
                <w:r>
                  <w:rPr>
                    <w:rFonts w:ascii="Times New Roman"/>
                  </w:rPr>
                  <w:instrText> PAGE </w:instrText>
                </w:r>
                <w:r>
                  <w:rPr/>
                  <w:fldChar w:fldCharType="separate"/>
                </w:r>
                <w:r>
                  <w:rPr/>
                  <w:t>7</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0013pt;margin-top:27.743011pt;width:27.55pt;height:13.65pt;mso-position-horizontal-relative:page;mso-position-vertical-relative:page;z-index:-50176" type="#_x0000_t202" filled="false" stroked="false">
          <v:textbox inset="0,0,0,0">
            <w:txbxContent>
              <w:p>
                <w:pPr>
                  <w:pStyle w:val="BodyText"/>
                  <w:spacing w:before="11"/>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1225" w:hanging="1004"/>
        <w:jc w:val="left"/>
      </w:pPr>
      <w:rPr>
        <w:rFonts w:hint="default"/>
      </w:rPr>
    </w:lvl>
    <w:lvl w:ilvl="1">
      <w:start w:val="1"/>
      <w:numFmt w:val="decimal"/>
      <w:lvlText w:val="%1.%2"/>
      <w:lvlJc w:val="left"/>
      <w:pPr>
        <w:ind w:left="1225" w:hanging="1004"/>
        <w:jc w:val="left"/>
      </w:pPr>
      <w:rPr>
        <w:rFonts w:hint="default" w:ascii="宋体" w:hAnsi="宋体" w:eastAsia="宋体" w:cs="宋体"/>
        <w:spacing w:val="0"/>
        <w:w w:val="100"/>
        <w:position w:val="-1"/>
        <w:sz w:val="21"/>
        <w:szCs w:val="21"/>
      </w:rPr>
    </w:lvl>
    <w:lvl w:ilvl="2">
      <w:start w:val="0"/>
      <w:numFmt w:val="bullet"/>
      <w:lvlText w:val="•"/>
      <w:lvlJc w:val="left"/>
      <w:pPr>
        <w:ind w:left="3072" w:hanging="1004"/>
      </w:pPr>
      <w:rPr>
        <w:rFonts w:hint="default"/>
      </w:rPr>
    </w:lvl>
    <w:lvl w:ilvl="3">
      <w:start w:val="0"/>
      <w:numFmt w:val="bullet"/>
      <w:lvlText w:val="•"/>
      <w:lvlJc w:val="left"/>
      <w:pPr>
        <w:ind w:left="3998" w:hanging="1004"/>
      </w:pPr>
      <w:rPr>
        <w:rFonts w:hint="default"/>
      </w:rPr>
    </w:lvl>
    <w:lvl w:ilvl="4">
      <w:start w:val="0"/>
      <w:numFmt w:val="bullet"/>
      <w:lvlText w:val="•"/>
      <w:lvlJc w:val="left"/>
      <w:pPr>
        <w:ind w:left="4924" w:hanging="1004"/>
      </w:pPr>
      <w:rPr>
        <w:rFonts w:hint="default"/>
      </w:rPr>
    </w:lvl>
    <w:lvl w:ilvl="5">
      <w:start w:val="0"/>
      <w:numFmt w:val="bullet"/>
      <w:lvlText w:val="•"/>
      <w:lvlJc w:val="left"/>
      <w:pPr>
        <w:ind w:left="5850" w:hanging="1004"/>
      </w:pPr>
      <w:rPr>
        <w:rFonts w:hint="default"/>
      </w:rPr>
    </w:lvl>
    <w:lvl w:ilvl="6">
      <w:start w:val="0"/>
      <w:numFmt w:val="bullet"/>
      <w:lvlText w:val="•"/>
      <w:lvlJc w:val="left"/>
      <w:pPr>
        <w:ind w:left="6776" w:hanging="1004"/>
      </w:pPr>
      <w:rPr>
        <w:rFonts w:hint="default"/>
      </w:rPr>
    </w:lvl>
    <w:lvl w:ilvl="7">
      <w:start w:val="0"/>
      <w:numFmt w:val="bullet"/>
      <w:lvlText w:val="•"/>
      <w:lvlJc w:val="left"/>
      <w:pPr>
        <w:ind w:left="7702" w:hanging="1004"/>
      </w:pPr>
      <w:rPr>
        <w:rFonts w:hint="default"/>
      </w:rPr>
    </w:lvl>
    <w:lvl w:ilvl="8">
      <w:start w:val="0"/>
      <w:numFmt w:val="bullet"/>
      <w:lvlText w:val="•"/>
      <w:lvlJc w:val="left"/>
      <w:pPr>
        <w:ind w:left="8628" w:hanging="1004"/>
      </w:pPr>
      <w:rPr>
        <w:rFonts w:hint="default"/>
      </w:rPr>
    </w:lvl>
  </w:abstractNum>
  <w:abstractNum w:abstractNumId="7">
    <w:multiLevelType w:val="hybridMultilevel"/>
    <w:lvl w:ilvl="0">
      <w:start w:val="7"/>
      <w:numFmt w:val="decimal"/>
      <w:lvlText w:val="%1"/>
      <w:lvlJc w:val="left"/>
      <w:pPr>
        <w:ind w:left="1225" w:hanging="1004"/>
        <w:jc w:val="left"/>
      </w:pPr>
      <w:rPr>
        <w:rFonts w:hint="default"/>
      </w:rPr>
    </w:lvl>
    <w:lvl w:ilvl="1">
      <w:start w:val="3"/>
      <w:numFmt w:val="decimal"/>
      <w:lvlText w:val="%1.%2"/>
      <w:lvlJc w:val="left"/>
      <w:pPr>
        <w:ind w:left="1225" w:hanging="1004"/>
        <w:jc w:val="left"/>
      </w:pPr>
      <w:rPr>
        <w:rFonts w:hint="default" w:ascii="宋体" w:hAnsi="宋体" w:eastAsia="宋体" w:cs="宋体"/>
        <w:spacing w:val="0"/>
        <w:w w:val="100"/>
        <w:sz w:val="21"/>
        <w:szCs w:val="21"/>
      </w:rPr>
    </w:lvl>
    <w:lvl w:ilvl="2">
      <w:start w:val="0"/>
      <w:numFmt w:val="bullet"/>
      <w:lvlText w:val="•"/>
      <w:lvlJc w:val="left"/>
      <w:pPr>
        <w:ind w:left="1431" w:hanging="1004"/>
      </w:pPr>
      <w:rPr>
        <w:rFonts w:hint="default"/>
      </w:rPr>
    </w:lvl>
    <w:lvl w:ilvl="3">
      <w:start w:val="0"/>
      <w:numFmt w:val="bullet"/>
      <w:lvlText w:val="•"/>
      <w:lvlJc w:val="left"/>
      <w:pPr>
        <w:ind w:left="1537" w:hanging="1004"/>
      </w:pPr>
      <w:rPr>
        <w:rFonts w:hint="default"/>
      </w:rPr>
    </w:lvl>
    <w:lvl w:ilvl="4">
      <w:start w:val="0"/>
      <w:numFmt w:val="bullet"/>
      <w:lvlText w:val="•"/>
      <w:lvlJc w:val="left"/>
      <w:pPr>
        <w:ind w:left="1643" w:hanging="1004"/>
      </w:pPr>
      <w:rPr>
        <w:rFonts w:hint="default"/>
      </w:rPr>
    </w:lvl>
    <w:lvl w:ilvl="5">
      <w:start w:val="0"/>
      <w:numFmt w:val="bullet"/>
      <w:lvlText w:val="•"/>
      <w:lvlJc w:val="left"/>
      <w:pPr>
        <w:ind w:left="1749" w:hanging="1004"/>
      </w:pPr>
      <w:rPr>
        <w:rFonts w:hint="default"/>
      </w:rPr>
    </w:lvl>
    <w:lvl w:ilvl="6">
      <w:start w:val="0"/>
      <w:numFmt w:val="bullet"/>
      <w:lvlText w:val="•"/>
      <w:lvlJc w:val="left"/>
      <w:pPr>
        <w:ind w:left="1855" w:hanging="1004"/>
      </w:pPr>
      <w:rPr>
        <w:rFonts w:hint="default"/>
      </w:rPr>
    </w:lvl>
    <w:lvl w:ilvl="7">
      <w:start w:val="0"/>
      <w:numFmt w:val="bullet"/>
      <w:lvlText w:val="•"/>
      <w:lvlJc w:val="left"/>
      <w:pPr>
        <w:ind w:left="1961" w:hanging="1004"/>
      </w:pPr>
      <w:rPr>
        <w:rFonts w:hint="default"/>
      </w:rPr>
    </w:lvl>
    <w:lvl w:ilvl="8">
      <w:start w:val="0"/>
      <w:numFmt w:val="bullet"/>
      <w:lvlText w:val="•"/>
      <w:lvlJc w:val="left"/>
      <w:pPr>
        <w:ind w:left="2067" w:hanging="1004"/>
      </w:pPr>
      <w:rPr>
        <w:rFonts w:hint="default"/>
      </w:rPr>
    </w:lvl>
  </w:abstractNum>
  <w:abstractNum w:abstractNumId="6">
    <w:multiLevelType w:val="hybridMultilevel"/>
    <w:lvl w:ilvl="0">
      <w:start w:val="7"/>
      <w:numFmt w:val="decimal"/>
      <w:lvlText w:val="%1"/>
      <w:lvlJc w:val="left"/>
      <w:pPr>
        <w:ind w:left="1225" w:hanging="1004"/>
        <w:jc w:val="left"/>
      </w:pPr>
      <w:rPr>
        <w:rFonts w:hint="default"/>
      </w:rPr>
    </w:lvl>
    <w:lvl w:ilvl="1">
      <w:start w:val="1"/>
      <w:numFmt w:val="decimal"/>
      <w:lvlText w:val="%1.%2"/>
      <w:lvlJc w:val="left"/>
      <w:pPr>
        <w:ind w:left="1225" w:hanging="1004"/>
        <w:jc w:val="left"/>
      </w:pPr>
      <w:rPr>
        <w:rFonts w:hint="default" w:ascii="宋体" w:hAnsi="宋体" w:eastAsia="宋体" w:cs="宋体"/>
        <w:spacing w:val="0"/>
        <w:w w:val="100"/>
        <w:sz w:val="21"/>
        <w:szCs w:val="21"/>
      </w:rPr>
    </w:lvl>
    <w:lvl w:ilvl="2">
      <w:start w:val="0"/>
      <w:numFmt w:val="bullet"/>
      <w:lvlText w:val="•"/>
      <w:lvlJc w:val="left"/>
      <w:pPr>
        <w:ind w:left="1431" w:hanging="1004"/>
      </w:pPr>
      <w:rPr>
        <w:rFonts w:hint="default"/>
      </w:rPr>
    </w:lvl>
    <w:lvl w:ilvl="3">
      <w:start w:val="0"/>
      <w:numFmt w:val="bullet"/>
      <w:lvlText w:val="•"/>
      <w:lvlJc w:val="left"/>
      <w:pPr>
        <w:ind w:left="1537" w:hanging="1004"/>
      </w:pPr>
      <w:rPr>
        <w:rFonts w:hint="default"/>
      </w:rPr>
    </w:lvl>
    <w:lvl w:ilvl="4">
      <w:start w:val="0"/>
      <w:numFmt w:val="bullet"/>
      <w:lvlText w:val="•"/>
      <w:lvlJc w:val="left"/>
      <w:pPr>
        <w:ind w:left="1643" w:hanging="1004"/>
      </w:pPr>
      <w:rPr>
        <w:rFonts w:hint="default"/>
      </w:rPr>
    </w:lvl>
    <w:lvl w:ilvl="5">
      <w:start w:val="0"/>
      <w:numFmt w:val="bullet"/>
      <w:lvlText w:val="•"/>
      <w:lvlJc w:val="left"/>
      <w:pPr>
        <w:ind w:left="1749" w:hanging="1004"/>
      </w:pPr>
      <w:rPr>
        <w:rFonts w:hint="default"/>
      </w:rPr>
    </w:lvl>
    <w:lvl w:ilvl="6">
      <w:start w:val="0"/>
      <w:numFmt w:val="bullet"/>
      <w:lvlText w:val="•"/>
      <w:lvlJc w:val="left"/>
      <w:pPr>
        <w:ind w:left="1855" w:hanging="1004"/>
      </w:pPr>
      <w:rPr>
        <w:rFonts w:hint="default"/>
      </w:rPr>
    </w:lvl>
    <w:lvl w:ilvl="7">
      <w:start w:val="0"/>
      <w:numFmt w:val="bullet"/>
      <w:lvlText w:val="•"/>
      <w:lvlJc w:val="left"/>
      <w:pPr>
        <w:ind w:left="1961" w:hanging="1004"/>
      </w:pPr>
      <w:rPr>
        <w:rFonts w:hint="default"/>
      </w:rPr>
    </w:lvl>
    <w:lvl w:ilvl="8">
      <w:start w:val="0"/>
      <w:numFmt w:val="bullet"/>
      <w:lvlText w:val="•"/>
      <w:lvlJc w:val="left"/>
      <w:pPr>
        <w:ind w:left="2067" w:hanging="1004"/>
      </w:pPr>
      <w:rPr>
        <w:rFonts w:hint="default"/>
      </w:rPr>
    </w:lvl>
  </w:abstractNum>
  <w:abstractNum w:abstractNumId="5">
    <w:multiLevelType w:val="hybridMultilevel"/>
    <w:lvl w:ilvl="0">
      <w:start w:val="5"/>
      <w:numFmt w:val="decimal"/>
      <w:lvlText w:val="%1"/>
      <w:lvlJc w:val="left"/>
      <w:pPr>
        <w:ind w:left="1225" w:hanging="1004"/>
        <w:jc w:val="left"/>
      </w:pPr>
      <w:rPr>
        <w:rFonts w:hint="default"/>
      </w:rPr>
    </w:lvl>
    <w:lvl w:ilvl="1">
      <w:start w:val="3"/>
      <w:numFmt w:val="decimal"/>
      <w:lvlText w:val="%1.%2"/>
      <w:lvlJc w:val="left"/>
      <w:pPr>
        <w:ind w:left="1225" w:hanging="1004"/>
        <w:jc w:val="left"/>
      </w:pPr>
      <w:rPr>
        <w:rFonts w:hint="default"/>
      </w:rPr>
    </w:lvl>
    <w:lvl w:ilvl="2">
      <w:start w:val="2"/>
      <w:numFmt w:val="decimal"/>
      <w:lvlText w:val="%1.%2.%3"/>
      <w:lvlJc w:val="left"/>
      <w:pPr>
        <w:ind w:left="1225" w:hanging="1004"/>
        <w:jc w:val="left"/>
      </w:pPr>
      <w:rPr>
        <w:rFonts w:hint="default" w:ascii="宋体" w:hAnsi="宋体" w:eastAsia="宋体" w:cs="宋体"/>
        <w:i/>
        <w:spacing w:val="-1"/>
        <w:w w:val="95"/>
        <w:sz w:val="22"/>
        <w:szCs w:val="22"/>
      </w:rPr>
    </w:lvl>
    <w:lvl w:ilvl="3">
      <w:start w:val="0"/>
      <w:numFmt w:val="bullet"/>
      <w:lvlText w:val="•"/>
      <w:lvlJc w:val="left"/>
      <w:pPr>
        <w:ind w:left="1536" w:hanging="1004"/>
      </w:pPr>
      <w:rPr>
        <w:rFonts w:hint="default"/>
      </w:rPr>
    </w:lvl>
    <w:lvl w:ilvl="4">
      <w:start w:val="0"/>
      <w:numFmt w:val="bullet"/>
      <w:lvlText w:val="•"/>
      <w:lvlJc w:val="left"/>
      <w:pPr>
        <w:ind w:left="1642" w:hanging="1004"/>
      </w:pPr>
      <w:rPr>
        <w:rFonts w:hint="default"/>
      </w:rPr>
    </w:lvl>
    <w:lvl w:ilvl="5">
      <w:start w:val="0"/>
      <w:numFmt w:val="bullet"/>
      <w:lvlText w:val="•"/>
      <w:lvlJc w:val="left"/>
      <w:pPr>
        <w:ind w:left="1747" w:hanging="1004"/>
      </w:pPr>
      <w:rPr>
        <w:rFonts w:hint="default"/>
      </w:rPr>
    </w:lvl>
    <w:lvl w:ilvl="6">
      <w:start w:val="0"/>
      <w:numFmt w:val="bullet"/>
      <w:lvlText w:val="•"/>
      <w:lvlJc w:val="left"/>
      <w:pPr>
        <w:ind w:left="1853" w:hanging="1004"/>
      </w:pPr>
      <w:rPr>
        <w:rFonts w:hint="default"/>
      </w:rPr>
    </w:lvl>
    <w:lvl w:ilvl="7">
      <w:start w:val="0"/>
      <w:numFmt w:val="bullet"/>
      <w:lvlText w:val="•"/>
      <w:lvlJc w:val="left"/>
      <w:pPr>
        <w:ind w:left="1958" w:hanging="1004"/>
      </w:pPr>
      <w:rPr>
        <w:rFonts w:hint="default"/>
      </w:rPr>
    </w:lvl>
    <w:lvl w:ilvl="8">
      <w:start w:val="0"/>
      <w:numFmt w:val="bullet"/>
      <w:lvlText w:val="•"/>
      <w:lvlJc w:val="left"/>
      <w:pPr>
        <w:ind w:left="2064" w:hanging="1004"/>
      </w:pPr>
      <w:rPr>
        <w:rFonts w:hint="default"/>
      </w:rPr>
    </w:lvl>
  </w:abstractNum>
  <w:abstractNum w:abstractNumId="4">
    <w:multiLevelType w:val="hybridMultilevel"/>
    <w:lvl w:ilvl="0">
      <w:start w:val="3"/>
      <w:numFmt w:val="decimal"/>
      <w:lvlText w:val="%1"/>
      <w:lvlJc w:val="left"/>
      <w:pPr>
        <w:ind w:left="1225" w:hanging="1004"/>
        <w:jc w:val="left"/>
      </w:pPr>
      <w:rPr>
        <w:rFonts w:hint="default"/>
      </w:rPr>
    </w:lvl>
    <w:lvl w:ilvl="1">
      <w:start w:val="5"/>
      <w:numFmt w:val="decimal"/>
      <w:lvlText w:val="%1.%2"/>
      <w:lvlJc w:val="left"/>
      <w:pPr>
        <w:ind w:left="1225" w:hanging="1004"/>
        <w:jc w:val="left"/>
      </w:pPr>
      <w:rPr>
        <w:rFonts w:hint="default" w:ascii="宋体" w:hAnsi="宋体" w:eastAsia="宋体" w:cs="宋体"/>
        <w:spacing w:val="0"/>
        <w:w w:val="100"/>
        <w:sz w:val="21"/>
        <w:szCs w:val="21"/>
      </w:rPr>
    </w:lvl>
    <w:lvl w:ilvl="2">
      <w:start w:val="1"/>
      <w:numFmt w:val="decimal"/>
      <w:lvlText w:val="%3"/>
      <w:lvlJc w:val="left"/>
      <w:pPr>
        <w:ind w:left="680" w:hanging="346"/>
        <w:jc w:val="left"/>
      </w:pPr>
      <w:rPr>
        <w:rFonts w:hint="default" w:ascii="宋体" w:hAnsi="宋体" w:eastAsia="宋体" w:cs="宋体"/>
        <w:w w:val="100"/>
        <w:sz w:val="18"/>
        <w:szCs w:val="18"/>
      </w:rPr>
    </w:lvl>
    <w:lvl w:ilvl="3">
      <w:start w:val="0"/>
      <w:numFmt w:val="bullet"/>
      <w:lvlText w:val="•"/>
      <w:lvlJc w:val="left"/>
      <w:pPr>
        <w:ind w:left="927" w:hanging="346"/>
      </w:pPr>
      <w:rPr>
        <w:rFonts w:hint="default"/>
      </w:rPr>
    </w:lvl>
    <w:lvl w:ilvl="4">
      <w:start w:val="0"/>
      <w:numFmt w:val="bullet"/>
      <w:lvlText w:val="•"/>
      <w:lvlJc w:val="left"/>
      <w:pPr>
        <w:ind w:left="781" w:hanging="346"/>
      </w:pPr>
      <w:rPr>
        <w:rFonts w:hint="default"/>
      </w:rPr>
    </w:lvl>
    <w:lvl w:ilvl="5">
      <w:start w:val="0"/>
      <w:numFmt w:val="bullet"/>
      <w:lvlText w:val="•"/>
      <w:lvlJc w:val="left"/>
      <w:pPr>
        <w:ind w:left="635" w:hanging="346"/>
      </w:pPr>
      <w:rPr>
        <w:rFonts w:hint="default"/>
      </w:rPr>
    </w:lvl>
    <w:lvl w:ilvl="6">
      <w:start w:val="0"/>
      <w:numFmt w:val="bullet"/>
      <w:lvlText w:val="•"/>
      <w:lvlJc w:val="left"/>
      <w:pPr>
        <w:ind w:left="488" w:hanging="346"/>
      </w:pPr>
      <w:rPr>
        <w:rFonts w:hint="default"/>
      </w:rPr>
    </w:lvl>
    <w:lvl w:ilvl="7">
      <w:start w:val="0"/>
      <w:numFmt w:val="bullet"/>
      <w:lvlText w:val="•"/>
      <w:lvlJc w:val="left"/>
      <w:pPr>
        <w:ind w:left="342" w:hanging="346"/>
      </w:pPr>
      <w:rPr>
        <w:rFonts w:hint="default"/>
      </w:rPr>
    </w:lvl>
    <w:lvl w:ilvl="8">
      <w:start w:val="0"/>
      <w:numFmt w:val="bullet"/>
      <w:lvlText w:val="•"/>
      <w:lvlJc w:val="left"/>
      <w:pPr>
        <w:ind w:left="196" w:hanging="346"/>
      </w:pPr>
      <w:rPr>
        <w:rFonts w:hint="default"/>
      </w:rPr>
    </w:lvl>
  </w:abstractNum>
  <w:abstractNum w:abstractNumId="3">
    <w:multiLevelType w:val="hybridMultilevel"/>
    <w:lvl w:ilvl="0">
      <w:start w:val="3"/>
      <w:numFmt w:val="decimal"/>
      <w:lvlText w:val="%1"/>
      <w:lvlJc w:val="left"/>
      <w:pPr>
        <w:ind w:left="2597" w:hanging="1004"/>
        <w:jc w:val="left"/>
      </w:pPr>
      <w:rPr>
        <w:rFonts w:hint="default"/>
      </w:rPr>
    </w:lvl>
    <w:lvl w:ilvl="1">
      <w:start w:val="4"/>
      <w:numFmt w:val="decimal"/>
      <w:lvlText w:val="%1.%2"/>
      <w:lvlJc w:val="left"/>
      <w:pPr>
        <w:ind w:left="2597" w:hanging="1004"/>
        <w:jc w:val="left"/>
      </w:pPr>
      <w:rPr>
        <w:rFonts w:hint="default"/>
      </w:rPr>
    </w:lvl>
    <w:lvl w:ilvl="2">
      <w:start w:val="1"/>
      <w:numFmt w:val="decimal"/>
      <w:lvlText w:val="%1.%2.%3"/>
      <w:lvlJc w:val="left"/>
      <w:pPr>
        <w:ind w:left="2597" w:hanging="1004"/>
        <w:jc w:val="left"/>
      </w:pPr>
      <w:rPr>
        <w:rFonts w:hint="default" w:ascii="宋体" w:hAnsi="宋体" w:eastAsia="宋体" w:cs="宋体"/>
        <w:i/>
        <w:spacing w:val="-1"/>
        <w:w w:val="95"/>
        <w:sz w:val="22"/>
        <w:szCs w:val="22"/>
      </w:rPr>
    </w:lvl>
    <w:lvl w:ilvl="3">
      <w:start w:val="0"/>
      <w:numFmt w:val="bullet"/>
      <w:lvlText w:val="•"/>
      <w:lvlJc w:val="left"/>
      <w:pPr>
        <w:ind w:left="4946" w:hanging="1004"/>
      </w:pPr>
      <w:rPr>
        <w:rFonts w:hint="default"/>
      </w:rPr>
    </w:lvl>
    <w:lvl w:ilvl="4">
      <w:start w:val="0"/>
      <w:numFmt w:val="bullet"/>
      <w:lvlText w:val="•"/>
      <w:lvlJc w:val="left"/>
      <w:pPr>
        <w:ind w:left="5728" w:hanging="1004"/>
      </w:pPr>
      <w:rPr>
        <w:rFonts w:hint="default"/>
      </w:rPr>
    </w:lvl>
    <w:lvl w:ilvl="5">
      <w:start w:val="0"/>
      <w:numFmt w:val="bullet"/>
      <w:lvlText w:val="•"/>
      <w:lvlJc w:val="left"/>
      <w:pPr>
        <w:ind w:left="6510" w:hanging="1004"/>
      </w:pPr>
      <w:rPr>
        <w:rFonts w:hint="default"/>
      </w:rPr>
    </w:lvl>
    <w:lvl w:ilvl="6">
      <w:start w:val="0"/>
      <w:numFmt w:val="bullet"/>
      <w:lvlText w:val="•"/>
      <w:lvlJc w:val="left"/>
      <w:pPr>
        <w:ind w:left="7292" w:hanging="1004"/>
      </w:pPr>
      <w:rPr>
        <w:rFonts w:hint="default"/>
      </w:rPr>
    </w:lvl>
    <w:lvl w:ilvl="7">
      <w:start w:val="0"/>
      <w:numFmt w:val="bullet"/>
      <w:lvlText w:val="•"/>
      <w:lvlJc w:val="left"/>
      <w:pPr>
        <w:ind w:left="8074" w:hanging="1004"/>
      </w:pPr>
      <w:rPr>
        <w:rFonts w:hint="default"/>
      </w:rPr>
    </w:lvl>
    <w:lvl w:ilvl="8">
      <w:start w:val="0"/>
      <w:numFmt w:val="bullet"/>
      <w:lvlText w:val="•"/>
      <w:lvlJc w:val="left"/>
      <w:pPr>
        <w:ind w:left="8856" w:hanging="1004"/>
      </w:pPr>
      <w:rPr>
        <w:rFonts w:hint="default"/>
      </w:rPr>
    </w:lvl>
  </w:abstractNum>
  <w:abstractNum w:abstractNumId="2">
    <w:multiLevelType w:val="hybridMultilevel"/>
    <w:lvl w:ilvl="0">
      <w:start w:val="3"/>
      <w:numFmt w:val="decimal"/>
      <w:lvlText w:val="%1"/>
      <w:lvlJc w:val="left"/>
      <w:pPr>
        <w:ind w:left="1105" w:hanging="1004"/>
        <w:jc w:val="left"/>
      </w:pPr>
      <w:rPr>
        <w:rFonts w:hint="default"/>
      </w:rPr>
    </w:lvl>
    <w:lvl w:ilvl="1">
      <w:start w:val="3"/>
      <w:numFmt w:val="decimal"/>
      <w:lvlText w:val="%1.%2"/>
      <w:lvlJc w:val="left"/>
      <w:pPr>
        <w:ind w:left="1105" w:hanging="1004"/>
        <w:jc w:val="left"/>
      </w:pPr>
      <w:rPr>
        <w:rFonts w:hint="default" w:ascii="宋体" w:hAnsi="宋体" w:eastAsia="宋体" w:cs="宋体"/>
        <w:spacing w:val="0"/>
        <w:w w:val="100"/>
        <w:sz w:val="21"/>
        <w:szCs w:val="21"/>
      </w:rPr>
    </w:lvl>
    <w:lvl w:ilvl="2">
      <w:start w:val="1"/>
      <w:numFmt w:val="decimal"/>
      <w:lvlText w:val="%3"/>
      <w:lvlJc w:val="left"/>
      <w:pPr>
        <w:ind w:left="668" w:hanging="346"/>
        <w:jc w:val="left"/>
      </w:pPr>
      <w:rPr>
        <w:rFonts w:hint="default" w:ascii="宋体" w:hAnsi="宋体" w:eastAsia="宋体" w:cs="宋体"/>
        <w:w w:val="100"/>
        <w:sz w:val="18"/>
        <w:szCs w:val="18"/>
      </w:rPr>
    </w:lvl>
    <w:lvl w:ilvl="3">
      <w:start w:val="0"/>
      <w:numFmt w:val="bullet"/>
      <w:lvlText w:val="•"/>
      <w:lvlJc w:val="left"/>
      <w:pPr>
        <w:ind w:left="807" w:hanging="346"/>
      </w:pPr>
      <w:rPr>
        <w:rFonts w:hint="default"/>
      </w:rPr>
    </w:lvl>
    <w:lvl w:ilvl="4">
      <w:start w:val="0"/>
      <w:numFmt w:val="bullet"/>
      <w:lvlText w:val="•"/>
      <w:lvlJc w:val="left"/>
      <w:pPr>
        <w:ind w:left="661" w:hanging="346"/>
      </w:pPr>
      <w:rPr>
        <w:rFonts w:hint="default"/>
      </w:rPr>
    </w:lvl>
    <w:lvl w:ilvl="5">
      <w:start w:val="0"/>
      <w:numFmt w:val="bullet"/>
      <w:lvlText w:val="•"/>
      <w:lvlJc w:val="left"/>
      <w:pPr>
        <w:ind w:left="515" w:hanging="346"/>
      </w:pPr>
      <w:rPr>
        <w:rFonts w:hint="default"/>
      </w:rPr>
    </w:lvl>
    <w:lvl w:ilvl="6">
      <w:start w:val="0"/>
      <w:numFmt w:val="bullet"/>
      <w:lvlText w:val="•"/>
      <w:lvlJc w:val="left"/>
      <w:pPr>
        <w:ind w:left="368" w:hanging="346"/>
      </w:pPr>
      <w:rPr>
        <w:rFonts w:hint="default"/>
      </w:rPr>
    </w:lvl>
    <w:lvl w:ilvl="7">
      <w:start w:val="0"/>
      <w:numFmt w:val="bullet"/>
      <w:lvlText w:val="•"/>
      <w:lvlJc w:val="left"/>
      <w:pPr>
        <w:ind w:left="222" w:hanging="346"/>
      </w:pPr>
      <w:rPr>
        <w:rFonts w:hint="default"/>
      </w:rPr>
    </w:lvl>
    <w:lvl w:ilvl="8">
      <w:start w:val="0"/>
      <w:numFmt w:val="bullet"/>
      <w:lvlText w:val="•"/>
      <w:lvlJc w:val="left"/>
      <w:pPr>
        <w:ind w:left="76" w:hanging="346"/>
      </w:pPr>
      <w:rPr>
        <w:rFonts w:hint="default"/>
      </w:rPr>
    </w:lvl>
  </w:abstractNum>
  <w:abstractNum w:abstractNumId="1">
    <w:multiLevelType w:val="hybridMultilevel"/>
    <w:lvl w:ilvl="0">
      <w:start w:val="3"/>
      <w:numFmt w:val="decimal"/>
      <w:lvlText w:val="%1"/>
      <w:lvlJc w:val="left"/>
      <w:pPr>
        <w:ind w:left="2477" w:hanging="1004"/>
        <w:jc w:val="left"/>
      </w:pPr>
      <w:rPr>
        <w:rFonts w:hint="default"/>
      </w:rPr>
    </w:lvl>
    <w:lvl w:ilvl="1">
      <w:start w:val="2"/>
      <w:numFmt w:val="decimal"/>
      <w:lvlText w:val="%1.%2"/>
      <w:lvlJc w:val="left"/>
      <w:pPr>
        <w:ind w:left="2477" w:hanging="1004"/>
        <w:jc w:val="left"/>
      </w:pPr>
      <w:rPr>
        <w:rFonts w:hint="default"/>
      </w:rPr>
    </w:lvl>
    <w:lvl w:ilvl="2">
      <w:start w:val="16"/>
      <w:numFmt w:val="decimal"/>
      <w:lvlText w:val="%1.%2.%3"/>
      <w:lvlJc w:val="left"/>
      <w:pPr>
        <w:ind w:left="2477" w:hanging="1004"/>
        <w:jc w:val="left"/>
      </w:pPr>
      <w:rPr>
        <w:rFonts w:hint="default" w:ascii="宋体" w:hAnsi="宋体" w:eastAsia="宋体" w:cs="宋体"/>
        <w:i/>
        <w:spacing w:val="-1"/>
        <w:w w:val="95"/>
        <w:position w:val="-1"/>
        <w:sz w:val="22"/>
        <w:szCs w:val="22"/>
      </w:rPr>
    </w:lvl>
    <w:lvl w:ilvl="3">
      <w:start w:val="0"/>
      <w:numFmt w:val="bullet"/>
      <w:lvlText w:val="•"/>
      <w:lvlJc w:val="left"/>
      <w:pPr>
        <w:ind w:left="4826" w:hanging="1004"/>
      </w:pPr>
      <w:rPr>
        <w:rFonts w:hint="default"/>
      </w:rPr>
    </w:lvl>
    <w:lvl w:ilvl="4">
      <w:start w:val="0"/>
      <w:numFmt w:val="bullet"/>
      <w:lvlText w:val="•"/>
      <w:lvlJc w:val="left"/>
      <w:pPr>
        <w:ind w:left="5608" w:hanging="1004"/>
      </w:pPr>
      <w:rPr>
        <w:rFonts w:hint="default"/>
      </w:rPr>
    </w:lvl>
    <w:lvl w:ilvl="5">
      <w:start w:val="0"/>
      <w:numFmt w:val="bullet"/>
      <w:lvlText w:val="•"/>
      <w:lvlJc w:val="left"/>
      <w:pPr>
        <w:ind w:left="6390" w:hanging="1004"/>
      </w:pPr>
      <w:rPr>
        <w:rFonts w:hint="default"/>
      </w:rPr>
    </w:lvl>
    <w:lvl w:ilvl="6">
      <w:start w:val="0"/>
      <w:numFmt w:val="bullet"/>
      <w:lvlText w:val="•"/>
      <w:lvlJc w:val="left"/>
      <w:pPr>
        <w:ind w:left="7172" w:hanging="1004"/>
      </w:pPr>
      <w:rPr>
        <w:rFonts w:hint="default"/>
      </w:rPr>
    </w:lvl>
    <w:lvl w:ilvl="7">
      <w:start w:val="0"/>
      <w:numFmt w:val="bullet"/>
      <w:lvlText w:val="•"/>
      <w:lvlJc w:val="left"/>
      <w:pPr>
        <w:ind w:left="7954" w:hanging="1004"/>
      </w:pPr>
      <w:rPr>
        <w:rFonts w:hint="default"/>
      </w:rPr>
    </w:lvl>
    <w:lvl w:ilvl="8">
      <w:start w:val="0"/>
      <w:numFmt w:val="bullet"/>
      <w:lvlText w:val="•"/>
      <w:lvlJc w:val="left"/>
      <w:pPr>
        <w:ind w:left="8736" w:hanging="1004"/>
      </w:pPr>
      <w:rPr>
        <w:rFonts w:hint="default"/>
      </w:rPr>
    </w:lvl>
  </w:abstractNum>
  <w:abstractNum w:abstractNumId="0">
    <w:multiLevelType w:val="hybridMultilevel"/>
    <w:lvl w:ilvl="0">
      <w:start w:val="1"/>
      <w:numFmt w:val="decimal"/>
      <w:lvlText w:val="%1"/>
      <w:lvlJc w:val="left"/>
      <w:pPr>
        <w:ind w:left="1225" w:hanging="1004"/>
        <w:jc w:val="left"/>
      </w:pPr>
      <w:rPr>
        <w:rFonts w:hint="default" w:ascii="宋体" w:hAnsi="宋体" w:eastAsia="宋体" w:cs="宋体"/>
        <w:w w:val="99"/>
        <w:sz w:val="28"/>
        <w:szCs w:val="28"/>
      </w:rPr>
    </w:lvl>
    <w:lvl w:ilvl="1">
      <w:start w:val="1"/>
      <w:numFmt w:val="decimal"/>
      <w:lvlText w:val="%1.%2"/>
      <w:lvlJc w:val="left"/>
      <w:pPr>
        <w:ind w:left="2597" w:hanging="1003"/>
        <w:jc w:val="left"/>
      </w:pPr>
      <w:rPr>
        <w:rFonts w:hint="default" w:ascii="宋体" w:hAnsi="宋体" w:eastAsia="宋体" w:cs="宋体"/>
        <w:spacing w:val="-49"/>
        <w:w w:val="100"/>
        <w:sz w:val="21"/>
        <w:szCs w:val="21"/>
      </w:rPr>
    </w:lvl>
    <w:lvl w:ilvl="2">
      <w:start w:val="1"/>
      <w:numFmt w:val="decimal"/>
      <w:lvlText w:val="%1.%2.%3"/>
      <w:lvlJc w:val="left"/>
      <w:pPr>
        <w:ind w:left="2597" w:hanging="1004"/>
        <w:jc w:val="left"/>
      </w:pPr>
      <w:rPr>
        <w:rFonts w:hint="default" w:ascii="宋体" w:hAnsi="宋体" w:eastAsia="宋体" w:cs="宋体"/>
        <w:i/>
        <w:spacing w:val="-1"/>
        <w:w w:val="95"/>
        <w:sz w:val="22"/>
        <w:szCs w:val="22"/>
      </w:rPr>
    </w:lvl>
    <w:lvl w:ilvl="3">
      <w:start w:val="0"/>
      <w:numFmt w:val="bullet"/>
      <w:lvlText w:val="•"/>
      <w:lvlJc w:val="left"/>
      <w:pPr>
        <w:ind w:left="2528" w:hanging="1004"/>
      </w:pPr>
      <w:rPr>
        <w:rFonts w:hint="default"/>
      </w:rPr>
    </w:lvl>
    <w:lvl w:ilvl="4">
      <w:start w:val="0"/>
      <w:numFmt w:val="bullet"/>
      <w:lvlText w:val="•"/>
      <w:lvlJc w:val="left"/>
      <w:pPr>
        <w:ind w:left="2492" w:hanging="1004"/>
      </w:pPr>
      <w:rPr>
        <w:rFonts w:hint="default"/>
      </w:rPr>
    </w:lvl>
    <w:lvl w:ilvl="5">
      <w:start w:val="0"/>
      <w:numFmt w:val="bullet"/>
      <w:lvlText w:val="•"/>
      <w:lvlJc w:val="left"/>
      <w:pPr>
        <w:ind w:left="2457" w:hanging="1004"/>
      </w:pPr>
      <w:rPr>
        <w:rFonts w:hint="default"/>
      </w:rPr>
    </w:lvl>
    <w:lvl w:ilvl="6">
      <w:start w:val="0"/>
      <w:numFmt w:val="bullet"/>
      <w:lvlText w:val="•"/>
      <w:lvlJc w:val="left"/>
      <w:pPr>
        <w:ind w:left="2421" w:hanging="1004"/>
      </w:pPr>
      <w:rPr>
        <w:rFonts w:hint="default"/>
      </w:rPr>
    </w:lvl>
    <w:lvl w:ilvl="7">
      <w:start w:val="0"/>
      <w:numFmt w:val="bullet"/>
      <w:lvlText w:val="•"/>
      <w:lvlJc w:val="left"/>
      <w:pPr>
        <w:ind w:left="2385" w:hanging="1004"/>
      </w:pPr>
      <w:rPr>
        <w:rFonts w:hint="default"/>
      </w:rPr>
    </w:lvl>
    <w:lvl w:ilvl="8">
      <w:start w:val="0"/>
      <w:numFmt w:val="bullet"/>
      <w:lvlText w:val="•"/>
      <w:lvlJc w:val="left"/>
      <w:pPr>
        <w:ind w:left="2350" w:hanging="1004"/>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13"/>
      <w:outlineLvl w:val="1"/>
    </w:pPr>
    <w:rPr>
      <w:rFonts w:ascii="宋体" w:hAnsi="宋体" w:eastAsia="宋体" w:cs="宋体"/>
      <w:sz w:val="32"/>
      <w:szCs w:val="32"/>
    </w:rPr>
  </w:style>
  <w:style w:styleId="Heading2" w:type="paragraph">
    <w:name w:val="Heading 2"/>
    <w:basedOn w:val="Normal"/>
    <w:uiPriority w:val="1"/>
    <w:qFormat/>
    <w:pPr>
      <w:ind w:left="1225" w:hanging="1003"/>
      <w:outlineLvl w:val="2"/>
    </w:pPr>
    <w:rPr>
      <w:rFonts w:ascii="宋体" w:hAnsi="宋体" w:eastAsia="宋体" w:cs="宋体"/>
      <w:sz w:val="28"/>
      <w:szCs w:val="28"/>
    </w:rPr>
  </w:style>
  <w:style w:styleId="Heading3" w:type="paragraph">
    <w:name w:val="Heading 3"/>
    <w:basedOn w:val="Normal"/>
    <w:uiPriority w:val="1"/>
    <w:qFormat/>
    <w:pPr>
      <w:spacing w:before="34"/>
      <w:ind w:left="1225" w:hanging="1003"/>
      <w:outlineLvl w:val="3"/>
    </w:pPr>
    <w:rPr>
      <w:rFonts w:ascii="宋体" w:hAnsi="宋体" w:eastAsia="宋体" w:cs="宋体"/>
      <w:i/>
      <w:sz w:val="22"/>
      <w:szCs w:val="22"/>
    </w:rPr>
  </w:style>
  <w:style w:styleId="ListParagraph" w:type="paragraph">
    <w:name w:val="List Paragraph"/>
    <w:basedOn w:val="Normal"/>
    <w:uiPriority w:val="1"/>
    <w:qFormat/>
    <w:pPr>
      <w:ind w:left="1225" w:hanging="100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huangzenghui-lhq</dc:creator>
  <dc:title>&lt;4D6963726F736F667420576F7264202D20303220D1F4B9E2C8CBCAD9B3C9B3A4CEDED3C7C9D9B6F9D6D8B4F3BCB2B2A1B1A3CFD5CCF5BFEE2E646F63&gt;</dc:title>
  <dcterms:created xsi:type="dcterms:W3CDTF">2018-10-20T04:41:08Z</dcterms:created>
  <dcterms:modified xsi:type="dcterms:W3CDTF">2018-10-20T04:41:08Z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