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1048">
            <wp:simplePos x="0" y="0"/>
            <wp:positionH relativeFrom="page">
              <wp:posOffset>6430517</wp:posOffset>
            </wp:positionH>
            <wp:positionV relativeFrom="paragraph">
              <wp:posOffset>177013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利安人寿[2012]疾病保险 009 号</w:t>
      </w: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10" w:h="16840"/>
          <w:pgMar w:top="200" w:bottom="280" w:left="1140" w:right="280"/>
        </w:sectPr>
      </w:pPr>
    </w:p>
    <w:p>
      <w:pPr>
        <w:pStyle w:val="Heading1"/>
        <w:spacing w:line="206" w:lineRule="auto" w:before="216"/>
      </w:pPr>
      <w:r>
        <w:rPr/>
        <w:t>利安人寿保险股份有限公司 </w:t>
      </w:r>
      <w:r>
        <w:rPr>
          <w:w w:val="95"/>
        </w:rPr>
        <w:t>附加幸福宝贝重大疾病保险条款</w:t>
      </w:r>
    </w:p>
    <w:p>
      <w:pPr>
        <w:spacing w:before="146"/>
        <w:ind w:left="1932" w:right="0" w:firstLine="0"/>
        <w:jc w:val="center"/>
        <w:rPr>
          <w:rFonts w:ascii="黑体" w:eastAsia="黑体" w:hint="eastAsia"/>
          <w:sz w:val="24"/>
        </w:rPr>
      </w:pPr>
      <w:r>
        <w:rPr>
          <w:rFonts w:ascii="黑体" w:eastAsia="黑体" w:hint="eastAsia"/>
          <w:sz w:val="24"/>
        </w:rPr>
        <w:t>阅 读 指 引</w:t>
      </w:r>
    </w:p>
    <w:p>
      <w:pPr>
        <w:spacing w:line="287" w:lineRule="exact" w:before="17"/>
        <w:ind w:left="1932"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836" w:val="left" w:leader="none"/>
        </w:tabs>
        <w:spacing w:line="487" w:lineRule="exact"/>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您拥有的重要权益</w:t>
      </w:r>
    </w:p>
    <w:p>
      <w:pPr>
        <w:pStyle w:val="BodyText"/>
        <w:ind w:left="0"/>
        <w:rPr>
          <w:rFonts w:ascii="黑体"/>
          <w:b/>
          <w:sz w:val="12"/>
        </w:rPr>
      </w:pPr>
      <w:r>
        <w:rPr/>
        <w:br w:type="column"/>
      </w:r>
      <w:r>
        <w:rPr>
          <w:rFonts w:ascii="黑体"/>
          <w:b/>
          <w:sz w:val="12"/>
        </w:rPr>
      </w:r>
    </w:p>
    <w:p>
      <w:pPr>
        <w:pStyle w:val="BodyText"/>
        <w:ind w:left="0"/>
        <w:rPr>
          <w:rFonts w:ascii="黑体"/>
          <w:b/>
          <w:sz w:val="12"/>
        </w:rPr>
      </w:pPr>
    </w:p>
    <w:p>
      <w:pPr>
        <w:pStyle w:val="BodyText"/>
        <w:spacing w:before="6"/>
        <w:ind w:left="0"/>
        <w:rPr>
          <w:rFonts w:ascii="黑体"/>
          <w:b/>
          <w:sz w:val="12"/>
        </w:rPr>
      </w:pPr>
    </w:p>
    <w:p>
      <w:pPr>
        <w:spacing w:before="0"/>
        <w:ind w:left="106" w:right="0" w:firstLine="0"/>
        <w:jc w:val="left"/>
        <w:rPr>
          <w:sz w:val="12"/>
        </w:rPr>
      </w:pPr>
      <w:r>
        <w:rPr>
          <w:sz w:val="12"/>
        </w:rPr>
        <w:t>请扫描以查询验证条款</w:t>
      </w:r>
    </w:p>
    <w:p>
      <w:pPr>
        <w:spacing w:after="0"/>
        <w:jc w:val="left"/>
        <w:rPr>
          <w:sz w:val="12"/>
        </w:rPr>
        <w:sectPr>
          <w:type w:val="continuous"/>
          <w:pgSz w:w="11910" w:h="16840"/>
          <w:pgMar w:top="200" w:bottom="280" w:left="1140" w:right="280"/>
          <w:cols w:num="2" w:equalWidth="0">
            <w:col w:w="7693" w:space="1142"/>
            <w:col w:w="1655"/>
          </w:cols>
        </w:sectPr>
      </w:pPr>
    </w:p>
    <w:p>
      <w:pPr>
        <w:pStyle w:val="ListParagraph"/>
        <w:numPr>
          <w:ilvl w:val="0"/>
          <w:numId w:val="1"/>
        </w:numPr>
        <w:tabs>
          <w:tab w:pos="843" w:val="left" w:leader="none"/>
          <w:tab w:pos="844" w:val="left" w:leader="none"/>
          <w:tab w:pos="9393" w:val="right" w:leader="dot"/>
        </w:tabs>
        <w:spacing w:line="200" w:lineRule="exact" w:before="0" w:after="0"/>
        <w:ind w:left="843" w:right="0" w:hanging="452"/>
        <w:jc w:val="left"/>
        <w:rPr>
          <w:sz w:val="18"/>
        </w:rPr>
      </w:pPr>
      <w:r>
        <w:rPr>
          <w:sz w:val="18"/>
        </w:rPr>
        <w:t>签收本附加险合同次日起</w:t>
      </w:r>
      <w:r>
        <w:rPr>
          <w:spacing w:val="-46"/>
          <w:sz w:val="18"/>
        </w:rPr>
        <w:t> </w:t>
      </w:r>
      <w:r>
        <w:rPr>
          <w:sz w:val="18"/>
        </w:rPr>
        <w:t>10</w:t>
      </w:r>
      <w:r>
        <w:rPr>
          <w:spacing w:val="-45"/>
          <w:sz w:val="18"/>
        </w:rPr>
        <w:t> </w:t>
      </w:r>
      <w:r>
        <w:rPr>
          <w:sz w:val="18"/>
        </w:rPr>
        <w:t>日（即犹豫期）内您若要求退保，我们全额退还保险费</w:t>
        <w:tab/>
        <w:t>1.4</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本附加险合同提供的保障在保险责任条款中列明…</w:t>
        <w:tab/>
        <w:t>2.4</w:t>
      </w:r>
    </w:p>
    <w:p>
      <w:pPr>
        <w:pStyle w:val="ListParagraph"/>
        <w:numPr>
          <w:ilvl w:val="0"/>
          <w:numId w:val="1"/>
        </w:numPr>
        <w:tabs>
          <w:tab w:pos="843" w:val="left" w:leader="none"/>
          <w:tab w:pos="844" w:val="left" w:leader="none"/>
          <w:tab w:pos="9393" w:val="right" w:leader="dot"/>
        </w:tabs>
        <w:spacing w:line="216" w:lineRule="exact" w:before="70" w:after="0"/>
        <w:ind w:left="843" w:right="0" w:hanging="452"/>
        <w:jc w:val="left"/>
        <w:rPr>
          <w:sz w:val="18"/>
        </w:rPr>
      </w:pPr>
      <w:r>
        <w:rPr>
          <w:sz w:val="18"/>
        </w:rPr>
        <w:t>您有退保的权利…</w:t>
        <w:tab/>
        <w:t>5.1</w:t>
      </w:r>
    </w:p>
    <w:p>
      <w:pPr>
        <w:pStyle w:val="Heading2"/>
        <w:tabs>
          <w:tab w:pos="836" w:val="left" w:leader="none"/>
        </w:tabs>
        <w:spacing w:line="485" w:lineRule="exact"/>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您应当特别注意的事项</w:t>
      </w: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本附加险合同有责任免除条款，请您注意…</w:t>
        <w:tab/>
        <w:t>2.5</w:t>
      </w:r>
    </w:p>
    <w:p>
      <w:pPr>
        <w:pStyle w:val="ListParagraph"/>
        <w:numPr>
          <w:ilvl w:val="0"/>
          <w:numId w:val="1"/>
        </w:numPr>
        <w:tabs>
          <w:tab w:pos="843" w:val="left" w:leader="none"/>
          <w:tab w:pos="844" w:val="left" w:leader="none"/>
          <w:tab w:pos="9393" w:val="right" w:leader="dot"/>
        </w:tabs>
        <w:spacing w:line="240" w:lineRule="auto" w:before="70"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退保会给您造成一定的损失，请您慎重决策…</w:t>
        <w:tab/>
        <w:t>5.1</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213" w:val="right" w:leader="dot"/>
        </w:tabs>
        <w:spacing w:line="216" w:lineRule="exact" w:before="70" w:after="0"/>
        <w:ind w:left="843" w:right="0" w:hanging="452"/>
        <w:jc w:val="left"/>
        <w:rPr>
          <w:sz w:val="18"/>
        </w:rPr>
      </w:pPr>
      <w:r>
        <w:rPr>
          <w:sz w:val="18"/>
        </w:rPr>
        <w:t>我们对一些重要术语进行了解释，并作了显著标识，请您注意…</w:t>
        <w:tab/>
        <w:t>7</w:t>
      </w:r>
    </w:p>
    <w:p>
      <w:pPr>
        <w:pStyle w:val="Heading2"/>
        <w:tabs>
          <w:tab w:pos="836" w:val="left" w:leader="none"/>
        </w:tabs>
        <w:spacing w:line="416" w:lineRule="exact"/>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保险条款是保险合同的重要内容，为充分保障您的权益，请您仔细阅读本附加险条款。</w:t>
      </w:r>
    </w:p>
    <w:p>
      <w:pPr>
        <w:tabs>
          <w:tab w:pos="836" w:val="left" w:leader="none"/>
        </w:tabs>
        <w:spacing w:line="384" w:lineRule="exact" w:before="0"/>
        <w:ind w:left="106" w:right="0" w:firstLine="0"/>
        <w:jc w:val="left"/>
        <w:rPr>
          <w:rFonts w:ascii="黑体" w:hAnsi="黑体" w:eastAsia="黑体" w:hint="eastAsia"/>
          <w:b/>
          <w:sz w:val="21"/>
        </w:rPr>
      </w:pPr>
      <w:r>
        <w:rPr/>
        <w:pict>
          <v:rect style="position:absolute;margin-left:80.339996pt;margin-top:17.794128pt;width:117pt;height:11.76pt;mso-position-horizontal-relative:page;mso-position-vertical-relative:paragraph;z-index:-32416" filled="true" fillcolor="#d9d9d9"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rFonts w:ascii="黑体" w:hAnsi="黑体" w:eastAsia="黑体" w:hint="eastAsia"/>
          <w:b/>
          <w:w w:val="95"/>
          <w:sz w:val="21"/>
        </w:rPr>
        <w:t>条款目录</w:t>
      </w:r>
    </w:p>
    <w:p>
      <w:pPr>
        <w:spacing w:after="0" w:line="384" w:lineRule="exact"/>
        <w:jc w:val="left"/>
        <w:rPr>
          <w:rFonts w:ascii="黑体" w:hAnsi="黑体" w:eastAsia="黑体" w:hint="eastAsia"/>
          <w:sz w:val="21"/>
        </w:rPr>
        <w:sectPr>
          <w:type w:val="continuous"/>
          <w:pgSz w:w="11910" w:h="16840"/>
          <w:pgMar w:top="200" w:bottom="280" w:left="1140" w:right="280"/>
        </w:sectPr>
      </w:pPr>
    </w:p>
    <w:p>
      <w:pPr>
        <w:spacing w:line="179" w:lineRule="exact" w:before="0"/>
        <w:ind w:left="466" w:right="0" w:firstLine="0"/>
        <w:jc w:val="left"/>
        <w:rPr>
          <w:rFonts w:ascii="黑体" w:eastAsia="黑体" w:hint="eastAsia"/>
          <w:sz w:val="18"/>
        </w:rPr>
      </w:pPr>
      <w:r>
        <w:rPr>
          <w:rFonts w:ascii="黑体" w:eastAsia="黑体" w:hint="eastAsia"/>
          <w:sz w:val="18"/>
        </w:rPr>
        <w:t>1．您与我们订立的合同</w:t>
      </w:r>
    </w:p>
    <w:p>
      <w:pPr>
        <w:spacing w:line="179" w:lineRule="exact" w:before="0"/>
        <w:ind w:left="466" w:right="0" w:firstLine="0"/>
        <w:jc w:val="left"/>
        <w:rPr>
          <w:rFonts w:ascii="黑体" w:eastAsia="黑体" w:hint="eastAsia"/>
          <w:sz w:val="18"/>
        </w:rPr>
      </w:pPr>
      <w:r>
        <w:rPr/>
        <w:br w:type="column"/>
      </w:r>
      <w:r>
        <w:rPr>
          <w:rFonts w:ascii="黑体" w:eastAsia="黑体" w:hint="eastAsia"/>
          <w:sz w:val="18"/>
        </w:rPr>
        <w:t>3.5 诉讼时效</w:t>
      </w:r>
    </w:p>
    <w:p>
      <w:pPr>
        <w:spacing w:line="179" w:lineRule="exact" w:before="0"/>
        <w:ind w:left="466" w:right="0" w:firstLine="0"/>
        <w:jc w:val="left"/>
        <w:rPr>
          <w:rFonts w:ascii="黑体" w:eastAsia="黑体" w:hint="eastAsia"/>
          <w:sz w:val="18"/>
        </w:rPr>
      </w:pPr>
      <w:r>
        <w:rPr/>
        <w:br w:type="column"/>
      </w:r>
      <w:r>
        <w:rPr>
          <w:rFonts w:ascii="黑体" w:eastAsia="黑体" w:hint="eastAsia"/>
          <w:sz w:val="18"/>
        </w:rPr>
        <w:t>7.5 白血病</w:t>
      </w:r>
    </w:p>
    <w:p>
      <w:pPr>
        <w:spacing w:after="0" w:line="179" w:lineRule="exact"/>
        <w:jc w:val="left"/>
        <w:rPr>
          <w:rFonts w:ascii="黑体" w:eastAsia="黑体" w:hint="eastAsia"/>
          <w:sz w:val="18"/>
        </w:rPr>
        <w:sectPr>
          <w:type w:val="continuous"/>
          <w:pgSz w:w="11910" w:h="16840"/>
          <w:pgMar w:top="200" w:bottom="280" w:left="1140" w:right="280"/>
          <w:cols w:num="3" w:equalWidth="0">
            <w:col w:w="2357" w:space="922"/>
            <w:col w:w="1547" w:space="1732"/>
            <w:col w:w="3932"/>
          </w:cols>
        </w:sectPr>
      </w:pPr>
    </w:p>
    <w:p>
      <w:pPr>
        <w:pStyle w:val="BodyText"/>
        <w:spacing w:before="9"/>
        <w:ind w:left="0"/>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346"/>
        <w:gridCol w:w="2759"/>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346" w:type="dxa"/>
          </w:tcPr>
          <w:p>
            <w:pPr>
              <w:pStyle w:val="TableParagraph"/>
              <w:tabs>
                <w:tab w:pos="2809" w:val="left" w:leader="none"/>
              </w:tabs>
              <w:spacing w:line="180" w:lineRule="exact"/>
              <w:ind w:left="469"/>
              <w:rPr>
                <w:rFonts w:ascii="黑体" w:eastAsia="黑体" w:hint="eastAsia"/>
                <w:sz w:val="18"/>
              </w:rPr>
            </w:pPr>
            <w:r>
              <w:rPr>
                <w:rFonts w:ascii="黑体" w:eastAsia="黑体" w:hint="eastAsia"/>
                <w:sz w:val="18"/>
                <w:shd w:fill="D9D9D9" w:color="auto" w:val="clear"/>
              </w:rPr>
              <w:t>4.如何支付保险费</w:t>
              <w:tab/>
            </w:r>
          </w:p>
        </w:tc>
        <w:tc>
          <w:tcPr>
            <w:tcW w:w="2759" w:type="dxa"/>
          </w:tcPr>
          <w:p>
            <w:pPr>
              <w:pStyle w:val="TableParagraph"/>
              <w:spacing w:line="180" w:lineRule="exact"/>
              <w:ind w:left="401"/>
              <w:rPr>
                <w:rFonts w:ascii="黑体" w:eastAsia="黑体" w:hint="eastAsia"/>
                <w:sz w:val="18"/>
              </w:rPr>
            </w:pPr>
            <w:r>
              <w:rPr>
                <w:rFonts w:ascii="黑体" w:eastAsia="黑体" w:hint="eastAsia"/>
                <w:sz w:val="18"/>
              </w:rPr>
              <w:t>7.6 全残</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346" w:type="dxa"/>
          </w:tcPr>
          <w:p>
            <w:pPr>
              <w:pStyle w:val="TableParagraph"/>
              <w:spacing w:before="14"/>
              <w:ind w:left="469"/>
              <w:rPr>
                <w:rFonts w:ascii="黑体" w:eastAsia="黑体" w:hint="eastAsia"/>
                <w:sz w:val="18"/>
              </w:rPr>
            </w:pPr>
            <w:r>
              <w:rPr>
                <w:rFonts w:ascii="黑体" w:eastAsia="黑体" w:hint="eastAsia"/>
                <w:sz w:val="18"/>
              </w:rPr>
              <w:t>4.1 保险费的支付</w:t>
            </w:r>
          </w:p>
        </w:tc>
        <w:tc>
          <w:tcPr>
            <w:tcW w:w="2759" w:type="dxa"/>
          </w:tcPr>
          <w:p>
            <w:pPr>
              <w:pStyle w:val="TableParagraph"/>
              <w:spacing w:before="14"/>
              <w:ind w:left="401"/>
              <w:rPr>
                <w:rFonts w:ascii="黑体" w:eastAsia="黑体" w:hint="eastAsia"/>
                <w:sz w:val="18"/>
              </w:rPr>
            </w:pPr>
            <w:r>
              <w:rPr>
                <w:rFonts w:ascii="黑体" w:eastAsia="黑体" w:hint="eastAsia"/>
                <w:sz w:val="18"/>
              </w:rPr>
              <w:t>7.7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346" w:type="dxa"/>
          </w:tcPr>
          <w:p>
            <w:pPr>
              <w:pStyle w:val="TableParagraph"/>
              <w:spacing w:before="14"/>
              <w:ind w:left="469"/>
              <w:rPr>
                <w:rFonts w:ascii="黑体" w:eastAsia="黑体" w:hint="eastAsia"/>
                <w:sz w:val="18"/>
              </w:rPr>
            </w:pPr>
            <w:r>
              <w:rPr>
                <w:rFonts w:ascii="黑体" w:eastAsia="黑体" w:hint="eastAsia"/>
                <w:sz w:val="18"/>
              </w:rPr>
              <w:t>4.2 保险费率的调整</w:t>
            </w:r>
          </w:p>
        </w:tc>
        <w:tc>
          <w:tcPr>
            <w:tcW w:w="2759" w:type="dxa"/>
          </w:tcPr>
          <w:p>
            <w:pPr>
              <w:pStyle w:val="TableParagraph"/>
              <w:spacing w:before="14"/>
              <w:ind w:left="401"/>
              <w:rPr>
                <w:rFonts w:ascii="黑体" w:eastAsia="黑体" w:hint="eastAsia"/>
                <w:sz w:val="18"/>
              </w:rPr>
            </w:pPr>
            <w:r>
              <w:rPr>
                <w:rFonts w:ascii="黑体" w:eastAsia="黑体" w:hint="eastAsia"/>
                <w:sz w:val="18"/>
              </w:rPr>
              <w:t>7.8 酒后驾驶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5.如何解除保险合同</w:t>
              <w:tab/>
            </w:r>
          </w:p>
        </w:tc>
        <w:tc>
          <w:tcPr>
            <w:tcW w:w="2759" w:type="dxa"/>
          </w:tcPr>
          <w:p>
            <w:pPr>
              <w:pStyle w:val="TableParagraph"/>
              <w:spacing w:before="14"/>
              <w:ind w:left="401"/>
              <w:rPr>
                <w:rFonts w:ascii="黑体" w:eastAsia="黑体" w:hint="eastAsia"/>
                <w:sz w:val="18"/>
              </w:rPr>
            </w:pPr>
            <w:r>
              <w:rPr>
                <w:rFonts w:ascii="黑体" w:eastAsia="黑体" w:hint="eastAsia"/>
                <w:sz w:val="18"/>
              </w:rPr>
              <w:t>7.9 无合法有效驾驶证驾驶</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346" w:type="dxa"/>
          </w:tcPr>
          <w:p>
            <w:pPr>
              <w:pStyle w:val="TableParagraph"/>
              <w:spacing w:before="14"/>
              <w:ind w:left="469"/>
              <w:rPr>
                <w:rFonts w:ascii="黑体" w:eastAsia="黑体" w:hint="eastAsia"/>
                <w:sz w:val="18"/>
              </w:rPr>
            </w:pPr>
            <w:r>
              <w:rPr>
                <w:rFonts w:ascii="黑体" w:eastAsia="黑体" w:hint="eastAsia"/>
                <w:sz w:val="18"/>
              </w:rPr>
              <w:t>5.1 您解除合同的手续及风险</w:t>
            </w:r>
          </w:p>
        </w:tc>
        <w:tc>
          <w:tcPr>
            <w:tcW w:w="2759" w:type="dxa"/>
          </w:tcPr>
          <w:p>
            <w:pPr>
              <w:pStyle w:val="TableParagraph"/>
              <w:spacing w:before="14"/>
              <w:ind w:left="401"/>
              <w:rPr>
                <w:rFonts w:ascii="黑体" w:eastAsia="黑体" w:hint="eastAsia"/>
                <w:sz w:val="18"/>
              </w:rPr>
            </w:pPr>
            <w:r>
              <w:rPr>
                <w:rFonts w:ascii="黑体" w:eastAsia="黑体" w:hint="eastAsia"/>
                <w:sz w:val="18"/>
              </w:rPr>
              <w:t>7.10 无有效行驶证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6.其他需要关注的事项</w:t>
              <w:tab/>
            </w:r>
          </w:p>
        </w:tc>
        <w:tc>
          <w:tcPr>
            <w:tcW w:w="2759" w:type="dxa"/>
          </w:tcPr>
          <w:p>
            <w:pPr>
              <w:pStyle w:val="TableParagraph"/>
              <w:spacing w:before="14"/>
              <w:ind w:left="401"/>
              <w:rPr>
                <w:rFonts w:ascii="黑体" w:eastAsia="黑体" w:hint="eastAsia"/>
                <w:sz w:val="18"/>
              </w:rPr>
            </w:pPr>
            <w:r>
              <w:rPr>
                <w:rFonts w:ascii="黑体" w:eastAsia="黑体" w:hint="eastAsia"/>
                <w:sz w:val="18"/>
              </w:rPr>
              <w:t>7.11 机动车</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未成年人身故保险金限制</w:t>
            </w:r>
          </w:p>
        </w:tc>
        <w:tc>
          <w:tcPr>
            <w:tcW w:w="3346" w:type="dxa"/>
          </w:tcPr>
          <w:p>
            <w:pPr>
              <w:pStyle w:val="TableParagraph"/>
              <w:spacing w:before="14"/>
              <w:ind w:left="469"/>
              <w:rPr>
                <w:rFonts w:ascii="黑体" w:eastAsia="黑体" w:hint="eastAsia"/>
                <w:sz w:val="18"/>
              </w:rPr>
            </w:pPr>
            <w:r>
              <w:rPr>
                <w:rFonts w:ascii="黑体" w:eastAsia="黑体" w:hint="eastAsia"/>
                <w:sz w:val="18"/>
              </w:rPr>
              <w:t>6.1 与主险合同效力的关系</w:t>
            </w:r>
          </w:p>
        </w:tc>
        <w:tc>
          <w:tcPr>
            <w:tcW w:w="2759" w:type="dxa"/>
          </w:tcPr>
          <w:p>
            <w:pPr>
              <w:pStyle w:val="TableParagraph"/>
              <w:spacing w:before="14"/>
              <w:ind w:left="401"/>
              <w:rPr>
                <w:rFonts w:ascii="黑体" w:eastAsia="黑体" w:hint="eastAsia"/>
                <w:sz w:val="18"/>
              </w:rPr>
            </w:pPr>
            <w:r>
              <w:rPr>
                <w:rFonts w:ascii="黑体" w:eastAsia="黑体" w:hint="eastAsia"/>
                <w:sz w:val="18"/>
              </w:rPr>
              <w:t>7.12 遗传性疾病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保险期间</w:t>
            </w:r>
          </w:p>
        </w:tc>
        <w:tc>
          <w:tcPr>
            <w:tcW w:w="3346" w:type="dxa"/>
          </w:tcPr>
          <w:p>
            <w:pPr>
              <w:pStyle w:val="TableParagraph"/>
              <w:spacing w:before="14"/>
              <w:ind w:left="469"/>
              <w:rPr>
                <w:rFonts w:ascii="黑体" w:eastAsia="黑体" w:hint="eastAsia"/>
                <w:sz w:val="18"/>
              </w:rPr>
            </w:pPr>
            <w:r>
              <w:rPr>
                <w:rFonts w:ascii="黑体" w:eastAsia="黑体" w:hint="eastAsia"/>
                <w:sz w:val="18"/>
              </w:rPr>
              <w:t>6.2 适用主险合同条款</w:t>
            </w:r>
          </w:p>
        </w:tc>
        <w:tc>
          <w:tcPr>
            <w:tcW w:w="2759" w:type="dxa"/>
          </w:tcPr>
          <w:p>
            <w:pPr>
              <w:pStyle w:val="TableParagraph"/>
              <w:spacing w:before="14"/>
              <w:ind w:left="401"/>
              <w:rPr>
                <w:rFonts w:ascii="黑体" w:eastAsia="黑体" w:hint="eastAsia"/>
                <w:sz w:val="18"/>
              </w:rPr>
            </w:pPr>
            <w:r>
              <w:rPr>
                <w:rFonts w:ascii="黑体" w:eastAsia="黑体" w:hint="eastAsia"/>
                <w:sz w:val="18"/>
              </w:rPr>
              <w:t>7.13 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保险责任</w:t>
            </w:r>
          </w:p>
        </w:tc>
        <w:tc>
          <w:tcPr>
            <w:tcW w:w="3346" w:type="dxa"/>
          </w:tcPr>
          <w:p>
            <w:pPr>
              <w:pStyle w:val="TableParagraph"/>
              <w:spacing w:before="14"/>
              <w:ind w:left="469"/>
              <w:rPr>
                <w:rFonts w:ascii="黑体" w:eastAsia="黑体" w:hint="eastAsia"/>
                <w:sz w:val="18"/>
              </w:rPr>
            </w:pPr>
            <w:r>
              <w:rPr>
                <w:rFonts w:ascii="黑体" w:eastAsia="黑体" w:hint="eastAsia"/>
                <w:sz w:val="18"/>
              </w:rPr>
              <w:t>6.3 年龄和性别确定与错误处理</w:t>
            </w:r>
          </w:p>
        </w:tc>
        <w:tc>
          <w:tcPr>
            <w:tcW w:w="2759" w:type="dxa"/>
          </w:tcPr>
          <w:p>
            <w:pPr>
              <w:pStyle w:val="TableParagraph"/>
              <w:spacing w:before="14"/>
              <w:ind w:left="401"/>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2.5 责任免除</w:t>
            </w:r>
          </w:p>
        </w:tc>
        <w:tc>
          <w:tcPr>
            <w:tcW w:w="3346" w:type="dxa"/>
          </w:tcPr>
          <w:p>
            <w:pPr>
              <w:pStyle w:val="TableParagraph"/>
              <w:spacing w:before="14"/>
              <w:ind w:left="469"/>
              <w:rPr>
                <w:rFonts w:ascii="黑体" w:eastAsia="黑体" w:hint="eastAsia"/>
                <w:sz w:val="18"/>
              </w:rPr>
            </w:pPr>
            <w:r>
              <w:rPr>
                <w:rFonts w:ascii="黑体" w:eastAsia="黑体" w:hint="eastAsia"/>
                <w:sz w:val="18"/>
              </w:rPr>
              <w:t>6.4 未还款项</w:t>
            </w:r>
          </w:p>
        </w:tc>
        <w:tc>
          <w:tcPr>
            <w:tcW w:w="2759" w:type="dxa"/>
          </w:tcPr>
          <w:p>
            <w:pPr>
              <w:pStyle w:val="TableParagraph"/>
              <w:spacing w:before="14"/>
              <w:ind w:left="401"/>
              <w:rPr>
                <w:rFonts w:ascii="黑体" w:eastAsia="黑体" w:hint="eastAsia"/>
                <w:sz w:val="18"/>
              </w:rPr>
            </w:pPr>
            <w:r>
              <w:rPr>
                <w:rFonts w:ascii="黑体" w:eastAsia="黑体" w:hint="eastAsia"/>
                <w:sz w:val="18"/>
              </w:rPr>
              <w:t>7.14 感染艾滋病病毒或患艾</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3.如何申请领取保险金</w:t>
              <w:tab/>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7.释义</w:t>
              <w:tab/>
            </w:r>
          </w:p>
        </w:tc>
        <w:tc>
          <w:tcPr>
            <w:tcW w:w="2759" w:type="dxa"/>
          </w:tcPr>
          <w:p>
            <w:pPr>
              <w:pStyle w:val="TableParagraph"/>
              <w:spacing w:before="14"/>
              <w:ind w:left="466"/>
              <w:rPr>
                <w:rFonts w:ascii="黑体" w:eastAsia="黑体" w:hint="eastAsia"/>
                <w:sz w:val="18"/>
              </w:rPr>
            </w:pPr>
            <w:r>
              <w:rPr>
                <w:rFonts w:ascii="黑体" w:eastAsia="黑体" w:hint="eastAsia"/>
                <w:sz w:val="18"/>
              </w:rPr>
              <w:t>滋病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346" w:type="dxa"/>
          </w:tcPr>
          <w:p>
            <w:pPr>
              <w:pStyle w:val="TableParagraph"/>
              <w:spacing w:before="14"/>
              <w:ind w:left="469"/>
              <w:rPr>
                <w:rFonts w:ascii="黑体" w:eastAsia="黑体" w:hint="eastAsia"/>
                <w:sz w:val="18"/>
              </w:rPr>
            </w:pPr>
            <w:r>
              <w:rPr>
                <w:rFonts w:ascii="黑体" w:eastAsia="黑体" w:hint="eastAsia"/>
                <w:sz w:val="18"/>
              </w:rPr>
              <w:t>7.1 合同Th效日对应日</w:t>
            </w:r>
          </w:p>
        </w:tc>
        <w:tc>
          <w:tcPr>
            <w:tcW w:w="2759" w:type="dxa"/>
          </w:tcPr>
          <w:p>
            <w:pPr>
              <w:pStyle w:val="TableParagraph"/>
              <w:spacing w:before="14"/>
              <w:ind w:left="401"/>
              <w:rPr>
                <w:rFonts w:ascii="黑体" w:eastAsia="黑体" w:hint="eastAsia"/>
                <w:sz w:val="18"/>
              </w:rPr>
            </w:pPr>
            <w:r>
              <w:rPr>
                <w:rFonts w:ascii="黑体" w:eastAsia="黑体" w:hint="eastAsia"/>
                <w:sz w:val="18"/>
              </w:rPr>
              <w:t>7.15 现金价值</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保险金及豁免保险费申请</w:t>
            </w:r>
          </w:p>
        </w:tc>
        <w:tc>
          <w:tcPr>
            <w:tcW w:w="3346" w:type="dxa"/>
          </w:tcPr>
          <w:p>
            <w:pPr>
              <w:pStyle w:val="TableParagraph"/>
              <w:spacing w:before="14"/>
              <w:ind w:left="469"/>
              <w:rPr>
                <w:rFonts w:ascii="黑体" w:eastAsia="黑体" w:hint="eastAsia"/>
                <w:sz w:val="18"/>
              </w:rPr>
            </w:pPr>
            <w:r>
              <w:rPr>
                <w:rFonts w:ascii="黑体" w:eastAsia="黑体" w:hint="eastAsia"/>
                <w:sz w:val="18"/>
              </w:rPr>
              <w:t>7.2 周岁</w:t>
            </w:r>
          </w:p>
        </w:tc>
        <w:tc>
          <w:tcPr>
            <w:tcW w:w="2759" w:type="dxa"/>
          </w:tcPr>
          <w:p>
            <w:pPr>
              <w:pStyle w:val="TableParagraph"/>
              <w:spacing w:before="14"/>
              <w:ind w:left="401"/>
              <w:rPr>
                <w:rFonts w:ascii="黑体" w:eastAsia="黑体" w:hint="eastAsia"/>
                <w:sz w:val="18"/>
              </w:rPr>
            </w:pPr>
            <w:r>
              <w:rPr>
                <w:rFonts w:ascii="黑体" w:eastAsia="黑体" w:hint="eastAsia"/>
                <w:sz w:val="18"/>
              </w:rPr>
              <w:t>7.16 斗殴</w:t>
            </w:r>
          </w:p>
        </w:tc>
      </w:tr>
      <w:tr>
        <w:trPr>
          <w:trHeight w:val="317"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346" w:type="dxa"/>
          </w:tcPr>
          <w:p>
            <w:pPr>
              <w:pStyle w:val="TableParagraph"/>
              <w:spacing w:before="14"/>
              <w:ind w:left="469"/>
              <w:rPr>
                <w:rFonts w:ascii="黑体" w:eastAsia="黑体" w:hint="eastAsia"/>
                <w:sz w:val="18"/>
              </w:rPr>
            </w:pPr>
            <w:r>
              <w:rPr>
                <w:rFonts w:ascii="黑体" w:eastAsia="黑体" w:hint="eastAsia"/>
                <w:sz w:val="18"/>
              </w:rPr>
              <w:t>7.3 有效身份证件</w:t>
            </w:r>
          </w:p>
        </w:tc>
        <w:tc>
          <w:tcPr>
            <w:tcW w:w="2759" w:type="dxa"/>
          </w:tcPr>
          <w:p>
            <w:pPr>
              <w:pStyle w:val="TableParagraph"/>
              <w:spacing w:before="14"/>
              <w:ind w:left="401"/>
              <w:rPr>
                <w:rFonts w:ascii="黑体" w:eastAsia="黑体" w:hint="eastAsia"/>
                <w:sz w:val="18"/>
              </w:rPr>
            </w:pPr>
            <w:r>
              <w:rPr>
                <w:rFonts w:ascii="黑体" w:eastAsia="黑体" w:hint="eastAsia"/>
                <w:sz w:val="18"/>
              </w:rPr>
              <w:t>7.17 非处方药</w:t>
            </w:r>
          </w:p>
        </w:tc>
      </w:tr>
      <w:tr>
        <w:trPr>
          <w:trHeight w:val="271" w:hRule="atLeast"/>
        </w:trPr>
        <w:tc>
          <w:tcPr>
            <w:tcW w:w="2860" w:type="dxa"/>
          </w:tcPr>
          <w:p>
            <w:pPr>
              <w:pStyle w:val="TableParagraph"/>
              <w:spacing w:line="234" w:lineRule="exact" w:before="16"/>
              <w:ind w:left="50"/>
              <w:rPr>
                <w:rFonts w:ascii="黑体" w:eastAsia="黑体" w:hint="eastAsia"/>
                <w:sz w:val="18"/>
              </w:rPr>
            </w:pPr>
            <w:r>
              <w:rPr>
                <w:rFonts w:ascii="黑体" w:eastAsia="黑体" w:hint="eastAsia"/>
                <w:sz w:val="18"/>
              </w:rPr>
              <w:t>3.4 宣告死亡处理</w:t>
            </w:r>
          </w:p>
        </w:tc>
        <w:tc>
          <w:tcPr>
            <w:tcW w:w="3346" w:type="dxa"/>
          </w:tcPr>
          <w:p>
            <w:pPr>
              <w:pStyle w:val="TableParagraph"/>
              <w:spacing w:line="234" w:lineRule="exact" w:before="16"/>
              <w:ind w:left="469"/>
              <w:rPr>
                <w:rFonts w:ascii="黑体" w:eastAsia="黑体" w:hint="eastAsia"/>
                <w:sz w:val="18"/>
              </w:rPr>
            </w:pPr>
            <w:r>
              <w:rPr>
                <w:rFonts w:ascii="黑体" w:eastAsia="黑体" w:hint="eastAsia"/>
                <w:sz w:val="18"/>
              </w:rPr>
              <w:t>7.4 意外伤害</w:t>
            </w:r>
          </w:p>
        </w:tc>
        <w:tc>
          <w:tcPr>
            <w:tcW w:w="2759" w:type="dxa"/>
          </w:tcPr>
          <w:p>
            <w:pPr>
              <w:pStyle w:val="TableParagraph"/>
              <w:spacing w:line="235" w:lineRule="exact" w:before="16"/>
              <w:ind w:left="403"/>
              <w:rPr>
                <w:sz w:val="18"/>
              </w:rPr>
            </w:pPr>
            <w:r>
              <w:rPr>
                <w:sz w:val="18"/>
              </w:rPr>
              <w:t>附件 1：重大疾病范围及定义</w:t>
            </w:r>
          </w:p>
        </w:tc>
      </w:tr>
    </w:tbl>
    <w:p>
      <w:pPr>
        <w:spacing w:after="0" w:line="235" w:lineRule="exact"/>
        <w:rPr>
          <w:sz w:val="18"/>
        </w:rPr>
        <w:sectPr>
          <w:type w:val="continuous"/>
          <w:pgSz w:w="11910" w:h="16840"/>
          <w:pgMar w:top="200" w:bottom="280" w:left="1140" w:right="280"/>
        </w:sectPr>
      </w:pPr>
    </w:p>
    <w:p>
      <w:pPr>
        <w:pStyle w:val="Heading1"/>
        <w:spacing w:line="206" w:lineRule="auto"/>
        <w:ind w:left="2684" w:right="2580" w:firstLine="321"/>
      </w:pPr>
      <w:r>
        <w:rPr/>
        <w:t>利安人寿保险股份有限公司 </w:t>
      </w:r>
      <w:r>
        <w:rPr>
          <w:w w:val="95"/>
        </w:rPr>
        <w:t>附加幸福宝贝重大疾病保险条款</w:t>
      </w:r>
    </w:p>
    <w:p>
      <w:pPr>
        <w:pStyle w:val="BodyText"/>
        <w:spacing w:before="69"/>
        <w:ind w:left="2806"/>
      </w:pPr>
      <w:r>
        <w:rPr/>
        <w:t>（2012 年呈报中国保险监督管理委员会备案）</w:t>
      </w:r>
    </w:p>
    <w:p>
      <w:pPr>
        <w:pStyle w:val="BodyText"/>
        <w:ind w:left="0"/>
        <w:rPr>
          <w:sz w:val="20"/>
        </w:rPr>
      </w:pPr>
    </w:p>
    <w:p>
      <w:pPr>
        <w:pStyle w:val="BodyText"/>
        <w:spacing w:line="278" w:lineRule="auto" w:before="150"/>
        <w:ind w:left="114" w:right="109" w:firstLine="419"/>
      </w:pPr>
      <w:r>
        <w:rPr>
          <w:spacing w:val="-12"/>
        </w:rPr>
        <w:t>“附加幸福宝贝重大疾病保险”简称“附加幸福宝贝重疾”。在本附加险条款中</w:t>
      </w:r>
      <w:r>
        <w:rPr>
          <w:spacing w:val="-32"/>
        </w:rPr>
        <w:t>，“您”指投保人，“我</w:t>
      </w:r>
      <w:r>
        <w:rPr/>
        <w:t>们”指利安人寿保险股份有限公司。本附加险合同的投保人、被保险人均与主险合同一致。</w:t>
      </w:r>
    </w:p>
    <w:p>
      <w:pPr>
        <w:pStyle w:val="BodyText"/>
        <w:spacing w:before="7"/>
        <w:ind w:left="0"/>
        <w:rPr>
          <w:sz w:val="9"/>
        </w:rPr>
      </w:pPr>
    </w:p>
    <w:p>
      <w:pPr>
        <w:pStyle w:val="Heading2"/>
        <w:tabs>
          <w:tab w:pos="953" w:val="left" w:leader="none"/>
          <w:tab w:pos="9656" w:val="left" w:leader="none"/>
        </w:tabs>
        <w:spacing w:before="42"/>
        <w:ind w:left="210"/>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1．</w:t>
        <w:tab/>
      </w:r>
      <w:r>
        <w:rPr>
          <w:w w:val="95"/>
          <w:shd w:fill="D3D3D3" w:color="auto" w:val="clear"/>
        </w:rPr>
        <w:t>您与我们订立的合同</w:t>
      </w:r>
      <w:r>
        <w:rPr>
          <w:shd w:fill="D3D3D3" w:color="auto" w:val="clear"/>
        </w:rPr>
        <w:tab/>
      </w:r>
    </w:p>
    <w:p>
      <w:pPr>
        <w:pStyle w:val="ListParagraph"/>
        <w:numPr>
          <w:ilvl w:val="1"/>
          <w:numId w:val="2"/>
        </w:numPr>
        <w:tabs>
          <w:tab w:pos="954" w:val="left" w:leader="none"/>
        </w:tabs>
        <w:spacing w:line="280" w:lineRule="auto" w:before="178" w:after="0"/>
        <w:ind w:left="2276" w:right="213" w:hanging="1959"/>
        <w:jc w:val="both"/>
        <w:rPr>
          <w:sz w:val="21"/>
        </w:rPr>
      </w:pPr>
      <w:r>
        <w:rPr>
          <w:rFonts w:ascii="黑体" w:eastAsia="黑体" w:hint="eastAsia"/>
          <w:spacing w:val="7"/>
          <w:sz w:val="21"/>
        </w:rPr>
        <w:t>合同构成   </w:t>
      </w:r>
      <w:r>
        <w:rPr>
          <w:spacing w:val="-4"/>
          <w:sz w:val="21"/>
        </w:rPr>
        <w:t>本附加险合同是您与我们约定保险权利义务关系的协议，包括本保险条款、保险</w:t>
      </w:r>
      <w:r>
        <w:rPr>
          <w:spacing w:val="-9"/>
          <w:sz w:val="21"/>
        </w:rPr>
        <w:t>单、投保单及其他投保文件、合法有效的声明、批注、批单及其他您与我们共同签订的书面协议。</w:t>
      </w:r>
    </w:p>
    <w:p>
      <w:pPr>
        <w:pStyle w:val="BodyText"/>
        <w:spacing w:before="11"/>
        <w:ind w:left="0"/>
        <w:rPr>
          <w:sz w:val="8"/>
        </w:rPr>
      </w:pPr>
    </w:p>
    <w:p>
      <w:pPr>
        <w:spacing w:after="0"/>
        <w:rPr>
          <w:sz w:val="8"/>
        </w:rPr>
        <w:sectPr>
          <w:pgSz w:w="11910" w:h="16840"/>
          <w:pgMar w:top="1360" w:bottom="280" w:left="1020" w:right="1120"/>
        </w:sectPr>
      </w:pPr>
    </w:p>
    <w:p>
      <w:pPr>
        <w:pStyle w:val="ListParagraph"/>
        <w:numPr>
          <w:ilvl w:val="1"/>
          <w:numId w:val="2"/>
        </w:numPr>
        <w:tabs>
          <w:tab w:pos="953" w:val="left" w:leader="none"/>
          <w:tab w:pos="954" w:val="left" w:leader="none"/>
        </w:tabs>
        <w:spacing w:line="278" w:lineRule="auto" w:before="35" w:after="0"/>
        <w:ind w:left="954" w:right="0" w:hanging="637"/>
        <w:jc w:val="left"/>
        <w:rPr>
          <w:rFonts w:ascii="黑体" w:eastAsia="黑体" w:hint="eastAsia"/>
          <w:sz w:val="21"/>
        </w:rPr>
      </w:pPr>
      <w:r>
        <w:rPr>
          <w:rFonts w:ascii="黑体" w:eastAsia="黑体" w:hint="eastAsia"/>
          <w:sz w:val="21"/>
        </w:rPr>
        <w:t>合同成立与 </w:t>
      </w:r>
      <w:r>
        <w:rPr>
          <w:rFonts w:ascii="黑体" w:eastAsia="黑体" w:hint="eastAsia"/>
          <w:spacing w:val="-1"/>
          <w:sz w:val="21"/>
        </w:rPr>
        <w:t>Th效</w:t>
      </w:r>
    </w:p>
    <w:p>
      <w:pPr>
        <w:pStyle w:val="BodyText"/>
        <w:spacing w:before="35"/>
        <w:ind w:left="232"/>
      </w:pPr>
      <w:r>
        <w:rPr/>
        <w:br w:type="column"/>
      </w:r>
      <w:r>
        <w:rPr/>
        <w:t>您提出保险申请、我们同意承保，本附加险合同成立。</w:t>
      </w:r>
    </w:p>
    <w:p>
      <w:pPr>
        <w:pStyle w:val="BodyText"/>
        <w:spacing w:line="228" w:lineRule="auto" w:before="57"/>
        <w:ind w:left="232" w:right="139"/>
      </w:pPr>
      <w:r>
        <w:rPr/>
        <w:t>本附加险合同自我们同意承保、收取首期保险费并签发保险单开始生效，具体生效日以保险单所载的日期为准。</w:t>
      </w:r>
      <w:r>
        <w:rPr>
          <w:rFonts w:ascii="微软雅黑" w:eastAsia="微软雅黑" w:hint="eastAsia"/>
          <w:b/>
        </w:rPr>
        <w:t>合同生效日对应日</w:t>
      </w:r>
      <w:r>
        <w:rPr/>
        <w:t>以该日期计算。</w:t>
      </w:r>
    </w:p>
    <w:p>
      <w:pPr>
        <w:spacing w:after="0" w:line="228" w:lineRule="auto"/>
        <w:sectPr>
          <w:type w:val="continuous"/>
          <w:pgSz w:w="11910" w:h="16840"/>
          <w:pgMar w:top="200" w:bottom="280" w:left="1020" w:right="1120"/>
          <w:cols w:num="2" w:equalWidth="0">
            <w:col w:w="2005" w:space="40"/>
            <w:col w:w="7725"/>
          </w:cols>
        </w:sectPr>
      </w:pPr>
    </w:p>
    <w:p>
      <w:pPr>
        <w:pStyle w:val="BodyText"/>
        <w:spacing w:before="8"/>
        <w:ind w:left="0"/>
        <w:rPr>
          <w:sz w:val="9"/>
        </w:rPr>
      </w:pPr>
    </w:p>
    <w:p>
      <w:pPr>
        <w:pStyle w:val="ListParagraph"/>
        <w:numPr>
          <w:ilvl w:val="1"/>
          <w:numId w:val="2"/>
        </w:numPr>
        <w:tabs>
          <w:tab w:pos="955" w:val="left" w:leader="none"/>
        </w:tabs>
        <w:spacing w:line="228" w:lineRule="auto" w:before="49" w:after="0"/>
        <w:ind w:left="2276" w:right="215" w:hanging="1959"/>
        <w:jc w:val="both"/>
        <w:rPr>
          <w:sz w:val="21"/>
        </w:rPr>
      </w:pPr>
      <w:r>
        <w:rPr>
          <w:rFonts w:ascii="黑体" w:eastAsia="黑体" w:hint="eastAsia"/>
          <w:spacing w:val="7"/>
          <w:sz w:val="21"/>
        </w:rPr>
        <w:t>投保年龄   </w:t>
      </w:r>
      <w:r>
        <w:rPr>
          <w:spacing w:val="-7"/>
          <w:sz w:val="21"/>
        </w:rPr>
        <w:t>指您投保时被保险人的年龄，本附加险合同接受的被保险人的投保年龄范围为出</w:t>
      </w:r>
      <w:r>
        <w:rPr>
          <w:spacing w:val="-23"/>
          <w:sz w:val="21"/>
        </w:rPr>
        <w:t>生满 </w:t>
      </w:r>
      <w:r>
        <w:rPr>
          <w:sz w:val="21"/>
        </w:rPr>
        <w:t>28</w:t>
      </w:r>
      <w:r>
        <w:rPr>
          <w:spacing w:val="-27"/>
          <w:sz w:val="21"/>
        </w:rPr>
        <w:t> 天至 </w:t>
      </w:r>
      <w:r>
        <w:rPr>
          <w:sz w:val="21"/>
        </w:rPr>
        <w:t>10</w:t>
      </w:r>
      <w:r>
        <w:rPr>
          <w:spacing w:val="-53"/>
          <w:sz w:val="21"/>
        </w:rPr>
        <w:t> </w:t>
      </w:r>
      <w:r>
        <w:rPr>
          <w:rFonts w:ascii="微软雅黑" w:eastAsia="微软雅黑" w:hint="eastAsia"/>
          <w:b/>
          <w:sz w:val="21"/>
        </w:rPr>
        <w:t>周岁</w:t>
      </w:r>
      <w:r>
        <w:rPr>
          <w:sz w:val="21"/>
        </w:rPr>
        <w:t>。</w:t>
      </w:r>
    </w:p>
    <w:p>
      <w:pPr>
        <w:pStyle w:val="ListParagraph"/>
        <w:numPr>
          <w:ilvl w:val="1"/>
          <w:numId w:val="2"/>
        </w:numPr>
        <w:tabs>
          <w:tab w:pos="954" w:val="left" w:leader="none"/>
        </w:tabs>
        <w:spacing w:line="278" w:lineRule="auto" w:before="161" w:after="0"/>
        <w:ind w:left="2276" w:right="215" w:hanging="1959"/>
        <w:jc w:val="both"/>
        <w:rPr>
          <w:sz w:val="21"/>
        </w:rPr>
      </w:pPr>
      <w:r>
        <w:rPr>
          <w:rFonts w:ascii="黑体" w:eastAsia="黑体" w:hint="eastAsia"/>
          <w:spacing w:val="3"/>
          <w:sz w:val="21"/>
        </w:rPr>
        <w:t>犹豫期     </w:t>
      </w:r>
      <w:r>
        <w:rPr>
          <w:spacing w:val="-3"/>
          <w:sz w:val="21"/>
        </w:rPr>
        <w:t>自您签收本附加险合同次日起，有 </w:t>
      </w:r>
      <w:r>
        <w:rPr>
          <w:sz w:val="21"/>
        </w:rPr>
        <w:t>10</w:t>
      </w:r>
      <w:r>
        <w:rPr>
          <w:spacing w:val="-7"/>
          <w:sz w:val="21"/>
        </w:rPr>
        <w:t> 日的犹豫期。在此期间，请您认真审视本</w:t>
      </w:r>
      <w:r>
        <w:rPr>
          <w:spacing w:val="-11"/>
          <w:sz w:val="21"/>
        </w:rPr>
        <w:t>附加险合同，如果您认为本附加险合同与您的需求不相符，您可以在此期间提出解除本附加险合同，我们将退还您所支付的保险费。</w:t>
      </w:r>
    </w:p>
    <w:p>
      <w:pPr>
        <w:pStyle w:val="BodyText"/>
        <w:spacing w:line="320" w:lineRule="exact"/>
        <w:ind w:left="2276" w:right="142"/>
      </w:pPr>
      <w:r>
        <w:rPr/>
        <w:t>解除合同时，您需要填写申请书，并提供您的保险合同及</w:t>
      </w:r>
      <w:r>
        <w:rPr>
          <w:rFonts w:ascii="微软雅黑" w:eastAsia="微软雅黑" w:hint="eastAsia"/>
          <w:b/>
        </w:rPr>
        <w:t>有效身份证件</w:t>
      </w:r>
      <w:r>
        <w:rPr/>
        <w:t>。</w:t>
      </w:r>
      <w:r>
        <w:rPr>
          <w:shd w:fill="D9D9D9" w:color="auto" w:val="clear"/>
        </w:rPr>
        <w:t>自我们收到您解除合同的书面申请时起，本附加险合同即被解除，对于合同解除前发生</w:t>
      </w:r>
    </w:p>
    <w:p>
      <w:pPr>
        <w:pStyle w:val="BodyText"/>
        <w:spacing w:before="10"/>
        <w:ind w:left="2276"/>
      </w:pPr>
      <w:r>
        <w:rPr>
          <w:shd w:fill="D9D9D9" w:color="auto" w:val="clear"/>
        </w:rPr>
        <w:t>的事故，我们不承担保险责任。</w:t>
      </w:r>
    </w:p>
    <w:p>
      <w:pPr>
        <w:pStyle w:val="BodyText"/>
        <w:ind w:left="0"/>
        <w:rPr>
          <w:sz w:val="11"/>
        </w:rPr>
      </w:pPr>
    </w:p>
    <w:p>
      <w:pPr>
        <w:pStyle w:val="Heading2"/>
        <w:tabs>
          <w:tab w:pos="953" w:val="left" w:leader="none"/>
          <w:tab w:pos="9656" w:val="left" w:leader="none"/>
        </w:tabs>
        <w:spacing w:before="43"/>
        <w:ind w:left="210"/>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2．</w:t>
        <w:tab/>
      </w:r>
      <w:r>
        <w:rPr>
          <w:w w:val="95"/>
          <w:shd w:fill="D3D3D3" w:color="auto" w:val="clear"/>
        </w:rPr>
        <w:t>我们提供的保障</w:t>
      </w:r>
      <w:r>
        <w:rPr>
          <w:shd w:fill="D3D3D3" w:color="auto" w:val="clear"/>
        </w:rPr>
        <w:tab/>
      </w:r>
    </w:p>
    <w:p>
      <w:pPr>
        <w:pStyle w:val="ListParagraph"/>
        <w:numPr>
          <w:ilvl w:val="1"/>
          <w:numId w:val="3"/>
        </w:numPr>
        <w:tabs>
          <w:tab w:pos="954" w:val="left" w:leader="none"/>
          <w:tab w:pos="955" w:val="left" w:leader="none"/>
          <w:tab w:pos="2276" w:val="left" w:leader="none"/>
        </w:tabs>
        <w:spacing w:line="240" w:lineRule="auto" w:before="179" w:after="0"/>
        <w:ind w:left="2276" w:right="0" w:hanging="1959"/>
        <w:jc w:val="left"/>
        <w:rPr>
          <w:sz w:val="21"/>
        </w:rPr>
      </w:pPr>
      <w:r>
        <w:rPr>
          <w:rFonts w:ascii="黑体" w:eastAsia="黑体" w:hint="eastAsia"/>
          <w:sz w:val="21"/>
        </w:rPr>
        <w:t>保险金额</w:t>
        <w:tab/>
      </w:r>
      <w:r>
        <w:rPr>
          <w:sz w:val="21"/>
        </w:rPr>
        <w:t>本附加险合同的基本保险金额由您在投保时与我们约定并在保险单上载明。</w:t>
      </w:r>
    </w:p>
    <w:p>
      <w:pPr>
        <w:pStyle w:val="BodyText"/>
        <w:spacing w:before="8"/>
        <w:ind w:left="0"/>
        <w:rPr>
          <w:sz w:val="11"/>
        </w:rPr>
      </w:pPr>
    </w:p>
    <w:p>
      <w:pPr>
        <w:spacing w:after="0"/>
        <w:rPr>
          <w:sz w:val="11"/>
        </w:rPr>
        <w:sectPr>
          <w:type w:val="continuous"/>
          <w:pgSz w:w="11910" w:h="16840"/>
          <w:pgMar w:top="200" w:bottom="280" w:left="1020" w:right="1120"/>
        </w:sectPr>
      </w:pPr>
    </w:p>
    <w:p>
      <w:pPr>
        <w:pStyle w:val="ListParagraph"/>
        <w:numPr>
          <w:ilvl w:val="1"/>
          <w:numId w:val="3"/>
        </w:numPr>
        <w:tabs>
          <w:tab w:pos="954" w:val="left" w:leader="none"/>
          <w:tab w:pos="955" w:val="left" w:leader="none"/>
        </w:tabs>
        <w:spacing w:line="240" w:lineRule="auto" w:before="35" w:after="0"/>
        <w:ind w:left="2276" w:right="0" w:hanging="1959"/>
        <w:jc w:val="left"/>
        <w:rPr>
          <w:rFonts w:ascii="黑体" w:eastAsia="黑体" w:hint="eastAsia"/>
          <w:sz w:val="21"/>
        </w:rPr>
      </w:pPr>
      <w:r>
        <w:rPr>
          <w:rFonts w:ascii="黑体" w:eastAsia="黑体" w:hint="eastAsia"/>
          <w:spacing w:val="-1"/>
          <w:sz w:val="21"/>
        </w:rPr>
        <w:t>未成年人身</w:t>
      </w:r>
    </w:p>
    <w:p>
      <w:pPr>
        <w:pStyle w:val="BodyText"/>
        <w:spacing w:line="280" w:lineRule="auto" w:before="45"/>
        <w:ind w:left="953"/>
        <w:rPr>
          <w:rFonts w:ascii="黑体" w:eastAsia="黑体" w:hint="eastAsia"/>
        </w:rPr>
      </w:pPr>
      <w:r>
        <w:rPr>
          <w:rFonts w:ascii="黑体" w:eastAsia="黑体" w:hint="eastAsia"/>
        </w:rPr>
        <w:t>故保险金限制</w:t>
      </w:r>
    </w:p>
    <w:p>
      <w:pPr>
        <w:pStyle w:val="BodyText"/>
        <w:spacing w:line="280" w:lineRule="auto" w:before="35"/>
        <w:ind w:left="232" w:right="215"/>
        <w:jc w:val="both"/>
      </w:pPr>
      <w:r>
        <w:rPr/>
        <w:br w:type="column"/>
      </w:r>
      <w:r>
        <w:rPr>
          <w:spacing w:val="-6"/>
        </w:rPr>
        <w:t>为未成年子女投保的人身保险，因被保险人身故给付的保险金总和不得超过国务</w:t>
      </w:r>
      <w:r>
        <w:rPr>
          <w:spacing w:val="-11"/>
        </w:rPr>
        <w:t>院保险监督管理机构规定的限额，身故给付的保险金额总和约定也不得超过前述限额。</w:t>
      </w:r>
    </w:p>
    <w:p>
      <w:pPr>
        <w:spacing w:after="0" w:line="280" w:lineRule="auto"/>
        <w:jc w:val="both"/>
        <w:sectPr>
          <w:type w:val="continuous"/>
          <w:pgSz w:w="11910" w:h="16840"/>
          <w:pgMar w:top="200" w:bottom="280" w:left="1020" w:right="1120"/>
          <w:cols w:num="2" w:equalWidth="0">
            <w:col w:w="2005" w:space="40"/>
            <w:col w:w="7725"/>
          </w:cols>
        </w:sectPr>
      </w:pPr>
    </w:p>
    <w:p>
      <w:pPr>
        <w:pStyle w:val="BodyText"/>
        <w:spacing w:before="11"/>
        <w:ind w:left="0"/>
        <w:rPr>
          <w:sz w:val="8"/>
        </w:rPr>
      </w:pPr>
    </w:p>
    <w:p>
      <w:pPr>
        <w:pStyle w:val="ListParagraph"/>
        <w:numPr>
          <w:ilvl w:val="1"/>
          <w:numId w:val="3"/>
        </w:numPr>
        <w:tabs>
          <w:tab w:pos="953" w:val="left" w:leader="none"/>
          <w:tab w:pos="954" w:val="left" w:leader="none"/>
          <w:tab w:pos="2276" w:val="left" w:leader="none"/>
        </w:tabs>
        <w:spacing w:line="240" w:lineRule="auto" w:before="35" w:after="0"/>
        <w:ind w:left="953" w:right="0" w:hanging="636"/>
        <w:jc w:val="left"/>
        <w:rPr>
          <w:sz w:val="21"/>
        </w:rPr>
      </w:pPr>
      <w:r>
        <w:rPr>
          <w:rFonts w:ascii="黑体" w:eastAsia="黑体" w:hint="eastAsia"/>
          <w:sz w:val="21"/>
        </w:rPr>
        <w:t>保险期间</w:t>
        <w:tab/>
      </w:r>
      <w:r>
        <w:rPr>
          <w:sz w:val="21"/>
        </w:rPr>
        <w:t>本附加险合同的保险期间与主险合同一致。</w:t>
      </w:r>
    </w:p>
    <w:p>
      <w:pPr>
        <w:pStyle w:val="BodyText"/>
        <w:spacing w:before="3"/>
        <w:ind w:left="0"/>
        <w:rPr>
          <w:sz w:val="14"/>
        </w:rPr>
      </w:pPr>
    </w:p>
    <w:p>
      <w:pPr>
        <w:pStyle w:val="ListParagraph"/>
        <w:numPr>
          <w:ilvl w:val="1"/>
          <w:numId w:val="3"/>
        </w:numPr>
        <w:tabs>
          <w:tab w:pos="953" w:val="left" w:leader="none"/>
          <w:tab w:pos="954" w:val="left" w:leader="none"/>
          <w:tab w:pos="2276" w:val="left" w:leader="none"/>
        </w:tabs>
        <w:spacing w:line="278" w:lineRule="auto" w:before="0" w:after="0"/>
        <w:ind w:left="2276" w:right="215" w:hanging="1959"/>
        <w:jc w:val="left"/>
        <w:rPr>
          <w:sz w:val="21"/>
        </w:rPr>
      </w:pPr>
      <w:r>
        <w:rPr>
          <w:rFonts w:ascii="黑体" w:eastAsia="黑体" w:hint="eastAsia"/>
          <w:sz w:val="21"/>
        </w:rPr>
        <w:t>保险责任</w:t>
        <w:tab/>
      </w:r>
      <w:r>
        <w:rPr>
          <w:sz w:val="21"/>
        </w:rPr>
        <w:t>在本附加险合同保险期间内</w:t>
      </w:r>
      <w:r>
        <w:rPr>
          <w:spacing w:val="-40"/>
          <w:sz w:val="21"/>
        </w:rPr>
        <w:t>，</w:t>
      </w:r>
      <w:r>
        <w:rPr>
          <w:sz w:val="21"/>
        </w:rPr>
        <w:t>且本附加险合同有效的前提下</w:t>
      </w:r>
      <w:r>
        <w:rPr>
          <w:spacing w:val="-40"/>
          <w:sz w:val="21"/>
        </w:rPr>
        <w:t>，</w:t>
      </w:r>
      <w:r>
        <w:rPr>
          <w:sz w:val="21"/>
        </w:rPr>
        <w:t>我们按以下约定承担保险责任：</w:t>
      </w:r>
    </w:p>
    <w:p>
      <w:pPr>
        <w:pStyle w:val="BodyText"/>
        <w:tabs>
          <w:tab w:pos="2276" w:val="left" w:leader="none"/>
        </w:tabs>
        <w:spacing w:line="228" w:lineRule="auto" w:before="167"/>
        <w:ind w:left="2276" w:right="214" w:hanging="1323"/>
      </w:pPr>
      <w:r>
        <w:rPr>
          <w:rFonts w:ascii="黑体" w:hAnsi="黑体" w:eastAsia="黑体" w:hint="eastAsia"/>
        </w:rPr>
        <w:t>等待期</w:t>
        <w:tab/>
      </w:r>
      <w:r>
        <w:rPr>
          <w:spacing w:val="2"/>
          <w:shd w:fill="D9D9D9" w:color="auto" w:val="clear"/>
        </w:rPr>
        <w:t>若</w:t>
      </w:r>
      <w:r>
        <w:rPr>
          <w:shd w:fill="D9D9D9" w:color="auto" w:val="clear"/>
        </w:rPr>
        <w:t>被</w:t>
      </w:r>
      <w:r>
        <w:rPr>
          <w:spacing w:val="2"/>
          <w:shd w:fill="D9D9D9" w:color="auto" w:val="clear"/>
        </w:rPr>
        <w:t>保</w:t>
      </w:r>
      <w:r>
        <w:rPr>
          <w:shd w:fill="D9D9D9" w:color="auto" w:val="clear"/>
        </w:rPr>
        <w:t>险人</w:t>
      </w:r>
      <w:r>
        <w:rPr>
          <w:spacing w:val="2"/>
          <w:shd w:fill="D9D9D9" w:color="auto" w:val="clear"/>
        </w:rPr>
        <w:t>在</w:t>
      </w:r>
      <w:r>
        <w:rPr>
          <w:shd w:fill="D9D9D9" w:color="auto" w:val="clear"/>
        </w:rPr>
        <w:t>本</w:t>
      </w:r>
      <w:r>
        <w:rPr>
          <w:spacing w:val="2"/>
          <w:shd w:fill="D9D9D9" w:color="auto" w:val="clear"/>
        </w:rPr>
        <w:t>附</w:t>
      </w:r>
      <w:r>
        <w:rPr>
          <w:shd w:fill="D9D9D9" w:color="auto" w:val="clear"/>
        </w:rPr>
        <w:t>加险</w:t>
      </w:r>
      <w:r>
        <w:rPr>
          <w:spacing w:val="2"/>
          <w:shd w:fill="D9D9D9" w:color="auto" w:val="clear"/>
        </w:rPr>
        <w:t>合</w:t>
      </w:r>
      <w:r>
        <w:rPr>
          <w:shd w:fill="D9D9D9" w:color="auto" w:val="clear"/>
        </w:rPr>
        <w:t>同</w:t>
      </w:r>
      <w:r>
        <w:rPr>
          <w:spacing w:val="2"/>
          <w:shd w:fill="D9D9D9" w:color="auto" w:val="clear"/>
        </w:rPr>
        <w:t>生</w:t>
      </w:r>
      <w:r>
        <w:rPr>
          <w:shd w:fill="D9D9D9" w:color="auto" w:val="clear"/>
        </w:rPr>
        <w:t>效或</w:t>
      </w:r>
      <w:r>
        <w:rPr>
          <w:spacing w:val="2"/>
          <w:shd w:fill="D9D9D9" w:color="auto" w:val="clear"/>
        </w:rPr>
        <w:t>最</w:t>
      </w:r>
      <w:r>
        <w:rPr>
          <w:shd w:fill="D9D9D9" w:color="auto" w:val="clear"/>
        </w:rPr>
        <w:t>后</w:t>
      </w:r>
      <w:r>
        <w:rPr>
          <w:spacing w:val="2"/>
          <w:shd w:fill="D9D9D9" w:color="auto" w:val="clear"/>
        </w:rPr>
        <w:t>一</w:t>
      </w:r>
      <w:r>
        <w:rPr>
          <w:shd w:fill="D9D9D9" w:color="auto" w:val="clear"/>
        </w:rPr>
        <w:t>次复</w:t>
      </w:r>
      <w:r>
        <w:rPr>
          <w:spacing w:val="2"/>
          <w:shd w:fill="D9D9D9" w:color="auto" w:val="clear"/>
        </w:rPr>
        <w:t>效</w:t>
      </w:r>
      <w:r>
        <w:rPr>
          <w:shd w:fill="D9D9D9" w:color="auto" w:val="clear"/>
        </w:rPr>
        <w:t>（</w:t>
      </w:r>
      <w:r>
        <w:rPr>
          <w:spacing w:val="2"/>
          <w:shd w:fill="D9D9D9" w:color="auto" w:val="clear"/>
        </w:rPr>
        <w:t>以</w:t>
      </w:r>
      <w:r>
        <w:rPr>
          <w:shd w:fill="D9D9D9" w:color="auto" w:val="clear"/>
        </w:rPr>
        <w:t>较迟</w:t>
      </w:r>
      <w:r>
        <w:rPr>
          <w:spacing w:val="2"/>
          <w:shd w:fill="D9D9D9" w:color="auto" w:val="clear"/>
        </w:rPr>
        <w:t>者</w:t>
      </w:r>
      <w:r>
        <w:rPr>
          <w:shd w:fill="D9D9D9" w:color="auto" w:val="clear"/>
        </w:rPr>
        <w:t>为</w:t>
      </w:r>
      <w:r>
        <w:rPr>
          <w:spacing w:val="2"/>
          <w:shd w:fill="D9D9D9" w:color="auto" w:val="clear"/>
        </w:rPr>
        <w:t>准</w:t>
      </w:r>
      <w:r>
        <w:rPr>
          <w:shd w:fill="D9D9D9" w:color="auto" w:val="clear"/>
        </w:rPr>
        <w:t>）之日起</w:t>
      </w:r>
      <w:r>
        <w:rPr>
          <w:spacing w:val="71"/>
          <w:shd w:fill="D9D9D9" w:color="auto" w:val="clear"/>
        </w:rPr>
        <w:t> </w:t>
      </w:r>
      <w:r>
        <w:rPr>
          <w:shd w:fill="D9D9D9" w:color="auto" w:val="clear"/>
        </w:rPr>
        <w:t>180日（这</w:t>
      </w:r>
      <w:r>
        <w:rPr>
          <w:spacing w:val="-41"/>
          <w:shd w:fill="D9D9D9" w:color="auto" w:val="clear"/>
        </w:rPr>
        <w:t> </w:t>
      </w:r>
      <w:r>
        <w:rPr>
          <w:shd w:fill="D9D9D9" w:color="auto" w:val="clear"/>
        </w:rPr>
        <w:t>180</w:t>
      </w:r>
      <w:r>
        <w:rPr>
          <w:spacing w:val="-42"/>
          <w:shd w:fill="D9D9D9" w:color="auto" w:val="clear"/>
        </w:rPr>
        <w:t> </w:t>
      </w:r>
      <w:r>
        <w:rPr>
          <w:shd w:fill="D9D9D9" w:color="auto" w:val="clear"/>
        </w:rPr>
        <w:t>日的时间段称为“等待期</w:t>
      </w:r>
      <w:r>
        <w:rPr>
          <w:spacing w:val="-105"/>
          <w:shd w:fill="D9D9D9" w:color="auto" w:val="clear"/>
        </w:rPr>
        <w:t>”</w:t>
      </w:r>
      <w:r>
        <w:rPr>
          <w:shd w:fill="D9D9D9" w:color="auto" w:val="clear"/>
        </w:rPr>
        <w:t>）内因</w:t>
      </w:r>
      <w:r>
        <w:rPr>
          <w:rFonts w:ascii="微软雅黑" w:hAnsi="微软雅黑" w:eastAsia="微软雅黑" w:hint="eastAsia"/>
          <w:b/>
          <w:shd w:fill="D9D9D9" w:color="auto" w:val="clear"/>
        </w:rPr>
        <w:t>意</w:t>
      </w:r>
      <w:r>
        <w:rPr>
          <w:rFonts w:ascii="微软雅黑" w:hAnsi="微软雅黑" w:eastAsia="微软雅黑" w:hint="eastAsia"/>
          <w:b/>
          <w:spacing w:val="0"/>
          <w:shd w:fill="D9D9D9" w:color="auto" w:val="clear"/>
        </w:rPr>
        <w:t>外伤害</w:t>
      </w:r>
      <w:r>
        <w:rPr>
          <w:shd w:fill="D9D9D9" w:color="auto" w:val="clear"/>
        </w:rPr>
        <w:t>以</w:t>
      </w:r>
      <w:r>
        <w:rPr>
          <w:spacing w:val="-2"/>
          <w:shd w:fill="D9D9D9" w:color="auto" w:val="clear"/>
        </w:rPr>
        <w:t>外</w:t>
      </w:r>
      <w:r>
        <w:rPr>
          <w:shd w:fill="D9D9D9" w:color="auto" w:val="clear"/>
        </w:rPr>
        <w:t>的原因被确诊初次发</w:t>
      </w:r>
    </w:p>
    <w:p>
      <w:pPr>
        <w:pStyle w:val="BodyText"/>
        <w:spacing w:line="278" w:lineRule="auto" w:before="20"/>
        <w:ind w:left="2276" w:right="139"/>
      </w:pPr>
      <w:r>
        <w:rPr>
          <w:shd w:fill="D9D9D9" w:color="auto" w:val="clear"/>
        </w:rPr>
        <w:t>生本附加险合同约定的重大疾病的，我们按您根据本附加险合同的约定已支付的保险费给付保险金，本附加险合同终止。</w:t>
      </w:r>
    </w:p>
    <w:p>
      <w:pPr>
        <w:pStyle w:val="BodyText"/>
        <w:ind w:left="0"/>
        <w:rPr>
          <w:sz w:val="9"/>
        </w:rPr>
      </w:pPr>
    </w:p>
    <w:p>
      <w:pPr>
        <w:spacing w:after="0"/>
        <w:rPr>
          <w:sz w:val="9"/>
        </w:rPr>
        <w:sectPr>
          <w:type w:val="continuous"/>
          <w:pgSz w:w="11910" w:h="16840"/>
          <w:pgMar w:top="200" w:bottom="280" w:left="1020" w:right="1120"/>
        </w:sectPr>
      </w:pPr>
    </w:p>
    <w:p>
      <w:pPr>
        <w:pStyle w:val="BodyText"/>
        <w:spacing w:line="280" w:lineRule="auto" w:before="35"/>
        <w:ind w:left="954"/>
        <w:rPr>
          <w:rFonts w:ascii="黑体" w:eastAsia="黑体" w:hint="eastAsia"/>
        </w:rPr>
      </w:pPr>
      <w:r>
        <w:rPr>
          <w:rFonts w:ascii="黑体" w:eastAsia="黑体" w:hint="eastAsia"/>
        </w:rPr>
        <w:t>重大疾病保险金</w:t>
      </w:r>
    </w:p>
    <w:p>
      <w:pPr>
        <w:pStyle w:val="BodyText"/>
        <w:spacing w:line="280" w:lineRule="auto" w:before="35"/>
        <w:ind w:left="251" w:right="210" w:hanging="20"/>
        <w:jc w:val="both"/>
      </w:pPr>
      <w:r>
        <w:rPr/>
        <w:br w:type="column"/>
      </w:r>
      <w:r>
        <w:rPr/>
        <w:t>若被保险人因遭受意外伤害或在等待期后因意外伤害以外的原因被确诊初次发生本附加险合同约定的重大疾病（无论一种或多种，下同</w:t>
      </w:r>
      <w:r>
        <w:rPr>
          <w:spacing w:val="-106"/>
        </w:rPr>
        <w:t>）</w:t>
      </w:r>
      <w:r>
        <w:rPr/>
        <w:t>，我们按本附加险合</w:t>
      </w:r>
      <w:r>
        <w:rPr>
          <w:spacing w:val="-7"/>
        </w:rPr>
        <w:t>同基本保险金额的 </w:t>
      </w:r>
      <w:r>
        <w:rPr/>
        <w:t>10</w:t>
      </w:r>
      <w:r>
        <w:rPr>
          <w:spacing w:val="-9"/>
        </w:rPr>
        <w:t> 倍给付重大疾病保险金, 本附加险合同终止。</w:t>
      </w:r>
    </w:p>
    <w:p>
      <w:pPr>
        <w:spacing w:after="0" w:line="280" w:lineRule="auto"/>
        <w:jc w:val="both"/>
        <w:sectPr>
          <w:type w:val="continuous"/>
          <w:pgSz w:w="11910" w:h="16840"/>
          <w:pgMar w:top="200" w:bottom="280" w:left="1020" w:right="1120"/>
          <w:cols w:num="2" w:equalWidth="0">
            <w:col w:w="2005" w:space="40"/>
            <w:col w:w="7725"/>
          </w:cols>
        </w:sectPr>
      </w:pPr>
    </w:p>
    <w:p>
      <w:pPr>
        <w:pStyle w:val="BodyText"/>
        <w:spacing w:before="11"/>
        <w:ind w:left="0"/>
        <w:rPr>
          <w:sz w:val="8"/>
        </w:rPr>
      </w:pPr>
    </w:p>
    <w:p>
      <w:pPr>
        <w:pStyle w:val="BodyText"/>
        <w:tabs>
          <w:tab w:pos="2276" w:val="left" w:leader="none"/>
        </w:tabs>
        <w:spacing w:before="35"/>
        <w:ind w:left="954"/>
      </w:pPr>
      <w:r>
        <w:rPr>
          <w:rFonts w:ascii="黑体" w:eastAsia="黑体" w:hint="eastAsia"/>
        </w:rPr>
        <w:t>白血病额外</w:t>
        <w:tab/>
      </w:r>
      <w:r>
        <w:rPr>
          <w:spacing w:val="2"/>
        </w:rPr>
        <w:t>若</w:t>
      </w:r>
      <w:r>
        <w:rPr/>
        <w:t>被保</w:t>
      </w:r>
      <w:r>
        <w:rPr>
          <w:spacing w:val="2"/>
        </w:rPr>
        <w:t>险</w:t>
      </w:r>
      <w:r>
        <w:rPr/>
        <w:t>人</w:t>
      </w:r>
      <w:r>
        <w:rPr>
          <w:spacing w:val="2"/>
        </w:rPr>
        <w:t>因</w:t>
      </w:r>
      <w:r>
        <w:rPr/>
        <w:t>遭受</w:t>
      </w:r>
      <w:r>
        <w:rPr>
          <w:spacing w:val="2"/>
        </w:rPr>
        <w:t>意</w:t>
      </w:r>
      <w:r>
        <w:rPr/>
        <w:t>外</w:t>
      </w:r>
      <w:r>
        <w:rPr>
          <w:spacing w:val="2"/>
        </w:rPr>
        <w:t>伤</w:t>
      </w:r>
      <w:r>
        <w:rPr/>
        <w:t>害或</w:t>
      </w:r>
      <w:r>
        <w:rPr>
          <w:spacing w:val="2"/>
        </w:rPr>
        <w:t>在</w:t>
      </w:r>
      <w:r>
        <w:rPr/>
        <w:t>等</w:t>
      </w:r>
      <w:r>
        <w:rPr>
          <w:spacing w:val="2"/>
        </w:rPr>
        <w:t>待</w:t>
      </w:r>
      <w:r>
        <w:rPr/>
        <w:t>期后</w:t>
      </w:r>
      <w:r>
        <w:rPr>
          <w:spacing w:val="2"/>
        </w:rPr>
        <w:t>因</w:t>
      </w:r>
      <w:r>
        <w:rPr/>
        <w:t>意</w:t>
      </w:r>
      <w:r>
        <w:rPr>
          <w:spacing w:val="2"/>
        </w:rPr>
        <w:t>外</w:t>
      </w:r>
      <w:r>
        <w:rPr/>
        <w:t>伤害</w:t>
      </w:r>
      <w:r>
        <w:rPr>
          <w:spacing w:val="2"/>
        </w:rPr>
        <w:t>以</w:t>
      </w:r>
      <w:r>
        <w:rPr/>
        <w:t>外</w:t>
      </w:r>
      <w:r>
        <w:rPr>
          <w:spacing w:val="2"/>
        </w:rPr>
        <w:t>的</w:t>
      </w:r>
      <w:r>
        <w:rPr/>
        <w:t>原因被确诊初次发</w:t>
      </w:r>
    </w:p>
    <w:p>
      <w:pPr>
        <w:spacing w:after="0"/>
        <w:sectPr>
          <w:type w:val="continuous"/>
          <w:pgSz w:w="11910" w:h="16840"/>
          <w:pgMar w:top="200" w:bottom="280" w:left="1020" w:right="1120"/>
        </w:sectPr>
      </w:pPr>
    </w:p>
    <w:p>
      <w:pPr>
        <w:pStyle w:val="BodyText"/>
        <w:tabs>
          <w:tab w:pos="2095" w:val="left" w:leader="none"/>
        </w:tabs>
        <w:spacing w:line="309" w:lineRule="exact"/>
        <w:ind w:left="754"/>
      </w:pPr>
      <w:r>
        <w:rPr>
          <w:rFonts w:ascii="黑体" w:eastAsia="黑体" w:hint="eastAsia"/>
        </w:rPr>
        <w:t>保险金</w:t>
        <w:tab/>
      </w:r>
      <w:r>
        <w:rPr/>
        <w:t>生本附加险合同约定的</w:t>
      </w:r>
      <w:r>
        <w:rPr>
          <w:rFonts w:ascii="微软雅黑" w:eastAsia="微软雅黑" w:hint="eastAsia"/>
          <w:b/>
        </w:rPr>
        <w:t>白血病</w:t>
      </w:r>
      <w:r>
        <w:rPr>
          <w:spacing w:val="-101"/>
        </w:rPr>
        <w:t>，</w:t>
      </w:r>
      <w:r>
        <w:rPr/>
        <w:t>我们按本附加险合同基本保险金额的</w:t>
      </w:r>
      <w:r>
        <w:rPr>
          <w:spacing w:val="-53"/>
        </w:rPr>
        <w:t> </w:t>
      </w:r>
      <w:r>
        <w:rPr/>
        <w:t>2.5</w:t>
      </w:r>
      <w:r>
        <w:rPr>
          <w:spacing w:val="-53"/>
        </w:rPr>
        <w:t> </w:t>
      </w:r>
      <w:r>
        <w:rPr/>
        <w:t>倍给付</w:t>
      </w:r>
    </w:p>
    <w:p>
      <w:pPr>
        <w:pStyle w:val="BodyText"/>
        <w:spacing w:before="19"/>
        <w:ind w:left="2095"/>
      </w:pPr>
      <w:r>
        <w:rPr/>
        <w:t>白血病额外保险金，本附加险合同终止。</w:t>
      </w:r>
    </w:p>
    <w:p>
      <w:pPr>
        <w:pStyle w:val="BodyText"/>
        <w:spacing w:before="4"/>
        <w:ind w:left="0"/>
        <w:rPr>
          <w:sz w:val="14"/>
        </w:rPr>
      </w:pPr>
    </w:p>
    <w:p>
      <w:pPr>
        <w:pStyle w:val="BodyText"/>
        <w:tabs>
          <w:tab w:pos="2076" w:val="left" w:leader="none"/>
        </w:tabs>
        <w:spacing w:line="280" w:lineRule="auto"/>
        <w:ind w:left="2076" w:right="215" w:hanging="1323"/>
      </w:pPr>
      <w:r>
        <w:rPr>
          <w:rFonts w:ascii="黑体" w:eastAsia="黑体" w:hint="eastAsia"/>
        </w:rPr>
        <w:t>身故保险金</w:t>
        <w:tab/>
      </w:r>
      <w:r>
        <w:rPr/>
        <w:t>若被保险人于年满</w:t>
      </w:r>
      <w:r>
        <w:rPr>
          <w:spacing w:val="-56"/>
        </w:rPr>
        <w:t> </w:t>
      </w:r>
      <w:r>
        <w:rPr/>
        <w:t>18</w:t>
      </w:r>
      <w:r>
        <w:rPr>
          <w:spacing w:val="-57"/>
        </w:rPr>
        <w:t> </w:t>
      </w:r>
      <w:r>
        <w:rPr/>
        <w:t>周岁后的首个合同生效日对应日前身故，我们按您已支付的保险费给付身故保险金，本附加险合同终止。</w:t>
      </w:r>
    </w:p>
    <w:p>
      <w:pPr>
        <w:pStyle w:val="BodyText"/>
        <w:spacing w:before="10"/>
        <w:ind w:left="2076"/>
      </w:pPr>
      <w:r>
        <w:rPr/>
        <w:t>若被保险人于年满 18 周岁后的首个合同生效日对应日后身故，我们按基本保险</w:t>
      </w:r>
    </w:p>
    <w:p>
      <w:pPr>
        <w:pStyle w:val="BodyText"/>
        <w:spacing w:before="44"/>
        <w:ind w:left="2095"/>
      </w:pPr>
      <w:r>
        <w:rPr/>
        <w:t>金额的 10 倍给付身故保险金，本附加险合同终止。</w:t>
      </w:r>
    </w:p>
    <w:p>
      <w:pPr>
        <w:pStyle w:val="BodyText"/>
        <w:spacing w:before="7"/>
        <w:ind w:left="0"/>
        <w:rPr>
          <w:sz w:val="11"/>
        </w:rPr>
      </w:pPr>
    </w:p>
    <w:p>
      <w:pPr>
        <w:spacing w:after="0"/>
        <w:rPr>
          <w:sz w:val="11"/>
        </w:rPr>
        <w:sectPr>
          <w:pgSz w:w="11910" w:h="16840"/>
          <w:pgMar w:top="1420" w:bottom="280" w:left="1220" w:right="1120"/>
        </w:sectPr>
      </w:pPr>
    </w:p>
    <w:p>
      <w:pPr>
        <w:pStyle w:val="BodyText"/>
        <w:spacing w:line="280" w:lineRule="auto" w:before="35"/>
        <w:ind w:left="753"/>
        <w:rPr>
          <w:rFonts w:ascii="黑体" w:eastAsia="黑体" w:hint="eastAsia"/>
        </w:rPr>
      </w:pPr>
      <w:r>
        <w:rPr>
          <w:rFonts w:ascii="黑体" w:eastAsia="黑体" w:hint="eastAsia"/>
        </w:rPr>
        <w:t>投保人身 故、全残豁免保险费</w:t>
      </w:r>
    </w:p>
    <w:p>
      <w:pPr>
        <w:pStyle w:val="BodyText"/>
        <w:spacing w:line="266" w:lineRule="exact" w:before="35"/>
        <w:ind w:left="232"/>
      </w:pPr>
      <w:r>
        <w:rPr/>
        <w:br w:type="column"/>
      </w:r>
      <w:r>
        <w:rPr/>
        <w:t>除另有约定外，若投保人因遭受意外伤害或在本附加险合同生效或最后一次复效</w:t>
      </w:r>
    </w:p>
    <w:p>
      <w:pPr>
        <w:pStyle w:val="BodyText"/>
        <w:spacing w:line="254" w:lineRule="auto"/>
        <w:ind w:left="232" w:right="215"/>
      </w:pPr>
      <w:r>
        <w:rPr/>
        <w:t>（以较迟者为准</w:t>
      </w:r>
      <w:r>
        <w:rPr>
          <w:spacing w:val="-41"/>
        </w:rPr>
        <w:t>）</w:t>
      </w:r>
      <w:r>
        <w:rPr>
          <w:spacing w:val="-14"/>
        </w:rPr>
        <w:t>之日起 </w:t>
      </w:r>
      <w:r>
        <w:rPr/>
        <w:t>180</w:t>
      </w:r>
      <w:r>
        <w:rPr>
          <w:spacing w:val="-8"/>
        </w:rPr>
        <w:t> 日后因意外伤害以外的原因身故或</w:t>
      </w:r>
      <w:r>
        <w:rPr>
          <w:rFonts w:ascii="微软雅黑" w:eastAsia="微软雅黑" w:hint="eastAsia"/>
          <w:b/>
        </w:rPr>
        <w:t>全残</w:t>
      </w:r>
      <w:r>
        <w:rPr>
          <w:spacing w:val="-9"/>
        </w:rPr>
        <w:t>，可免交自投保人身故或全残之日后的续期保险费，本合同继续有效。</w:t>
      </w:r>
    </w:p>
    <w:p>
      <w:pPr>
        <w:pStyle w:val="BodyText"/>
        <w:spacing w:before="41"/>
        <w:ind w:left="232"/>
      </w:pPr>
      <w:r>
        <w:rPr>
          <w:shd w:fill="D9D9D9" w:color="auto" w:val="clear"/>
        </w:rPr>
        <w:t>投保人在保险期间内变更的，我们不予豁免保险费。</w:t>
      </w:r>
    </w:p>
    <w:p>
      <w:pPr>
        <w:pStyle w:val="BodyText"/>
        <w:spacing w:before="4"/>
        <w:ind w:left="0"/>
        <w:rPr>
          <w:sz w:val="14"/>
        </w:rPr>
      </w:pPr>
    </w:p>
    <w:p>
      <w:pPr>
        <w:pStyle w:val="BodyText"/>
        <w:spacing w:line="280" w:lineRule="auto"/>
        <w:ind w:left="232" w:right="213"/>
        <w:jc w:val="both"/>
      </w:pPr>
      <w:r>
        <w:rPr/>
        <w:t>“已支付的保险费”的含义:本条所述“已支付的保险费”指您根据本附加险合</w:t>
      </w:r>
      <w:r>
        <w:rPr>
          <w:spacing w:val="-5"/>
        </w:rPr>
        <w:t>同的约定已支付的保险费，豁免的保险费视作已支付。若发生减保，在计算已支付保险费时，减保前已支付的保险费将按减保比例相应减少。</w:t>
      </w:r>
    </w:p>
    <w:p>
      <w:pPr>
        <w:spacing w:after="0" w:line="280" w:lineRule="auto"/>
        <w:jc w:val="both"/>
        <w:sectPr>
          <w:type w:val="continuous"/>
          <w:pgSz w:w="11910" w:h="16840"/>
          <w:pgMar w:top="200" w:bottom="280" w:left="1220" w:right="1120"/>
          <w:cols w:num="2" w:equalWidth="0">
            <w:col w:w="1805" w:space="40"/>
            <w:col w:w="7725"/>
          </w:cols>
        </w:sectPr>
      </w:pPr>
    </w:p>
    <w:p>
      <w:pPr>
        <w:pStyle w:val="BodyText"/>
        <w:spacing w:before="11"/>
        <w:ind w:left="0"/>
        <w:rPr>
          <w:sz w:val="8"/>
        </w:rPr>
      </w:pPr>
    </w:p>
    <w:p>
      <w:pPr>
        <w:pStyle w:val="ListParagraph"/>
        <w:numPr>
          <w:ilvl w:val="1"/>
          <w:numId w:val="3"/>
        </w:numPr>
        <w:tabs>
          <w:tab w:pos="755" w:val="left" w:leader="none"/>
        </w:tabs>
        <w:spacing w:line="278" w:lineRule="auto" w:before="35" w:after="0"/>
        <w:ind w:left="2076" w:right="284" w:hanging="1958"/>
        <w:jc w:val="both"/>
        <w:rPr>
          <w:sz w:val="21"/>
        </w:rPr>
      </w:pPr>
      <w:r>
        <w:rPr>
          <w:rFonts w:ascii="黑体" w:eastAsia="黑体" w:hint="eastAsia"/>
          <w:spacing w:val="13"/>
          <w:sz w:val="21"/>
        </w:rPr>
        <w:t>责任免除   </w:t>
      </w:r>
      <w:r>
        <w:rPr>
          <w:sz w:val="21"/>
          <w:shd w:fill="D9D9D9" w:color="auto" w:val="clear"/>
        </w:rPr>
        <w:t>因下列第(1)至(8)项情形之一导致被保险人身故的，或因下列第(2)至(9)项情</w:t>
      </w:r>
      <w:r>
        <w:rPr>
          <w:spacing w:val="-195"/>
          <w:sz w:val="21"/>
          <w:shd w:fill="D9D9D9" w:color="auto" w:val="clear"/>
        </w:rPr>
        <w:t>形</w:t>
      </w:r>
      <w:r>
        <w:rPr>
          <w:sz w:val="21"/>
          <w:shd w:fill="D9D9D9" w:color="auto" w:val="clear"/>
        </w:rPr>
        <w:t>之一导致被保险人发生疾病、达到疾病状态或进行手术的，我们不承担给付 保险金的责任：</w:t>
      </w:r>
    </w:p>
    <w:p>
      <w:pPr>
        <w:pStyle w:val="BodyText"/>
        <w:spacing w:line="278" w:lineRule="auto" w:before="11"/>
        <w:ind w:left="2076" w:right="241"/>
      </w:pPr>
      <w:r>
        <w:rPr>
          <w:shd w:fill="D9D9D9" w:color="auto" w:val="clear"/>
        </w:rPr>
        <w:t>(1)</w:t>
      </w:r>
      <w:r>
        <w:rPr>
          <w:spacing w:val="-3"/>
          <w:shd w:fill="D9D9D9" w:color="auto" w:val="clear"/>
        </w:rPr>
        <w:t>被保险人自本附加险合同成立或本附加险合同效力恢复之日起 </w:t>
      </w:r>
      <w:r>
        <w:rPr>
          <w:shd w:fill="D9D9D9" w:color="auto" w:val="clear"/>
        </w:rPr>
        <w:t>2</w:t>
      </w:r>
      <w:r>
        <w:rPr>
          <w:spacing w:val="-12"/>
          <w:shd w:fill="D9D9D9" w:color="auto" w:val="clear"/>
        </w:rPr>
        <w:t> 年内自杀， 但被保险人自杀时为无民事行为能力人的除外；</w:t>
      </w:r>
      <w:r>
        <w:rPr>
          <w:spacing w:val="-12"/>
        </w:rPr>
        <w:t> </w:t>
      </w:r>
      <w:r>
        <w:rPr>
          <w:spacing w:val="-12"/>
          <w:shd w:fill="D9D9D9" w:color="auto" w:val="clear"/>
        </w:rPr>
        <w:t>                        (2)投保人对被保险人的故意杀害、故意伤害；</w:t>
      </w:r>
      <w:r>
        <w:rPr>
          <w:spacing w:val="-12"/>
        </w:rPr>
        <w:t> </w:t>
      </w:r>
      <w:r>
        <w:rPr>
          <w:spacing w:val="-12"/>
          <w:shd w:fill="D9D9D9" w:color="auto" w:val="clear"/>
        </w:rPr>
        <w:t>                         </w:t>
      </w:r>
      <w:r>
        <w:rPr>
          <w:spacing w:val="-1"/>
          <w:shd w:fill="D9D9D9" w:color="auto" w:val="clear"/>
        </w:rPr>
        <w:t>(3)被保险人故意自伤、故意犯罪或者抗拒依法采取的刑事强制措施；</w:t>
      </w:r>
    </w:p>
    <w:p>
      <w:pPr>
        <w:pStyle w:val="BodyText"/>
        <w:spacing w:line="290" w:lineRule="exact"/>
        <w:ind w:left="2076"/>
      </w:pPr>
      <w:r>
        <w:rPr>
          <w:shd w:fill="D9D9D9" w:color="auto" w:val="clear"/>
        </w:rPr>
        <w:t>(4)被保险人服用、吸食或注射</w:t>
      </w:r>
      <w:r>
        <w:rPr>
          <w:rFonts w:ascii="微软雅黑" w:eastAsia="微软雅黑" w:hint="eastAsia"/>
          <w:b/>
          <w:shd w:fill="D9D9D9" w:color="auto" w:val="clear"/>
        </w:rPr>
        <w:t>毒品</w:t>
      </w:r>
      <w:r>
        <w:rPr>
          <w:shd w:fill="D9D9D9" w:color="auto" w:val="clear"/>
        </w:rPr>
        <w:t>；</w:t>
      </w:r>
    </w:p>
    <w:p>
      <w:pPr>
        <w:spacing w:line="320" w:lineRule="exact" w:before="0"/>
        <w:ind w:left="2076" w:right="0" w:firstLine="0"/>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30"/>
        <w:ind w:left="2076" w:right="1214" w:firstLine="0"/>
        <w:jc w:val="left"/>
        <w:rPr>
          <w:sz w:val="21"/>
        </w:rPr>
      </w:pPr>
      <w:r>
        <w:rPr>
          <w:sz w:val="21"/>
          <w:shd w:fill="D9D9D9" w:color="auto" w:val="clear"/>
        </w:rPr>
        <w:t>(6)被保险人所患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r>
        <w:rPr>
          <w:sz w:val="21"/>
        </w:rPr>
        <w:t> </w:t>
      </w:r>
      <w:r>
        <w:rPr>
          <w:sz w:val="21"/>
          <w:shd w:fill="D9D9D9" w:color="auto" w:val="clear"/>
        </w:rPr>
        <w:t>(7)战争、军事冲突、暴乱或武装叛乱；</w:t>
      </w:r>
    </w:p>
    <w:p>
      <w:pPr>
        <w:pStyle w:val="BodyText"/>
        <w:spacing w:line="266" w:lineRule="exact" w:before="10"/>
        <w:ind w:left="2076"/>
      </w:pPr>
      <w:r>
        <w:rPr>
          <w:shd w:fill="D9D9D9" w:color="auto" w:val="clear"/>
        </w:rPr>
        <w:t>(8)核爆炸、核辐射或核污染；</w:t>
      </w:r>
    </w:p>
    <w:p>
      <w:pPr>
        <w:pStyle w:val="BodyText"/>
        <w:spacing w:line="252" w:lineRule="auto"/>
        <w:ind w:left="2076" w:right="139"/>
      </w:pPr>
      <w:r>
        <w:rPr>
          <w:shd w:fill="D9D9D9" w:color="auto" w:val="clear"/>
        </w:rPr>
        <w:t>(9)被保险人</w:t>
      </w:r>
      <w:r>
        <w:rPr>
          <w:rFonts w:ascii="微软雅黑" w:hAnsi="微软雅黑" w:eastAsia="微软雅黑" w:hint="eastAsia"/>
          <w:b/>
          <w:shd w:fill="D9D9D9" w:color="auto" w:val="clear"/>
        </w:rPr>
        <w:t>感染艾滋病病毒或患艾滋病</w:t>
      </w:r>
      <w:r>
        <w:rPr>
          <w:shd w:fill="D9D9D9" w:color="auto" w:val="clear"/>
        </w:rPr>
        <w:t>期间(不包括本附加险合同所保障的“经输血导致的人类免疫缺陷病毒（HIV）感染”)。 </w:t>
      </w:r>
    </w:p>
    <w:p>
      <w:pPr>
        <w:pStyle w:val="BodyText"/>
        <w:spacing w:before="44"/>
        <w:ind w:left="2076" w:firstLine="420"/>
      </w:pPr>
      <w:r>
        <w:rPr/>
        <w:t>发生上述第(2)项情形导致被保险人被确诊发生本附加险合同约定的重大疾</w:t>
      </w:r>
    </w:p>
    <w:p>
      <w:pPr>
        <w:pStyle w:val="BodyText"/>
        <w:spacing w:line="228" w:lineRule="auto" w:before="59"/>
        <w:ind w:left="2076" w:right="215"/>
      </w:pPr>
      <w:r>
        <w:rPr>
          <w:spacing w:val="-6"/>
        </w:rPr>
        <w:t>病或导致被保险人身故的，本附加险合同终止，我们向受益人退还本附加险合同的</w:t>
      </w:r>
      <w:r>
        <w:rPr>
          <w:rFonts w:ascii="微软雅黑" w:eastAsia="微软雅黑" w:hint="eastAsia"/>
          <w:b/>
          <w:spacing w:val="-6"/>
        </w:rPr>
        <w:t>现金价值</w:t>
      </w:r>
      <w:r>
        <w:rPr>
          <w:spacing w:val="-6"/>
        </w:rPr>
        <w:t>。</w:t>
      </w:r>
    </w:p>
    <w:p>
      <w:pPr>
        <w:pStyle w:val="BodyText"/>
        <w:spacing w:line="278" w:lineRule="auto" w:before="20"/>
        <w:ind w:left="2076" w:right="212" w:firstLine="420"/>
        <w:jc w:val="both"/>
      </w:pPr>
      <w:r>
        <w:rPr/>
        <w:t>发生上述其他情形导致被保险人被确诊发生本附加险合同约定的重大疾病</w:t>
      </w:r>
      <w:r>
        <w:rPr>
          <w:spacing w:val="-6"/>
        </w:rPr>
        <w:t>或导致被保险人身故的，本附加险合同终止，我们向您退还本附加险合同的现金价值。</w:t>
      </w:r>
    </w:p>
    <w:p>
      <w:pPr>
        <w:pStyle w:val="BodyText"/>
        <w:spacing w:before="9"/>
        <w:ind w:left="0"/>
        <w:rPr>
          <w:sz w:val="22"/>
        </w:rPr>
      </w:pPr>
    </w:p>
    <w:p>
      <w:pPr>
        <w:pStyle w:val="BodyText"/>
        <w:spacing w:line="278" w:lineRule="auto" w:before="35"/>
        <w:ind w:left="2076" w:right="557"/>
      </w:pPr>
      <w:r>
        <w:rPr>
          <w:shd w:fill="D9D9D9" w:color="auto" w:val="clear"/>
        </w:rPr>
        <w:t>因下列情形之一导致投保人身故或全残的，我们不承担豁免保险费的责任：</w:t>
      </w:r>
      <w:r>
        <w:rPr/>
        <w:t> </w:t>
      </w:r>
      <w:r>
        <w:rPr>
          <w:shd w:fill="D9D9D9" w:color="auto" w:val="clear"/>
        </w:rPr>
        <w:t>(1)被保险人对投保人的故意杀害、故意伤害；</w:t>
      </w:r>
      <w:r>
        <w:rPr/>
        <w:t> </w:t>
      </w:r>
      <w:r>
        <w:rPr>
          <w:shd w:fill="D9D9D9" w:color="auto" w:val="clear"/>
        </w:rPr>
        <w:t>                      </w:t>
      </w:r>
      <w:r>
        <w:rPr>
          <w:spacing w:val="-1"/>
          <w:shd w:fill="D9D9D9" w:color="auto" w:val="clear"/>
        </w:rPr>
        <w:t>(2)投保人故意自伤、故意犯罪或者抗拒依法采取的刑事强制措施；</w:t>
      </w:r>
    </w:p>
    <w:p>
      <w:pPr>
        <w:pStyle w:val="BodyText"/>
        <w:spacing w:line="278" w:lineRule="auto" w:before="11"/>
        <w:ind w:left="2076" w:right="139"/>
      </w:pPr>
      <w:r>
        <w:rPr>
          <w:shd w:fill="D9D9D9" w:color="auto" w:val="clear"/>
        </w:rPr>
        <w:t>(3)投保人自本附加险合同成立或本附加险合同效力恢复之日起 2 年内自杀，但投保人自杀时为无民事行为能力人的除外；</w:t>
      </w:r>
    </w:p>
    <w:p>
      <w:pPr>
        <w:pStyle w:val="BodyText"/>
        <w:spacing w:line="291" w:lineRule="exact"/>
        <w:ind w:left="2076"/>
      </w:pPr>
      <w:r>
        <w:rPr>
          <w:shd w:fill="D9D9D9" w:color="auto" w:val="clear"/>
        </w:rPr>
        <w:t>(4)投保人</w:t>
      </w:r>
      <w:r>
        <w:rPr>
          <w:rFonts w:ascii="微软雅黑" w:eastAsia="微软雅黑" w:hint="eastAsia"/>
          <w:b/>
          <w:shd w:fill="D9D9D9" w:color="auto" w:val="clear"/>
        </w:rPr>
        <w:t>斗殴</w:t>
      </w:r>
      <w:r>
        <w:rPr>
          <w:shd w:fill="D9D9D9" w:color="auto" w:val="clear"/>
        </w:rPr>
        <w:t>、吸食或注射毒品；</w:t>
      </w:r>
    </w:p>
    <w:p>
      <w:pPr>
        <w:pStyle w:val="BodyText"/>
        <w:spacing w:line="342" w:lineRule="exact"/>
        <w:ind w:left="2076"/>
      </w:pPr>
      <w:r>
        <w:rPr>
          <w:shd w:fill="D9D9D9" w:color="auto" w:val="clear"/>
        </w:rPr>
        <w:t>(5)投保人未遵医嘱，私自使用药物，但按使用说明的规定使用</w:t>
      </w:r>
      <w:r>
        <w:rPr>
          <w:rFonts w:ascii="微软雅黑" w:eastAsia="微软雅黑" w:hint="eastAsia"/>
          <w:b/>
          <w:shd w:fill="D9D9D9" w:color="auto" w:val="clear"/>
        </w:rPr>
        <w:t>非处方药</w:t>
      </w:r>
      <w:r>
        <w:rPr>
          <w:shd w:fill="D9D9D9" w:color="auto" w:val="clear"/>
        </w:rPr>
        <w:t>除外；</w:t>
      </w:r>
    </w:p>
    <w:p>
      <w:pPr>
        <w:spacing w:after="0" w:line="342" w:lineRule="exact"/>
        <w:sectPr>
          <w:type w:val="continuous"/>
          <w:pgSz w:w="11910" w:h="16840"/>
          <w:pgMar w:top="200" w:bottom="280" w:left="1220" w:right="1120"/>
        </w:sectPr>
      </w:pPr>
    </w:p>
    <w:p>
      <w:pPr>
        <w:pStyle w:val="BodyText"/>
        <w:spacing w:line="278" w:lineRule="auto" w:before="8"/>
        <w:ind w:left="2176" w:right="249"/>
      </w:pPr>
      <w:r>
        <w:rPr>
          <w:shd w:fill="D9D9D9" w:color="auto" w:val="clear"/>
        </w:rPr>
        <w:t>(6)投保人酒后驾驶，无合法有效驾驶证驾驶，或驾驶无有效行驶证的机动车；</w:t>
      </w:r>
      <w:r>
        <w:rPr/>
        <w:t> </w:t>
      </w:r>
      <w:r>
        <w:rPr>
          <w:shd w:fill="D9D9D9" w:color="auto" w:val="clear"/>
        </w:rPr>
        <w:t>(7)战争、军事冲突、暴乱或武装叛乱；</w:t>
      </w:r>
    </w:p>
    <w:p>
      <w:pPr>
        <w:pStyle w:val="BodyText"/>
        <w:spacing w:before="11"/>
        <w:ind w:left="2176"/>
      </w:pPr>
      <w:r>
        <w:rPr>
          <w:shd w:fill="D9D9D9" w:color="auto" w:val="clear"/>
        </w:rPr>
        <w:t>(8)核爆炸、核辐射或核污染。</w:t>
      </w:r>
    </w:p>
    <w:p>
      <w:pPr>
        <w:pStyle w:val="BodyText"/>
        <w:ind w:left="0"/>
        <w:rPr>
          <w:sz w:val="20"/>
        </w:rPr>
      </w:pPr>
    </w:p>
    <w:p>
      <w:pPr>
        <w:pStyle w:val="BodyText"/>
        <w:spacing w:before="1"/>
        <w:ind w:left="0"/>
        <w:rPr>
          <w:sz w:val="16"/>
        </w:rPr>
      </w:pPr>
    </w:p>
    <w:p>
      <w:pPr>
        <w:pStyle w:val="Heading2"/>
        <w:tabs>
          <w:tab w:pos="853" w:val="left" w:leader="none"/>
          <w:tab w:pos="9556" w:val="left" w:leader="none"/>
        </w:tabs>
        <w:spacing w:before="35"/>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3．</w:t>
        <w:tab/>
      </w:r>
      <w:r>
        <w:rPr>
          <w:w w:val="95"/>
          <w:shd w:fill="D3D3D3" w:color="auto" w:val="clear"/>
        </w:rPr>
        <w:t>如何申请领取保险金</w:t>
      </w:r>
      <w:r>
        <w:rPr>
          <w:shd w:fill="D3D3D3" w:color="auto" w:val="clear"/>
        </w:rPr>
        <w:tab/>
      </w:r>
    </w:p>
    <w:p>
      <w:pPr>
        <w:pStyle w:val="BodyText"/>
        <w:spacing w:before="7" w:after="1"/>
        <w:ind w:left="0"/>
        <w:rPr>
          <w:rFonts w:ascii="黑体"/>
          <w:b/>
          <w:sz w:val="18"/>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1347"/>
        <w:gridCol w:w="7536"/>
      </w:tblGrid>
      <w:tr>
        <w:trPr>
          <w:trHeight w:val="265" w:hRule="atLeast"/>
        </w:trPr>
        <w:tc>
          <w:tcPr>
            <w:tcW w:w="525" w:type="dxa"/>
          </w:tcPr>
          <w:p>
            <w:pPr>
              <w:pStyle w:val="TableParagraph"/>
              <w:spacing w:line="210" w:lineRule="exact"/>
              <w:ind w:left="50"/>
              <w:rPr>
                <w:rFonts w:ascii="黑体"/>
                <w:sz w:val="21"/>
              </w:rPr>
            </w:pPr>
            <w:r>
              <w:rPr>
                <w:rFonts w:ascii="黑体"/>
                <w:sz w:val="21"/>
              </w:rPr>
              <w:t>3.1</w:t>
            </w:r>
          </w:p>
        </w:tc>
        <w:tc>
          <w:tcPr>
            <w:tcW w:w="1347" w:type="dxa"/>
          </w:tcPr>
          <w:p>
            <w:pPr>
              <w:pStyle w:val="TableParagraph"/>
              <w:spacing w:line="210" w:lineRule="exact"/>
              <w:ind w:left="160"/>
              <w:rPr>
                <w:rFonts w:ascii="黑体" w:eastAsia="黑体" w:hint="eastAsia"/>
                <w:sz w:val="21"/>
              </w:rPr>
            </w:pPr>
            <w:r>
              <w:rPr>
                <w:rFonts w:ascii="黑体" w:eastAsia="黑体" w:hint="eastAsia"/>
                <w:sz w:val="21"/>
              </w:rPr>
              <w:t>受益人</w:t>
            </w:r>
          </w:p>
        </w:tc>
        <w:tc>
          <w:tcPr>
            <w:tcW w:w="7536" w:type="dxa"/>
          </w:tcPr>
          <w:p>
            <w:pPr>
              <w:pStyle w:val="TableParagraph"/>
              <w:spacing w:line="210" w:lineRule="exact"/>
              <w:ind w:left="136"/>
              <w:rPr>
                <w:sz w:val="21"/>
              </w:rPr>
            </w:pPr>
            <w:r>
              <w:rPr>
                <w:sz w:val="21"/>
              </w:rPr>
              <w:t>除另有指定外，重大疾病保险金、白血病额外保险金的受益人为被保险人本人。</w:t>
            </w:r>
          </w:p>
        </w:tc>
      </w:tr>
      <w:tr>
        <w:trPr>
          <w:trHeight w:val="391"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身故保险金的受益人与主险合同一致。</w:t>
            </w:r>
          </w:p>
        </w:tc>
      </w:tr>
      <w:tr>
        <w:trPr>
          <w:trHeight w:val="390" w:hRule="atLeast"/>
        </w:trPr>
        <w:tc>
          <w:tcPr>
            <w:tcW w:w="525" w:type="dxa"/>
          </w:tcPr>
          <w:p>
            <w:pPr>
              <w:pStyle w:val="TableParagraph"/>
              <w:spacing w:before="61"/>
              <w:ind w:left="50"/>
              <w:rPr>
                <w:rFonts w:ascii="黑体"/>
                <w:sz w:val="21"/>
              </w:rPr>
            </w:pPr>
            <w:r>
              <w:rPr>
                <w:rFonts w:ascii="黑体"/>
                <w:sz w:val="21"/>
              </w:rPr>
              <w:t>3.2</w:t>
            </w:r>
          </w:p>
        </w:tc>
        <w:tc>
          <w:tcPr>
            <w:tcW w:w="1347" w:type="dxa"/>
          </w:tcPr>
          <w:p>
            <w:pPr>
              <w:pStyle w:val="TableParagraph"/>
              <w:spacing w:before="61"/>
              <w:ind w:left="161"/>
              <w:rPr>
                <w:rFonts w:ascii="黑体" w:eastAsia="黑体" w:hint="eastAsia"/>
                <w:sz w:val="21"/>
              </w:rPr>
            </w:pPr>
            <w:r>
              <w:rPr>
                <w:rFonts w:ascii="黑体" w:eastAsia="黑体" w:hint="eastAsia"/>
                <w:sz w:val="21"/>
              </w:rPr>
              <w:t>保险金及豁</w:t>
            </w:r>
          </w:p>
        </w:tc>
        <w:tc>
          <w:tcPr>
            <w:tcW w:w="7536" w:type="dxa"/>
          </w:tcPr>
          <w:p>
            <w:pPr>
              <w:pStyle w:val="TableParagraph"/>
              <w:spacing w:before="61"/>
              <w:ind w:left="136"/>
              <w:rPr>
                <w:sz w:val="21"/>
              </w:rPr>
            </w:pPr>
            <w:r>
              <w:rPr>
                <w:sz w:val="21"/>
              </w:rPr>
              <w:t>在申请保险金时，请按照下列方式办理：</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免保险费申</w:t>
            </w:r>
          </w:p>
        </w:tc>
        <w:tc>
          <w:tcPr>
            <w:tcW w:w="7536" w:type="dxa"/>
          </w:tcPr>
          <w:p>
            <w:pPr>
              <w:pStyle w:val="TableParagraph"/>
              <w:rPr>
                <w:rFonts w:ascii="Times New Roman"/>
                <w:sz w:val="20"/>
              </w:rPr>
            </w:pPr>
          </w:p>
        </w:tc>
      </w:tr>
      <w:tr>
        <w:trPr>
          <w:trHeight w:val="391"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请</w:t>
            </w:r>
          </w:p>
        </w:tc>
        <w:tc>
          <w:tcPr>
            <w:tcW w:w="7536" w:type="dxa"/>
          </w:tcPr>
          <w:p>
            <w:pPr>
              <w:pStyle w:val="TableParagraph"/>
              <w:rPr>
                <w:rFonts w:ascii="Times New Roman"/>
                <w:sz w:val="20"/>
              </w:rPr>
            </w:pPr>
          </w:p>
        </w:tc>
      </w:tr>
      <w:tr>
        <w:trPr>
          <w:trHeight w:val="391" w:hRule="atLeast"/>
        </w:trPr>
        <w:tc>
          <w:tcPr>
            <w:tcW w:w="525" w:type="dxa"/>
          </w:tcPr>
          <w:p>
            <w:pPr>
              <w:pStyle w:val="TableParagraph"/>
              <w:rPr>
                <w:rFonts w:ascii="Times New Roman"/>
                <w:sz w:val="20"/>
              </w:rPr>
            </w:pPr>
          </w:p>
        </w:tc>
        <w:tc>
          <w:tcPr>
            <w:tcW w:w="1347" w:type="dxa"/>
          </w:tcPr>
          <w:p>
            <w:pPr>
              <w:pStyle w:val="TableParagraph"/>
              <w:spacing w:before="61"/>
              <w:ind w:left="161"/>
              <w:rPr>
                <w:rFonts w:ascii="黑体" w:eastAsia="黑体" w:hint="eastAsia"/>
                <w:sz w:val="21"/>
              </w:rPr>
            </w:pPr>
            <w:r>
              <w:rPr>
                <w:rFonts w:ascii="黑体" w:eastAsia="黑体" w:hint="eastAsia"/>
                <w:sz w:val="21"/>
              </w:rPr>
              <w:t>重大疾病保</w:t>
            </w:r>
          </w:p>
        </w:tc>
        <w:tc>
          <w:tcPr>
            <w:tcW w:w="7536" w:type="dxa"/>
          </w:tcPr>
          <w:p>
            <w:pPr>
              <w:pStyle w:val="TableParagraph"/>
              <w:spacing w:before="61"/>
              <w:ind w:left="136"/>
              <w:rPr>
                <w:sz w:val="21"/>
              </w:rPr>
            </w:pPr>
            <w:r>
              <w:rPr>
                <w:sz w:val="21"/>
              </w:rPr>
              <w:t>受益人须填写保险金给付申请书，并提供下列证明和资料：</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险金、白血</w:t>
            </w:r>
          </w:p>
        </w:tc>
        <w:tc>
          <w:tcPr>
            <w:tcW w:w="7536" w:type="dxa"/>
          </w:tcPr>
          <w:p>
            <w:pPr>
              <w:pStyle w:val="TableParagraph"/>
              <w:spacing w:line="265" w:lineRule="exact"/>
              <w:ind w:left="136"/>
              <w:rPr>
                <w:sz w:val="21"/>
              </w:rPr>
            </w:pPr>
            <w:r>
              <w:rPr>
                <w:sz w:val="21"/>
              </w:rPr>
              <w:t>(1)本附加险合同；</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病额外保险</w:t>
            </w:r>
          </w:p>
        </w:tc>
        <w:tc>
          <w:tcPr>
            <w:tcW w:w="7536" w:type="dxa"/>
          </w:tcPr>
          <w:p>
            <w:pPr>
              <w:pStyle w:val="TableParagraph"/>
              <w:spacing w:line="265" w:lineRule="exact"/>
              <w:ind w:left="136"/>
              <w:rPr>
                <w:sz w:val="21"/>
              </w:rPr>
            </w:pPr>
            <w:r>
              <w:rPr>
                <w:sz w:val="21"/>
              </w:rPr>
              <w:t>(2)受益人的有效身份证件；</w:t>
            </w:r>
          </w:p>
        </w:tc>
      </w:tr>
      <w:tr>
        <w:trPr>
          <w:trHeight w:val="320"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金申请</w:t>
            </w:r>
          </w:p>
        </w:tc>
        <w:tc>
          <w:tcPr>
            <w:tcW w:w="7536" w:type="dxa"/>
          </w:tcPr>
          <w:p>
            <w:pPr>
              <w:pStyle w:val="TableParagraph"/>
              <w:spacing w:line="265" w:lineRule="exact"/>
              <w:ind w:left="136"/>
              <w:rPr>
                <w:sz w:val="21"/>
              </w:rPr>
            </w:pPr>
            <w:r>
              <w:rPr>
                <w:sz w:val="21"/>
              </w:rPr>
              <w:t>(3)卫生行政部门认定的二级以上医院出具的附有病理显微镜检查、血液检验及</w:t>
            </w:r>
          </w:p>
        </w:tc>
      </w:tr>
      <w:tr>
        <w:trPr>
          <w:trHeight w:val="694"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56" w:lineRule="auto"/>
              <w:ind w:left="136" w:right="783"/>
              <w:rPr>
                <w:sz w:val="21"/>
              </w:rPr>
            </w:pPr>
            <w:r>
              <w:rPr>
                <w:sz w:val="21"/>
              </w:rPr>
              <w:t>其它科学方法检验报告的疾病诊断证明书；                       </w:t>
            </w:r>
            <w:r>
              <w:rPr>
                <w:spacing w:val="-1"/>
                <w:sz w:val="21"/>
              </w:rPr>
              <w:t>(4)所能提供的与确认保险事故的性质、原因等有关的其他证明和资料。</w:t>
            </w:r>
          </w:p>
        </w:tc>
      </w:tr>
      <w:tr>
        <w:trPr>
          <w:trHeight w:val="399" w:hRule="atLeast"/>
        </w:trPr>
        <w:tc>
          <w:tcPr>
            <w:tcW w:w="525" w:type="dxa"/>
          </w:tcPr>
          <w:p>
            <w:pPr>
              <w:pStyle w:val="TableParagraph"/>
              <w:rPr>
                <w:rFonts w:ascii="Times New Roman"/>
                <w:sz w:val="20"/>
              </w:rPr>
            </w:pPr>
          </w:p>
        </w:tc>
        <w:tc>
          <w:tcPr>
            <w:tcW w:w="1347" w:type="dxa"/>
          </w:tcPr>
          <w:p>
            <w:pPr>
              <w:pStyle w:val="TableParagraph"/>
              <w:spacing w:before="70"/>
              <w:ind w:left="161"/>
              <w:rPr>
                <w:rFonts w:ascii="黑体" w:eastAsia="黑体" w:hint="eastAsia"/>
                <w:sz w:val="21"/>
              </w:rPr>
            </w:pPr>
            <w:r>
              <w:rPr>
                <w:rFonts w:ascii="黑体" w:eastAsia="黑体" w:hint="eastAsia"/>
                <w:sz w:val="21"/>
              </w:rPr>
              <w:t>身故保险金</w:t>
            </w:r>
          </w:p>
        </w:tc>
        <w:tc>
          <w:tcPr>
            <w:tcW w:w="7536" w:type="dxa"/>
          </w:tcPr>
          <w:p>
            <w:pPr>
              <w:pStyle w:val="TableParagraph"/>
              <w:spacing w:before="70"/>
              <w:ind w:left="136"/>
              <w:rPr>
                <w:sz w:val="21"/>
              </w:rPr>
            </w:pPr>
            <w:r>
              <w:rPr>
                <w:sz w:val="21"/>
              </w:rPr>
              <w:t>受益人须填写保险金给付申请书，并提供下列证明和资料：</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申请</w:t>
            </w:r>
          </w:p>
        </w:tc>
        <w:tc>
          <w:tcPr>
            <w:tcW w:w="7536" w:type="dxa"/>
          </w:tcPr>
          <w:p>
            <w:pPr>
              <w:pStyle w:val="TableParagraph"/>
              <w:spacing w:line="265" w:lineRule="exact"/>
              <w:ind w:left="136"/>
              <w:rPr>
                <w:sz w:val="21"/>
              </w:rPr>
            </w:pPr>
            <w:r>
              <w:rPr>
                <w:sz w:val="21"/>
              </w:rPr>
              <w:t>(1)本附加险合同；</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(2)受益人的有效身份证件；</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58"/>
              <w:rPr>
                <w:sz w:val="21"/>
              </w:rPr>
            </w:pPr>
            <w:r>
              <w:rPr>
                <w:sz w:val="21"/>
              </w:rPr>
              <w:t>(3)卫生行政部门认定的医疗机构、公安部门或其他相关机构出具的被保险人的</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58"/>
              <w:rPr>
                <w:sz w:val="21"/>
              </w:rPr>
            </w:pPr>
            <w:r>
              <w:rPr>
                <w:sz w:val="21"/>
              </w:rPr>
              <w:t>死亡证明；</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(4)被保险人的户籍注销证明；</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(5)所能提供的与确认保险事故的性质、原因等有关的其他证明和资料。</w:t>
            </w:r>
          </w:p>
        </w:tc>
      </w:tr>
      <w:tr>
        <w:trPr>
          <w:trHeight w:val="39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保险金作为被保险人遗产时，必须提供可证明合法继承权的相关权利文件。</w:t>
            </w:r>
          </w:p>
        </w:tc>
      </w:tr>
      <w:tr>
        <w:trPr>
          <w:trHeight w:val="391" w:hRule="atLeast"/>
        </w:trPr>
        <w:tc>
          <w:tcPr>
            <w:tcW w:w="525" w:type="dxa"/>
          </w:tcPr>
          <w:p>
            <w:pPr>
              <w:pStyle w:val="TableParagraph"/>
              <w:rPr>
                <w:rFonts w:ascii="Times New Roman"/>
                <w:sz w:val="20"/>
              </w:rPr>
            </w:pPr>
          </w:p>
        </w:tc>
        <w:tc>
          <w:tcPr>
            <w:tcW w:w="1347" w:type="dxa"/>
          </w:tcPr>
          <w:p>
            <w:pPr>
              <w:pStyle w:val="TableParagraph"/>
              <w:spacing w:before="61"/>
              <w:ind w:left="161"/>
              <w:rPr>
                <w:rFonts w:ascii="黑体" w:eastAsia="黑体" w:hint="eastAsia"/>
                <w:sz w:val="21"/>
              </w:rPr>
            </w:pPr>
            <w:r>
              <w:rPr>
                <w:rFonts w:ascii="黑体" w:eastAsia="黑体" w:hint="eastAsia"/>
                <w:sz w:val="21"/>
              </w:rPr>
              <w:t>豁免保险费</w:t>
            </w:r>
          </w:p>
        </w:tc>
        <w:tc>
          <w:tcPr>
            <w:tcW w:w="7536" w:type="dxa"/>
          </w:tcPr>
          <w:p>
            <w:pPr>
              <w:pStyle w:val="TableParagraph"/>
              <w:spacing w:before="61"/>
              <w:ind w:left="136"/>
              <w:rPr>
                <w:sz w:val="21"/>
              </w:rPr>
            </w:pPr>
            <w:r>
              <w:rPr>
                <w:sz w:val="21"/>
              </w:rPr>
              <w:t>豁免保险费的受益人为被保险人，受益人须填写保险金给付申请书，并提供下列</w:t>
            </w:r>
          </w:p>
        </w:tc>
      </w:tr>
      <w:tr>
        <w:trPr>
          <w:trHeight w:val="320"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申请</w:t>
            </w:r>
          </w:p>
        </w:tc>
        <w:tc>
          <w:tcPr>
            <w:tcW w:w="7536" w:type="dxa"/>
          </w:tcPr>
          <w:p>
            <w:pPr>
              <w:pStyle w:val="TableParagraph"/>
              <w:spacing w:line="265" w:lineRule="exact"/>
              <w:ind w:left="136"/>
              <w:rPr>
                <w:sz w:val="21"/>
              </w:rPr>
            </w:pPr>
            <w:r>
              <w:rPr>
                <w:sz w:val="21"/>
              </w:rPr>
              <w:t>证明和资料：</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(1)本附加险合同；</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(2)受益人的有效身份证件；</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(3)申请身故豁免保险费的，卫生行政部门认定的医疗机构、公安部门或其他相</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关机构出具的投保人的死亡证明，以及投保人的户籍注销证明；</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(4)申请全残豁免保险费的，卫生行政部门认定的二级以上医院或者由双方认可</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的医疗机构（或鉴定机构）出具的投保人残疾程度鉴定证明文件；</w:t>
            </w:r>
          </w:p>
        </w:tc>
      </w:tr>
      <w:tr>
        <w:trPr>
          <w:trHeight w:val="391"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(5)所能提供的与确认保险事故的性质、原因等有关的其他证明和资料。</w:t>
            </w:r>
          </w:p>
        </w:tc>
      </w:tr>
      <w:tr>
        <w:trPr>
          <w:trHeight w:val="39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before="61"/>
              <w:ind w:left="158"/>
              <w:rPr>
                <w:sz w:val="21"/>
              </w:rPr>
            </w:pPr>
            <w:r>
              <w:rPr>
                <w:sz w:val="21"/>
              </w:rPr>
              <w:t>以上各项保险金申请及豁免保险费申请的证明和资料不完整的，我们将及时一次</w:t>
            </w:r>
          </w:p>
        </w:tc>
      </w:tr>
      <w:tr>
        <w:trPr>
          <w:trHeight w:val="39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58"/>
              <w:rPr>
                <w:sz w:val="21"/>
              </w:rPr>
            </w:pPr>
            <w:r>
              <w:rPr>
                <w:sz w:val="21"/>
              </w:rPr>
              <w:t>性通知受益人补充提供有关证明和资料。</w:t>
            </w:r>
          </w:p>
        </w:tc>
      </w:tr>
      <w:tr>
        <w:trPr>
          <w:trHeight w:val="391" w:hRule="atLeast"/>
        </w:trPr>
        <w:tc>
          <w:tcPr>
            <w:tcW w:w="525" w:type="dxa"/>
          </w:tcPr>
          <w:p>
            <w:pPr>
              <w:pStyle w:val="TableParagraph"/>
              <w:spacing w:before="61"/>
              <w:ind w:left="50"/>
              <w:rPr>
                <w:rFonts w:ascii="黑体"/>
                <w:sz w:val="21"/>
              </w:rPr>
            </w:pPr>
            <w:r>
              <w:rPr>
                <w:rFonts w:ascii="黑体"/>
                <w:sz w:val="21"/>
              </w:rPr>
              <w:t>3.3</w:t>
            </w:r>
          </w:p>
        </w:tc>
        <w:tc>
          <w:tcPr>
            <w:tcW w:w="1347" w:type="dxa"/>
          </w:tcPr>
          <w:p>
            <w:pPr>
              <w:pStyle w:val="TableParagraph"/>
              <w:spacing w:before="61"/>
              <w:ind w:left="161"/>
              <w:rPr>
                <w:rFonts w:ascii="黑体" w:eastAsia="黑体" w:hint="eastAsia"/>
                <w:sz w:val="21"/>
              </w:rPr>
            </w:pPr>
            <w:r>
              <w:rPr>
                <w:rFonts w:ascii="黑体" w:eastAsia="黑体" w:hint="eastAsia"/>
                <w:sz w:val="21"/>
              </w:rPr>
              <w:t>保险金给付</w:t>
            </w:r>
          </w:p>
        </w:tc>
        <w:tc>
          <w:tcPr>
            <w:tcW w:w="7536" w:type="dxa"/>
          </w:tcPr>
          <w:p>
            <w:pPr>
              <w:pStyle w:val="TableParagraph"/>
              <w:spacing w:before="61"/>
              <w:ind w:left="136"/>
              <w:rPr>
                <w:sz w:val="21"/>
              </w:rPr>
            </w:pPr>
            <w:r>
              <w:rPr>
                <w:sz w:val="21"/>
              </w:rPr>
              <w:t>我们在收到保险金给付申请书及合同约定的证明和资料后，将在 5 日内作出核</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定；情形复杂的，在 30 日内作出核定。对属于保险责任的，我们在与受益人达</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536" w:type="dxa"/>
          </w:tcPr>
          <w:p>
            <w:pPr>
              <w:pStyle w:val="TableParagraph"/>
              <w:spacing w:line="265" w:lineRule="exact"/>
              <w:ind w:left="136"/>
              <w:rPr>
                <w:sz w:val="21"/>
              </w:rPr>
            </w:pPr>
            <w:r>
              <w:rPr>
                <w:sz w:val="21"/>
              </w:rPr>
              <w:t>成给付保险金的协议后 10 日内，履行给付保险金义务。</w:t>
            </w:r>
          </w:p>
        </w:tc>
      </w:tr>
      <w:tr>
        <w:trPr>
          <w:trHeight w:val="264" w:hRule="atLeast"/>
        </w:trPr>
        <w:tc>
          <w:tcPr>
            <w:tcW w:w="525" w:type="dxa"/>
          </w:tcPr>
          <w:p>
            <w:pPr>
              <w:pStyle w:val="TableParagraph"/>
              <w:rPr>
                <w:rFonts w:ascii="Times New Roman"/>
                <w:sz w:val="18"/>
              </w:rPr>
            </w:pPr>
          </w:p>
        </w:tc>
        <w:tc>
          <w:tcPr>
            <w:tcW w:w="1347" w:type="dxa"/>
          </w:tcPr>
          <w:p>
            <w:pPr>
              <w:pStyle w:val="TableParagraph"/>
              <w:rPr>
                <w:rFonts w:ascii="Times New Roman"/>
                <w:sz w:val="18"/>
              </w:rPr>
            </w:pPr>
          </w:p>
        </w:tc>
        <w:tc>
          <w:tcPr>
            <w:tcW w:w="7536" w:type="dxa"/>
          </w:tcPr>
          <w:p>
            <w:pPr>
              <w:pStyle w:val="TableParagraph"/>
              <w:spacing w:line="245" w:lineRule="exact"/>
              <w:ind w:left="136"/>
              <w:rPr>
                <w:sz w:val="21"/>
              </w:rPr>
            </w:pPr>
            <w:r>
              <w:rPr>
                <w:sz w:val="21"/>
              </w:rPr>
              <w:t>我们未及时履行前款规定义务的，除支付保险金外，应当赔偿受益人因此受到的</w:t>
            </w:r>
          </w:p>
        </w:tc>
      </w:tr>
    </w:tbl>
    <w:p>
      <w:pPr>
        <w:spacing w:after="0" w:line="245" w:lineRule="exact"/>
        <w:rPr>
          <w:sz w:val="21"/>
        </w:rPr>
        <w:sectPr>
          <w:pgSz w:w="11910" w:h="16840"/>
          <w:pgMar w:top="1420" w:bottom="280" w:left="1120" w:right="1100"/>
        </w:sectPr>
      </w:pPr>
    </w:p>
    <w:p>
      <w:pPr>
        <w:pStyle w:val="BodyText"/>
        <w:spacing w:line="278" w:lineRule="auto" w:before="8"/>
        <w:ind w:left="2176" w:right="215"/>
        <w:jc w:val="both"/>
      </w:pPr>
      <w:r>
        <w:rPr>
          <w:spacing w:val="-10"/>
        </w:rPr>
        <w:t>损失。前述“损失”是指根据中国人民银行公布的同时期的人民币活期存款基准利率计算的利息损失。</w:t>
      </w:r>
    </w:p>
    <w:p>
      <w:pPr>
        <w:pStyle w:val="BodyText"/>
        <w:spacing w:line="280" w:lineRule="auto" w:before="11"/>
        <w:ind w:left="2176" w:right="215"/>
        <w:jc w:val="both"/>
      </w:pPr>
      <w:r>
        <w:rPr>
          <w:spacing w:val="-11"/>
        </w:rPr>
        <w:t>对不属于保险责任的，我们自作出核定之日起 </w:t>
      </w:r>
      <w:r>
        <w:rPr/>
        <w:t>3</w:t>
      </w:r>
      <w:r>
        <w:rPr>
          <w:spacing w:val="-8"/>
        </w:rPr>
        <w:t> 日内向受益人发出拒绝给付保险金通知书并说明理由。</w:t>
      </w:r>
    </w:p>
    <w:p>
      <w:pPr>
        <w:pStyle w:val="BodyText"/>
        <w:spacing w:line="280" w:lineRule="auto" w:before="8"/>
        <w:ind w:left="2176" w:right="215"/>
        <w:jc w:val="both"/>
      </w:pPr>
      <w:r>
        <w:rPr>
          <w:spacing w:val="-3"/>
        </w:rPr>
        <w:t>我们在收到保险金给付申请书及有关证明和资料之日起 </w:t>
      </w:r>
      <w:r>
        <w:rPr/>
        <w:t>60</w:t>
      </w:r>
      <w:r>
        <w:rPr>
          <w:spacing w:val="-8"/>
        </w:rPr>
        <w:t> 日内，对给付保险金</w:t>
      </w:r>
      <w:r>
        <w:rPr>
          <w:spacing w:val="-11"/>
        </w:rPr>
        <w:t>的数额不能确定的，根据已有证明和资料可以确定的数额先予支付；我们最终确定给付保险金的数额后，将支付相应的差额。</w:t>
      </w:r>
    </w:p>
    <w:p>
      <w:pPr>
        <w:pStyle w:val="BodyText"/>
        <w:spacing w:before="11"/>
        <w:ind w:left="0"/>
        <w:rPr>
          <w:sz w:val="8"/>
        </w:rPr>
      </w:pPr>
    </w:p>
    <w:p>
      <w:pPr>
        <w:spacing w:after="0"/>
        <w:rPr>
          <w:sz w:val="8"/>
        </w:rPr>
        <w:sectPr>
          <w:pgSz w:w="11910" w:h="16840"/>
          <w:pgMar w:top="1420" w:bottom="280" w:left="1120" w:right="1120"/>
        </w:sectPr>
      </w:pPr>
    </w:p>
    <w:p>
      <w:pPr>
        <w:pStyle w:val="ListParagraph"/>
        <w:numPr>
          <w:ilvl w:val="1"/>
          <w:numId w:val="4"/>
        </w:numPr>
        <w:tabs>
          <w:tab w:pos="854" w:val="left" w:leader="none"/>
          <w:tab w:pos="855" w:val="left" w:leader="none"/>
        </w:tabs>
        <w:spacing w:line="240" w:lineRule="auto" w:before="35" w:after="0"/>
        <w:ind w:left="2176" w:right="0" w:hanging="1958"/>
        <w:jc w:val="left"/>
        <w:rPr>
          <w:rFonts w:ascii="黑体" w:eastAsia="黑体" w:hint="eastAsia"/>
          <w:sz w:val="21"/>
        </w:rPr>
      </w:pPr>
      <w:r>
        <w:rPr>
          <w:rFonts w:ascii="黑体" w:eastAsia="黑体" w:hint="eastAsia"/>
          <w:spacing w:val="-1"/>
          <w:sz w:val="21"/>
        </w:rPr>
        <w:t>宣告死亡处</w:t>
      </w:r>
    </w:p>
    <w:p>
      <w:pPr>
        <w:pStyle w:val="BodyText"/>
        <w:spacing w:before="44"/>
        <w:ind w:left="14"/>
        <w:jc w:val="center"/>
        <w:rPr>
          <w:rFonts w:ascii="黑体" w:eastAsia="黑体" w:hint="eastAsia"/>
        </w:rPr>
      </w:pPr>
      <w:r>
        <w:rPr>
          <w:rFonts w:ascii="黑体" w:eastAsia="黑体" w:hint="eastAsia"/>
        </w:rPr>
        <w:t>理</w:t>
      </w:r>
    </w:p>
    <w:p>
      <w:pPr>
        <w:pStyle w:val="BodyText"/>
        <w:spacing w:line="278" w:lineRule="auto" w:before="35"/>
        <w:ind w:left="218" w:right="215"/>
      </w:pPr>
      <w:r>
        <w:rPr/>
        <w:br w:type="column"/>
      </w:r>
      <w:r>
        <w:rPr>
          <w:spacing w:val="-4"/>
        </w:rPr>
        <w:t>如果被保险人在本附加险合同有效期内失踪，而且被法院宣告死亡，我们以法院</w:t>
      </w:r>
      <w:r>
        <w:rPr>
          <w:spacing w:val="-8"/>
        </w:rPr>
        <w:t>判决宣告死亡之日作为被保险人的死亡时间，符合本附加险合同约定的以死亡为保险金给付条件的，按本附加险合同的约定给付保险金，本附加险合同终止。</w:t>
      </w:r>
      <w:r>
        <w:rPr>
          <w:spacing w:val="-11"/>
        </w:rPr>
        <w:t>如果被保险人在宣告死亡后重新出现或者确知其没有死亡，保险金受益人应于知</w:t>
      </w:r>
      <w:r>
        <w:rPr>
          <w:spacing w:val="-18"/>
        </w:rPr>
        <w:t>道或应当知道后 </w:t>
      </w:r>
      <w:r>
        <w:rPr/>
        <w:t>30</w:t>
      </w:r>
      <w:r>
        <w:rPr>
          <w:spacing w:val="-9"/>
        </w:rPr>
        <w:t> 日内向我们退还已给付的保险金，退还后本附加险合同的效力由我们和您依法协商确定。</w:t>
      </w:r>
    </w:p>
    <w:p>
      <w:pPr>
        <w:spacing w:after="0" w:line="278" w:lineRule="auto"/>
        <w:sectPr>
          <w:type w:val="continuous"/>
          <w:pgSz w:w="11910" w:h="16840"/>
          <w:pgMar w:top="200" w:bottom="280" w:left="1120" w:right="1120"/>
          <w:cols w:num="2" w:equalWidth="0">
            <w:col w:w="1904" w:space="54"/>
            <w:col w:w="7712"/>
          </w:cols>
        </w:sectPr>
      </w:pPr>
    </w:p>
    <w:p>
      <w:pPr>
        <w:pStyle w:val="BodyText"/>
        <w:ind w:left="0"/>
        <w:rPr>
          <w:sz w:val="9"/>
        </w:rPr>
      </w:pPr>
    </w:p>
    <w:p>
      <w:pPr>
        <w:pStyle w:val="ListParagraph"/>
        <w:numPr>
          <w:ilvl w:val="1"/>
          <w:numId w:val="4"/>
        </w:numPr>
        <w:tabs>
          <w:tab w:pos="853" w:val="left" w:leader="none"/>
          <w:tab w:pos="854" w:val="left" w:leader="none"/>
          <w:tab w:pos="2176" w:val="left" w:leader="none"/>
        </w:tabs>
        <w:spacing w:line="280" w:lineRule="auto" w:before="35" w:after="0"/>
        <w:ind w:left="2176" w:right="215" w:hanging="1958"/>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80"/>
          <w:sz w:val="21"/>
        </w:rPr>
        <w:t>，</w:t>
      </w:r>
      <w:r>
        <w:rPr>
          <w:sz w:val="21"/>
        </w:rPr>
        <w:t>自其知道或应当知道保险事故发生之日起计算。</w:t>
      </w:r>
    </w:p>
    <w:p>
      <w:pPr>
        <w:pStyle w:val="BodyText"/>
        <w:spacing w:before="4"/>
        <w:ind w:left="0"/>
        <w:rPr>
          <w:sz w:val="8"/>
        </w:rPr>
      </w:pPr>
    </w:p>
    <w:p>
      <w:pPr>
        <w:pStyle w:val="Heading2"/>
        <w:tabs>
          <w:tab w:pos="853" w:val="left" w:leader="none"/>
          <w:tab w:pos="9556" w:val="left" w:leader="none"/>
        </w:tabs>
        <w:spacing w:before="42"/>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4．</w:t>
        <w:tab/>
      </w:r>
      <w:r>
        <w:rPr>
          <w:w w:val="95"/>
          <w:shd w:fill="D3D3D3" w:color="auto" w:val="clear"/>
        </w:rPr>
        <w:t>如何支付保险费</w:t>
      </w:r>
      <w:r>
        <w:rPr>
          <w:shd w:fill="D3D3D3" w:color="auto" w:val="clear"/>
        </w:rPr>
        <w:tab/>
      </w:r>
    </w:p>
    <w:p>
      <w:pPr>
        <w:pStyle w:val="BodyText"/>
        <w:spacing w:before="12"/>
        <w:ind w:left="0"/>
        <w:rPr>
          <w:rFonts w:ascii="黑体"/>
          <w:b/>
          <w:sz w:val="10"/>
        </w:rPr>
      </w:pPr>
    </w:p>
    <w:p>
      <w:pPr>
        <w:spacing w:after="0"/>
        <w:rPr>
          <w:rFonts w:ascii="黑体"/>
          <w:sz w:val="10"/>
        </w:rPr>
        <w:sectPr>
          <w:type w:val="continuous"/>
          <w:pgSz w:w="11910" w:h="16840"/>
          <w:pgMar w:top="200" w:bottom="280" w:left="1120" w:right="1120"/>
        </w:sectPr>
      </w:pPr>
    </w:p>
    <w:p>
      <w:pPr>
        <w:pStyle w:val="ListParagraph"/>
        <w:numPr>
          <w:ilvl w:val="1"/>
          <w:numId w:val="5"/>
        </w:numPr>
        <w:tabs>
          <w:tab w:pos="854" w:val="left" w:leader="none"/>
          <w:tab w:pos="855" w:val="left" w:leader="none"/>
        </w:tabs>
        <w:spacing w:line="240" w:lineRule="auto" w:before="35" w:after="0"/>
        <w:ind w:left="854" w:right="0" w:hanging="637"/>
        <w:jc w:val="left"/>
        <w:rPr>
          <w:rFonts w:ascii="黑体" w:eastAsia="黑体" w:hint="eastAsia"/>
          <w:sz w:val="21"/>
        </w:rPr>
      </w:pPr>
      <w:r>
        <w:rPr>
          <w:rFonts w:ascii="黑体" w:eastAsia="黑体" w:hint="eastAsia"/>
          <w:spacing w:val="-1"/>
          <w:sz w:val="21"/>
        </w:rPr>
        <w:t>保险费的支</w:t>
      </w:r>
    </w:p>
    <w:p>
      <w:pPr>
        <w:pStyle w:val="BodyText"/>
        <w:spacing w:before="45"/>
        <w:ind w:left="14"/>
        <w:jc w:val="center"/>
        <w:rPr>
          <w:rFonts w:ascii="黑体" w:eastAsia="黑体" w:hint="eastAsia"/>
        </w:rPr>
      </w:pPr>
      <w:r>
        <w:rPr>
          <w:rFonts w:ascii="黑体" w:eastAsia="黑体" w:hint="eastAsia"/>
        </w:rPr>
        <w:t>付</w:t>
      </w:r>
    </w:p>
    <w:p>
      <w:pPr>
        <w:pStyle w:val="BodyText"/>
        <w:spacing w:line="280" w:lineRule="auto" w:before="35"/>
        <w:ind w:left="217" w:right="210"/>
      </w:pPr>
      <w:r>
        <w:rPr/>
        <w:br w:type="column"/>
      </w:r>
      <w:r>
        <w:rPr/>
        <w:t>本附加险合同保险费的交费方式、交费期间及保险费约定支付日与主险合同一致。</w:t>
      </w:r>
    </w:p>
    <w:p>
      <w:pPr>
        <w:spacing w:after="0" w:line="280" w:lineRule="auto"/>
        <w:sectPr>
          <w:type w:val="continuous"/>
          <w:pgSz w:w="11910" w:h="16840"/>
          <w:pgMar w:top="200" w:bottom="280" w:left="1120" w:right="1120"/>
          <w:cols w:num="2" w:equalWidth="0">
            <w:col w:w="1904" w:space="54"/>
            <w:col w:w="7712"/>
          </w:cols>
        </w:sectPr>
      </w:pPr>
    </w:p>
    <w:p>
      <w:pPr>
        <w:pStyle w:val="BodyText"/>
        <w:spacing w:before="11"/>
        <w:ind w:left="0"/>
        <w:rPr>
          <w:sz w:val="8"/>
        </w:rPr>
      </w:pPr>
    </w:p>
    <w:p>
      <w:pPr>
        <w:spacing w:after="0"/>
        <w:rPr>
          <w:sz w:val="8"/>
        </w:rPr>
        <w:sectPr>
          <w:type w:val="continuous"/>
          <w:pgSz w:w="11910" w:h="16840"/>
          <w:pgMar w:top="200" w:bottom="280" w:left="1120" w:right="1120"/>
        </w:sectPr>
      </w:pPr>
    </w:p>
    <w:p>
      <w:pPr>
        <w:pStyle w:val="ListParagraph"/>
        <w:numPr>
          <w:ilvl w:val="1"/>
          <w:numId w:val="5"/>
        </w:numPr>
        <w:tabs>
          <w:tab w:pos="854" w:val="left" w:leader="none"/>
          <w:tab w:pos="855" w:val="left" w:leader="none"/>
        </w:tabs>
        <w:spacing w:line="278" w:lineRule="auto" w:before="35" w:after="0"/>
        <w:ind w:left="854" w:right="0" w:hanging="637"/>
        <w:jc w:val="left"/>
        <w:rPr>
          <w:rFonts w:ascii="黑体" w:eastAsia="黑体" w:hint="eastAsia"/>
          <w:sz w:val="21"/>
        </w:rPr>
      </w:pPr>
      <w:r>
        <w:rPr>
          <w:rFonts w:ascii="黑体" w:eastAsia="黑体" w:hint="eastAsia"/>
          <w:spacing w:val="-1"/>
          <w:sz w:val="21"/>
        </w:rPr>
        <w:t>保险费率的调整</w:t>
      </w:r>
    </w:p>
    <w:p>
      <w:pPr>
        <w:pStyle w:val="BodyText"/>
        <w:spacing w:line="278" w:lineRule="auto" w:before="35"/>
        <w:ind w:left="217" w:right="136"/>
      </w:pPr>
      <w:r>
        <w:rPr/>
        <w:br w:type="column"/>
      </w:r>
      <w:r>
        <w:rPr/>
        <w:t>当我们厘定费率时采用的预定重大疾病发生率与实际重大疾病发生率发生偏离， </w:t>
      </w:r>
      <w:r>
        <w:rPr>
          <w:spacing w:val="-6"/>
        </w:rPr>
        <w:t>足以影响保险费率水平的，我们有权调整保险费率。保险费率的调整针对所有被保险人或同一投保年龄的所有被保险人。</w:t>
      </w:r>
    </w:p>
    <w:p>
      <w:pPr>
        <w:pStyle w:val="BodyText"/>
        <w:spacing w:line="278" w:lineRule="auto" w:before="11"/>
        <w:ind w:left="217" w:right="215"/>
      </w:pPr>
      <w:r>
        <w:rPr>
          <w:spacing w:val="-6"/>
        </w:rPr>
        <w:t>我们进行保险费率调整后，您应按调整后的保险费率支付续期保险费，保险费率调整前您已支付的保险费不受影响。</w:t>
      </w:r>
    </w:p>
    <w:p>
      <w:pPr>
        <w:pStyle w:val="BodyText"/>
        <w:spacing w:line="280" w:lineRule="auto" w:before="11"/>
        <w:ind w:left="217" w:right="215"/>
      </w:pPr>
      <w:r>
        <w:rPr>
          <w:spacing w:val="-6"/>
        </w:rPr>
        <w:t>我们调整保险费率的，将及时通知您。您不接受保险费率调整的，可向我们申请解除合同。</w:t>
      </w:r>
    </w:p>
    <w:p>
      <w:pPr>
        <w:spacing w:after="0" w:line="280" w:lineRule="auto"/>
        <w:sectPr>
          <w:type w:val="continuous"/>
          <w:pgSz w:w="11910" w:h="16840"/>
          <w:pgMar w:top="200" w:bottom="280" w:left="1120" w:right="1120"/>
          <w:cols w:num="2" w:equalWidth="0">
            <w:col w:w="1904" w:space="54"/>
            <w:col w:w="7712"/>
          </w:cols>
        </w:sectPr>
      </w:pPr>
    </w:p>
    <w:p>
      <w:pPr>
        <w:pStyle w:val="BodyText"/>
        <w:spacing w:before="4"/>
        <w:ind w:left="0"/>
        <w:rPr>
          <w:sz w:val="8"/>
        </w:rPr>
      </w:pPr>
    </w:p>
    <w:p>
      <w:pPr>
        <w:pStyle w:val="Heading2"/>
        <w:tabs>
          <w:tab w:pos="853" w:val="left" w:leader="none"/>
          <w:tab w:pos="9556" w:val="left" w:leader="none"/>
        </w:tabs>
        <w:spacing w:before="42"/>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5．</w:t>
        <w:tab/>
      </w:r>
      <w:r>
        <w:rPr>
          <w:w w:val="95"/>
          <w:shd w:fill="D3D3D3" w:color="auto" w:val="clear"/>
        </w:rPr>
        <w:t>如何解除保险合同</w:t>
      </w:r>
      <w:r>
        <w:rPr>
          <w:shd w:fill="D3D3D3" w:color="auto" w:val="clear"/>
        </w:rPr>
        <w:tab/>
      </w:r>
    </w:p>
    <w:p>
      <w:pPr>
        <w:pStyle w:val="BodyText"/>
        <w:spacing w:before="7"/>
        <w:ind w:left="0"/>
        <w:rPr>
          <w:rFonts w:ascii="黑体"/>
          <w:b/>
          <w:sz w:val="18"/>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1347"/>
        <w:gridCol w:w="7457"/>
      </w:tblGrid>
      <w:tr>
        <w:trPr>
          <w:trHeight w:val="265" w:hRule="atLeast"/>
        </w:trPr>
        <w:tc>
          <w:tcPr>
            <w:tcW w:w="525" w:type="dxa"/>
          </w:tcPr>
          <w:p>
            <w:pPr>
              <w:pStyle w:val="TableParagraph"/>
              <w:spacing w:line="210" w:lineRule="exact"/>
              <w:ind w:left="50"/>
              <w:rPr>
                <w:rFonts w:ascii="黑体"/>
                <w:sz w:val="21"/>
              </w:rPr>
            </w:pPr>
            <w:r>
              <w:rPr>
                <w:rFonts w:ascii="黑体"/>
                <w:sz w:val="21"/>
              </w:rPr>
              <w:t>5.1</w:t>
            </w:r>
          </w:p>
        </w:tc>
        <w:tc>
          <w:tcPr>
            <w:tcW w:w="1347" w:type="dxa"/>
          </w:tcPr>
          <w:p>
            <w:pPr>
              <w:pStyle w:val="TableParagraph"/>
              <w:spacing w:line="210" w:lineRule="exact"/>
              <w:ind w:left="161"/>
              <w:rPr>
                <w:rFonts w:ascii="黑体" w:eastAsia="黑体" w:hint="eastAsia"/>
                <w:sz w:val="21"/>
              </w:rPr>
            </w:pPr>
            <w:r>
              <w:rPr>
                <w:rFonts w:ascii="黑体" w:eastAsia="黑体" w:hint="eastAsia"/>
                <w:sz w:val="21"/>
              </w:rPr>
              <w:t>您解除合同</w:t>
            </w:r>
          </w:p>
        </w:tc>
        <w:tc>
          <w:tcPr>
            <w:tcW w:w="7457" w:type="dxa"/>
          </w:tcPr>
          <w:p>
            <w:pPr>
              <w:pStyle w:val="TableParagraph"/>
              <w:spacing w:line="210" w:lineRule="exact"/>
              <w:ind w:left="136"/>
              <w:rPr>
                <w:sz w:val="21"/>
              </w:rPr>
            </w:pPr>
            <w:r>
              <w:rPr>
                <w:spacing w:val="-5"/>
                <w:sz w:val="21"/>
              </w:rPr>
              <w:t>如您在犹豫期后申请解除本附加险合同，请填写解除合同申请书并向我们提供下</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的手续及风</w:t>
            </w:r>
          </w:p>
        </w:tc>
        <w:tc>
          <w:tcPr>
            <w:tcW w:w="7457" w:type="dxa"/>
          </w:tcPr>
          <w:p>
            <w:pPr>
              <w:pStyle w:val="TableParagraph"/>
              <w:spacing w:line="265" w:lineRule="exact"/>
              <w:ind w:left="136"/>
              <w:rPr>
                <w:sz w:val="21"/>
              </w:rPr>
            </w:pPr>
            <w:r>
              <w:rPr>
                <w:sz w:val="21"/>
              </w:rPr>
              <w:t>列资料：</w:t>
            </w:r>
          </w:p>
        </w:tc>
      </w:tr>
      <w:tr>
        <w:trPr>
          <w:trHeight w:val="319" w:hRule="atLeast"/>
        </w:trPr>
        <w:tc>
          <w:tcPr>
            <w:tcW w:w="525" w:type="dxa"/>
          </w:tcPr>
          <w:p>
            <w:pPr>
              <w:pStyle w:val="TableParagraph"/>
              <w:rPr>
                <w:rFonts w:ascii="Times New Roman"/>
                <w:sz w:val="20"/>
              </w:rPr>
            </w:pPr>
          </w:p>
        </w:tc>
        <w:tc>
          <w:tcPr>
            <w:tcW w:w="1347" w:type="dxa"/>
          </w:tcPr>
          <w:p>
            <w:pPr>
              <w:pStyle w:val="TableParagraph"/>
              <w:spacing w:line="265" w:lineRule="exact"/>
              <w:ind w:left="161"/>
              <w:rPr>
                <w:rFonts w:ascii="黑体" w:eastAsia="黑体" w:hint="eastAsia"/>
                <w:sz w:val="21"/>
              </w:rPr>
            </w:pPr>
            <w:r>
              <w:rPr>
                <w:rFonts w:ascii="黑体" w:eastAsia="黑体" w:hint="eastAsia"/>
                <w:sz w:val="21"/>
              </w:rPr>
              <w:t>险</w:t>
            </w:r>
          </w:p>
        </w:tc>
        <w:tc>
          <w:tcPr>
            <w:tcW w:w="7457" w:type="dxa"/>
          </w:tcPr>
          <w:p>
            <w:pPr>
              <w:pStyle w:val="TableParagraph"/>
              <w:spacing w:line="265" w:lineRule="exact"/>
              <w:ind w:left="136"/>
              <w:rPr>
                <w:sz w:val="21"/>
              </w:rPr>
            </w:pPr>
            <w:r>
              <w:rPr>
                <w:sz w:val="21"/>
              </w:rPr>
              <w:t>(1)本附加险合同；</w:t>
            </w:r>
          </w:p>
        </w:tc>
      </w:tr>
      <w:tr>
        <w:trPr>
          <w:trHeight w:val="320"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457" w:type="dxa"/>
          </w:tcPr>
          <w:p>
            <w:pPr>
              <w:pStyle w:val="TableParagraph"/>
              <w:spacing w:line="265" w:lineRule="exact"/>
              <w:ind w:left="136"/>
              <w:rPr>
                <w:sz w:val="21"/>
              </w:rPr>
            </w:pPr>
            <w:r>
              <w:rPr>
                <w:sz w:val="21"/>
              </w:rPr>
              <w:t>(2)您的有效身份证件。</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457" w:type="dxa"/>
          </w:tcPr>
          <w:p>
            <w:pPr>
              <w:pStyle w:val="TableParagraph"/>
              <w:spacing w:line="265" w:lineRule="exact"/>
              <w:ind w:left="136"/>
              <w:rPr>
                <w:sz w:val="21"/>
              </w:rPr>
            </w:pPr>
            <w:r>
              <w:rPr>
                <w:spacing w:val="-5"/>
                <w:sz w:val="21"/>
              </w:rPr>
              <w:t>自我们收到解除合同申请书时起，本附加险合同终止。我们自收到解除合同申请</w:t>
            </w:r>
          </w:p>
        </w:tc>
      </w:tr>
      <w:tr>
        <w:trPr>
          <w:trHeight w:val="319" w:hRule="atLeast"/>
        </w:trPr>
        <w:tc>
          <w:tcPr>
            <w:tcW w:w="525" w:type="dxa"/>
          </w:tcPr>
          <w:p>
            <w:pPr>
              <w:pStyle w:val="TableParagraph"/>
              <w:rPr>
                <w:rFonts w:ascii="Times New Roman"/>
                <w:sz w:val="20"/>
              </w:rPr>
            </w:pPr>
          </w:p>
        </w:tc>
        <w:tc>
          <w:tcPr>
            <w:tcW w:w="1347" w:type="dxa"/>
          </w:tcPr>
          <w:p>
            <w:pPr>
              <w:pStyle w:val="TableParagraph"/>
              <w:rPr>
                <w:rFonts w:ascii="Times New Roman"/>
                <w:sz w:val="20"/>
              </w:rPr>
            </w:pPr>
          </w:p>
        </w:tc>
        <w:tc>
          <w:tcPr>
            <w:tcW w:w="7457" w:type="dxa"/>
          </w:tcPr>
          <w:p>
            <w:pPr>
              <w:pStyle w:val="TableParagraph"/>
              <w:spacing w:line="265" w:lineRule="exact"/>
              <w:ind w:left="136"/>
              <w:rPr>
                <w:sz w:val="21"/>
              </w:rPr>
            </w:pPr>
            <w:r>
              <w:rPr>
                <w:sz w:val="21"/>
              </w:rPr>
              <w:t>书之日起 30 日内向您退还本附加险合同的现金价值。</w:t>
            </w:r>
          </w:p>
        </w:tc>
      </w:tr>
      <w:tr>
        <w:trPr>
          <w:trHeight w:val="265" w:hRule="atLeast"/>
        </w:trPr>
        <w:tc>
          <w:tcPr>
            <w:tcW w:w="525" w:type="dxa"/>
          </w:tcPr>
          <w:p>
            <w:pPr>
              <w:pStyle w:val="TableParagraph"/>
              <w:rPr>
                <w:rFonts w:ascii="Times New Roman"/>
                <w:sz w:val="18"/>
              </w:rPr>
            </w:pPr>
          </w:p>
        </w:tc>
        <w:tc>
          <w:tcPr>
            <w:tcW w:w="1347" w:type="dxa"/>
          </w:tcPr>
          <w:p>
            <w:pPr>
              <w:pStyle w:val="TableParagraph"/>
              <w:rPr>
                <w:rFonts w:ascii="Times New Roman"/>
                <w:sz w:val="18"/>
              </w:rPr>
            </w:pPr>
          </w:p>
        </w:tc>
        <w:tc>
          <w:tcPr>
            <w:tcW w:w="7457" w:type="dxa"/>
          </w:tcPr>
          <w:p>
            <w:pPr>
              <w:pStyle w:val="TableParagraph"/>
              <w:spacing w:line="245" w:lineRule="exact"/>
              <w:ind w:left="136"/>
              <w:rPr>
                <w:sz w:val="21"/>
              </w:rPr>
            </w:pPr>
            <w:r>
              <w:rPr>
                <w:sz w:val="21"/>
              </w:rPr>
              <w:t>您犹豫期后解除合同会遭受一定损失。</w:t>
            </w:r>
          </w:p>
        </w:tc>
      </w:tr>
    </w:tbl>
    <w:p>
      <w:pPr>
        <w:tabs>
          <w:tab w:pos="853" w:val="left" w:leader="none"/>
          <w:tab w:pos="9556" w:val="left" w:leader="none"/>
        </w:tabs>
        <w:spacing w:before="187"/>
        <w:ind w:left="110" w:right="0" w:firstLine="0"/>
        <w:jc w:val="left"/>
        <w:rPr>
          <w:rFonts w:ascii="黑体" w:eastAsia="黑体" w:hint="eastAsia"/>
          <w:b/>
          <w:sz w:val="21"/>
        </w:rPr>
      </w:pPr>
      <w:r>
        <w:rPr>
          <w:rFonts w:ascii="Times New Roman" w:eastAsia="Times New Roman"/>
          <w:b/>
          <w:sz w:val="21"/>
          <w:shd w:fill="D3D3D3" w:color="auto" w:val="clear"/>
        </w:rPr>
        <w:t> </w:t>
      </w:r>
      <w:r>
        <w:rPr>
          <w:rFonts w:ascii="Times New Roman" w:eastAsia="Times New Roman"/>
          <w:b/>
          <w:spacing w:val="2"/>
          <w:sz w:val="21"/>
          <w:shd w:fill="D3D3D3" w:color="auto" w:val="clear"/>
        </w:rPr>
        <w:t> </w:t>
      </w:r>
      <w:r>
        <w:rPr>
          <w:rFonts w:ascii="黑体" w:eastAsia="黑体" w:hint="eastAsia"/>
          <w:b/>
          <w:sz w:val="21"/>
          <w:shd w:fill="D3D3D3" w:color="auto" w:val="clear"/>
        </w:rPr>
        <w:t>6．</w:t>
        <w:tab/>
      </w:r>
      <w:r>
        <w:rPr>
          <w:rFonts w:ascii="黑体" w:eastAsia="黑体" w:hint="eastAsia"/>
          <w:b/>
          <w:w w:val="95"/>
          <w:sz w:val="21"/>
          <w:shd w:fill="D3D3D3" w:color="auto" w:val="clear"/>
        </w:rPr>
        <w:t>其他需要关注的事项</w:t>
      </w:r>
      <w:r>
        <w:rPr>
          <w:rFonts w:ascii="黑体" w:eastAsia="黑体" w:hint="eastAsia"/>
          <w:b/>
          <w:sz w:val="21"/>
          <w:shd w:fill="D3D3D3" w:color="auto" w:val="clear"/>
        </w:rPr>
        <w:tab/>
      </w:r>
    </w:p>
    <w:p>
      <w:pPr>
        <w:pStyle w:val="BodyText"/>
        <w:spacing w:before="12"/>
        <w:ind w:left="0"/>
        <w:rPr>
          <w:rFonts w:ascii="黑体"/>
          <w:b/>
          <w:sz w:val="10"/>
        </w:rPr>
      </w:pPr>
    </w:p>
    <w:p>
      <w:pPr>
        <w:spacing w:after="0"/>
        <w:rPr>
          <w:rFonts w:ascii="黑体"/>
          <w:sz w:val="10"/>
        </w:rPr>
        <w:sectPr>
          <w:type w:val="continuous"/>
          <w:pgSz w:w="11910" w:h="16840"/>
          <w:pgMar w:top="200" w:bottom="280" w:left="1120" w:right="1120"/>
        </w:sectPr>
      </w:pPr>
    </w:p>
    <w:p>
      <w:pPr>
        <w:pStyle w:val="ListParagraph"/>
        <w:numPr>
          <w:ilvl w:val="1"/>
          <w:numId w:val="6"/>
        </w:numPr>
        <w:tabs>
          <w:tab w:pos="853" w:val="left" w:leader="none"/>
          <w:tab w:pos="854" w:val="left" w:leader="none"/>
        </w:tabs>
        <w:spacing w:line="240" w:lineRule="auto" w:before="35" w:after="0"/>
        <w:ind w:left="853" w:right="0" w:hanging="636"/>
        <w:jc w:val="left"/>
        <w:rPr>
          <w:rFonts w:ascii="黑体" w:eastAsia="黑体" w:hint="eastAsia"/>
          <w:sz w:val="21"/>
        </w:rPr>
      </w:pPr>
      <w:r>
        <w:rPr>
          <w:rFonts w:ascii="黑体" w:eastAsia="黑体" w:hint="eastAsia"/>
          <w:sz w:val="21"/>
        </w:rPr>
        <w:t>与主险合同</w:t>
      </w:r>
    </w:p>
    <w:p>
      <w:pPr>
        <w:pStyle w:val="BodyText"/>
        <w:spacing w:before="45"/>
        <w:ind w:left="853"/>
        <w:rPr>
          <w:rFonts w:ascii="黑体" w:eastAsia="黑体" w:hint="eastAsia"/>
        </w:rPr>
      </w:pPr>
      <w:r>
        <w:rPr>
          <w:rFonts w:ascii="黑体" w:eastAsia="黑体" w:hint="eastAsia"/>
        </w:rPr>
        <w:t>效力的关系</w:t>
      </w:r>
    </w:p>
    <w:p>
      <w:pPr>
        <w:pStyle w:val="BodyText"/>
        <w:spacing w:before="35"/>
        <w:ind w:left="217"/>
      </w:pPr>
      <w:r>
        <w:rPr/>
        <w:br w:type="column"/>
      </w:r>
      <w:r>
        <w:rPr/>
        <w:t>主险合同效力终止或主险合同办理减额交清后，本附加险合同效力终止:</w:t>
      </w:r>
    </w:p>
    <w:p>
      <w:pPr>
        <w:pStyle w:val="BodyText"/>
        <w:spacing w:line="278" w:lineRule="auto" w:before="45"/>
        <w:ind w:left="217" w:right="136"/>
      </w:pPr>
      <w:r>
        <w:rPr/>
        <w:t>若我们按本附加险合同的约定承担给付保险金责任的，在给付约定的保险金后， </w:t>
      </w:r>
      <w:r>
        <w:rPr>
          <w:spacing w:val="-7"/>
        </w:rPr>
        <w:t>本附加险合同终止；若我们按本附加险合同的约定不承担给付保险金责任的，我们在退还本附加险合同的现金价值后，本附加险合同终止。</w:t>
      </w:r>
    </w:p>
    <w:p>
      <w:pPr>
        <w:spacing w:after="0" w:line="278" w:lineRule="auto"/>
        <w:sectPr>
          <w:type w:val="continuous"/>
          <w:pgSz w:w="11910" w:h="16840"/>
          <w:pgMar w:top="200" w:bottom="280" w:left="1120" w:right="1120"/>
          <w:cols w:num="2" w:equalWidth="0">
            <w:col w:w="1904" w:space="54"/>
            <w:col w:w="7712"/>
          </w:cols>
        </w:sectPr>
      </w:pPr>
    </w:p>
    <w:p>
      <w:pPr>
        <w:pStyle w:val="BodyText"/>
        <w:ind w:left="0"/>
        <w:rPr>
          <w:sz w:val="9"/>
        </w:rPr>
      </w:pPr>
    </w:p>
    <w:p>
      <w:pPr>
        <w:pStyle w:val="ListParagraph"/>
        <w:numPr>
          <w:ilvl w:val="1"/>
          <w:numId w:val="6"/>
        </w:numPr>
        <w:tabs>
          <w:tab w:pos="854" w:val="left" w:leader="none"/>
          <w:tab w:pos="855" w:val="left" w:leader="none"/>
          <w:tab w:pos="2176" w:val="left" w:leader="none"/>
        </w:tabs>
        <w:spacing w:line="240" w:lineRule="auto" w:before="36" w:after="0"/>
        <w:ind w:left="854" w:right="0" w:hanging="637"/>
        <w:jc w:val="left"/>
        <w:rPr>
          <w:sz w:val="21"/>
        </w:rPr>
      </w:pPr>
      <w:r>
        <w:rPr>
          <w:rFonts w:ascii="黑体" w:eastAsia="黑体" w:hint="eastAsia"/>
          <w:sz w:val="21"/>
        </w:rPr>
        <w:t>适用主险合</w:t>
        <w:tab/>
      </w:r>
      <w:r>
        <w:rPr>
          <w:sz w:val="21"/>
        </w:rPr>
        <w:t>下列事项，适用主险合同条款：</w:t>
      </w:r>
    </w:p>
    <w:p>
      <w:pPr>
        <w:spacing w:after="0" w:line="240" w:lineRule="auto"/>
        <w:jc w:val="left"/>
        <w:rPr>
          <w:sz w:val="21"/>
        </w:rPr>
        <w:sectPr>
          <w:type w:val="continuous"/>
          <w:pgSz w:w="11910" w:h="16840"/>
          <w:pgMar w:top="200" w:bottom="280" w:left="1120" w:right="1120"/>
        </w:sect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1347"/>
        <w:gridCol w:w="7562"/>
      </w:tblGrid>
      <w:tr>
        <w:trPr>
          <w:trHeight w:val="2895" w:hRule="atLeast"/>
        </w:trPr>
        <w:tc>
          <w:tcPr>
            <w:tcW w:w="525" w:type="dxa"/>
          </w:tcPr>
          <w:p>
            <w:pPr>
              <w:pStyle w:val="TableParagraph"/>
              <w:rPr>
                <w:rFonts w:ascii="Times New Roman"/>
                <w:sz w:val="20"/>
              </w:rPr>
            </w:pPr>
          </w:p>
        </w:tc>
        <w:tc>
          <w:tcPr>
            <w:tcW w:w="1347" w:type="dxa"/>
          </w:tcPr>
          <w:p>
            <w:pPr>
              <w:pStyle w:val="TableParagraph"/>
              <w:spacing w:line="204" w:lineRule="exact"/>
              <w:ind w:left="161"/>
              <w:rPr>
                <w:rFonts w:ascii="黑体" w:eastAsia="黑体" w:hint="eastAsia"/>
                <w:sz w:val="21"/>
              </w:rPr>
            </w:pPr>
            <w:r>
              <w:rPr>
                <w:rFonts w:ascii="黑体" w:eastAsia="黑体" w:hint="eastAsia"/>
                <w:sz w:val="21"/>
              </w:rPr>
              <w:t>同条款</w:t>
            </w:r>
          </w:p>
        </w:tc>
        <w:tc>
          <w:tcPr>
            <w:tcW w:w="7562" w:type="dxa"/>
          </w:tcPr>
          <w:p>
            <w:pPr>
              <w:pStyle w:val="TableParagraph"/>
              <w:spacing w:line="204" w:lineRule="exact"/>
              <w:ind w:left="136"/>
              <w:rPr>
                <w:sz w:val="21"/>
              </w:rPr>
            </w:pPr>
            <w:r>
              <w:rPr>
                <w:sz w:val="21"/>
              </w:rPr>
              <w:t>(1)保险事故通知；</w:t>
            </w:r>
          </w:p>
          <w:p>
            <w:pPr>
              <w:pStyle w:val="TableParagraph"/>
              <w:spacing w:line="278" w:lineRule="auto" w:before="44"/>
              <w:ind w:left="136" w:right="5009"/>
              <w:rPr>
                <w:sz w:val="21"/>
              </w:rPr>
            </w:pPr>
            <w:r>
              <w:rPr>
                <w:sz w:val="21"/>
              </w:rPr>
              <w:t>(2)宽限期；          (3)效力中止；        (4)效力恢复；        </w:t>
            </w:r>
            <w:r>
              <w:rPr>
                <w:spacing w:val="-1"/>
                <w:sz w:val="21"/>
              </w:rPr>
              <w:t>(5)明确说明与如实告知；</w:t>
            </w:r>
          </w:p>
          <w:p>
            <w:pPr>
              <w:pStyle w:val="TableParagraph"/>
              <w:spacing w:line="278" w:lineRule="auto" w:before="11"/>
              <w:ind w:left="136" w:right="4799"/>
              <w:rPr>
                <w:sz w:val="21"/>
              </w:rPr>
            </w:pPr>
            <w:r>
              <w:rPr>
                <w:spacing w:val="-1"/>
                <w:sz w:val="21"/>
              </w:rPr>
              <w:t>(6)我们合同解除权的限制； (7)合同内容变更；      (8)联系方式变更；      (9)争议处理。</w:t>
            </w:r>
          </w:p>
        </w:tc>
      </w:tr>
      <w:tr>
        <w:trPr>
          <w:trHeight w:val="3341" w:hRule="atLeast"/>
        </w:trPr>
        <w:tc>
          <w:tcPr>
            <w:tcW w:w="525" w:type="dxa"/>
          </w:tcPr>
          <w:p>
            <w:pPr>
              <w:pStyle w:val="TableParagraph"/>
              <w:spacing w:before="54"/>
              <w:ind w:left="50"/>
              <w:rPr>
                <w:rFonts w:ascii="黑体"/>
                <w:sz w:val="21"/>
              </w:rPr>
            </w:pPr>
            <w:r>
              <w:rPr>
                <w:rFonts w:ascii="黑体"/>
                <w:sz w:val="21"/>
              </w:rPr>
              <w:t>6.3</w:t>
            </w:r>
          </w:p>
        </w:tc>
        <w:tc>
          <w:tcPr>
            <w:tcW w:w="1347" w:type="dxa"/>
          </w:tcPr>
          <w:p>
            <w:pPr>
              <w:pStyle w:val="TableParagraph"/>
              <w:spacing w:line="278" w:lineRule="auto" w:before="54"/>
              <w:ind w:left="161" w:right="133"/>
              <w:jc w:val="both"/>
              <w:rPr>
                <w:rFonts w:ascii="黑体" w:eastAsia="黑体" w:hint="eastAsia"/>
                <w:sz w:val="21"/>
              </w:rPr>
            </w:pPr>
            <w:r>
              <w:rPr>
                <w:rFonts w:ascii="黑体" w:eastAsia="黑体" w:hint="eastAsia"/>
                <w:sz w:val="21"/>
              </w:rPr>
              <w:t>年龄和性别确定与错误处理</w:t>
            </w:r>
          </w:p>
        </w:tc>
        <w:tc>
          <w:tcPr>
            <w:tcW w:w="7562" w:type="dxa"/>
          </w:tcPr>
          <w:p>
            <w:pPr>
              <w:pStyle w:val="TableParagraph"/>
              <w:spacing w:line="280" w:lineRule="auto" w:before="54"/>
              <w:ind w:left="136" w:right="152" w:firstLine="2"/>
              <w:rPr>
                <w:sz w:val="21"/>
              </w:rPr>
            </w:pPr>
            <w:r>
              <w:rPr>
                <w:spacing w:val="-9"/>
                <w:sz w:val="21"/>
              </w:rPr>
              <w:t>您在申请投保时，应将与有效身份证件相符的被保险人的出生日期和性别在投保单上填明，如果发生错误按照下列方式办理：</w:t>
            </w:r>
          </w:p>
          <w:p>
            <w:pPr>
              <w:pStyle w:val="TableParagraph"/>
              <w:spacing w:line="280" w:lineRule="auto" w:before="8"/>
              <w:ind w:left="136" w:right="151"/>
              <w:jc w:val="both"/>
              <w:rPr>
                <w:sz w:val="21"/>
              </w:rPr>
            </w:pPr>
            <w:r>
              <w:rPr>
                <w:sz w:val="21"/>
              </w:rPr>
              <w:t>(1)您申报的被保险人年龄不真实，并且其真实年龄不符合本附加险合同约定投</w:t>
            </w:r>
            <w:r>
              <w:rPr>
                <w:spacing w:val="-8"/>
                <w:sz w:val="21"/>
              </w:rPr>
              <w:t>保年龄限制的，在保险事故发生之前我们有权解除合同，并向您退还本附加险合同的现金价值。我们行使合同解除权适用“我们合同解除权的限制”的规定。</w:t>
            </w:r>
          </w:p>
          <w:p>
            <w:pPr>
              <w:pStyle w:val="TableParagraph"/>
              <w:spacing w:line="280" w:lineRule="auto" w:before="8"/>
              <w:ind w:left="136" w:right="48"/>
              <w:rPr>
                <w:sz w:val="21"/>
              </w:rPr>
            </w:pPr>
            <w:r>
              <w:rPr>
                <w:spacing w:val="-1"/>
                <w:sz w:val="21"/>
              </w:rPr>
              <w:t>(2)</w:t>
            </w:r>
            <w:r>
              <w:rPr>
                <w:spacing w:val="-6"/>
                <w:sz w:val="21"/>
              </w:rPr>
              <w:t>您申报的被保险人年龄或性别不真实，致使您实付保险费少于应付保险费的， </w:t>
            </w:r>
            <w:r>
              <w:rPr>
                <w:spacing w:val="-9"/>
                <w:sz w:val="21"/>
              </w:rPr>
              <w:t>我们有权作相应的更正并要求您补交保险费差额。若已经发生保险事故，在给付保险金时按实付保险费和应付保险费的比例给付。</w:t>
            </w:r>
          </w:p>
          <w:p>
            <w:pPr>
              <w:pStyle w:val="TableParagraph"/>
              <w:spacing w:line="280" w:lineRule="auto" w:before="8"/>
              <w:ind w:left="136" w:right="48"/>
              <w:rPr>
                <w:sz w:val="21"/>
              </w:rPr>
            </w:pPr>
            <w:r>
              <w:rPr>
                <w:spacing w:val="-1"/>
                <w:sz w:val="21"/>
              </w:rPr>
              <w:t>(3)</w:t>
            </w:r>
            <w:r>
              <w:rPr>
                <w:spacing w:val="-6"/>
                <w:sz w:val="21"/>
              </w:rPr>
              <w:t>您申报的被保险人年龄或性别不真实，致使您实付保险费多于应付保险费的， 我们会将多收的保险费退还给您。</w:t>
            </w:r>
          </w:p>
        </w:tc>
      </w:tr>
      <w:tr>
        <w:trPr>
          <w:trHeight w:val="656" w:hRule="atLeast"/>
        </w:trPr>
        <w:tc>
          <w:tcPr>
            <w:tcW w:w="525" w:type="dxa"/>
          </w:tcPr>
          <w:p>
            <w:pPr>
              <w:pStyle w:val="TableParagraph"/>
              <w:spacing w:before="54"/>
              <w:ind w:left="50"/>
              <w:rPr>
                <w:rFonts w:ascii="黑体"/>
                <w:sz w:val="21"/>
              </w:rPr>
            </w:pPr>
            <w:r>
              <w:rPr>
                <w:rFonts w:ascii="黑体"/>
                <w:sz w:val="21"/>
              </w:rPr>
              <w:t>6.4</w:t>
            </w:r>
          </w:p>
        </w:tc>
        <w:tc>
          <w:tcPr>
            <w:tcW w:w="1347" w:type="dxa"/>
          </w:tcPr>
          <w:p>
            <w:pPr>
              <w:pStyle w:val="TableParagraph"/>
              <w:spacing w:before="54"/>
              <w:ind w:left="161"/>
              <w:rPr>
                <w:rFonts w:ascii="黑体" w:eastAsia="黑体" w:hint="eastAsia"/>
                <w:sz w:val="21"/>
              </w:rPr>
            </w:pPr>
            <w:r>
              <w:rPr>
                <w:rFonts w:ascii="黑体" w:eastAsia="黑体" w:hint="eastAsia"/>
                <w:sz w:val="21"/>
              </w:rPr>
              <w:t>未还款项</w:t>
            </w:r>
          </w:p>
        </w:tc>
        <w:tc>
          <w:tcPr>
            <w:tcW w:w="7562" w:type="dxa"/>
          </w:tcPr>
          <w:p>
            <w:pPr>
              <w:pStyle w:val="TableParagraph"/>
              <w:spacing w:line="320" w:lineRule="atLeast" w:before="9"/>
              <w:ind w:left="136" w:right="152"/>
              <w:rPr>
                <w:sz w:val="21"/>
              </w:rPr>
            </w:pPr>
            <w:r>
              <w:rPr>
                <w:spacing w:val="-6"/>
                <w:sz w:val="21"/>
              </w:rPr>
              <w:t>我们在给付各项保险金、退还本附加险合同的现金价值或退还保险费时，如果您有欠交保险费、其他未还款项及相应利息，我们会在扣除上述欠款后给付。</w:t>
            </w:r>
          </w:p>
        </w:tc>
      </w:tr>
    </w:tbl>
    <w:p>
      <w:pPr>
        <w:pStyle w:val="BodyText"/>
        <w:spacing w:before="8"/>
        <w:ind w:left="0"/>
        <w:rPr>
          <w:sz w:val="10"/>
        </w:rPr>
      </w:pPr>
    </w:p>
    <w:p>
      <w:pPr>
        <w:pStyle w:val="Heading2"/>
        <w:tabs>
          <w:tab w:pos="853" w:val="left" w:leader="none"/>
          <w:tab w:pos="9556" w:val="left" w:leader="none"/>
        </w:tabs>
        <w:spacing w:before="42"/>
      </w:pPr>
      <w:r>
        <w:rPr>
          <w:rFonts w:ascii="Times New Roman" w:eastAsia="Times New Roman"/>
          <w:shd w:fill="D3D3D3" w:color="auto" w:val="clear"/>
        </w:rPr>
        <w:t> </w:t>
      </w:r>
      <w:r>
        <w:rPr>
          <w:rFonts w:ascii="Times New Roman" w:eastAsia="Times New Roman"/>
          <w:spacing w:val="2"/>
          <w:shd w:fill="D3D3D3" w:color="auto" w:val="clear"/>
        </w:rPr>
        <w:t> </w:t>
      </w:r>
      <w:r>
        <w:rPr>
          <w:shd w:fill="D3D3D3" w:color="auto" w:val="clear"/>
        </w:rPr>
        <w:t>7．</w:t>
        <w:tab/>
      </w:r>
      <w:r>
        <w:rPr>
          <w:w w:val="95"/>
          <w:shd w:fill="D3D3D3" w:color="auto" w:val="clear"/>
        </w:rPr>
        <w:t>释义</w:t>
      </w:r>
      <w:r>
        <w:rPr>
          <w:shd w:fill="D3D3D3" w:color="auto" w:val="clear"/>
        </w:rPr>
        <w:tab/>
      </w:r>
    </w:p>
    <w:p>
      <w:pPr>
        <w:pStyle w:val="BodyText"/>
        <w:spacing w:before="12"/>
        <w:ind w:left="0"/>
        <w:rPr>
          <w:rFonts w:ascii="黑体"/>
          <w:b/>
          <w:sz w:val="10"/>
        </w:rPr>
      </w:pPr>
    </w:p>
    <w:p>
      <w:pPr>
        <w:spacing w:after="0"/>
        <w:rPr>
          <w:rFonts w:ascii="黑体"/>
          <w:sz w:val="10"/>
        </w:rPr>
        <w:sectPr>
          <w:pgSz w:w="11910" w:h="16840"/>
          <w:pgMar w:top="1500" w:bottom="280" w:left="1120" w:right="1080"/>
        </w:sectPr>
      </w:pPr>
    </w:p>
    <w:p>
      <w:pPr>
        <w:pStyle w:val="ListParagraph"/>
        <w:numPr>
          <w:ilvl w:val="1"/>
          <w:numId w:val="7"/>
        </w:numPr>
        <w:tabs>
          <w:tab w:pos="853" w:val="left" w:leader="none"/>
          <w:tab w:pos="854" w:val="left" w:leader="none"/>
        </w:tabs>
        <w:spacing w:line="240" w:lineRule="auto" w:before="36" w:after="0"/>
        <w:ind w:left="2176" w:right="0" w:hanging="1959"/>
        <w:jc w:val="left"/>
        <w:rPr>
          <w:rFonts w:ascii="黑体" w:eastAsia="黑体" w:hint="eastAsia"/>
          <w:sz w:val="21"/>
        </w:rPr>
      </w:pPr>
      <w:r>
        <w:rPr>
          <w:rFonts w:ascii="黑体" w:eastAsia="黑体" w:hint="eastAsia"/>
          <w:sz w:val="21"/>
        </w:rPr>
        <w:t>合同Th效日</w:t>
      </w:r>
    </w:p>
    <w:p>
      <w:pPr>
        <w:pStyle w:val="BodyText"/>
        <w:spacing w:before="45"/>
        <w:ind w:left="853"/>
        <w:rPr>
          <w:rFonts w:ascii="黑体" w:eastAsia="黑体" w:hint="eastAsia"/>
        </w:rPr>
      </w:pPr>
      <w:r>
        <w:rPr>
          <w:rFonts w:ascii="黑体" w:eastAsia="黑体" w:hint="eastAsia"/>
        </w:rPr>
        <w:t>对应日</w:t>
      </w:r>
    </w:p>
    <w:p>
      <w:pPr>
        <w:pStyle w:val="BodyText"/>
        <w:spacing w:line="280" w:lineRule="auto" w:before="36"/>
        <w:ind w:left="217" w:right="179"/>
      </w:pPr>
      <w:r>
        <w:rPr/>
        <w:br w:type="column"/>
      </w:r>
      <w:r>
        <w:rPr/>
        <w:t>指本附加险合同生效日在合同生效后每年的对应日，不含合同生效日当日。如果当月没有对应的同一日，则以该月最后一日为对应日。</w:t>
      </w:r>
    </w:p>
    <w:p>
      <w:pPr>
        <w:spacing w:after="0" w:line="280" w:lineRule="auto"/>
        <w:sectPr>
          <w:type w:val="continuous"/>
          <w:pgSz w:w="11910" w:h="16840"/>
          <w:pgMar w:top="200" w:bottom="280" w:left="1120" w:right="1080"/>
          <w:cols w:num="2" w:equalWidth="0">
            <w:col w:w="1904" w:space="54"/>
            <w:col w:w="7752"/>
          </w:cols>
        </w:sectPr>
      </w:pPr>
    </w:p>
    <w:p>
      <w:pPr>
        <w:pStyle w:val="BodyText"/>
        <w:spacing w:before="11"/>
        <w:ind w:left="0"/>
        <w:rPr>
          <w:sz w:val="8"/>
        </w:rPr>
      </w:pPr>
    </w:p>
    <w:p>
      <w:pPr>
        <w:pStyle w:val="ListParagraph"/>
        <w:numPr>
          <w:ilvl w:val="1"/>
          <w:numId w:val="7"/>
        </w:numPr>
        <w:tabs>
          <w:tab w:pos="854" w:val="left" w:leader="none"/>
          <w:tab w:pos="855" w:val="left" w:leader="none"/>
          <w:tab w:pos="2176" w:val="left" w:leader="none"/>
        </w:tabs>
        <w:spacing w:line="278" w:lineRule="auto" w:before="35" w:after="0"/>
        <w:ind w:left="2176" w:right="255" w:hanging="1959"/>
        <w:jc w:val="left"/>
        <w:rPr>
          <w:sz w:val="21"/>
        </w:rPr>
      </w:pPr>
      <w:r>
        <w:rPr>
          <w:rFonts w:ascii="黑体" w:eastAsia="黑体" w:hint="eastAsia"/>
          <w:sz w:val="21"/>
        </w:rPr>
        <w:t>周岁</w:t>
        <w:tab/>
      </w:r>
      <w:r>
        <w:rPr>
          <w:sz w:val="21"/>
        </w:rPr>
        <w:t>指按有效身份证件中记载的出生日期计算的年龄</w:t>
      </w:r>
      <w:r>
        <w:rPr>
          <w:spacing w:val="-40"/>
          <w:sz w:val="21"/>
        </w:rPr>
        <w:t>，</w:t>
      </w:r>
      <w:r>
        <w:rPr>
          <w:sz w:val="21"/>
        </w:rPr>
        <w:t>自出生之日起为零周岁</w:t>
      </w:r>
      <w:r>
        <w:rPr>
          <w:spacing w:val="-40"/>
          <w:sz w:val="21"/>
        </w:rPr>
        <w:t>，</w:t>
      </w:r>
      <w:r>
        <w:rPr>
          <w:sz w:val="21"/>
        </w:rPr>
        <w:t>每经过一年增加一岁，不足一年的不计。</w:t>
      </w:r>
    </w:p>
    <w:p>
      <w:pPr>
        <w:pStyle w:val="BodyText"/>
        <w:spacing w:before="12"/>
        <w:ind w:left="0"/>
        <w:rPr>
          <w:sz w:val="8"/>
        </w:rPr>
      </w:pPr>
    </w:p>
    <w:p>
      <w:pPr>
        <w:spacing w:after="0"/>
        <w:rPr>
          <w:sz w:val="8"/>
        </w:rPr>
        <w:sectPr>
          <w:type w:val="continuous"/>
          <w:pgSz w:w="11910" w:h="16840"/>
          <w:pgMar w:top="200" w:bottom="280" w:left="1120" w:right="1080"/>
        </w:sectPr>
      </w:pPr>
    </w:p>
    <w:p>
      <w:pPr>
        <w:pStyle w:val="ListParagraph"/>
        <w:numPr>
          <w:ilvl w:val="1"/>
          <w:numId w:val="7"/>
        </w:numPr>
        <w:tabs>
          <w:tab w:pos="854" w:val="left" w:leader="none"/>
          <w:tab w:pos="855" w:val="left" w:leader="none"/>
        </w:tabs>
        <w:spacing w:line="240" w:lineRule="auto" w:before="36" w:after="0"/>
        <w:ind w:left="854" w:right="0" w:hanging="637"/>
        <w:jc w:val="left"/>
        <w:rPr>
          <w:rFonts w:ascii="黑体" w:eastAsia="黑体" w:hint="eastAsia"/>
          <w:sz w:val="21"/>
        </w:rPr>
      </w:pPr>
      <w:r>
        <w:rPr>
          <w:rFonts w:ascii="黑体" w:eastAsia="黑体" w:hint="eastAsia"/>
          <w:spacing w:val="-1"/>
          <w:sz w:val="21"/>
        </w:rPr>
        <w:t>有效身份证</w:t>
      </w:r>
    </w:p>
    <w:p>
      <w:pPr>
        <w:pStyle w:val="BodyText"/>
        <w:spacing w:before="45"/>
        <w:ind w:left="14"/>
        <w:jc w:val="center"/>
        <w:rPr>
          <w:rFonts w:ascii="黑体" w:eastAsia="黑体" w:hint="eastAsia"/>
        </w:rPr>
      </w:pPr>
      <w:r>
        <w:rPr>
          <w:rFonts w:ascii="黑体" w:eastAsia="黑体" w:hint="eastAsia"/>
        </w:rPr>
        <w:t>件</w:t>
      </w:r>
    </w:p>
    <w:p>
      <w:pPr>
        <w:pStyle w:val="BodyText"/>
        <w:spacing w:line="280" w:lineRule="auto" w:before="36"/>
        <w:ind w:left="217" w:right="180"/>
      </w:pPr>
      <w:r>
        <w:rPr/>
        <w:br w:type="column"/>
      </w:r>
      <w:r>
        <w:rPr/>
        <w:t>指由政府主管部门规定的证明其身份的证件，如：居民身份证、按规定可使用的有效护照、军官证、警官证、士兵证等证件。</w:t>
      </w:r>
    </w:p>
    <w:p>
      <w:pPr>
        <w:spacing w:after="0" w:line="280" w:lineRule="auto"/>
        <w:sectPr>
          <w:type w:val="continuous"/>
          <w:pgSz w:w="11910" w:h="16840"/>
          <w:pgMar w:top="200" w:bottom="280" w:left="1120" w:right="1080"/>
          <w:cols w:num="2" w:equalWidth="0">
            <w:col w:w="1904" w:space="54"/>
            <w:col w:w="7752"/>
          </w:cols>
        </w:sectPr>
      </w:pPr>
    </w:p>
    <w:p>
      <w:pPr>
        <w:pStyle w:val="BodyText"/>
        <w:spacing w:before="11"/>
        <w:ind w:left="0"/>
        <w:rPr>
          <w:sz w:val="8"/>
        </w:rPr>
      </w:pPr>
    </w:p>
    <w:p>
      <w:pPr>
        <w:pStyle w:val="ListParagraph"/>
        <w:numPr>
          <w:ilvl w:val="1"/>
          <w:numId w:val="7"/>
        </w:numPr>
        <w:tabs>
          <w:tab w:pos="854" w:val="left" w:leader="none"/>
          <w:tab w:pos="855" w:val="left" w:leader="none"/>
          <w:tab w:pos="2176" w:val="left" w:leader="none"/>
        </w:tabs>
        <w:spacing w:line="278" w:lineRule="auto" w:before="35" w:after="0"/>
        <w:ind w:left="2176" w:right="149" w:hanging="1959"/>
        <w:jc w:val="left"/>
        <w:rPr>
          <w:sz w:val="21"/>
        </w:rPr>
      </w:pPr>
      <w:r>
        <w:rPr>
          <w:rFonts w:ascii="黑体" w:hAnsi="黑体" w:eastAsia="黑体" w:hint="eastAsia"/>
          <w:sz w:val="21"/>
        </w:rPr>
        <w:t>意外伤害</w:t>
        <w:tab/>
      </w:r>
      <w:r>
        <w:rPr>
          <w:sz w:val="21"/>
        </w:rPr>
        <w:t>指遭受外来的</w:t>
      </w:r>
      <w:r>
        <w:rPr>
          <w:spacing w:val="-62"/>
          <w:sz w:val="21"/>
        </w:rPr>
        <w:t>、</w:t>
      </w:r>
      <w:r>
        <w:rPr>
          <w:sz w:val="21"/>
        </w:rPr>
        <w:t>突发的</w:t>
      </w:r>
      <w:r>
        <w:rPr>
          <w:spacing w:val="-62"/>
          <w:sz w:val="21"/>
        </w:rPr>
        <w:t>、</w:t>
      </w:r>
      <w:r>
        <w:rPr>
          <w:sz w:val="21"/>
        </w:rPr>
        <w:t>非本意的</w:t>
      </w:r>
      <w:r>
        <w:rPr>
          <w:spacing w:val="-62"/>
          <w:sz w:val="21"/>
        </w:rPr>
        <w:t>、</w:t>
      </w:r>
      <w:r>
        <w:rPr>
          <w:sz w:val="21"/>
        </w:rPr>
        <w:t>非疾病的客观事件直接致使身体受到的伤害。</w:t>
      </w:r>
      <w:r>
        <w:rPr>
          <w:sz w:val="21"/>
          <w:shd w:fill="D9D9D9" w:color="auto" w:val="clear"/>
        </w:rPr>
        <w:t>本附加险合同所述的意外伤害导致的身故，不包括猝死</w:t>
      </w:r>
      <w:r>
        <w:rPr>
          <w:spacing w:val="-106"/>
          <w:sz w:val="21"/>
          <w:shd w:fill="D9D9D9" w:color="auto" w:val="clear"/>
        </w:rPr>
        <w:t>。</w:t>
      </w:r>
      <w:r>
        <w:rPr>
          <w:sz w:val="21"/>
        </w:rPr>
        <w:t>“猝死”是指貌似健康的人因潜在疾病、机能障碍或其他原因在出现症状后</w:t>
      </w:r>
      <w:r>
        <w:rPr>
          <w:spacing w:val="-47"/>
          <w:sz w:val="21"/>
        </w:rPr>
        <w:t> </w:t>
      </w:r>
      <w:r>
        <w:rPr>
          <w:sz w:val="21"/>
        </w:rPr>
        <w:t>24</w:t>
      </w:r>
      <w:r>
        <w:rPr>
          <w:spacing w:val="-48"/>
          <w:sz w:val="21"/>
        </w:rPr>
        <w:t> </w:t>
      </w:r>
      <w:r>
        <w:rPr>
          <w:sz w:val="21"/>
        </w:rPr>
        <w:t>小时内发生的非暴力性突然死亡。关于猝死的认定，如有司法机关的法律文件、医疗机构的诊断书等， 则以上述法律文件、诊断书等为准。</w:t>
      </w:r>
    </w:p>
    <w:p>
      <w:pPr>
        <w:spacing w:after="0" w:line="278" w:lineRule="auto"/>
        <w:jc w:val="left"/>
        <w:rPr>
          <w:sz w:val="21"/>
        </w:rPr>
        <w:sectPr>
          <w:type w:val="continuous"/>
          <w:pgSz w:w="11910" w:h="16840"/>
          <w:pgMar w:top="200" w:bottom="280" w:left="112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
        <w:gridCol w:w="1347"/>
        <w:gridCol w:w="7563"/>
      </w:tblGrid>
      <w:tr>
        <w:trPr>
          <w:trHeight w:val="264" w:hRule="atLeast"/>
        </w:trPr>
        <w:tc>
          <w:tcPr>
            <w:tcW w:w="526" w:type="dxa"/>
          </w:tcPr>
          <w:p>
            <w:pPr>
              <w:pStyle w:val="TableParagraph"/>
              <w:spacing w:line="204" w:lineRule="exact"/>
              <w:ind w:left="50"/>
              <w:rPr>
                <w:rFonts w:ascii="黑体"/>
                <w:sz w:val="21"/>
              </w:rPr>
            </w:pPr>
            <w:r>
              <w:rPr>
                <w:rFonts w:ascii="黑体"/>
                <w:sz w:val="21"/>
              </w:rPr>
              <w:t>7.5</w:t>
            </w:r>
          </w:p>
        </w:tc>
        <w:tc>
          <w:tcPr>
            <w:tcW w:w="1347" w:type="dxa"/>
          </w:tcPr>
          <w:p>
            <w:pPr>
              <w:pStyle w:val="TableParagraph"/>
              <w:spacing w:line="204" w:lineRule="exact"/>
              <w:ind w:left="160"/>
              <w:rPr>
                <w:rFonts w:ascii="黑体" w:eastAsia="黑体" w:hint="eastAsia"/>
                <w:sz w:val="21"/>
              </w:rPr>
            </w:pPr>
            <w:r>
              <w:rPr>
                <w:rFonts w:ascii="黑体" w:eastAsia="黑体" w:hint="eastAsia"/>
                <w:sz w:val="21"/>
              </w:rPr>
              <w:t>白血病</w:t>
            </w:r>
          </w:p>
        </w:tc>
        <w:tc>
          <w:tcPr>
            <w:tcW w:w="7563" w:type="dxa"/>
          </w:tcPr>
          <w:p>
            <w:pPr>
              <w:pStyle w:val="TableParagraph"/>
              <w:spacing w:line="204" w:lineRule="exact"/>
              <w:ind w:left="135"/>
              <w:rPr>
                <w:sz w:val="21"/>
              </w:rPr>
            </w:pPr>
            <w:r>
              <w:rPr>
                <w:sz w:val="21"/>
              </w:rPr>
              <w:t>白血病是一种造血系统的恶性肿瘤，其主要表现为白血病细胞在骨髓或其他造血</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8" w:lineRule="exact"/>
              <w:ind w:left="135"/>
              <w:rPr>
                <w:sz w:val="21"/>
              </w:rPr>
            </w:pPr>
            <w:r>
              <w:rPr>
                <w:sz w:val="21"/>
              </w:rPr>
              <w:t>组织中进行性、失控制的异常增生，并浸润至其他组织与器官，使正常血细胞生</w:t>
            </w:r>
          </w:p>
        </w:tc>
      </w:tr>
      <w:tr>
        <w:trPr>
          <w:trHeight w:val="32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成减少，周围白细胞有质和量的变化，产生相应临床表现。被保险人所患白血病</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必须根据骨髓的活组织检查和周围血象由专科（儿科、血液科或肿瘤科）医生确</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8" w:lineRule="exact"/>
              <w:ind w:left="135"/>
              <w:rPr>
                <w:sz w:val="21"/>
              </w:rPr>
            </w:pPr>
            <w:r>
              <w:rPr>
                <w:sz w:val="21"/>
              </w:rPr>
              <w:t>诊，并且至少已经接受了下列一项治疗：</w:t>
            </w:r>
          </w:p>
        </w:tc>
      </w:tr>
      <w:tr>
        <w:trPr>
          <w:trHeight w:val="32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(1)化学治疗；</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(2)骨髓移植。</w:t>
            </w:r>
          </w:p>
        </w:tc>
      </w:tr>
      <w:tr>
        <w:trPr>
          <w:trHeight w:val="43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8" w:lineRule="exact"/>
              <w:ind w:left="135"/>
              <w:rPr>
                <w:sz w:val="21"/>
              </w:rPr>
            </w:pPr>
            <w:r>
              <w:rPr>
                <w:sz w:val="21"/>
                <w:shd w:fill="D9D9D9" w:color="auto" w:val="clear"/>
              </w:rPr>
              <w:t>相当于 Binet 分期方案 A 期程度的慢性淋巴细胞白血病不在保障范围内。</w:t>
            </w:r>
          </w:p>
        </w:tc>
      </w:tr>
      <w:tr>
        <w:trPr>
          <w:trHeight w:val="739" w:hRule="atLeast"/>
        </w:trPr>
        <w:tc>
          <w:tcPr>
            <w:tcW w:w="526" w:type="dxa"/>
          </w:tcPr>
          <w:p>
            <w:pPr>
              <w:pStyle w:val="TableParagraph"/>
              <w:spacing w:before="120"/>
              <w:ind w:left="50"/>
              <w:rPr>
                <w:rFonts w:ascii="黑体"/>
                <w:sz w:val="21"/>
              </w:rPr>
            </w:pPr>
            <w:r>
              <w:rPr>
                <w:rFonts w:ascii="黑体"/>
                <w:sz w:val="21"/>
              </w:rPr>
              <w:t>7.6</w:t>
            </w:r>
          </w:p>
        </w:tc>
        <w:tc>
          <w:tcPr>
            <w:tcW w:w="1347" w:type="dxa"/>
          </w:tcPr>
          <w:p>
            <w:pPr>
              <w:pStyle w:val="TableParagraph"/>
              <w:spacing w:before="120"/>
              <w:ind w:left="160"/>
              <w:rPr>
                <w:rFonts w:ascii="黑体" w:eastAsia="黑体" w:hint="eastAsia"/>
                <w:sz w:val="21"/>
              </w:rPr>
            </w:pPr>
            <w:r>
              <w:rPr>
                <w:rFonts w:ascii="黑体" w:eastAsia="黑体" w:hint="eastAsia"/>
                <w:sz w:val="21"/>
              </w:rPr>
              <w:t>全残</w:t>
            </w:r>
          </w:p>
        </w:tc>
        <w:tc>
          <w:tcPr>
            <w:tcW w:w="7563" w:type="dxa"/>
          </w:tcPr>
          <w:p>
            <w:pPr>
              <w:pStyle w:val="TableParagraph"/>
              <w:spacing w:line="273" w:lineRule="auto" w:before="95"/>
              <w:ind w:left="135" w:right="2998"/>
              <w:rPr>
                <w:sz w:val="21"/>
              </w:rPr>
            </w:pPr>
            <w:r>
              <w:rPr>
                <w:sz w:val="21"/>
              </w:rPr>
              <w:t>本附加险合同所述“全残”是指下列情形之一： (1)双目永久完全失明（注 1）；</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(2)两上肢腕关节以上或两下肢踝关节以上缺失；</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(3)一上肢腕关节以上及一下肢踝关节以上缺失；</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(4)一目永久完全失明及一上肢腕关节以上缺失；</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(5)一目永久完全失明及一下肢踝关节以上缺失；</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(6)四肢关节机能永久完全丧失的（注 2）；</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(7)咀嚼、吞咽机能永久完全丧失的（注 3）；</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(8)中枢神经系统功能或胸、腹部脏器机能极度障碍，终身不能从事任何工作，</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为维持生命必要的日常生活活动，全需他人扶助的（注 4）；</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注：</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1.失明：包括眼球缺失或摘除、或不能辨别明暗、或仅能辨别眼前手动者，最佳</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矫正视力低于国际标准视力表 0.02，或视野半径小于 5 度，并由有资格的眼科</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医师出具医疗诊断证明。</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2.关节机能的丧失：系指关节永久完全僵硬、或麻痹、或关节不能随意识活动。</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3.咀嚼、吞咽机能的丧失：系指由于牙齿以外的原因引起器质障碍或机能障碍，</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以致不能作咀嚼、吞咽运动，除流质食物以外不能摄取或吞咽的状态。</w:t>
            </w:r>
          </w:p>
        </w:tc>
      </w:tr>
      <w:tr>
        <w:trPr>
          <w:trHeight w:val="31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4.</w:t>
            </w:r>
            <w:r>
              <w:rPr>
                <w:spacing w:val="-10"/>
                <w:sz w:val="21"/>
              </w:rPr>
              <w:t>为维持生命必要之日常生活活动，全需他人扶助：系指食物摄取、大小便始末、</w:t>
            </w:r>
          </w:p>
        </w:tc>
      </w:tr>
      <w:tr>
        <w:trPr>
          <w:trHeight w:val="324"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5" w:lineRule="exact"/>
              <w:ind w:left="135"/>
              <w:rPr>
                <w:sz w:val="21"/>
              </w:rPr>
            </w:pPr>
            <w:r>
              <w:rPr>
                <w:sz w:val="21"/>
              </w:rPr>
              <w:t>穿脱衣服、起居、步行、入浴等，皆不能自己为之，需要他人帮助。</w:t>
            </w:r>
          </w:p>
        </w:tc>
      </w:tr>
      <w:tr>
        <w:trPr>
          <w:trHeight w:val="328"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67" w:lineRule="exact"/>
              <w:ind w:left="135"/>
              <w:rPr>
                <w:sz w:val="21"/>
              </w:rPr>
            </w:pPr>
            <w:r>
              <w:rPr>
                <w:sz w:val="21"/>
              </w:rPr>
              <w:t>上述所谓永久完全系指自事故发生之日起经过一百八十天后，机能仍然完全丧</w:t>
            </w:r>
          </w:p>
        </w:tc>
      </w:tr>
      <w:tr>
        <w:trPr>
          <w:trHeight w:val="39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8" w:lineRule="exact"/>
              <w:ind w:left="135"/>
              <w:rPr>
                <w:sz w:val="21"/>
              </w:rPr>
            </w:pPr>
            <w:r>
              <w:rPr>
                <w:sz w:val="21"/>
              </w:rPr>
              <w:t>失，但眼球摘除等明显无法复原之情况，不在此限。</w:t>
            </w:r>
          </w:p>
        </w:tc>
      </w:tr>
      <w:tr>
        <w:trPr>
          <w:trHeight w:val="391" w:hRule="atLeast"/>
        </w:trPr>
        <w:tc>
          <w:tcPr>
            <w:tcW w:w="526" w:type="dxa"/>
          </w:tcPr>
          <w:p>
            <w:pPr>
              <w:pStyle w:val="TableParagraph"/>
              <w:spacing w:before="54"/>
              <w:ind w:left="50"/>
              <w:rPr>
                <w:rFonts w:ascii="黑体"/>
                <w:sz w:val="21"/>
              </w:rPr>
            </w:pPr>
            <w:r>
              <w:rPr>
                <w:rFonts w:ascii="黑体"/>
                <w:sz w:val="21"/>
              </w:rPr>
              <w:t>7.7</w:t>
            </w:r>
          </w:p>
        </w:tc>
        <w:tc>
          <w:tcPr>
            <w:tcW w:w="1347" w:type="dxa"/>
          </w:tcPr>
          <w:p>
            <w:pPr>
              <w:pStyle w:val="TableParagraph"/>
              <w:spacing w:before="54"/>
              <w:ind w:left="160"/>
              <w:rPr>
                <w:rFonts w:ascii="黑体" w:eastAsia="黑体" w:hint="eastAsia"/>
                <w:sz w:val="21"/>
              </w:rPr>
            </w:pPr>
            <w:r>
              <w:rPr>
                <w:rFonts w:ascii="黑体" w:eastAsia="黑体" w:hint="eastAsia"/>
                <w:sz w:val="21"/>
              </w:rPr>
              <w:t>毒品</w:t>
            </w:r>
          </w:p>
        </w:tc>
        <w:tc>
          <w:tcPr>
            <w:tcW w:w="7563" w:type="dxa"/>
          </w:tcPr>
          <w:p>
            <w:pPr>
              <w:pStyle w:val="TableParagraph"/>
              <w:spacing w:before="54"/>
              <w:ind w:left="135"/>
              <w:rPr>
                <w:sz w:val="21"/>
              </w:rPr>
            </w:pPr>
            <w:r>
              <w:rPr>
                <w:sz w:val="21"/>
              </w:rPr>
              <w:t>指《中华人民共和国刑法》规定的鸦片、海洛因、甲基苯丙胺（冰毒</w:t>
            </w:r>
            <w:r>
              <w:rPr>
                <w:spacing w:val="-106"/>
                <w:sz w:val="21"/>
              </w:rPr>
              <w:t>）</w:t>
            </w:r>
            <w:r>
              <w:rPr>
                <w:sz w:val="21"/>
              </w:rPr>
              <w:t>、吗啡、</w:t>
            </w:r>
          </w:p>
        </w:tc>
      </w:tr>
      <w:tr>
        <w:trPr>
          <w:trHeight w:val="32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大麻、可卡因以及国家规定管制的其他能够使人形成瘾癖的麻醉药品和精神药</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品，但不包括由医生开具并遵医嘱使用的用于治疗疾病但含有毒品成分的处方药</w:t>
            </w:r>
          </w:p>
        </w:tc>
      </w:tr>
      <w:tr>
        <w:trPr>
          <w:trHeight w:val="39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8" w:lineRule="exact"/>
              <w:ind w:left="135"/>
              <w:rPr>
                <w:sz w:val="21"/>
              </w:rPr>
            </w:pPr>
            <w:r>
              <w:rPr>
                <w:sz w:val="21"/>
              </w:rPr>
              <w:t>品。</w:t>
            </w:r>
          </w:p>
        </w:tc>
      </w:tr>
      <w:tr>
        <w:trPr>
          <w:trHeight w:val="391" w:hRule="atLeast"/>
        </w:trPr>
        <w:tc>
          <w:tcPr>
            <w:tcW w:w="526" w:type="dxa"/>
          </w:tcPr>
          <w:p>
            <w:pPr>
              <w:pStyle w:val="TableParagraph"/>
              <w:spacing w:before="54"/>
              <w:ind w:left="50"/>
              <w:rPr>
                <w:rFonts w:ascii="黑体"/>
                <w:sz w:val="21"/>
              </w:rPr>
            </w:pPr>
            <w:r>
              <w:rPr>
                <w:rFonts w:ascii="黑体"/>
                <w:sz w:val="21"/>
              </w:rPr>
              <w:t>7.8</w:t>
            </w:r>
          </w:p>
        </w:tc>
        <w:tc>
          <w:tcPr>
            <w:tcW w:w="1347" w:type="dxa"/>
          </w:tcPr>
          <w:p>
            <w:pPr>
              <w:pStyle w:val="TableParagraph"/>
              <w:spacing w:before="54"/>
              <w:ind w:left="160"/>
              <w:rPr>
                <w:rFonts w:ascii="黑体" w:eastAsia="黑体" w:hint="eastAsia"/>
                <w:sz w:val="21"/>
              </w:rPr>
            </w:pPr>
            <w:r>
              <w:rPr>
                <w:rFonts w:ascii="黑体" w:eastAsia="黑体" w:hint="eastAsia"/>
                <w:sz w:val="21"/>
              </w:rPr>
              <w:t>酒后驾驶</w:t>
            </w:r>
          </w:p>
        </w:tc>
        <w:tc>
          <w:tcPr>
            <w:tcW w:w="7563" w:type="dxa"/>
          </w:tcPr>
          <w:p>
            <w:pPr>
              <w:pStyle w:val="TableParagraph"/>
              <w:spacing w:before="54"/>
              <w:ind w:left="135"/>
              <w:rPr>
                <w:sz w:val="21"/>
              </w:rPr>
            </w:pPr>
            <w:r>
              <w:rPr>
                <w:sz w:val="21"/>
              </w:rPr>
              <w:t>指经检测或鉴定，发生事故时车辆驾驶人员每百毫升血液中的酒精含量达到或超</w:t>
            </w:r>
          </w:p>
        </w:tc>
      </w:tr>
      <w:tr>
        <w:trPr>
          <w:trHeight w:val="32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过一定的标准，公安机关交通管理部门依据《道路交通安全法》的规定认定为饮</w:t>
            </w:r>
          </w:p>
        </w:tc>
      </w:tr>
      <w:tr>
        <w:trPr>
          <w:trHeight w:val="391"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酒后驾驶或醉酒后驾驶。</w:t>
            </w:r>
          </w:p>
        </w:tc>
      </w:tr>
      <w:tr>
        <w:trPr>
          <w:trHeight w:val="390" w:hRule="atLeast"/>
        </w:trPr>
        <w:tc>
          <w:tcPr>
            <w:tcW w:w="526" w:type="dxa"/>
          </w:tcPr>
          <w:p>
            <w:pPr>
              <w:pStyle w:val="TableParagraph"/>
              <w:spacing w:before="54"/>
              <w:ind w:left="50"/>
              <w:rPr>
                <w:rFonts w:ascii="黑体"/>
                <w:sz w:val="21"/>
              </w:rPr>
            </w:pPr>
            <w:r>
              <w:rPr>
                <w:rFonts w:ascii="黑体"/>
                <w:sz w:val="21"/>
              </w:rPr>
              <w:t>7.9</w:t>
            </w:r>
          </w:p>
        </w:tc>
        <w:tc>
          <w:tcPr>
            <w:tcW w:w="1347" w:type="dxa"/>
          </w:tcPr>
          <w:p>
            <w:pPr>
              <w:pStyle w:val="TableParagraph"/>
              <w:spacing w:before="54"/>
              <w:ind w:left="160"/>
              <w:rPr>
                <w:rFonts w:ascii="黑体" w:eastAsia="黑体" w:hint="eastAsia"/>
                <w:sz w:val="21"/>
              </w:rPr>
            </w:pPr>
            <w:r>
              <w:rPr>
                <w:rFonts w:ascii="黑体" w:eastAsia="黑体" w:hint="eastAsia"/>
                <w:sz w:val="21"/>
              </w:rPr>
              <w:t>无合法有效</w:t>
            </w:r>
          </w:p>
        </w:tc>
        <w:tc>
          <w:tcPr>
            <w:tcW w:w="7563" w:type="dxa"/>
          </w:tcPr>
          <w:p>
            <w:pPr>
              <w:pStyle w:val="TableParagraph"/>
              <w:spacing w:before="54"/>
              <w:ind w:left="135"/>
              <w:rPr>
                <w:sz w:val="21"/>
              </w:rPr>
            </w:pPr>
            <w:r>
              <w:rPr>
                <w:sz w:val="21"/>
              </w:rPr>
              <w:t>指下列情形之一：</w:t>
            </w:r>
          </w:p>
        </w:tc>
      </w:tr>
      <w:tr>
        <w:trPr>
          <w:trHeight w:val="319" w:hRule="atLeast"/>
        </w:trPr>
        <w:tc>
          <w:tcPr>
            <w:tcW w:w="526" w:type="dxa"/>
          </w:tcPr>
          <w:p>
            <w:pPr>
              <w:pStyle w:val="TableParagraph"/>
              <w:rPr>
                <w:rFonts w:ascii="Times New Roman"/>
                <w:sz w:val="20"/>
              </w:rPr>
            </w:pPr>
          </w:p>
        </w:tc>
        <w:tc>
          <w:tcPr>
            <w:tcW w:w="1347" w:type="dxa"/>
          </w:tcPr>
          <w:p>
            <w:pPr>
              <w:pStyle w:val="TableParagraph"/>
              <w:spacing w:line="258" w:lineRule="exact"/>
              <w:ind w:left="160"/>
              <w:rPr>
                <w:rFonts w:ascii="黑体" w:eastAsia="黑体" w:hint="eastAsia"/>
                <w:sz w:val="21"/>
              </w:rPr>
            </w:pPr>
            <w:r>
              <w:rPr>
                <w:rFonts w:ascii="黑体" w:eastAsia="黑体" w:hint="eastAsia"/>
                <w:sz w:val="21"/>
              </w:rPr>
              <w:t>驾驶证驾驶</w:t>
            </w:r>
          </w:p>
        </w:tc>
        <w:tc>
          <w:tcPr>
            <w:tcW w:w="7563" w:type="dxa"/>
          </w:tcPr>
          <w:p>
            <w:pPr>
              <w:pStyle w:val="TableParagraph"/>
              <w:spacing w:line="258" w:lineRule="exact"/>
              <w:ind w:left="135"/>
              <w:rPr>
                <w:sz w:val="21"/>
              </w:rPr>
            </w:pPr>
            <w:r>
              <w:rPr>
                <w:sz w:val="21"/>
              </w:rPr>
              <w:t>(1)没有取得驾驶资格；</w:t>
            </w:r>
          </w:p>
        </w:tc>
      </w:tr>
      <w:tr>
        <w:trPr>
          <w:trHeight w:val="320"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(2)驾驶与驾驶证准驾车型不相符合的车辆；</w:t>
            </w:r>
          </w:p>
        </w:tc>
      </w:tr>
      <w:tr>
        <w:trPr>
          <w:trHeight w:val="319" w:hRule="atLeast"/>
        </w:trPr>
        <w:tc>
          <w:tcPr>
            <w:tcW w:w="526" w:type="dxa"/>
          </w:tcPr>
          <w:p>
            <w:pPr>
              <w:pStyle w:val="TableParagraph"/>
              <w:rPr>
                <w:rFonts w:ascii="Times New Roman"/>
                <w:sz w:val="20"/>
              </w:rPr>
            </w:pPr>
          </w:p>
        </w:tc>
        <w:tc>
          <w:tcPr>
            <w:tcW w:w="1347" w:type="dxa"/>
          </w:tcPr>
          <w:p>
            <w:pPr>
              <w:pStyle w:val="TableParagraph"/>
              <w:rPr>
                <w:rFonts w:ascii="Times New Roman"/>
                <w:sz w:val="20"/>
              </w:rPr>
            </w:pPr>
          </w:p>
        </w:tc>
        <w:tc>
          <w:tcPr>
            <w:tcW w:w="7563" w:type="dxa"/>
          </w:tcPr>
          <w:p>
            <w:pPr>
              <w:pStyle w:val="TableParagraph"/>
              <w:spacing w:line="259" w:lineRule="exact"/>
              <w:ind w:left="135"/>
              <w:rPr>
                <w:sz w:val="21"/>
              </w:rPr>
            </w:pPr>
            <w:r>
              <w:rPr>
                <w:sz w:val="21"/>
              </w:rPr>
              <w:t>(3)持审验不合格的驾驶证驾驶；</w:t>
            </w:r>
          </w:p>
        </w:tc>
      </w:tr>
      <w:tr>
        <w:trPr>
          <w:trHeight w:val="264" w:hRule="atLeast"/>
        </w:trPr>
        <w:tc>
          <w:tcPr>
            <w:tcW w:w="526" w:type="dxa"/>
          </w:tcPr>
          <w:p>
            <w:pPr>
              <w:pStyle w:val="TableParagraph"/>
              <w:rPr>
                <w:rFonts w:ascii="Times New Roman"/>
                <w:sz w:val="18"/>
              </w:rPr>
            </w:pPr>
          </w:p>
        </w:tc>
        <w:tc>
          <w:tcPr>
            <w:tcW w:w="1347" w:type="dxa"/>
          </w:tcPr>
          <w:p>
            <w:pPr>
              <w:pStyle w:val="TableParagraph"/>
              <w:rPr>
                <w:rFonts w:ascii="Times New Roman"/>
                <w:sz w:val="18"/>
              </w:rPr>
            </w:pPr>
          </w:p>
        </w:tc>
        <w:tc>
          <w:tcPr>
            <w:tcW w:w="7563" w:type="dxa"/>
          </w:tcPr>
          <w:p>
            <w:pPr>
              <w:pStyle w:val="TableParagraph"/>
              <w:spacing w:line="245" w:lineRule="exact"/>
              <w:ind w:left="135"/>
              <w:rPr>
                <w:sz w:val="21"/>
              </w:rPr>
            </w:pPr>
            <w:r>
              <w:rPr>
                <w:sz w:val="21"/>
              </w:rPr>
              <w:t>(4)持学习驾驶证学习驾车时，无教练员随车指导，或不按指定时间、路线学习</w:t>
            </w:r>
          </w:p>
        </w:tc>
      </w:tr>
    </w:tbl>
    <w:p>
      <w:pPr>
        <w:spacing w:after="0" w:line="245" w:lineRule="exact"/>
        <w:rPr>
          <w:sz w:val="21"/>
        </w:rPr>
        <w:sectPr>
          <w:pgSz w:w="11910" w:h="16840"/>
          <w:pgMar w:top="1500" w:bottom="280" w:left="1180" w:right="1080"/>
        </w:sectPr>
      </w:pPr>
    </w:p>
    <w:p>
      <w:pPr>
        <w:pStyle w:val="BodyText"/>
        <w:spacing w:before="8"/>
        <w:ind w:left="2076"/>
      </w:pPr>
      <w:r>
        <w:rPr/>
        <w:t>驾车。</w:t>
      </w:r>
    </w:p>
    <w:p>
      <w:pPr>
        <w:pStyle w:val="BodyText"/>
        <w:spacing w:before="7"/>
        <w:ind w:left="0"/>
        <w:rPr>
          <w:sz w:val="11"/>
        </w:rPr>
      </w:pPr>
    </w:p>
    <w:p>
      <w:pPr>
        <w:spacing w:after="0"/>
        <w:rPr>
          <w:sz w:val="11"/>
        </w:rPr>
        <w:sectPr>
          <w:pgSz w:w="11910" w:h="16840"/>
          <w:pgMar w:top="1420" w:bottom="280" w:left="1220" w:right="1120"/>
        </w:sectPr>
      </w:pPr>
    </w:p>
    <w:p>
      <w:pPr>
        <w:pStyle w:val="ListParagraph"/>
        <w:numPr>
          <w:ilvl w:val="1"/>
          <w:numId w:val="8"/>
        </w:numPr>
        <w:tabs>
          <w:tab w:pos="753" w:val="left" w:leader="none"/>
          <w:tab w:pos="755" w:val="left" w:leader="none"/>
        </w:tabs>
        <w:spacing w:line="240" w:lineRule="auto" w:before="35" w:after="0"/>
        <w:ind w:left="2076" w:right="0" w:hanging="1958"/>
        <w:jc w:val="left"/>
        <w:rPr>
          <w:rFonts w:ascii="黑体" w:eastAsia="黑体" w:hint="eastAsia"/>
          <w:sz w:val="21"/>
        </w:rPr>
      </w:pPr>
      <w:r>
        <w:rPr>
          <w:rFonts w:ascii="黑体" w:eastAsia="黑体" w:hint="eastAsia"/>
          <w:sz w:val="21"/>
        </w:rPr>
        <w:t>无有效行驶</w:t>
      </w:r>
    </w:p>
    <w:p>
      <w:pPr>
        <w:pStyle w:val="BodyText"/>
        <w:spacing w:before="44"/>
        <w:ind w:left="0" w:right="83"/>
        <w:jc w:val="center"/>
        <w:rPr>
          <w:rFonts w:ascii="黑体" w:eastAsia="黑体" w:hint="eastAsia"/>
        </w:rPr>
      </w:pPr>
      <w:r>
        <w:rPr>
          <w:rFonts w:ascii="黑体" w:eastAsia="黑体" w:hint="eastAsia"/>
        </w:rPr>
        <w:t>证</w:t>
      </w:r>
    </w:p>
    <w:p>
      <w:pPr>
        <w:pStyle w:val="BodyText"/>
        <w:spacing w:line="278" w:lineRule="auto" w:before="35"/>
        <w:ind w:left="118" w:right="4651"/>
      </w:pPr>
      <w:r>
        <w:rPr/>
        <w:br w:type="column"/>
      </w:r>
      <w:r>
        <w:rPr/>
        <w:t>指下列情形之一：         (1)未取得行驶证；        </w:t>
      </w:r>
      <w:r>
        <w:rPr>
          <w:spacing w:val="-1"/>
        </w:rPr>
        <w:t>(2)机动车被依法注销登记的；</w:t>
      </w:r>
    </w:p>
    <w:p>
      <w:pPr>
        <w:pStyle w:val="BodyText"/>
        <w:spacing w:before="11"/>
        <w:ind w:left="118"/>
      </w:pPr>
      <w:r>
        <w:rPr/>
        <w:t>(3)未依法按时进行或通过机动车安全技术检验。</w:t>
      </w:r>
    </w:p>
    <w:p>
      <w:pPr>
        <w:spacing w:after="0"/>
        <w:sectPr>
          <w:type w:val="continuous"/>
          <w:pgSz w:w="11910" w:h="16840"/>
          <w:pgMar w:top="200" w:bottom="280" w:left="1220" w:right="1120"/>
          <w:cols w:num="2" w:equalWidth="0">
            <w:col w:w="1805" w:space="154"/>
            <w:col w:w="7611"/>
          </w:cols>
        </w:sectPr>
      </w:pPr>
    </w:p>
    <w:p>
      <w:pPr>
        <w:pStyle w:val="BodyText"/>
        <w:spacing w:before="7"/>
        <w:ind w:left="0"/>
        <w:rPr>
          <w:sz w:val="11"/>
        </w:rPr>
      </w:pPr>
    </w:p>
    <w:p>
      <w:pPr>
        <w:pStyle w:val="ListParagraph"/>
        <w:numPr>
          <w:ilvl w:val="1"/>
          <w:numId w:val="8"/>
        </w:numPr>
        <w:tabs>
          <w:tab w:pos="753" w:val="left" w:leader="none"/>
          <w:tab w:pos="755" w:val="left" w:leader="none"/>
          <w:tab w:pos="2076" w:val="left" w:leader="none"/>
        </w:tabs>
        <w:spacing w:line="278" w:lineRule="auto" w:before="35" w:after="0"/>
        <w:ind w:left="2076" w:right="215" w:hanging="1958"/>
        <w:jc w:val="left"/>
        <w:rPr>
          <w:sz w:val="21"/>
        </w:rPr>
      </w:pPr>
      <w:r>
        <w:rPr>
          <w:rFonts w:ascii="黑体" w:eastAsia="黑体" w:hint="eastAsia"/>
          <w:sz w:val="21"/>
        </w:rPr>
        <w:t>机动车</w:t>
        <w:tab/>
      </w:r>
      <w:r>
        <w:rPr>
          <w:sz w:val="21"/>
        </w:rPr>
        <w:t>指以动力装置驱动或者牵引</w:t>
      </w:r>
      <w:r>
        <w:rPr>
          <w:spacing w:val="-80"/>
          <w:sz w:val="21"/>
        </w:rPr>
        <w:t>，</w:t>
      </w:r>
      <w:r>
        <w:rPr>
          <w:sz w:val="21"/>
        </w:rPr>
        <w:t>上道路行驶的供人员乘用或者用于运送物品以及进行工程专项作业的轮式车辆。</w:t>
      </w:r>
    </w:p>
    <w:p>
      <w:pPr>
        <w:pStyle w:val="ListParagraph"/>
        <w:numPr>
          <w:ilvl w:val="1"/>
          <w:numId w:val="8"/>
        </w:numPr>
        <w:tabs>
          <w:tab w:pos="753" w:val="left" w:leader="none"/>
          <w:tab w:pos="755" w:val="left" w:leader="none"/>
          <w:tab w:pos="2076" w:val="left" w:leader="none"/>
        </w:tabs>
        <w:spacing w:line="280" w:lineRule="auto" w:before="153" w:after="0"/>
        <w:ind w:left="2076" w:right="110" w:hanging="1958"/>
        <w:jc w:val="left"/>
        <w:rPr>
          <w:sz w:val="21"/>
        </w:rPr>
      </w:pPr>
      <w:r>
        <w:rPr>
          <w:rFonts w:ascii="黑体" w:eastAsia="黑体" w:hint="eastAsia"/>
          <w:sz w:val="21"/>
        </w:rPr>
        <w:t>遗传性疾病</w:t>
        <w:tab/>
      </w:r>
      <w:r>
        <w:rPr>
          <w:sz w:val="21"/>
        </w:rPr>
        <w:t>指生殖细胞或受精卵的遗传物</w:t>
      </w:r>
      <w:r>
        <w:rPr>
          <w:spacing w:val="-93"/>
          <w:sz w:val="21"/>
        </w:rPr>
        <w:t>质</w:t>
      </w:r>
      <w:r>
        <w:rPr>
          <w:sz w:val="21"/>
        </w:rPr>
        <w:t>（染色体和基因</w:t>
      </w:r>
      <w:r>
        <w:rPr>
          <w:spacing w:val="-93"/>
          <w:sz w:val="21"/>
        </w:rPr>
        <w:t>）</w:t>
      </w:r>
      <w:r>
        <w:rPr>
          <w:sz w:val="21"/>
        </w:rPr>
        <w:t>发生突变或畸变所引起的疾病，通常具有由亲代传至后代的垂直传递的特征。</w:t>
      </w:r>
    </w:p>
    <w:p>
      <w:pPr>
        <w:pStyle w:val="BodyText"/>
        <w:spacing w:before="11"/>
        <w:ind w:left="0"/>
        <w:rPr>
          <w:sz w:val="8"/>
        </w:rPr>
      </w:pPr>
    </w:p>
    <w:p>
      <w:pPr>
        <w:spacing w:after="0"/>
        <w:rPr>
          <w:sz w:val="8"/>
        </w:rPr>
        <w:sectPr>
          <w:type w:val="continuous"/>
          <w:pgSz w:w="11910" w:h="16840"/>
          <w:pgMar w:top="200" w:bottom="280" w:left="1220" w:right="1120"/>
        </w:sectPr>
      </w:pPr>
    </w:p>
    <w:p>
      <w:pPr>
        <w:pStyle w:val="ListParagraph"/>
        <w:numPr>
          <w:ilvl w:val="1"/>
          <w:numId w:val="8"/>
        </w:numPr>
        <w:tabs>
          <w:tab w:pos="753" w:val="left" w:leader="none"/>
          <w:tab w:pos="755" w:val="left" w:leader="none"/>
        </w:tabs>
        <w:spacing w:line="240" w:lineRule="auto" w:before="36" w:after="0"/>
        <w:ind w:left="2076" w:right="0" w:hanging="1958"/>
        <w:jc w:val="left"/>
        <w:rPr>
          <w:rFonts w:ascii="黑体" w:eastAsia="黑体" w:hint="eastAsia"/>
          <w:sz w:val="21"/>
        </w:rPr>
      </w:pPr>
      <w:r>
        <w:rPr>
          <w:rFonts w:ascii="黑体" w:eastAsia="黑体" w:hint="eastAsia"/>
          <w:sz w:val="21"/>
        </w:rPr>
        <w:t>先天性畸</w:t>
      </w:r>
    </w:p>
    <w:p>
      <w:pPr>
        <w:pStyle w:val="BodyText"/>
        <w:spacing w:line="278" w:lineRule="auto" w:before="45"/>
        <w:ind w:left="754"/>
        <w:rPr>
          <w:rFonts w:ascii="黑体" w:eastAsia="黑体" w:hint="eastAsia"/>
        </w:rPr>
      </w:pPr>
      <w:r>
        <w:rPr>
          <w:rFonts w:ascii="黑体" w:eastAsia="黑体" w:hint="eastAsia"/>
        </w:rPr>
        <w:t>形、变形或染色体异常</w:t>
      </w:r>
    </w:p>
    <w:p>
      <w:pPr>
        <w:pStyle w:val="BodyText"/>
        <w:spacing w:line="278" w:lineRule="auto" w:before="36"/>
        <w:ind w:left="118" w:right="215"/>
        <w:jc w:val="both"/>
      </w:pPr>
      <w:r>
        <w:rPr/>
        <w:br w:type="column"/>
      </w:r>
      <w:r>
        <w:rPr>
          <w:spacing w:val="-5"/>
        </w:rPr>
        <w:t>指被保险人出生时就具有的畸形、变形或染色体异常。先天性畸形、变形和染色</w:t>
      </w:r>
      <w:r>
        <w:rPr>
          <w:spacing w:val="-9"/>
        </w:rPr>
        <w:t>体异常依照世界卫生组织《疾病和有关健康问题的国际统计分类》</w:t>
      </w:r>
      <w:r>
        <w:rPr/>
        <w:t>（ICD-10）确定。</w:t>
      </w:r>
    </w:p>
    <w:p>
      <w:pPr>
        <w:spacing w:after="0" w:line="278" w:lineRule="auto"/>
        <w:jc w:val="both"/>
        <w:sectPr>
          <w:type w:val="continuous"/>
          <w:pgSz w:w="11910" w:h="16840"/>
          <w:pgMar w:top="200" w:bottom="280" w:left="1220" w:right="1120"/>
          <w:cols w:num="2" w:equalWidth="0">
            <w:col w:w="1805" w:space="154"/>
            <w:col w:w="7611"/>
          </w:cols>
        </w:sectPr>
      </w:pPr>
    </w:p>
    <w:p>
      <w:pPr>
        <w:pStyle w:val="BodyText"/>
        <w:spacing w:before="5"/>
        <w:ind w:left="0"/>
        <w:rPr>
          <w:sz w:val="12"/>
        </w:rPr>
      </w:pPr>
    </w:p>
    <w:p>
      <w:pPr>
        <w:spacing w:after="0"/>
        <w:rPr>
          <w:sz w:val="12"/>
        </w:rPr>
        <w:sectPr>
          <w:type w:val="continuous"/>
          <w:pgSz w:w="11910" w:h="16840"/>
          <w:pgMar w:top="200" w:bottom="280" w:left="1220" w:right="1120"/>
        </w:sectPr>
      </w:pPr>
    </w:p>
    <w:p>
      <w:pPr>
        <w:pStyle w:val="ListParagraph"/>
        <w:numPr>
          <w:ilvl w:val="1"/>
          <w:numId w:val="8"/>
        </w:numPr>
        <w:tabs>
          <w:tab w:pos="753" w:val="left" w:leader="none"/>
          <w:tab w:pos="755" w:val="left" w:leader="none"/>
        </w:tabs>
        <w:spacing w:line="240" w:lineRule="auto" w:before="35" w:after="0"/>
        <w:ind w:left="2076" w:right="0" w:hanging="1958"/>
        <w:jc w:val="left"/>
        <w:rPr>
          <w:rFonts w:ascii="黑体" w:eastAsia="黑体" w:hint="eastAsia"/>
          <w:sz w:val="21"/>
        </w:rPr>
      </w:pPr>
      <w:r>
        <w:rPr>
          <w:rFonts w:ascii="黑体" w:eastAsia="黑体" w:hint="eastAsia"/>
          <w:sz w:val="21"/>
        </w:rPr>
        <w:t>感染艾滋病</w:t>
      </w:r>
    </w:p>
    <w:p>
      <w:pPr>
        <w:pStyle w:val="BodyText"/>
        <w:spacing w:line="278" w:lineRule="auto" w:before="45"/>
        <w:ind w:left="754"/>
        <w:rPr>
          <w:rFonts w:ascii="黑体" w:eastAsia="黑体" w:hint="eastAsia"/>
        </w:rPr>
      </w:pPr>
      <w:r>
        <w:rPr>
          <w:rFonts w:ascii="黑体" w:eastAsia="黑体" w:hint="eastAsia"/>
        </w:rPr>
        <w:t>病毒或患艾滋病</w:t>
      </w:r>
    </w:p>
    <w:p>
      <w:pPr>
        <w:pStyle w:val="BodyText"/>
        <w:spacing w:line="280" w:lineRule="auto" w:before="35"/>
        <w:ind w:left="118" w:right="216"/>
        <w:jc w:val="both"/>
      </w:pPr>
      <w:r>
        <w:rPr/>
        <w:br w:type="column"/>
      </w:r>
      <w:r>
        <w:rPr>
          <w:spacing w:val="-5"/>
        </w:rPr>
        <w:t>艾滋病病毒指人类免疫缺陷病毒，英文缩写为 </w:t>
      </w:r>
      <w:r>
        <w:rPr/>
        <w:t>HIV</w:t>
      </w:r>
      <w:r>
        <w:rPr>
          <w:spacing w:val="-4"/>
        </w:rPr>
        <w:t>。艾滋病指人类免疫缺陷病毒</w:t>
      </w:r>
      <w:r>
        <w:rPr>
          <w:spacing w:val="-8"/>
        </w:rPr>
        <w:t>引起的获得性免疫缺陷综合征，英文缩写为 </w:t>
      </w:r>
      <w:r>
        <w:rPr/>
        <w:t>AIDS。</w:t>
      </w:r>
    </w:p>
    <w:p>
      <w:pPr>
        <w:pStyle w:val="BodyText"/>
        <w:spacing w:line="280" w:lineRule="auto" w:before="8"/>
        <w:ind w:left="118" w:right="215"/>
        <w:jc w:val="both"/>
      </w:pPr>
      <w:r>
        <w:rPr>
          <w:spacing w:val="-3"/>
        </w:rPr>
        <w:t>在人体血液或其他样本中检测到艾滋病病毒或其抗体呈阳性，没有出现临床症状</w:t>
      </w:r>
      <w:r>
        <w:rPr>
          <w:spacing w:val="-9"/>
        </w:rPr>
        <w:t>或体征的，为感染艾滋病病毒；如果同时出现了明显临床症状或体征的，为患艾滋病。</w:t>
      </w:r>
    </w:p>
    <w:p>
      <w:pPr>
        <w:spacing w:after="0" w:line="280" w:lineRule="auto"/>
        <w:jc w:val="both"/>
        <w:sectPr>
          <w:type w:val="continuous"/>
          <w:pgSz w:w="11910" w:h="16840"/>
          <w:pgMar w:top="200" w:bottom="280" w:left="1220" w:right="1120"/>
          <w:cols w:num="2" w:equalWidth="0">
            <w:col w:w="1805" w:space="154"/>
            <w:col w:w="7611"/>
          </w:cols>
        </w:sectPr>
      </w:pPr>
    </w:p>
    <w:p>
      <w:pPr>
        <w:pStyle w:val="ListParagraph"/>
        <w:numPr>
          <w:ilvl w:val="1"/>
          <w:numId w:val="8"/>
        </w:numPr>
        <w:tabs>
          <w:tab w:pos="753" w:val="left" w:leader="none"/>
          <w:tab w:pos="755" w:val="left" w:leader="none"/>
          <w:tab w:pos="2076" w:val="left" w:leader="none"/>
        </w:tabs>
        <w:spacing w:line="280" w:lineRule="auto" w:before="88" w:after="0"/>
        <w:ind w:left="2076" w:right="137" w:hanging="1958"/>
        <w:jc w:val="left"/>
        <w:rPr>
          <w:sz w:val="21"/>
        </w:rPr>
      </w:pPr>
      <w:r>
        <w:rPr>
          <w:rFonts w:ascii="黑体" w:eastAsia="黑体" w:hint="eastAsia"/>
          <w:sz w:val="21"/>
        </w:rPr>
        <w:t>现金价值</w:t>
        <w:tab/>
      </w:r>
      <w:r>
        <w:rPr>
          <w:sz w:val="21"/>
        </w:rPr>
        <w:t>指本附加险合同所具有的价值，通常体现为解除合同时，根据精算原理计算的，由我们退还的那部分金额。现金价值见本附加险合同相应栏目。</w:t>
      </w:r>
    </w:p>
    <w:p>
      <w:pPr>
        <w:pStyle w:val="ListParagraph"/>
        <w:numPr>
          <w:ilvl w:val="1"/>
          <w:numId w:val="8"/>
        </w:numPr>
        <w:tabs>
          <w:tab w:pos="753" w:val="left" w:leader="none"/>
          <w:tab w:pos="754" w:val="left" w:leader="none"/>
          <w:tab w:pos="2076" w:val="left" w:leader="none"/>
        </w:tabs>
        <w:spacing w:line="278" w:lineRule="auto" w:before="150" w:after="0"/>
        <w:ind w:left="2076" w:right="215" w:hanging="1958"/>
        <w:jc w:val="left"/>
        <w:rPr>
          <w:sz w:val="21"/>
        </w:rPr>
      </w:pPr>
      <w:r>
        <w:rPr>
          <w:rFonts w:ascii="黑体" w:eastAsia="黑体" w:hint="eastAsia"/>
          <w:sz w:val="21"/>
        </w:rPr>
        <w:t>斗殴</w:t>
        <w:tab/>
      </w:r>
      <w:r>
        <w:rPr>
          <w:sz w:val="21"/>
        </w:rPr>
        <w:t>指双方或多方通过拳脚</w:t>
      </w:r>
      <w:r>
        <w:rPr>
          <w:spacing w:val="-27"/>
          <w:sz w:val="21"/>
        </w:rPr>
        <w:t>、</w:t>
      </w:r>
      <w:r>
        <w:rPr>
          <w:sz w:val="21"/>
        </w:rPr>
        <w:t>器械等武力以求制胜的行为</w:t>
      </w:r>
      <w:r>
        <w:rPr>
          <w:spacing w:val="-27"/>
          <w:sz w:val="21"/>
        </w:rPr>
        <w:t>。</w:t>
      </w:r>
      <w:r>
        <w:rPr>
          <w:sz w:val="21"/>
        </w:rPr>
        <w:t>关于斗殴的认定</w:t>
      </w:r>
      <w:r>
        <w:rPr>
          <w:spacing w:val="-27"/>
          <w:sz w:val="21"/>
        </w:rPr>
        <w:t>，</w:t>
      </w:r>
      <w:r>
        <w:rPr>
          <w:sz w:val="21"/>
        </w:rPr>
        <w:t>如有司法机关、公安部门的有关法律文件，则以上述法律文件为准。</w:t>
      </w:r>
    </w:p>
    <w:p>
      <w:pPr>
        <w:pStyle w:val="ListParagraph"/>
        <w:numPr>
          <w:ilvl w:val="1"/>
          <w:numId w:val="8"/>
        </w:numPr>
        <w:tabs>
          <w:tab w:pos="753" w:val="left" w:leader="none"/>
          <w:tab w:pos="755" w:val="left" w:leader="none"/>
          <w:tab w:pos="2076" w:val="left" w:leader="none"/>
        </w:tabs>
        <w:spacing w:line="280" w:lineRule="auto" w:before="153" w:after="0"/>
        <w:ind w:left="2076" w:right="215" w:hanging="1958"/>
        <w:jc w:val="left"/>
        <w:rPr>
          <w:sz w:val="21"/>
        </w:rPr>
      </w:pPr>
      <w:r>
        <w:rPr>
          <w:rFonts w:ascii="黑体" w:eastAsia="黑体" w:hint="eastAsia"/>
          <w:sz w:val="21"/>
        </w:rPr>
        <w:t>非处方药</w:t>
        <w:tab/>
      </w:r>
      <w:r>
        <w:rPr>
          <w:sz w:val="21"/>
        </w:rPr>
        <w:t>指在使用药品当时</w:t>
      </w:r>
      <w:r>
        <w:rPr>
          <w:spacing w:val="-40"/>
          <w:sz w:val="21"/>
        </w:rPr>
        <w:t>，</w:t>
      </w:r>
      <w:r>
        <w:rPr>
          <w:sz w:val="21"/>
        </w:rPr>
        <w:t>由国务院药品监督管理部门公布的</w:t>
      </w:r>
      <w:r>
        <w:rPr>
          <w:spacing w:val="-40"/>
          <w:sz w:val="21"/>
        </w:rPr>
        <w:t>，</w:t>
      </w:r>
      <w:r>
        <w:rPr>
          <w:sz w:val="21"/>
        </w:rPr>
        <w:t>不需要凭执业医师和执业助理医师处方，消费者可以自行判断、购买和使用的药品。</w:t>
      </w:r>
    </w:p>
    <w:p>
      <w:pPr>
        <w:pStyle w:val="BodyText"/>
        <w:spacing w:before="5"/>
        <w:ind w:left="0"/>
        <w:rPr>
          <w:sz w:val="20"/>
        </w:rPr>
      </w:pPr>
    </w:p>
    <w:p>
      <w:pPr>
        <w:pStyle w:val="Heading2"/>
        <w:ind w:left="118"/>
        <w:rPr>
          <w:rFonts w:ascii="微软雅黑" w:eastAsia="微软雅黑" w:hint="eastAsia"/>
        </w:rPr>
      </w:pPr>
      <w:r>
        <w:rPr>
          <w:rFonts w:ascii="微软雅黑" w:eastAsia="微软雅黑" w:hint="eastAsia"/>
        </w:rPr>
        <w:t>附件 1：重大疾病范围及定义</w:t>
      </w:r>
    </w:p>
    <w:p>
      <w:pPr>
        <w:pStyle w:val="BodyText"/>
        <w:tabs>
          <w:tab w:pos="2076" w:val="left" w:leader="none"/>
        </w:tabs>
        <w:spacing w:line="228" w:lineRule="auto" w:before="175"/>
        <w:ind w:left="2076" w:right="137" w:hanging="1119"/>
      </w:pPr>
      <w:r>
        <w:rPr/>
        <w:t>重大疾病</w:t>
        <w:tab/>
        <w:t>指被保险人初次发生符合下列定义的疾病，或初次接受符合下列所定义的手术。该疾病或手术由</w:t>
      </w:r>
      <w:r>
        <w:rPr>
          <w:rFonts w:ascii="微软雅黑" w:eastAsia="微软雅黑" w:hint="eastAsia"/>
          <w:b/>
        </w:rPr>
        <w:t>专科医生</w:t>
      </w:r>
      <w:r>
        <w:rPr/>
        <w:t>明确诊断</w:t>
      </w:r>
      <w:r>
        <w:rPr>
          <w:spacing w:val="-83"/>
        </w:rPr>
        <w:t>。</w:t>
      </w:r>
      <w:r>
        <w:rPr/>
        <w:t>以下是本附加险合同所附二十五种重大疾病</w:t>
      </w:r>
    </w:p>
    <w:p>
      <w:pPr>
        <w:pStyle w:val="BodyText"/>
        <w:spacing w:line="278" w:lineRule="auto" w:before="19"/>
        <w:ind w:left="2076" w:right="110"/>
        <w:jc w:val="both"/>
      </w:pPr>
      <w:r>
        <w:rPr>
          <w:spacing w:val="-8"/>
        </w:rPr>
        <w:t>的定义，其中第一种至第十九种重大疾病是中国保险行业协会制定的《重大疾病</w:t>
      </w:r>
      <w:r>
        <w:rPr>
          <w:spacing w:val="-13"/>
        </w:rPr>
        <w:t>保险的疾病定义使用规范》中列明的疾病，第二十种至第二十五种重大疾病是我</w:t>
      </w:r>
      <w:r>
        <w:rPr>
          <w:spacing w:val="-16"/>
        </w:rPr>
        <w:t>们在上述《重大疾病保险的疾病定义使用规范》定义的疾病范围之外增加的疾病。</w:t>
      </w:r>
    </w:p>
    <w:p>
      <w:pPr>
        <w:pStyle w:val="BodyText"/>
        <w:spacing w:before="153"/>
        <w:ind w:left="2076"/>
      </w:pPr>
      <w:r>
        <w:rPr/>
        <w:t>（一）恶性肿瘤</w:t>
      </w:r>
    </w:p>
    <w:p>
      <w:pPr>
        <w:pStyle w:val="BodyText"/>
        <w:spacing w:line="278" w:lineRule="auto" w:before="45"/>
        <w:ind w:left="2076" w:right="110"/>
      </w:pPr>
      <w:r>
        <w:rPr>
          <w:spacing w:val="-5"/>
        </w:rPr>
        <w:t>指恶性细胞不受控制的进行性增长和扩散，浸润和破坏周围正常组织，可以经血</w:t>
      </w:r>
      <w:r>
        <w:rPr>
          <w:spacing w:val="-15"/>
        </w:rPr>
        <w:t>管、淋巴管和体腔扩散转移到身体其他部位的疾病。经病理学检查结果明确诊断， </w:t>
      </w:r>
      <w:r>
        <w:rPr>
          <w:spacing w:val="-18"/>
        </w:rPr>
        <w:t>临床诊断属于世界卫生组织《疾病和有关健康问题的国际统计分类》</w:t>
      </w:r>
      <w:r>
        <w:rPr/>
        <w:t>（ICD-10） 的恶性肿瘤范畴。</w:t>
      </w:r>
    </w:p>
    <w:p>
      <w:pPr>
        <w:pStyle w:val="BodyText"/>
        <w:spacing w:line="280" w:lineRule="auto" w:before="10"/>
        <w:ind w:left="2076" w:right="4954"/>
      </w:pPr>
      <w:r>
        <w:rPr>
          <w:shd w:fill="D9D9D9" w:color="auto" w:val="clear"/>
        </w:rPr>
        <w:t>下列疾病不在保障范围内：</w:t>
      </w:r>
      <w:r>
        <w:rPr/>
        <w:t> </w:t>
      </w:r>
      <w:r>
        <w:rPr>
          <w:shd w:fill="D9D9D9" w:color="auto" w:val="clear"/>
        </w:rPr>
        <w:t>(1)原位癌；</w:t>
      </w:r>
    </w:p>
    <w:p>
      <w:pPr>
        <w:pStyle w:val="BodyText"/>
        <w:spacing w:before="9"/>
        <w:ind w:left="2076"/>
      </w:pPr>
      <w:r>
        <w:rPr>
          <w:shd w:fill="D9D9D9" w:color="auto" w:val="clear"/>
        </w:rPr>
        <w:t>(2)相当于 Binet 分期方案 A 期程度的慢性淋巴细胞白血病；</w:t>
      </w:r>
    </w:p>
    <w:p>
      <w:pPr>
        <w:pStyle w:val="BodyText"/>
        <w:spacing w:before="43"/>
        <w:ind w:left="2076"/>
      </w:pPr>
      <w:r>
        <w:rPr>
          <w:shd w:fill="D9D9D9" w:color="auto" w:val="clear"/>
        </w:rPr>
        <w:t>(3)相当于 Ann Arbor 分期方案 I 期程度的何杰金氏病；</w:t>
      </w:r>
    </w:p>
    <w:p>
      <w:pPr>
        <w:spacing w:after="0"/>
        <w:sectPr>
          <w:type w:val="continuous"/>
          <w:pgSz w:w="11910" w:h="16840"/>
          <w:pgMar w:top="200" w:bottom="280" w:left="1220" w:right="1120"/>
        </w:sectPr>
      </w:pPr>
    </w:p>
    <w:p>
      <w:pPr>
        <w:pStyle w:val="BodyText"/>
        <w:spacing w:line="278" w:lineRule="auto" w:before="8"/>
        <w:ind w:right="2027"/>
      </w:pP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pPr>
      <w:r>
        <w:rPr/>
        <w:t>（二）重大器官移植术或造血干细胞移植术</w:t>
      </w:r>
    </w:p>
    <w:p>
      <w:pPr>
        <w:pStyle w:val="BodyText"/>
        <w:spacing w:line="278" w:lineRule="auto" w:before="45"/>
        <w:ind w:right="213"/>
      </w:pPr>
      <w:r>
        <w:rPr>
          <w:spacing w:val="-6"/>
        </w:rPr>
        <w:t>重大器官移植术，指因相应器官功能衰竭，已经实施了肾脏、肝脏、心脏或肺脏的异体移植手术。</w:t>
      </w:r>
    </w:p>
    <w:p>
      <w:pPr>
        <w:pStyle w:val="BodyText"/>
        <w:spacing w:line="278" w:lineRule="auto" w:before="11"/>
        <w:ind w:right="215"/>
        <w:jc w:val="both"/>
      </w:pPr>
      <w:r>
        <w:rPr>
          <w:spacing w:val="-7"/>
        </w:rPr>
        <w:t>造血干细胞移植术，指因造血功能损害或造血系统恶性肿瘤，已经实施了造血干</w:t>
      </w:r>
      <w:r>
        <w:rPr>
          <w:spacing w:val="-17"/>
        </w:rPr>
        <w:t>细胞</w:t>
      </w:r>
      <w:r>
        <w:rPr/>
        <w:t>（</w:t>
      </w:r>
      <w:r>
        <w:rPr>
          <w:spacing w:val="-3"/>
        </w:rPr>
        <w:t>包括骨髓造血干细胞、外周血造血干细胞和脐血造血干细胞</w:t>
      </w:r>
      <w:r>
        <w:rPr>
          <w:spacing w:val="-27"/>
        </w:rPr>
        <w:t>）</w:t>
      </w:r>
      <w:r>
        <w:rPr/>
        <w:t>的异体移植手术。</w:t>
      </w:r>
    </w:p>
    <w:p>
      <w:pPr>
        <w:pStyle w:val="BodyText"/>
        <w:spacing w:before="153"/>
      </w:pPr>
      <w:r>
        <w:rPr/>
        <w:t>（三）终末期肾病（或称慢性肾功能衰竭尿毒症期）</w:t>
      </w:r>
    </w:p>
    <w:p>
      <w:pPr>
        <w:pStyle w:val="BodyText"/>
        <w:spacing w:line="280" w:lineRule="auto" w:before="45"/>
        <w:ind w:right="242"/>
      </w:pPr>
      <w:r>
        <w:rPr>
          <w:spacing w:val="-2"/>
        </w:rPr>
        <w:t>指双肾功能慢性不可逆性衰竭，达到尿毒症期，经诊断后已经进行了至少 </w:t>
      </w:r>
      <w:r>
        <w:rPr/>
        <w:t>90</w:t>
      </w:r>
      <w:r>
        <w:rPr>
          <w:spacing w:val="-33"/>
        </w:rPr>
        <w:t> 天的规律性透析治疗或实施了肾脏移植手术。</w:t>
      </w:r>
    </w:p>
    <w:p>
      <w:pPr>
        <w:pStyle w:val="BodyText"/>
        <w:spacing w:before="151"/>
      </w:pPr>
      <w:r>
        <w:rPr/>
        <w:t>（四）多个肢体缺失</w:t>
      </w:r>
    </w:p>
    <w:p>
      <w:pPr>
        <w:pStyle w:val="BodyText"/>
        <w:spacing w:line="280" w:lineRule="auto" w:before="44"/>
        <w:ind w:right="139"/>
      </w:pPr>
      <w:r>
        <w:rPr/>
        <w:t>指因疾病或意外伤害导致两个或两个以上肢体自腕关节或踝关节近端（靠近躯干端）以上完全性断离。</w:t>
      </w:r>
    </w:p>
    <w:p>
      <w:pPr>
        <w:pStyle w:val="BodyText"/>
        <w:spacing w:before="151"/>
      </w:pPr>
      <w:r>
        <w:rPr/>
        <w:t>（五）急性或亚急性重症肝炎</w:t>
      </w:r>
    </w:p>
    <w:p>
      <w:pPr>
        <w:pStyle w:val="BodyText"/>
        <w:spacing w:line="278" w:lineRule="auto" w:before="45"/>
        <w:ind w:right="139"/>
      </w:pPr>
      <w:r>
        <w:rPr/>
        <w:t>指因肝炎病毒感染引起肝脏组织弥漫性坏死，导致急性肝功能衰竭，且经血清学或病毒学检查证实，并须满足下列全部条件：</w:t>
      </w:r>
    </w:p>
    <w:p>
      <w:pPr>
        <w:pStyle w:val="BodyText"/>
        <w:spacing w:line="280" w:lineRule="auto" w:before="11"/>
        <w:ind w:right="4639"/>
      </w:pPr>
      <w:r>
        <w:rPr/>
        <w:t>(1)重度黄疸或黄疸迅速加重； (2)肝性脑病；</w:t>
      </w:r>
    </w:p>
    <w:p>
      <w:pPr>
        <w:pStyle w:val="BodyText"/>
        <w:spacing w:line="280" w:lineRule="auto" w:before="8"/>
        <w:ind w:right="2750"/>
      </w:pPr>
      <w:r>
        <w:rPr/>
        <w:t>(3)B 超或其他影像学检查显示肝脏体积急速萎缩； (4)肝功能指标进行性恶化。</w:t>
      </w:r>
    </w:p>
    <w:p>
      <w:pPr>
        <w:pStyle w:val="BodyText"/>
        <w:spacing w:before="151"/>
      </w:pPr>
      <w:r>
        <w:rPr/>
        <w:t>（六）良性脑肿瘤</w:t>
      </w:r>
    </w:p>
    <w:p>
      <w:pPr>
        <w:pStyle w:val="BodyText"/>
        <w:spacing w:line="278" w:lineRule="auto" w:before="45"/>
        <w:ind w:right="109" w:hanging="1"/>
      </w:pPr>
      <w:r>
        <w:rPr>
          <w:spacing w:val="-13"/>
        </w:rPr>
        <w:t>指脑的良性肿瘤，已经引起颅内压增高，临床表现为视神经乳头水肿、精神症状、</w:t>
      </w:r>
      <w:r>
        <w:rPr/>
        <w:t>癫痫及运动感觉障碍等，并危及生命。须由头颅断层扫描</w:t>
      </w:r>
      <w:r>
        <w:rPr>
          <w:spacing w:val="0"/>
        </w:rPr>
        <w:t>（</w:t>
      </w:r>
      <w:r>
        <w:rPr>
          <w:spacing w:val="-1"/>
        </w:rPr>
        <w:t>C</w:t>
      </w:r>
      <w:r>
        <w:rPr/>
        <w:t>T</w:t>
      </w:r>
      <w:r>
        <w:rPr>
          <w:spacing w:val="-105"/>
        </w:rPr>
        <w:t>）</w:t>
      </w:r>
      <w:r>
        <w:rPr/>
        <w:t>、核磁共振检查</w:t>
      </w:r>
    </w:p>
    <w:p>
      <w:pPr>
        <w:pStyle w:val="BodyText"/>
        <w:spacing w:line="280" w:lineRule="auto" w:before="12"/>
        <w:ind w:right="138"/>
      </w:pPr>
      <w:r>
        <w:rPr/>
        <w:t>（MRI）或正电子发射断层扫描（PET）等影像学检查证实，并须满足下列至少一项条件：</w:t>
      </w:r>
    </w:p>
    <w:p>
      <w:pPr>
        <w:pStyle w:val="BodyText"/>
        <w:spacing w:line="280" w:lineRule="auto" w:before="8"/>
        <w:ind w:right="1711"/>
      </w:pPr>
      <w:r>
        <w:rPr/>
        <w:t>(1)实际实施了开颅进行的脑肿瘤完全切除或部分切除的手术； (2)实际实施了对脑肿瘤进行的放射治疗。</w:t>
      </w:r>
    </w:p>
    <w:p>
      <w:pPr>
        <w:pStyle w:val="BodyText"/>
        <w:spacing w:before="9"/>
      </w:pPr>
      <w:r>
        <w:rPr>
          <w:shd w:fill="D9D9D9" w:color="auto" w:val="clear"/>
        </w:rPr>
        <w:t>脑垂体瘤、脑囊肿、脑血管性疾病不在保障范围内。</w:t>
      </w:r>
    </w:p>
    <w:p>
      <w:pPr>
        <w:pStyle w:val="BodyText"/>
        <w:spacing w:before="3"/>
        <w:ind w:left="0"/>
        <w:rPr>
          <w:sz w:val="14"/>
        </w:rPr>
      </w:pPr>
    </w:p>
    <w:p>
      <w:pPr>
        <w:pStyle w:val="BodyText"/>
        <w:spacing w:before="1"/>
      </w:pPr>
      <w:r>
        <w:rPr/>
        <w:t>（七）慢性肝功能衰竭失代偿期</w:t>
      </w:r>
    </w:p>
    <w:p>
      <w:pPr>
        <w:pStyle w:val="BodyText"/>
        <w:spacing w:line="280" w:lineRule="auto" w:before="44"/>
        <w:ind w:right="2014"/>
      </w:pPr>
      <w:r>
        <w:rPr/>
        <w:t>指因慢性肝脏疾病导致肝功能衰竭。须满足下列全部条件： (1)持续性黄疸；</w:t>
      </w:r>
    </w:p>
    <w:p>
      <w:pPr>
        <w:pStyle w:val="BodyText"/>
        <w:spacing w:line="278" w:lineRule="auto" w:before="9"/>
        <w:ind w:right="6121"/>
      </w:pPr>
      <w:r>
        <w:rPr/>
        <w:t>(2)腹水；  </w:t>
      </w:r>
      <w:r>
        <w:rPr>
          <w:spacing w:val="-1"/>
        </w:rPr>
        <w:t>(3)肝性脑病；</w:t>
      </w:r>
    </w:p>
    <w:p>
      <w:pPr>
        <w:pStyle w:val="BodyText"/>
        <w:spacing w:line="280" w:lineRule="auto" w:before="11"/>
        <w:ind w:right="2447"/>
      </w:pPr>
      <w:r>
        <w:rPr/>
        <w:t>(4)充血性脾肿大伴脾功能亢进或食管胃底静脉曲张。</w:t>
      </w:r>
      <w:r>
        <w:rPr>
          <w:shd w:fill="D9D9D9" w:color="auto" w:val="clear"/>
        </w:rPr>
        <w:t>因酗酒或药物滥用导致的肝功能衰竭不在保障范围内。</w:t>
      </w:r>
    </w:p>
    <w:p>
      <w:pPr>
        <w:pStyle w:val="BodyText"/>
        <w:spacing w:before="151"/>
      </w:pPr>
      <w:r>
        <w:rPr/>
        <w:t>（八）脑炎后遗症或脑膜炎后遗症</w:t>
      </w:r>
    </w:p>
    <w:p>
      <w:pPr>
        <w:pStyle w:val="BodyText"/>
        <w:spacing w:line="280" w:lineRule="auto" w:before="44"/>
        <w:ind w:right="139"/>
      </w:pPr>
      <w:r>
        <w:rPr/>
        <w:t>指因患脑炎或脑膜炎导致的神经系统永久性的功能障碍。神经系统永久性的功能障碍，指疾病确诊 180 天后，仍遗留下列一种或一种以上障碍：</w:t>
      </w:r>
    </w:p>
    <w:p>
      <w:pPr>
        <w:spacing w:after="0" w:line="280" w:lineRule="auto"/>
        <w:sectPr>
          <w:pgSz w:w="11910" w:h="16840"/>
          <w:pgMar w:top="1420" w:bottom="280" w:left="1680" w:right="1120"/>
        </w:sectPr>
      </w:pPr>
    </w:p>
    <w:p>
      <w:pPr>
        <w:pStyle w:val="BodyText"/>
        <w:spacing w:line="278" w:lineRule="auto" w:before="8"/>
        <w:ind w:right="3799"/>
      </w:pPr>
      <w:r>
        <w:rPr/>
        <w:t>(1)一肢或一肢以上肢体机能完全丧失； (2)语言能力或咀嚼吞咽能力完全丧失；</w:t>
      </w:r>
    </w:p>
    <w:p>
      <w:pPr>
        <w:pStyle w:val="BodyText"/>
        <w:spacing w:line="280" w:lineRule="auto" w:before="11"/>
        <w:ind w:right="214"/>
      </w:pPr>
      <w:r>
        <w:rPr/>
        <w:t>(3)自主生活能力完全丧失，无法独立完成六项基本日常生活活动中的三项或三项以上。</w:t>
      </w:r>
    </w:p>
    <w:p>
      <w:pPr>
        <w:pStyle w:val="BodyText"/>
        <w:spacing w:before="151"/>
      </w:pPr>
      <w:r>
        <w:rPr/>
        <w:t>（九）深度昏迷</w:t>
      </w:r>
    </w:p>
    <w:p>
      <w:pPr>
        <w:pStyle w:val="BodyText"/>
        <w:spacing w:line="280" w:lineRule="auto" w:before="44"/>
        <w:ind w:right="211"/>
        <w:jc w:val="both"/>
      </w:pPr>
      <w:r>
        <w:rPr/>
        <w:t>指因疾病或意外伤害导致意识丧失,对外界刺激和体内需求均无反应,昏迷程度按照格拉斯哥昏迷分级（Glasgow</w:t>
      </w:r>
      <w:r>
        <w:rPr>
          <w:spacing w:val="-39"/>
        </w:rPr>
        <w:t> </w:t>
      </w:r>
      <w:r>
        <w:rPr/>
        <w:t>coma</w:t>
      </w:r>
      <w:r>
        <w:rPr>
          <w:spacing w:val="-41"/>
        </w:rPr>
        <w:t> </w:t>
      </w:r>
      <w:r>
        <w:rPr/>
        <w:t>scale）</w:t>
      </w:r>
      <w:r>
        <w:rPr>
          <w:spacing w:val="-14"/>
        </w:rPr>
        <w:t>结果为 </w:t>
      </w:r>
      <w:r>
        <w:rPr/>
        <w:t>5</w:t>
      </w:r>
      <w:r>
        <w:rPr>
          <w:spacing w:val="-27"/>
        </w:rPr>
        <w:t> 分或 </w:t>
      </w:r>
      <w:r>
        <w:rPr/>
        <w:t>5</w:t>
      </w:r>
      <w:r>
        <w:rPr>
          <w:spacing w:val="-8"/>
        </w:rPr>
        <w:t> 分以下，且已经</w:t>
      </w:r>
      <w:r>
        <w:rPr>
          <w:spacing w:val="-12"/>
        </w:rPr>
        <w:t>持续使用呼吸机及其他生命维持系统 </w:t>
      </w:r>
      <w:r>
        <w:rPr/>
        <w:t>96</w:t>
      </w:r>
      <w:r>
        <w:rPr>
          <w:spacing w:val="-12"/>
        </w:rPr>
        <w:t> 小时以上。</w:t>
      </w:r>
    </w:p>
    <w:p>
      <w:pPr>
        <w:pStyle w:val="BodyText"/>
        <w:spacing w:before="8"/>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pPr>
      <w:r>
        <w:rPr/>
        <w:t>（十）双耳失聪</w:t>
      </w:r>
    </w:p>
    <w:p>
      <w:pPr>
        <w:pStyle w:val="BodyText"/>
        <w:spacing w:line="264" w:lineRule="auto"/>
        <w:ind w:right="217"/>
      </w:pPr>
      <w:r>
        <w:rPr/>
        <w:t>指因疾病或意外伤害导致双耳听力</w:t>
      </w:r>
      <w:r>
        <w:rPr>
          <w:rFonts w:ascii="微软雅黑" w:eastAsia="微软雅黑" w:hint="eastAsia"/>
          <w:b/>
        </w:rPr>
        <w:t>永久不可逆</w:t>
      </w:r>
      <w:r>
        <w:rPr>
          <w:spacing w:val="-10"/>
        </w:rPr>
        <w:t>性丧失，在 </w:t>
      </w:r>
      <w:r>
        <w:rPr/>
        <w:t>500</w:t>
      </w:r>
      <w:r>
        <w:rPr>
          <w:spacing w:val="-15"/>
        </w:rPr>
        <w:t> 赫兹、</w:t>
      </w:r>
      <w:r>
        <w:rPr/>
        <w:t>1000</w:t>
      </w:r>
      <w:r>
        <w:rPr>
          <w:spacing w:val="-19"/>
        </w:rPr>
        <w:t> 赫兹</w:t>
      </w:r>
      <w:r>
        <w:rPr>
          <w:spacing w:val="-40"/>
        </w:rPr>
        <w:t>和 </w:t>
      </w:r>
      <w:r>
        <w:rPr/>
        <w:t>2000</w:t>
      </w:r>
      <w:r>
        <w:rPr>
          <w:spacing w:val="-14"/>
        </w:rPr>
        <w:t> 赫兹语音频率下，平均听阈大于 </w:t>
      </w:r>
      <w:r>
        <w:rPr/>
        <w:t>90</w:t>
      </w:r>
      <w:r>
        <w:rPr>
          <w:spacing w:val="-12"/>
        </w:rPr>
        <w:t> 分贝，且经纯音听力测试、声导抗检测或听觉诱发电位检测等证实。</w:t>
      </w:r>
    </w:p>
    <w:p>
      <w:pPr>
        <w:pStyle w:val="BodyText"/>
        <w:spacing w:before="175"/>
      </w:pPr>
      <w:r>
        <w:rPr/>
        <w:t>（十一）双目失明</w:t>
      </w:r>
    </w:p>
    <w:p>
      <w:pPr>
        <w:pStyle w:val="BodyText"/>
        <w:spacing w:line="280" w:lineRule="auto" w:before="45"/>
        <w:ind w:right="139"/>
      </w:pPr>
      <w:r>
        <w:rPr/>
        <w:t>指因疾病或意外伤害导致双眼视力永久不可逆性丧失，双眼中较好眼须满足下列至少一项条件：</w:t>
      </w:r>
    </w:p>
    <w:p>
      <w:pPr>
        <w:pStyle w:val="BodyText"/>
        <w:spacing w:before="8"/>
      </w:pPr>
      <w:r>
        <w:rPr/>
        <w:t>(1)眼球缺失或摘除；</w:t>
      </w:r>
    </w:p>
    <w:p>
      <w:pPr>
        <w:pStyle w:val="BodyText"/>
        <w:spacing w:line="280" w:lineRule="auto" w:before="45"/>
        <w:ind w:right="207"/>
      </w:pPr>
      <w:r>
        <w:rPr/>
        <w:t>(2</w:t>
      </w:r>
      <w:r>
        <w:rPr>
          <w:spacing w:val="5"/>
        </w:rPr>
        <w:t>)矫正视力低于 </w:t>
      </w:r>
      <w:r>
        <w:rPr/>
        <w:t>0.02（采用国际标准视力表，如果使用其他视力表应进行换算</w:t>
      </w:r>
      <w:r>
        <w:rPr>
          <w:spacing w:val="-105"/>
        </w:rPr>
        <w:t>）</w:t>
      </w:r>
      <w:r>
        <w:rPr/>
        <w:t>；</w:t>
      </w:r>
    </w:p>
    <w:p>
      <w:pPr>
        <w:pStyle w:val="BodyText"/>
        <w:spacing w:before="8"/>
      </w:pPr>
      <w:r>
        <w:rPr/>
        <w:t>(3)视野半径小于 5 度。</w:t>
      </w:r>
    </w:p>
    <w:p>
      <w:pPr>
        <w:pStyle w:val="BodyText"/>
        <w:spacing w:before="3"/>
        <w:ind w:left="0"/>
        <w:rPr>
          <w:sz w:val="14"/>
        </w:rPr>
      </w:pPr>
    </w:p>
    <w:p>
      <w:pPr>
        <w:pStyle w:val="BodyText"/>
      </w:pPr>
      <w:r>
        <w:rPr/>
        <w:t>（十二）瘫痪</w:t>
      </w:r>
    </w:p>
    <w:p>
      <w:pPr>
        <w:pStyle w:val="BodyText"/>
        <w:spacing w:line="278" w:lineRule="auto" w:before="45"/>
        <w:ind w:right="215"/>
        <w:jc w:val="both"/>
      </w:pPr>
      <w:r>
        <w:rPr>
          <w:spacing w:val="-3"/>
        </w:rPr>
        <w:t>指因疾病或意外伤害导致两肢或两肢以上肢体机能永久完全丧失。肢体机能永久</w:t>
      </w:r>
      <w:r>
        <w:rPr>
          <w:spacing w:val="-13"/>
        </w:rPr>
        <w:t>完全丧失，指疾病确诊 </w:t>
      </w:r>
      <w:r>
        <w:rPr/>
        <w:t>180</w:t>
      </w:r>
      <w:r>
        <w:rPr>
          <w:spacing w:val="-13"/>
        </w:rPr>
        <w:t> 天后或意外伤害发生 </w:t>
      </w:r>
      <w:r>
        <w:rPr/>
        <w:t>180</w:t>
      </w:r>
      <w:r>
        <w:rPr>
          <w:spacing w:val="-11"/>
        </w:rPr>
        <w:t> 天后，每肢三大关节中的两大关节仍然完全僵硬，或不能随意识活动。</w:t>
      </w:r>
    </w:p>
    <w:p>
      <w:pPr>
        <w:pStyle w:val="BodyText"/>
        <w:spacing w:before="153"/>
      </w:pPr>
      <w:r>
        <w:rPr/>
        <w:t>（十三）心脏瓣膜手术</w:t>
      </w:r>
    </w:p>
    <w:p>
      <w:pPr>
        <w:pStyle w:val="BodyText"/>
        <w:spacing w:before="45"/>
      </w:pPr>
      <w:r>
        <w:rPr/>
        <w:t>指为治疗心脏瓣膜疾病，实际实施了开胸进行的心脏瓣膜置换或修复的手术。</w:t>
      </w:r>
    </w:p>
    <w:p>
      <w:pPr>
        <w:pStyle w:val="BodyText"/>
        <w:spacing w:before="4"/>
        <w:ind w:left="0"/>
        <w:rPr>
          <w:sz w:val="14"/>
        </w:rPr>
      </w:pPr>
    </w:p>
    <w:p>
      <w:pPr>
        <w:pStyle w:val="BodyText"/>
      </w:pPr>
      <w:r>
        <w:rPr/>
        <w:t>（十四）严重脑损伤</w:t>
      </w:r>
    </w:p>
    <w:p>
      <w:pPr>
        <w:pStyle w:val="BodyText"/>
        <w:spacing w:line="278" w:lineRule="auto" w:before="45"/>
        <w:ind w:right="111"/>
      </w:pPr>
      <w:r>
        <w:rPr>
          <w:spacing w:val="-6"/>
        </w:rPr>
        <w:t>指因头部遭受机械性外力，引起脑重要部位损伤，导致神经系统永久性的功能障</w:t>
      </w:r>
      <w:r>
        <w:rPr>
          <w:spacing w:val="-13"/>
        </w:rPr>
        <w:t>碍。须由头颅断层扫描</w:t>
      </w:r>
      <w:r>
        <w:rPr>
          <w:spacing w:val="-1"/>
        </w:rPr>
        <w:t>（CT</w:t>
      </w:r>
      <w:r>
        <w:rPr>
          <w:spacing w:val="-104"/>
        </w:rPr>
        <w:t>）</w:t>
      </w:r>
      <w:r>
        <w:rPr>
          <w:spacing w:val="-16"/>
        </w:rPr>
        <w:t>、核磁共振检查</w:t>
      </w:r>
      <w:r>
        <w:rPr>
          <w:spacing w:val="-1"/>
        </w:rPr>
        <w:t>（MRI</w:t>
      </w:r>
      <w:r>
        <w:rPr>
          <w:spacing w:val="-49"/>
        </w:rPr>
        <w:t>）</w:t>
      </w:r>
      <w:r>
        <w:rPr>
          <w:spacing w:val="-6"/>
        </w:rPr>
        <w:t>或正电子发射断层扫描</w:t>
      </w:r>
      <w:r>
        <w:rPr>
          <w:spacing w:val="-1"/>
        </w:rPr>
        <w:t>（PET）</w:t>
      </w:r>
      <w:r>
        <w:rPr>
          <w:spacing w:val="-7"/>
        </w:rPr>
        <w:t>等影像学检查证实。神经系统永久性的功能障碍，指脑损伤 </w:t>
      </w:r>
      <w:r>
        <w:rPr/>
        <w:t>180</w:t>
      </w:r>
      <w:r>
        <w:rPr>
          <w:spacing w:val="-12"/>
        </w:rPr>
        <w:t> 天后，仍遗留下列一种或一种以上障碍：</w:t>
      </w:r>
    </w:p>
    <w:p>
      <w:pPr>
        <w:pStyle w:val="BodyText"/>
        <w:spacing w:line="278" w:lineRule="auto" w:before="10"/>
        <w:ind w:right="241"/>
      </w:pPr>
      <w:r>
        <w:rPr/>
        <w:t>(1)一肢或一肢以上肢体机能完全丧失；                                (2)语言能力或咀嚼吞咽能力完全丧失；                                </w:t>
      </w:r>
      <w:r>
        <w:rPr>
          <w:spacing w:val="-1"/>
        </w:rPr>
        <w:t>(3)自主生活能力完全丧失，无法独立完成六项基本日常生活活动中的三项或三项以上。</w:t>
      </w:r>
    </w:p>
    <w:p>
      <w:pPr>
        <w:pStyle w:val="BodyText"/>
        <w:spacing w:before="153"/>
      </w:pPr>
      <w:r>
        <w:rPr/>
        <w:t>（十五）严重Ⅲ度烧伤</w:t>
      </w:r>
    </w:p>
    <w:p>
      <w:pPr>
        <w:pStyle w:val="BodyText"/>
        <w:spacing w:line="280" w:lineRule="auto" w:before="45"/>
        <w:ind w:right="139"/>
      </w:pPr>
      <w:r>
        <w:rPr/>
        <w:t>指烧伤程度为Ⅲ度，且Ⅲ度烧伤的面积达到全身体表面积的 20％或 20％以上。体表面积根据《中国新九分法》计算。</w:t>
      </w:r>
    </w:p>
    <w:p>
      <w:pPr>
        <w:pStyle w:val="BodyText"/>
        <w:spacing w:before="151"/>
      </w:pPr>
      <w:r>
        <w:rPr/>
        <w:t>（十六）严重运动神经元病</w:t>
      </w:r>
    </w:p>
    <w:p>
      <w:pPr>
        <w:spacing w:after="0"/>
        <w:sectPr>
          <w:pgSz w:w="11910" w:h="16840"/>
          <w:pgMar w:top="1420" w:bottom="280" w:left="1680" w:right="1120"/>
        </w:sectPr>
      </w:pPr>
    </w:p>
    <w:p>
      <w:pPr>
        <w:pStyle w:val="BodyText"/>
        <w:spacing w:line="278" w:lineRule="auto" w:before="8"/>
        <w:ind w:right="137"/>
        <w:jc w:val="both"/>
      </w:pPr>
      <w:r>
        <w:rPr>
          <w:spacing w:val="-4"/>
        </w:rPr>
        <w:t>是一组中枢神经系统运动神经元的进行性变性疾病，包括进行性脊肌萎缩症、进</w:t>
      </w:r>
      <w:r>
        <w:rPr>
          <w:spacing w:val="-10"/>
        </w:rPr>
        <w:t>行性延髓麻痹症、原发性侧索硬化症、肌萎缩性侧索硬化症。须满足自主生活能力完全丧失，无法独立完成六项基本日常生活活动中的三项或三项以上的条件。</w:t>
      </w:r>
    </w:p>
    <w:p>
      <w:pPr>
        <w:pStyle w:val="BodyText"/>
        <w:spacing w:before="153"/>
      </w:pPr>
      <w:r>
        <w:rPr/>
        <w:t>（十七）语言能力丧失</w:t>
      </w:r>
    </w:p>
    <w:p>
      <w:pPr>
        <w:pStyle w:val="BodyText"/>
        <w:spacing w:line="278" w:lineRule="auto" w:before="45"/>
        <w:ind w:right="215"/>
      </w:pPr>
      <w:r>
        <w:rPr>
          <w:spacing w:val="-2"/>
        </w:rPr>
        <w:t>指因疾病或意外伤害导致完全丧失语言能力，经过积极治疗至少 </w:t>
      </w:r>
      <w:r>
        <w:rPr/>
        <w:t>12</w:t>
      </w:r>
      <w:r>
        <w:rPr>
          <w:spacing w:val="-18"/>
        </w:rPr>
        <w:t> 个月</w:t>
      </w:r>
      <w:r>
        <w:rPr/>
        <w:t>（声带完全切除不受此时间限制</w:t>
      </w:r>
      <w:r>
        <w:rPr>
          <w:spacing w:val="-105"/>
        </w:rPr>
        <w:t>）</w:t>
      </w:r>
      <w:r>
        <w:rPr>
          <w:spacing w:val="-1"/>
        </w:rPr>
        <w:t>，仍无法通过现有医疗手段恢复。</w:t>
      </w:r>
    </w:p>
    <w:p>
      <w:pPr>
        <w:pStyle w:val="BodyText"/>
        <w:spacing w:before="11"/>
      </w:pPr>
      <w:r>
        <w:rPr>
          <w:shd w:fill="D9D9D9" w:color="auto" w:val="clear"/>
        </w:rPr>
        <w:t>精神心理因素所致的语言能力丧失不在保障范围内。</w:t>
      </w:r>
    </w:p>
    <w:p>
      <w:pPr>
        <w:pStyle w:val="BodyText"/>
        <w:spacing w:before="3"/>
        <w:ind w:left="0"/>
        <w:rPr>
          <w:sz w:val="14"/>
        </w:rPr>
      </w:pPr>
    </w:p>
    <w:p>
      <w:pPr>
        <w:pStyle w:val="BodyText"/>
      </w:pPr>
      <w:r>
        <w:rPr/>
        <w:t>（十八）重型再生障碍性贫血</w:t>
      </w:r>
    </w:p>
    <w:p>
      <w:pPr>
        <w:pStyle w:val="BodyText"/>
        <w:spacing w:line="278" w:lineRule="auto" w:before="45"/>
        <w:ind w:right="137"/>
      </w:pPr>
      <w:r>
        <w:rPr/>
        <w:t>指因骨髓造血功能慢性持续性衰竭导致的贫血、中性粒细胞减少及血小板减少。须满足下列全部条件：</w:t>
      </w:r>
    </w:p>
    <w:p>
      <w:pPr>
        <w:pStyle w:val="BodyText"/>
        <w:spacing w:line="280" w:lineRule="auto" w:before="12"/>
        <w:ind w:right="3379"/>
      </w:pPr>
      <w:r>
        <w:rPr/>
        <w:t>(1)骨髓穿刺检查或骨髓活检结果支持诊断； (2)外周血象须具备以下三项条件：</w:t>
      </w:r>
    </w:p>
    <w:p>
      <w:pPr>
        <w:pStyle w:val="BodyText"/>
        <w:spacing w:before="8"/>
      </w:pPr>
      <w:r>
        <w:rPr/>
        <w:t>①中性粒细胞绝对值≤0.5×10</w:t>
      </w:r>
      <w:r>
        <w:rPr>
          <w:position w:val="11"/>
          <w:sz w:val="11"/>
        </w:rPr>
        <w:t>9</w:t>
      </w:r>
      <w:r>
        <w:rPr/>
        <w:t>/L ；</w:t>
      </w:r>
    </w:p>
    <w:p>
      <w:pPr>
        <w:pStyle w:val="BodyText"/>
        <w:spacing w:before="45"/>
      </w:pPr>
      <w:r>
        <w:rPr/>
        <w:t>②网织红细胞＜1％；</w:t>
      </w:r>
    </w:p>
    <w:p>
      <w:pPr>
        <w:pStyle w:val="BodyText"/>
        <w:spacing w:before="45"/>
      </w:pPr>
      <w:r>
        <w:rPr/>
        <w:t>③血小板绝对值≤20×10</w:t>
      </w:r>
      <w:r>
        <w:rPr>
          <w:position w:val="11"/>
          <w:sz w:val="11"/>
        </w:rPr>
        <w:t>9</w:t>
      </w:r>
      <w:r>
        <w:rPr/>
        <w:t>/L。</w:t>
      </w:r>
    </w:p>
    <w:p>
      <w:pPr>
        <w:pStyle w:val="BodyText"/>
        <w:spacing w:before="186"/>
      </w:pPr>
      <w:r>
        <w:rPr/>
        <w:t>（十九）主动脉手术</w:t>
      </w:r>
    </w:p>
    <w:p>
      <w:pPr>
        <w:pStyle w:val="BodyText"/>
        <w:spacing w:line="280" w:lineRule="auto" w:before="43"/>
        <w:ind w:right="215"/>
        <w:jc w:val="both"/>
      </w:pPr>
      <w:r>
        <w:rPr>
          <w:spacing w:val="-5"/>
        </w:rPr>
        <w:t>指为治疗主动脉疾病，实际实施了开胸或开腹进行的切除、置换、修补病损主动</w:t>
      </w:r>
      <w:r>
        <w:rPr>
          <w:spacing w:val="-10"/>
        </w:rPr>
        <w:t>脉血管的手术。主动脉指胸主动脉和腹主动脉，不包括胸主动脉和腹主动脉的分支血管。</w:t>
      </w:r>
    </w:p>
    <w:p>
      <w:pPr>
        <w:pStyle w:val="BodyText"/>
        <w:spacing w:before="8"/>
      </w:pPr>
      <w:r>
        <w:rPr>
          <w:shd w:fill="D9D9D9" w:color="auto" w:val="clear"/>
        </w:rPr>
        <w:t>动脉内血管成形术不在保障范围内。</w:t>
      </w:r>
    </w:p>
    <w:p>
      <w:pPr>
        <w:pStyle w:val="BodyText"/>
        <w:spacing w:before="4"/>
        <w:ind w:left="0"/>
        <w:rPr>
          <w:sz w:val="14"/>
        </w:rPr>
      </w:pPr>
    </w:p>
    <w:p>
      <w:pPr>
        <w:pStyle w:val="BodyText"/>
      </w:pPr>
      <w:r>
        <w:rPr/>
        <w:t>（二十）经输血导致的人类免疫缺陷病毒（HIV）感染</w:t>
      </w:r>
    </w:p>
    <w:p>
      <w:pPr>
        <w:pStyle w:val="BodyText"/>
        <w:spacing w:before="45"/>
      </w:pPr>
      <w:r>
        <w:rPr/>
        <w:t>被保险人感染上人类免疫缺陷病毒（HIV）并且满足下列全部条件：</w:t>
      </w:r>
    </w:p>
    <w:p>
      <w:pPr>
        <w:pStyle w:val="BodyText"/>
        <w:spacing w:line="278" w:lineRule="auto" w:before="45"/>
        <w:ind w:right="111"/>
      </w:pPr>
      <w:r>
        <w:rPr/>
        <w:t>(1)</w:t>
      </w:r>
      <w:r>
        <w:rPr>
          <w:spacing w:val="-1"/>
        </w:rPr>
        <w:t>在本附加险合同生效日或最后复效日</w:t>
      </w:r>
      <w:r>
        <w:rPr/>
        <w:t>（以较迟者为准</w:t>
      </w:r>
      <w:r>
        <w:rPr>
          <w:spacing w:val="-14"/>
        </w:rPr>
        <w:t>）</w:t>
      </w:r>
      <w:r>
        <w:rPr>
          <w:spacing w:val="-9"/>
        </w:rPr>
        <w:t>后因输血而感染 </w:t>
      </w:r>
      <w:r>
        <w:rPr/>
        <w:t>HIV； (2)提供输血治疗的输血中心或医院出具该项输血感染属医疗责任事故的报告， 或者法院终审裁判为医疗责任；</w:t>
      </w:r>
    </w:p>
    <w:p>
      <w:pPr>
        <w:pStyle w:val="BodyText"/>
        <w:spacing w:before="12"/>
      </w:pPr>
      <w:r>
        <w:rPr/>
        <w:t>(3)受感染的被保险人不是血友病患者。</w:t>
      </w:r>
    </w:p>
    <w:p>
      <w:pPr>
        <w:pStyle w:val="BodyText"/>
        <w:spacing w:line="280" w:lineRule="auto" w:before="44"/>
        <w:ind w:right="215"/>
      </w:pPr>
      <w:r>
        <w:rPr>
          <w:shd w:fill="D9D9D9" w:color="auto" w:val="clear"/>
        </w:rPr>
        <w:t>在任何治愈艾滋病（AIDS）或阻止 HIV 病毒作用的疗法被发现以后，或能防止AIDS 发生的医疗方法被研究出来以后，本保障将不再予以赔付。</w:t>
      </w:r>
    </w:p>
    <w:p>
      <w:pPr>
        <w:pStyle w:val="BodyText"/>
        <w:spacing w:line="278" w:lineRule="auto" w:before="9"/>
        <w:ind w:right="215"/>
      </w:pPr>
      <w:r>
        <w:rPr>
          <w:spacing w:val="-5"/>
          <w:shd w:fill="D9D9D9" w:color="auto" w:val="clear"/>
        </w:rPr>
        <w:t>任何因其他传播方式</w:t>
      </w:r>
      <w:r>
        <w:rPr>
          <w:shd w:fill="D9D9D9" w:color="auto" w:val="clear"/>
        </w:rPr>
        <w:t>（包括但不限于性传播或静脉注射毒品</w:t>
      </w:r>
      <w:r>
        <w:rPr>
          <w:spacing w:val="-40"/>
          <w:shd w:fill="D9D9D9" w:color="auto" w:val="clear"/>
        </w:rPr>
        <w:t>）</w:t>
      </w:r>
      <w:r>
        <w:rPr>
          <w:spacing w:val="-14"/>
          <w:shd w:fill="D9D9D9" w:color="auto" w:val="clear"/>
        </w:rPr>
        <w:t>导致的 </w:t>
      </w:r>
      <w:r>
        <w:rPr>
          <w:shd w:fill="D9D9D9" w:color="auto" w:val="clear"/>
        </w:rPr>
        <w:t>HIV</w:t>
      </w:r>
      <w:r>
        <w:rPr>
          <w:spacing w:val="-14"/>
          <w:shd w:fill="D9D9D9" w:color="auto" w:val="clear"/>
        </w:rPr>
        <w:t> 感染不在保障范围内。</w:t>
      </w:r>
    </w:p>
    <w:p>
      <w:pPr>
        <w:pStyle w:val="BodyText"/>
        <w:spacing w:before="92"/>
      </w:pPr>
      <w:r>
        <w:rPr/>
        <w:t>（二十一）脊髓灰质炎（或称小儿麻痹症）</w:t>
      </w:r>
    </w:p>
    <w:p>
      <w:pPr>
        <w:pStyle w:val="BodyText"/>
        <w:spacing w:line="278" w:lineRule="auto" w:before="44"/>
        <w:ind w:right="210"/>
        <w:jc w:val="both"/>
      </w:pPr>
      <w:r>
        <w:rPr>
          <w:spacing w:val="-4"/>
        </w:rPr>
        <w:t>脊髓灰质炎是由于脊髓灰质炎病毒感染所致的瘫痪性疾病，临床表现为运动功能</w:t>
      </w:r>
      <w:r>
        <w:rPr>
          <w:spacing w:val="-10"/>
        </w:rPr>
        <w:t>损害或呼吸无力。脊髓灰质炎必须明确诊断。本保单仅对脊髓灰质炎造成的神经</w:t>
      </w:r>
      <w:r>
        <w:rPr/>
        <w:t>系统功能损害导致被保险人一肢或一肢以上肢体机能永久完全丧失的情况予以</w:t>
      </w:r>
      <w:r>
        <w:rPr>
          <w:spacing w:val="-10"/>
        </w:rPr>
        <w:t>理赔。肢体机能永久完全丧失，指疾病确诊 </w:t>
      </w:r>
      <w:r>
        <w:rPr/>
        <w:t>180</w:t>
      </w:r>
      <w:r>
        <w:rPr>
          <w:spacing w:val="-10"/>
        </w:rPr>
        <w:t> 天后，每肢三大关节中的两大关节仍然完全僵硬，或不能随意识活动。</w:t>
      </w:r>
    </w:p>
    <w:p>
      <w:pPr>
        <w:pStyle w:val="BodyText"/>
        <w:spacing w:before="153"/>
      </w:pPr>
      <w:r>
        <w:rPr/>
        <w:t>（二十二）严重的Ｉ型糖尿病</w:t>
      </w:r>
    </w:p>
    <w:p>
      <w:pPr>
        <w:pStyle w:val="BodyText"/>
        <w:spacing w:line="278" w:lineRule="auto" w:before="45"/>
        <w:ind w:right="138"/>
      </w:pPr>
      <w:r>
        <w:rPr/>
        <w:t>严重的Ｉ型糖尿病为由于胰岛素分泌绝对不足引起的慢性血糖升高，且已经持续性地依赖外源性胰岛素维持 180 天以上。须经血胰岛素测定、血 C 肽测定或尿</w:t>
      </w:r>
    </w:p>
    <w:p>
      <w:pPr>
        <w:pStyle w:val="BodyText"/>
        <w:spacing w:before="11"/>
      </w:pPr>
      <w:r>
        <w:rPr/>
        <w:t>C 肽测定，结果异常，并由内分泌科专科医生明确诊断。并须在本附加险合同有</w:t>
      </w:r>
    </w:p>
    <w:p>
      <w:pPr>
        <w:spacing w:after="0"/>
        <w:sectPr>
          <w:pgSz w:w="11910" w:h="16840"/>
          <w:pgMar w:top="1420" w:bottom="280" w:left="1680" w:right="1120"/>
        </w:sectPr>
      </w:pPr>
    </w:p>
    <w:p>
      <w:pPr>
        <w:pStyle w:val="BodyText"/>
        <w:spacing w:line="278" w:lineRule="auto" w:before="8"/>
        <w:ind w:right="4211"/>
      </w:pPr>
      <w:r>
        <w:rPr>
          <w:spacing w:val="-6"/>
        </w:rPr>
        <w:t>效期内，满足下述至少 </w:t>
      </w:r>
      <w:r>
        <w:rPr/>
        <w:t>1</w:t>
      </w:r>
      <w:r>
        <w:rPr>
          <w:spacing w:val="-3"/>
        </w:rPr>
        <w:t> 个条件： (1)已出现增殖性视网膜病变；  </w:t>
      </w:r>
      <w:r>
        <w:rPr>
          <w:spacing w:val="-1"/>
        </w:rPr>
        <w:t>(2)</w:t>
      </w:r>
      <w:r>
        <w:rPr/>
        <w:t>须植入心脏起搏器治疗心脏病； </w:t>
      </w:r>
      <w:r>
        <w:rPr>
          <w:spacing w:val="-1"/>
        </w:rPr>
        <w:t>(3)因坏疽需切除至少一个脚趾。</w:t>
      </w:r>
    </w:p>
    <w:p>
      <w:pPr>
        <w:pStyle w:val="BodyText"/>
        <w:spacing w:before="153"/>
      </w:pPr>
      <w:r>
        <w:rPr/>
        <w:t>（二十三）严重川崎病</w:t>
      </w:r>
    </w:p>
    <w:p>
      <w:pPr>
        <w:pStyle w:val="BodyText"/>
        <w:spacing w:line="280" w:lineRule="auto" w:before="44"/>
        <w:ind w:right="119"/>
      </w:pPr>
      <w:r>
        <w:rPr/>
        <w:t>川崎病为一种病因不明的系统性血管炎。本保单仅对诊断性检查证实川崎病并发动脉瘤或其他心血管异常并且实际接受了手术治疗的情况予以理赔。</w:t>
      </w:r>
    </w:p>
    <w:p>
      <w:pPr>
        <w:pStyle w:val="BodyText"/>
        <w:ind w:left="0"/>
        <w:rPr>
          <w:sz w:val="20"/>
        </w:rPr>
      </w:pPr>
    </w:p>
    <w:p>
      <w:pPr>
        <w:pStyle w:val="BodyText"/>
        <w:spacing w:before="2"/>
        <w:ind w:left="0"/>
        <w:rPr>
          <w:sz w:val="15"/>
        </w:rPr>
      </w:pPr>
    </w:p>
    <w:p>
      <w:pPr>
        <w:pStyle w:val="BodyText"/>
      </w:pPr>
      <w:r>
        <w:rPr/>
        <w:t>（二十四）严重幼年型类风湿关节炎</w:t>
      </w:r>
    </w:p>
    <w:p>
      <w:pPr>
        <w:pStyle w:val="BodyText"/>
        <w:spacing w:line="280" w:lineRule="auto" w:before="44"/>
        <w:ind w:right="119"/>
      </w:pPr>
      <w:r>
        <w:rPr/>
        <w:t>幼年型类风湿关节炎是一种儿童期发病的慢性关节炎，其特点为在高热和系统性病征出现数月后发生关节炎。诊断必须由小儿风湿科专科医生确认。</w:t>
      </w:r>
    </w:p>
    <w:p>
      <w:pPr>
        <w:pStyle w:val="BodyText"/>
        <w:spacing w:line="278" w:lineRule="auto" w:before="10"/>
        <w:ind w:right="190"/>
      </w:pPr>
      <w:r>
        <w:rPr/>
        <w:t>本保单仅对实际接受了膝关节或髋关节置换手术治疗的严重的幼年型类风湿关节炎予以理赔。</w:t>
      </w:r>
    </w:p>
    <w:p>
      <w:pPr>
        <w:pStyle w:val="BodyText"/>
        <w:spacing w:before="180"/>
      </w:pPr>
      <w:r>
        <w:rPr/>
        <w:t>（二十五）系统性红斑狼疮</w:t>
      </w:r>
    </w:p>
    <w:p>
      <w:pPr>
        <w:pStyle w:val="BodyText"/>
        <w:spacing w:line="278" w:lineRule="auto" w:before="62"/>
        <w:ind w:right="190"/>
        <w:jc w:val="both"/>
      </w:pPr>
      <w:r>
        <w:rPr/>
        <w:t>系统性红斑狼疮是指由于病理性自身抗体和免疫复合物的沉积破坏了血管和细</w:t>
      </w:r>
      <w:r>
        <w:rPr>
          <w:spacing w:val="-2"/>
        </w:rPr>
        <w:t>胞而导致的累及多系统损害的一种自体免疫性疾病。本疾病应符合 </w:t>
      </w:r>
      <w:r>
        <w:rPr/>
        <w:t>1997</w:t>
      </w:r>
      <w:r>
        <w:rPr>
          <w:spacing w:val="-14"/>
        </w:rPr>
        <w:t> 年美国</w:t>
      </w:r>
      <w:r>
        <w:rPr>
          <w:spacing w:val="-18"/>
        </w:rPr>
        <w:t>风湿病学会修订的系统性红斑狼疮标准，同时本保障仅限于被保险人因系统性红</w:t>
      </w:r>
      <w:r>
        <w:rPr>
          <w:spacing w:val="-20"/>
        </w:rPr>
        <w:t>斑狼疮并发狼疮性肾炎并引起肾功能损害，且肾脏病理诊断符合以下列明的世界</w:t>
      </w:r>
      <w:r>
        <w:rPr>
          <w:spacing w:val="-19"/>
        </w:rPr>
        <w:t>卫生组织</w:t>
      </w:r>
      <w:r>
        <w:rPr>
          <w:spacing w:val="-4"/>
        </w:rPr>
        <w:t>（WHO）</w:t>
      </w:r>
      <w:r>
        <w:rPr>
          <w:spacing w:val="-5"/>
        </w:rPr>
        <w:t>对狼疮性肾炎所分类中的第 </w:t>
      </w:r>
      <w:r>
        <w:rPr/>
        <w:t>III</w:t>
      </w:r>
      <w:r>
        <w:rPr>
          <w:spacing w:val="-12"/>
        </w:rPr>
        <w:t>、</w:t>
      </w:r>
      <w:r>
        <w:rPr/>
        <w:t>IV</w:t>
      </w:r>
      <w:r>
        <w:rPr>
          <w:spacing w:val="-12"/>
        </w:rPr>
        <w:t>、</w:t>
      </w:r>
      <w:r>
        <w:rPr/>
        <w:t>V</w:t>
      </w:r>
      <w:r>
        <w:rPr>
          <w:spacing w:val="-14"/>
        </w:rPr>
        <w:t>、</w:t>
      </w:r>
      <w:r>
        <w:rPr/>
        <w:t>VI</w:t>
      </w:r>
      <w:r>
        <w:rPr>
          <w:spacing w:val="-10"/>
        </w:rPr>
        <w:t> 型。诊断须由有资</w:t>
      </w:r>
      <w:r>
        <w:rPr>
          <w:spacing w:val="-1"/>
        </w:rPr>
        <w:t>格的风湿和免疫病专科医生确认。</w:t>
      </w:r>
    </w:p>
    <w:p>
      <w:pPr>
        <w:pStyle w:val="BodyText"/>
        <w:spacing w:before="11"/>
      </w:pPr>
      <w:r>
        <w:rPr/>
        <w:t>世界卫生组织（WHO）对狼疮性肾炎的分类标准：</w:t>
      </w:r>
    </w:p>
    <w:p>
      <w:pPr>
        <w:pStyle w:val="ListParagraph"/>
        <w:numPr>
          <w:ilvl w:val="0"/>
          <w:numId w:val="9"/>
        </w:numPr>
        <w:tabs>
          <w:tab w:pos="1827" w:val="left" w:leader="none"/>
        </w:tabs>
        <w:spacing w:line="240" w:lineRule="auto" w:before="44" w:after="0"/>
        <w:ind w:left="1616" w:right="0" w:firstLine="0"/>
        <w:jc w:val="left"/>
        <w:rPr>
          <w:sz w:val="21"/>
        </w:rPr>
      </w:pPr>
      <w:r>
        <w:rPr>
          <w:spacing w:val="-1"/>
          <w:sz w:val="21"/>
        </w:rPr>
        <w:t>型–正常肾小球型；</w:t>
      </w:r>
    </w:p>
    <w:p>
      <w:pPr>
        <w:pStyle w:val="ListParagraph"/>
        <w:numPr>
          <w:ilvl w:val="0"/>
          <w:numId w:val="9"/>
        </w:numPr>
        <w:tabs>
          <w:tab w:pos="1880" w:val="left" w:leader="none"/>
        </w:tabs>
        <w:spacing w:line="240" w:lineRule="auto" w:before="45" w:after="0"/>
        <w:ind w:left="1879" w:right="0" w:hanging="263"/>
        <w:jc w:val="left"/>
        <w:rPr>
          <w:sz w:val="21"/>
        </w:rPr>
      </w:pPr>
      <w:r>
        <w:rPr>
          <w:spacing w:val="-1"/>
          <w:sz w:val="21"/>
        </w:rPr>
        <w:t>型–系膜增生型；</w:t>
      </w:r>
    </w:p>
    <w:p>
      <w:pPr>
        <w:pStyle w:val="ListParagraph"/>
        <w:numPr>
          <w:ilvl w:val="0"/>
          <w:numId w:val="9"/>
        </w:numPr>
        <w:tabs>
          <w:tab w:pos="1984" w:val="left" w:leader="none"/>
        </w:tabs>
        <w:spacing w:line="240" w:lineRule="auto" w:before="45" w:after="0"/>
        <w:ind w:left="1983" w:right="0" w:hanging="367"/>
        <w:jc w:val="left"/>
        <w:rPr>
          <w:sz w:val="21"/>
        </w:rPr>
      </w:pPr>
      <w:r>
        <w:rPr>
          <w:spacing w:val="-1"/>
          <w:sz w:val="21"/>
        </w:rPr>
        <w:t>型–局灶节段增生型；</w:t>
      </w:r>
    </w:p>
    <w:p>
      <w:pPr>
        <w:pStyle w:val="ListParagraph"/>
        <w:numPr>
          <w:ilvl w:val="0"/>
          <w:numId w:val="9"/>
        </w:numPr>
        <w:tabs>
          <w:tab w:pos="1880" w:val="left" w:leader="none"/>
        </w:tabs>
        <w:spacing w:line="280" w:lineRule="auto" w:before="44" w:after="0"/>
        <w:ind w:left="1616" w:right="5523" w:firstLine="0"/>
        <w:jc w:val="left"/>
        <w:rPr>
          <w:sz w:val="21"/>
        </w:rPr>
      </w:pPr>
      <w:r>
        <w:rPr>
          <w:sz w:val="21"/>
        </w:rPr>
        <w:t>型–弥漫增生型； V</w:t>
      </w:r>
      <w:r>
        <w:rPr>
          <w:spacing w:val="-10"/>
          <w:sz w:val="21"/>
        </w:rPr>
        <w:t> 型–膜型；</w:t>
      </w:r>
    </w:p>
    <w:p>
      <w:pPr>
        <w:pStyle w:val="BodyText"/>
        <w:spacing w:before="9"/>
      </w:pPr>
      <w:r>
        <w:rPr/>
        <w:t>VI 型–肾小球硬化型。</w:t>
      </w:r>
    </w:p>
    <w:p>
      <w:pPr>
        <w:pStyle w:val="BodyText"/>
        <w:spacing w:before="4"/>
        <w:ind w:left="0"/>
        <w:rPr>
          <w:sz w:val="15"/>
        </w:rPr>
      </w:pPr>
    </w:p>
    <w:p>
      <w:pPr>
        <w:pStyle w:val="BodyText"/>
        <w:spacing w:before="1"/>
      </w:pPr>
      <w:r>
        <w:rPr/>
        <w:t>上述重大疾病定义中部分术语释义如下：</w:t>
      </w:r>
    </w:p>
    <w:p>
      <w:pPr>
        <w:pStyle w:val="BodyText"/>
        <w:spacing w:before="164"/>
      </w:pPr>
      <w:r>
        <w:rPr/>
        <w:t>（一）专科医生</w:t>
      </w:r>
    </w:p>
    <w:p>
      <w:pPr>
        <w:pStyle w:val="BodyText"/>
        <w:spacing w:before="45"/>
      </w:pPr>
      <w:r>
        <w:rPr/>
        <w:t>专科医生应当同时满足以下四项资格条件：</w:t>
      </w:r>
    </w:p>
    <w:p>
      <w:pPr>
        <w:pStyle w:val="BodyText"/>
        <w:spacing w:before="44"/>
      </w:pPr>
      <w:r>
        <w:rPr/>
        <w:t>(1)具有有效的中华人民共和国《医师资格证书》；</w:t>
      </w:r>
    </w:p>
    <w:p>
      <w:pPr>
        <w:pStyle w:val="BodyText"/>
        <w:spacing w:line="278" w:lineRule="auto" w:before="45"/>
        <w:ind w:right="117"/>
      </w:pPr>
      <w:r>
        <w:rPr>
          <w:spacing w:val="-1"/>
        </w:rPr>
        <w:t>(2)</w:t>
      </w:r>
      <w:r>
        <w:rPr>
          <w:spacing w:val="-6"/>
        </w:rPr>
        <w:t>具有有效的中华人民共和国《医师执业证书》，并按期到相关部门登记注册； (3)具有有效的中华人民共和国主治医师或主治医师以上职称的《医师职称证  </w:t>
      </w:r>
      <w:r>
        <w:rPr>
          <w:spacing w:val="-38"/>
        </w:rPr>
        <w:t>书》；</w:t>
      </w:r>
    </w:p>
    <w:p>
      <w:pPr>
        <w:pStyle w:val="BodyText"/>
        <w:spacing w:before="11"/>
      </w:pPr>
      <w:r>
        <w:rPr/>
        <w:t>(4)在二级或二级以上医院的相应科室从事临床工作三年以上。</w:t>
      </w:r>
    </w:p>
    <w:p>
      <w:pPr>
        <w:pStyle w:val="BodyText"/>
        <w:spacing w:before="10"/>
        <w:ind w:left="0"/>
        <w:rPr>
          <w:sz w:val="13"/>
        </w:rPr>
      </w:pPr>
    </w:p>
    <w:p>
      <w:pPr>
        <w:pStyle w:val="BodyText"/>
      </w:pPr>
      <w:r>
        <w:rPr/>
        <w:t>（二）肢体机能完全丧失</w:t>
      </w:r>
    </w:p>
    <w:p>
      <w:pPr>
        <w:pStyle w:val="BodyText"/>
        <w:spacing w:line="278" w:lineRule="auto" w:before="45"/>
        <w:ind w:right="119"/>
      </w:pPr>
      <w:r>
        <w:rPr/>
        <w:t>指肢体的三大关节中的两大关节僵硬，或不能随意识活动。肢体是指包括肩关节的整个上肢或包括髋关节的整个下肢。</w:t>
      </w:r>
    </w:p>
    <w:p>
      <w:pPr>
        <w:spacing w:after="0" w:line="278" w:lineRule="auto"/>
        <w:sectPr>
          <w:pgSz w:w="11910" w:h="16840"/>
          <w:pgMar w:top="1420" w:bottom="280" w:left="1680" w:right="1140"/>
        </w:sectPr>
      </w:pPr>
    </w:p>
    <w:p>
      <w:pPr>
        <w:pStyle w:val="BodyText"/>
        <w:spacing w:before="8"/>
      </w:pPr>
      <w:r>
        <w:rPr/>
        <w:t>（三）语言能力或咀嚼吞咽能力完全丧失</w:t>
      </w:r>
    </w:p>
    <w:p>
      <w:pPr>
        <w:pStyle w:val="BodyText"/>
        <w:spacing w:line="278" w:lineRule="auto" w:before="43"/>
        <w:ind w:right="112"/>
      </w:pPr>
      <w:r>
        <w:rPr>
          <w:spacing w:val="-4"/>
        </w:rPr>
        <w:t>语言能力完全丧失，指无法发出四种语音</w:t>
      </w:r>
      <w:r>
        <w:rPr/>
        <w:t>（</w:t>
      </w:r>
      <w:r>
        <w:rPr>
          <w:spacing w:val="-6"/>
        </w:rPr>
        <w:t>包括口唇音、齿舌音、口盖音和喉头音）中的任何三种、或声带全部切除，或因大脑语言中枢受伤害而患失语症。</w:t>
      </w:r>
      <w:r>
        <w:rPr>
          <w:spacing w:val="-11"/>
        </w:rPr>
        <w:t>咀嚼吞咽能力完全丧失，指因牙齿以外的原因导致器质障碍或机能障碍，以致不能作咀嚼吞咽运动，除流质食物外不能摄取或吞咽的状态。</w:t>
      </w:r>
    </w:p>
    <w:p>
      <w:pPr>
        <w:pStyle w:val="BodyText"/>
        <w:ind w:left="0"/>
        <w:rPr>
          <w:sz w:val="20"/>
        </w:rPr>
      </w:pPr>
    </w:p>
    <w:p>
      <w:pPr>
        <w:pStyle w:val="BodyText"/>
        <w:ind w:left="0"/>
        <w:rPr>
          <w:sz w:val="14"/>
        </w:rPr>
      </w:pPr>
    </w:p>
    <w:p>
      <w:pPr>
        <w:pStyle w:val="BodyText"/>
        <w:spacing w:line="278" w:lineRule="auto" w:before="1"/>
        <w:ind w:right="4341"/>
      </w:pPr>
      <w:r>
        <w:rPr/>
        <w:t>（四）六项基本日常生活活动  六项基本日常生活活动是指： </w:t>
      </w:r>
      <w:r>
        <w:rPr>
          <w:spacing w:val="-1"/>
        </w:rPr>
        <w:t>(1)穿衣：自己能够穿衣及脱衣；</w:t>
      </w:r>
    </w:p>
    <w:p>
      <w:pPr>
        <w:pStyle w:val="BodyText"/>
        <w:spacing w:line="278" w:lineRule="auto" w:before="12"/>
        <w:ind w:right="2241"/>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5"/>
        <w:ind w:left="0"/>
        <w:rPr>
          <w:sz w:val="17"/>
        </w:rPr>
      </w:pPr>
    </w:p>
    <w:p>
      <w:pPr>
        <w:pStyle w:val="BodyText"/>
      </w:pPr>
      <w:r>
        <w:rPr/>
        <w:t>（五）永久不可逆</w:t>
      </w:r>
    </w:p>
    <w:p>
      <w:pPr>
        <w:pStyle w:val="BodyText"/>
        <w:spacing w:line="278" w:lineRule="auto" w:before="45"/>
        <w:ind w:right="115"/>
      </w:pPr>
      <w:r>
        <w:rPr>
          <w:spacing w:val="-6"/>
        </w:rPr>
        <w:t>指自疾病确诊或意外伤害发生之日起，经过积极治疗 </w:t>
      </w:r>
      <w:r>
        <w:rPr/>
        <w:t>180</w:t>
      </w:r>
      <w:r>
        <w:rPr>
          <w:spacing w:val="-11"/>
        </w:rPr>
        <w:t> 天后，仍无法通过现有医疗手段恢复。</w:t>
      </w:r>
    </w:p>
    <w:sectPr>
      <w:pgSz w:w="11910" w:h="16840"/>
      <w:pgMar w:top="1420" w:bottom="280" w:left="16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1616" w:hanging="210"/>
        <w:jc w:val="left"/>
      </w:pPr>
      <w:rPr>
        <w:rFonts w:hint="default" w:ascii="宋体" w:hAnsi="宋体" w:eastAsia="宋体" w:cs="宋体"/>
        <w:spacing w:val="-2"/>
        <w:w w:val="100"/>
        <w:sz w:val="21"/>
        <w:szCs w:val="21"/>
      </w:rPr>
    </w:lvl>
    <w:lvl w:ilvl="1">
      <w:start w:val="0"/>
      <w:numFmt w:val="bullet"/>
      <w:lvlText w:val="•"/>
      <w:lvlJc w:val="left"/>
      <w:pPr>
        <w:ind w:left="2366" w:hanging="210"/>
      </w:pPr>
      <w:rPr>
        <w:rFonts w:hint="default"/>
      </w:rPr>
    </w:lvl>
    <w:lvl w:ilvl="2">
      <w:start w:val="0"/>
      <w:numFmt w:val="bullet"/>
      <w:lvlText w:val="•"/>
      <w:lvlJc w:val="left"/>
      <w:pPr>
        <w:ind w:left="3112" w:hanging="210"/>
      </w:pPr>
      <w:rPr>
        <w:rFonts w:hint="default"/>
      </w:rPr>
    </w:lvl>
    <w:lvl w:ilvl="3">
      <w:start w:val="0"/>
      <w:numFmt w:val="bullet"/>
      <w:lvlText w:val="•"/>
      <w:lvlJc w:val="left"/>
      <w:pPr>
        <w:ind w:left="3859" w:hanging="210"/>
      </w:pPr>
      <w:rPr>
        <w:rFonts w:hint="default"/>
      </w:rPr>
    </w:lvl>
    <w:lvl w:ilvl="4">
      <w:start w:val="0"/>
      <w:numFmt w:val="bullet"/>
      <w:lvlText w:val="•"/>
      <w:lvlJc w:val="left"/>
      <w:pPr>
        <w:ind w:left="4605" w:hanging="210"/>
      </w:pPr>
      <w:rPr>
        <w:rFonts w:hint="default"/>
      </w:rPr>
    </w:lvl>
    <w:lvl w:ilvl="5">
      <w:start w:val="0"/>
      <w:numFmt w:val="bullet"/>
      <w:lvlText w:val="•"/>
      <w:lvlJc w:val="left"/>
      <w:pPr>
        <w:ind w:left="5352" w:hanging="210"/>
      </w:pPr>
      <w:rPr>
        <w:rFonts w:hint="default"/>
      </w:rPr>
    </w:lvl>
    <w:lvl w:ilvl="6">
      <w:start w:val="0"/>
      <w:numFmt w:val="bullet"/>
      <w:lvlText w:val="•"/>
      <w:lvlJc w:val="left"/>
      <w:pPr>
        <w:ind w:left="6098" w:hanging="210"/>
      </w:pPr>
      <w:rPr>
        <w:rFonts w:hint="default"/>
      </w:rPr>
    </w:lvl>
    <w:lvl w:ilvl="7">
      <w:start w:val="0"/>
      <w:numFmt w:val="bullet"/>
      <w:lvlText w:val="•"/>
      <w:lvlJc w:val="left"/>
      <w:pPr>
        <w:ind w:left="6845" w:hanging="210"/>
      </w:pPr>
      <w:rPr>
        <w:rFonts w:hint="default"/>
      </w:rPr>
    </w:lvl>
    <w:lvl w:ilvl="8">
      <w:start w:val="0"/>
      <w:numFmt w:val="bullet"/>
      <w:lvlText w:val="•"/>
      <w:lvlJc w:val="left"/>
      <w:pPr>
        <w:ind w:left="7591" w:hanging="210"/>
      </w:pPr>
      <w:rPr>
        <w:rFonts w:hint="default"/>
      </w:rPr>
    </w:lvl>
  </w:abstractNum>
  <w:abstractNum w:abstractNumId="7">
    <w:multiLevelType w:val="hybridMultilevel"/>
    <w:lvl w:ilvl="0">
      <w:start w:val="7"/>
      <w:numFmt w:val="decimal"/>
      <w:lvlText w:val="%1"/>
      <w:lvlJc w:val="left"/>
      <w:pPr>
        <w:ind w:left="2076" w:hanging="637"/>
        <w:jc w:val="left"/>
      </w:pPr>
      <w:rPr>
        <w:rFonts w:hint="default"/>
      </w:rPr>
    </w:lvl>
    <w:lvl w:ilvl="1">
      <w:start w:val="10"/>
      <w:numFmt w:val="decimal"/>
      <w:lvlText w:val="%1.%2"/>
      <w:lvlJc w:val="left"/>
      <w:pPr>
        <w:ind w:left="2076" w:hanging="637"/>
        <w:jc w:val="left"/>
      </w:pPr>
      <w:rPr>
        <w:rFonts w:hint="default" w:ascii="黑体" w:hAnsi="黑体" w:eastAsia="黑体" w:cs="黑体"/>
        <w:w w:val="100"/>
        <w:sz w:val="21"/>
        <w:szCs w:val="21"/>
      </w:rPr>
    </w:lvl>
    <w:lvl w:ilvl="2">
      <w:start w:val="0"/>
      <w:numFmt w:val="bullet"/>
      <w:lvlText w:val="•"/>
      <w:lvlJc w:val="left"/>
      <w:pPr>
        <w:ind w:left="2024" w:hanging="637"/>
      </w:pPr>
      <w:rPr>
        <w:rFonts w:hint="default"/>
      </w:rPr>
    </w:lvl>
    <w:lvl w:ilvl="3">
      <w:start w:val="0"/>
      <w:numFmt w:val="bullet"/>
      <w:lvlText w:val="•"/>
      <w:lvlJc w:val="left"/>
      <w:pPr>
        <w:ind w:left="1997" w:hanging="637"/>
      </w:pPr>
      <w:rPr>
        <w:rFonts w:hint="default"/>
      </w:rPr>
    </w:lvl>
    <w:lvl w:ilvl="4">
      <w:start w:val="0"/>
      <w:numFmt w:val="bullet"/>
      <w:lvlText w:val="•"/>
      <w:lvlJc w:val="left"/>
      <w:pPr>
        <w:ind w:left="1969" w:hanging="637"/>
      </w:pPr>
      <w:rPr>
        <w:rFonts w:hint="default"/>
      </w:rPr>
    </w:lvl>
    <w:lvl w:ilvl="5">
      <w:start w:val="0"/>
      <w:numFmt w:val="bullet"/>
      <w:lvlText w:val="•"/>
      <w:lvlJc w:val="left"/>
      <w:pPr>
        <w:ind w:left="1942" w:hanging="637"/>
      </w:pPr>
      <w:rPr>
        <w:rFonts w:hint="default"/>
      </w:rPr>
    </w:lvl>
    <w:lvl w:ilvl="6">
      <w:start w:val="0"/>
      <w:numFmt w:val="bullet"/>
      <w:lvlText w:val="•"/>
      <w:lvlJc w:val="left"/>
      <w:pPr>
        <w:ind w:left="1914" w:hanging="637"/>
      </w:pPr>
      <w:rPr>
        <w:rFonts w:hint="default"/>
      </w:rPr>
    </w:lvl>
    <w:lvl w:ilvl="7">
      <w:start w:val="0"/>
      <w:numFmt w:val="bullet"/>
      <w:lvlText w:val="•"/>
      <w:lvlJc w:val="left"/>
      <w:pPr>
        <w:ind w:left="1886" w:hanging="637"/>
      </w:pPr>
      <w:rPr>
        <w:rFonts w:hint="default"/>
      </w:rPr>
    </w:lvl>
    <w:lvl w:ilvl="8">
      <w:start w:val="0"/>
      <w:numFmt w:val="bullet"/>
      <w:lvlText w:val="•"/>
      <w:lvlJc w:val="left"/>
      <w:pPr>
        <w:ind w:left="1859" w:hanging="637"/>
      </w:pPr>
      <w:rPr>
        <w:rFonts w:hint="default"/>
      </w:rPr>
    </w:lvl>
  </w:abstractNum>
  <w:abstractNum w:abstractNumId="6">
    <w:multiLevelType w:val="hybridMultilevel"/>
    <w:lvl w:ilvl="0">
      <w:start w:val="7"/>
      <w:numFmt w:val="decimal"/>
      <w:lvlText w:val="%1"/>
      <w:lvlJc w:val="left"/>
      <w:pPr>
        <w:ind w:left="2176" w:hanging="636"/>
        <w:jc w:val="left"/>
      </w:pPr>
      <w:rPr>
        <w:rFonts w:hint="default"/>
      </w:rPr>
    </w:lvl>
    <w:lvl w:ilvl="1">
      <w:start w:val="1"/>
      <w:numFmt w:val="decimal"/>
      <w:lvlText w:val="%1.%2"/>
      <w:lvlJc w:val="left"/>
      <w:pPr>
        <w:ind w:left="2176" w:hanging="636"/>
        <w:jc w:val="left"/>
      </w:pPr>
      <w:rPr>
        <w:rFonts w:hint="default" w:ascii="黑体" w:hAnsi="黑体" w:eastAsia="黑体" w:cs="黑体"/>
        <w:spacing w:val="-1"/>
        <w:w w:val="100"/>
        <w:sz w:val="21"/>
        <w:szCs w:val="21"/>
      </w:rPr>
    </w:lvl>
    <w:lvl w:ilvl="2">
      <w:start w:val="0"/>
      <w:numFmt w:val="bullet"/>
      <w:lvlText w:val="•"/>
      <w:lvlJc w:val="left"/>
      <w:pPr>
        <w:ind w:left="2124" w:hanging="636"/>
      </w:pPr>
      <w:rPr>
        <w:rFonts w:hint="default"/>
      </w:rPr>
    </w:lvl>
    <w:lvl w:ilvl="3">
      <w:start w:val="0"/>
      <w:numFmt w:val="bullet"/>
      <w:lvlText w:val="•"/>
      <w:lvlJc w:val="left"/>
      <w:pPr>
        <w:ind w:left="2097" w:hanging="636"/>
      </w:pPr>
      <w:rPr>
        <w:rFonts w:hint="default"/>
      </w:rPr>
    </w:lvl>
    <w:lvl w:ilvl="4">
      <w:start w:val="0"/>
      <w:numFmt w:val="bullet"/>
      <w:lvlText w:val="•"/>
      <w:lvlJc w:val="left"/>
      <w:pPr>
        <w:ind w:left="2069" w:hanging="636"/>
      </w:pPr>
      <w:rPr>
        <w:rFonts w:hint="default"/>
      </w:rPr>
    </w:lvl>
    <w:lvl w:ilvl="5">
      <w:start w:val="0"/>
      <w:numFmt w:val="bullet"/>
      <w:lvlText w:val="•"/>
      <w:lvlJc w:val="left"/>
      <w:pPr>
        <w:ind w:left="2041" w:hanging="636"/>
      </w:pPr>
      <w:rPr>
        <w:rFonts w:hint="default"/>
      </w:rPr>
    </w:lvl>
    <w:lvl w:ilvl="6">
      <w:start w:val="0"/>
      <w:numFmt w:val="bullet"/>
      <w:lvlText w:val="•"/>
      <w:lvlJc w:val="left"/>
      <w:pPr>
        <w:ind w:left="2014" w:hanging="636"/>
      </w:pPr>
      <w:rPr>
        <w:rFonts w:hint="default"/>
      </w:rPr>
    </w:lvl>
    <w:lvl w:ilvl="7">
      <w:start w:val="0"/>
      <w:numFmt w:val="bullet"/>
      <w:lvlText w:val="•"/>
      <w:lvlJc w:val="left"/>
      <w:pPr>
        <w:ind w:left="1986" w:hanging="636"/>
      </w:pPr>
      <w:rPr>
        <w:rFonts w:hint="default"/>
      </w:rPr>
    </w:lvl>
    <w:lvl w:ilvl="8">
      <w:start w:val="0"/>
      <w:numFmt w:val="bullet"/>
      <w:lvlText w:val="•"/>
      <w:lvlJc w:val="left"/>
      <w:pPr>
        <w:ind w:left="1959" w:hanging="636"/>
      </w:pPr>
      <w:rPr>
        <w:rFonts w:hint="default"/>
      </w:rPr>
    </w:lvl>
  </w:abstractNum>
  <w:abstractNum w:abstractNumId="5">
    <w:multiLevelType w:val="hybridMultilevel"/>
    <w:lvl w:ilvl="0">
      <w:start w:val="6"/>
      <w:numFmt w:val="decimal"/>
      <w:lvlText w:val="%1"/>
      <w:lvlJc w:val="left"/>
      <w:pPr>
        <w:ind w:left="853" w:hanging="636"/>
        <w:jc w:val="left"/>
      </w:pPr>
      <w:rPr>
        <w:rFonts w:hint="default"/>
      </w:rPr>
    </w:lvl>
    <w:lvl w:ilvl="1">
      <w:start w:val="1"/>
      <w:numFmt w:val="decimal"/>
      <w:lvlText w:val="%1.%2"/>
      <w:lvlJc w:val="left"/>
      <w:pPr>
        <w:ind w:left="853" w:hanging="636"/>
        <w:jc w:val="left"/>
      </w:pPr>
      <w:rPr>
        <w:rFonts w:hint="default" w:ascii="黑体" w:hAnsi="黑体" w:eastAsia="黑体" w:cs="黑体"/>
        <w:spacing w:val="-1"/>
        <w:w w:val="100"/>
        <w:sz w:val="21"/>
        <w:szCs w:val="21"/>
      </w:rPr>
    </w:lvl>
    <w:lvl w:ilvl="2">
      <w:start w:val="0"/>
      <w:numFmt w:val="bullet"/>
      <w:lvlText w:val="•"/>
      <w:lvlJc w:val="left"/>
      <w:pPr>
        <w:ind w:left="1068" w:hanging="636"/>
      </w:pPr>
      <w:rPr>
        <w:rFonts w:hint="default"/>
      </w:rPr>
    </w:lvl>
    <w:lvl w:ilvl="3">
      <w:start w:val="0"/>
      <w:numFmt w:val="bullet"/>
      <w:lvlText w:val="•"/>
      <w:lvlJc w:val="left"/>
      <w:pPr>
        <w:ind w:left="1173" w:hanging="636"/>
      </w:pPr>
      <w:rPr>
        <w:rFonts w:hint="default"/>
      </w:rPr>
    </w:lvl>
    <w:lvl w:ilvl="4">
      <w:start w:val="0"/>
      <w:numFmt w:val="bullet"/>
      <w:lvlText w:val="•"/>
      <w:lvlJc w:val="left"/>
      <w:pPr>
        <w:ind w:left="1277" w:hanging="636"/>
      </w:pPr>
      <w:rPr>
        <w:rFonts w:hint="default"/>
      </w:rPr>
    </w:lvl>
    <w:lvl w:ilvl="5">
      <w:start w:val="0"/>
      <w:numFmt w:val="bullet"/>
      <w:lvlText w:val="•"/>
      <w:lvlJc w:val="left"/>
      <w:pPr>
        <w:ind w:left="1381" w:hanging="636"/>
      </w:pPr>
      <w:rPr>
        <w:rFonts w:hint="default"/>
      </w:rPr>
    </w:lvl>
    <w:lvl w:ilvl="6">
      <w:start w:val="0"/>
      <w:numFmt w:val="bullet"/>
      <w:lvlText w:val="•"/>
      <w:lvlJc w:val="left"/>
      <w:pPr>
        <w:ind w:left="1486" w:hanging="636"/>
      </w:pPr>
      <w:rPr>
        <w:rFonts w:hint="default"/>
      </w:rPr>
    </w:lvl>
    <w:lvl w:ilvl="7">
      <w:start w:val="0"/>
      <w:numFmt w:val="bullet"/>
      <w:lvlText w:val="•"/>
      <w:lvlJc w:val="left"/>
      <w:pPr>
        <w:ind w:left="1590" w:hanging="636"/>
      </w:pPr>
      <w:rPr>
        <w:rFonts w:hint="default"/>
      </w:rPr>
    </w:lvl>
    <w:lvl w:ilvl="8">
      <w:start w:val="0"/>
      <w:numFmt w:val="bullet"/>
      <w:lvlText w:val="•"/>
      <w:lvlJc w:val="left"/>
      <w:pPr>
        <w:ind w:left="1695" w:hanging="636"/>
      </w:pPr>
      <w:rPr>
        <w:rFonts w:hint="default"/>
      </w:rPr>
    </w:lvl>
  </w:abstractNum>
  <w:abstractNum w:abstractNumId="4">
    <w:multiLevelType w:val="hybridMultilevel"/>
    <w:lvl w:ilvl="0">
      <w:start w:val="4"/>
      <w:numFmt w:val="decimal"/>
      <w:lvlText w:val="%1"/>
      <w:lvlJc w:val="left"/>
      <w:pPr>
        <w:ind w:left="854" w:hanging="637"/>
        <w:jc w:val="left"/>
      </w:pPr>
      <w:rPr>
        <w:rFonts w:hint="default"/>
      </w:rPr>
    </w:lvl>
    <w:lvl w:ilvl="1">
      <w:start w:val="1"/>
      <w:numFmt w:val="decimal"/>
      <w:lvlText w:val="%1.%2"/>
      <w:lvlJc w:val="left"/>
      <w:pPr>
        <w:ind w:left="854" w:hanging="637"/>
        <w:jc w:val="left"/>
      </w:pPr>
      <w:rPr>
        <w:rFonts w:hint="default" w:ascii="黑体" w:hAnsi="黑体" w:eastAsia="黑体" w:cs="黑体"/>
        <w:spacing w:val="-1"/>
        <w:w w:val="100"/>
        <w:sz w:val="21"/>
        <w:szCs w:val="21"/>
      </w:rPr>
    </w:lvl>
    <w:lvl w:ilvl="2">
      <w:start w:val="0"/>
      <w:numFmt w:val="bullet"/>
      <w:lvlText w:val="•"/>
      <w:lvlJc w:val="left"/>
      <w:pPr>
        <w:ind w:left="1068" w:hanging="637"/>
      </w:pPr>
      <w:rPr>
        <w:rFonts w:hint="default"/>
      </w:rPr>
    </w:lvl>
    <w:lvl w:ilvl="3">
      <w:start w:val="0"/>
      <w:numFmt w:val="bullet"/>
      <w:lvlText w:val="•"/>
      <w:lvlJc w:val="left"/>
      <w:pPr>
        <w:ind w:left="1173" w:hanging="637"/>
      </w:pPr>
      <w:rPr>
        <w:rFonts w:hint="default"/>
      </w:rPr>
    </w:lvl>
    <w:lvl w:ilvl="4">
      <w:start w:val="0"/>
      <w:numFmt w:val="bullet"/>
      <w:lvlText w:val="•"/>
      <w:lvlJc w:val="left"/>
      <w:pPr>
        <w:ind w:left="1277" w:hanging="637"/>
      </w:pPr>
      <w:rPr>
        <w:rFonts w:hint="default"/>
      </w:rPr>
    </w:lvl>
    <w:lvl w:ilvl="5">
      <w:start w:val="0"/>
      <w:numFmt w:val="bullet"/>
      <w:lvlText w:val="•"/>
      <w:lvlJc w:val="left"/>
      <w:pPr>
        <w:ind w:left="1381" w:hanging="637"/>
      </w:pPr>
      <w:rPr>
        <w:rFonts w:hint="default"/>
      </w:rPr>
    </w:lvl>
    <w:lvl w:ilvl="6">
      <w:start w:val="0"/>
      <w:numFmt w:val="bullet"/>
      <w:lvlText w:val="•"/>
      <w:lvlJc w:val="left"/>
      <w:pPr>
        <w:ind w:left="1486" w:hanging="637"/>
      </w:pPr>
      <w:rPr>
        <w:rFonts w:hint="default"/>
      </w:rPr>
    </w:lvl>
    <w:lvl w:ilvl="7">
      <w:start w:val="0"/>
      <w:numFmt w:val="bullet"/>
      <w:lvlText w:val="•"/>
      <w:lvlJc w:val="left"/>
      <w:pPr>
        <w:ind w:left="1590" w:hanging="637"/>
      </w:pPr>
      <w:rPr>
        <w:rFonts w:hint="default"/>
      </w:rPr>
    </w:lvl>
    <w:lvl w:ilvl="8">
      <w:start w:val="0"/>
      <w:numFmt w:val="bullet"/>
      <w:lvlText w:val="•"/>
      <w:lvlJc w:val="left"/>
      <w:pPr>
        <w:ind w:left="1694" w:hanging="637"/>
      </w:pPr>
      <w:rPr>
        <w:rFonts w:hint="default"/>
      </w:rPr>
    </w:lvl>
  </w:abstractNum>
  <w:abstractNum w:abstractNumId="3">
    <w:multiLevelType w:val="hybridMultilevel"/>
    <w:lvl w:ilvl="0">
      <w:start w:val="3"/>
      <w:numFmt w:val="decimal"/>
      <w:lvlText w:val="%1"/>
      <w:lvlJc w:val="left"/>
      <w:pPr>
        <w:ind w:left="2176" w:hanging="637"/>
        <w:jc w:val="left"/>
      </w:pPr>
      <w:rPr>
        <w:rFonts w:hint="default"/>
      </w:rPr>
    </w:lvl>
    <w:lvl w:ilvl="1">
      <w:start w:val="4"/>
      <w:numFmt w:val="decimal"/>
      <w:lvlText w:val="%1.%2"/>
      <w:lvlJc w:val="left"/>
      <w:pPr>
        <w:ind w:left="2176" w:hanging="637"/>
        <w:jc w:val="left"/>
      </w:pPr>
      <w:rPr>
        <w:rFonts w:hint="default" w:ascii="黑体" w:hAnsi="黑体" w:eastAsia="黑体" w:cs="黑体"/>
        <w:spacing w:val="-1"/>
        <w:w w:val="100"/>
        <w:sz w:val="21"/>
        <w:szCs w:val="21"/>
      </w:rPr>
    </w:lvl>
    <w:lvl w:ilvl="2">
      <w:start w:val="0"/>
      <w:numFmt w:val="bullet"/>
      <w:lvlText w:val="•"/>
      <w:lvlJc w:val="left"/>
      <w:pPr>
        <w:ind w:left="2124" w:hanging="637"/>
      </w:pPr>
      <w:rPr>
        <w:rFonts w:hint="default"/>
      </w:rPr>
    </w:lvl>
    <w:lvl w:ilvl="3">
      <w:start w:val="0"/>
      <w:numFmt w:val="bullet"/>
      <w:lvlText w:val="•"/>
      <w:lvlJc w:val="left"/>
      <w:pPr>
        <w:ind w:left="2097" w:hanging="637"/>
      </w:pPr>
      <w:rPr>
        <w:rFonts w:hint="default"/>
      </w:rPr>
    </w:lvl>
    <w:lvl w:ilvl="4">
      <w:start w:val="0"/>
      <w:numFmt w:val="bullet"/>
      <w:lvlText w:val="•"/>
      <w:lvlJc w:val="left"/>
      <w:pPr>
        <w:ind w:left="2069" w:hanging="637"/>
      </w:pPr>
      <w:rPr>
        <w:rFonts w:hint="default"/>
      </w:rPr>
    </w:lvl>
    <w:lvl w:ilvl="5">
      <w:start w:val="0"/>
      <w:numFmt w:val="bullet"/>
      <w:lvlText w:val="•"/>
      <w:lvlJc w:val="left"/>
      <w:pPr>
        <w:ind w:left="2041" w:hanging="637"/>
      </w:pPr>
      <w:rPr>
        <w:rFonts w:hint="default"/>
      </w:rPr>
    </w:lvl>
    <w:lvl w:ilvl="6">
      <w:start w:val="0"/>
      <w:numFmt w:val="bullet"/>
      <w:lvlText w:val="•"/>
      <w:lvlJc w:val="left"/>
      <w:pPr>
        <w:ind w:left="2014" w:hanging="637"/>
      </w:pPr>
      <w:rPr>
        <w:rFonts w:hint="default"/>
      </w:rPr>
    </w:lvl>
    <w:lvl w:ilvl="7">
      <w:start w:val="0"/>
      <w:numFmt w:val="bullet"/>
      <w:lvlText w:val="•"/>
      <w:lvlJc w:val="left"/>
      <w:pPr>
        <w:ind w:left="1986" w:hanging="637"/>
      </w:pPr>
      <w:rPr>
        <w:rFonts w:hint="default"/>
      </w:rPr>
    </w:lvl>
    <w:lvl w:ilvl="8">
      <w:start w:val="0"/>
      <w:numFmt w:val="bullet"/>
      <w:lvlText w:val="•"/>
      <w:lvlJc w:val="left"/>
      <w:pPr>
        <w:ind w:left="1958" w:hanging="637"/>
      </w:pPr>
      <w:rPr>
        <w:rFonts w:hint="default"/>
      </w:rPr>
    </w:lvl>
  </w:abstractNum>
  <w:abstractNum w:abstractNumId="2">
    <w:multiLevelType w:val="hybridMultilevel"/>
    <w:lvl w:ilvl="0">
      <w:start w:val="2"/>
      <w:numFmt w:val="decimal"/>
      <w:lvlText w:val="%1"/>
      <w:lvlJc w:val="left"/>
      <w:pPr>
        <w:ind w:left="954" w:hanging="637"/>
        <w:jc w:val="left"/>
      </w:pPr>
      <w:rPr>
        <w:rFonts w:hint="default"/>
      </w:rPr>
    </w:lvl>
    <w:lvl w:ilvl="1">
      <w:start w:val="1"/>
      <w:numFmt w:val="decimal"/>
      <w:lvlText w:val="%1.%2"/>
      <w:lvlJc w:val="left"/>
      <w:pPr>
        <w:ind w:left="2276" w:hanging="637"/>
        <w:jc w:val="right"/>
      </w:pPr>
      <w:rPr>
        <w:rFonts w:hint="default" w:ascii="黑体" w:hAnsi="黑体" w:eastAsia="黑体" w:cs="黑体"/>
        <w:spacing w:val="-1"/>
        <w:w w:val="100"/>
        <w:sz w:val="21"/>
        <w:szCs w:val="21"/>
      </w:rPr>
    </w:lvl>
    <w:lvl w:ilvl="2">
      <w:start w:val="0"/>
      <w:numFmt w:val="bullet"/>
      <w:lvlText w:val="•"/>
      <w:lvlJc w:val="left"/>
      <w:pPr>
        <w:ind w:left="3111" w:hanging="637"/>
      </w:pPr>
      <w:rPr>
        <w:rFonts w:hint="default"/>
      </w:rPr>
    </w:lvl>
    <w:lvl w:ilvl="3">
      <w:start w:val="0"/>
      <w:numFmt w:val="bullet"/>
      <w:lvlText w:val="•"/>
      <w:lvlJc w:val="left"/>
      <w:pPr>
        <w:ind w:left="3943" w:hanging="637"/>
      </w:pPr>
      <w:rPr>
        <w:rFonts w:hint="default"/>
      </w:rPr>
    </w:lvl>
    <w:lvl w:ilvl="4">
      <w:start w:val="0"/>
      <w:numFmt w:val="bullet"/>
      <w:lvlText w:val="•"/>
      <w:lvlJc w:val="left"/>
      <w:pPr>
        <w:ind w:left="4774" w:hanging="637"/>
      </w:pPr>
      <w:rPr>
        <w:rFonts w:hint="default"/>
      </w:rPr>
    </w:lvl>
    <w:lvl w:ilvl="5">
      <w:start w:val="0"/>
      <w:numFmt w:val="bullet"/>
      <w:lvlText w:val="•"/>
      <w:lvlJc w:val="left"/>
      <w:pPr>
        <w:ind w:left="5606" w:hanging="637"/>
      </w:pPr>
      <w:rPr>
        <w:rFonts w:hint="default"/>
      </w:rPr>
    </w:lvl>
    <w:lvl w:ilvl="6">
      <w:start w:val="0"/>
      <w:numFmt w:val="bullet"/>
      <w:lvlText w:val="•"/>
      <w:lvlJc w:val="left"/>
      <w:pPr>
        <w:ind w:left="6438" w:hanging="637"/>
      </w:pPr>
      <w:rPr>
        <w:rFonts w:hint="default"/>
      </w:rPr>
    </w:lvl>
    <w:lvl w:ilvl="7">
      <w:start w:val="0"/>
      <w:numFmt w:val="bullet"/>
      <w:lvlText w:val="•"/>
      <w:lvlJc w:val="left"/>
      <w:pPr>
        <w:ind w:left="7269" w:hanging="637"/>
      </w:pPr>
      <w:rPr>
        <w:rFonts w:hint="default"/>
      </w:rPr>
    </w:lvl>
    <w:lvl w:ilvl="8">
      <w:start w:val="0"/>
      <w:numFmt w:val="bullet"/>
      <w:lvlText w:val="•"/>
      <w:lvlJc w:val="left"/>
      <w:pPr>
        <w:ind w:left="8101" w:hanging="637"/>
      </w:pPr>
      <w:rPr>
        <w:rFonts w:hint="default"/>
      </w:rPr>
    </w:lvl>
  </w:abstractNum>
  <w:abstractNum w:abstractNumId="1">
    <w:multiLevelType w:val="hybridMultilevel"/>
    <w:lvl w:ilvl="0">
      <w:start w:val="1"/>
      <w:numFmt w:val="decimal"/>
      <w:lvlText w:val="%1"/>
      <w:lvlJc w:val="left"/>
      <w:pPr>
        <w:ind w:left="2276" w:hanging="636"/>
        <w:jc w:val="left"/>
      </w:pPr>
      <w:rPr>
        <w:rFonts w:hint="default"/>
      </w:rPr>
    </w:lvl>
    <w:lvl w:ilvl="1">
      <w:start w:val="1"/>
      <w:numFmt w:val="decimal"/>
      <w:lvlText w:val="%1.%2"/>
      <w:lvlJc w:val="left"/>
      <w:pPr>
        <w:ind w:left="2276" w:hanging="636"/>
        <w:jc w:val="left"/>
      </w:pPr>
      <w:rPr>
        <w:rFonts w:hint="default" w:ascii="黑体" w:hAnsi="黑体" w:eastAsia="黑体" w:cs="黑体"/>
        <w:spacing w:val="-42"/>
        <w:w w:val="100"/>
        <w:sz w:val="21"/>
        <w:szCs w:val="21"/>
      </w:rPr>
    </w:lvl>
    <w:lvl w:ilvl="2">
      <w:start w:val="0"/>
      <w:numFmt w:val="bullet"/>
      <w:lvlText w:val="•"/>
      <w:lvlJc w:val="left"/>
      <w:pPr>
        <w:ind w:left="3776" w:hanging="636"/>
      </w:pPr>
      <w:rPr>
        <w:rFonts w:hint="default"/>
      </w:rPr>
    </w:lvl>
    <w:lvl w:ilvl="3">
      <w:start w:val="0"/>
      <w:numFmt w:val="bullet"/>
      <w:lvlText w:val="•"/>
      <w:lvlJc w:val="left"/>
      <w:pPr>
        <w:ind w:left="4525" w:hanging="636"/>
      </w:pPr>
      <w:rPr>
        <w:rFonts w:hint="default"/>
      </w:rPr>
    </w:lvl>
    <w:lvl w:ilvl="4">
      <w:start w:val="0"/>
      <w:numFmt w:val="bullet"/>
      <w:lvlText w:val="•"/>
      <w:lvlJc w:val="left"/>
      <w:pPr>
        <w:ind w:left="5273" w:hanging="636"/>
      </w:pPr>
      <w:rPr>
        <w:rFonts w:hint="default"/>
      </w:rPr>
    </w:lvl>
    <w:lvl w:ilvl="5">
      <w:start w:val="0"/>
      <w:numFmt w:val="bullet"/>
      <w:lvlText w:val="•"/>
      <w:lvlJc w:val="left"/>
      <w:pPr>
        <w:ind w:left="6022" w:hanging="636"/>
      </w:pPr>
      <w:rPr>
        <w:rFonts w:hint="default"/>
      </w:rPr>
    </w:lvl>
    <w:lvl w:ilvl="6">
      <w:start w:val="0"/>
      <w:numFmt w:val="bullet"/>
      <w:lvlText w:val="•"/>
      <w:lvlJc w:val="left"/>
      <w:pPr>
        <w:ind w:left="6770" w:hanging="636"/>
      </w:pPr>
      <w:rPr>
        <w:rFonts w:hint="default"/>
      </w:rPr>
    </w:lvl>
    <w:lvl w:ilvl="7">
      <w:start w:val="0"/>
      <w:numFmt w:val="bullet"/>
      <w:lvlText w:val="•"/>
      <w:lvlJc w:val="left"/>
      <w:pPr>
        <w:ind w:left="7519" w:hanging="636"/>
      </w:pPr>
      <w:rPr>
        <w:rFonts w:hint="default"/>
      </w:rPr>
    </w:lvl>
    <w:lvl w:ilvl="8">
      <w:start w:val="0"/>
      <w:numFmt w:val="bullet"/>
      <w:lvlText w:val="•"/>
      <w:lvlJc w:val="left"/>
      <w:pPr>
        <w:ind w:left="8267" w:hanging="636"/>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804" w:hanging="453"/>
      </w:pPr>
      <w:rPr>
        <w:rFonts w:hint="default"/>
      </w:rPr>
    </w:lvl>
    <w:lvl w:ilvl="2">
      <w:start w:val="0"/>
      <w:numFmt w:val="bullet"/>
      <w:lvlText w:val="•"/>
      <w:lvlJc w:val="left"/>
      <w:pPr>
        <w:ind w:left="2768" w:hanging="453"/>
      </w:pPr>
      <w:rPr>
        <w:rFonts w:hint="default"/>
      </w:rPr>
    </w:lvl>
    <w:lvl w:ilvl="3">
      <w:start w:val="0"/>
      <w:numFmt w:val="bullet"/>
      <w:lvlText w:val="•"/>
      <w:lvlJc w:val="left"/>
      <w:pPr>
        <w:ind w:left="3733" w:hanging="453"/>
      </w:pPr>
      <w:rPr>
        <w:rFonts w:hint="default"/>
      </w:rPr>
    </w:lvl>
    <w:lvl w:ilvl="4">
      <w:start w:val="0"/>
      <w:numFmt w:val="bullet"/>
      <w:lvlText w:val="•"/>
      <w:lvlJc w:val="left"/>
      <w:pPr>
        <w:ind w:left="4697" w:hanging="453"/>
      </w:pPr>
      <w:rPr>
        <w:rFonts w:hint="default"/>
      </w:rPr>
    </w:lvl>
    <w:lvl w:ilvl="5">
      <w:start w:val="0"/>
      <w:numFmt w:val="bullet"/>
      <w:lvlText w:val="•"/>
      <w:lvlJc w:val="left"/>
      <w:pPr>
        <w:ind w:left="5662" w:hanging="453"/>
      </w:pPr>
      <w:rPr>
        <w:rFonts w:hint="default"/>
      </w:rPr>
    </w:lvl>
    <w:lvl w:ilvl="6">
      <w:start w:val="0"/>
      <w:numFmt w:val="bullet"/>
      <w:lvlText w:val="•"/>
      <w:lvlJc w:val="left"/>
      <w:pPr>
        <w:ind w:left="6626" w:hanging="453"/>
      </w:pPr>
      <w:rPr>
        <w:rFonts w:hint="default"/>
      </w:rPr>
    </w:lvl>
    <w:lvl w:ilvl="7">
      <w:start w:val="0"/>
      <w:numFmt w:val="bullet"/>
      <w:lvlText w:val="•"/>
      <w:lvlJc w:val="left"/>
      <w:pPr>
        <w:ind w:left="7591" w:hanging="453"/>
      </w:pPr>
      <w:rPr>
        <w:rFonts w:hint="default"/>
      </w:rPr>
    </w:lvl>
    <w:lvl w:ilvl="8">
      <w:start w:val="0"/>
      <w:numFmt w:val="bullet"/>
      <w:lvlText w:val="•"/>
      <w:lvlJc w:val="left"/>
      <w:pPr>
        <w:ind w:left="8555" w:hanging="4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616"/>
    </w:pPr>
    <w:rPr>
      <w:rFonts w:ascii="宋体" w:hAnsi="宋体" w:eastAsia="宋体" w:cs="宋体"/>
      <w:sz w:val="21"/>
      <w:szCs w:val="21"/>
    </w:rPr>
  </w:style>
  <w:style w:styleId="Heading1" w:type="paragraph">
    <w:name w:val="Heading 1"/>
    <w:basedOn w:val="Normal"/>
    <w:uiPriority w:val="1"/>
    <w:qFormat/>
    <w:pPr>
      <w:spacing w:before="31"/>
      <w:ind w:left="2564" w:right="628" w:firstLine="320"/>
      <w:outlineLvl w:val="1"/>
    </w:pPr>
    <w:rPr>
      <w:rFonts w:ascii="黑体" w:hAnsi="黑体" w:eastAsia="黑体" w:cs="黑体"/>
      <w:b/>
      <w:bCs/>
      <w:sz w:val="32"/>
      <w:szCs w:val="32"/>
    </w:rPr>
  </w:style>
  <w:style w:styleId="Heading2" w:type="paragraph">
    <w:name w:val="Heading 2"/>
    <w:basedOn w:val="Normal"/>
    <w:uiPriority w:val="1"/>
    <w:qFormat/>
    <w:pPr>
      <w:ind w:left="110"/>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076" w:hanging="195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qintian</dc:creator>
  <dc:title>&lt;4D6963726F736F667420576F7264202D20C0FBB1A3B7A2A3A832303132A3A93938BAC531322DB8BDBCD3D0D2B8A3B1A6B1B4D6D8B4F3BCB2B2A1B1A3CFD5CCF5BFEE206E6577&gt;</dc:title>
  <dcterms:created xsi:type="dcterms:W3CDTF">2018-10-20T04:41:58Z</dcterms:created>
  <dcterms:modified xsi:type="dcterms:W3CDTF">2018-10-20T04:41:58Z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