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3"/>
        </w:rPr>
      </w:pPr>
    </w:p>
    <w:p>
      <w:pPr>
        <w:pStyle w:val="BodyText"/>
        <w:ind w:left="1100"/>
        <w:rPr>
          <w:rFonts w:ascii="Times New Roman"/>
          <w:sz w:val="20"/>
        </w:rPr>
      </w:pPr>
      <w:r>
        <w:rPr>
          <w:rFonts w:ascii="Times New Roman"/>
          <w:sz w:val="20"/>
        </w:rPr>
        <w:drawing>
          <wp:inline distT="0" distB="0" distL="0" distR="0">
            <wp:extent cx="2589278" cy="4023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89278" cy="40233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spacing w:before="96"/>
        <w:ind w:left="416"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5018404</wp:posOffset>
            </wp:positionH>
            <wp:positionV relativeFrom="paragraph">
              <wp:posOffset>-761284</wp:posOffset>
            </wp:positionV>
            <wp:extent cx="1847850" cy="11049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47850" cy="1104900"/>
                    </a:xfrm>
                    <a:prstGeom prst="rect">
                      <a:avLst/>
                    </a:prstGeom>
                  </pic:spPr>
                </pic:pic>
              </a:graphicData>
            </a:graphic>
          </wp:anchor>
        </w:drawing>
      </w:r>
      <w:r>
        <w:rPr>
          <w:rFonts w:ascii="微软雅黑" w:eastAsia="微软雅黑" w:hint="eastAsia"/>
          <w:b/>
          <w:sz w:val="32"/>
        </w:rPr>
        <w:t>百年附加福瑞安康提前给付重大疾病保险条款</w:t>
      </w:r>
    </w:p>
    <w:p>
      <w:pPr>
        <w:pStyle w:val="BodyText"/>
        <w:rPr>
          <w:rFonts w:ascii="微软雅黑"/>
          <w:b/>
          <w:sz w:val="20"/>
        </w:rPr>
      </w:pPr>
    </w:p>
    <w:p>
      <w:pPr>
        <w:pStyle w:val="BodyText"/>
        <w:spacing w:before="11"/>
        <w:rPr>
          <w:rFonts w:ascii="微软雅黑"/>
          <w:b/>
          <w:sz w:val="16"/>
        </w:rPr>
      </w:pPr>
      <w:r>
        <w:rPr/>
        <w:pict>
          <v:line style="position:absolute;mso-position-horizontal-relative:page;mso-position-vertical-relative:paragraph;z-index:0;mso-wrap-distance-left:0;mso-wrap-distance-right:0" from="66.650002pt,16.755690pt" to="528.650002pt,16.755690pt" stroked="true" strokeweight=".75pt" strokecolor="#000000">
            <v:stroke dashstyle="solid"/>
            <w10:wrap type="topAndBottom"/>
          </v:line>
        </w:pict>
      </w:r>
      <w:r>
        <w:rPr/>
        <w:pict>
          <v:shape style="position:absolute;margin-left:230.449997pt;margin-top:45.42569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3"/>
        <w:rPr>
          <w:rFonts w:ascii="微软雅黑"/>
          <w:b/>
          <w:sz w:val="28"/>
        </w:rPr>
      </w:pPr>
    </w:p>
    <w:p>
      <w:pPr>
        <w:pStyle w:val="BodyText"/>
        <w:spacing w:before="11"/>
        <w:rPr>
          <w:rFonts w:ascii="微软雅黑"/>
          <w:b/>
          <w:sz w:val="28"/>
        </w:rPr>
      </w:pPr>
    </w:p>
    <w:p>
      <w:pPr>
        <w:spacing w:before="37"/>
        <w:ind w:left="2024" w:right="0" w:firstLine="0"/>
        <w:jc w:val="left"/>
        <w:rPr>
          <w:sz w:val="21"/>
        </w:rPr>
      </w:pPr>
      <w:r>
        <w:rPr>
          <w:sz w:val="21"/>
        </w:rPr>
        <w:t>本阅读指引有助于您理解条款，对本合同内容的解释以条款为准。</w:t>
      </w:r>
    </w:p>
    <w:p>
      <w:pPr>
        <w:pStyle w:val="BodyText"/>
        <w:spacing w:before="11"/>
        <w:rPr>
          <w:sz w:val="21"/>
        </w:rPr>
      </w:pPr>
    </w:p>
    <w:p>
      <w:pPr>
        <w:tabs>
          <w:tab w:pos="973" w:val="left" w:leader="none"/>
        </w:tabs>
        <w:spacing w:before="1"/>
        <w:ind w:left="560" w:right="0" w:firstLine="0"/>
        <w:jc w:val="left"/>
        <w:rPr>
          <w:rFonts w:ascii="微软雅黑" w:hAnsi="微软雅黑" w:eastAsia="微软雅黑" w:hint="eastAsia"/>
          <w:b/>
          <w:sz w:val="21"/>
        </w:rPr>
      </w:pPr>
      <w:r>
        <w:rPr>
          <w:rFonts w:ascii="Wingdings" w:hAnsi="Wingdings" w:eastAsia="Wingdings"/>
          <w:sz w:val="21"/>
        </w:rPr>
        <w:t></w:t>
      </w:r>
      <w:r>
        <w:rPr>
          <w:rFonts w:ascii="Times New Roman" w:hAnsi="Times New Roman" w:eastAsia="Times New Roman"/>
          <w:sz w:val="21"/>
        </w:rPr>
        <w:tab/>
      </w:r>
      <w:r>
        <w:rPr>
          <w:rFonts w:ascii="微软雅黑" w:hAnsi="微软雅黑" w:eastAsia="微软雅黑" w:hint="eastAsia"/>
          <w:b/>
          <w:sz w:val="21"/>
        </w:rPr>
        <w:t>您拥有的重要权益</w:t>
      </w:r>
    </w:p>
    <w:p>
      <w:pPr>
        <w:pStyle w:val="ListParagraph"/>
        <w:numPr>
          <w:ilvl w:val="0"/>
          <w:numId w:val="1"/>
        </w:numPr>
        <w:tabs>
          <w:tab w:pos="973" w:val="left" w:leader="none"/>
          <w:tab w:pos="974" w:val="left" w:leader="none"/>
        </w:tabs>
        <w:spacing w:line="240" w:lineRule="auto" w:before="11"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被保险人享受本合同提供的保障</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2"/>
          <w:sz w:val="21"/>
        </w:rPr>
        <w:t>您有退保的权利</w:t>
      </w:r>
    </w:p>
    <w:p>
      <w:pPr>
        <w:pStyle w:val="BodyText"/>
        <w:spacing w:before="9"/>
        <w:rPr>
          <w:sz w:val="20"/>
        </w:rPr>
      </w:pPr>
    </w:p>
    <w:p>
      <w:pPr>
        <w:tabs>
          <w:tab w:pos="973" w:val="left" w:leader="none"/>
        </w:tabs>
        <w:spacing w:before="0"/>
        <w:ind w:left="560" w:right="0" w:firstLine="0"/>
        <w:jc w:val="left"/>
        <w:rPr>
          <w:rFonts w:ascii="微软雅黑" w:hAnsi="微软雅黑" w:eastAsia="微软雅黑" w:hint="eastAsia"/>
          <w:b/>
          <w:sz w:val="21"/>
        </w:rPr>
      </w:pPr>
      <w:r>
        <w:rPr>
          <w:rFonts w:ascii="Wingdings" w:hAnsi="Wingdings" w:eastAsia="Wingdings"/>
          <w:sz w:val="21"/>
        </w:rPr>
        <w:t></w:t>
      </w:r>
      <w:r>
        <w:rPr>
          <w:rFonts w:ascii="Times New Roman" w:hAnsi="Times New Roman" w:eastAsia="Times New Roman"/>
          <w:sz w:val="21"/>
        </w:rPr>
        <w:tab/>
      </w:r>
      <w:r>
        <w:rPr>
          <w:rFonts w:ascii="微软雅黑" w:hAnsi="微软雅黑" w:eastAsia="微软雅黑" w:hint="eastAsia"/>
          <w:b/>
          <w:spacing w:val="-1"/>
          <w:sz w:val="21"/>
        </w:rPr>
        <w:t>您应当特别注意的事项</w:t>
      </w:r>
    </w:p>
    <w:p>
      <w:pPr>
        <w:pStyle w:val="ListParagraph"/>
        <w:numPr>
          <w:ilvl w:val="0"/>
          <w:numId w:val="1"/>
        </w:numPr>
        <w:tabs>
          <w:tab w:pos="973" w:val="left" w:leader="none"/>
          <w:tab w:pos="974" w:val="left" w:leader="none"/>
        </w:tabs>
        <w:spacing w:line="240" w:lineRule="auto" w:before="11"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9"/>
        <w:rPr>
          <w:sz w:val="20"/>
        </w:rPr>
      </w:pPr>
    </w:p>
    <w:p>
      <w:pPr>
        <w:spacing w:before="0"/>
        <w:ind w:left="697" w:right="0" w:firstLine="0"/>
        <w:jc w:val="left"/>
        <w:rPr>
          <w:rFonts w:ascii="微软雅黑" w:hAnsi="微软雅黑" w:eastAsia="微软雅黑" w:hint="eastAsia"/>
          <w:b/>
          <w:sz w:val="21"/>
        </w:rPr>
      </w:pPr>
      <w:r>
        <w:rPr>
          <w:rFonts w:ascii="Wingdings" w:hAnsi="Wingdings" w:eastAsia="Wingdings"/>
          <w:sz w:val="21"/>
        </w:rPr>
        <w:t></w:t>
      </w:r>
      <w:r>
        <w:rPr>
          <w:rFonts w:ascii="Times New Roman" w:hAnsi="Times New Roman" w:eastAsia="Times New Roman"/>
          <w:sz w:val="21"/>
        </w:rPr>
        <w:t> </w:t>
      </w:r>
      <w:r>
        <w:rPr>
          <w:rFonts w:ascii="微软雅黑" w:hAnsi="微软雅黑" w:eastAsia="微软雅黑" w:hint="eastAsia"/>
          <w:b/>
          <w:sz w:val="21"/>
        </w:rPr>
        <w:t>条款目录</w:t>
      </w:r>
    </w:p>
    <w:p>
      <w:pPr>
        <w:pStyle w:val="BodyText"/>
        <w:rPr>
          <w:rFonts w:ascii="微软雅黑"/>
          <w:b/>
          <w:sz w:val="8"/>
        </w:rPr>
      </w:pPr>
    </w:p>
    <w:tbl>
      <w:tblPr>
        <w:tblW w:w="0" w:type="auto"/>
        <w:jc w:val="left"/>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3225"/>
        <w:gridCol w:w="3107"/>
      </w:tblGrid>
      <w:tr>
        <w:trPr>
          <w:trHeight w:val="4215" w:hRule="atLeast"/>
        </w:trPr>
        <w:tc>
          <w:tcPr>
            <w:tcW w:w="3165" w:type="dxa"/>
          </w:tcPr>
          <w:p>
            <w:pPr>
              <w:pStyle w:val="TableParagraph"/>
              <w:spacing w:line="360" w:lineRule="exact"/>
              <w:ind w:left="150"/>
              <w:rPr>
                <w:rFonts w:ascii="微软雅黑" w:eastAsia="微软雅黑" w:hint="eastAsia"/>
                <w:b/>
                <w:sz w:val="21"/>
              </w:rPr>
            </w:pPr>
            <w:r>
              <w:rPr>
                <w:rFonts w:ascii="微软雅黑" w:eastAsia="微软雅黑" w:hint="eastAsia"/>
                <w:b/>
                <w:sz w:val="21"/>
              </w:rPr>
              <w:t>1． 保什么、保多久</w:t>
            </w:r>
          </w:p>
          <w:p>
            <w:pPr>
              <w:pStyle w:val="TableParagraph"/>
              <w:numPr>
                <w:ilvl w:val="1"/>
                <w:numId w:val="2"/>
              </w:numPr>
              <w:tabs>
                <w:tab w:pos="916" w:val="left" w:leader="none"/>
              </w:tabs>
              <w:spacing w:line="240" w:lineRule="auto" w:before="11" w:after="0"/>
              <w:ind w:left="916" w:right="0" w:hanging="406"/>
              <w:jc w:val="left"/>
              <w:rPr>
                <w:sz w:val="21"/>
              </w:rPr>
            </w:pPr>
            <w:r>
              <w:rPr>
                <w:spacing w:val="-1"/>
                <w:sz w:val="21"/>
              </w:rPr>
              <w:t>保险责任</w:t>
            </w:r>
          </w:p>
          <w:p>
            <w:pPr>
              <w:pStyle w:val="TableParagraph"/>
              <w:numPr>
                <w:ilvl w:val="1"/>
                <w:numId w:val="2"/>
              </w:numPr>
              <w:tabs>
                <w:tab w:pos="916" w:val="left" w:leader="none"/>
              </w:tabs>
              <w:spacing w:line="262" w:lineRule="exact" w:before="36" w:after="0"/>
              <w:ind w:left="916" w:right="0" w:hanging="406"/>
              <w:jc w:val="left"/>
              <w:rPr>
                <w:sz w:val="21"/>
              </w:rPr>
            </w:pPr>
            <w:r>
              <w:rPr>
                <w:spacing w:val="-1"/>
                <w:sz w:val="21"/>
              </w:rPr>
              <w:t>保险期间</w:t>
            </w:r>
          </w:p>
          <w:p>
            <w:pPr>
              <w:pStyle w:val="TableParagraph"/>
              <w:spacing w:line="350" w:lineRule="exact"/>
              <w:ind w:left="150"/>
              <w:rPr>
                <w:rFonts w:ascii="微软雅黑" w:eastAsia="微软雅黑" w:hint="eastAsia"/>
                <w:b/>
                <w:sz w:val="21"/>
              </w:rPr>
            </w:pPr>
            <w:r>
              <w:rPr>
                <w:rFonts w:ascii="微软雅黑" w:eastAsia="微软雅黑" w:hint="eastAsia"/>
                <w:b/>
                <w:sz w:val="21"/>
              </w:rPr>
              <w:t>2． 不保什么</w:t>
            </w:r>
          </w:p>
          <w:p>
            <w:pPr>
              <w:pStyle w:val="TableParagraph"/>
              <w:numPr>
                <w:ilvl w:val="1"/>
                <w:numId w:val="3"/>
              </w:numPr>
              <w:tabs>
                <w:tab w:pos="933" w:val="left" w:leader="none"/>
              </w:tabs>
              <w:spacing w:line="240" w:lineRule="auto" w:before="12" w:after="0"/>
              <w:ind w:left="932" w:right="0" w:hanging="422"/>
              <w:jc w:val="left"/>
              <w:rPr>
                <w:sz w:val="21"/>
              </w:rPr>
            </w:pPr>
            <w:r>
              <w:rPr>
                <w:spacing w:val="-3"/>
                <w:sz w:val="21"/>
              </w:rPr>
              <w:t>责任免除</w:t>
            </w:r>
          </w:p>
          <w:p>
            <w:pPr>
              <w:pStyle w:val="TableParagraph"/>
              <w:numPr>
                <w:ilvl w:val="1"/>
                <w:numId w:val="3"/>
              </w:numPr>
              <w:tabs>
                <w:tab w:pos="933" w:val="left" w:leader="none"/>
              </w:tabs>
              <w:spacing w:line="262" w:lineRule="exact" w:before="37" w:after="0"/>
              <w:ind w:left="932" w:right="0" w:hanging="422"/>
              <w:jc w:val="left"/>
              <w:rPr>
                <w:sz w:val="21"/>
              </w:rPr>
            </w:pPr>
            <w:r>
              <w:rPr>
                <w:spacing w:val="-3"/>
                <w:sz w:val="21"/>
              </w:rPr>
              <w:t>其他免责条款</w:t>
            </w:r>
          </w:p>
          <w:p>
            <w:pPr>
              <w:pStyle w:val="TableParagraph"/>
              <w:spacing w:line="350" w:lineRule="exact"/>
              <w:ind w:left="150"/>
              <w:rPr>
                <w:rFonts w:ascii="微软雅黑" w:eastAsia="微软雅黑" w:hint="eastAsia"/>
                <w:b/>
                <w:sz w:val="21"/>
              </w:rPr>
            </w:pPr>
            <w:r>
              <w:rPr>
                <w:rFonts w:ascii="微软雅黑" w:eastAsia="微软雅黑" w:hint="eastAsia"/>
                <w:b/>
                <w:w w:val="95"/>
                <w:sz w:val="21"/>
              </w:rPr>
              <w:t>3．如何支付保险费</w:t>
            </w:r>
          </w:p>
          <w:p>
            <w:pPr>
              <w:pStyle w:val="TableParagraph"/>
              <w:numPr>
                <w:ilvl w:val="1"/>
                <w:numId w:val="4"/>
              </w:numPr>
              <w:tabs>
                <w:tab w:pos="933" w:val="left" w:leader="none"/>
              </w:tabs>
              <w:spacing w:line="240" w:lineRule="auto" w:before="12" w:after="0"/>
              <w:ind w:left="932" w:right="0" w:hanging="422"/>
              <w:jc w:val="left"/>
              <w:rPr>
                <w:sz w:val="21"/>
              </w:rPr>
            </w:pPr>
            <w:r>
              <w:rPr>
                <w:spacing w:val="-3"/>
                <w:sz w:val="21"/>
              </w:rPr>
              <w:t>保险费的交纳</w:t>
            </w:r>
          </w:p>
          <w:p>
            <w:pPr>
              <w:pStyle w:val="TableParagraph"/>
              <w:numPr>
                <w:ilvl w:val="1"/>
                <w:numId w:val="4"/>
              </w:numPr>
              <w:tabs>
                <w:tab w:pos="933" w:val="left" w:leader="none"/>
              </w:tabs>
              <w:spacing w:line="240" w:lineRule="auto" w:before="37" w:after="0"/>
              <w:ind w:left="932" w:right="0" w:hanging="422"/>
              <w:jc w:val="left"/>
              <w:rPr>
                <w:sz w:val="21"/>
              </w:rPr>
            </w:pPr>
            <w:r>
              <w:rPr>
                <w:spacing w:val="-2"/>
                <w:sz w:val="21"/>
              </w:rPr>
              <w:t>宽限期</w:t>
            </w:r>
          </w:p>
          <w:p>
            <w:pPr>
              <w:pStyle w:val="TableParagraph"/>
              <w:numPr>
                <w:ilvl w:val="1"/>
                <w:numId w:val="4"/>
              </w:numPr>
              <w:tabs>
                <w:tab w:pos="933" w:val="left" w:leader="none"/>
              </w:tabs>
              <w:spacing w:line="262" w:lineRule="exact" w:before="37" w:after="0"/>
              <w:ind w:left="932" w:right="0" w:hanging="422"/>
              <w:jc w:val="left"/>
              <w:rPr>
                <w:sz w:val="21"/>
              </w:rPr>
            </w:pPr>
            <w:r>
              <w:rPr>
                <w:spacing w:val="-3"/>
                <w:sz w:val="21"/>
              </w:rPr>
              <w:t>效力中止与恢复</w:t>
            </w:r>
          </w:p>
          <w:p>
            <w:pPr>
              <w:pStyle w:val="TableParagraph"/>
              <w:numPr>
                <w:ilvl w:val="0"/>
                <w:numId w:val="5"/>
              </w:numPr>
              <w:tabs>
                <w:tab w:pos="468" w:val="left" w:leader="none"/>
              </w:tabs>
              <w:spacing w:line="350" w:lineRule="exact" w:before="0" w:after="0"/>
              <w:ind w:left="467" w:right="0" w:hanging="317"/>
              <w:jc w:val="left"/>
              <w:rPr>
                <w:rFonts w:ascii="微软雅黑" w:eastAsia="微软雅黑" w:hint="eastAsia"/>
                <w:b/>
                <w:sz w:val="21"/>
              </w:rPr>
            </w:pPr>
            <w:r>
              <w:rPr>
                <w:rFonts w:ascii="微软雅黑" w:eastAsia="微软雅黑" w:hint="eastAsia"/>
                <w:b/>
                <w:sz w:val="21"/>
              </w:rPr>
              <w:t>如何领取保险金</w:t>
            </w:r>
          </w:p>
          <w:p>
            <w:pPr>
              <w:pStyle w:val="TableParagraph"/>
              <w:numPr>
                <w:ilvl w:val="1"/>
                <w:numId w:val="5"/>
              </w:numPr>
              <w:tabs>
                <w:tab w:pos="933" w:val="left" w:leader="none"/>
              </w:tabs>
              <w:spacing w:line="240" w:lineRule="auto" w:before="12" w:after="0"/>
              <w:ind w:left="932" w:right="0" w:hanging="422"/>
              <w:jc w:val="left"/>
              <w:rPr>
                <w:sz w:val="21"/>
              </w:rPr>
            </w:pPr>
            <w:r>
              <w:rPr>
                <w:spacing w:val="-2"/>
                <w:sz w:val="21"/>
              </w:rPr>
              <w:t>受益人</w:t>
            </w:r>
          </w:p>
          <w:p>
            <w:pPr>
              <w:pStyle w:val="TableParagraph"/>
              <w:numPr>
                <w:ilvl w:val="1"/>
                <w:numId w:val="5"/>
              </w:numPr>
              <w:tabs>
                <w:tab w:pos="933" w:val="left" w:leader="none"/>
              </w:tabs>
              <w:spacing w:line="240" w:lineRule="auto" w:before="34" w:after="0"/>
              <w:ind w:left="932" w:right="0" w:hanging="422"/>
              <w:jc w:val="left"/>
              <w:rPr>
                <w:sz w:val="21"/>
              </w:rPr>
            </w:pPr>
            <w:r>
              <w:rPr>
                <w:spacing w:val="-3"/>
                <w:sz w:val="21"/>
              </w:rPr>
              <w:t>保险事故通知</w:t>
            </w:r>
          </w:p>
        </w:tc>
        <w:tc>
          <w:tcPr>
            <w:tcW w:w="3225" w:type="dxa"/>
          </w:tcPr>
          <w:p>
            <w:pPr>
              <w:pStyle w:val="TableParagraph"/>
              <w:numPr>
                <w:ilvl w:val="1"/>
                <w:numId w:val="6"/>
              </w:numPr>
              <w:tabs>
                <w:tab w:pos="934" w:val="left" w:leader="none"/>
              </w:tabs>
              <w:spacing w:line="240" w:lineRule="auto" w:before="59" w:after="0"/>
              <w:ind w:left="934" w:right="0" w:hanging="423"/>
              <w:jc w:val="left"/>
              <w:rPr>
                <w:sz w:val="21"/>
              </w:rPr>
            </w:pPr>
            <w:r>
              <w:rPr>
                <w:spacing w:val="-3"/>
                <w:sz w:val="21"/>
              </w:rPr>
              <w:t>保险金申请</w:t>
            </w:r>
          </w:p>
          <w:p>
            <w:pPr>
              <w:pStyle w:val="TableParagraph"/>
              <w:numPr>
                <w:ilvl w:val="1"/>
                <w:numId w:val="6"/>
              </w:numPr>
              <w:tabs>
                <w:tab w:pos="934" w:val="left" w:leader="none"/>
              </w:tabs>
              <w:spacing w:line="240" w:lineRule="auto" w:before="36" w:after="0"/>
              <w:ind w:left="934" w:right="0" w:hanging="423"/>
              <w:jc w:val="left"/>
              <w:rPr>
                <w:sz w:val="21"/>
              </w:rPr>
            </w:pPr>
            <w:r>
              <w:rPr>
                <w:spacing w:val="-3"/>
                <w:sz w:val="21"/>
              </w:rPr>
              <w:t>保险金给付</w:t>
            </w:r>
          </w:p>
          <w:p>
            <w:pPr>
              <w:pStyle w:val="TableParagraph"/>
              <w:numPr>
                <w:ilvl w:val="1"/>
                <w:numId w:val="6"/>
              </w:numPr>
              <w:tabs>
                <w:tab w:pos="934" w:val="left" w:leader="none"/>
              </w:tabs>
              <w:spacing w:line="240" w:lineRule="auto" w:before="36" w:after="0"/>
              <w:ind w:left="934" w:right="0" w:hanging="423"/>
              <w:jc w:val="left"/>
              <w:rPr>
                <w:sz w:val="21"/>
              </w:rPr>
            </w:pPr>
            <w:r>
              <w:rPr>
                <w:spacing w:val="-3"/>
                <w:sz w:val="21"/>
              </w:rPr>
              <w:t>法院宣告死亡的处理</w:t>
            </w:r>
          </w:p>
          <w:p>
            <w:pPr>
              <w:pStyle w:val="TableParagraph"/>
              <w:numPr>
                <w:ilvl w:val="1"/>
                <w:numId w:val="6"/>
              </w:numPr>
              <w:tabs>
                <w:tab w:pos="934" w:val="left" w:leader="none"/>
              </w:tabs>
              <w:spacing w:line="262" w:lineRule="exact" w:before="36" w:after="0"/>
              <w:ind w:left="934" w:right="0" w:hanging="423"/>
              <w:jc w:val="left"/>
              <w:rPr>
                <w:sz w:val="21"/>
              </w:rPr>
            </w:pPr>
            <w:r>
              <w:rPr>
                <w:spacing w:val="-3"/>
                <w:sz w:val="21"/>
              </w:rPr>
              <w:t>诉讼时效</w:t>
            </w:r>
          </w:p>
          <w:p>
            <w:pPr>
              <w:pStyle w:val="TableParagraph"/>
              <w:spacing w:line="350" w:lineRule="exact"/>
              <w:ind w:left="151"/>
              <w:rPr>
                <w:rFonts w:ascii="微软雅黑" w:eastAsia="微软雅黑" w:hint="eastAsia"/>
                <w:b/>
                <w:sz w:val="21"/>
              </w:rPr>
            </w:pPr>
            <w:r>
              <w:rPr>
                <w:rFonts w:ascii="微软雅黑" w:eastAsia="微软雅黑" w:hint="eastAsia"/>
                <w:b/>
                <w:w w:val="95"/>
                <w:sz w:val="21"/>
              </w:rPr>
              <w:t>5．如何退保</w:t>
            </w:r>
          </w:p>
          <w:p>
            <w:pPr>
              <w:pStyle w:val="TableParagraph"/>
              <w:numPr>
                <w:ilvl w:val="1"/>
                <w:numId w:val="7"/>
              </w:numPr>
              <w:tabs>
                <w:tab w:pos="934" w:val="left" w:leader="none"/>
              </w:tabs>
              <w:spacing w:line="240" w:lineRule="auto" w:before="12" w:after="0"/>
              <w:ind w:left="934" w:right="0" w:hanging="423"/>
              <w:jc w:val="left"/>
              <w:rPr>
                <w:sz w:val="21"/>
              </w:rPr>
            </w:pPr>
            <w:r>
              <w:rPr>
                <w:spacing w:val="-2"/>
                <w:sz w:val="21"/>
              </w:rPr>
              <w:t>犹豫期</w:t>
            </w:r>
          </w:p>
          <w:p>
            <w:pPr>
              <w:pStyle w:val="TableParagraph"/>
              <w:numPr>
                <w:ilvl w:val="1"/>
                <w:numId w:val="7"/>
              </w:numPr>
              <w:tabs>
                <w:tab w:pos="934" w:val="left" w:leader="none"/>
              </w:tabs>
              <w:spacing w:line="262" w:lineRule="exact" w:before="36" w:after="0"/>
              <w:ind w:left="934" w:right="0" w:hanging="423"/>
              <w:jc w:val="left"/>
              <w:rPr>
                <w:sz w:val="21"/>
              </w:rPr>
            </w:pPr>
            <w:r>
              <w:rPr>
                <w:spacing w:val="-3"/>
                <w:sz w:val="21"/>
              </w:rPr>
              <w:t>您解除合同的手续</w:t>
            </w:r>
          </w:p>
          <w:p>
            <w:pPr>
              <w:pStyle w:val="TableParagraph"/>
              <w:spacing w:line="350" w:lineRule="exact"/>
              <w:ind w:left="151"/>
              <w:rPr>
                <w:rFonts w:ascii="微软雅黑" w:eastAsia="微软雅黑" w:hint="eastAsia"/>
                <w:b/>
                <w:sz w:val="21"/>
              </w:rPr>
            </w:pPr>
            <w:r>
              <w:rPr>
                <w:rFonts w:ascii="微软雅黑" w:eastAsia="微软雅黑" w:hint="eastAsia"/>
                <w:b/>
                <w:w w:val="95"/>
                <w:sz w:val="21"/>
              </w:rPr>
              <w:t>6．还需要注意哪些事项</w:t>
            </w:r>
          </w:p>
          <w:p>
            <w:pPr>
              <w:pStyle w:val="TableParagraph"/>
              <w:numPr>
                <w:ilvl w:val="1"/>
                <w:numId w:val="8"/>
              </w:numPr>
              <w:tabs>
                <w:tab w:pos="934" w:val="left" w:leader="none"/>
              </w:tabs>
              <w:spacing w:line="240" w:lineRule="auto" w:before="12" w:after="0"/>
              <w:ind w:left="934" w:right="0" w:hanging="423"/>
              <w:jc w:val="left"/>
              <w:rPr>
                <w:sz w:val="21"/>
              </w:rPr>
            </w:pPr>
            <w:r>
              <w:rPr>
                <w:spacing w:val="-3"/>
                <w:sz w:val="21"/>
              </w:rPr>
              <w:t>合同构成</w:t>
            </w:r>
          </w:p>
          <w:p>
            <w:pPr>
              <w:pStyle w:val="TableParagraph"/>
              <w:numPr>
                <w:ilvl w:val="1"/>
                <w:numId w:val="8"/>
              </w:numPr>
              <w:tabs>
                <w:tab w:pos="934" w:val="left" w:leader="none"/>
              </w:tabs>
              <w:spacing w:line="240" w:lineRule="auto" w:before="36" w:after="0"/>
              <w:ind w:left="934" w:right="0" w:hanging="423"/>
              <w:jc w:val="left"/>
              <w:rPr>
                <w:sz w:val="21"/>
              </w:rPr>
            </w:pPr>
            <w:r>
              <w:rPr>
                <w:spacing w:val="-3"/>
                <w:sz w:val="21"/>
              </w:rPr>
              <w:t>合同成立与生效</w:t>
            </w:r>
          </w:p>
          <w:p>
            <w:pPr>
              <w:pStyle w:val="TableParagraph"/>
              <w:numPr>
                <w:ilvl w:val="1"/>
                <w:numId w:val="8"/>
              </w:numPr>
              <w:tabs>
                <w:tab w:pos="934" w:val="left" w:leader="none"/>
              </w:tabs>
              <w:spacing w:line="240" w:lineRule="auto" w:before="36" w:after="0"/>
              <w:ind w:left="934" w:right="0" w:hanging="423"/>
              <w:jc w:val="left"/>
              <w:rPr>
                <w:sz w:val="21"/>
              </w:rPr>
            </w:pPr>
            <w:r>
              <w:rPr>
                <w:spacing w:val="-3"/>
                <w:sz w:val="21"/>
              </w:rPr>
              <w:t>合同效力终止</w:t>
            </w:r>
          </w:p>
          <w:p>
            <w:pPr>
              <w:pStyle w:val="TableParagraph"/>
              <w:numPr>
                <w:ilvl w:val="1"/>
                <w:numId w:val="8"/>
              </w:numPr>
              <w:tabs>
                <w:tab w:pos="934" w:val="left" w:leader="none"/>
              </w:tabs>
              <w:spacing w:line="240" w:lineRule="auto" w:before="36" w:after="0"/>
              <w:ind w:left="934" w:right="0" w:hanging="423"/>
              <w:jc w:val="left"/>
              <w:rPr>
                <w:sz w:val="21"/>
              </w:rPr>
            </w:pPr>
            <w:r>
              <w:rPr>
                <w:spacing w:val="-3"/>
                <w:sz w:val="21"/>
              </w:rPr>
              <w:t>与主合同不一致的解决</w:t>
            </w:r>
          </w:p>
          <w:p>
            <w:pPr>
              <w:pStyle w:val="TableParagraph"/>
              <w:numPr>
                <w:ilvl w:val="1"/>
                <w:numId w:val="8"/>
              </w:numPr>
              <w:tabs>
                <w:tab w:pos="934" w:val="left" w:leader="none"/>
              </w:tabs>
              <w:spacing w:line="240" w:lineRule="auto" w:before="34" w:after="0"/>
              <w:ind w:left="934" w:right="0" w:hanging="423"/>
              <w:jc w:val="left"/>
              <w:rPr>
                <w:sz w:val="21"/>
              </w:rPr>
            </w:pPr>
            <w:r>
              <w:rPr>
                <w:spacing w:val="-3"/>
                <w:sz w:val="21"/>
              </w:rPr>
              <w:t>投保年龄</w:t>
            </w:r>
          </w:p>
        </w:tc>
        <w:tc>
          <w:tcPr>
            <w:tcW w:w="3107" w:type="dxa"/>
          </w:tcPr>
          <w:p>
            <w:pPr>
              <w:pStyle w:val="TableParagraph"/>
              <w:numPr>
                <w:ilvl w:val="1"/>
                <w:numId w:val="9"/>
              </w:numPr>
              <w:tabs>
                <w:tab w:pos="935" w:val="left" w:leader="none"/>
              </w:tabs>
              <w:spacing w:line="240" w:lineRule="auto" w:before="76" w:after="0"/>
              <w:ind w:left="935" w:right="0" w:hanging="423"/>
              <w:jc w:val="left"/>
              <w:rPr>
                <w:sz w:val="21"/>
              </w:rPr>
            </w:pPr>
            <w:r>
              <w:rPr>
                <w:spacing w:val="-3"/>
                <w:sz w:val="21"/>
              </w:rPr>
              <w:t>年龄性别错误</w:t>
            </w:r>
          </w:p>
          <w:p>
            <w:pPr>
              <w:pStyle w:val="TableParagraph"/>
              <w:numPr>
                <w:ilvl w:val="1"/>
                <w:numId w:val="9"/>
              </w:numPr>
              <w:tabs>
                <w:tab w:pos="935" w:val="left" w:leader="none"/>
              </w:tabs>
              <w:spacing w:line="240" w:lineRule="auto" w:before="37" w:after="0"/>
              <w:ind w:left="935" w:right="0" w:hanging="423"/>
              <w:jc w:val="left"/>
              <w:rPr>
                <w:sz w:val="21"/>
              </w:rPr>
            </w:pPr>
            <w:r>
              <w:rPr>
                <w:spacing w:val="-3"/>
                <w:sz w:val="21"/>
              </w:rPr>
              <w:t>明确说明与如实告知</w:t>
            </w:r>
          </w:p>
          <w:p>
            <w:pPr>
              <w:pStyle w:val="TableParagraph"/>
              <w:numPr>
                <w:ilvl w:val="1"/>
                <w:numId w:val="9"/>
              </w:numPr>
              <w:tabs>
                <w:tab w:pos="935" w:val="left" w:leader="none"/>
              </w:tabs>
              <w:spacing w:line="240" w:lineRule="auto" w:before="37" w:after="0"/>
              <w:ind w:left="935" w:right="0" w:hanging="423"/>
              <w:jc w:val="left"/>
              <w:rPr>
                <w:sz w:val="21"/>
              </w:rPr>
            </w:pPr>
            <w:r>
              <w:rPr>
                <w:spacing w:val="-3"/>
                <w:sz w:val="21"/>
              </w:rPr>
              <w:t>未还款项</w:t>
            </w:r>
          </w:p>
          <w:p>
            <w:pPr>
              <w:pStyle w:val="TableParagraph"/>
              <w:numPr>
                <w:ilvl w:val="1"/>
                <w:numId w:val="9"/>
              </w:numPr>
              <w:tabs>
                <w:tab w:pos="935" w:val="left" w:leader="none"/>
              </w:tabs>
              <w:spacing w:line="240" w:lineRule="auto" w:before="37" w:after="0"/>
              <w:ind w:left="935" w:right="0" w:hanging="423"/>
              <w:jc w:val="left"/>
              <w:rPr>
                <w:sz w:val="21"/>
              </w:rPr>
            </w:pPr>
            <w:r>
              <w:rPr>
                <w:spacing w:val="-3"/>
                <w:sz w:val="21"/>
              </w:rPr>
              <w:t>合同内容变更</w:t>
            </w:r>
          </w:p>
          <w:p>
            <w:pPr>
              <w:pStyle w:val="TableParagraph"/>
              <w:numPr>
                <w:ilvl w:val="1"/>
                <w:numId w:val="9"/>
              </w:numPr>
              <w:tabs>
                <w:tab w:pos="1039" w:val="left" w:leader="none"/>
              </w:tabs>
              <w:spacing w:line="240" w:lineRule="auto" w:before="37" w:after="0"/>
              <w:ind w:left="1038" w:right="0" w:hanging="526"/>
              <w:jc w:val="left"/>
              <w:rPr>
                <w:sz w:val="21"/>
              </w:rPr>
            </w:pPr>
            <w:r>
              <w:rPr>
                <w:spacing w:val="-2"/>
                <w:sz w:val="21"/>
              </w:rPr>
              <w:t>地址变更</w:t>
            </w:r>
          </w:p>
          <w:p>
            <w:pPr>
              <w:pStyle w:val="TableParagraph"/>
              <w:numPr>
                <w:ilvl w:val="1"/>
                <w:numId w:val="9"/>
              </w:numPr>
              <w:tabs>
                <w:tab w:pos="1039" w:val="left" w:leader="none"/>
              </w:tabs>
              <w:spacing w:line="262" w:lineRule="exact" w:before="37" w:after="0"/>
              <w:ind w:left="1038" w:right="0" w:hanging="526"/>
              <w:jc w:val="left"/>
              <w:rPr>
                <w:sz w:val="21"/>
              </w:rPr>
            </w:pPr>
            <w:r>
              <w:rPr>
                <w:spacing w:val="-2"/>
                <w:sz w:val="21"/>
              </w:rPr>
              <w:t>争议处理</w:t>
            </w:r>
          </w:p>
          <w:p>
            <w:pPr>
              <w:pStyle w:val="TableParagraph"/>
              <w:spacing w:line="350" w:lineRule="exact"/>
              <w:ind w:left="152"/>
              <w:rPr>
                <w:rFonts w:ascii="微软雅黑" w:eastAsia="微软雅黑" w:hint="eastAsia"/>
                <w:b/>
                <w:sz w:val="21"/>
              </w:rPr>
            </w:pPr>
            <w:r>
              <w:rPr>
                <w:rFonts w:ascii="微软雅黑" w:eastAsia="微软雅黑" w:hint="eastAsia"/>
                <w:b/>
                <w:w w:val="95"/>
                <w:sz w:val="21"/>
              </w:rPr>
              <w:t>7．重大疾病</w:t>
            </w:r>
          </w:p>
          <w:p>
            <w:pPr>
              <w:pStyle w:val="TableParagraph"/>
              <w:numPr>
                <w:ilvl w:val="1"/>
                <w:numId w:val="10"/>
              </w:numPr>
              <w:tabs>
                <w:tab w:pos="935" w:val="left" w:leader="none"/>
              </w:tabs>
              <w:spacing w:line="240" w:lineRule="auto" w:before="12" w:after="0"/>
              <w:ind w:left="935" w:right="0" w:hanging="423"/>
              <w:jc w:val="left"/>
              <w:rPr>
                <w:sz w:val="21"/>
              </w:rPr>
            </w:pPr>
            <w:r>
              <w:rPr>
                <w:spacing w:val="-3"/>
                <w:sz w:val="21"/>
              </w:rPr>
              <w:t>重大疾病范围</w:t>
            </w:r>
          </w:p>
          <w:p>
            <w:pPr>
              <w:pStyle w:val="TableParagraph"/>
              <w:numPr>
                <w:ilvl w:val="1"/>
                <w:numId w:val="10"/>
              </w:numPr>
              <w:tabs>
                <w:tab w:pos="935" w:val="left" w:leader="none"/>
              </w:tabs>
              <w:spacing w:line="262" w:lineRule="exact" w:before="37" w:after="0"/>
              <w:ind w:left="935" w:right="0" w:hanging="423"/>
              <w:jc w:val="left"/>
              <w:rPr>
                <w:sz w:val="21"/>
              </w:rPr>
            </w:pPr>
            <w:r>
              <w:rPr>
                <w:spacing w:val="-3"/>
                <w:sz w:val="21"/>
              </w:rPr>
              <w:t>重大疾病定义</w:t>
            </w:r>
          </w:p>
          <w:p>
            <w:pPr>
              <w:pStyle w:val="TableParagraph"/>
              <w:spacing w:line="350" w:lineRule="exact"/>
              <w:ind w:left="152"/>
              <w:rPr>
                <w:rFonts w:ascii="微软雅黑" w:eastAsia="微软雅黑" w:hint="eastAsia"/>
                <w:b/>
                <w:sz w:val="21"/>
              </w:rPr>
            </w:pPr>
            <w:r>
              <w:rPr>
                <w:rFonts w:ascii="微软雅黑" w:eastAsia="微软雅黑" w:hint="eastAsia"/>
                <w:b/>
                <w:w w:val="95"/>
                <w:sz w:val="21"/>
              </w:rPr>
              <w:t>8．特定疾病</w:t>
            </w:r>
          </w:p>
          <w:p>
            <w:pPr>
              <w:pStyle w:val="TableParagraph"/>
              <w:spacing w:before="11"/>
              <w:ind w:left="512"/>
              <w:rPr>
                <w:sz w:val="21"/>
              </w:rPr>
            </w:pPr>
            <w:r>
              <w:rPr>
                <w:sz w:val="21"/>
              </w:rPr>
              <w:t>8.1 特定疾病定义</w:t>
            </w:r>
          </w:p>
        </w:tc>
      </w:tr>
    </w:tbl>
    <w:p>
      <w:pPr>
        <w:spacing w:after="0"/>
        <w:rPr>
          <w:sz w:val="21"/>
        </w:rPr>
        <w:sectPr>
          <w:headerReference w:type="default" r:id="rId5"/>
          <w:footerReference w:type="default" r:id="rId6"/>
          <w:type w:val="continuous"/>
          <w:pgSz w:w="11910" w:h="16840"/>
          <w:pgMar w:header="567" w:footer="664" w:top="1000" w:bottom="860" w:left="1000" w:right="980"/>
          <w:pgNumType w:start="1"/>
        </w:sectPr>
      </w:pPr>
    </w:p>
    <w:p>
      <w:pPr>
        <w:pStyle w:val="BodyText"/>
        <w:spacing w:before="9"/>
        <w:rPr>
          <w:rFonts w:ascii="微软雅黑"/>
          <w:b/>
          <w:sz w:val="20"/>
        </w:rPr>
      </w:pPr>
    </w:p>
    <w:p>
      <w:pPr>
        <w:spacing w:line="273" w:lineRule="auto" w:before="36"/>
        <w:ind w:left="152" w:right="328" w:firstLine="0"/>
        <w:jc w:val="left"/>
        <w:rPr>
          <w:sz w:val="21"/>
        </w:rPr>
      </w:pPr>
      <w:r>
        <w:rPr>
          <w:spacing w:val="-18"/>
          <w:sz w:val="21"/>
        </w:rPr>
        <w:t>在本条款中，“您”指投保人，“百年人寿”、“百年人寿”均指百年人寿保险股份有限公司，“本合同” </w:t>
      </w:r>
      <w:r>
        <w:rPr>
          <w:spacing w:val="-7"/>
          <w:sz w:val="21"/>
        </w:rPr>
        <w:t>指您与百年人寿之间订立的“百年附加福瑞安康提前给付重大疾病保险合同”。</w:t>
      </w:r>
    </w:p>
    <w:p>
      <w:pPr>
        <w:tabs>
          <w:tab w:pos="1187" w:val="left" w:leader="none"/>
        </w:tabs>
        <w:spacing w:before="35"/>
        <w:ind w:left="152" w:right="0" w:firstLine="0"/>
        <w:jc w:val="left"/>
        <w:rPr>
          <w:rFonts w:ascii="微软雅黑" w:hAnsi="微软雅黑" w:eastAsia="微软雅黑" w:hint="eastAsia"/>
          <w:b/>
          <w:sz w:val="24"/>
        </w:rPr>
      </w:pPr>
      <w:r>
        <w:rPr>
          <w:rFonts w:ascii="微软雅黑" w:hAnsi="微软雅黑" w:eastAsia="微软雅黑" w:hint="eastAsia"/>
          <w:b/>
          <w:position w:val="-5"/>
          <w:sz w:val="28"/>
        </w:rPr>
        <w:t>⒈</w:t>
        <w:tab/>
      </w:r>
      <w:r>
        <w:rPr>
          <w:rFonts w:ascii="微软雅黑" w:hAnsi="微软雅黑" w:eastAsia="微软雅黑" w:hint="eastAsia"/>
          <w:b/>
          <w:sz w:val="24"/>
        </w:rPr>
        <w:t>保什么、保多久</w:t>
      </w:r>
    </w:p>
    <w:p>
      <w:pPr>
        <w:pStyle w:val="Heading2"/>
        <w:spacing w:before="117"/>
      </w:pPr>
      <w:r>
        <w:rPr/>
        <w:t>这部分描述的是您通过本合同可以在百年人寿获得哪些保障及提供保障的期间。</w:t>
      </w:r>
    </w:p>
    <w:p>
      <w:pPr>
        <w:pStyle w:val="BodyText"/>
        <w:spacing w:before="4"/>
        <w:rPr>
          <w:rFonts w:ascii="微软雅黑"/>
          <w:b/>
          <w:sz w:val="6"/>
        </w:rPr>
      </w:pPr>
      <w:r>
        <w:rPr/>
        <w:pict>
          <v:line style="position:absolute;mso-position-horizontal-relative:page;mso-position-vertical-relative:paragraph;z-index:1096;mso-wrap-distance-left:0;mso-wrap-distance-right:0" from="54.25pt,7.756224pt" to="549.5pt,7.756224pt" stroked="true" strokeweight=".75pt" strokecolor="#000000">
            <v:stroke dashstyle="solid"/>
            <w10:wrap type="topAndBottom"/>
          </v:line>
        </w:pict>
      </w:r>
    </w:p>
    <w:p>
      <w:pPr>
        <w:pStyle w:val="ListParagraph"/>
        <w:numPr>
          <w:ilvl w:val="1"/>
          <w:numId w:val="11"/>
        </w:numPr>
        <w:tabs>
          <w:tab w:pos="1187" w:val="left" w:leader="none"/>
          <w:tab w:pos="1188" w:val="left" w:leader="none"/>
          <w:tab w:pos="3194" w:val="left" w:leader="none"/>
        </w:tabs>
        <w:spacing w:line="240" w:lineRule="auto" w:before="54" w:after="0"/>
        <w:ind w:left="1187" w:right="0" w:hanging="1035"/>
        <w:jc w:val="left"/>
        <w:rPr>
          <w:sz w:val="21"/>
        </w:rPr>
      </w:pPr>
      <w:r>
        <w:rPr>
          <w:rFonts w:ascii="微软雅黑" w:eastAsia="微软雅黑" w:hint="eastAsia"/>
          <w:b/>
          <w:sz w:val="21"/>
        </w:rPr>
        <w:t>保险责任</w:t>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百</w:t>
      </w:r>
      <w:r>
        <w:rPr>
          <w:sz w:val="21"/>
        </w:rPr>
        <w:t>年人</w:t>
      </w:r>
      <w:r>
        <w:rPr>
          <w:spacing w:val="-3"/>
          <w:sz w:val="21"/>
        </w:rPr>
        <w:t>寿</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sz w:val="21"/>
        </w:rPr>
        <w:t>：</w:t>
      </w:r>
    </w:p>
    <w:p>
      <w:pPr>
        <w:pStyle w:val="ListParagraph"/>
        <w:numPr>
          <w:ilvl w:val="2"/>
          <w:numId w:val="11"/>
        </w:numPr>
        <w:tabs>
          <w:tab w:pos="1187" w:val="left" w:leader="none"/>
          <w:tab w:pos="1188" w:val="left" w:leader="none"/>
          <w:tab w:pos="3194" w:val="left" w:leader="none"/>
        </w:tabs>
        <w:spacing w:line="347" w:lineRule="exact" w:before="103" w:after="0"/>
        <w:ind w:left="1187" w:right="0" w:hanging="1035"/>
        <w:jc w:val="left"/>
        <w:rPr>
          <w:rFonts w:ascii="Microsoft JhengHei" w:eastAsia="Microsoft JhengHei" w:hint="eastAsia"/>
          <w:b/>
          <w:sz w:val="22"/>
        </w:rPr>
      </w:pPr>
      <w:r>
        <w:rPr>
          <w:rFonts w:ascii="微软雅黑" w:eastAsia="微软雅黑" w:hint="eastAsia"/>
          <w:b/>
          <w:sz w:val="21"/>
        </w:rPr>
        <w:t>等待期</w:t>
        <w:tab/>
      </w:r>
      <w:r>
        <w:rPr>
          <w:rFonts w:ascii="Microsoft JhengHei" w:eastAsia="Microsoft JhengHei" w:hint="eastAsia"/>
          <w:b/>
          <w:w w:val="95"/>
          <w:sz w:val="22"/>
          <w:shd w:fill="D9D9D9" w:color="auto" w:val="clear"/>
        </w:rPr>
        <w:t>本合同Th效日或本合同中止后的最后复效日（以较迟者为准）起    </w:t>
      </w:r>
      <w:r>
        <w:rPr>
          <w:rFonts w:ascii="Microsoft JhengHei" w:eastAsia="Microsoft JhengHei" w:hint="eastAsia"/>
          <w:b/>
          <w:spacing w:val="38"/>
          <w:w w:val="95"/>
          <w:sz w:val="22"/>
          <w:shd w:fill="D9D9D9" w:color="auto" w:val="clear"/>
        </w:rPr>
        <w:t> </w:t>
      </w:r>
      <w:r>
        <w:rPr>
          <w:rFonts w:ascii="Microsoft JhengHei" w:eastAsia="Microsoft JhengHei" w:hint="eastAsia"/>
          <w:b/>
          <w:w w:val="95"/>
          <w:sz w:val="22"/>
          <w:shd w:fill="D9D9D9" w:color="auto" w:val="clear"/>
        </w:rPr>
        <w:t>180</w:t>
      </w:r>
    </w:p>
    <w:p>
      <w:pPr>
        <w:spacing w:line="194" w:lineRule="auto" w:before="37"/>
        <w:ind w:left="3194" w:right="305" w:firstLine="0"/>
        <w:jc w:val="both"/>
        <w:rPr>
          <w:rFonts w:ascii="Microsoft JhengHei" w:eastAsia="Microsoft JhengHei" w:hint="eastAsia"/>
          <w:b/>
          <w:sz w:val="22"/>
        </w:rPr>
      </w:pPr>
      <w:r>
        <w:rPr>
          <w:rFonts w:ascii="Microsoft JhengHei" w:eastAsia="Microsoft JhengHei" w:hint="eastAsia"/>
          <w:b/>
          <w:w w:val="95"/>
          <w:sz w:val="22"/>
          <w:shd w:fill="D9D9D9" w:color="auto" w:val="clear"/>
        </w:rPr>
        <w:t>日为等待期。等待期是指本合同Th效后百年人寿不承担保险责任的一   段时间。发Th以下情形之一时，百年人寿不承担保险责任，但无息返  </w:t>
      </w:r>
      <w:r>
        <w:rPr>
          <w:rFonts w:ascii="Microsoft JhengHei" w:eastAsia="Microsoft JhengHei" w:hint="eastAsia"/>
          <w:b/>
          <w:sz w:val="22"/>
          <w:shd w:fill="D9D9D9" w:color="auto" w:val="clear"/>
        </w:rPr>
        <w:t>还已交的保险费，本合同和主合同效力同时终止。</w:t>
      </w:r>
    </w:p>
    <w:p>
      <w:pPr>
        <w:spacing w:line="194" w:lineRule="auto" w:before="1"/>
        <w:ind w:left="3194" w:right="303" w:firstLine="0"/>
        <w:jc w:val="both"/>
        <w:rPr>
          <w:rFonts w:ascii="Microsoft JhengHei" w:eastAsia="Microsoft JhengHei" w:hint="eastAsia"/>
          <w:b/>
          <w:sz w:val="22"/>
        </w:rPr>
      </w:pPr>
      <w:r>
        <w:rPr>
          <w:rFonts w:ascii="Microsoft JhengHei" w:eastAsia="Microsoft JhengHei" w:hint="eastAsia"/>
          <w:b/>
          <w:sz w:val="22"/>
          <w:shd w:fill="D9D9D9" w:color="auto" w:val="clear"/>
        </w:rPr>
        <w:t>(1）等待期内被保险人经百年人寿认可的医院确诊初次患上一种或多</w:t>
      </w:r>
      <w:r>
        <w:rPr>
          <w:rFonts w:ascii="Microsoft JhengHei" w:eastAsia="Microsoft JhengHei" w:hint="eastAsia"/>
          <w:b/>
          <w:spacing w:val="-221"/>
          <w:sz w:val="22"/>
          <w:shd w:fill="D9D9D9" w:color="auto" w:val="clear"/>
        </w:rPr>
        <w:t>种</w:t>
      </w:r>
      <w:r>
        <w:rPr>
          <w:rFonts w:ascii="Microsoft JhengHei" w:eastAsia="Microsoft JhengHei" w:hint="eastAsia"/>
          <w:b/>
          <w:sz w:val="22"/>
          <w:shd w:fill="D9D9D9" w:color="auto" w:val="clear"/>
        </w:rPr>
        <w:t>本合同所约定的重大疾病、恶性肿瘤或特定疾病；</w:t>
      </w:r>
    </w:p>
    <w:p>
      <w:pPr>
        <w:spacing w:line="194" w:lineRule="auto" w:before="2"/>
        <w:ind w:left="3194" w:right="303" w:firstLine="0"/>
        <w:jc w:val="both"/>
        <w:rPr>
          <w:rFonts w:ascii="Microsoft JhengHei" w:eastAsia="Microsoft JhengHei" w:hint="eastAsia"/>
          <w:b/>
          <w:sz w:val="22"/>
        </w:rPr>
      </w:pPr>
      <w:r>
        <w:rPr>
          <w:rFonts w:ascii="Microsoft JhengHei" w:eastAsia="Microsoft JhengHei" w:hint="eastAsia"/>
          <w:b/>
          <w:w w:val="95"/>
          <w:sz w:val="22"/>
          <w:shd w:fill="D9D9D9" w:color="auto" w:val="clear"/>
        </w:rPr>
        <w:t>(2）等待期内被保险人己经发Th的疾病、症状或病理改变且延续到等   </w:t>
      </w:r>
      <w:r>
        <w:rPr>
          <w:rFonts w:ascii="Microsoft JhengHei" w:eastAsia="Microsoft JhengHei" w:hint="eastAsia"/>
          <w:b/>
          <w:sz w:val="22"/>
          <w:shd w:fill="D9D9D9" w:color="auto" w:val="clear"/>
        </w:rPr>
        <w:t>待期以后经百年人寿认可的医院确诊初次患上一种或多种本合同所约定的重大疾病、恶性肿瘤或特定疾病。</w:t>
      </w:r>
    </w:p>
    <w:p>
      <w:pPr>
        <w:spacing w:line="312" w:lineRule="exact" w:before="0"/>
        <w:ind w:left="3194" w:right="0" w:firstLine="0"/>
        <w:jc w:val="both"/>
        <w:rPr>
          <w:rFonts w:ascii="Microsoft JhengHei" w:eastAsia="Microsoft JhengHei" w:hint="eastAsia"/>
          <w:b/>
          <w:sz w:val="22"/>
        </w:rPr>
      </w:pPr>
      <w:r>
        <w:rPr/>
        <w:pict>
          <v:rect style="position:absolute;margin-left:208.729996pt;margin-top:1.641633pt;width:256.8500pt;height:14.4pt;mso-position-horizontal-relative:page;mso-position-vertical-relative:paragraph;z-index:-39904" filled="true" fillcolor="#d9d9d9" stroked="false">
            <v:fill type="solid"/>
            <w10:wrap type="none"/>
          </v:rect>
        </w:pict>
      </w:r>
      <w:r>
        <w:rPr>
          <w:rFonts w:ascii="Microsoft JhengHei" w:eastAsia="Microsoft JhengHei" w:hint="eastAsia"/>
          <w:b/>
          <w:sz w:val="22"/>
        </w:rPr>
        <w:t>因意外伤害</w:t>
      </w:r>
      <w:r>
        <w:rPr>
          <w:rFonts w:ascii="微软雅黑" w:eastAsia="微软雅黑" w:hint="eastAsia"/>
          <w:b/>
          <w:position w:val="11"/>
          <w:sz w:val="11"/>
        </w:rPr>
        <w:t>1</w:t>
      </w:r>
      <w:r>
        <w:rPr>
          <w:rFonts w:ascii="Microsoft JhengHei" w:eastAsia="Microsoft JhengHei" w:hint="eastAsia"/>
          <w:b/>
          <w:sz w:val="22"/>
        </w:rPr>
        <w:t>导致的保险事故，不受上述时间的限制。</w:t>
      </w:r>
    </w:p>
    <w:p>
      <w:pPr>
        <w:pStyle w:val="ListParagraph"/>
        <w:numPr>
          <w:ilvl w:val="2"/>
          <w:numId w:val="11"/>
        </w:numPr>
        <w:tabs>
          <w:tab w:pos="1187" w:val="left" w:leader="none"/>
          <w:tab w:pos="1188" w:val="left" w:leader="none"/>
          <w:tab w:pos="3194" w:val="left" w:leader="none"/>
        </w:tabs>
        <w:spacing w:line="337" w:lineRule="exact" w:before="116" w:after="0"/>
        <w:ind w:left="1187" w:right="0" w:hanging="1035"/>
        <w:jc w:val="left"/>
        <w:rPr>
          <w:rFonts w:ascii="微软雅黑" w:eastAsia="微软雅黑" w:hint="eastAsia"/>
          <w:b/>
          <w:sz w:val="21"/>
        </w:rPr>
      </w:pPr>
      <w:r>
        <w:rPr>
          <w:rFonts w:ascii="微软雅黑" w:eastAsia="微软雅黑" w:hint="eastAsia"/>
          <w:b/>
          <w:sz w:val="21"/>
        </w:rPr>
        <w:t>重大疾病保险金</w:t>
        <w:tab/>
      </w:r>
      <w:r>
        <w:rPr>
          <w:rFonts w:ascii="微软雅黑" w:eastAsia="微软雅黑" w:hint="eastAsia"/>
          <w:b/>
          <w:spacing w:val="2"/>
          <w:sz w:val="21"/>
        </w:rPr>
        <w:t>被保</w:t>
      </w:r>
      <w:r>
        <w:rPr>
          <w:rFonts w:ascii="微软雅黑" w:eastAsia="微软雅黑" w:hint="eastAsia"/>
          <w:b/>
          <w:sz w:val="21"/>
        </w:rPr>
        <w:t>险</w:t>
      </w:r>
      <w:r>
        <w:rPr>
          <w:rFonts w:ascii="微软雅黑" w:eastAsia="微软雅黑" w:hint="eastAsia"/>
          <w:b/>
          <w:spacing w:val="2"/>
          <w:sz w:val="21"/>
        </w:rPr>
        <w:t>人在</w:t>
      </w:r>
      <w:r>
        <w:rPr>
          <w:rFonts w:ascii="微软雅黑" w:eastAsia="微软雅黑" w:hint="eastAsia"/>
          <w:b/>
          <w:sz w:val="21"/>
        </w:rPr>
        <w:t>等</w:t>
      </w:r>
      <w:r>
        <w:rPr>
          <w:rFonts w:ascii="微软雅黑" w:eastAsia="微软雅黑" w:hint="eastAsia"/>
          <w:b/>
          <w:spacing w:val="2"/>
          <w:sz w:val="21"/>
        </w:rPr>
        <w:t>待</w:t>
      </w:r>
      <w:r>
        <w:rPr>
          <w:rFonts w:ascii="微软雅黑" w:eastAsia="微软雅黑" w:hint="eastAsia"/>
          <w:b/>
          <w:sz w:val="21"/>
        </w:rPr>
        <w:t>期</w:t>
      </w:r>
      <w:r>
        <w:rPr>
          <w:rFonts w:ascii="微软雅黑" w:eastAsia="微软雅黑" w:hint="eastAsia"/>
          <w:b/>
          <w:spacing w:val="2"/>
          <w:sz w:val="21"/>
        </w:rPr>
        <w:t>以后</w:t>
      </w:r>
      <w:r>
        <w:rPr>
          <w:rFonts w:ascii="微软雅黑" w:eastAsia="微软雅黑" w:hint="eastAsia"/>
          <w:b/>
          <w:sz w:val="21"/>
        </w:rPr>
        <w:t>经</w:t>
      </w:r>
      <w:r>
        <w:rPr>
          <w:rFonts w:ascii="微软雅黑" w:eastAsia="微软雅黑" w:hint="eastAsia"/>
          <w:b/>
          <w:spacing w:val="2"/>
          <w:sz w:val="21"/>
        </w:rPr>
        <w:t>百年</w:t>
      </w:r>
      <w:r>
        <w:rPr>
          <w:rFonts w:ascii="微软雅黑" w:eastAsia="微软雅黑" w:hint="eastAsia"/>
          <w:b/>
          <w:sz w:val="21"/>
        </w:rPr>
        <w:t>人</w:t>
      </w:r>
      <w:r>
        <w:rPr>
          <w:rFonts w:ascii="微软雅黑" w:eastAsia="微软雅黑" w:hint="eastAsia"/>
          <w:b/>
          <w:spacing w:val="2"/>
          <w:sz w:val="21"/>
        </w:rPr>
        <w:t>寿认</w:t>
      </w:r>
      <w:r>
        <w:rPr>
          <w:rFonts w:ascii="微软雅黑" w:eastAsia="微软雅黑" w:hint="eastAsia"/>
          <w:b/>
          <w:sz w:val="21"/>
        </w:rPr>
        <w:t>可</w:t>
      </w:r>
      <w:r>
        <w:rPr>
          <w:rFonts w:ascii="微软雅黑" w:eastAsia="微软雅黑" w:hint="eastAsia"/>
          <w:b/>
          <w:spacing w:val="2"/>
          <w:sz w:val="21"/>
        </w:rPr>
        <w:t>的</w:t>
      </w:r>
      <w:r>
        <w:rPr>
          <w:rFonts w:ascii="微软雅黑" w:eastAsia="微软雅黑" w:hint="eastAsia"/>
          <w:b/>
          <w:sz w:val="21"/>
        </w:rPr>
        <w:t>医</w:t>
      </w:r>
      <w:r>
        <w:rPr>
          <w:rFonts w:ascii="微软雅黑" w:eastAsia="微软雅黑" w:hint="eastAsia"/>
          <w:b/>
          <w:spacing w:val="5"/>
          <w:sz w:val="21"/>
        </w:rPr>
        <w:t>院</w:t>
      </w:r>
      <w:r>
        <w:rPr>
          <w:rFonts w:ascii="微软雅黑" w:eastAsia="微软雅黑" w:hint="eastAsia"/>
          <w:b/>
          <w:spacing w:val="5"/>
          <w:position w:val="11"/>
          <w:sz w:val="11"/>
        </w:rPr>
        <w:t>2</w:t>
      </w:r>
      <w:r>
        <w:rPr>
          <w:rFonts w:ascii="微软雅黑" w:eastAsia="微软雅黑" w:hint="eastAsia"/>
          <w:b/>
          <w:spacing w:val="2"/>
          <w:sz w:val="21"/>
        </w:rPr>
        <w:t>首次确诊</w:t>
      </w:r>
      <w:r>
        <w:rPr>
          <w:rFonts w:ascii="微软雅黑" w:eastAsia="微软雅黑" w:hint="eastAsia"/>
          <w:b/>
          <w:sz w:val="21"/>
        </w:rPr>
        <w:t>初</w:t>
      </w:r>
      <w:r>
        <w:rPr>
          <w:rFonts w:ascii="微软雅黑" w:eastAsia="微软雅黑" w:hint="eastAsia"/>
          <w:b/>
          <w:spacing w:val="2"/>
          <w:sz w:val="21"/>
        </w:rPr>
        <w:t>次患</w:t>
      </w:r>
      <w:r>
        <w:rPr>
          <w:rFonts w:ascii="微软雅黑" w:eastAsia="微软雅黑" w:hint="eastAsia"/>
          <w:b/>
          <w:sz w:val="21"/>
        </w:rPr>
        <w:t>上一种或</w:t>
      </w:r>
    </w:p>
    <w:p>
      <w:pPr>
        <w:spacing w:line="206" w:lineRule="auto" w:before="25"/>
        <w:ind w:left="3194" w:right="204" w:firstLine="0"/>
        <w:jc w:val="both"/>
        <w:rPr>
          <w:rFonts w:ascii="微软雅黑" w:eastAsia="微软雅黑" w:hint="eastAsia"/>
          <w:b/>
          <w:sz w:val="21"/>
        </w:rPr>
      </w:pPr>
      <w:r>
        <w:rPr>
          <w:rFonts w:ascii="微软雅黑" w:eastAsia="微软雅黑" w:hint="eastAsia"/>
          <w:b/>
          <w:spacing w:val="-4"/>
          <w:sz w:val="21"/>
        </w:rPr>
        <w:t>多种本合同所约定的重大疾病</w:t>
      </w:r>
      <w:r>
        <w:rPr>
          <w:rFonts w:ascii="微软雅黑" w:eastAsia="微软雅黑" w:hint="eastAsia"/>
          <w:b/>
          <w:sz w:val="21"/>
        </w:rPr>
        <w:t>（40</w:t>
      </w:r>
      <w:r>
        <w:rPr>
          <w:rFonts w:ascii="微软雅黑" w:eastAsia="微软雅黑" w:hint="eastAsia"/>
          <w:b/>
          <w:spacing w:val="-5"/>
          <w:sz w:val="21"/>
        </w:rPr>
        <w:t> 种重大疾病</w:t>
      </w:r>
      <w:r>
        <w:rPr>
          <w:rFonts w:ascii="微软雅黑" w:eastAsia="微软雅黑" w:hint="eastAsia"/>
          <w:b/>
          <w:spacing w:val="-28"/>
          <w:sz w:val="21"/>
        </w:rPr>
        <w:t>）</w:t>
      </w:r>
      <w:r>
        <w:rPr>
          <w:rFonts w:ascii="微软雅黑" w:eastAsia="微软雅黑" w:hint="eastAsia"/>
          <w:b/>
          <w:spacing w:val="-6"/>
          <w:sz w:val="21"/>
        </w:rPr>
        <w:t>，百年人寿按本合同的基</w:t>
      </w:r>
      <w:r>
        <w:rPr>
          <w:rFonts w:ascii="微软雅黑" w:eastAsia="微软雅黑" w:hint="eastAsia"/>
          <w:b/>
          <w:spacing w:val="-11"/>
          <w:sz w:val="21"/>
        </w:rPr>
        <w:t>本保额、本合同及其所附于的主合同现金价值</w:t>
      </w:r>
      <w:r>
        <w:rPr>
          <w:rFonts w:ascii="微软雅黑" w:eastAsia="微软雅黑" w:hint="eastAsia"/>
          <w:b/>
          <w:position w:val="11"/>
          <w:sz w:val="11"/>
        </w:rPr>
        <w:t>3</w:t>
      </w:r>
      <w:r>
        <w:rPr>
          <w:rFonts w:ascii="微软雅黑" w:eastAsia="微软雅黑" w:hint="eastAsia"/>
          <w:b/>
          <w:spacing w:val="-2"/>
          <w:sz w:val="21"/>
        </w:rPr>
        <w:t>之和与本合同及其所附于的</w:t>
      </w:r>
      <w:r>
        <w:rPr>
          <w:rFonts w:ascii="微软雅黑" w:eastAsia="微软雅黑" w:hint="eastAsia"/>
          <w:b/>
          <w:spacing w:val="-4"/>
          <w:sz w:val="21"/>
        </w:rPr>
        <w:t>主合同累计已交保险费三者相比的较大者给付保险金，本合同及其所附于的主合同效力终止。</w:t>
      </w:r>
    </w:p>
    <w:p>
      <w:pPr>
        <w:pStyle w:val="ListParagraph"/>
        <w:numPr>
          <w:ilvl w:val="2"/>
          <w:numId w:val="11"/>
        </w:numPr>
        <w:tabs>
          <w:tab w:pos="1187" w:val="left" w:leader="none"/>
          <w:tab w:pos="1188" w:val="left" w:leader="none"/>
          <w:tab w:pos="3194" w:val="left" w:leader="none"/>
        </w:tabs>
        <w:spacing w:line="337" w:lineRule="exact" w:before="119" w:after="0"/>
        <w:ind w:left="1187" w:right="0" w:hanging="1035"/>
        <w:jc w:val="left"/>
        <w:rPr>
          <w:rFonts w:ascii="微软雅黑" w:eastAsia="微软雅黑" w:hint="eastAsia"/>
          <w:b/>
          <w:sz w:val="21"/>
        </w:rPr>
      </w:pPr>
      <w:r>
        <w:rPr>
          <w:rFonts w:ascii="微软雅黑" w:eastAsia="微软雅黑" w:hint="eastAsia"/>
          <w:b/>
          <w:sz w:val="21"/>
        </w:rPr>
        <w:t>恶性肿瘤保险金</w:t>
        <w:tab/>
        <w:t>被保险人在等待期</w:t>
      </w:r>
      <w:r>
        <w:rPr>
          <w:rFonts w:ascii="微软雅黑" w:eastAsia="微软雅黑" w:hint="eastAsia"/>
          <w:b/>
          <w:spacing w:val="-3"/>
          <w:sz w:val="21"/>
        </w:rPr>
        <w:t>以</w:t>
      </w:r>
      <w:r>
        <w:rPr>
          <w:rFonts w:ascii="微软雅黑" w:eastAsia="微软雅黑" w:hint="eastAsia"/>
          <w:b/>
          <w:sz w:val="21"/>
        </w:rPr>
        <w:t>后</w:t>
      </w:r>
      <w:r>
        <w:rPr>
          <w:rFonts w:ascii="微软雅黑" w:eastAsia="微软雅黑" w:hint="eastAsia"/>
          <w:b/>
          <w:spacing w:val="-3"/>
          <w:sz w:val="21"/>
        </w:rPr>
        <w:t>经</w:t>
      </w:r>
      <w:r>
        <w:rPr>
          <w:rFonts w:ascii="微软雅黑" w:eastAsia="微软雅黑" w:hint="eastAsia"/>
          <w:b/>
          <w:sz w:val="21"/>
        </w:rPr>
        <w:t>百年人寿认可的医</w:t>
      </w:r>
      <w:r>
        <w:rPr>
          <w:rFonts w:ascii="微软雅黑" w:eastAsia="微软雅黑" w:hint="eastAsia"/>
          <w:b/>
          <w:spacing w:val="-3"/>
          <w:sz w:val="21"/>
        </w:rPr>
        <w:t>院</w:t>
      </w:r>
      <w:r>
        <w:rPr>
          <w:rFonts w:ascii="微软雅黑" w:eastAsia="微软雅黑" w:hint="eastAsia"/>
          <w:b/>
          <w:sz w:val="21"/>
        </w:rPr>
        <w:t>首</w:t>
      </w:r>
      <w:r>
        <w:rPr>
          <w:rFonts w:ascii="微软雅黑" w:eastAsia="微软雅黑" w:hint="eastAsia"/>
          <w:b/>
          <w:spacing w:val="-3"/>
          <w:sz w:val="21"/>
        </w:rPr>
        <w:t>次</w:t>
      </w:r>
      <w:r>
        <w:rPr>
          <w:rFonts w:ascii="微软雅黑" w:eastAsia="微软雅黑" w:hint="eastAsia"/>
          <w:b/>
          <w:sz w:val="21"/>
        </w:rPr>
        <w:t>确诊初次患上一种或</w:t>
      </w:r>
    </w:p>
    <w:p>
      <w:pPr>
        <w:spacing w:line="206" w:lineRule="auto" w:before="24"/>
        <w:ind w:left="3194" w:right="206" w:firstLine="0"/>
        <w:jc w:val="both"/>
        <w:rPr>
          <w:rFonts w:ascii="微软雅黑" w:eastAsia="微软雅黑" w:hint="eastAsia"/>
          <w:b/>
          <w:sz w:val="21"/>
        </w:rPr>
      </w:pPr>
      <w:r>
        <w:rPr>
          <w:rFonts w:ascii="微软雅黑" w:eastAsia="微软雅黑" w:hint="eastAsia"/>
          <w:b/>
          <w:spacing w:val="-4"/>
          <w:sz w:val="21"/>
        </w:rPr>
        <w:t>多种本合同所约定的恶性肿瘤，百年人寿除给付重大疾病保险金以外，还</w:t>
      </w:r>
      <w:r>
        <w:rPr>
          <w:rFonts w:ascii="微软雅黑" w:eastAsia="微软雅黑" w:hint="eastAsia"/>
          <w:b/>
          <w:spacing w:val="-4"/>
          <w:w w:val="95"/>
          <w:sz w:val="21"/>
        </w:rPr>
        <w:t>按本合同基本保额的50%</w:t>
      </w:r>
      <w:r>
        <w:rPr>
          <w:rFonts w:ascii="微软雅黑" w:eastAsia="微软雅黑" w:hint="eastAsia"/>
          <w:b/>
          <w:spacing w:val="-3"/>
          <w:w w:val="95"/>
          <w:sz w:val="21"/>
        </w:rPr>
        <w:t>给付恶性肿瘤保险金，本合同及其所附于的主合  </w:t>
      </w:r>
      <w:r>
        <w:rPr>
          <w:rFonts w:ascii="微软雅黑" w:eastAsia="微软雅黑" w:hint="eastAsia"/>
          <w:b/>
          <w:spacing w:val="-3"/>
          <w:sz w:val="21"/>
        </w:rPr>
        <w:t>同效力终止。</w:t>
      </w:r>
    </w:p>
    <w:p>
      <w:pPr>
        <w:pStyle w:val="BodyText"/>
        <w:spacing w:before="13"/>
        <w:rPr>
          <w:rFonts w:ascii="微软雅黑"/>
          <w:b/>
          <w:sz w:val="15"/>
        </w:rPr>
      </w:pPr>
    </w:p>
    <w:p>
      <w:pPr>
        <w:pStyle w:val="ListParagraph"/>
        <w:numPr>
          <w:ilvl w:val="2"/>
          <w:numId w:val="11"/>
        </w:numPr>
        <w:tabs>
          <w:tab w:pos="1187" w:val="left" w:leader="none"/>
          <w:tab w:pos="1188" w:val="left" w:leader="none"/>
          <w:tab w:pos="3194" w:val="left" w:leader="none"/>
        </w:tabs>
        <w:spacing w:line="337" w:lineRule="exact" w:before="0" w:after="0"/>
        <w:ind w:left="1187" w:right="0" w:hanging="1035"/>
        <w:jc w:val="left"/>
        <w:rPr>
          <w:rFonts w:ascii="微软雅黑" w:eastAsia="微软雅黑" w:hint="eastAsia"/>
          <w:b/>
          <w:sz w:val="21"/>
        </w:rPr>
      </w:pPr>
      <w:r>
        <w:rPr>
          <w:rFonts w:ascii="微软雅黑" w:eastAsia="微软雅黑" w:hint="eastAsia"/>
          <w:b/>
          <w:sz w:val="21"/>
        </w:rPr>
        <w:t>特定疾病保险金</w:t>
        <w:tab/>
      </w:r>
      <w:r>
        <w:rPr>
          <w:rFonts w:ascii="微软雅黑" w:eastAsia="微软雅黑" w:hint="eastAsia"/>
          <w:b/>
          <w:spacing w:val="5"/>
          <w:sz w:val="21"/>
        </w:rPr>
        <w:t>被</w:t>
      </w:r>
      <w:r>
        <w:rPr>
          <w:rFonts w:ascii="微软雅黑" w:eastAsia="微软雅黑" w:hint="eastAsia"/>
          <w:b/>
          <w:spacing w:val="2"/>
          <w:sz w:val="21"/>
        </w:rPr>
        <w:t>保</w:t>
      </w:r>
      <w:r>
        <w:rPr>
          <w:rFonts w:ascii="微软雅黑" w:eastAsia="微软雅黑" w:hint="eastAsia"/>
          <w:b/>
          <w:spacing w:val="5"/>
          <w:sz w:val="21"/>
        </w:rPr>
        <w:t>险</w:t>
      </w:r>
      <w:r>
        <w:rPr>
          <w:rFonts w:ascii="微软雅黑" w:eastAsia="微软雅黑" w:hint="eastAsia"/>
          <w:b/>
          <w:spacing w:val="2"/>
          <w:sz w:val="21"/>
        </w:rPr>
        <w:t>人</w:t>
      </w:r>
      <w:r>
        <w:rPr>
          <w:rFonts w:ascii="微软雅黑" w:eastAsia="微软雅黑" w:hint="eastAsia"/>
          <w:b/>
          <w:spacing w:val="5"/>
          <w:sz w:val="21"/>
        </w:rPr>
        <w:t>在</w:t>
      </w:r>
      <w:r>
        <w:rPr>
          <w:rFonts w:ascii="微软雅黑" w:eastAsia="微软雅黑" w:hint="eastAsia"/>
          <w:b/>
          <w:spacing w:val="2"/>
          <w:sz w:val="21"/>
        </w:rPr>
        <w:t>等待</w:t>
      </w:r>
      <w:r>
        <w:rPr>
          <w:rFonts w:ascii="微软雅黑" w:eastAsia="微软雅黑" w:hint="eastAsia"/>
          <w:b/>
          <w:spacing w:val="5"/>
          <w:sz w:val="21"/>
        </w:rPr>
        <w:t>期</w:t>
      </w:r>
      <w:r>
        <w:rPr>
          <w:rFonts w:ascii="微软雅黑" w:eastAsia="微软雅黑" w:hint="eastAsia"/>
          <w:b/>
          <w:spacing w:val="2"/>
          <w:sz w:val="21"/>
        </w:rPr>
        <w:t>以</w:t>
      </w:r>
      <w:r>
        <w:rPr>
          <w:rFonts w:ascii="微软雅黑" w:eastAsia="微软雅黑" w:hint="eastAsia"/>
          <w:b/>
          <w:spacing w:val="5"/>
          <w:sz w:val="21"/>
        </w:rPr>
        <w:t>后</w:t>
      </w:r>
      <w:r>
        <w:rPr>
          <w:rFonts w:ascii="微软雅黑" w:eastAsia="微软雅黑" w:hint="eastAsia"/>
          <w:b/>
          <w:spacing w:val="2"/>
          <w:sz w:val="21"/>
        </w:rPr>
        <w:t>经</w:t>
      </w:r>
      <w:r>
        <w:rPr>
          <w:rFonts w:ascii="微软雅黑" w:eastAsia="微软雅黑" w:hint="eastAsia"/>
          <w:b/>
          <w:spacing w:val="5"/>
          <w:sz w:val="21"/>
        </w:rPr>
        <w:t>百</w:t>
      </w:r>
      <w:r>
        <w:rPr>
          <w:rFonts w:ascii="微软雅黑" w:eastAsia="微软雅黑" w:hint="eastAsia"/>
          <w:b/>
          <w:spacing w:val="2"/>
          <w:sz w:val="21"/>
        </w:rPr>
        <w:t>年</w:t>
      </w:r>
      <w:r>
        <w:rPr>
          <w:rFonts w:ascii="微软雅黑" w:eastAsia="微软雅黑" w:hint="eastAsia"/>
          <w:b/>
          <w:spacing w:val="5"/>
          <w:sz w:val="21"/>
        </w:rPr>
        <w:t>人</w:t>
      </w:r>
      <w:r>
        <w:rPr>
          <w:rFonts w:ascii="微软雅黑" w:eastAsia="微软雅黑" w:hint="eastAsia"/>
          <w:b/>
          <w:spacing w:val="2"/>
          <w:sz w:val="21"/>
        </w:rPr>
        <w:t>寿</w:t>
      </w:r>
      <w:r>
        <w:rPr>
          <w:rFonts w:ascii="微软雅黑" w:eastAsia="微软雅黑" w:hint="eastAsia"/>
          <w:b/>
          <w:spacing w:val="5"/>
          <w:sz w:val="21"/>
        </w:rPr>
        <w:t>认</w:t>
      </w:r>
      <w:r>
        <w:rPr>
          <w:rFonts w:ascii="微软雅黑" w:eastAsia="微软雅黑" w:hint="eastAsia"/>
          <w:b/>
          <w:spacing w:val="2"/>
          <w:sz w:val="21"/>
        </w:rPr>
        <w:t>可的</w:t>
      </w:r>
      <w:r>
        <w:rPr>
          <w:rFonts w:ascii="微软雅黑" w:eastAsia="微软雅黑" w:hint="eastAsia"/>
          <w:b/>
          <w:spacing w:val="5"/>
          <w:sz w:val="21"/>
        </w:rPr>
        <w:t>医</w:t>
      </w:r>
      <w:r>
        <w:rPr>
          <w:rFonts w:ascii="微软雅黑" w:eastAsia="微软雅黑" w:hint="eastAsia"/>
          <w:b/>
          <w:spacing w:val="2"/>
          <w:sz w:val="21"/>
        </w:rPr>
        <w:t>院</w:t>
      </w:r>
      <w:r>
        <w:rPr>
          <w:rFonts w:ascii="微软雅黑" w:eastAsia="微软雅黑" w:hint="eastAsia"/>
          <w:b/>
          <w:spacing w:val="5"/>
          <w:sz w:val="21"/>
        </w:rPr>
        <w:t>首</w:t>
      </w:r>
      <w:r>
        <w:rPr>
          <w:rFonts w:ascii="微软雅黑" w:eastAsia="微软雅黑" w:hint="eastAsia"/>
          <w:b/>
          <w:spacing w:val="2"/>
          <w:sz w:val="21"/>
        </w:rPr>
        <w:t>次</w:t>
      </w:r>
      <w:r>
        <w:rPr>
          <w:rFonts w:ascii="微软雅黑" w:eastAsia="微软雅黑" w:hint="eastAsia"/>
          <w:b/>
          <w:spacing w:val="5"/>
          <w:sz w:val="21"/>
        </w:rPr>
        <w:t>确</w:t>
      </w:r>
      <w:r>
        <w:rPr>
          <w:rFonts w:ascii="微软雅黑" w:eastAsia="微软雅黑" w:hint="eastAsia"/>
          <w:b/>
          <w:spacing w:val="2"/>
          <w:sz w:val="21"/>
        </w:rPr>
        <w:t>诊</w:t>
      </w:r>
      <w:r>
        <w:rPr>
          <w:rFonts w:ascii="微软雅黑" w:eastAsia="微软雅黑" w:hint="eastAsia"/>
          <w:b/>
          <w:spacing w:val="5"/>
          <w:sz w:val="21"/>
        </w:rPr>
        <w:t>初</w:t>
      </w:r>
      <w:r>
        <w:rPr>
          <w:rFonts w:ascii="微软雅黑" w:eastAsia="微软雅黑" w:hint="eastAsia"/>
          <w:b/>
          <w:spacing w:val="2"/>
          <w:sz w:val="21"/>
        </w:rPr>
        <w:t>次</w:t>
      </w:r>
      <w:r>
        <w:rPr>
          <w:rFonts w:ascii="微软雅黑" w:eastAsia="微软雅黑" w:hint="eastAsia"/>
          <w:b/>
          <w:spacing w:val="5"/>
          <w:sz w:val="21"/>
        </w:rPr>
        <w:t>患</w:t>
      </w:r>
      <w:r>
        <w:rPr>
          <w:rFonts w:ascii="微软雅黑" w:eastAsia="微软雅黑" w:hint="eastAsia"/>
          <w:b/>
          <w:spacing w:val="2"/>
          <w:sz w:val="21"/>
        </w:rPr>
        <w:t>上一</w:t>
      </w:r>
      <w:r>
        <w:rPr>
          <w:rFonts w:ascii="微软雅黑" w:eastAsia="微软雅黑" w:hint="eastAsia"/>
          <w:b/>
          <w:spacing w:val="5"/>
          <w:sz w:val="21"/>
        </w:rPr>
        <w:t>种</w:t>
      </w:r>
      <w:r>
        <w:rPr>
          <w:rFonts w:ascii="微软雅黑" w:eastAsia="微软雅黑" w:hint="eastAsia"/>
          <w:b/>
          <w:sz w:val="21"/>
        </w:rPr>
        <w:t>或</w:t>
      </w:r>
    </w:p>
    <w:p>
      <w:pPr>
        <w:spacing w:line="206" w:lineRule="auto" w:before="25"/>
        <w:ind w:left="3194" w:right="206" w:firstLine="0"/>
        <w:jc w:val="both"/>
        <w:rPr>
          <w:rFonts w:ascii="微软雅黑" w:eastAsia="微软雅黑" w:hint="eastAsia"/>
          <w:b/>
          <w:sz w:val="21"/>
        </w:rPr>
      </w:pPr>
      <w:r>
        <w:rPr>
          <w:rFonts w:ascii="微软雅黑" w:eastAsia="微软雅黑" w:hint="eastAsia"/>
          <w:b/>
          <w:spacing w:val="-4"/>
          <w:sz w:val="21"/>
        </w:rPr>
        <w:t>多种本合同所约定的特定疾病</w:t>
      </w:r>
      <w:r>
        <w:rPr>
          <w:rFonts w:ascii="微软雅黑" w:eastAsia="微软雅黑" w:hint="eastAsia"/>
          <w:b/>
          <w:sz w:val="21"/>
        </w:rPr>
        <w:t>（10</w:t>
      </w:r>
      <w:r>
        <w:rPr>
          <w:rFonts w:ascii="微软雅黑" w:eastAsia="微软雅黑" w:hint="eastAsia"/>
          <w:b/>
          <w:spacing w:val="-5"/>
          <w:sz w:val="21"/>
        </w:rPr>
        <w:t> 种特定疾病</w:t>
      </w:r>
      <w:r>
        <w:rPr>
          <w:rFonts w:ascii="微软雅黑" w:eastAsia="微软雅黑" w:hint="eastAsia"/>
          <w:b/>
          <w:spacing w:val="-28"/>
          <w:sz w:val="21"/>
        </w:rPr>
        <w:t>）</w:t>
      </w:r>
      <w:r>
        <w:rPr>
          <w:rFonts w:ascii="微软雅黑" w:eastAsia="微软雅黑" w:hint="eastAsia"/>
          <w:b/>
          <w:spacing w:val="-6"/>
          <w:sz w:val="21"/>
        </w:rPr>
        <w:t>，经百年人寿查核属实确</w:t>
      </w:r>
      <w:r>
        <w:rPr>
          <w:rFonts w:ascii="微软雅黑" w:eastAsia="微软雅黑" w:hint="eastAsia"/>
          <w:b/>
          <w:spacing w:val="-4"/>
          <w:w w:val="95"/>
          <w:sz w:val="21"/>
        </w:rPr>
        <w:t>在本合同责任范围内，百年人寿按本合同基本保额的  </w:t>
      </w:r>
      <w:r>
        <w:rPr>
          <w:rFonts w:ascii="微软雅黑" w:eastAsia="微软雅黑" w:hint="eastAsia"/>
          <w:b/>
          <w:w w:val="95"/>
          <w:sz w:val="21"/>
        </w:rPr>
        <w:t>30%给付特定疾病保</w:t>
      </w:r>
      <w:r>
        <w:rPr>
          <w:rFonts w:ascii="微软雅黑" w:eastAsia="微软雅黑" w:hint="eastAsia"/>
          <w:b/>
          <w:spacing w:val="-2"/>
          <w:sz w:val="21"/>
        </w:rPr>
        <w:t>险金，但给付以一次为限，给付金额最高为人民币 </w:t>
      </w:r>
      <w:r>
        <w:rPr>
          <w:rFonts w:ascii="微软雅黑" w:eastAsia="微软雅黑" w:hint="eastAsia"/>
          <w:b/>
          <w:sz w:val="21"/>
        </w:rPr>
        <w:t>10 万元，本合同继续有效。</w:t>
      </w:r>
    </w:p>
    <w:p>
      <w:pPr>
        <w:spacing w:line="206" w:lineRule="auto" w:before="0"/>
        <w:ind w:left="3194" w:right="206" w:firstLine="0"/>
        <w:jc w:val="both"/>
        <w:rPr>
          <w:rFonts w:ascii="微软雅黑" w:eastAsia="微软雅黑" w:hint="eastAsia"/>
          <w:b/>
          <w:sz w:val="21"/>
        </w:rPr>
      </w:pPr>
      <w:r>
        <w:rPr>
          <w:rFonts w:ascii="微软雅黑" w:eastAsia="微软雅黑" w:hint="eastAsia"/>
          <w:b/>
          <w:sz w:val="21"/>
        </w:rPr>
        <w:t>给付特定疾病保险金后，百年人寿将豁免本合同及其所附于的主合同的特定疾病确认日后的下一保单年度及以后余下各期的保险费，本合同继续有效。</w:t>
      </w:r>
    </w:p>
    <w:p>
      <w:pPr>
        <w:pStyle w:val="ListParagraph"/>
        <w:numPr>
          <w:ilvl w:val="1"/>
          <w:numId w:val="11"/>
        </w:numPr>
        <w:tabs>
          <w:tab w:pos="1187" w:val="left" w:leader="none"/>
          <w:tab w:pos="1188" w:val="left" w:leader="none"/>
          <w:tab w:pos="3194" w:val="left" w:leader="none"/>
        </w:tabs>
        <w:spacing w:line="240" w:lineRule="auto" w:before="120" w:after="0"/>
        <w:ind w:left="1187" w:right="0" w:hanging="1035"/>
        <w:jc w:val="left"/>
        <w:rPr>
          <w:sz w:val="21"/>
        </w:rPr>
      </w:pPr>
      <w:r>
        <w:rPr>
          <w:rFonts w:ascii="微软雅黑" w:eastAsia="微软雅黑" w:hint="eastAsia"/>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合</w:t>
      </w:r>
      <w:r>
        <w:rPr>
          <w:sz w:val="21"/>
        </w:rPr>
        <w:t>同一</w:t>
      </w:r>
      <w:r>
        <w:rPr>
          <w:spacing w:val="-3"/>
          <w:sz w:val="21"/>
        </w:rPr>
        <w:t>致</w:t>
      </w:r>
      <w:r>
        <w:rPr>
          <w:sz w:val="21"/>
        </w:rPr>
        <w:t>。</w:t>
      </w:r>
    </w:p>
    <w:p>
      <w:pPr>
        <w:pStyle w:val="BodyText"/>
        <w:rPr>
          <w:sz w:val="20"/>
        </w:rPr>
      </w:pPr>
    </w:p>
    <w:p>
      <w:pPr>
        <w:pStyle w:val="BodyText"/>
        <w:rPr>
          <w:sz w:val="20"/>
        </w:rPr>
      </w:pPr>
    </w:p>
    <w:p>
      <w:pPr>
        <w:pStyle w:val="BodyText"/>
        <w:spacing w:before="1"/>
        <w:rPr>
          <w:sz w:val="11"/>
        </w:rPr>
      </w:pPr>
      <w:r>
        <w:rPr/>
        <w:pict>
          <v:line style="position:absolute;mso-position-horizontal-relative:page;mso-position-vertical-relative:paragraph;z-index:1120;mso-wrap-distance-left:0;mso-wrap-distance-right:0" from="56.639999pt,9.470393pt" to="200.689999pt,9.470393pt" stroked="true" strokeweight=".48004pt" strokecolor="#000000">
            <v:stroke dashstyle="solid"/>
            <w10:wrap type="topAndBottom"/>
          </v:line>
        </w:pict>
      </w:r>
    </w:p>
    <w:p>
      <w:pPr>
        <w:pStyle w:val="BodyText"/>
        <w:spacing w:line="257" w:lineRule="exact"/>
        <w:ind w:left="152"/>
      </w:pPr>
      <w:r>
        <w:rPr>
          <w:rFonts w:ascii="Times New Roman" w:eastAsia="Times New Roman"/>
          <w:position w:val="6"/>
          <w:sz w:val="12"/>
        </w:rPr>
        <w:t>1   </w:t>
      </w:r>
      <w:r>
        <w:rPr>
          <w:rFonts w:ascii="微软雅黑" w:eastAsia="微软雅黑" w:hint="eastAsia"/>
          <w:b/>
        </w:rPr>
        <w:t>意外伤害</w:t>
      </w:r>
      <w:r>
        <w:rPr/>
        <w:t>指遭受外来的、突发的、非本意的、非疾病的客观事件直接致使身体受到的伤害。</w:t>
      </w:r>
    </w:p>
    <w:p>
      <w:pPr>
        <w:pStyle w:val="BodyText"/>
        <w:spacing w:line="233" w:lineRule="exact"/>
        <w:ind w:left="152"/>
      </w:pPr>
      <w:r>
        <w:rPr>
          <w:rFonts w:ascii="Times New Roman" w:eastAsia="Times New Roman"/>
          <w:position w:val="6"/>
          <w:sz w:val="12"/>
        </w:rPr>
        <w:t>2   </w:t>
      </w:r>
      <w:r>
        <w:rPr>
          <w:rFonts w:ascii="微软雅黑" w:eastAsia="微软雅黑" w:hint="eastAsia"/>
          <w:b/>
        </w:rPr>
        <w:t>医院</w:t>
      </w:r>
      <w:r>
        <w:rPr/>
        <w:t>系指百年人寿的定点医院，在无定点医院的县市地区选择医院时，须经百年人寿同意且应当满足以下条件：</w:t>
      </w:r>
    </w:p>
    <w:p>
      <w:pPr>
        <w:spacing w:line="196" w:lineRule="auto" w:before="17"/>
        <w:ind w:left="152" w:right="413" w:firstLine="0"/>
        <w:jc w:val="both"/>
        <w:rPr>
          <w:sz w:val="18"/>
        </w:rPr>
      </w:pPr>
      <w:r>
        <w:rPr>
          <w:sz w:val="18"/>
        </w:rPr>
        <w:t>经中华人民共和国卫生部门评审确定的二级甲等以上的公立医院，</w:t>
      </w:r>
      <w:r>
        <w:rPr>
          <w:rFonts w:ascii="微软雅黑" w:eastAsia="微软雅黑" w:hint="eastAsia"/>
          <w:b/>
          <w:sz w:val="18"/>
          <w:shd w:fill="E4E4E4" w:color="auto" w:val="clear"/>
        </w:rPr>
        <w:t>但不包括：精神病院及专供康复、休养、戒毒、戒酒、护理、养老等非以直接诊治病人为目的的医疗</w:t>
      </w:r>
      <w:r>
        <w:rPr>
          <w:rFonts w:ascii="微软雅黑" w:eastAsia="微软雅黑" w:hint="eastAsia"/>
          <w:b/>
          <w:spacing w:val="-59"/>
          <w:sz w:val="18"/>
          <w:shd w:fill="E4E4E4" w:color="auto" w:val="clear"/>
        </w:rPr>
        <w:t>机构。</w:t>
      </w:r>
      <w:r>
        <w:rPr>
          <w:spacing w:val="-1"/>
          <w:sz w:val="18"/>
        </w:rPr>
        <w:t>该医院必须具有符合国家有关医院管理规则设置标准的医疗设备，且全</w:t>
      </w:r>
      <w:r>
        <w:rPr>
          <w:spacing w:val="-23"/>
          <w:sz w:val="18"/>
        </w:rPr>
        <w:t>日 </w:t>
      </w:r>
      <w:r>
        <w:rPr>
          <w:rFonts w:ascii="Times New Roman" w:eastAsia="Times New Roman"/>
          <w:sz w:val="18"/>
        </w:rPr>
        <w:t>24 </w:t>
      </w:r>
      <w:r>
        <w:rPr>
          <w:spacing w:val="-1"/>
          <w:sz w:val="18"/>
        </w:rPr>
        <w:t>小时有合格医师及护士驻医院提供医疗及护理服务。</w:t>
      </w:r>
    </w:p>
    <w:p>
      <w:pPr>
        <w:pStyle w:val="BodyText"/>
        <w:spacing w:line="241" w:lineRule="exact"/>
        <w:ind w:left="152"/>
        <w:jc w:val="both"/>
      </w:pPr>
      <w:r>
        <w:rPr>
          <w:rFonts w:ascii="Times New Roman" w:eastAsia="Times New Roman"/>
          <w:position w:val="6"/>
          <w:sz w:val="12"/>
        </w:rPr>
        <w:t>3   </w:t>
      </w:r>
      <w:r>
        <w:rPr>
          <w:rFonts w:ascii="微软雅黑" w:eastAsia="微软雅黑" w:hint="eastAsia"/>
          <w:b/>
        </w:rPr>
        <w:t>现金价值</w:t>
      </w:r>
      <w:r>
        <w:rPr/>
        <w:t>指保险单所具有的价值，通常体现为解除本合同时，由百年人寿向您退还的那部分金额。</w:t>
      </w:r>
    </w:p>
    <w:p>
      <w:pPr>
        <w:spacing w:after="0" w:line="241" w:lineRule="exact"/>
        <w:jc w:val="both"/>
        <w:sectPr>
          <w:pgSz w:w="11910" w:h="16840"/>
          <w:pgMar w:header="567" w:footer="664" w:top="1000" w:bottom="860" w:left="980" w:right="800"/>
        </w:sectPr>
      </w:pPr>
    </w:p>
    <w:p>
      <w:pPr>
        <w:pStyle w:val="BodyText"/>
        <w:rPr>
          <w:sz w:val="20"/>
        </w:rPr>
      </w:pPr>
      <w:r>
        <w:rPr/>
        <w:pict>
          <v:shape style="position:absolute;margin-left:208.730011pt;margin-top:230.299957pt;width:336.05pt;height:61.25pt;mso-position-horizontal-relative:page;mso-position-vertical-relative:page;z-index:-39856" coordorigin="4175,4606" coordsize="6721,1225" path="m5615,5230l4175,5230,4175,5518,5615,5518,5615,5230m10586,4606l4175,4606,4175,4894,10586,4894,10586,4606m10896,5542l4175,5542,4175,5831,10896,5831,10896,5542m10896,4918l4175,4918,4175,5206,10896,5206,10896,4918e" filled="true" fillcolor="#d9d9d9" stroked="false">
            <v:path arrowok="t"/>
            <v:fill type="solid"/>
            <w10:wrap type="none"/>
          </v:shape>
        </w:pict>
      </w:r>
      <w:r>
        <w:rPr/>
        <w:pict>
          <v:rect style="position:absolute;margin-left:208.729996pt;margin-top:339.529968pt;width:336.05pt;height:14.4pt;mso-position-horizontal-relative:page;mso-position-vertical-relative:page;z-index:-39832" filled="true" fillcolor="#d9d9d9" stroked="false">
            <v:fill type="solid"/>
            <w10:wrap type="none"/>
          </v:rect>
        </w:pict>
      </w:r>
    </w:p>
    <w:p>
      <w:pPr>
        <w:pStyle w:val="BodyText"/>
        <w:spacing w:before="1"/>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2366"/>
        <w:gridCol w:w="6830"/>
      </w:tblGrid>
      <w:tr>
        <w:trPr>
          <w:trHeight w:val="443" w:hRule="atLeast"/>
        </w:trPr>
        <w:tc>
          <w:tcPr>
            <w:tcW w:w="758" w:type="dxa"/>
          </w:tcPr>
          <w:p>
            <w:pPr>
              <w:pStyle w:val="TableParagraph"/>
              <w:spacing w:line="337" w:lineRule="exact"/>
              <w:ind w:left="81"/>
              <w:rPr>
                <w:rFonts w:ascii="微软雅黑" w:hAnsi="微软雅黑"/>
                <w:b/>
                <w:sz w:val="28"/>
              </w:rPr>
            </w:pPr>
            <w:r>
              <w:rPr>
                <w:rFonts w:ascii="微软雅黑" w:hAnsi="微软雅黑"/>
                <w:b/>
                <w:w w:val="100"/>
                <w:sz w:val="28"/>
              </w:rPr>
              <w:t>⒉</w:t>
            </w:r>
          </w:p>
        </w:tc>
        <w:tc>
          <w:tcPr>
            <w:tcW w:w="2366" w:type="dxa"/>
          </w:tcPr>
          <w:p>
            <w:pPr>
              <w:pStyle w:val="TableParagraph"/>
              <w:spacing w:line="269" w:lineRule="exact"/>
              <w:ind w:left="358"/>
              <w:rPr>
                <w:rFonts w:ascii="微软雅黑" w:eastAsia="微软雅黑" w:hint="eastAsia"/>
                <w:b/>
                <w:sz w:val="24"/>
              </w:rPr>
            </w:pPr>
            <w:r>
              <w:rPr>
                <w:rFonts w:ascii="微软雅黑" w:eastAsia="微软雅黑" w:hint="eastAsia"/>
                <w:b/>
                <w:sz w:val="24"/>
              </w:rPr>
              <w:t>不保什么</w:t>
            </w:r>
          </w:p>
        </w:tc>
        <w:tc>
          <w:tcPr>
            <w:tcW w:w="6830" w:type="dxa"/>
          </w:tcPr>
          <w:p>
            <w:pPr>
              <w:pStyle w:val="TableParagraph"/>
              <w:rPr>
                <w:rFonts w:ascii="Times New Roman"/>
                <w:sz w:val="18"/>
              </w:rPr>
            </w:pPr>
          </w:p>
        </w:tc>
      </w:tr>
      <w:tr>
        <w:trPr>
          <w:trHeight w:val="533" w:hRule="atLeast"/>
        </w:trPr>
        <w:tc>
          <w:tcPr>
            <w:tcW w:w="9954" w:type="dxa"/>
            <w:gridSpan w:val="3"/>
            <w:tcBorders>
              <w:bottom w:val="single" w:sz="6" w:space="0" w:color="000000"/>
            </w:tcBorders>
          </w:tcPr>
          <w:p>
            <w:pPr>
              <w:pStyle w:val="TableParagraph"/>
              <w:spacing w:before="14"/>
              <w:ind w:left="1116"/>
              <w:rPr>
                <w:rFonts w:ascii="微软雅黑" w:eastAsia="微软雅黑" w:hint="eastAsia"/>
                <w:b/>
                <w:sz w:val="21"/>
              </w:rPr>
            </w:pPr>
            <w:r>
              <w:rPr>
                <w:rFonts w:ascii="微软雅黑" w:eastAsia="微软雅黑" w:hint="eastAsia"/>
                <w:b/>
                <w:sz w:val="21"/>
              </w:rPr>
              <w:t>这部分描述的是百年人寿不承担保险责任的情况。</w:t>
            </w:r>
          </w:p>
        </w:tc>
      </w:tr>
      <w:tr>
        <w:trPr>
          <w:trHeight w:val="6345" w:hRule="atLeast"/>
        </w:trPr>
        <w:tc>
          <w:tcPr>
            <w:tcW w:w="758" w:type="dxa"/>
            <w:tcBorders>
              <w:top w:val="single" w:sz="6" w:space="0" w:color="000000"/>
            </w:tcBorders>
          </w:tcPr>
          <w:p>
            <w:pPr>
              <w:pStyle w:val="TableParagraph"/>
              <w:spacing w:before="75"/>
              <w:ind w:left="81"/>
              <w:rPr>
                <w:rFonts w:ascii="微软雅黑"/>
                <w:b/>
                <w:sz w:val="21"/>
              </w:rPr>
            </w:pPr>
            <w:r>
              <w:rPr>
                <w:rFonts w:ascii="微软雅黑"/>
                <w:b/>
                <w:sz w:val="21"/>
              </w:rPr>
              <w:t>2.1</w:t>
            </w:r>
          </w:p>
        </w:tc>
        <w:tc>
          <w:tcPr>
            <w:tcW w:w="2366" w:type="dxa"/>
            <w:tcBorders>
              <w:top w:val="single" w:sz="6" w:space="0" w:color="000000"/>
            </w:tcBorders>
          </w:tcPr>
          <w:p>
            <w:pPr>
              <w:pStyle w:val="TableParagraph"/>
              <w:spacing w:before="75"/>
              <w:ind w:left="358"/>
              <w:rPr>
                <w:rFonts w:ascii="微软雅黑" w:eastAsia="微软雅黑" w:hint="eastAsia"/>
                <w:b/>
                <w:sz w:val="21"/>
              </w:rPr>
            </w:pPr>
            <w:r>
              <w:rPr>
                <w:rFonts w:ascii="微软雅黑" w:eastAsia="微软雅黑" w:hint="eastAsia"/>
                <w:b/>
                <w:sz w:val="21"/>
              </w:rPr>
              <w:t>责任免除</w:t>
            </w:r>
          </w:p>
        </w:tc>
        <w:tc>
          <w:tcPr>
            <w:tcW w:w="6830" w:type="dxa"/>
            <w:tcBorders>
              <w:top w:val="single" w:sz="6" w:space="0" w:color="000000"/>
            </w:tcBorders>
          </w:tcPr>
          <w:p>
            <w:pPr>
              <w:pStyle w:val="TableParagraph"/>
              <w:spacing w:line="194" w:lineRule="auto" w:before="131"/>
              <w:ind w:left="-1" w:right="111"/>
              <w:rPr>
                <w:rFonts w:ascii="Microsoft JhengHei" w:eastAsia="Microsoft JhengHei" w:hint="eastAsia"/>
                <w:b/>
                <w:sz w:val="22"/>
              </w:rPr>
            </w:pPr>
            <w:r>
              <w:rPr>
                <w:rFonts w:ascii="Microsoft JhengHei" w:eastAsia="Microsoft JhengHei" w:hint="eastAsia"/>
                <w:b/>
                <w:sz w:val="22"/>
                <w:shd w:fill="D9D9D9" w:color="auto" w:val="clear"/>
              </w:rPr>
              <w:t>因下列情形之一，导致被保险人发Th疾病、达到疾病状态或进行手术的，百年人寿不承担给付保险金的责任：</w:t>
            </w:r>
          </w:p>
          <w:p>
            <w:pPr>
              <w:pStyle w:val="TableParagraph"/>
              <w:spacing w:line="277" w:lineRule="exact"/>
              <w:ind w:left="-1"/>
              <w:rPr>
                <w:rFonts w:ascii="Microsoft JhengHei" w:eastAsia="Microsoft JhengHei" w:hint="eastAsia"/>
                <w:b/>
                <w:sz w:val="22"/>
              </w:rPr>
            </w:pPr>
            <w:r>
              <w:rPr>
                <w:rFonts w:ascii="Microsoft JhengHei" w:eastAsia="Microsoft JhengHei" w:hint="eastAsia"/>
                <w:b/>
                <w:w w:val="95"/>
                <w:sz w:val="22"/>
                <w:shd w:fill="D9D9D9" w:color="auto" w:val="clear"/>
              </w:rPr>
              <w:t>（1）投保人对被保险人的故意杀害、故意伤害；</w:t>
            </w:r>
          </w:p>
          <w:p>
            <w:pPr>
              <w:pStyle w:val="TableParagraph"/>
              <w:spacing w:line="312" w:lineRule="exact"/>
              <w:ind w:left="-1"/>
              <w:rPr>
                <w:rFonts w:ascii="Microsoft JhengHei" w:eastAsia="Microsoft JhengHei" w:hint="eastAsia"/>
                <w:b/>
                <w:sz w:val="22"/>
              </w:rPr>
            </w:pPr>
            <w:r>
              <w:rPr>
                <w:rFonts w:ascii="Microsoft JhengHei" w:eastAsia="Microsoft JhengHei" w:hint="eastAsia"/>
                <w:b/>
                <w:spacing w:val="-21"/>
                <w:sz w:val="22"/>
                <w:shd w:fill="D9D9D9" w:color="auto" w:val="clear"/>
              </w:rPr>
              <w:t>（2）</w:t>
            </w:r>
            <w:r>
              <w:rPr>
                <w:rFonts w:ascii="Microsoft JhengHei" w:eastAsia="Microsoft JhengHei" w:hint="eastAsia"/>
                <w:b/>
                <w:spacing w:val="-7"/>
                <w:sz w:val="22"/>
                <w:shd w:fill="D9D9D9" w:color="auto" w:val="clear"/>
              </w:rPr>
              <w:t>因被保险人故意自伤、故意犯罪或抗拒依法采取的刑事强制措施；</w:t>
            </w:r>
          </w:p>
          <w:p>
            <w:pPr>
              <w:pStyle w:val="TableParagraph"/>
              <w:spacing w:line="194" w:lineRule="auto" w:before="36"/>
              <w:ind w:left="-1" w:right="88"/>
              <w:rPr>
                <w:rFonts w:ascii="Microsoft JhengHei" w:eastAsia="Microsoft JhengHei" w:hint="eastAsia"/>
                <w:b/>
                <w:sz w:val="22"/>
              </w:rPr>
            </w:pPr>
            <w:r>
              <w:rPr>
                <w:rFonts w:ascii="Microsoft JhengHei" w:eastAsia="Microsoft JhengHei" w:hint="eastAsia"/>
                <w:b/>
                <w:sz w:val="22"/>
                <w:shd w:fill="D9D9D9" w:color="auto" w:val="clear"/>
              </w:rPr>
              <w:t>（3）被保险人在本合同成立或合同效力最后恢复之日起二年内自杀， 但被保险人自杀时为无民事行为能力人的除外；</w:t>
            </w:r>
          </w:p>
          <w:p>
            <w:pPr>
              <w:pStyle w:val="TableParagraph"/>
              <w:spacing w:line="277" w:lineRule="exact"/>
              <w:ind w:left="-1"/>
              <w:rPr>
                <w:rFonts w:ascii="Microsoft JhengHei" w:eastAsia="Microsoft JhengHei" w:hint="eastAsia"/>
                <w:b/>
                <w:sz w:val="22"/>
              </w:rPr>
            </w:pPr>
            <w:r>
              <w:rPr>
                <w:rFonts w:ascii="Microsoft JhengHei" w:eastAsia="Microsoft JhengHei" w:hint="eastAsia"/>
                <w:b/>
                <w:w w:val="95"/>
                <w:sz w:val="22"/>
              </w:rPr>
              <w:t>（4）被保险人服用、吸食或注射毒品</w:t>
            </w:r>
            <w:r>
              <w:rPr>
                <w:rFonts w:ascii="Microsoft JhengHei" w:eastAsia="Microsoft JhengHei" w:hint="eastAsia"/>
                <w:b/>
                <w:w w:val="95"/>
                <w:position w:val="11"/>
                <w:sz w:val="11"/>
              </w:rPr>
              <w:t>4</w:t>
            </w:r>
            <w:r>
              <w:rPr>
                <w:rFonts w:ascii="Microsoft JhengHei" w:eastAsia="Microsoft JhengHei" w:hint="eastAsia"/>
                <w:b/>
                <w:w w:val="95"/>
                <w:sz w:val="22"/>
              </w:rPr>
              <w:t>或未遵医嘱使用管制药品</w:t>
            </w:r>
            <w:r>
              <w:rPr>
                <w:rFonts w:ascii="Microsoft JhengHei" w:eastAsia="Microsoft JhengHei" w:hint="eastAsia"/>
                <w:b/>
                <w:w w:val="95"/>
                <w:position w:val="11"/>
                <w:sz w:val="11"/>
              </w:rPr>
              <w:t>5</w:t>
            </w:r>
            <w:r>
              <w:rPr>
                <w:rFonts w:ascii="Microsoft JhengHei" w:eastAsia="Microsoft JhengHei" w:hint="eastAsia"/>
                <w:b/>
                <w:w w:val="95"/>
                <w:sz w:val="22"/>
              </w:rPr>
              <w:t>；</w:t>
            </w:r>
          </w:p>
          <w:p>
            <w:pPr>
              <w:pStyle w:val="TableParagraph"/>
              <w:spacing w:line="194" w:lineRule="auto" w:before="38"/>
              <w:ind w:left="-1" w:right="106"/>
              <w:rPr>
                <w:rFonts w:ascii="Microsoft JhengHei" w:eastAsia="Microsoft JhengHei" w:hint="eastAsia"/>
                <w:b/>
                <w:sz w:val="22"/>
              </w:rPr>
            </w:pPr>
            <w:r>
              <w:rPr>
                <w:rFonts w:ascii="Microsoft JhengHei" w:eastAsia="Microsoft JhengHei" w:hint="eastAsia"/>
                <w:b/>
                <w:sz w:val="22"/>
              </w:rPr>
              <w:t>（5）被保险人酒后驾驶</w:t>
            </w:r>
            <w:r>
              <w:rPr>
                <w:rFonts w:ascii="Microsoft JhengHei" w:eastAsia="Microsoft JhengHei" w:hint="eastAsia"/>
                <w:b/>
                <w:position w:val="11"/>
                <w:sz w:val="11"/>
              </w:rPr>
              <w:t>6</w:t>
            </w:r>
            <w:r>
              <w:rPr>
                <w:rFonts w:ascii="Microsoft JhengHei" w:eastAsia="Microsoft JhengHei" w:hint="eastAsia"/>
                <w:b/>
                <w:sz w:val="22"/>
              </w:rPr>
              <w:t>、无合法有效驾驶证驾驶</w:t>
            </w:r>
            <w:r>
              <w:rPr>
                <w:rFonts w:ascii="Microsoft JhengHei" w:eastAsia="Microsoft JhengHei" w:hint="eastAsia"/>
                <w:b/>
                <w:position w:val="11"/>
                <w:sz w:val="11"/>
              </w:rPr>
              <w:t>7</w:t>
            </w:r>
            <w:r>
              <w:rPr>
                <w:rFonts w:ascii="Microsoft JhengHei" w:eastAsia="Microsoft JhengHei" w:hint="eastAsia"/>
                <w:b/>
                <w:sz w:val="22"/>
              </w:rPr>
              <w:t>或驾驶无有效行驶</w:t>
            </w:r>
            <w:r>
              <w:rPr>
                <w:rFonts w:ascii="Microsoft JhengHei" w:eastAsia="Microsoft JhengHei" w:hint="eastAsia"/>
                <w:b/>
                <w:w w:val="95"/>
                <w:sz w:val="22"/>
              </w:rPr>
              <w:t>证</w:t>
            </w:r>
            <w:r>
              <w:rPr>
                <w:rFonts w:ascii="Microsoft JhengHei" w:eastAsia="Microsoft JhengHei" w:hint="eastAsia"/>
                <w:b/>
                <w:w w:val="95"/>
                <w:position w:val="11"/>
                <w:sz w:val="11"/>
              </w:rPr>
              <w:t>8</w:t>
            </w:r>
            <w:r>
              <w:rPr>
                <w:rFonts w:ascii="Microsoft JhengHei" w:eastAsia="Microsoft JhengHei" w:hint="eastAsia"/>
                <w:b/>
                <w:w w:val="95"/>
                <w:sz w:val="22"/>
              </w:rPr>
              <w:t>的机动车</w:t>
            </w:r>
            <w:r>
              <w:rPr>
                <w:rFonts w:ascii="Microsoft JhengHei" w:eastAsia="Microsoft JhengHei" w:hint="eastAsia"/>
                <w:b/>
                <w:w w:val="95"/>
                <w:position w:val="11"/>
                <w:sz w:val="11"/>
              </w:rPr>
              <w:t>9</w:t>
            </w:r>
            <w:r>
              <w:rPr>
                <w:rFonts w:ascii="Microsoft JhengHei" w:eastAsia="Microsoft JhengHei" w:hint="eastAsia"/>
                <w:b/>
                <w:w w:val="95"/>
                <w:sz w:val="22"/>
              </w:rPr>
              <w:t>；</w:t>
            </w:r>
          </w:p>
          <w:p>
            <w:pPr>
              <w:pStyle w:val="TableParagraph"/>
              <w:spacing w:line="194" w:lineRule="auto" w:before="2"/>
              <w:ind w:left="-1" w:right="105"/>
              <w:rPr>
                <w:rFonts w:ascii="Microsoft JhengHei" w:eastAsia="Microsoft JhengHei" w:hint="eastAsia"/>
                <w:b/>
                <w:sz w:val="22"/>
              </w:rPr>
            </w:pPr>
            <w:r>
              <w:rPr>
                <w:rFonts w:ascii="Microsoft JhengHei" w:eastAsia="Microsoft JhengHei" w:hint="eastAsia"/>
                <w:b/>
                <w:sz w:val="22"/>
              </w:rPr>
              <w:t>（6）被保险人感染艾滋病病毒或患艾滋病</w:t>
            </w:r>
            <w:r>
              <w:rPr>
                <w:rFonts w:ascii="Microsoft JhengHei" w:eastAsia="Microsoft JhengHei" w:hint="eastAsia"/>
                <w:b/>
                <w:position w:val="11"/>
                <w:sz w:val="11"/>
              </w:rPr>
              <w:t>10</w:t>
            </w:r>
            <w:r>
              <w:rPr>
                <w:rFonts w:ascii="Microsoft JhengHei" w:eastAsia="Microsoft JhengHei" w:hint="eastAsia"/>
                <w:b/>
                <w:sz w:val="22"/>
              </w:rPr>
              <w:t>期间（本合同中约定的疾</w:t>
            </w:r>
            <w:r>
              <w:rPr>
                <w:rFonts w:ascii="Microsoft JhengHei" w:eastAsia="Microsoft JhengHei" w:hint="eastAsia"/>
                <w:b/>
                <w:sz w:val="22"/>
                <w:shd w:fill="D9D9D9" w:color="auto" w:val="clear"/>
              </w:rPr>
              <w:t>病除外）；</w:t>
            </w:r>
          </w:p>
          <w:p>
            <w:pPr>
              <w:pStyle w:val="TableParagraph"/>
              <w:spacing w:line="194" w:lineRule="auto" w:before="1"/>
              <w:ind w:left="-1" w:right="63"/>
              <w:rPr>
                <w:rFonts w:ascii="Microsoft JhengHei" w:eastAsia="Microsoft JhengHei" w:hint="eastAsia"/>
                <w:b/>
                <w:sz w:val="22"/>
              </w:rPr>
            </w:pPr>
            <w:r>
              <w:rPr>
                <w:rFonts w:ascii="Microsoft JhengHei" w:eastAsia="Microsoft JhengHei" w:hint="eastAsia"/>
                <w:b/>
                <w:sz w:val="22"/>
                <w:shd w:fill="D9D9D9" w:color="auto" w:val="clear"/>
              </w:rPr>
              <w:t>（7）战争、军事冲突、恐怖活动、暴乱、武装叛乱、核爆炸、核辐射或核污染；</w:t>
            </w:r>
          </w:p>
          <w:p>
            <w:pPr>
              <w:pStyle w:val="TableParagraph"/>
              <w:spacing w:line="194" w:lineRule="auto" w:before="1"/>
              <w:ind w:left="-1" w:right="48"/>
              <w:rPr>
                <w:rFonts w:ascii="Microsoft JhengHei" w:eastAsia="Microsoft JhengHei" w:hint="eastAsia"/>
                <w:b/>
                <w:sz w:val="22"/>
              </w:rPr>
            </w:pPr>
            <w:r>
              <w:rPr>
                <w:rFonts w:ascii="Microsoft JhengHei" w:eastAsia="Microsoft JhengHei" w:hint="eastAsia"/>
                <w:b/>
                <w:w w:val="95"/>
                <w:sz w:val="22"/>
              </w:rPr>
              <w:t>（8）遗传性疾病</w:t>
            </w:r>
            <w:r>
              <w:rPr>
                <w:rFonts w:ascii="Microsoft JhengHei" w:eastAsia="Microsoft JhengHei" w:hint="eastAsia"/>
                <w:b/>
                <w:w w:val="95"/>
                <w:position w:val="11"/>
                <w:sz w:val="11"/>
              </w:rPr>
              <w:t>11</w:t>
            </w:r>
            <w:r>
              <w:rPr>
                <w:rFonts w:ascii="Microsoft JhengHei" w:eastAsia="Microsoft JhengHei" w:hint="eastAsia"/>
                <w:b/>
                <w:w w:val="95"/>
                <w:sz w:val="22"/>
              </w:rPr>
              <w:t>，先天性畸形、变形或染色体异常</w:t>
            </w:r>
            <w:r>
              <w:rPr>
                <w:rFonts w:ascii="Microsoft JhengHei" w:eastAsia="Microsoft JhengHei" w:hint="eastAsia"/>
                <w:b/>
                <w:w w:val="95"/>
                <w:position w:val="11"/>
                <w:sz w:val="11"/>
              </w:rPr>
              <w:t>12</w:t>
            </w:r>
            <w:r>
              <w:rPr>
                <w:rFonts w:ascii="Microsoft JhengHei" w:eastAsia="Microsoft JhengHei" w:hint="eastAsia"/>
                <w:b/>
                <w:w w:val="95"/>
                <w:sz w:val="22"/>
              </w:rPr>
              <w:t>（本合同中约定  </w:t>
            </w:r>
            <w:r>
              <w:rPr>
                <w:rFonts w:ascii="Microsoft JhengHei" w:eastAsia="Microsoft JhengHei" w:hint="eastAsia"/>
                <w:b/>
                <w:sz w:val="22"/>
                <w:shd w:fill="D9D9D9" w:color="auto" w:val="clear"/>
              </w:rPr>
              <w:t>的疾病除外）。</w:t>
            </w:r>
          </w:p>
          <w:p>
            <w:pPr>
              <w:pStyle w:val="TableParagraph"/>
              <w:spacing w:line="194" w:lineRule="auto" w:before="1"/>
              <w:ind w:left="-1" w:right="105"/>
              <w:jc w:val="both"/>
              <w:rPr>
                <w:rFonts w:ascii="Microsoft JhengHei" w:eastAsia="Microsoft JhengHei" w:hint="eastAsia"/>
                <w:b/>
                <w:sz w:val="22"/>
              </w:rPr>
            </w:pPr>
            <w:r>
              <w:rPr>
                <w:rFonts w:ascii="Microsoft JhengHei" w:eastAsia="Microsoft JhengHei" w:hint="eastAsia"/>
                <w:b/>
                <w:w w:val="95"/>
                <w:sz w:val="22"/>
                <w:shd w:fill="D9D9D9" w:color="auto" w:val="clear"/>
              </w:rPr>
              <w:t>发Th</w:t>
            </w:r>
            <w:r>
              <w:rPr>
                <w:rFonts w:ascii="Microsoft JhengHei" w:eastAsia="Microsoft JhengHei" w:hint="eastAsia"/>
                <w:b/>
                <w:spacing w:val="-1"/>
                <w:w w:val="95"/>
                <w:sz w:val="22"/>
                <w:shd w:fill="D9D9D9" w:color="auto" w:val="clear"/>
              </w:rPr>
              <w:t>上述第</w:t>
            </w:r>
            <w:r>
              <w:rPr>
                <w:rFonts w:ascii="Microsoft JhengHei" w:eastAsia="Microsoft JhengHei" w:hint="eastAsia"/>
                <w:b/>
                <w:w w:val="95"/>
                <w:sz w:val="22"/>
                <w:shd w:fill="D9D9D9" w:color="auto" w:val="clear"/>
              </w:rPr>
              <w:t>（1）</w:t>
            </w:r>
            <w:r>
              <w:rPr>
                <w:rFonts w:ascii="Microsoft JhengHei" w:eastAsia="Microsoft JhengHei" w:hint="eastAsia"/>
                <w:b/>
                <w:spacing w:val="-2"/>
                <w:w w:val="95"/>
                <w:sz w:val="22"/>
                <w:shd w:fill="D9D9D9" w:color="auto" w:val="clear"/>
              </w:rPr>
              <w:t>项情形导致被保险人身故的，本合同效力终止。已交</w:t>
            </w:r>
            <w:r>
              <w:rPr>
                <w:rFonts w:ascii="Microsoft JhengHei" w:eastAsia="Microsoft JhengHei" w:hint="eastAsia"/>
                <w:b/>
                <w:spacing w:val="-221"/>
                <w:w w:val="95"/>
                <w:sz w:val="22"/>
                <w:shd w:fill="D9D9D9" w:color="auto" w:val="clear"/>
              </w:rPr>
              <w:t>足</w:t>
            </w:r>
            <w:r>
              <w:rPr>
                <w:rFonts w:ascii="Microsoft JhengHei" w:eastAsia="Microsoft JhengHei" w:hint="eastAsia"/>
                <w:b/>
                <w:spacing w:val="148"/>
                <w:w w:val="95"/>
                <w:sz w:val="22"/>
                <w:shd w:fill="D9D9D9" w:color="auto" w:val="clear"/>
              </w:rPr>
              <w:t> </w:t>
            </w:r>
            <w:r>
              <w:rPr>
                <w:rFonts w:ascii="Microsoft JhengHei" w:eastAsia="Microsoft JhengHei" w:hint="eastAsia"/>
                <w:b/>
                <w:sz w:val="22"/>
                <w:shd w:fill="D9D9D9" w:color="auto" w:val="clear"/>
              </w:rPr>
              <w:t>2   年以上保险费的，百年人寿向被保险人继承人退还本合同当时的 现金价值；</w:t>
            </w:r>
          </w:p>
          <w:p>
            <w:pPr>
              <w:pStyle w:val="TableParagraph"/>
              <w:spacing w:line="312" w:lineRule="exact" w:before="6"/>
              <w:ind w:left="-1" w:right="106"/>
              <w:rPr>
                <w:rFonts w:ascii="Microsoft JhengHei" w:eastAsia="Microsoft JhengHei" w:hint="eastAsia"/>
                <w:b/>
                <w:sz w:val="22"/>
              </w:rPr>
            </w:pPr>
            <w:r>
              <w:rPr>
                <w:rFonts w:ascii="Microsoft JhengHei" w:eastAsia="Microsoft JhengHei" w:hint="eastAsia"/>
                <w:b/>
                <w:spacing w:val="2"/>
                <w:sz w:val="22"/>
                <w:shd w:fill="D9D9D9" w:color="auto" w:val="clear"/>
              </w:rPr>
              <w:t>发</w:t>
            </w:r>
            <w:r>
              <w:rPr>
                <w:rFonts w:ascii="Microsoft JhengHei" w:eastAsia="Microsoft JhengHei" w:hint="eastAsia"/>
                <w:b/>
                <w:sz w:val="22"/>
                <w:shd w:fill="D9D9D9" w:color="auto" w:val="clear"/>
              </w:rPr>
              <w:t>Th上述其他情形导致被保险人身故的，本合同效力终止，百年人寿</w:t>
            </w:r>
            <w:r>
              <w:rPr>
                <w:rFonts w:ascii="Microsoft JhengHei" w:eastAsia="Microsoft JhengHei" w:hint="eastAsia"/>
                <w:b/>
                <w:spacing w:val="-217"/>
                <w:sz w:val="22"/>
                <w:shd w:fill="D9D9D9" w:color="auto" w:val="clear"/>
              </w:rPr>
              <w:t>向</w:t>
            </w:r>
            <w:r>
              <w:rPr>
                <w:rFonts w:ascii="Microsoft JhengHei" w:eastAsia="Microsoft JhengHei" w:hint="eastAsia"/>
                <w:b/>
                <w:sz w:val="22"/>
                <w:shd w:fill="D9D9D9" w:color="auto" w:val="clear"/>
              </w:rPr>
              <w:t>投保人退还本合同当时的现金价值。</w:t>
            </w:r>
          </w:p>
        </w:tc>
      </w:tr>
    </w:tbl>
    <w:p>
      <w:pPr>
        <w:pStyle w:val="BodyText"/>
        <w:spacing w:before="2"/>
        <w:rPr>
          <w:sz w:val="17"/>
        </w:rPr>
      </w:pPr>
      <w:r>
        <w:rPr/>
        <w:pict>
          <v:line style="position:absolute;mso-position-horizontal-relative:page;mso-position-vertical-relative:paragraph;z-index:1168;mso-wrap-distance-left:0;mso-wrap-distance-right:0" from="56.639999pt,13.447495pt" to="200.689999pt,13.447495pt" stroked="true" strokeweight=".48001pt" strokecolor="#000000">
            <v:stroke dashstyle="solid"/>
            <w10:wrap type="topAndBottom"/>
          </v:line>
        </w:pict>
      </w:r>
    </w:p>
    <w:p>
      <w:pPr>
        <w:pStyle w:val="BodyText"/>
        <w:spacing w:line="216" w:lineRule="auto" w:before="17"/>
        <w:ind w:left="192" w:right="367"/>
      </w:pPr>
      <w:r>
        <w:rPr>
          <w:rFonts w:ascii="Times New Roman" w:eastAsia="Times New Roman"/>
          <w:position w:val="6"/>
          <w:sz w:val="12"/>
        </w:rPr>
        <w:t>4 </w:t>
      </w:r>
      <w:r>
        <w:rPr>
          <w:rFonts w:ascii="微软雅黑" w:eastAsia="微软雅黑" w:hint="eastAsia"/>
          <w:b/>
        </w:rPr>
        <w:t>毒品</w:t>
      </w:r>
      <w:r>
        <w:rPr/>
        <w:t>指中华人民共和国刑法规定的鸦片、海洛因、甲基苯丙胺（冰毒）、吗啡、大麻、 可卡因以及国家规定管制的其他能够使人形成瘾癖的麻醉药品和精神药品，但不包括由医生开具用于治疗疾病的含有毒品成分的处方药品。</w:t>
      </w:r>
    </w:p>
    <w:p>
      <w:pPr>
        <w:pStyle w:val="BodyText"/>
        <w:spacing w:line="245" w:lineRule="exact"/>
        <w:ind w:left="192"/>
      </w:pPr>
      <w:r>
        <w:rPr>
          <w:rFonts w:ascii="Times New Roman" w:eastAsia="Times New Roman"/>
          <w:position w:val="6"/>
          <w:sz w:val="12"/>
        </w:rPr>
        <w:t>5   </w:t>
      </w:r>
      <w:r>
        <w:rPr>
          <w:rFonts w:ascii="微软雅黑" w:eastAsia="微软雅黑" w:hint="eastAsia"/>
          <w:b/>
        </w:rPr>
        <w:t>管制药品</w:t>
      </w:r>
      <w:r>
        <w:rPr/>
        <w:t>指根据《中华人民共和国药品管理法》及有关法规被列为特殊管理的药品，包括麻醉药品、精神药品、医疗用毒</w:t>
      </w:r>
    </w:p>
    <w:p>
      <w:pPr>
        <w:pStyle w:val="BodyText"/>
        <w:spacing w:line="195" w:lineRule="exact"/>
        <w:ind w:left="192"/>
      </w:pPr>
      <w:r>
        <w:rPr/>
        <w:t>性药品及放射性药品。</w:t>
      </w:r>
    </w:p>
    <w:p>
      <w:pPr>
        <w:pStyle w:val="BodyText"/>
        <w:spacing w:line="244" w:lineRule="exact"/>
        <w:ind w:left="192"/>
      </w:pPr>
      <w:r>
        <w:rPr>
          <w:rFonts w:ascii="Times New Roman" w:eastAsia="Times New Roman"/>
          <w:position w:val="6"/>
          <w:sz w:val="12"/>
        </w:rPr>
        <w:t>6   </w:t>
      </w:r>
      <w:r>
        <w:rPr>
          <w:rFonts w:ascii="微软雅黑" w:eastAsia="微软雅黑" w:hint="eastAsia"/>
          <w:b/>
        </w:rPr>
        <w:t>酒后驾驶</w:t>
      </w:r>
      <w:r>
        <w:rPr/>
        <w:t>指经检测或鉴定，发生保险事故时车辆驾驶人员每百毫升血液中的酒精含量达到或超过道路交通法规规定的标准。</w:t>
      </w:r>
    </w:p>
    <w:p>
      <w:pPr>
        <w:spacing w:line="261" w:lineRule="exact" w:before="0"/>
        <w:ind w:left="192" w:right="0" w:firstLine="0"/>
        <w:jc w:val="left"/>
        <w:rPr>
          <w:sz w:val="18"/>
        </w:rPr>
      </w:pPr>
      <w:r>
        <w:rPr>
          <w:rFonts w:ascii="Times New Roman" w:eastAsia="Times New Roman"/>
          <w:position w:val="6"/>
          <w:sz w:val="12"/>
        </w:rPr>
        <w:t>7   </w:t>
      </w:r>
      <w:r>
        <w:rPr>
          <w:rFonts w:ascii="微软雅黑" w:eastAsia="微软雅黑" w:hint="eastAsia"/>
          <w:b/>
          <w:sz w:val="18"/>
        </w:rPr>
        <w:t>无合法有效驾驶证驾驶</w:t>
      </w:r>
      <w:r>
        <w:rPr>
          <w:sz w:val="18"/>
        </w:rPr>
        <w:t>指下列情形之一：</w:t>
      </w:r>
    </w:p>
    <w:p>
      <w:pPr>
        <w:pStyle w:val="BodyText"/>
        <w:spacing w:line="230" w:lineRule="exact"/>
        <w:ind w:left="192"/>
      </w:pPr>
      <w:r>
        <w:rPr/>
        <w:t>（</w:t>
      </w:r>
      <w:r>
        <w:rPr>
          <w:rFonts w:ascii="Times New Roman" w:eastAsia="Times New Roman"/>
        </w:rPr>
        <w:t>1</w:t>
      </w:r>
      <w:r>
        <w:rPr/>
        <w:t>）没有驾驶证驾驶；</w:t>
      </w:r>
    </w:p>
    <w:p>
      <w:pPr>
        <w:pStyle w:val="BodyText"/>
        <w:spacing w:line="233" w:lineRule="exact"/>
        <w:ind w:left="192"/>
      </w:pPr>
      <w:r>
        <w:rPr/>
        <w:t>（</w:t>
      </w:r>
      <w:r>
        <w:rPr>
          <w:rFonts w:ascii="Times New Roman" w:eastAsia="Times New Roman"/>
        </w:rPr>
        <w:t>2</w:t>
      </w:r>
      <w:r>
        <w:rPr/>
        <w:t>）驾驶与驾驶证准驾车型不相符合的车辆；</w:t>
      </w:r>
    </w:p>
    <w:p>
      <w:pPr>
        <w:pStyle w:val="BodyText"/>
        <w:spacing w:line="233" w:lineRule="exact"/>
        <w:ind w:left="192"/>
      </w:pPr>
      <w:r>
        <w:rPr/>
        <w:t>（</w:t>
      </w:r>
      <w:r>
        <w:rPr>
          <w:rFonts w:ascii="Times New Roman" w:eastAsia="Times New Roman"/>
        </w:rPr>
        <w:t>3</w:t>
      </w:r>
      <w:r>
        <w:rPr/>
        <w:t>）驾驶员持审验不合格的驾驶证驾驶；</w:t>
      </w:r>
    </w:p>
    <w:p>
      <w:pPr>
        <w:pStyle w:val="BodyText"/>
        <w:spacing w:line="234" w:lineRule="exact"/>
        <w:ind w:left="192"/>
      </w:pPr>
      <w:r>
        <w:rPr/>
        <w:t>（</w:t>
      </w:r>
      <w:r>
        <w:rPr>
          <w:rFonts w:ascii="Times New Roman" w:eastAsia="Times New Roman"/>
        </w:rPr>
        <w:t>4</w:t>
      </w:r>
      <w:r>
        <w:rPr/>
        <w:t>）未经公安交通管理部门同意，持未审验的驾驶证驾驶；</w:t>
      </w:r>
    </w:p>
    <w:p>
      <w:pPr>
        <w:pStyle w:val="BodyText"/>
        <w:spacing w:line="234" w:lineRule="exact"/>
        <w:ind w:left="192"/>
      </w:pPr>
      <w:r>
        <w:rPr/>
        <w:t>（</w:t>
      </w:r>
      <w:r>
        <w:rPr>
          <w:rFonts w:ascii="Times New Roman" w:eastAsia="Times New Roman"/>
        </w:rPr>
        <w:t>5</w:t>
      </w:r>
      <w:r>
        <w:rPr/>
        <w:t>）持学习驾驶证学习驾车时，无教练员随车指导，或不按指定时间、路线学习驾车；</w:t>
      </w:r>
    </w:p>
    <w:p>
      <w:pPr>
        <w:pStyle w:val="BodyText"/>
        <w:spacing w:line="233" w:lineRule="exact"/>
        <w:ind w:left="192"/>
      </w:pPr>
      <w:r>
        <w:rPr/>
        <w:t>（</w:t>
      </w:r>
      <w:r>
        <w:rPr>
          <w:rFonts w:ascii="Times New Roman" w:eastAsia="Times New Roman"/>
        </w:rPr>
        <w:t>6</w:t>
      </w:r>
      <w:r>
        <w:rPr/>
        <w:t>）公安交通管理部门规定的其他无有效驾驶证驾驶的情况；</w:t>
      </w:r>
    </w:p>
    <w:p>
      <w:pPr>
        <w:pStyle w:val="BodyText"/>
        <w:spacing w:line="207" w:lineRule="exact"/>
        <w:ind w:left="192"/>
      </w:pPr>
      <w:r>
        <w:rPr/>
        <w:t>（</w:t>
      </w:r>
      <w:r>
        <w:rPr>
          <w:rFonts w:ascii="Times New Roman" w:hAnsi="Times New Roman" w:eastAsia="Times New Roman"/>
        </w:rPr>
        <w:t>7</w:t>
      </w:r>
      <w:r>
        <w:rPr/>
        <w:t>）两轮、三轮、四轮等各类电动车相关事故是否属于“无合法有效驾驶证驾驶”的情形以当地公安交警部门认定为准。</w:t>
      </w:r>
    </w:p>
    <w:p>
      <w:pPr>
        <w:spacing w:line="265" w:lineRule="exact" w:before="0"/>
        <w:ind w:left="192" w:right="0" w:firstLine="0"/>
        <w:jc w:val="left"/>
        <w:rPr>
          <w:sz w:val="18"/>
        </w:rPr>
      </w:pPr>
      <w:r>
        <w:rPr>
          <w:rFonts w:ascii="Times New Roman" w:eastAsia="Times New Roman"/>
          <w:position w:val="6"/>
          <w:sz w:val="12"/>
        </w:rPr>
        <w:t>8   </w:t>
      </w:r>
      <w:r>
        <w:rPr>
          <w:rFonts w:ascii="微软雅黑" w:eastAsia="微软雅黑" w:hint="eastAsia"/>
          <w:b/>
          <w:sz w:val="18"/>
        </w:rPr>
        <w:t>无有效行驶证</w:t>
      </w:r>
      <w:r>
        <w:rPr>
          <w:sz w:val="18"/>
        </w:rPr>
        <w:t>指下列情形之一：</w:t>
      </w:r>
    </w:p>
    <w:p>
      <w:pPr>
        <w:pStyle w:val="BodyText"/>
        <w:spacing w:line="229" w:lineRule="exact"/>
        <w:ind w:left="192"/>
      </w:pPr>
      <w:r>
        <w:rPr/>
        <w:t>（</w:t>
      </w:r>
      <w:r>
        <w:rPr>
          <w:rFonts w:ascii="Times New Roman" w:eastAsia="Times New Roman"/>
        </w:rPr>
        <w:t>1</w:t>
      </w:r>
      <w:r>
        <w:rPr/>
        <w:t>）没有机动车行驶证；</w:t>
      </w:r>
    </w:p>
    <w:p>
      <w:pPr>
        <w:pStyle w:val="BodyText"/>
        <w:spacing w:line="233" w:lineRule="exact"/>
        <w:ind w:left="192"/>
      </w:pPr>
      <w:r>
        <w:rPr/>
        <w:t>（</w:t>
      </w:r>
      <w:r>
        <w:rPr>
          <w:rFonts w:ascii="Times New Roman" w:eastAsia="Times New Roman"/>
        </w:rPr>
        <w:t>2</w:t>
      </w:r>
      <w:r>
        <w:rPr/>
        <w:t>）未在法律规定期限内按时进行或通过安全技术检验。</w:t>
      </w:r>
    </w:p>
    <w:p>
      <w:pPr>
        <w:pStyle w:val="BodyText"/>
        <w:spacing w:line="208" w:lineRule="exact"/>
        <w:ind w:left="192"/>
      </w:pPr>
      <w:r>
        <w:rPr/>
        <w:t>（</w:t>
      </w:r>
      <w:r>
        <w:rPr>
          <w:rFonts w:ascii="Times New Roman" w:eastAsia="Times New Roman"/>
        </w:rPr>
        <w:t>3</w:t>
      </w:r>
      <w:r>
        <w:rPr/>
        <w:t>）两轮、三轮、四轮等各类电动车属性分类以当地交警部门认定为准。</w:t>
      </w:r>
    </w:p>
    <w:p>
      <w:pPr>
        <w:pStyle w:val="BodyText"/>
        <w:spacing w:line="216" w:lineRule="auto"/>
        <w:ind w:left="192" w:right="331"/>
      </w:pPr>
      <w:r>
        <w:rPr>
          <w:rFonts w:ascii="Times New Roman" w:hAnsi="Times New Roman" w:eastAsia="Times New Roman"/>
          <w:position w:val="6"/>
          <w:sz w:val="12"/>
        </w:rPr>
        <w:t>9 </w:t>
      </w:r>
      <w:r>
        <w:rPr>
          <w:rFonts w:ascii="微软雅黑" w:hAnsi="微软雅黑" w:eastAsia="微软雅黑" w:hint="eastAsia"/>
          <w:b/>
        </w:rPr>
        <w:t>机动车</w:t>
      </w:r>
      <w:r>
        <w:rPr/>
        <w:t>指以动力装置驱动或者牵引，供人员乘用或者用于运送物品以及进行工程专项作业的轮式车辆。（两轮、三轮、四轮等各类电动车相关事故是否属于“无合法有效驾驶证驾驶”的情形以当地公安交警部门认定为准。）</w:t>
      </w:r>
    </w:p>
    <w:p>
      <w:pPr>
        <w:spacing w:line="242" w:lineRule="exact" w:before="2"/>
        <w:ind w:left="192" w:right="0" w:firstLine="0"/>
        <w:jc w:val="left"/>
        <w:rPr>
          <w:sz w:val="18"/>
        </w:rPr>
      </w:pPr>
      <w:r>
        <w:rPr>
          <w:rFonts w:ascii="Times New Roman" w:eastAsia="Times New Roman"/>
          <w:position w:val="6"/>
          <w:sz w:val="12"/>
        </w:rPr>
        <w:t>10   </w:t>
      </w:r>
      <w:r>
        <w:rPr>
          <w:rFonts w:ascii="微软雅黑" w:eastAsia="微软雅黑" w:hint="eastAsia"/>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w:t>
      </w:r>
    </w:p>
    <w:p>
      <w:pPr>
        <w:pStyle w:val="BodyText"/>
        <w:spacing w:line="230" w:lineRule="exact"/>
        <w:ind w:left="192"/>
      </w:pPr>
      <w:r>
        <w:rPr/>
        <w:t>得性免疫缺陷综合症，英文缩写为 </w:t>
      </w:r>
      <w:r>
        <w:rPr>
          <w:rFonts w:ascii="Times New Roman" w:eastAsia="Times New Roman"/>
        </w:rPr>
        <w:t>AIDS</w:t>
      </w:r>
      <w:r>
        <w:rPr/>
        <w:t>。</w:t>
      </w:r>
    </w:p>
    <w:p>
      <w:pPr>
        <w:pStyle w:val="BodyText"/>
        <w:spacing w:line="237" w:lineRule="auto"/>
        <w:ind w:left="192" w:right="255"/>
      </w:pPr>
      <w:r>
        <w:rPr/>
        <w:t>在人体血液或其他样本中检测到艾滋病病毒或其抗体呈阳性，没有出现临床症状或体征的，为感染艾滋病病毒；如果同时出现了明显临床症状或体征的，为患艾滋病。</w:t>
      </w:r>
    </w:p>
    <w:p>
      <w:pPr>
        <w:pStyle w:val="BodyText"/>
        <w:spacing w:line="242" w:lineRule="exact" w:before="4"/>
        <w:ind w:left="192"/>
      </w:pPr>
      <w:r>
        <w:rPr>
          <w:rFonts w:ascii="Times New Roman" w:eastAsia="Times New Roman"/>
          <w:position w:val="6"/>
          <w:sz w:val="12"/>
        </w:rPr>
        <w:t>11   </w:t>
      </w:r>
      <w:r>
        <w:rPr>
          <w:rFonts w:ascii="微软雅黑" w:eastAsia="微软雅黑" w:hint="eastAsia"/>
          <w:b/>
        </w:rPr>
        <w:t>遗传性疾病</w:t>
      </w:r>
      <w:r>
        <w:rPr/>
        <w:t>指生殖细胞或受精卵的遗传物质（染色体和基因）发生突变或畸变所引起的疾病， 通常具有由亲代传至后代</w:t>
      </w:r>
    </w:p>
    <w:p>
      <w:pPr>
        <w:pStyle w:val="BodyText"/>
        <w:spacing w:line="196" w:lineRule="exact"/>
        <w:ind w:left="192"/>
      </w:pPr>
      <w:r>
        <w:rPr/>
        <w:t>的垂直传递的特征。</w:t>
      </w:r>
    </w:p>
    <w:p>
      <w:pPr>
        <w:pStyle w:val="BodyText"/>
        <w:spacing w:line="216" w:lineRule="auto" w:before="4"/>
        <w:ind w:left="192" w:right="392"/>
      </w:pPr>
      <w:r>
        <w:rPr>
          <w:rFonts w:ascii="Times New Roman" w:eastAsia="Times New Roman"/>
          <w:position w:val="6"/>
          <w:sz w:val="12"/>
        </w:rPr>
        <w:t>12 </w:t>
      </w:r>
      <w:r>
        <w:rPr>
          <w:rFonts w:ascii="微软雅黑" w:eastAsia="微软雅黑" w:hint="eastAsia"/>
          <w:b/>
        </w:rPr>
        <w:t>先天性畸形、变形或染色体异常</w:t>
      </w: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216" w:lineRule="auto"/>
        <w:sectPr>
          <w:pgSz w:w="11910" w:h="16840"/>
          <w:pgMar w:header="567" w:footer="664" w:top="1000" w:bottom="860" w:left="940" w:right="800"/>
        </w:sectPr>
      </w:pPr>
    </w:p>
    <w:p>
      <w:pPr>
        <w:pStyle w:val="BodyText"/>
        <w:rPr>
          <w:sz w:val="20"/>
        </w:rPr>
      </w:pPr>
    </w:p>
    <w:p>
      <w:pPr>
        <w:pStyle w:val="BodyText"/>
        <w:spacing w:before="4"/>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2102"/>
        <w:gridCol w:w="7096"/>
      </w:tblGrid>
      <w:tr>
        <w:trPr>
          <w:trHeight w:val="721" w:hRule="atLeast"/>
        </w:trPr>
        <w:tc>
          <w:tcPr>
            <w:tcW w:w="774" w:type="dxa"/>
          </w:tcPr>
          <w:p>
            <w:pPr>
              <w:pStyle w:val="TableParagraph"/>
              <w:spacing w:line="242" w:lineRule="exact"/>
              <w:ind w:left="98"/>
              <w:rPr>
                <w:rFonts w:ascii="微软雅黑"/>
                <w:b/>
                <w:sz w:val="21"/>
              </w:rPr>
            </w:pPr>
            <w:r>
              <w:rPr>
                <w:rFonts w:ascii="微软雅黑"/>
                <w:b/>
                <w:sz w:val="21"/>
              </w:rPr>
              <w:t>2.2</w:t>
            </w:r>
          </w:p>
        </w:tc>
        <w:tc>
          <w:tcPr>
            <w:tcW w:w="2102" w:type="dxa"/>
          </w:tcPr>
          <w:p>
            <w:pPr>
              <w:pStyle w:val="TableParagraph"/>
              <w:spacing w:line="242" w:lineRule="exact"/>
              <w:ind w:left="359"/>
              <w:rPr>
                <w:rFonts w:ascii="微软雅黑" w:eastAsia="微软雅黑" w:hint="eastAsia"/>
                <w:b/>
                <w:sz w:val="21"/>
              </w:rPr>
            </w:pPr>
            <w:r>
              <w:rPr>
                <w:rFonts w:ascii="微软雅黑" w:eastAsia="微软雅黑" w:hint="eastAsia"/>
                <w:b/>
                <w:sz w:val="21"/>
              </w:rPr>
              <w:t>其他免责条款</w:t>
            </w:r>
          </w:p>
        </w:tc>
        <w:tc>
          <w:tcPr>
            <w:tcW w:w="7096" w:type="dxa"/>
          </w:tcPr>
          <w:p>
            <w:pPr>
              <w:pStyle w:val="TableParagraph"/>
              <w:spacing w:line="210" w:lineRule="exact"/>
              <w:ind w:left="264"/>
              <w:rPr>
                <w:rFonts w:ascii="Microsoft JhengHei" w:hAnsi="Microsoft JhengHei" w:eastAsia="Microsoft JhengHei" w:hint="eastAsia"/>
                <w:b/>
                <w:sz w:val="22"/>
              </w:rPr>
            </w:pPr>
            <w:r>
              <w:rPr>
                <w:rFonts w:ascii="Microsoft JhengHei" w:hAnsi="Microsoft JhengHei" w:eastAsia="Microsoft JhengHei" w:hint="eastAsia"/>
                <w:b/>
                <w:spacing w:val="-7"/>
                <w:w w:val="100"/>
                <w:sz w:val="22"/>
                <w:shd w:fill="D9D9D9" w:color="auto" w:val="clear"/>
              </w:rPr>
              <w:t>除以上“</w:t>
            </w:r>
            <w:r>
              <w:rPr>
                <w:rFonts w:ascii="Microsoft JhengHei" w:hAnsi="Microsoft JhengHei" w:eastAsia="Microsoft JhengHei" w:hint="eastAsia"/>
                <w:b/>
                <w:spacing w:val="1"/>
                <w:w w:val="84"/>
                <w:sz w:val="22"/>
                <w:shd w:fill="D9D9D9" w:color="auto" w:val="clear"/>
              </w:rPr>
              <w:t>2</w:t>
            </w:r>
            <w:r>
              <w:rPr>
                <w:rFonts w:ascii="Microsoft JhengHei" w:hAnsi="Microsoft JhengHei" w:eastAsia="Microsoft JhengHei" w:hint="eastAsia"/>
                <w:b/>
                <w:w w:val="197"/>
                <w:sz w:val="22"/>
                <w:shd w:fill="D9D9D9" w:color="auto" w:val="clear"/>
              </w:rPr>
              <w:t>.</w:t>
            </w:r>
            <w:r>
              <w:rPr>
                <w:rFonts w:ascii="Microsoft JhengHei" w:hAnsi="Microsoft JhengHei" w:eastAsia="Microsoft JhengHei" w:hint="eastAsia"/>
                <w:b/>
                <w:w w:val="84"/>
                <w:sz w:val="22"/>
                <w:shd w:fill="D9D9D9" w:color="auto" w:val="clear"/>
              </w:rPr>
              <w:t>1</w:t>
            </w:r>
            <w:r>
              <w:rPr>
                <w:rFonts w:ascii="Microsoft JhengHei" w:hAnsi="Microsoft JhengHei" w:eastAsia="Microsoft JhengHei" w:hint="eastAsia"/>
                <w:b/>
                <w:sz w:val="22"/>
                <w:shd w:fill="D9D9D9" w:color="auto" w:val="clear"/>
              </w:rPr>
              <w:t> </w:t>
            </w:r>
            <w:r>
              <w:rPr>
                <w:rFonts w:ascii="Microsoft JhengHei" w:hAnsi="Microsoft JhengHei" w:eastAsia="Microsoft JhengHei" w:hint="eastAsia"/>
                <w:b/>
                <w:spacing w:val="-7"/>
                <w:w w:val="100"/>
                <w:sz w:val="22"/>
                <w:shd w:fill="D9D9D9" w:color="auto" w:val="clear"/>
              </w:rPr>
              <w:t>责任免除”外，本合同中还有其他免除百年人寿责任的条</w:t>
            </w:r>
          </w:p>
          <w:p>
            <w:pPr>
              <w:pStyle w:val="TableParagraph"/>
              <w:spacing w:line="348" w:lineRule="exact"/>
              <w:ind w:left="264"/>
              <w:rPr>
                <w:rFonts w:ascii="Microsoft JhengHei" w:eastAsia="Microsoft JhengHei" w:hint="eastAsia"/>
                <w:b/>
                <w:sz w:val="22"/>
              </w:rPr>
            </w:pPr>
            <w:r>
              <w:rPr>
                <w:rFonts w:ascii="Microsoft JhengHei" w:eastAsia="Microsoft JhengHei" w:hint="eastAsia"/>
                <w:b/>
                <w:sz w:val="22"/>
                <w:shd w:fill="D9D9D9" w:color="auto" w:val="clear"/>
              </w:rPr>
              <w:t>款，详见背景突出显示的内容。</w:t>
            </w:r>
          </w:p>
        </w:tc>
      </w:tr>
      <w:tr>
        <w:trPr>
          <w:trHeight w:val="630" w:hRule="atLeast"/>
        </w:trPr>
        <w:tc>
          <w:tcPr>
            <w:tcW w:w="774" w:type="dxa"/>
          </w:tcPr>
          <w:p>
            <w:pPr>
              <w:pStyle w:val="TableParagraph"/>
              <w:spacing w:before="39"/>
              <w:ind w:left="98"/>
              <w:rPr>
                <w:rFonts w:ascii="微软雅黑" w:hAnsi="微软雅黑"/>
                <w:b/>
                <w:sz w:val="28"/>
              </w:rPr>
            </w:pPr>
            <w:r>
              <w:rPr>
                <w:rFonts w:ascii="微软雅黑" w:hAnsi="微软雅黑"/>
                <w:b/>
                <w:w w:val="100"/>
                <w:sz w:val="28"/>
              </w:rPr>
              <w:t>⒊</w:t>
            </w:r>
          </w:p>
        </w:tc>
        <w:tc>
          <w:tcPr>
            <w:tcW w:w="2102" w:type="dxa"/>
          </w:tcPr>
          <w:p>
            <w:pPr>
              <w:pStyle w:val="TableParagraph"/>
              <w:spacing w:before="43"/>
              <w:ind w:left="359"/>
              <w:rPr>
                <w:rFonts w:ascii="微软雅黑" w:eastAsia="微软雅黑" w:hint="eastAsia"/>
                <w:b/>
                <w:sz w:val="24"/>
              </w:rPr>
            </w:pPr>
            <w:r>
              <w:rPr>
                <w:rFonts w:ascii="微软雅黑" w:eastAsia="微软雅黑" w:hint="eastAsia"/>
                <w:b/>
                <w:sz w:val="24"/>
              </w:rPr>
              <w:t>如何支付保险费</w:t>
            </w:r>
          </w:p>
        </w:tc>
        <w:tc>
          <w:tcPr>
            <w:tcW w:w="7096" w:type="dxa"/>
          </w:tcPr>
          <w:p>
            <w:pPr>
              <w:pStyle w:val="TableParagraph"/>
              <w:rPr>
                <w:rFonts w:ascii="Times New Roman"/>
                <w:sz w:val="20"/>
              </w:rPr>
            </w:pPr>
          </w:p>
        </w:tc>
      </w:tr>
      <w:tr>
        <w:trPr>
          <w:trHeight w:val="518" w:hRule="atLeast"/>
        </w:trPr>
        <w:tc>
          <w:tcPr>
            <w:tcW w:w="9972" w:type="dxa"/>
            <w:gridSpan w:val="3"/>
            <w:tcBorders>
              <w:bottom w:val="single" w:sz="8" w:space="0" w:color="000000"/>
            </w:tcBorders>
          </w:tcPr>
          <w:p>
            <w:pPr>
              <w:pStyle w:val="TableParagraph"/>
              <w:spacing w:before="15"/>
              <w:ind w:left="1133"/>
              <w:rPr>
                <w:rFonts w:ascii="微软雅黑" w:eastAsia="微软雅黑" w:hint="eastAsia"/>
                <w:b/>
                <w:sz w:val="21"/>
              </w:rPr>
            </w:pPr>
            <w:r>
              <w:rPr>
                <w:rFonts w:ascii="微软雅黑" w:eastAsia="微软雅黑" w:hint="eastAsia"/>
                <w:b/>
                <w:sz w:val="21"/>
              </w:rPr>
              <w:t>这部分描述的是您应当按照约定支付保险费，如果未按期交费可能会导致合同效力中止。</w:t>
            </w:r>
          </w:p>
        </w:tc>
      </w:tr>
      <w:tr>
        <w:trPr>
          <w:trHeight w:val="1183" w:hRule="atLeast"/>
        </w:trPr>
        <w:tc>
          <w:tcPr>
            <w:tcW w:w="774" w:type="dxa"/>
            <w:tcBorders>
              <w:top w:val="single" w:sz="8" w:space="0" w:color="000000"/>
            </w:tcBorders>
          </w:tcPr>
          <w:p>
            <w:pPr>
              <w:pStyle w:val="TableParagraph"/>
              <w:spacing w:before="86"/>
              <w:ind w:left="98"/>
              <w:rPr>
                <w:rFonts w:ascii="微软雅黑"/>
                <w:b/>
                <w:sz w:val="21"/>
              </w:rPr>
            </w:pPr>
            <w:r>
              <w:rPr>
                <w:rFonts w:ascii="微软雅黑"/>
                <w:b/>
                <w:sz w:val="21"/>
              </w:rPr>
              <w:t>3.1</w:t>
            </w:r>
          </w:p>
        </w:tc>
        <w:tc>
          <w:tcPr>
            <w:tcW w:w="2102" w:type="dxa"/>
            <w:tcBorders>
              <w:top w:val="single" w:sz="8" w:space="0" w:color="000000"/>
            </w:tcBorders>
          </w:tcPr>
          <w:p>
            <w:pPr>
              <w:pStyle w:val="TableParagraph"/>
              <w:spacing w:before="86"/>
              <w:ind w:left="359"/>
              <w:rPr>
                <w:rFonts w:ascii="微软雅黑" w:eastAsia="微软雅黑" w:hint="eastAsia"/>
                <w:b/>
                <w:sz w:val="21"/>
              </w:rPr>
            </w:pPr>
            <w:r>
              <w:rPr>
                <w:rFonts w:ascii="微软雅黑" w:eastAsia="微软雅黑" w:hint="eastAsia"/>
                <w:b/>
                <w:sz w:val="21"/>
              </w:rPr>
              <w:t>保险费的交纳</w:t>
            </w:r>
          </w:p>
        </w:tc>
        <w:tc>
          <w:tcPr>
            <w:tcW w:w="7096" w:type="dxa"/>
            <w:tcBorders>
              <w:top w:val="single" w:sz="8" w:space="0" w:color="000000"/>
            </w:tcBorders>
          </w:tcPr>
          <w:p>
            <w:pPr>
              <w:pStyle w:val="TableParagraph"/>
              <w:spacing w:line="213" w:lineRule="auto" w:before="179"/>
              <w:ind w:left="264" w:right="108"/>
              <w:rPr>
                <w:sz w:val="21"/>
              </w:rPr>
            </w:pPr>
            <w:r>
              <w:rPr>
                <w:spacing w:val="-3"/>
                <w:sz w:val="21"/>
              </w:rPr>
              <w:t>本合同的交费频次和交费期间由您和百年人寿约定并在保险单上载明。 分期支付保险费的，在交纳首期保险费后，您应当按照约定，在每个</w:t>
            </w:r>
            <w:r>
              <w:rPr>
                <w:rFonts w:ascii="微软雅黑" w:eastAsia="微软雅黑" w:hint="eastAsia"/>
                <w:b/>
                <w:sz w:val="21"/>
              </w:rPr>
              <w:t>保险</w:t>
            </w:r>
            <w:r>
              <w:rPr>
                <w:rFonts w:ascii="微软雅黑" w:eastAsia="微软雅黑" w:hint="eastAsia"/>
                <w:b/>
                <w:spacing w:val="-1"/>
                <w:w w:val="95"/>
                <w:sz w:val="21"/>
              </w:rPr>
              <w:t>费约定交纳日</w:t>
            </w:r>
            <w:r>
              <w:rPr>
                <w:rFonts w:ascii="微软雅黑" w:eastAsia="微软雅黑" w:hint="eastAsia"/>
                <w:b/>
                <w:w w:val="95"/>
                <w:position w:val="11"/>
                <w:sz w:val="11"/>
              </w:rPr>
              <w:t>13</w:t>
            </w:r>
            <w:r>
              <w:rPr>
                <w:spacing w:val="-3"/>
                <w:w w:val="95"/>
                <w:sz w:val="21"/>
              </w:rPr>
              <w:t>交纳其余各期的保险费。</w:t>
            </w:r>
          </w:p>
        </w:tc>
      </w:tr>
      <w:tr>
        <w:trPr>
          <w:trHeight w:val="1729" w:hRule="atLeast"/>
        </w:trPr>
        <w:tc>
          <w:tcPr>
            <w:tcW w:w="774" w:type="dxa"/>
          </w:tcPr>
          <w:p>
            <w:pPr>
              <w:pStyle w:val="TableParagraph"/>
              <w:spacing w:before="9"/>
              <w:ind w:left="98"/>
              <w:rPr>
                <w:rFonts w:ascii="微软雅黑"/>
                <w:b/>
                <w:sz w:val="21"/>
              </w:rPr>
            </w:pPr>
            <w:r>
              <w:rPr>
                <w:rFonts w:ascii="微软雅黑"/>
                <w:b/>
                <w:sz w:val="21"/>
              </w:rPr>
              <w:t>3.2</w:t>
            </w:r>
          </w:p>
        </w:tc>
        <w:tc>
          <w:tcPr>
            <w:tcW w:w="2102" w:type="dxa"/>
          </w:tcPr>
          <w:p>
            <w:pPr>
              <w:pStyle w:val="TableParagraph"/>
              <w:spacing w:before="9"/>
              <w:ind w:left="359"/>
              <w:rPr>
                <w:rFonts w:ascii="微软雅黑" w:eastAsia="微软雅黑" w:hint="eastAsia"/>
                <w:b/>
                <w:sz w:val="21"/>
              </w:rPr>
            </w:pPr>
            <w:r>
              <w:rPr>
                <w:rFonts w:ascii="微软雅黑" w:eastAsia="微软雅黑" w:hint="eastAsia"/>
                <w:b/>
                <w:sz w:val="21"/>
              </w:rPr>
              <w:t>宽限期</w:t>
            </w:r>
          </w:p>
        </w:tc>
        <w:tc>
          <w:tcPr>
            <w:tcW w:w="7096" w:type="dxa"/>
          </w:tcPr>
          <w:p>
            <w:pPr>
              <w:pStyle w:val="TableParagraph"/>
              <w:spacing w:before="72"/>
              <w:ind w:left="264"/>
              <w:rPr>
                <w:sz w:val="21"/>
              </w:rPr>
            </w:pPr>
            <w:r>
              <w:rPr>
                <w:sz w:val="21"/>
              </w:rPr>
              <w:t>您交纳首期保险费后，如果您以后到期未交纳保险费，自保险费应交日起</w:t>
            </w:r>
          </w:p>
          <w:p>
            <w:pPr>
              <w:pStyle w:val="TableParagraph"/>
              <w:spacing w:line="273" w:lineRule="auto" w:before="37"/>
              <w:ind w:left="264"/>
              <w:rPr>
                <w:sz w:val="21"/>
              </w:rPr>
            </w:pPr>
            <w:r>
              <w:rPr>
                <w:sz w:val="21"/>
              </w:rPr>
              <w:t>60</w:t>
            </w:r>
            <w:r>
              <w:rPr>
                <w:spacing w:val="-12"/>
                <w:sz w:val="21"/>
              </w:rPr>
              <w:t>日内为宽限期。宽限期内发生的保险事故，百年人寿仍会承担保险责任， </w:t>
            </w:r>
            <w:r>
              <w:rPr>
                <w:spacing w:val="-6"/>
                <w:sz w:val="21"/>
              </w:rPr>
              <w:t>但在给付保险金时会扣除您欠交的保险费。</w:t>
            </w:r>
          </w:p>
          <w:p>
            <w:pPr>
              <w:pStyle w:val="TableParagraph"/>
              <w:spacing w:line="273" w:lineRule="auto" w:before="8"/>
              <w:ind w:left="264" w:right="103"/>
              <w:rPr>
                <w:sz w:val="21"/>
              </w:rPr>
            </w:pPr>
            <w:r>
              <w:rPr>
                <w:sz w:val="21"/>
              </w:rPr>
              <w:t>如果您在宽限期结束之后仍未交纳当期保险费，则本合同自宽限期满的次日零时起效力中止，但本合同另有约定的除外。</w:t>
            </w:r>
          </w:p>
        </w:tc>
      </w:tr>
      <w:tr>
        <w:trPr>
          <w:trHeight w:val="2720" w:hRule="atLeast"/>
        </w:trPr>
        <w:tc>
          <w:tcPr>
            <w:tcW w:w="774" w:type="dxa"/>
          </w:tcPr>
          <w:p>
            <w:pPr>
              <w:pStyle w:val="TableParagraph"/>
              <w:spacing w:before="8"/>
              <w:ind w:left="98"/>
              <w:rPr>
                <w:rFonts w:ascii="微软雅黑"/>
                <w:b/>
                <w:sz w:val="21"/>
              </w:rPr>
            </w:pPr>
            <w:r>
              <w:rPr>
                <w:rFonts w:ascii="微软雅黑"/>
                <w:b/>
                <w:sz w:val="21"/>
              </w:rPr>
              <w:t>3.3</w:t>
            </w:r>
          </w:p>
        </w:tc>
        <w:tc>
          <w:tcPr>
            <w:tcW w:w="2102" w:type="dxa"/>
          </w:tcPr>
          <w:p>
            <w:pPr>
              <w:pStyle w:val="TableParagraph"/>
              <w:spacing w:before="8"/>
              <w:ind w:left="359"/>
              <w:rPr>
                <w:rFonts w:ascii="微软雅黑" w:eastAsia="微软雅黑" w:hint="eastAsia"/>
                <w:b/>
                <w:sz w:val="21"/>
              </w:rPr>
            </w:pPr>
            <w:r>
              <w:rPr>
                <w:rFonts w:ascii="微软雅黑" w:eastAsia="微软雅黑" w:hint="eastAsia"/>
                <w:b/>
                <w:sz w:val="21"/>
              </w:rPr>
              <w:t>效力中止与恢复</w:t>
            </w:r>
          </w:p>
        </w:tc>
        <w:tc>
          <w:tcPr>
            <w:tcW w:w="7096" w:type="dxa"/>
          </w:tcPr>
          <w:p>
            <w:pPr>
              <w:pStyle w:val="TableParagraph"/>
              <w:spacing w:before="70"/>
              <w:ind w:left="264"/>
              <w:rPr>
                <w:sz w:val="21"/>
              </w:rPr>
            </w:pPr>
            <w:r>
              <w:rPr>
                <w:sz w:val="21"/>
              </w:rPr>
              <w:t>在本合同效力中止期间，百年人寿不承担保险责任。</w:t>
            </w:r>
          </w:p>
          <w:p>
            <w:pPr>
              <w:pStyle w:val="TableParagraph"/>
              <w:spacing w:line="273" w:lineRule="auto" w:before="36"/>
              <w:ind w:left="264"/>
              <w:rPr>
                <w:sz w:val="21"/>
              </w:rPr>
            </w:pPr>
            <w:r>
              <w:rPr>
                <w:spacing w:val="-3"/>
                <w:sz w:val="21"/>
              </w:rPr>
              <w:t>本合同效力中止后2</w:t>
            </w:r>
            <w:r>
              <w:rPr>
                <w:spacing w:val="-17"/>
                <w:sz w:val="21"/>
              </w:rPr>
              <w:t>年内，您可以申请恢复合同效力。您应填写复效申请书， </w:t>
            </w:r>
            <w:r>
              <w:rPr>
                <w:spacing w:val="-7"/>
                <w:sz w:val="21"/>
              </w:rPr>
              <w:t>百年人寿会要求您提供被保险人的健康声明书、体检报告书及其他相关证</w:t>
            </w:r>
            <w:r>
              <w:rPr>
                <w:spacing w:val="-5"/>
                <w:sz w:val="21"/>
              </w:rPr>
              <w:t>明文件，百年人寿会对材料进行审核，做出是否同意复效的决定。</w:t>
            </w:r>
          </w:p>
          <w:p>
            <w:pPr>
              <w:pStyle w:val="TableParagraph"/>
              <w:spacing w:line="312" w:lineRule="exact" w:before="3"/>
              <w:ind w:left="264"/>
              <w:rPr>
                <w:sz w:val="21"/>
              </w:rPr>
            </w:pPr>
            <w:r>
              <w:rPr>
                <w:spacing w:val="-5"/>
                <w:sz w:val="21"/>
              </w:rPr>
              <w:t>经双方达成复效协议，自您补交保险费及利息</w:t>
            </w:r>
            <w:r>
              <w:rPr>
                <w:spacing w:val="-3"/>
                <w:sz w:val="21"/>
              </w:rPr>
              <w:t>（按</w:t>
            </w:r>
            <w:r>
              <w:rPr>
                <w:rFonts w:ascii="微软雅黑" w:eastAsia="微软雅黑" w:hint="eastAsia"/>
                <w:b/>
                <w:spacing w:val="-1"/>
                <w:sz w:val="21"/>
              </w:rPr>
              <w:t>本合同约定利率</w:t>
            </w:r>
            <w:r>
              <w:rPr>
                <w:rFonts w:ascii="微软雅黑" w:eastAsia="微软雅黑" w:hint="eastAsia"/>
                <w:b/>
                <w:position w:val="11"/>
                <w:sz w:val="11"/>
              </w:rPr>
              <w:t>14</w:t>
            </w:r>
            <w:r>
              <w:rPr>
                <w:spacing w:val="-2"/>
                <w:sz w:val="21"/>
              </w:rPr>
              <w:t>计算</w:t>
            </w:r>
            <w:r>
              <w:rPr>
                <w:sz w:val="21"/>
              </w:rPr>
              <w:t>） </w:t>
            </w:r>
            <w:r>
              <w:rPr>
                <w:spacing w:val="-3"/>
                <w:sz w:val="21"/>
              </w:rPr>
              <w:t>和其他未还款项的次日零时起，合同效力恢复。</w:t>
            </w:r>
          </w:p>
          <w:p>
            <w:pPr>
              <w:pStyle w:val="TableParagraph"/>
              <w:spacing w:line="273" w:lineRule="auto" w:before="4"/>
              <w:ind w:left="264"/>
              <w:rPr>
                <w:sz w:val="21"/>
              </w:rPr>
            </w:pPr>
            <w:r>
              <w:rPr>
                <w:spacing w:val="-6"/>
                <w:sz w:val="21"/>
              </w:rPr>
              <w:t>自本合同效力中止之日起满 </w:t>
            </w:r>
            <w:r>
              <w:rPr>
                <w:sz w:val="21"/>
              </w:rPr>
              <w:t>2</w:t>
            </w:r>
            <w:r>
              <w:rPr>
                <w:spacing w:val="-15"/>
                <w:sz w:val="21"/>
              </w:rPr>
              <w:t> 年双方未达成复效协议的，本合同效力终止， </w:t>
            </w:r>
            <w:r>
              <w:rPr>
                <w:spacing w:val="-3"/>
                <w:sz w:val="21"/>
              </w:rPr>
              <w:t>百年人寿向您退还本合同的现金价值。</w:t>
            </w:r>
          </w:p>
        </w:tc>
      </w:tr>
      <w:tr>
        <w:trPr>
          <w:trHeight w:val="635" w:hRule="atLeast"/>
        </w:trPr>
        <w:tc>
          <w:tcPr>
            <w:tcW w:w="774" w:type="dxa"/>
          </w:tcPr>
          <w:p>
            <w:pPr>
              <w:pStyle w:val="TableParagraph"/>
              <w:spacing w:before="44"/>
              <w:ind w:left="98"/>
              <w:rPr>
                <w:rFonts w:ascii="微软雅黑" w:hAnsi="微软雅黑"/>
                <w:b/>
                <w:sz w:val="28"/>
              </w:rPr>
            </w:pPr>
            <w:r>
              <w:rPr>
                <w:rFonts w:ascii="微软雅黑" w:hAnsi="微软雅黑"/>
                <w:b/>
                <w:w w:val="100"/>
                <w:sz w:val="28"/>
              </w:rPr>
              <w:t>⒋</w:t>
            </w:r>
          </w:p>
        </w:tc>
        <w:tc>
          <w:tcPr>
            <w:tcW w:w="2102" w:type="dxa"/>
          </w:tcPr>
          <w:p>
            <w:pPr>
              <w:pStyle w:val="TableParagraph"/>
              <w:spacing w:before="45"/>
              <w:ind w:left="359"/>
              <w:rPr>
                <w:rFonts w:ascii="微软雅黑" w:eastAsia="微软雅黑" w:hint="eastAsia"/>
                <w:b/>
                <w:sz w:val="24"/>
              </w:rPr>
            </w:pPr>
            <w:r>
              <w:rPr>
                <w:rFonts w:ascii="微软雅黑" w:eastAsia="微软雅黑" w:hint="eastAsia"/>
                <w:b/>
                <w:sz w:val="24"/>
              </w:rPr>
              <w:t>如何领取保险金</w:t>
            </w:r>
          </w:p>
        </w:tc>
        <w:tc>
          <w:tcPr>
            <w:tcW w:w="7096" w:type="dxa"/>
          </w:tcPr>
          <w:p>
            <w:pPr>
              <w:pStyle w:val="TableParagraph"/>
              <w:rPr>
                <w:rFonts w:ascii="Times New Roman"/>
                <w:sz w:val="20"/>
              </w:rPr>
            </w:pPr>
          </w:p>
        </w:tc>
      </w:tr>
      <w:tr>
        <w:trPr>
          <w:trHeight w:val="501" w:hRule="atLeast"/>
        </w:trPr>
        <w:tc>
          <w:tcPr>
            <w:tcW w:w="9972" w:type="dxa"/>
            <w:gridSpan w:val="3"/>
            <w:tcBorders>
              <w:bottom w:val="single" w:sz="8" w:space="0" w:color="000000"/>
            </w:tcBorders>
          </w:tcPr>
          <w:p>
            <w:pPr>
              <w:pStyle w:val="TableParagraph"/>
              <w:spacing w:before="15"/>
              <w:ind w:left="1133"/>
              <w:rPr>
                <w:rFonts w:ascii="微软雅黑" w:eastAsia="微软雅黑" w:hint="eastAsia"/>
                <w:b/>
                <w:sz w:val="21"/>
              </w:rPr>
            </w:pPr>
            <w:r>
              <w:rPr>
                <w:rFonts w:ascii="微软雅黑" w:eastAsia="微软雅黑" w:hint="eastAsia"/>
                <w:b/>
                <w:sz w:val="21"/>
              </w:rPr>
              <w:t>这部分描述的是如何领取重大疾病、恶性肿瘤及特定疾病保险金。</w:t>
            </w:r>
          </w:p>
        </w:tc>
      </w:tr>
      <w:tr>
        <w:trPr>
          <w:trHeight w:val="3873" w:hRule="atLeast"/>
        </w:trPr>
        <w:tc>
          <w:tcPr>
            <w:tcW w:w="774" w:type="dxa"/>
            <w:tcBorders>
              <w:top w:val="single" w:sz="8" w:space="0" w:color="000000"/>
            </w:tcBorders>
          </w:tcPr>
          <w:p>
            <w:pPr>
              <w:pStyle w:val="TableParagraph"/>
              <w:spacing w:before="103"/>
              <w:ind w:left="98"/>
              <w:rPr>
                <w:rFonts w:ascii="微软雅黑"/>
                <w:b/>
                <w:sz w:val="21"/>
              </w:rPr>
            </w:pPr>
            <w:r>
              <w:rPr>
                <w:rFonts w:ascii="微软雅黑"/>
                <w:b/>
                <w:sz w:val="21"/>
              </w:rPr>
              <w:t>4.1</w:t>
            </w:r>
          </w:p>
        </w:tc>
        <w:tc>
          <w:tcPr>
            <w:tcW w:w="2102" w:type="dxa"/>
            <w:tcBorders>
              <w:top w:val="single" w:sz="8" w:space="0" w:color="000000"/>
            </w:tcBorders>
          </w:tcPr>
          <w:p>
            <w:pPr>
              <w:pStyle w:val="TableParagraph"/>
              <w:spacing w:before="103"/>
              <w:ind w:left="359"/>
              <w:rPr>
                <w:rFonts w:ascii="微软雅黑" w:eastAsia="微软雅黑" w:hint="eastAsia"/>
                <w:b/>
                <w:sz w:val="21"/>
              </w:rPr>
            </w:pPr>
            <w:r>
              <w:rPr>
                <w:rFonts w:ascii="微软雅黑" w:eastAsia="微软雅黑" w:hint="eastAsia"/>
                <w:b/>
                <w:sz w:val="21"/>
              </w:rPr>
              <w:t>受益人</w:t>
            </w:r>
          </w:p>
        </w:tc>
        <w:tc>
          <w:tcPr>
            <w:tcW w:w="7096" w:type="dxa"/>
            <w:tcBorders>
              <w:top w:val="single" w:sz="8" w:space="0" w:color="000000"/>
            </w:tcBorders>
          </w:tcPr>
          <w:p>
            <w:pPr>
              <w:pStyle w:val="TableParagraph"/>
              <w:spacing w:line="273" w:lineRule="auto" w:before="166"/>
              <w:ind w:left="264" w:right="104"/>
              <w:jc w:val="both"/>
              <w:rPr>
                <w:sz w:val="21"/>
              </w:rPr>
            </w:pPr>
            <w:r>
              <w:rPr>
                <w:spacing w:val="-3"/>
                <w:sz w:val="21"/>
              </w:rPr>
              <w:t>您或者被保险人可以指定一人或多人为身故保险金受益人，身故保险金受</w:t>
            </w:r>
            <w:r>
              <w:rPr>
                <w:spacing w:val="-12"/>
                <w:sz w:val="21"/>
              </w:rPr>
              <w:t>益人为多人时，可以确定受益人顺序和受益份额，如果没有确定份额,各受</w:t>
            </w:r>
            <w:r>
              <w:rPr>
                <w:spacing w:val="-6"/>
                <w:sz w:val="21"/>
              </w:rPr>
              <w:t>益人按照相等份额享有受益权。</w:t>
            </w:r>
          </w:p>
          <w:p>
            <w:pPr>
              <w:pStyle w:val="TableParagraph"/>
              <w:spacing w:line="273" w:lineRule="auto" w:before="7"/>
              <w:ind w:left="264" w:right="104"/>
              <w:jc w:val="both"/>
              <w:rPr>
                <w:sz w:val="21"/>
              </w:rPr>
            </w:pPr>
            <w:r>
              <w:rPr>
                <w:sz w:val="21"/>
              </w:rPr>
              <w:t>被保险人为无民事行为能力人或限制民事行为能力人的，可以由其监护人指定受益人。</w:t>
            </w:r>
          </w:p>
          <w:p>
            <w:pPr>
              <w:pStyle w:val="TableParagraph"/>
              <w:spacing w:line="273" w:lineRule="auto" w:before="7"/>
              <w:ind w:left="264" w:right="104"/>
              <w:jc w:val="both"/>
              <w:rPr>
                <w:sz w:val="21"/>
              </w:rPr>
            </w:pPr>
            <w:r>
              <w:rPr>
                <w:sz w:val="21"/>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TableParagraph"/>
              <w:spacing w:line="273" w:lineRule="auto" w:before="8"/>
              <w:ind w:left="264" w:right="104"/>
              <w:jc w:val="both"/>
              <w:rPr>
                <w:sz w:val="21"/>
              </w:rPr>
            </w:pPr>
            <w:r>
              <w:rPr>
                <w:sz w:val="21"/>
              </w:rPr>
              <w:t>被保险人身故后，遇有下列情形之一的，保险金作为被保险人的遗产，由百年人寿依照《中华人民共和国继承法》的规定履行给付保险金的义务：</w:t>
            </w:r>
          </w:p>
          <w:p>
            <w:pPr>
              <w:pStyle w:val="TableParagraph"/>
              <w:spacing w:before="7"/>
              <w:ind w:left="264"/>
              <w:jc w:val="both"/>
              <w:rPr>
                <w:sz w:val="21"/>
              </w:rPr>
            </w:pPr>
            <w:r>
              <w:rPr>
                <w:sz w:val="21"/>
              </w:rPr>
              <w:t>（1）没有指定受益人，或者受益人指定不明无法确定的；</w:t>
            </w:r>
          </w:p>
          <w:p>
            <w:pPr>
              <w:pStyle w:val="TableParagraph"/>
              <w:spacing w:line="255" w:lineRule="exact" w:before="36"/>
              <w:ind w:left="264"/>
              <w:jc w:val="both"/>
              <w:rPr>
                <w:sz w:val="21"/>
              </w:rPr>
            </w:pPr>
            <w:r>
              <w:rPr>
                <w:sz w:val="21"/>
              </w:rPr>
              <w:t>（2）受益人先于被保险人身故，没有其他受益人的；</w:t>
            </w:r>
          </w:p>
        </w:tc>
      </w:tr>
    </w:tbl>
    <w:p>
      <w:pPr>
        <w:pStyle w:val="BodyText"/>
        <w:spacing w:before="10"/>
        <w:rPr>
          <w:sz w:val="24"/>
        </w:rPr>
      </w:pPr>
      <w:r>
        <w:rPr/>
        <w:pict>
          <v:line style="position:absolute;mso-position-horizontal-relative:page;mso-position-vertical-relative:paragraph;z-index:1240;mso-wrap-distance-left:0;mso-wrap-distance-right:0" from="56.639999pt,18.435011pt" to="200.689999pt,18.435011pt" stroked="true" strokeweight=".47998pt" strokecolor="#000000">
            <v:stroke dashstyle="solid"/>
            <w10:wrap type="topAndBottom"/>
          </v:line>
        </w:pict>
      </w:r>
    </w:p>
    <w:p>
      <w:pPr>
        <w:pStyle w:val="BodyText"/>
        <w:spacing w:line="216" w:lineRule="auto" w:before="14"/>
        <w:ind w:left="393" w:right="395" w:hanging="181"/>
      </w:pPr>
      <w:r>
        <w:rPr>
          <w:rFonts w:ascii="Times New Roman" w:eastAsia="Times New Roman"/>
          <w:position w:val="6"/>
          <w:sz w:val="12"/>
        </w:rPr>
        <w:t>13 </w:t>
      </w:r>
      <w:r>
        <w:rPr>
          <w:rFonts w:ascii="微软雅黑" w:eastAsia="微软雅黑" w:hint="eastAsia"/>
          <w:b/>
        </w:rPr>
        <w:t>保险费约定交纳日</w:t>
      </w:r>
      <w:r>
        <w:rPr/>
        <w:t>指本合同生效日在每月、每季、每半年或每年（根据交费频次确定）的对应日。如果当月无对应的同一日，则以该月最后一日为对应日。</w:t>
      </w:r>
    </w:p>
    <w:p>
      <w:pPr>
        <w:spacing w:line="245" w:lineRule="exact" w:before="0"/>
        <w:ind w:left="212" w:right="0" w:firstLine="0"/>
        <w:jc w:val="left"/>
        <w:rPr>
          <w:sz w:val="18"/>
        </w:rPr>
      </w:pPr>
      <w:r>
        <w:rPr>
          <w:rFonts w:ascii="Times New Roman" w:eastAsia="Times New Roman"/>
          <w:position w:val="6"/>
          <w:sz w:val="12"/>
        </w:rPr>
        <w:t>14   </w:t>
      </w:r>
      <w:r>
        <w:rPr>
          <w:rFonts w:ascii="微软雅黑" w:eastAsia="微软雅黑" w:hint="eastAsia"/>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w:t>
      </w:r>
    </w:p>
    <w:p>
      <w:pPr>
        <w:pStyle w:val="BodyText"/>
        <w:spacing w:line="237" w:lineRule="exact"/>
        <w:ind w:left="393"/>
      </w:pPr>
      <w:r>
        <w:rPr/>
        <w:t>的 </w:t>
      </w:r>
      <w:r>
        <w:rPr>
          <w:rFonts w:ascii="Times New Roman" w:eastAsia="Times New Roman"/>
        </w:rPr>
        <w:t>1 </w:t>
      </w:r>
      <w:r>
        <w:rPr/>
        <w:t>月 </w:t>
      </w:r>
      <w:r>
        <w:rPr>
          <w:rFonts w:ascii="Times New Roman" w:eastAsia="Times New Roman"/>
        </w:rPr>
        <w:t>1 </w:t>
      </w:r>
      <w:r>
        <w:rPr/>
        <w:t>日和 </w:t>
      </w:r>
      <w:r>
        <w:rPr>
          <w:rFonts w:ascii="Times New Roman" w:eastAsia="Times New Roman"/>
        </w:rPr>
        <w:t>7 </w:t>
      </w:r>
      <w:r>
        <w:rPr/>
        <w:t>月 </w:t>
      </w:r>
      <w:r>
        <w:rPr>
          <w:rFonts w:ascii="Times New Roman" w:eastAsia="Times New Roman"/>
        </w:rPr>
        <w:t>1 </w:t>
      </w:r>
      <w:r>
        <w:rPr/>
        <w:t>日确定并以适当方式公布。</w:t>
      </w:r>
    </w:p>
    <w:p>
      <w:pPr>
        <w:spacing w:after="0" w:line="237" w:lineRule="exact"/>
        <w:sectPr>
          <w:footerReference w:type="default" r:id="rId9"/>
          <w:pgSz w:w="11910" w:h="16840"/>
          <w:pgMar w:footer="664" w:header="567" w:top="1000" w:bottom="860" w:left="920" w:right="800"/>
          <w:pgNumType w:start="4"/>
        </w:sectPr>
      </w:pPr>
    </w:p>
    <w:p>
      <w:pPr>
        <w:pStyle w:val="BodyText"/>
        <w:spacing w:before="1"/>
        <w:rPr>
          <w:sz w:val="27"/>
        </w:rPr>
      </w:pPr>
    </w:p>
    <w:p>
      <w:pPr>
        <w:spacing w:before="36"/>
        <w:ind w:left="3174" w:right="0" w:firstLine="0"/>
        <w:jc w:val="left"/>
        <w:rPr>
          <w:sz w:val="21"/>
        </w:rPr>
      </w:pPr>
      <w:r>
        <w:rPr>
          <w:sz w:val="21"/>
        </w:rPr>
        <w:t>（3）受益人依法丧失受益权或者放弃受益权，没有其他受益人的。</w:t>
      </w:r>
    </w:p>
    <w:p>
      <w:pPr>
        <w:spacing w:line="273" w:lineRule="auto" w:before="37"/>
        <w:ind w:left="3174" w:right="103" w:firstLine="0"/>
        <w:jc w:val="left"/>
        <w:rPr>
          <w:sz w:val="21"/>
        </w:rPr>
      </w:pPr>
      <w:r>
        <w:rPr>
          <w:sz w:val="21"/>
        </w:rPr>
        <w:t>受益人与被保险人在同一事件中身故，且不能确定身故先后顺序的，推定受益人身故在先。</w:t>
      </w:r>
    </w:p>
    <w:p>
      <w:pPr>
        <w:spacing w:line="273" w:lineRule="auto" w:before="7"/>
        <w:ind w:left="3174" w:right="103" w:firstLine="0"/>
        <w:jc w:val="left"/>
        <w:rPr>
          <w:sz w:val="21"/>
        </w:rPr>
      </w:pPr>
      <w:r>
        <w:rPr>
          <w:sz w:val="21"/>
        </w:rPr>
        <w:t>受益人故意造成被保险人身故、伤残、疾病的，或者故意杀害被保险人未遂的，该受益人丧失受益权。</w:t>
      </w:r>
    </w:p>
    <w:p>
      <w:pPr>
        <w:spacing w:before="7"/>
        <w:ind w:left="3174" w:right="0" w:firstLine="0"/>
        <w:jc w:val="left"/>
        <w:rPr>
          <w:sz w:val="21"/>
        </w:rPr>
      </w:pPr>
      <w:r>
        <w:rPr>
          <w:sz w:val="21"/>
        </w:rPr>
        <w:t>除另有约定外，身故保险金以外的保险金的受益人为被保险人本人。</w:t>
      </w:r>
    </w:p>
    <w:p>
      <w:pPr>
        <w:pStyle w:val="ListParagraph"/>
        <w:numPr>
          <w:ilvl w:val="1"/>
          <w:numId w:val="12"/>
        </w:numPr>
        <w:tabs>
          <w:tab w:pos="1167" w:val="left" w:leader="none"/>
          <w:tab w:pos="1168" w:val="left" w:leader="none"/>
          <w:tab w:pos="3174" w:val="left" w:leader="none"/>
        </w:tabs>
        <w:spacing w:line="240" w:lineRule="auto" w:before="145" w:after="0"/>
        <w:ind w:left="1167" w:right="0" w:hanging="1035"/>
        <w:jc w:val="left"/>
        <w:rPr>
          <w:sz w:val="21"/>
        </w:rPr>
      </w:pPr>
      <w:r>
        <w:rPr>
          <w:rFonts w:ascii="微软雅黑" w:eastAsia="微软雅黑" w:hint="eastAsia"/>
          <w:b/>
          <w:sz w:val="21"/>
        </w:rPr>
        <w:t>保险事故通知</w:t>
        <w:tab/>
      </w:r>
      <w:r>
        <w:rPr>
          <w:sz w:val="21"/>
        </w:rPr>
        <w:t>请您</w:t>
      </w:r>
      <w:r>
        <w:rPr>
          <w:spacing w:val="-3"/>
          <w:sz w:val="21"/>
        </w:rPr>
        <w:t>、</w:t>
      </w:r>
      <w:r>
        <w:rPr>
          <w:sz w:val="21"/>
        </w:rPr>
        <w:t>被</w:t>
      </w:r>
      <w:r>
        <w:rPr>
          <w:spacing w:val="-3"/>
          <w:sz w:val="21"/>
        </w:rPr>
        <w:t>保</w:t>
      </w:r>
      <w:r>
        <w:rPr>
          <w:sz w:val="21"/>
        </w:rPr>
        <w:t>险</w:t>
      </w:r>
      <w:r>
        <w:rPr>
          <w:spacing w:val="-3"/>
          <w:sz w:val="21"/>
        </w:rPr>
        <w:t>人</w:t>
      </w:r>
      <w:r>
        <w:rPr>
          <w:sz w:val="21"/>
        </w:rPr>
        <w:t>、</w:t>
      </w:r>
      <w:r>
        <w:rPr>
          <w:spacing w:val="-3"/>
          <w:sz w:val="21"/>
        </w:rPr>
        <w:t>受</w:t>
      </w:r>
      <w:r>
        <w:rPr>
          <w:sz w:val="21"/>
        </w:rPr>
        <w:t>益</w:t>
      </w:r>
      <w:r>
        <w:rPr>
          <w:spacing w:val="-3"/>
          <w:sz w:val="21"/>
        </w:rPr>
        <w:t>人</w:t>
      </w:r>
      <w:r>
        <w:rPr>
          <w:sz w:val="21"/>
        </w:rPr>
        <w:t>或其</w:t>
      </w:r>
      <w:r>
        <w:rPr>
          <w:spacing w:val="-3"/>
          <w:sz w:val="21"/>
        </w:rPr>
        <w:t>他</w:t>
      </w:r>
      <w:r>
        <w:rPr>
          <w:sz w:val="21"/>
        </w:rPr>
        <w:t>有</w:t>
      </w:r>
      <w:r>
        <w:rPr>
          <w:spacing w:val="-3"/>
          <w:sz w:val="21"/>
        </w:rPr>
        <w:t>权</w:t>
      </w:r>
      <w:r>
        <w:rPr>
          <w:sz w:val="21"/>
        </w:rPr>
        <w:t>领</w:t>
      </w:r>
      <w:r>
        <w:rPr>
          <w:spacing w:val="-3"/>
          <w:sz w:val="21"/>
        </w:rPr>
        <w:t>取</w:t>
      </w:r>
      <w:r>
        <w:rPr>
          <w:sz w:val="21"/>
        </w:rPr>
        <w:t>保</w:t>
      </w:r>
      <w:r>
        <w:rPr>
          <w:spacing w:val="-3"/>
          <w:sz w:val="21"/>
        </w:rPr>
        <w:t>险</w:t>
      </w:r>
      <w:r>
        <w:rPr>
          <w:sz w:val="21"/>
        </w:rPr>
        <w:t>金</w:t>
      </w:r>
      <w:r>
        <w:rPr>
          <w:spacing w:val="-3"/>
          <w:sz w:val="21"/>
        </w:rPr>
        <w:t>的</w:t>
      </w:r>
      <w:r>
        <w:rPr>
          <w:sz w:val="21"/>
        </w:rPr>
        <w:t>人在</w:t>
      </w:r>
      <w:r>
        <w:rPr>
          <w:spacing w:val="-3"/>
          <w:sz w:val="21"/>
        </w:rPr>
        <w:t>知</w:t>
      </w:r>
      <w:r>
        <w:rPr>
          <w:sz w:val="21"/>
        </w:rPr>
        <w:t>道</w:t>
      </w:r>
      <w:r>
        <w:rPr>
          <w:spacing w:val="-3"/>
          <w:sz w:val="21"/>
        </w:rPr>
        <w:t>保</w:t>
      </w:r>
      <w:r>
        <w:rPr>
          <w:sz w:val="21"/>
        </w:rPr>
        <w:t>险</w:t>
      </w:r>
      <w:r>
        <w:rPr>
          <w:spacing w:val="-3"/>
          <w:sz w:val="21"/>
        </w:rPr>
        <w:t>事</w:t>
      </w:r>
      <w:r>
        <w:rPr>
          <w:sz w:val="21"/>
        </w:rPr>
        <w:t>故</w:t>
      </w:r>
      <w:r>
        <w:rPr>
          <w:spacing w:val="-3"/>
          <w:sz w:val="21"/>
        </w:rPr>
        <w:t>发</w:t>
      </w:r>
      <w:r>
        <w:rPr>
          <w:sz w:val="21"/>
        </w:rPr>
        <w:t>生</w:t>
      </w:r>
    </w:p>
    <w:p>
      <w:pPr>
        <w:spacing w:line="268" w:lineRule="auto" w:before="12"/>
        <w:ind w:left="3174" w:right="103" w:firstLine="0"/>
        <w:jc w:val="both"/>
        <w:rPr>
          <w:sz w:val="22"/>
        </w:rPr>
      </w:pPr>
      <w:r>
        <w:rPr>
          <w:sz w:val="21"/>
        </w:rPr>
        <w:t>之日起10日内通知百年人寿，否则您、被保险人、受益人或其他有权领取保险金的人需承担由于延迟通知致使百年人寿增加的勘查、检验等费用， 因不可抗力导致的通知延迟除外</w:t>
      </w:r>
      <w:r>
        <w:rPr>
          <w:sz w:val="22"/>
        </w:rPr>
        <w:t>。</w:t>
      </w:r>
    </w:p>
    <w:p>
      <w:pPr>
        <w:pStyle w:val="BodyText"/>
        <w:spacing w:before="3"/>
        <w:rPr>
          <w:sz w:val="9"/>
        </w:rPr>
      </w:pPr>
    </w:p>
    <w:p>
      <w:pPr>
        <w:spacing w:line="196" w:lineRule="auto" w:before="32"/>
        <w:ind w:left="3174" w:right="103" w:firstLine="0"/>
        <w:jc w:val="both"/>
        <w:rPr>
          <w:rFonts w:ascii="Microsoft JhengHei" w:eastAsia="Microsoft JhengHei" w:hint="eastAsia"/>
          <w:b/>
          <w:sz w:val="22"/>
        </w:rPr>
      </w:pPr>
      <w:r>
        <w:rPr>
          <w:rFonts w:ascii="Microsoft JhengHei" w:eastAsia="Microsoft JhengHei" w:hint="eastAsia"/>
          <w:b/>
          <w:sz w:val="22"/>
          <w:shd w:fill="D9D9D9" w:color="auto" w:val="clear"/>
        </w:rPr>
        <w:t>如果您、被保险人、受益人或其他有权领取保险金的人故意或者因重</w:t>
      </w:r>
      <w:r>
        <w:rPr>
          <w:rFonts w:ascii="Microsoft JhengHei" w:eastAsia="Microsoft JhengHei" w:hint="eastAsia"/>
          <w:b/>
          <w:spacing w:val="-126"/>
          <w:sz w:val="22"/>
          <w:shd w:fill="D9D9D9" w:color="auto" w:val="clear"/>
        </w:rPr>
        <w:t>大</w:t>
      </w:r>
      <w:r>
        <w:rPr>
          <w:rFonts w:ascii="Microsoft JhengHei" w:eastAsia="Microsoft JhengHei" w:hint="eastAsia"/>
          <w:b/>
          <w:sz w:val="22"/>
          <w:shd w:fill="D9D9D9" w:color="auto" w:val="clear"/>
        </w:rPr>
        <w:t>过失未及时通知百年人寿，致使保险事故的性质、原因、伤害程度等难以确定的，百年人寿对无法确定的部分，不承担给付保险金的责</w:t>
      </w:r>
    </w:p>
    <w:p>
      <w:pPr>
        <w:spacing w:line="310" w:lineRule="exact" w:before="8"/>
        <w:ind w:left="3174" w:right="103" w:firstLine="0"/>
        <w:jc w:val="both"/>
        <w:rPr>
          <w:sz w:val="21"/>
        </w:rPr>
      </w:pPr>
      <w:r>
        <w:rPr>
          <w:rFonts w:ascii="Microsoft JhengHei" w:eastAsia="Microsoft JhengHei" w:hint="eastAsia"/>
          <w:b/>
          <w:spacing w:val="-10"/>
          <w:sz w:val="22"/>
          <w:shd w:fill="D9D9D9" w:color="auto" w:val="clear"/>
        </w:rPr>
        <w:t>任，</w:t>
      </w:r>
      <w:r>
        <w:rPr>
          <w:spacing w:val="-3"/>
          <w:sz w:val="21"/>
        </w:rPr>
        <w:t>但百年人寿通过其他途径已经及时知道或者应当及时知道保险事故发生或者虽未及时通知但不影响百年人寿确定保险事故的性质、原因、损失</w:t>
      </w:r>
    </w:p>
    <w:p>
      <w:pPr>
        <w:spacing w:before="4"/>
        <w:ind w:left="3174" w:right="0" w:firstLine="0"/>
        <w:jc w:val="both"/>
        <w:rPr>
          <w:sz w:val="21"/>
        </w:rPr>
      </w:pPr>
      <w:r>
        <w:rPr>
          <w:sz w:val="21"/>
        </w:rPr>
        <w:t>程度的除外。</w:t>
      </w:r>
    </w:p>
    <w:p>
      <w:pPr>
        <w:pStyle w:val="ListParagraph"/>
        <w:numPr>
          <w:ilvl w:val="1"/>
          <w:numId w:val="12"/>
        </w:numPr>
        <w:tabs>
          <w:tab w:pos="1167" w:val="left" w:leader="none"/>
          <w:tab w:pos="1168" w:val="left" w:leader="none"/>
          <w:tab w:pos="3174" w:val="left" w:leader="none"/>
        </w:tabs>
        <w:spacing w:line="240" w:lineRule="auto" w:before="142" w:after="0"/>
        <w:ind w:left="1167" w:right="0" w:hanging="1035"/>
        <w:jc w:val="left"/>
        <w:rPr>
          <w:sz w:val="21"/>
        </w:rPr>
      </w:pPr>
      <w:r>
        <w:rPr>
          <w:rFonts w:ascii="微软雅黑" w:eastAsia="微软雅黑" w:hint="eastAsia"/>
          <w:b/>
          <w:sz w:val="21"/>
        </w:rPr>
        <w:t>保险金申请</w:t>
        <w:tab/>
      </w:r>
      <w:r>
        <w:rPr>
          <w:sz w:val="21"/>
        </w:rPr>
        <w:t>申请</w:t>
      </w:r>
      <w:r>
        <w:rPr>
          <w:spacing w:val="-3"/>
          <w:sz w:val="21"/>
        </w:rPr>
        <w:t>各</w:t>
      </w:r>
      <w:r>
        <w:rPr>
          <w:sz w:val="21"/>
        </w:rPr>
        <w:t>项</w:t>
      </w:r>
      <w:r>
        <w:rPr>
          <w:spacing w:val="-3"/>
          <w:sz w:val="21"/>
        </w:rPr>
        <w:t>保</w:t>
      </w:r>
      <w:r>
        <w:rPr>
          <w:sz w:val="21"/>
        </w:rPr>
        <w:t>险</w:t>
      </w:r>
      <w:r>
        <w:rPr>
          <w:spacing w:val="-3"/>
          <w:sz w:val="21"/>
        </w:rPr>
        <w:t>金</w:t>
      </w:r>
      <w:r>
        <w:rPr>
          <w:sz w:val="21"/>
        </w:rPr>
        <w:t>时</w:t>
      </w:r>
      <w:r>
        <w:rPr>
          <w:spacing w:val="-3"/>
          <w:sz w:val="21"/>
        </w:rPr>
        <w:t>，</w:t>
      </w:r>
      <w:r>
        <w:rPr>
          <w:rFonts w:ascii="微软雅黑" w:eastAsia="微软雅黑" w:hint="eastAsia"/>
          <w:b/>
          <w:sz w:val="21"/>
        </w:rPr>
        <w:t>申</w:t>
      </w:r>
      <w:r>
        <w:rPr>
          <w:rFonts w:ascii="微软雅黑" w:eastAsia="微软雅黑" w:hint="eastAsia"/>
          <w:b/>
          <w:spacing w:val="-3"/>
          <w:sz w:val="21"/>
        </w:rPr>
        <w:t>请</w:t>
      </w:r>
      <w:r>
        <w:rPr>
          <w:rFonts w:ascii="微软雅黑" w:eastAsia="微软雅黑" w:hint="eastAsia"/>
          <w:b/>
          <w:sz w:val="21"/>
        </w:rPr>
        <w:t>人</w:t>
      </w:r>
      <w:r>
        <w:rPr>
          <w:rFonts w:ascii="微软雅黑" w:eastAsia="微软雅黑" w:hint="eastAsia"/>
          <w:b/>
          <w:position w:val="11"/>
          <w:sz w:val="11"/>
        </w:rPr>
        <w:t>15</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before="2"/>
        <w:rPr>
          <w:sz w:val="11"/>
        </w:rPr>
      </w:pPr>
    </w:p>
    <w:p>
      <w:pPr>
        <w:spacing w:after="0"/>
        <w:rPr>
          <w:sz w:val="11"/>
        </w:rPr>
        <w:sectPr>
          <w:pgSz w:w="11910" w:h="16840"/>
          <w:pgMar w:header="567" w:footer="664" w:top="1000" w:bottom="860" w:left="1000" w:right="900"/>
        </w:sectPr>
      </w:pPr>
    </w:p>
    <w:p>
      <w:pPr>
        <w:pStyle w:val="Heading2"/>
        <w:numPr>
          <w:ilvl w:val="2"/>
          <w:numId w:val="12"/>
        </w:numPr>
        <w:tabs>
          <w:tab w:pos="1167" w:val="left" w:leader="none"/>
          <w:tab w:pos="1168" w:val="left" w:leader="none"/>
        </w:tabs>
        <w:spacing w:line="311" w:lineRule="exact" w:before="0" w:after="0"/>
        <w:ind w:left="1167" w:right="0" w:hanging="1035"/>
        <w:jc w:val="left"/>
      </w:pPr>
      <w:r>
        <w:rPr/>
        <w:t>重大疾病、恶性肿</w:t>
      </w:r>
    </w:p>
    <w:p>
      <w:pPr>
        <w:spacing w:line="206" w:lineRule="auto" w:before="25"/>
        <w:ind w:left="1167" w:right="0" w:firstLine="0"/>
        <w:jc w:val="left"/>
        <w:rPr>
          <w:rFonts w:ascii="微软雅黑" w:eastAsia="微软雅黑" w:hint="eastAsia"/>
          <w:b/>
          <w:sz w:val="21"/>
        </w:rPr>
      </w:pPr>
      <w:r>
        <w:rPr>
          <w:rFonts w:ascii="微软雅黑" w:eastAsia="微软雅黑" w:hint="eastAsia"/>
          <w:b/>
          <w:sz w:val="21"/>
        </w:rPr>
        <w:t>瘤及特定疾病保险金申请</w:t>
      </w:r>
    </w:p>
    <w:p>
      <w:pPr>
        <w:spacing w:line="273" w:lineRule="auto" w:before="36"/>
        <w:ind w:left="132" w:right="103" w:firstLine="0"/>
        <w:jc w:val="left"/>
        <w:rPr>
          <w:sz w:val="21"/>
        </w:rPr>
      </w:pPr>
      <w:r>
        <w:rPr/>
        <w:br w:type="column"/>
      </w:r>
      <w:r>
        <w:rPr>
          <w:sz w:val="21"/>
        </w:rPr>
        <w:t>申请人申请重大疾病、恶性肿瘤及特定疾病保险金时，应提供下列证明文件和资料：</w:t>
      </w:r>
    </w:p>
    <w:p>
      <w:pPr>
        <w:spacing w:before="7"/>
        <w:ind w:left="132" w:right="0" w:firstLine="0"/>
        <w:jc w:val="both"/>
        <w:rPr>
          <w:sz w:val="21"/>
        </w:rPr>
      </w:pPr>
      <w:r>
        <w:rPr>
          <w:sz w:val="21"/>
        </w:rPr>
        <w:t>（1）理赔申请书；</w:t>
      </w:r>
    </w:p>
    <w:p>
      <w:pPr>
        <w:spacing w:line="262" w:lineRule="exact" w:before="36"/>
        <w:ind w:left="132" w:right="0" w:firstLine="0"/>
        <w:jc w:val="both"/>
        <w:rPr>
          <w:sz w:val="21"/>
        </w:rPr>
      </w:pPr>
      <w:r>
        <w:rPr>
          <w:sz w:val="21"/>
        </w:rPr>
        <w:t>（2）保险合同；</w:t>
      </w:r>
    </w:p>
    <w:p>
      <w:pPr>
        <w:spacing w:line="350" w:lineRule="exact" w:before="0"/>
        <w:ind w:left="132" w:right="0" w:firstLine="0"/>
        <w:jc w:val="both"/>
        <w:rPr>
          <w:sz w:val="21"/>
        </w:rPr>
      </w:pPr>
      <w:r>
        <w:rPr>
          <w:w w:val="95"/>
          <w:sz w:val="21"/>
        </w:rPr>
        <w:t>（3）被保险人</w:t>
      </w:r>
      <w:r>
        <w:rPr>
          <w:rFonts w:ascii="微软雅黑" w:eastAsia="微软雅黑" w:hint="eastAsia"/>
          <w:b/>
          <w:w w:val="95"/>
          <w:sz w:val="21"/>
        </w:rPr>
        <w:t>法定有效身份证明</w:t>
      </w:r>
      <w:r>
        <w:rPr>
          <w:rFonts w:ascii="微软雅黑" w:eastAsia="微软雅黑" w:hint="eastAsia"/>
          <w:b/>
          <w:w w:val="95"/>
          <w:position w:val="11"/>
          <w:sz w:val="11"/>
        </w:rPr>
        <w:t>16</w:t>
      </w:r>
      <w:r>
        <w:rPr>
          <w:w w:val="95"/>
          <w:sz w:val="21"/>
        </w:rPr>
        <w:t>；</w:t>
      </w:r>
    </w:p>
    <w:p>
      <w:pPr>
        <w:spacing w:before="12"/>
        <w:ind w:left="132" w:right="0" w:firstLine="0"/>
        <w:jc w:val="both"/>
        <w:rPr>
          <w:sz w:val="21"/>
        </w:rPr>
      </w:pPr>
      <w:r>
        <w:rPr>
          <w:sz w:val="21"/>
        </w:rPr>
        <w:t>（4）申请人的法定有效身份证明及关系证明；</w:t>
      </w:r>
    </w:p>
    <w:p>
      <w:pPr>
        <w:spacing w:line="273" w:lineRule="auto" w:before="37"/>
        <w:ind w:left="132" w:right="103" w:firstLine="0"/>
        <w:jc w:val="both"/>
        <w:rPr>
          <w:sz w:val="21"/>
        </w:rPr>
      </w:pPr>
      <w:r>
        <w:rPr>
          <w:spacing w:val="-18"/>
          <w:sz w:val="21"/>
        </w:rPr>
        <w:t>（5）</w:t>
      </w:r>
      <w:r>
        <w:rPr>
          <w:spacing w:val="-7"/>
          <w:sz w:val="21"/>
        </w:rPr>
        <w:t>能够证明符合约定重大疾病、恶性肿瘤及特定疾病定义的百年人寿认</w:t>
      </w:r>
      <w:r>
        <w:rPr>
          <w:spacing w:val="-5"/>
          <w:sz w:val="21"/>
        </w:rPr>
        <w:t>可的医院出具的医学诊断书、医疗病历、检查报告以及其他医学证明文件</w:t>
      </w:r>
      <w:r>
        <w:rPr>
          <w:spacing w:val="-4"/>
          <w:sz w:val="21"/>
        </w:rPr>
        <w:t>或司法鉴定机构出具的法医鉴定报告；</w:t>
      </w:r>
    </w:p>
    <w:p>
      <w:pPr>
        <w:spacing w:line="273" w:lineRule="auto" w:before="7"/>
        <w:ind w:left="132" w:right="103" w:firstLine="0"/>
        <w:jc w:val="left"/>
        <w:rPr>
          <w:sz w:val="21"/>
        </w:rPr>
      </w:pPr>
      <w:r>
        <w:rPr>
          <w:spacing w:val="-18"/>
          <w:sz w:val="21"/>
        </w:rPr>
        <w:t>（6）</w:t>
      </w:r>
      <w:r>
        <w:rPr>
          <w:spacing w:val="-6"/>
          <w:sz w:val="21"/>
        </w:rPr>
        <w:t>申请人所能提供的与确认保险事故的性质、原因等有关的其他证明和资料。</w:t>
      </w:r>
    </w:p>
    <w:p>
      <w:pPr>
        <w:spacing w:after="0" w:line="273" w:lineRule="auto"/>
        <w:jc w:val="left"/>
        <w:rPr>
          <w:sz w:val="21"/>
        </w:rPr>
        <w:sectPr>
          <w:type w:val="continuous"/>
          <w:pgSz w:w="11910" w:h="16840"/>
          <w:pgMar w:top="1000" w:bottom="860" w:left="1000" w:right="900"/>
          <w:cols w:num="2" w:equalWidth="0">
            <w:col w:w="2858" w:space="184"/>
            <w:col w:w="6968"/>
          </w:cols>
        </w:sectPr>
      </w:pPr>
    </w:p>
    <w:p>
      <w:pPr>
        <w:pStyle w:val="BodyText"/>
        <w:spacing w:before="2"/>
        <w:rPr>
          <w:sz w:val="9"/>
        </w:rPr>
      </w:pPr>
    </w:p>
    <w:p>
      <w:pPr>
        <w:pStyle w:val="ListParagraph"/>
        <w:numPr>
          <w:ilvl w:val="2"/>
          <w:numId w:val="12"/>
        </w:numPr>
        <w:tabs>
          <w:tab w:pos="1167" w:val="left" w:leader="none"/>
          <w:tab w:pos="1168" w:val="left" w:leader="none"/>
          <w:tab w:pos="3174" w:val="left" w:leader="none"/>
        </w:tabs>
        <w:spacing w:line="333" w:lineRule="exact" w:before="0" w:after="0"/>
        <w:ind w:left="1167" w:right="0" w:hanging="1035"/>
        <w:jc w:val="left"/>
        <w:rPr>
          <w:sz w:val="21"/>
        </w:rPr>
      </w:pPr>
      <w:r>
        <w:rPr>
          <w:rFonts w:ascii="微软雅黑" w:eastAsia="微软雅黑" w:hint="eastAsia"/>
          <w:b/>
          <w:position w:val="-1"/>
          <w:sz w:val="21"/>
        </w:rPr>
        <w:t>委托他人代为申请</w:t>
        <w:tab/>
      </w:r>
      <w:r>
        <w:rPr>
          <w:sz w:val="21"/>
        </w:rPr>
        <w:t>若申</w:t>
      </w:r>
      <w:r>
        <w:rPr>
          <w:spacing w:val="-3"/>
          <w:sz w:val="21"/>
        </w:rPr>
        <w:t>请</w:t>
      </w:r>
      <w:r>
        <w:rPr>
          <w:sz w:val="21"/>
        </w:rPr>
        <w:t>人</w:t>
      </w:r>
      <w:r>
        <w:rPr>
          <w:spacing w:val="-3"/>
          <w:sz w:val="21"/>
        </w:rPr>
        <w:t>委</w:t>
      </w:r>
      <w:r>
        <w:rPr>
          <w:sz w:val="21"/>
        </w:rPr>
        <w:t>托</w:t>
      </w:r>
      <w:r>
        <w:rPr>
          <w:spacing w:val="-3"/>
          <w:sz w:val="21"/>
        </w:rPr>
        <w:t>他</w:t>
      </w:r>
      <w:r>
        <w:rPr>
          <w:sz w:val="21"/>
        </w:rPr>
        <w:t>人</w:t>
      </w:r>
      <w:r>
        <w:rPr>
          <w:spacing w:val="-3"/>
          <w:sz w:val="21"/>
        </w:rPr>
        <w:t>代</w:t>
      </w:r>
      <w:r>
        <w:rPr>
          <w:sz w:val="21"/>
        </w:rPr>
        <w:t>为</w:t>
      </w:r>
      <w:r>
        <w:rPr>
          <w:spacing w:val="-3"/>
          <w:sz w:val="21"/>
        </w:rPr>
        <w:t>申</w:t>
      </w:r>
      <w:r>
        <w:rPr>
          <w:sz w:val="21"/>
        </w:rPr>
        <w:t>请保</w:t>
      </w:r>
      <w:r>
        <w:rPr>
          <w:spacing w:val="-3"/>
          <w:sz w:val="21"/>
        </w:rPr>
        <w:t>险</w:t>
      </w:r>
      <w:r>
        <w:rPr>
          <w:sz w:val="21"/>
        </w:rPr>
        <w:t>金</w:t>
      </w:r>
      <w:r>
        <w:rPr>
          <w:spacing w:val="-3"/>
          <w:sz w:val="21"/>
        </w:rPr>
        <w:t>，</w:t>
      </w:r>
      <w:r>
        <w:rPr>
          <w:sz w:val="21"/>
        </w:rPr>
        <w:t>受</w:t>
      </w:r>
      <w:r>
        <w:rPr>
          <w:spacing w:val="-3"/>
          <w:sz w:val="21"/>
        </w:rPr>
        <w:t>委</w:t>
      </w:r>
      <w:r>
        <w:rPr>
          <w:sz w:val="21"/>
        </w:rPr>
        <w:t>托</w:t>
      </w:r>
      <w:r>
        <w:rPr>
          <w:spacing w:val="-3"/>
          <w:sz w:val="21"/>
        </w:rPr>
        <w:t>人</w:t>
      </w:r>
      <w:r>
        <w:rPr>
          <w:sz w:val="21"/>
        </w:rPr>
        <w:t>还</w:t>
      </w:r>
      <w:r>
        <w:rPr>
          <w:spacing w:val="-3"/>
          <w:sz w:val="21"/>
        </w:rPr>
        <w:t>应</w:t>
      </w:r>
      <w:r>
        <w:rPr>
          <w:sz w:val="21"/>
        </w:rPr>
        <w:t>提供</w:t>
      </w:r>
      <w:r>
        <w:rPr>
          <w:spacing w:val="-3"/>
          <w:sz w:val="21"/>
        </w:rPr>
        <w:t>申</w:t>
      </w:r>
      <w:r>
        <w:rPr>
          <w:sz w:val="21"/>
        </w:rPr>
        <w:t>请</w:t>
      </w:r>
      <w:r>
        <w:rPr>
          <w:spacing w:val="-3"/>
          <w:sz w:val="21"/>
        </w:rPr>
        <w:t>人</w:t>
      </w:r>
      <w:r>
        <w:rPr>
          <w:sz w:val="21"/>
        </w:rPr>
        <w:t>亲</w:t>
      </w:r>
      <w:r>
        <w:rPr>
          <w:spacing w:val="-3"/>
          <w:sz w:val="21"/>
        </w:rPr>
        <w:t>笔</w:t>
      </w:r>
      <w:r>
        <w:rPr>
          <w:sz w:val="21"/>
        </w:rPr>
        <w:t>签</w:t>
      </w:r>
      <w:r>
        <w:rPr>
          <w:spacing w:val="-3"/>
          <w:sz w:val="21"/>
        </w:rPr>
        <w:t>字</w:t>
      </w:r>
      <w:r>
        <w:rPr>
          <w:sz w:val="21"/>
        </w:rPr>
        <w:t>的</w:t>
      </w:r>
    </w:p>
    <w:p>
      <w:pPr>
        <w:spacing w:line="251" w:lineRule="exact" w:before="0"/>
        <w:ind w:left="3174" w:right="0" w:firstLine="0"/>
        <w:jc w:val="left"/>
        <w:rPr>
          <w:sz w:val="21"/>
        </w:rPr>
      </w:pPr>
      <w:r>
        <w:rPr>
          <w:sz w:val="21"/>
        </w:rPr>
        <w:t>授权委托书、受委托人的法定有效身份证明等相关证明文件。</w:t>
      </w:r>
    </w:p>
    <w:p>
      <w:pPr>
        <w:pStyle w:val="ListParagraph"/>
        <w:numPr>
          <w:ilvl w:val="2"/>
          <w:numId w:val="12"/>
        </w:numPr>
        <w:tabs>
          <w:tab w:pos="1167" w:val="left" w:leader="none"/>
          <w:tab w:pos="1168" w:val="left" w:leader="none"/>
          <w:tab w:pos="3174" w:val="left" w:leader="none"/>
        </w:tabs>
        <w:spacing w:line="240" w:lineRule="auto" w:before="126" w:after="0"/>
        <w:ind w:left="1167" w:right="0" w:hanging="1035"/>
        <w:jc w:val="left"/>
        <w:rPr>
          <w:sz w:val="21"/>
        </w:rPr>
      </w:pPr>
      <w:r>
        <w:rPr>
          <w:rFonts w:ascii="微软雅黑" w:eastAsia="微软雅黑" w:hint="eastAsia"/>
          <w:b/>
          <w:sz w:val="21"/>
        </w:rPr>
        <w:t>提供补充材料</w:t>
        <w:tab/>
      </w:r>
      <w:r>
        <w:rPr>
          <w:sz w:val="21"/>
        </w:rPr>
        <w:t>以上</w:t>
      </w:r>
      <w:r>
        <w:rPr>
          <w:spacing w:val="-3"/>
          <w:sz w:val="21"/>
        </w:rPr>
        <w:t>保</w:t>
      </w:r>
      <w:r>
        <w:rPr>
          <w:sz w:val="21"/>
        </w:rPr>
        <w:t>险</w:t>
      </w:r>
      <w:r>
        <w:rPr>
          <w:spacing w:val="-3"/>
          <w:sz w:val="21"/>
        </w:rPr>
        <w:t>金</w:t>
      </w:r>
      <w:r>
        <w:rPr>
          <w:sz w:val="21"/>
        </w:rPr>
        <w:t>申</w:t>
      </w:r>
      <w:r>
        <w:rPr>
          <w:spacing w:val="-3"/>
          <w:sz w:val="21"/>
        </w:rPr>
        <w:t>请</w:t>
      </w:r>
      <w:r>
        <w:rPr>
          <w:sz w:val="21"/>
        </w:rPr>
        <w:t>的</w:t>
      </w:r>
      <w:r>
        <w:rPr>
          <w:spacing w:val="-3"/>
          <w:sz w:val="21"/>
        </w:rPr>
        <w:t>证</w:t>
      </w:r>
      <w:r>
        <w:rPr>
          <w:sz w:val="21"/>
        </w:rPr>
        <w:t>明</w:t>
      </w:r>
      <w:r>
        <w:rPr>
          <w:spacing w:val="-3"/>
          <w:sz w:val="21"/>
        </w:rPr>
        <w:t>和</w:t>
      </w:r>
      <w:r>
        <w:rPr>
          <w:sz w:val="21"/>
        </w:rPr>
        <w:t>资料</w:t>
      </w:r>
      <w:r>
        <w:rPr>
          <w:spacing w:val="-3"/>
          <w:sz w:val="21"/>
        </w:rPr>
        <w:t>不</w:t>
      </w:r>
      <w:r>
        <w:rPr>
          <w:sz w:val="21"/>
        </w:rPr>
        <w:t>完</w:t>
      </w:r>
      <w:r>
        <w:rPr>
          <w:spacing w:val="-3"/>
          <w:sz w:val="21"/>
        </w:rPr>
        <w:t>整</w:t>
      </w:r>
      <w:r>
        <w:rPr>
          <w:sz w:val="21"/>
        </w:rPr>
        <w:t>的</w:t>
      </w:r>
      <w:r>
        <w:rPr>
          <w:spacing w:val="-3"/>
          <w:sz w:val="21"/>
        </w:rPr>
        <w:t>，</w:t>
      </w:r>
      <w:r>
        <w:rPr>
          <w:sz w:val="21"/>
        </w:rPr>
        <w:t>百</w:t>
      </w:r>
      <w:r>
        <w:rPr>
          <w:spacing w:val="-3"/>
          <w:sz w:val="21"/>
        </w:rPr>
        <w:t>年</w:t>
      </w:r>
      <w:r>
        <w:rPr>
          <w:sz w:val="21"/>
        </w:rPr>
        <w:t>人</w:t>
      </w:r>
      <w:r>
        <w:rPr>
          <w:spacing w:val="-3"/>
          <w:sz w:val="21"/>
        </w:rPr>
        <w:t>寿</w:t>
      </w:r>
      <w:r>
        <w:rPr>
          <w:sz w:val="21"/>
        </w:rPr>
        <w:t>将一</w:t>
      </w:r>
      <w:r>
        <w:rPr>
          <w:spacing w:val="-3"/>
          <w:sz w:val="21"/>
        </w:rPr>
        <w:t>次</w:t>
      </w:r>
      <w:r>
        <w:rPr>
          <w:sz w:val="21"/>
        </w:rPr>
        <w:t>性</w:t>
      </w:r>
      <w:r>
        <w:rPr>
          <w:spacing w:val="-3"/>
          <w:sz w:val="21"/>
        </w:rPr>
        <w:t>书</w:t>
      </w:r>
      <w:r>
        <w:rPr>
          <w:sz w:val="21"/>
        </w:rPr>
        <w:t>面</w:t>
      </w:r>
      <w:r>
        <w:rPr>
          <w:spacing w:val="-3"/>
          <w:sz w:val="21"/>
        </w:rPr>
        <w:t>通</w:t>
      </w:r>
      <w:r>
        <w:rPr>
          <w:sz w:val="21"/>
        </w:rPr>
        <w:t>知</w:t>
      </w:r>
      <w:r>
        <w:rPr>
          <w:spacing w:val="-3"/>
          <w:sz w:val="21"/>
        </w:rPr>
        <w:t>申</w:t>
      </w:r>
      <w:r>
        <w:rPr>
          <w:sz w:val="21"/>
        </w:rPr>
        <w:t>请</w:t>
      </w:r>
    </w:p>
    <w:p>
      <w:pPr>
        <w:spacing w:before="12"/>
        <w:ind w:left="3174" w:right="0" w:firstLine="0"/>
        <w:jc w:val="left"/>
        <w:rPr>
          <w:sz w:val="21"/>
        </w:rPr>
      </w:pPr>
      <w:r>
        <w:rPr>
          <w:sz w:val="21"/>
        </w:rPr>
        <w:t>人补充提供有关的证明和资料。</w:t>
      </w:r>
    </w:p>
    <w:p>
      <w:pPr>
        <w:pStyle w:val="ListParagraph"/>
        <w:numPr>
          <w:ilvl w:val="1"/>
          <w:numId w:val="12"/>
        </w:numPr>
        <w:tabs>
          <w:tab w:pos="1167" w:val="left" w:leader="none"/>
          <w:tab w:pos="1168" w:val="left" w:leader="none"/>
          <w:tab w:pos="3174" w:val="left" w:leader="none"/>
        </w:tabs>
        <w:spacing w:line="240" w:lineRule="auto" w:before="152" w:after="0"/>
        <w:ind w:left="1167" w:right="0" w:hanging="1035"/>
        <w:jc w:val="left"/>
        <w:rPr>
          <w:sz w:val="21"/>
        </w:rPr>
      </w:pPr>
      <w:r>
        <w:rPr>
          <w:rFonts w:ascii="微软雅黑" w:eastAsia="微软雅黑" w:hint="eastAsia"/>
          <w:b/>
          <w:sz w:val="21"/>
        </w:rPr>
        <w:t>保险金给付</w:t>
        <w:tab/>
      </w:r>
      <w:r>
        <w:rPr>
          <w:spacing w:val="-18"/>
          <w:sz w:val="21"/>
        </w:rPr>
        <w:t>（1）</w:t>
      </w:r>
      <w:r>
        <w:rPr>
          <w:spacing w:val="-3"/>
          <w:sz w:val="21"/>
        </w:rPr>
        <w:t>百</w:t>
      </w:r>
      <w:r>
        <w:rPr>
          <w:sz w:val="21"/>
        </w:rPr>
        <w:t>年</w:t>
      </w:r>
      <w:r>
        <w:rPr>
          <w:spacing w:val="-3"/>
          <w:sz w:val="21"/>
        </w:rPr>
        <w:t>人</w:t>
      </w:r>
      <w:r>
        <w:rPr>
          <w:sz w:val="21"/>
        </w:rPr>
        <w:t>寿</w:t>
      </w:r>
      <w:r>
        <w:rPr>
          <w:spacing w:val="-3"/>
          <w:sz w:val="21"/>
        </w:rPr>
        <w:t>在</w:t>
      </w:r>
      <w:r>
        <w:rPr>
          <w:sz w:val="21"/>
        </w:rPr>
        <w:t>收</w:t>
      </w:r>
      <w:r>
        <w:rPr>
          <w:spacing w:val="-3"/>
          <w:sz w:val="21"/>
        </w:rPr>
        <w:t>到</w:t>
      </w:r>
      <w:r>
        <w:rPr>
          <w:sz w:val="21"/>
        </w:rPr>
        <w:t>保</w:t>
      </w:r>
      <w:r>
        <w:rPr>
          <w:spacing w:val="-3"/>
          <w:sz w:val="21"/>
        </w:rPr>
        <w:t>险</w:t>
      </w:r>
      <w:r>
        <w:rPr>
          <w:sz w:val="21"/>
        </w:rPr>
        <w:t>金给</w:t>
      </w:r>
      <w:r>
        <w:rPr>
          <w:spacing w:val="-3"/>
          <w:sz w:val="21"/>
        </w:rPr>
        <w:t>付</w:t>
      </w:r>
      <w:r>
        <w:rPr>
          <w:sz w:val="21"/>
        </w:rPr>
        <w:t>申</w:t>
      </w:r>
      <w:r>
        <w:rPr>
          <w:spacing w:val="-3"/>
          <w:sz w:val="21"/>
        </w:rPr>
        <w:t>请</w:t>
      </w:r>
      <w:r>
        <w:rPr>
          <w:sz w:val="21"/>
        </w:rPr>
        <w:t>书</w:t>
      </w:r>
      <w:r>
        <w:rPr>
          <w:spacing w:val="-3"/>
          <w:sz w:val="21"/>
        </w:rPr>
        <w:t>及</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pacing w:val="-53"/>
          <w:sz w:val="21"/>
        </w:rPr>
        <w:t>，</w:t>
      </w:r>
      <w:r>
        <w:rPr>
          <w:spacing w:val="-3"/>
          <w:sz w:val="21"/>
        </w:rPr>
        <w:t>将</w:t>
      </w:r>
      <w:r>
        <w:rPr>
          <w:sz w:val="21"/>
        </w:rPr>
        <w:t>在</w:t>
      </w:r>
    </w:p>
    <w:p>
      <w:pPr>
        <w:pStyle w:val="ListParagraph"/>
        <w:numPr>
          <w:ilvl w:val="0"/>
          <w:numId w:val="12"/>
        </w:numPr>
        <w:tabs>
          <w:tab w:pos="3876" w:val="left" w:leader="none"/>
        </w:tabs>
        <w:spacing w:line="273" w:lineRule="auto" w:before="11" w:after="0"/>
        <w:ind w:left="3700" w:right="104" w:firstLine="0"/>
        <w:jc w:val="both"/>
        <w:rPr>
          <w:sz w:val="21"/>
        </w:rPr>
      </w:pPr>
      <w:r>
        <w:rPr>
          <w:spacing w:val="-5"/>
          <w:sz w:val="21"/>
        </w:rPr>
        <w:t>日内作出核定；情形复杂的，在 </w:t>
      </w:r>
      <w:r>
        <w:rPr>
          <w:sz w:val="21"/>
        </w:rPr>
        <w:t>30</w:t>
      </w:r>
      <w:r>
        <w:rPr>
          <w:spacing w:val="-6"/>
          <w:sz w:val="21"/>
        </w:rPr>
        <w:t> 日内作出核定，但合同另有约</w:t>
      </w:r>
      <w:r>
        <w:rPr>
          <w:spacing w:val="-12"/>
          <w:sz w:val="21"/>
        </w:rPr>
        <w:t>定的除外。百年人寿应当将核定结果通知被保险人或者受益人；对属</w:t>
      </w:r>
      <w:r>
        <w:rPr>
          <w:spacing w:val="-7"/>
          <w:sz w:val="21"/>
        </w:rPr>
        <w:t>于保险责任的，在与被保险人或者受益人达成给付保险金的协议后</w:t>
      </w:r>
    </w:p>
    <w:p>
      <w:pPr>
        <w:spacing w:line="273" w:lineRule="auto" w:before="7"/>
        <w:ind w:left="3700" w:right="104" w:firstLine="0"/>
        <w:jc w:val="both"/>
        <w:rPr>
          <w:sz w:val="21"/>
        </w:rPr>
      </w:pPr>
      <w:r>
        <w:rPr>
          <w:sz w:val="21"/>
        </w:rPr>
        <w:t>10 日内，履行给付保险金义务。本合同对给付保险金的期限有约定的，百年人寿应当按照约定履行给付保险金义务。</w:t>
      </w:r>
    </w:p>
    <w:p>
      <w:pPr>
        <w:pStyle w:val="BodyText"/>
        <w:spacing w:before="6"/>
        <w:rPr>
          <w:sz w:val="29"/>
        </w:rPr>
      </w:pPr>
      <w:r>
        <w:rPr/>
        <w:pict>
          <v:line style="position:absolute;mso-position-horizontal-relative:page;mso-position-vertical-relative:paragraph;z-index:1264;mso-wrap-distance-left:0;mso-wrap-distance-right:0" from="56.639999pt,21.506687pt" to="200.689999pt,21.506687pt" stroked="true" strokeweight=".47998pt" strokecolor="#000000">
            <v:stroke dashstyle="solid"/>
            <w10:wrap type="topAndBottom"/>
          </v:line>
        </w:pict>
      </w:r>
    </w:p>
    <w:p>
      <w:pPr>
        <w:spacing w:line="256" w:lineRule="exact" w:before="0"/>
        <w:ind w:left="132" w:right="0" w:firstLine="0"/>
        <w:jc w:val="left"/>
        <w:rPr>
          <w:sz w:val="18"/>
        </w:rPr>
      </w:pPr>
      <w:r>
        <w:rPr>
          <w:rFonts w:ascii="Times New Roman" w:eastAsia="Times New Roman"/>
          <w:position w:val="6"/>
          <w:sz w:val="12"/>
        </w:rPr>
        <w:t>15   </w:t>
      </w:r>
      <w:r>
        <w:rPr>
          <w:rFonts w:ascii="微软雅黑" w:eastAsia="微软雅黑" w:hint="eastAsia"/>
          <w:b/>
          <w:sz w:val="18"/>
        </w:rPr>
        <w:t>申请人</w:t>
      </w:r>
      <w:r>
        <w:rPr>
          <w:sz w:val="18"/>
        </w:rPr>
        <w:t>指保险金受益人或其他有权领取保险金的人。</w:t>
      </w:r>
    </w:p>
    <w:p>
      <w:pPr>
        <w:pStyle w:val="BodyText"/>
        <w:spacing w:line="216" w:lineRule="auto"/>
        <w:ind w:left="313" w:right="233" w:hanging="181"/>
      </w:pPr>
      <w:r>
        <w:rPr>
          <w:rFonts w:ascii="Times New Roman" w:eastAsia="Times New Roman"/>
          <w:position w:val="6"/>
          <w:sz w:val="12"/>
        </w:rPr>
        <w:t>16 </w:t>
      </w:r>
      <w:r>
        <w:rPr>
          <w:rFonts w:ascii="微软雅黑" w:eastAsia="微软雅黑" w:hint="eastAsia"/>
          <w:b/>
        </w:rPr>
        <w:t>法定有效身份证明</w:t>
      </w:r>
      <w:r>
        <w:rPr>
          <w:spacing w:val="-9"/>
        </w:rPr>
        <w:t>指依据法律规定，由有权机构制作颁发的证明身份的证件、文件等，如：居民身份证、户口簿、护照、军人证等。</w:t>
      </w:r>
    </w:p>
    <w:p>
      <w:pPr>
        <w:spacing w:after="0" w:line="216" w:lineRule="auto"/>
        <w:sectPr>
          <w:type w:val="continuous"/>
          <w:pgSz w:w="11910" w:h="16840"/>
          <w:pgMar w:top="1000" w:bottom="860" w:left="1000" w:right="900"/>
        </w:sectPr>
      </w:pPr>
    </w:p>
    <w:p>
      <w:pPr>
        <w:pStyle w:val="BodyText"/>
        <w:rPr>
          <w:rFonts w:ascii="Times New Roman"/>
          <w:sz w:val="20"/>
        </w:rPr>
      </w:pPr>
    </w:p>
    <w:p>
      <w:pPr>
        <w:pStyle w:val="BodyText"/>
        <w:spacing w:before="6"/>
        <w:rPr>
          <w:rFonts w:ascii="Times New Roman"/>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207"/>
        <w:gridCol w:w="7188"/>
      </w:tblGrid>
      <w:tr>
        <w:trPr>
          <w:trHeight w:val="2843" w:hRule="atLeast"/>
        </w:trPr>
        <w:tc>
          <w:tcPr>
            <w:tcW w:w="728" w:type="dxa"/>
          </w:tcPr>
          <w:p>
            <w:pPr>
              <w:pStyle w:val="TableParagraph"/>
              <w:rPr>
                <w:rFonts w:ascii="Times New Roman"/>
                <w:sz w:val="20"/>
              </w:rPr>
            </w:pPr>
          </w:p>
        </w:tc>
        <w:tc>
          <w:tcPr>
            <w:tcW w:w="2207" w:type="dxa"/>
          </w:tcPr>
          <w:p>
            <w:pPr>
              <w:pStyle w:val="TableParagraph"/>
              <w:rPr>
                <w:rFonts w:ascii="Times New Roman"/>
                <w:sz w:val="20"/>
              </w:rPr>
            </w:pPr>
          </w:p>
        </w:tc>
        <w:tc>
          <w:tcPr>
            <w:tcW w:w="7188" w:type="dxa"/>
          </w:tcPr>
          <w:p>
            <w:pPr>
              <w:pStyle w:val="TableParagraph"/>
              <w:spacing w:line="211" w:lineRule="exact"/>
              <w:ind w:left="159"/>
              <w:rPr>
                <w:sz w:val="21"/>
              </w:rPr>
            </w:pPr>
            <w:r>
              <w:rPr>
                <w:sz w:val="21"/>
              </w:rPr>
              <w:t>（2）百年人寿未及时履行前款规定义务的，除支付保险金外，应当赔偿被</w:t>
            </w:r>
          </w:p>
          <w:p>
            <w:pPr>
              <w:pStyle w:val="TableParagraph"/>
              <w:spacing w:before="37"/>
              <w:ind w:left="684"/>
              <w:rPr>
                <w:sz w:val="21"/>
              </w:rPr>
            </w:pPr>
            <w:r>
              <w:rPr>
                <w:sz w:val="21"/>
              </w:rPr>
              <w:t>保险人或者受益人因此受到的损失。</w:t>
            </w:r>
          </w:p>
          <w:p>
            <w:pPr>
              <w:pStyle w:val="TableParagraph"/>
              <w:spacing w:line="273" w:lineRule="auto" w:before="36"/>
              <w:ind w:left="684" w:right="300" w:hanging="526"/>
              <w:jc w:val="both"/>
              <w:rPr>
                <w:sz w:val="21"/>
              </w:rPr>
            </w:pPr>
            <w:r>
              <w:rPr>
                <w:spacing w:val="-13"/>
                <w:sz w:val="21"/>
              </w:rPr>
              <w:t>（3）</w:t>
            </w:r>
            <w:r>
              <w:rPr>
                <w:spacing w:val="-7"/>
                <w:sz w:val="21"/>
              </w:rPr>
              <w:t>百年人寿依照前款的规定作出核定后，对不属于保险责任的，应当自</w:t>
            </w:r>
            <w:r>
              <w:rPr>
                <w:spacing w:val="-3"/>
                <w:sz w:val="21"/>
              </w:rPr>
              <w:t>作出核定之日起 </w:t>
            </w:r>
            <w:r>
              <w:rPr>
                <w:sz w:val="21"/>
              </w:rPr>
              <w:t>3</w:t>
            </w:r>
            <w:r>
              <w:rPr>
                <w:spacing w:val="-3"/>
                <w:sz w:val="21"/>
              </w:rPr>
              <w:t> 日内向被保险人或者受益人发出拒绝给付保险金通知书，并说明理由。</w:t>
            </w:r>
          </w:p>
          <w:p>
            <w:pPr>
              <w:pStyle w:val="TableParagraph"/>
              <w:spacing w:line="273" w:lineRule="auto" w:before="7"/>
              <w:ind w:left="684" w:right="197" w:hanging="526"/>
              <w:rPr>
                <w:sz w:val="21"/>
              </w:rPr>
            </w:pPr>
            <w:r>
              <w:rPr>
                <w:sz w:val="21"/>
              </w:rPr>
              <w:t>（4）</w:t>
            </w:r>
            <w:r>
              <w:rPr>
                <w:spacing w:val="-3"/>
                <w:sz w:val="21"/>
              </w:rPr>
              <w:t>百年人寿自收到给付保险金的请求和有关证明、资料之日起</w:t>
            </w:r>
            <w:r>
              <w:rPr>
                <w:sz w:val="21"/>
              </w:rPr>
              <w:t>60</w:t>
            </w:r>
            <w:r>
              <w:rPr>
                <w:spacing w:val="-2"/>
                <w:sz w:val="21"/>
              </w:rPr>
              <w:t>日内， </w:t>
            </w:r>
            <w:r>
              <w:rPr>
                <w:spacing w:val="-10"/>
                <w:sz w:val="21"/>
              </w:rPr>
              <w:t>对给付保险金的数额不能确定的，应当根据已有证明和资料可以确定</w:t>
            </w:r>
            <w:r>
              <w:rPr>
                <w:spacing w:val="-12"/>
                <w:sz w:val="21"/>
              </w:rPr>
              <w:t>的数额先予支付；百年人寿最终确定给付保险金的数额后，应当支付</w:t>
            </w:r>
            <w:r>
              <w:rPr>
                <w:spacing w:val="-6"/>
                <w:sz w:val="21"/>
              </w:rPr>
              <w:t>相应的差额。</w:t>
            </w:r>
          </w:p>
        </w:tc>
      </w:tr>
      <w:tr>
        <w:trPr>
          <w:trHeight w:val="1729" w:hRule="atLeast"/>
        </w:trPr>
        <w:tc>
          <w:tcPr>
            <w:tcW w:w="728" w:type="dxa"/>
          </w:tcPr>
          <w:p>
            <w:pPr>
              <w:pStyle w:val="TableParagraph"/>
              <w:spacing w:before="9"/>
              <w:ind w:left="52"/>
              <w:rPr>
                <w:rFonts w:ascii="微软雅黑"/>
                <w:b/>
                <w:sz w:val="21"/>
              </w:rPr>
            </w:pPr>
            <w:r>
              <w:rPr>
                <w:rFonts w:ascii="微软雅黑"/>
                <w:b/>
                <w:sz w:val="21"/>
              </w:rPr>
              <w:t>4.5</w:t>
            </w:r>
          </w:p>
        </w:tc>
        <w:tc>
          <w:tcPr>
            <w:tcW w:w="2207" w:type="dxa"/>
          </w:tcPr>
          <w:p>
            <w:pPr>
              <w:pStyle w:val="TableParagraph"/>
              <w:spacing w:line="206" w:lineRule="auto" w:before="60"/>
              <w:ind w:left="359" w:right="156"/>
              <w:rPr>
                <w:rFonts w:ascii="微软雅黑" w:eastAsia="微软雅黑" w:hint="eastAsia"/>
                <w:b/>
                <w:sz w:val="21"/>
              </w:rPr>
            </w:pPr>
            <w:r>
              <w:rPr>
                <w:rFonts w:ascii="微软雅黑" w:eastAsia="微软雅黑" w:hint="eastAsia"/>
                <w:b/>
                <w:sz w:val="21"/>
              </w:rPr>
              <w:t>法院宣告死亡的处理</w:t>
            </w:r>
          </w:p>
        </w:tc>
        <w:tc>
          <w:tcPr>
            <w:tcW w:w="7188" w:type="dxa"/>
          </w:tcPr>
          <w:p>
            <w:pPr>
              <w:pStyle w:val="TableParagraph"/>
              <w:spacing w:line="273" w:lineRule="auto" w:before="72"/>
              <w:ind w:left="159" w:right="301"/>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8"/>
              <w:ind w:left="159" w:right="301"/>
              <w:jc w:val="both"/>
              <w:rPr>
                <w:sz w:val="21"/>
              </w:rPr>
            </w:pPr>
            <w:r>
              <w:rPr>
                <w:sz w:val="21"/>
              </w:rPr>
              <w:t>如果被保险人在宣告死亡后重新出现或者确知其没有死亡，受益人或者其他领取保险金的人应于知道或应当知道之日起30日内，向百年人寿退还已收取的保险金，本合同的效力由百年人寿双方依法协商处理。</w:t>
            </w:r>
          </w:p>
        </w:tc>
      </w:tr>
      <w:tr>
        <w:trPr>
          <w:trHeight w:val="848" w:hRule="atLeast"/>
        </w:trPr>
        <w:tc>
          <w:tcPr>
            <w:tcW w:w="728" w:type="dxa"/>
          </w:tcPr>
          <w:p>
            <w:pPr>
              <w:pStyle w:val="TableParagraph"/>
              <w:spacing w:before="8"/>
              <w:ind w:left="52"/>
              <w:rPr>
                <w:rFonts w:ascii="微软雅黑"/>
                <w:b/>
                <w:sz w:val="21"/>
              </w:rPr>
            </w:pPr>
            <w:r>
              <w:rPr>
                <w:rFonts w:ascii="微软雅黑"/>
                <w:b/>
                <w:w w:val="81"/>
                <w:sz w:val="21"/>
              </w:rPr>
              <w:t>4</w:t>
            </w:r>
            <w:r>
              <w:rPr>
                <w:rFonts w:ascii="微软雅黑"/>
                <w:b/>
                <w:w w:val="176"/>
                <w:sz w:val="21"/>
              </w:rPr>
              <w:t>.</w:t>
            </w:r>
            <w:r>
              <w:rPr>
                <w:rFonts w:ascii="微软雅黑"/>
                <w:b/>
                <w:w w:val="81"/>
                <w:sz w:val="21"/>
              </w:rPr>
              <w:t>6</w:t>
            </w:r>
          </w:p>
        </w:tc>
        <w:tc>
          <w:tcPr>
            <w:tcW w:w="2207" w:type="dxa"/>
          </w:tcPr>
          <w:p>
            <w:pPr>
              <w:pStyle w:val="TableParagraph"/>
              <w:spacing w:before="8"/>
              <w:ind w:left="359"/>
              <w:rPr>
                <w:rFonts w:ascii="微软雅黑" w:eastAsia="微软雅黑" w:hint="eastAsia"/>
                <w:b/>
                <w:sz w:val="21"/>
              </w:rPr>
            </w:pPr>
            <w:r>
              <w:rPr>
                <w:rFonts w:ascii="微软雅黑" w:eastAsia="微软雅黑" w:hint="eastAsia"/>
                <w:b/>
                <w:sz w:val="21"/>
              </w:rPr>
              <w:t>诉讼时效</w:t>
            </w:r>
          </w:p>
        </w:tc>
        <w:tc>
          <w:tcPr>
            <w:tcW w:w="7188" w:type="dxa"/>
          </w:tcPr>
          <w:p>
            <w:pPr>
              <w:pStyle w:val="TableParagraph"/>
              <w:spacing w:line="273" w:lineRule="auto" w:before="70"/>
              <w:ind w:left="159" w:right="300"/>
              <w:rPr>
                <w:sz w:val="21"/>
              </w:rPr>
            </w:pPr>
            <w:r>
              <w:rPr>
                <w:spacing w:val="-5"/>
                <w:sz w:val="21"/>
              </w:rPr>
              <w:t>申请人向百年人寿申请给付保险金的诉讼时效期间为 </w:t>
            </w:r>
            <w:r>
              <w:rPr>
                <w:sz w:val="21"/>
              </w:rPr>
              <w:t>2</w:t>
            </w:r>
            <w:r>
              <w:rPr>
                <w:spacing w:val="-8"/>
                <w:sz w:val="21"/>
              </w:rPr>
              <w:t> 年，自其知道或应</w:t>
            </w:r>
            <w:r>
              <w:rPr>
                <w:spacing w:val="-5"/>
                <w:sz w:val="21"/>
              </w:rPr>
              <w:t>当知道保险事故发生之日起计算。</w:t>
            </w:r>
          </w:p>
        </w:tc>
      </w:tr>
      <w:tr>
        <w:trPr>
          <w:trHeight w:val="571" w:hRule="atLeast"/>
        </w:trPr>
        <w:tc>
          <w:tcPr>
            <w:tcW w:w="728" w:type="dxa"/>
          </w:tcPr>
          <w:p>
            <w:pPr>
              <w:pStyle w:val="TableParagraph"/>
              <w:spacing w:before="44"/>
              <w:ind w:left="52"/>
              <w:rPr>
                <w:rFonts w:ascii="微软雅黑" w:hAnsi="微软雅黑"/>
                <w:b/>
                <w:sz w:val="28"/>
              </w:rPr>
            </w:pPr>
            <w:r>
              <w:rPr>
                <w:rFonts w:ascii="微软雅黑" w:hAnsi="微软雅黑"/>
                <w:b/>
                <w:w w:val="100"/>
                <w:sz w:val="28"/>
              </w:rPr>
              <w:t>⒌</w:t>
            </w:r>
          </w:p>
        </w:tc>
        <w:tc>
          <w:tcPr>
            <w:tcW w:w="2207" w:type="dxa"/>
          </w:tcPr>
          <w:p>
            <w:pPr>
              <w:pStyle w:val="TableParagraph"/>
              <w:spacing w:before="45"/>
              <w:ind w:left="359"/>
              <w:rPr>
                <w:rFonts w:ascii="微软雅黑" w:eastAsia="微软雅黑" w:hint="eastAsia"/>
                <w:b/>
                <w:sz w:val="24"/>
              </w:rPr>
            </w:pPr>
            <w:r>
              <w:rPr>
                <w:rFonts w:ascii="微软雅黑" w:eastAsia="微软雅黑" w:hint="eastAsia"/>
                <w:b/>
                <w:sz w:val="24"/>
              </w:rPr>
              <w:t>如何退保</w:t>
            </w:r>
          </w:p>
        </w:tc>
        <w:tc>
          <w:tcPr>
            <w:tcW w:w="7188" w:type="dxa"/>
          </w:tcPr>
          <w:p>
            <w:pPr>
              <w:pStyle w:val="TableParagraph"/>
              <w:rPr>
                <w:rFonts w:ascii="Times New Roman"/>
                <w:sz w:val="20"/>
              </w:rPr>
            </w:pPr>
          </w:p>
        </w:tc>
      </w:tr>
      <w:tr>
        <w:trPr>
          <w:trHeight w:val="797" w:hRule="atLeast"/>
        </w:trPr>
        <w:tc>
          <w:tcPr>
            <w:tcW w:w="10123" w:type="dxa"/>
            <w:gridSpan w:val="3"/>
          </w:tcPr>
          <w:p>
            <w:pPr>
              <w:pStyle w:val="TableParagraph"/>
              <w:spacing w:line="206" w:lineRule="auto" w:before="2"/>
              <w:ind w:left="1087" w:right="388"/>
              <w:rPr>
                <w:rFonts w:ascii="微软雅黑" w:eastAsia="微软雅黑" w:hint="eastAsia"/>
                <w:b/>
                <w:sz w:val="21"/>
              </w:rPr>
            </w:pPr>
            <w:r>
              <w:rPr>
                <w:rFonts w:ascii="微软雅黑" w:eastAsia="微软雅黑" w:hint="eastAsia"/>
                <w:b/>
                <w:sz w:val="21"/>
              </w:rPr>
              <w:t>这部分描述的是您可以随时退保，在犹豫期内退保没有损失，但百年人寿不承担保险责任，犹豫期后退保会有损失。</w:t>
            </w:r>
          </w:p>
        </w:tc>
      </w:tr>
      <w:tr>
        <w:trPr>
          <w:trHeight w:val="2099" w:hRule="atLeast"/>
        </w:trPr>
        <w:tc>
          <w:tcPr>
            <w:tcW w:w="728" w:type="dxa"/>
            <w:tcBorders>
              <w:top w:val="single" w:sz="8" w:space="0" w:color="000000"/>
            </w:tcBorders>
          </w:tcPr>
          <w:p>
            <w:pPr>
              <w:pStyle w:val="TableParagraph"/>
              <w:spacing w:before="65"/>
              <w:ind w:left="52"/>
              <w:rPr>
                <w:rFonts w:ascii="微软雅黑"/>
                <w:b/>
                <w:sz w:val="21"/>
              </w:rPr>
            </w:pPr>
            <w:r>
              <w:rPr>
                <w:rFonts w:ascii="微软雅黑"/>
                <w:b/>
                <w:sz w:val="21"/>
              </w:rPr>
              <w:t>5.1</w:t>
            </w:r>
          </w:p>
        </w:tc>
        <w:tc>
          <w:tcPr>
            <w:tcW w:w="2207" w:type="dxa"/>
            <w:tcBorders>
              <w:top w:val="single" w:sz="8" w:space="0" w:color="000000"/>
            </w:tcBorders>
          </w:tcPr>
          <w:p>
            <w:pPr>
              <w:pStyle w:val="TableParagraph"/>
              <w:spacing w:before="65"/>
              <w:ind w:left="359"/>
              <w:rPr>
                <w:rFonts w:ascii="微软雅黑" w:eastAsia="微软雅黑" w:hint="eastAsia"/>
                <w:b/>
                <w:sz w:val="21"/>
              </w:rPr>
            </w:pPr>
            <w:r>
              <w:rPr>
                <w:rFonts w:ascii="微软雅黑" w:eastAsia="微软雅黑" w:hint="eastAsia"/>
                <w:b/>
                <w:sz w:val="21"/>
              </w:rPr>
              <w:t>犹豫期</w:t>
            </w:r>
          </w:p>
        </w:tc>
        <w:tc>
          <w:tcPr>
            <w:tcW w:w="7188" w:type="dxa"/>
            <w:tcBorders>
              <w:top w:val="single" w:sz="8" w:space="0" w:color="000000"/>
            </w:tcBorders>
          </w:tcPr>
          <w:p>
            <w:pPr>
              <w:pStyle w:val="TableParagraph"/>
              <w:spacing w:line="273" w:lineRule="auto" w:before="128"/>
              <w:ind w:left="159" w:right="301"/>
              <w:jc w:val="both"/>
              <w:rPr>
                <w:sz w:val="21"/>
              </w:rPr>
            </w:pPr>
            <w:r>
              <w:rPr>
                <w:spacing w:val="-6"/>
                <w:sz w:val="21"/>
              </w:rPr>
              <w:t>自您签收本合同之日起享有 </w:t>
            </w:r>
            <w:r>
              <w:rPr>
                <w:sz w:val="21"/>
              </w:rPr>
              <w:t>10</w:t>
            </w:r>
            <w:r>
              <w:rPr>
                <w:spacing w:val="-15"/>
                <w:sz w:val="21"/>
              </w:rPr>
              <w:t> 日的犹豫期。在此期间，请您认真审视本合</w:t>
            </w:r>
            <w:r>
              <w:rPr>
                <w:spacing w:val="-3"/>
                <w:sz w:val="21"/>
              </w:rPr>
              <w:t>同。如果您确定本合同与您的需求不相符，您可以书面提出解除本合同申请，您应将本合同、保险费发票原件以及您所能提供的其他与解除合同有关的材料提交给百年人寿。自您书面申请解除合同之日起，本合同正式解除，百年人寿自本合同生效之日起自始不承担保险责任，但无息退还您所交纳的保险费。</w:t>
            </w:r>
          </w:p>
        </w:tc>
      </w:tr>
      <w:tr>
        <w:trPr>
          <w:trHeight w:val="2721" w:hRule="atLeast"/>
        </w:trPr>
        <w:tc>
          <w:tcPr>
            <w:tcW w:w="728" w:type="dxa"/>
          </w:tcPr>
          <w:p>
            <w:pPr>
              <w:pStyle w:val="TableParagraph"/>
              <w:spacing w:before="9"/>
              <w:ind w:left="52"/>
              <w:rPr>
                <w:rFonts w:ascii="微软雅黑"/>
                <w:b/>
                <w:sz w:val="21"/>
              </w:rPr>
            </w:pPr>
            <w:r>
              <w:rPr>
                <w:rFonts w:ascii="微软雅黑"/>
                <w:b/>
                <w:sz w:val="21"/>
              </w:rPr>
              <w:t>5.2</w:t>
            </w:r>
          </w:p>
        </w:tc>
        <w:tc>
          <w:tcPr>
            <w:tcW w:w="2207" w:type="dxa"/>
          </w:tcPr>
          <w:p>
            <w:pPr>
              <w:pStyle w:val="TableParagraph"/>
              <w:spacing w:before="9"/>
              <w:ind w:left="359"/>
              <w:rPr>
                <w:rFonts w:ascii="微软雅黑" w:eastAsia="微软雅黑" w:hint="eastAsia"/>
                <w:b/>
                <w:sz w:val="21"/>
              </w:rPr>
            </w:pPr>
            <w:r>
              <w:rPr>
                <w:rFonts w:ascii="微软雅黑" w:eastAsia="微软雅黑" w:hint="eastAsia"/>
                <w:b/>
                <w:sz w:val="21"/>
              </w:rPr>
              <w:t>您解除合同的手续</w:t>
            </w:r>
          </w:p>
        </w:tc>
        <w:tc>
          <w:tcPr>
            <w:tcW w:w="7188" w:type="dxa"/>
          </w:tcPr>
          <w:p>
            <w:pPr>
              <w:pStyle w:val="TableParagraph"/>
              <w:spacing w:line="273" w:lineRule="auto" w:before="72"/>
              <w:ind w:left="159" w:right="301"/>
              <w:rPr>
                <w:sz w:val="21"/>
              </w:rPr>
            </w:pPr>
            <w:r>
              <w:rPr>
                <w:sz w:val="21"/>
              </w:rPr>
              <w:t>您在犹豫期后，可以书面通知要求解除本合同，并向百年人寿提供下列证明和资料：</w:t>
            </w:r>
          </w:p>
          <w:p>
            <w:pPr>
              <w:pStyle w:val="TableParagraph"/>
              <w:spacing w:before="8"/>
              <w:ind w:left="159"/>
              <w:rPr>
                <w:sz w:val="21"/>
              </w:rPr>
            </w:pPr>
            <w:r>
              <w:rPr>
                <w:sz w:val="21"/>
              </w:rPr>
              <w:t>（1）保险合同；</w:t>
            </w:r>
          </w:p>
          <w:p>
            <w:pPr>
              <w:pStyle w:val="TableParagraph"/>
              <w:spacing w:before="37"/>
              <w:ind w:left="159"/>
              <w:rPr>
                <w:sz w:val="21"/>
              </w:rPr>
            </w:pPr>
            <w:r>
              <w:rPr>
                <w:sz w:val="21"/>
              </w:rPr>
              <w:t>（2）解除合同申请书；</w:t>
            </w:r>
          </w:p>
          <w:p>
            <w:pPr>
              <w:pStyle w:val="TableParagraph"/>
              <w:spacing w:before="37"/>
              <w:ind w:left="159"/>
              <w:rPr>
                <w:sz w:val="21"/>
              </w:rPr>
            </w:pPr>
            <w:r>
              <w:rPr>
                <w:sz w:val="21"/>
              </w:rPr>
              <w:t>（3）您的法定有效身份证明。</w:t>
            </w:r>
          </w:p>
          <w:p>
            <w:pPr>
              <w:pStyle w:val="TableParagraph"/>
              <w:spacing w:line="273" w:lineRule="auto" w:before="37"/>
              <w:ind w:left="159" w:right="301"/>
              <w:rPr>
                <w:sz w:val="21"/>
              </w:rPr>
            </w:pPr>
            <w:r>
              <w:rPr>
                <w:sz w:val="21"/>
              </w:rPr>
              <w:t>自您书面申请解除合同之日起，本合同效力终止。百年人寿自接到解除合同通知之日起 30 日内向您退还本合同的现金价值。</w:t>
            </w:r>
          </w:p>
          <w:p>
            <w:pPr>
              <w:pStyle w:val="TableParagraph"/>
              <w:spacing w:line="308" w:lineRule="exact"/>
              <w:ind w:left="159"/>
              <w:rPr>
                <w:rFonts w:ascii="微软雅黑" w:eastAsia="微软雅黑" w:hint="eastAsia"/>
                <w:b/>
                <w:sz w:val="21"/>
              </w:rPr>
            </w:pPr>
            <w:r>
              <w:rPr>
                <w:rFonts w:ascii="微软雅黑" w:eastAsia="微软雅黑" w:hint="eastAsia"/>
                <w:b/>
                <w:sz w:val="21"/>
              </w:rPr>
              <w:t>您在犹豫期后解除合同会遭受一定损失。</w:t>
            </w:r>
          </w:p>
        </w:tc>
      </w:tr>
      <w:tr>
        <w:trPr>
          <w:trHeight w:val="628" w:hRule="atLeast"/>
        </w:trPr>
        <w:tc>
          <w:tcPr>
            <w:tcW w:w="728" w:type="dxa"/>
          </w:tcPr>
          <w:p>
            <w:pPr>
              <w:pStyle w:val="TableParagraph"/>
              <w:spacing w:before="32"/>
              <w:ind w:left="52"/>
              <w:rPr>
                <w:rFonts w:ascii="微软雅黑" w:hAnsi="微软雅黑"/>
                <w:b/>
                <w:sz w:val="28"/>
              </w:rPr>
            </w:pPr>
            <w:r>
              <w:rPr>
                <w:rFonts w:ascii="微软雅黑" w:hAnsi="微软雅黑"/>
                <w:b/>
                <w:w w:val="100"/>
                <w:sz w:val="28"/>
              </w:rPr>
              <w:t>⒍</w:t>
            </w:r>
          </w:p>
        </w:tc>
        <w:tc>
          <w:tcPr>
            <w:tcW w:w="9395" w:type="dxa"/>
            <w:gridSpan w:val="2"/>
          </w:tcPr>
          <w:p>
            <w:pPr>
              <w:pStyle w:val="TableParagraph"/>
              <w:spacing w:before="45"/>
              <w:ind w:left="359"/>
              <w:rPr>
                <w:rFonts w:ascii="微软雅黑" w:eastAsia="微软雅黑" w:hint="eastAsia"/>
                <w:b/>
                <w:sz w:val="24"/>
              </w:rPr>
            </w:pPr>
            <w:r>
              <w:rPr>
                <w:rFonts w:ascii="微软雅黑" w:eastAsia="微软雅黑" w:hint="eastAsia"/>
                <w:b/>
                <w:sz w:val="24"/>
              </w:rPr>
              <w:t>还需要注意哪些事项</w:t>
            </w:r>
          </w:p>
        </w:tc>
      </w:tr>
      <w:tr>
        <w:trPr>
          <w:trHeight w:val="514" w:hRule="atLeast"/>
        </w:trPr>
        <w:tc>
          <w:tcPr>
            <w:tcW w:w="10123" w:type="dxa"/>
            <w:gridSpan w:val="3"/>
          </w:tcPr>
          <w:p>
            <w:pPr>
              <w:pStyle w:val="TableParagraph"/>
              <w:spacing w:before="20"/>
              <w:ind w:left="1087"/>
              <w:rPr>
                <w:rFonts w:ascii="微软雅黑" w:eastAsia="微软雅黑" w:hint="eastAsia"/>
                <w:b/>
                <w:sz w:val="21"/>
              </w:rPr>
            </w:pPr>
            <w:r>
              <w:rPr>
                <w:rFonts w:ascii="微软雅黑" w:eastAsia="微软雅黑" w:hint="eastAsia"/>
                <w:b/>
                <w:sz w:val="21"/>
              </w:rPr>
              <w:t>这部分描述的是您应当注意的其他事项。</w:t>
            </w:r>
          </w:p>
        </w:tc>
      </w:tr>
      <w:tr>
        <w:trPr>
          <w:trHeight w:val="1056" w:hRule="atLeast"/>
        </w:trPr>
        <w:tc>
          <w:tcPr>
            <w:tcW w:w="728" w:type="dxa"/>
            <w:tcBorders>
              <w:top w:val="single" w:sz="8" w:space="0" w:color="000000"/>
            </w:tcBorders>
          </w:tcPr>
          <w:p>
            <w:pPr>
              <w:pStyle w:val="TableParagraph"/>
              <w:spacing w:before="94"/>
              <w:ind w:left="52"/>
              <w:rPr>
                <w:rFonts w:ascii="微软雅黑"/>
                <w:b/>
                <w:sz w:val="21"/>
              </w:rPr>
            </w:pPr>
            <w:r>
              <w:rPr>
                <w:rFonts w:ascii="微软雅黑"/>
                <w:b/>
                <w:sz w:val="21"/>
              </w:rPr>
              <w:t>6.1</w:t>
            </w:r>
          </w:p>
        </w:tc>
        <w:tc>
          <w:tcPr>
            <w:tcW w:w="2207" w:type="dxa"/>
            <w:tcBorders>
              <w:top w:val="single" w:sz="8" w:space="0" w:color="000000"/>
            </w:tcBorders>
          </w:tcPr>
          <w:p>
            <w:pPr>
              <w:pStyle w:val="TableParagraph"/>
              <w:spacing w:before="94"/>
              <w:ind w:left="359"/>
              <w:rPr>
                <w:rFonts w:ascii="微软雅黑" w:eastAsia="微软雅黑" w:hint="eastAsia"/>
                <w:b/>
                <w:sz w:val="21"/>
              </w:rPr>
            </w:pPr>
            <w:r>
              <w:rPr>
                <w:rFonts w:ascii="微软雅黑" w:eastAsia="微软雅黑" w:hint="eastAsia"/>
                <w:b/>
                <w:sz w:val="21"/>
              </w:rPr>
              <w:t>合同构成</w:t>
            </w:r>
          </w:p>
        </w:tc>
        <w:tc>
          <w:tcPr>
            <w:tcW w:w="7188" w:type="dxa"/>
            <w:tcBorders>
              <w:top w:val="single" w:sz="8" w:space="0" w:color="000000"/>
            </w:tcBorders>
          </w:tcPr>
          <w:p>
            <w:pPr>
              <w:pStyle w:val="TableParagraph"/>
              <w:spacing w:line="310" w:lineRule="atLeast" w:before="122"/>
              <w:ind w:left="159" w:right="301"/>
              <w:jc w:val="both"/>
              <w:rPr>
                <w:sz w:val="21"/>
              </w:rPr>
            </w:pPr>
            <w:r>
              <w:rPr>
                <w:sz w:val="21"/>
              </w:rPr>
              <w:t>本合同是您与百年人寿约定保险权利义务关系的协议，包括本保险条款、保险单或其他保险凭证、投保书副本、与本合同有关的投保文件、合法有效的声明、批注、批单及其他您与百年人寿共同认可的书面协议。</w:t>
            </w:r>
          </w:p>
        </w:tc>
      </w:tr>
    </w:tbl>
    <w:p>
      <w:pPr>
        <w:spacing w:after="0" w:line="310" w:lineRule="atLeast"/>
        <w:jc w:val="both"/>
        <w:rPr>
          <w:sz w:val="21"/>
        </w:rPr>
        <w:sectPr>
          <w:pgSz w:w="11910" w:h="16840"/>
          <w:pgMar w:header="567" w:footer="664" w:top="1000" w:bottom="860" w:left="980" w:right="6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208"/>
        <w:gridCol w:w="6935"/>
      </w:tblGrid>
      <w:tr>
        <w:trPr>
          <w:trHeight w:val="971" w:hRule="atLeast"/>
        </w:trPr>
        <w:tc>
          <w:tcPr>
            <w:tcW w:w="726" w:type="dxa"/>
          </w:tcPr>
          <w:p>
            <w:pPr>
              <w:pStyle w:val="TableParagraph"/>
              <w:rPr>
                <w:rFonts w:ascii="Times New Roman"/>
                <w:sz w:val="20"/>
              </w:rPr>
            </w:pPr>
          </w:p>
        </w:tc>
        <w:tc>
          <w:tcPr>
            <w:tcW w:w="2208" w:type="dxa"/>
          </w:tcPr>
          <w:p>
            <w:pPr>
              <w:pStyle w:val="TableParagraph"/>
              <w:rPr>
                <w:rFonts w:ascii="Times New Roman"/>
                <w:sz w:val="20"/>
              </w:rPr>
            </w:pPr>
          </w:p>
        </w:tc>
        <w:tc>
          <w:tcPr>
            <w:tcW w:w="6935" w:type="dxa"/>
          </w:tcPr>
          <w:p>
            <w:pPr>
              <w:pStyle w:val="TableParagraph"/>
              <w:spacing w:line="211" w:lineRule="exact"/>
              <w:ind w:left="157"/>
              <w:rPr>
                <w:sz w:val="21"/>
              </w:rPr>
            </w:pPr>
            <w:r>
              <w:rPr>
                <w:sz w:val="21"/>
              </w:rPr>
              <w:t>若上述构成本合同的文件正本需留百年人寿存档，则其复印件或电子影像</w:t>
            </w:r>
          </w:p>
          <w:p>
            <w:pPr>
              <w:pStyle w:val="TableParagraph"/>
              <w:spacing w:line="273" w:lineRule="auto" w:before="37"/>
              <w:ind w:left="157" w:right="49"/>
              <w:rPr>
                <w:sz w:val="21"/>
              </w:rPr>
            </w:pPr>
            <w:r>
              <w:rPr>
                <w:sz w:val="21"/>
              </w:rPr>
              <w:t>印刷件亦视为本合同的构成部分，其效力与正本相同；若复印件或电子影像印刷件的内容与正本不同时，则以正本为准。</w:t>
            </w:r>
          </w:p>
        </w:tc>
      </w:tr>
      <w:tr>
        <w:trPr>
          <w:trHeight w:val="481" w:hRule="atLeast"/>
        </w:trPr>
        <w:tc>
          <w:tcPr>
            <w:tcW w:w="726" w:type="dxa"/>
          </w:tcPr>
          <w:p>
            <w:pPr>
              <w:pStyle w:val="TableParagraph"/>
              <w:spacing w:before="9"/>
              <w:ind w:left="50"/>
              <w:rPr>
                <w:rFonts w:ascii="微软雅黑"/>
                <w:b/>
                <w:sz w:val="21"/>
              </w:rPr>
            </w:pPr>
            <w:r>
              <w:rPr>
                <w:rFonts w:ascii="微软雅黑"/>
                <w:b/>
                <w:sz w:val="21"/>
              </w:rPr>
              <w:t>6.2</w:t>
            </w:r>
          </w:p>
        </w:tc>
        <w:tc>
          <w:tcPr>
            <w:tcW w:w="2208" w:type="dxa"/>
          </w:tcPr>
          <w:p>
            <w:pPr>
              <w:pStyle w:val="TableParagraph"/>
              <w:spacing w:before="9"/>
              <w:ind w:left="358"/>
              <w:rPr>
                <w:rFonts w:ascii="微软雅黑" w:eastAsia="微软雅黑" w:hint="eastAsia"/>
                <w:b/>
                <w:sz w:val="21"/>
              </w:rPr>
            </w:pPr>
            <w:r>
              <w:rPr>
                <w:rFonts w:ascii="微软雅黑" w:eastAsia="微软雅黑" w:hint="eastAsia"/>
                <w:b/>
                <w:sz w:val="21"/>
              </w:rPr>
              <w:t>合同成立与生效</w:t>
            </w:r>
          </w:p>
        </w:tc>
        <w:tc>
          <w:tcPr>
            <w:tcW w:w="6935" w:type="dxa"/>
          </w:tcPr>
          <w:p>
            <w:pPr>
              <w:pStyle w:val="TableParagraph"/>
              <w:spacing w:before="72"/>
              <w:ind w:left="157"/>
              <w:rPr>
                <w:sz w:val="21"/>
              </w:rPr>
            </w:pPr>
            <w:r>
              <w:rPr>
                <w:sz w:val="21"/>
              </w:rPr>
              <w:t>本合同须与主合同同时投保，本合同成立及生效日与主合同相同。</w:t>
            </w:r>
          </w:p>
        </w:tc>
      </w:tr>
      <w:tr>
        <w:trPr>
          <w:trHeight w:val="1105" w:hRule="atLeast"/>
        </w:trPr>
        <w:tc>
          <w:tcPr>
            <w:tcW w:w="726" w:type="dxa"/>
          </w:tcPr>
          <w:p>
            <w:pPr>
              <w:pStyle w:val="TableParagraph"/>
              <w:spacing w:before="8"/>
              <w:ind w:left="50"/>
              <w:rPr>
                <w:rFonts w:ascii="微软雅黑"/>
                <w:b/>
                <w:sz w:val="21"/>
              </w:rPr>
            </w:pPr>
            <w:r>
              <w:rPr>
                <w:rFonts w:ascii="微软雅黑"/>
                <w:b/>
                <w:sz w:val="21"/>
              </w:rPr>
              <w:t>6.3</w:t>
            </w:r>
          </w:p>
        </w:tc>
        <w:tc>
          <w:tcPr>
            <w:tcW w:w="2208" w:type="dxa"/>
          </w:tcPr>
          <w:p>
            <w:pPr>
              <w:pStyle w:val="TableParagraph"/>
              <w:spacing w:before="8"/>
              <w:ind w:left="358"/>
              <w:rPr>
                <w:rFonts w:ascii="微软雅黑" w:eastAsia="微软雅黑" w:hint="eastAsia"/>
                <w:b/>
                <w:sz w:val="21"/>
              </w:rPr>
            </w:pPr>
            <w:r>
              <w:rPr>
                <w:rFonts w:ascii="微软雅黑" w:eastAsia="微软雅黑" w:hint="eastAsia"/>
                <w:b/>
                <w:sz w:val="21"/>
              </w:rPr>
              <w:t>合同效力终止</w:t>
            </w:r>
          </w:p>
        </w:tc>
        <w:tc>
          <w:tcPr>
            <w:tcW w:w="6935" w:type="dxa"/>
          </w:tcPr>
          <w:p>
            <w:pPr>
              <w:pStyle w:val="TableParagraph"/>
              <w:spacing w:before="70"/>
              <w:ind w:left="157"/>
              <w:rPr>
                <w:sz w:val="21"/>
              </w:rPr>
            </w:pPr>
            <w:r>
              <w:rPr>
                <w:sz w:val="21"/>
              </w:rPr>
              <w:t>当发生下列情形之一时，本合同效力终止：</w:t>
            </w:r>
          </w:p>
          <w:p>
            <w:pPr>
              <w:pStyle w:val="TableParagraph"/>
              <w:spacing w:before="36"/>
              <w:ind w:left="157"/>
              <w:rPr>
                <w:sz w:val="21"/>
              </w:rPr>
            </w:pPr>
            <w:r>
              <w:rPr>
                <w:sz w:val="21"/>
              </w:rPr>
              <w:t>（1）主合同解除、期满或效力终止；</w:t>
            </w:r>
          </w:p>
          <w:p>
            <w:pPr>
              <w:pStyle w:val="TableParagraph"/>
              <w:spacing w:before="36"/>
              <w:ind w:left="157"/>
              <w:rPr>
                <w:sz w:val="21"/>
              </w:rPr>
            </w:pPr>
            <w:r>
              <w:rPr>
                <w:sz w:val="21"/>
              </w:rPr>
              <w:t>（2）出现主合同或本合同内的其他约定终止的情况。</w:t>
            </w:r>
          </w:p>
        </w:tc>
      </w:tr>
      <w:tr>
        <w:trPr>
          <w:trHeight w:val="794" w:hRule="atLeast"/>
        </w:trPr>
        <w:tc>
          <w:tcPr>
            <w:tcW w:w="726" w:type="dxa"/>
          </w:tcPr>
          <w:p>
            <w:pPr>
              <w:pStyle w:val="TableParagraph"/>
              <w:spacing w:before="9"/>
              <w:ind w:left="50"/>
              <w:rPr>
                <w:rFonts w:ascii="微软雅黑"/>
                <w:b/>
                <w:sz w:val="21"/>
              </w:rPr>
            </w:pPr>
            <w:r>
              <w:rPr>
                <w:rFonts w:ascii="微软雅黑"/>
                <w:b/>
                <w:sz w:val="21"/>
              </w:rPr>
              <w:t>6.4</w:t>
            </w:r>
          </w:p>
        </w:tc>
        <w:tc>
          <w:tcPr>
            <w:tcW w:w="2208" w:type="dxa"/>
          </w:tcPr>
          <w:p>
            <w:pPr>
              <w:pStyle w:val="TableParagraph"/>
              <w:spacing w:line="206" w:lineRule="auto" w:before="60"/>
              <w:ind w:left="358" w:right="157"/>
              <w:rPr>
                <w:rFonts w:ascii="微软雅黑" w:eastAsia="微软雅黑" w:hint="eastAsia"/>
                <w:b/>
                <w:sz w:val="21"/>
              </w:rPr>
            </w:pPr>
            <w:r>
              <w:rPr>
                <w:rFonts w:ascii="微软雅黑" w:eastAsia="微软雅黑" w:hint="eastAsia"/>
                <w:b/>
                <w:sz w:val="21"/>
              </w:rPr>
              <w:t>与主合同不一致的解决</w:t>
            </w:r>
          </w:p>
        </w:tc>
        <w:tc>
          <w:tcPr>
            <w:tcW w:w="6935" w:type="dxa"/>
          </w:tcPr>
          <w:p>
            <w:pPr>
              <w:pStyle w:val="TableParagraph"/>
              <w:spacing w:line="273" w:lineRule="auto" w:before="72"/>
              <w:ind w:left="157" w:right="49"/>
              <w:rPr>
                <w:sz w:val="21"/>
              </w:rPr>
            </w:pPr>
            <w:r>
              <w:rPr>
                <w:sz w:val="21"/>
              </w:rPr>
              <w:t>主合同的条款中与本合同相关的部分均为本合同的构成部分，若主合同与本合同的条款相抵触的，则以本合同的条款为准。</w:t>
            </w:r>
          </w:p>
        </w:tc>
      </w:tr>
      <w:tr>
        <w:trPr>
          <w:trHeight w:val="482" w:hRule="atLeast"/>
        </w:trPr>
        <w:tc>
          <w:tcPr>
            <w:tcW w:w="726" w:type="dxa"/>
          </w:tcPr>
          <w:p>
            <w:pPr>
              <w:pStyle w:val="TableParagraph"/>
              <w:spacing w:before="9"/>
              <w:ind w:left="50"/>
              <w:rPr>
                <w:rFonts w:ascii="微软雅黑"/>
                <w:b/>
                <w:sz w:val="21"/>
              </w:rPr>
            </w:pPr>
            <w:r>
              <w:rPr>
                <w:rFonts w:ascii="微软雅黑"/>
                <w:b/>
                <w:sz w:val="21"/>
              </w:rPr>
              <w:t>6.5</w:t>
            </w:r>
          </w:p>
        </w:tc>
        <w:tc>
          <w:tcPr>
            <w:tcW w:w="2208" w:type="dxa"/>
          </w:tcPr>
          <w:p>
            <w:pPr>
              <w:pStyle w:val="TableParagraph"/>
              <w:spacing w:before="9"/>
              <w:ind w:left="358"/>
              <w:rPr>
                <w:rFonts w:ascii="微软雅黑" w:eastAsia="微软雅黑" w:hint="eastAsia"/>
                <w:b/>
                <w:sz w:val="21"/>
              </w:rPr>
            </w:pPr>
            <w:r>
              <w:rPr>
                <w:rFonts w:ascii="微软雅黑" w:eastAsia="微软雅黑" w:hint="eastAsia"/>
                <w:b/>
                <w:sz w:val="21"/>
              </w:rPr>
              <w:t>投保年龄</w:t>
            </w:r>
          </w:p>
        </w:tc>
        <w:tc>
          <w:tcPr>
            <w:tcW w:w="6935" w:type="dxa"/>
          </w:tcPr>
          <w:p>
            <w:pPr>
              <w:pStyle w:val="TableParagraph"/>
              <w:spacing w:before="72"/>
              <w:ind w:left="157"/>
              <w:rPr>
                <w:sz w:val="21"/>
              </w:rPr>
            </w:pPr>
            <w:r>
              <w:rPr>
                <w:sz w:val="21"/>
              </w:rPr>
              <w:t>本合同投保年龄与主合同相同。</w:t>
            </w:r>
          </w:p>
        </w:tc>
      </w:tr>
      <w:tr>
        <w:trPr>
          <w:trHeight w:val="397" w:hRule="atLeast"/>
        </w:trPr>
        <w:tc>
          <w:tcPr>
            <w:tcW w:w="726" w:type="dxa"/>
          </w:tcPr>
          <w:p>
            <w:pPr>
              <w:pStyle w:val="TableParagraph"/>
              <w:spacing w:before="9"/>
              <w:ind w:left="50"/>
              <w:rPr>
                <w:rFonts w:ascii="微软雅黑"/>
                <w:b/>
                <w:sz w:val="21"/>
              </w:rPr>
            </w:pPr>
            <w:r>
              <w:rPr>
                <w:rFonts w:ascii="微软雅黑"/>
                <w:b/>
                <w:sz w:val="21"/>
              </w:rPr>
              <w:t>6.6</w:t>
            </w:r>
          </w:p>
        </w:tc>
        <w:tc>
          <w:tcPr>
            <w:tcW w:w="2208" w:type="dxa"/>
          </w:tcPr>
          <w:p>
            <w:pPr>
              <w:pStyle w:val="TableParagraph"/>
              <w:spacing w:before="9"/>
              <w:ind w:left="358"/>
              <w:rPr>
                <w:rFonts w:ascii="微软雅黑" w:eastAsia="微软雅黑" w:hint="eastAsia"/>
                <w:b/>
                <w:sz w:val="21"/>
              </w:rPr>
            </w:pPr>
            <w:r>
              <w:rPr>
                <w:rFonts w:ascii="微软雅黑" w:eastAsia="微软雅黑" w:hint="eastAsia"/>
                <w:b/>
                <w:sz w:val="21"/>
              </w:rPr>
              <w:t>年龄性别错误</w:t>
            </w:r>
          </w:p>
        </w:tc>
        <w:tc>
          <w:tcPr>
            <w:tcW w:w="6935" w:type="dxa"/>
          </w:tcPr>
          <w:p>
            <w:pPr>
              <w:pStyle w:val="TableParagraph"/>
              <w:spacing w:before="72"/>
              <w:ind w:left="157"/>
              <w:rPr>
                <w:sz w:val="21"/>
              </w:rPr>
            </w:pPr>
            <w:r>
              <w:rPr>
                <w:sz w:val="21"/>
              </w:rPr>
              <w:t>您在申请投保时，应将与法定有效身份证明相符的被保险人的出生日期和</w:t>
            </w:r>
          </w:p>
        </w:tc>
      </w:tr>
      <w:tr>
        <w:trPr>
          <w:trHeight w:val="312" w:hRule="atLeast"/>
        </w:trPr>
        <w:tc>
          <w:tcPr>
            <w:tcW w:w="726" w:type="dxa"/>
          </w:tcPr>
          <w:p>
            <w:pPr>
              <w:pStyle w:val="TableParagraph"/>
              <w:rPr>
                <w:rFonts w:ascii="Times New Roman"/>
                <w:sz w:val="20"/>
              </w:rPr>
            </w:pPr>
          </w:p>
        </w:tc>
        <w:tc>
          <w:tcPr>
            <w:tcW w:w="2208" w:type="dxa"/>
          </w:tcPr>
          <w:p>
            <w:pPr>
              <w:pStyle w:val="TableParagraph"/>
              <w:rPr>
                <w:rFonts w:ascii="Times New Roman"/>
                <w:sz w:val="20"/>
              </w:rPr>
            </w:pPr>
          </w:p>
        </w:tc>
        <w:tc>
          <w:tcPr>
            <w:tcW w:w="6935" w:type="dxa"/>
          </w:tcPr>
          <w:p>
            <w:pPr>
              <w:pStyle w:val="TableParagraph"/>
              <w:spacing w:line="262" w:lineRule="exact"/>
              <w:ind w:left="157"/>
              <w:rPr>
                <w:sz w:val="21"/>
              </w:rPr>
            </w:pPr>
            <w:r>
              <w:rPr>
                <w:sz w:val="21"/>
              </w:rPr>
              <w:t>性别在投保书上填明，如果发生错误按照下列方式办理：</w:t>
            </w:r>
          </w:p>
        </w:tc>
      </w:tr>
      <w:tr>
        <w:trPr>
          <w:trHeight w:val="261" w:hRule="atLeast"/>
        </w:trPr>
        <w:tc>
          <w:tcPr>
            <w:tcW w:w="726" w:type="dxa"/>
          </w:tcPr>
          <w:p>
            <w:pPr>
              <w:pStyle w:val="TableParagraph"/>
              <w:rPr>
                <w:rFonts w:ascii="Times New Roman"/>
                <w:sz w:val="18"/>
              </w:rPr>
            </w:pPr>
          </w:p>
        </w:tc>
        <w:tc>
          <w:tcPr>
            <w:tcW w:w="2208" w:type="dxa"/>
          </w:tcPr>
          <w:p>
            <w:pPr>
              <w:pStyle w:val="TableParagraph"/>
              <w:rPr>
                <w:rFonts w:ascii="Times New Roman"/>
                <w:sz w:val="18"/>
              </w:rPr>
            </w:pPr>
          </w:p>
        </w:tc>
        <w:tc>
          <w:tcPr>
            <w:tcW w:w="6935" w:type="dxa"/>
          </w:tcPr>
          <w:p>
            <w:pPr>
              <w:pStyle w:val="TableParagraph"/>
              <w:spacing w:line="242" w:lineRule="exact"/>
              <w:ind w:left="157"/>
              <w:rPr>
                <w:sz w:val="21"/>
              </w:rPr>
            </w:pPr>
            <w:r>
              <w:rPr>
                <w:spacing w:val="-18"/>
                <w:sz w:val="21"/>
              </w:rPr>
              <w:t>（1）</w:t>
            </w:r>
            <w:r>
              <w:rPr>
                <w:spacing w:val="-7"/>
                <w:sz w:val="21"/>
              </w:rPr>
              <w:t>您申报的被保险人年龄不真实，并且其真实年龄不符合本合同约定投</w:t>
            </w:r>
          </w:p>
        </w:tc>
      </w:tr>
    </w:tbl>
    <w:p>
      <w:pPr>
        <w:spacing w:line="273" w:lineRule="auto" w:before="37"/>
        <w:ind w:left="3720" w:right="203" w:firstLine="0"/>
        <w:jc w:val="both"/>
        <w:rPr>
          <w:sz w:val="21"/>
        </w:rPr>
      </w:pPr>
      <w:r>
        <w:rPr>
          <w:spacing w:val="-11"/>
          <w:sz w:val="21"/>
        </w:rPr>
        <w:t>保年龄限制的，在保险事故发生之前百年人寿有权解除合同，并向您</w:t>
      </w:r>
      <w:r>
        <w:rPr>
          <w:spacing w:val="-6"/>
          <w:sz w:val="21"/>
        </w:rPr>
        <w:t>退还现金价值。百年人寿行使合同解除权适用本合同</w:t>
      </w:r>
      <w:r>
        <w:rPr>
          <w:sz w:val="21"/>
        </w:rPr>
        <w:t>“6.7</w:t>
      </w:r>
      <w:r>
        <w:rPr>
          <w:spacing w:val="-3"/>
          <w:sz w:val="21"/>
        </w:rPr>
        <w:t>明确说明与如实告知”中合同解除权限制的规定。</w:t>
      </w:r>
    </w:p>
    <w:p>
      <w:pPr>
        <w:spacing w:line="194" w:lineRule="auto" w:before="1"/>
        <w:ind w:left="3732" w:right="209" w:hanging="538"/>
        <w:jc w:val="both"/>
        <w:rPr>
          <w:rFonts w:ascii="Microsoft JhengHei" w:eastAsia="Microsoft JhengHei" w:hint="eastAsia"/>
          <w:b/>
          <w:sz w:val="22"/>
        </w:rPr>
      </w:pPr>
      <w:r>
        <w:rPr>
          <w:rFonts w:ascii="Microsoft JhengHei" w:eastAsia="Microsoft JhengHei" w:hint="eastAsia"/>
          <w:b/>
          <w:spacing w:val="-3"/>
          <w:sz w:val="22"/>
          <w:shd w:fill="D9D9D9" w:color="auto" w:val="clear"/>
        </w:rPr>
        <w:t>（2）</w:t>
      </w:r>
      <w:r>
        <w:rPr>
          <w:rFonts w:ascii="Microsoft JhengHei" w:eastAsia="Microsoft JhengHei" w:hint="eastAsia"/>
          <w:b/>
          <w:spacing w:val="-1"/>
          <w:sz w:val="22"/>
          <w:shd w:fill="D9D9D9" w:color="auto" w:val="clear"/>
        </w:rPr>
        <w:t>您申报的被保险人年龄或性别不真实，致使您实交保险费少于应交保险费的，百年人寿有权更正并要求您补交保险费。若已经发</w:t>
      </w:r>
      <w:r>
        <w:rPr>
          <w:rFonts w:ascii="Microsoft JhengHei" w:eastAsia="Microsoft JhengHei" w:hint="eastAsia"/>
          <w:b/>
          <w:spacing w:val="-1"/>
          <w:w w:val="95"/>
          <w:sz w:val="22"/>
          <w:shd w:fill="D9D9D9" w:color="auto" w:val="clear"/>
        </w:rPr>
        <w:t>Th保险事故，百年人寿在给付保险金时按实交保险费和应交保险  </w:t>
      </w:r>
      <w:r>
        <w:rPr>
          <w:rFonts w:ascii="Microsoft JhengHei" w:eastAsia="Microsoft JhengHei" w:hint="eastAsia"/>
          <w:b/>
          <w:spacing w:val="-1"/>
          <w:sz w:val="22"/>
          <w:shd w:fill="D9D9D9" w:color="auto" w:val="clear"/>
        </w:rPr>
        <w:t>费的比例给付。</w:t>
      </w:r>
    </w:p>
    <w:p>
      <w:pPr>
        <w:spacing w:line="273" w:lineRule="auto" w:before="8"/>
        <w:ind w:left="3720" w:right="203" w:hanging="526"/>
        <w:jc w:val="both"/>
        <w:rPr>
          <w:sz w:val="21"/>
        </w:rPr>
      </w:pPr>
      <w:r>
        <w:rPr>
          <w:spacing w:val="-18"/>
          <w:sz w:val="21"/>
        </w:rPr>
        <w:t>（3）</w:t>
      </w:r>
      <w:r>
        <w:rPr>
          <w:spacing w:val="-6"/>
          <w:sz w:val="21"/>
        </w:rPr>
        <w:t>您申报的被保险人年龄或性别不真实，致使您实交保险费多于应交保</w:t>
      </w:r>
      <w:r>
        <w:rPr>
          <w:spacing w:val="-4"/>
          <w:sz w:val="21"/>
        </w:rPr>
        <w:t>险费的，百年人寿会将多收的保险费无息退还给您。</w:t>
      </w:r>
    </w:p>
    <w:p>
      <w:pPr>
        <w:pStyle w:val="BodyText"/>
        <w:spacing w:before="11"/>
        <w:rPr>
          <w:sz w:val="10"/>
        </w:rPr>
      </w:pPr>
    </w:p>
    <w:p>
      <w:pPr>
        <w:spacing w:after="0"/>
        <w:rPr>
          <w:sz w:val="10"/>
        </w:rPr>
        <w:sectPr>
          <w:pgSz w:w="11910" w:h="16840"/>
          <w:pgMar w:header="567" w:footer="664" w:top="1000" w:bottom="860" w:left="980" w:right="800"/>
        </w:sectPr>
      </w:pPr>
    </w:p>
    <w:p>
      <w:pPr>
        <w:pStyle w:val="ListParagraph"/>
        <w:numPr>
          <w:ilvl w:val="1"/>
          <w:numId w:val="13"/>
        </w:numPr>
        <w:tabs>
          <w:tab w:pos="1187" w:val="left" w:leader="none"/>
          <w:tab w:pos="1188" w:val="left" w:leader="none"/>
        </w:tabs>
        <w:spacing w:line="206" w:lineRule="auto" w:before="25" w:after="0"/>
        <w:ind w:left="1187" w:right="0" w:hanging="1035"/>
        <w:jc w:val="left"/>
        <w:rPr>
          <w:rFonts w:ascii="微软雅黑" w:eastAsia="微软雅黑" w:hint="eastAsia"/>
          <w:b/>
          <w:sz w:val="21"/>
        </w:rPr>
      </w:pPr>
      <w:r>
        <w:rPr>
          <w:rFonts w:ascii="微软雅黑" w:eastAsia="微软雅黑" w:hint="eastAsia"/>
          <w:b/>
          <w:spacing w:val="12"/>
          <w:sz w:val="21"/>
        </w:rPr>
        <w:t>明确说明与如实告</w:t>
      </w:r>
      <w:r>
        <w:rPr>
          <w:rFonts w:ascii="微软雅黑" w:eastAsia="微软雅黑" w:hint="eastAsia"/>
          <w:b/>
          <w:sz w:val="21"/>
        </w:rPr>
        <w:t>知</w:t>
      </w:r>
    </w:p>
    <w:p>
      <w:pPr>
        <w:spacing w:line="273" w:lineRule="auto" w:before="36"/>
        <w:ind w:left="152" w:right="203" w:firstLine="0"/>
        <w:jc w:val="both"/>
        <w:rPr>
          <w:sz w:val="21"/>
        </w:rPr>
      </w:pPr>
      <w:r>
        <w:rPr/>
        <w:br w:type="column"/>
      </w:r>
      <w:r>
        <w:rPr>
          <w:sz w:val="21"/>
        </w:rPr>
        <w:t>订立本合同时，百年人寿会向您明确说明本合同的条款内容，特别是免除责任条款内容。百年人寿会就您、被保险人或受益人的有关情况提出书面询问，您应当如实告知。</w:t>
      </w:r>
    </w:p>
    <w:p>
      <w:pPr>
        <w:spacing w:line="273" w:lineRule="auto" w:before="7"/>
        <w:ind w:left="152" w:right="203" w:firstLine="0"/>
        <w:jc w:val="both"/>
        <w:rPr>
          <w:sz w:val="21"/>
        </w:rPr>
      </w:pPr>
      <w:r>
        <w:rPr>
          <w:sz w:val="21"/>
        </w:rPr>
        <w:t>如果您故意或因重大过失不履行如实告知义务，足以影响百年人寿决定是否同意承保或者提高保险费率的，百年人寿有权解除本合同。</w:t>
      </w:r>
    </w:p>
    <w:p>
      <w:pPr>
        <w:spacing w:line="194" w:lineRule="auto" w:before="1"/>
        <w:ind w:left="152" w:right="304" w:firstLine="0"/>
        <w:jc w:val="left"/>
        <w:rPr>
          <w:rFonts w:ascii="Microsoft JhengHei" w:eastAsia="Microsoft JhengHei" w:hint="eastAsia"/>
          <w:b/>
          <w:sz w:val="22"/>
        </w:rPr>
      </w:pPr>
      <w:r>
        <w:rPr>
          <w:rFonts w:ascii="Microsoft JhengHei" w:eastAsia="Microsoft JhengHei" w:hint="eastAsia"/>
          <w:b/>
          <w:w w:val="95"/>
          <w:sz w:val="22"/>
          <w:shd w:fill="D9D9D9" w:color="auto" w:val="clear"/>
        </w:rPr>
        <w:t>对于故意不履行如实告知义务的，百年人寿对本合同解除前发Th的保  </w:t>
      </w:r>
      <w:r>
        <w:rPr>
          <w:rFonts w:ascii="Microsoft JhengHei" w:eastAsia="Microsoft JhengHei" w:hint="eastAsia"/>
          <w:b/>
          <w:sz w:val="22"/>
          <w:shd w:fill="D9D9D9" w:color="auto" w:val="clear"/>
        </w:rPr>
        <w:t>险事故，不承担给付保险金的责任，并不退还保险费。</w:t>
      </w:r>
    </w:p>
    <w:p>
      <w:pPr>
        <w:spacing w:line="194" w:lineRule="auto" w:before="1"/>
        <w:ind w:left="152" w:right="99" w:firstLine="0"/>
        <w:jc w:val="left"/>
        <w:rPr>
          <w:rFonts w:ascii="Microsoft JhengHei" w:eastAsia="Microsoft JhengHei" w:hint="eastAsia"/>
          <w:b/>
          <w:sz w:val="22"/>
        </w:rPr>
      </w:pPr>
      <w:r>
        <w:rPr>
          <w:rFonts w:ascii="Microsoft JhengHei" w:eastAsia="Microsoft JhengHei" w:hint="eastAsia"/>
          <w:b/>
          <w:sz w:val="22"/>
          <w:shd w:fill="D9D9D9" w:color="auto" w:val="clear"/>
        </w:rPr>
        <w:t>因重大过失未履行如实告知义务，对保险事故的发Th有严重影响的， 百年人寿对本合同解除前发Th</w:t>
      </w:r>
      <w:r>
        <w:rPr>
          <w:rFonts w:ascii="Microsoft JhengHei" w:eastAsia="Microsoft JhengHei" w:hint="eastAsia"/>
          <w:b/>
          <w:spacing w:val="-12"/>
          <w:sz w:val="22"/>
          <w:shd w:fill="D9D9D9" w:color="auto" w:val="clear"/>
        </w:rPr>
        <w:t>的保险事故，不承担给付保险金的责任， 但退还保险费。</w:t>
      </w:r>
    </w:p>
    <w:p>
      <w:pPr>
        <w:spacing w:before="7"/>
        <w:ind w:left="152" w:right="0" w:firstLine="0"/>
        <w:jc w:val="left"/>
        <w:rPr>
          <w:sz w:val="21"/>
        </w:rPr>
      </w:pPr>
      <w:r>
        <w:rPr>
          <w:sz w:val="21"/>
        </w:rPr>
        <w:t>上述合同解除权自百年人寿知道有解除事由之日起，经过 30 日不行使而消</w:t>
      </w:r>
    </w:p>
    <w:p>
      <w:pPr>
        <w:spacing w:line="273" w:lineRule="auto" w:before="36"/>
        <w:ind w:left="152" w:right="203" w:firstLine="0"/>
        <w:jc w:val="both"/>
        <w:rPr>
          <w:sz w:val="21"/>
        </w:rPr>
      </w:pPr>
      <w:r>
        <w:rPr>
          <w:spacing w:val="-6"/>
          <w:sz w:val="21"/>
        </w:rPr>
        <w:t>灭。自本合同成立之日起超过 </w:t>
      </w:r>
      <w:r>
        <w:rPr>
          <w:sz w:val="21"/>
        </w:rPr>
        <w:t>2</w:t>
      </w:r>
      <w:r>
        <w:rPr>
          <w:spacing w:val="-8"/>
          <w:sz w:val="21"/>
        </w:rPr>
        <w:t> 年的，百年人寿不得解除合同；发生保险</w:t>
      </w:r>
      <w:r>
        <w:rPr>
          <w:spacing w:val="-5"/>
          <w:sz w:val="21"/>
        </w:rPr>
        <w:t>事故的，百年人寿承担给付保险金的责任；百年人寿在合同订立时已经知</w:t>
      </w:r>
      <w:r>
        <w:rPr>
          <w:spacing w:val="-4"/>
          <w:sz w:val="21"/>
        </w:rPr>
        <w:t>道未如实告知的情况的，百年人寿不得解除合同；发生保险事故的，百年</w:t>
      </w:r>
      <w:r>
        <w:rPr>
          <w:spacing w:val="-3"/>
          <w:sz w:val="21"/>
        </w:rPr>
        <w:t>人寿承担给付保险金的责任。</w:t>
      </w:r>
    </w:p>
    <w:p>
      <w:pPr>
        <w:spacing w:after="0" w:line="273" w:lineRule="auto"/>
        <w:jc w:val="both"/>
        <w:rPr>
          <w:sz w:val="21"/>
        </w:rPr>
        <w:sectPr>
          <w:type w:val="continuous"/>
          <w:pgSz w:w="11910" w:h="16840"/>
          <w:pgMar w:top="1000" w:bottom="860" w:left="980" w:right="800"/>
          <w:cols w:num="2" w:equalWidth="0">
            <w:col w:w="2993" w:space="49"/>
            <w:col w:w="7088"/>
          </w:cols>
        </w:sectPr>
      </w:pPr>
    </w:p>
    <w:p>
      <w:pPr>
        <w:pStyle w:val="BodyText"/>
        <w:spacing w:before="10"/>
        <w:rPr>
          <w:sz w:val="10"/>
        </w:rPr>
      </w:pPr>
    </w:p>
    <w:p>
      <w:pPr>
        <w:pStyle w:val="ListParagraph"/>
        <w:numPr>
          <w:ilvl w:val="1"/>
          <w:numId w:val="13"/>
        </w:numPr>
        <w:tabs>
          <w:tab w:pos="1187" w:val="left" w:leader="none"/>
          <w:tab w:pos="1188" w:val="left" w:leader="none"/>
          <w:tab w:pos="3194" w:val="left" w:leader="none"/>
        </w:tabs>
        <w:spacing w:line="337" w:lineRule="exact" w:before="0" w:after="0"/>
        <w:ind w:left="1187" w:right="0" w:hanging="1035"/>
        <w:jc w:val="left"/>
        <w:rPr>
          <w:sz w:val="21"/>
        </w:rPr>
      </w:pPr>
      <w:r>
        <w:rPr>
          <w:rFonts w:ascii="微软雅黑" w:eastAsia="微软雅黑" w:hint="eastAsia"/>
          <w:b/>
          <w:sz w:val="21"/>
        </w:rPr>
        <w:t>未还款项</w:t>
        <w:tab/>
      </w:r>
      <w:r>
        <w:rPr>
          <w:sz w:val="21"/>
        </w:rPr>
        <w:t>百年</w:t>
      </w:r>
      <w:r>
        <w:rPr>
          <w:spacing w:val="-3"/>
          <w:sz w:val="21"/>
        </w:rPr>
        <w:t>人</w:t>
      </w:r>
      <w:r>
        <w:rPr>
          <w:sz w:val="21"/>
        </w:rPr>
        <w:t>寿</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退</w:t>
      </w:r>
      <w:r>
        <w:rPr>
          <w:sz w:val="21"/>
        </w:rPr>
        <w:t>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保险</w:t>
      </w:r>
      <w:r>
        <w:rPr>
          <w:spacing w:val="-3"/>
          <w:sz w:val="21"/>
        </w:rPr>
        <w:t>费</w:t>
      </w:r>
      <w:r>
        <w:rPr>
          <w:sz w:val="21"/>
        </w:rPr>
        <w:t>时</w:t>
      </w:r>
      <w:r>
        <w:rPr>
          <w:spacing w:val="-3"/>
          <w:sz w:val="21"/>
        </w:rPr>
        <w:t>，</w:t>
      </w:r>
      <w:r>
        <w:rPr>
          <w:sz w:val="21"/>
        </w:rPr>
        <w:t>如</w:t>
      </w:r>
      <w:r>
        <w:rPr>
          <w:spacing w:val="-3"/>
          <w:sz w:val="21"/>
        </w:rPr>
        <w:t>果</w:t>
      </w:r>
      <w:r>
        <w:rPr>
          <w:sz w:val="21"/>
        </w:rPr>
        <w:t>您</w:t>
      </w:r>
      <w:r>
        <w:rPr>
          <w:spacing w:val="-3"/>
          <w:sz w:val="21"/>
        </w:rPr>
        <w:t>有</w:t>
      </w:r>
      <w:r>
        <w:rPr>
          <w:sz w:val="21"/>
        </w:rPr>
        <w:t>欠</w:t>
      </w:r>
    </w:p>
    <w:p>
      <w:pPr>
        <w:spacing w:line="273" w:lineRule="auto" w:before="11"/>
        <w:ind w:left="3194" w:right="203" w:firstLine="0"/>
        <w:jc w:val="both"/>
        <w:rPr>
          <w:sz w:val="21"/>
        </w:rPr>
      </w:pPr>
      <w:r>
        <w:rPr>
          <w:sz w:val="21"/>
        </w:rPr>
        <w:t>交的保险费、保单贷款及利息或其他未还清款项，百年人寿会在扣除上述欠款及应付利息后给付。应付利息按本合同约定利率计算，但本合同另有约定的除外。</w:t>
      </w:r>
    </w:p>
    <w:p>
      <w:pPr>
        <w:spacing w:after="0" w:line="273" w:lineRule="auto"/>
        <w:jc w:val="both"/>
        <w:rPr>
          <w:sz w:val="21"/>
        </w:rPr>
        <w:sectPr>
          <w:type w:val="continuous"/>
          <w:pgSz w:w="11910" w:h="16840"/>
          <w:pgMar w:top="1000" w:bottom="860" w:left="980" w:right="800"/>
        </w:sectPr>
      </w:pPr>
    </w:p>
    <w:p>
      <w:pPr>
        <w:pStyle w:val="BodyText"/>
        <w:rPr>
          <w:sz w:val="20"/>
        </w:rPr>
      </w:pPr>
    </w:p>
    <w:p>
      <w:pPr>
        <w:pStyle w:val="BodyText"/>
        <w:spacing w:before="9"/>
        <w:rPr>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2261"/>
        <w:gridCol w:w="7032"/>
      </w:tblGrid>
      <w:tr>
        <w:trPr>
          <w:trHeight w:val="1595" w:hRule="atLeast"/>
        </w:trPr>
        <w:tc>
          <w:tcPr>
            <w:tcW w:w="831" w:type="dxa"/>
          </w:tcPr>
          <w:p>
            <w:pPr>
              <w:pStyle w:val="TableParagraph"/>
              <w:spacing w:line="236" w:lineRule="exact"/>
              <w:ind w:left="49"/>
              <w:rPr>
                <w:rFonts w:ascii="微软雅黑"/>
                <w:b/>
                <w:sz w:val="21"/>
              </w:rPr>
            </w:pPr>
            <w:r>
              <w:rPr>
                <w:rFonts w:ascii="微软雅黑"/>
                <w:b/>
                <w:sz w:val="21"/>
              </w:rPr>
              <w:t>6.9</w:t>
            </w:r>
          </w:p>
        </w:tc>
        <w:tc>
          <w:tcPr>
            <w:tcW w:w="2261" w:type="dxa"/>
          </w:tcPr>
          <w:p>
            <w:pPr>
              <w:pStyle w:val="TableParagraph"/>
              <w:spacing w:line="236" w:lineRule="exact"/>
              <w:ind w:left="253"/>
              <w:rPr>
                <w:rFonts w:ascii="微软雅黑" w:eastAsia="微软雅黑" w:hint="eastAsia"/>
                <w:b/>
                <w:sz w:val="21"/>
              </w:rPr>
            </w:pPr>
            <w:r>
              <w:rPr>
                <w:rFonts w:ascii="微软雅黑" w:eastAsia="微软雅黑" w:hint="eastAsia"/>
                <w:b/>
                <w:sz w:val="21"/>
              </w:rPr>
              <w:t>合同内容变更</w:t>
            </w:r>
          </w:p>
        </w:tc>
        <w:tc>
          <w:tcPr>
            <w:tcW w:w="7032" w:type="dxa"/>
          </w:tcPr>
          <w:p>
            <w:pPr>
              <w:pStyle w:val="TableParagraph"/>
              <w:spacing w:line="211" w:lineRule="exact"/>
              <w:ind w:left="-1"/>
              <w:rPr>
                <w:sz w:val="21"/>
              </w:rPr>
            </w:pPr>
            <w:r>
              <w:rPr>
                <w:sz w:val="21"/>
              </w:rPr>
              <w:t>在本合同有效期内，经您与百年人寿协商一致，可以变更本合同的有关内</w:t>
            </w:r>
          </w:p>
          <w:p>
            <w:pPr>
              <w:pStyle w:val="TableParagraph"/>
              <w:spacing w:line="273" w:lineRule="auto" w:before="37"/>
              <w:ind w:left="-1" w:right="199"/>
              <w:rPr>
                <w:sz w:val="21"/>
              </w:rPr>
            </w:pPr>
            <w:r>
              <w:rPr>
                <w:spacing w:val="-3"/>
                <w:sz w:val="21"/>
              </w:rPr>
              <w:t>容。变更本合同的，应当由百年人寿在保险单或者其他保险凭证上批注或</w:t>
            </w:r>
            <w:r>
              <w:rPr>
                <w:spacing w:val="-11"/>
                <w:sz w:val="21"/>
              </w:rPr>
              <w:t>者附贴批单，或者由您与百年人寿订立变更的书面协议。若被保险人身故， </w:t>
            </w:r>
            <w:r>
              <w:rPr>
                <w:spacing w:val="-6"/>
                <w:sz w:val="21"/>
              </w:rPr>
              <w:t>百年人寿不接受本合同任何内容</w:t>
            </w:r>
            <w:r>
              <w:rPr>
                <w:sz w:val="21"/>
              </w:rPr>
              <w:t>（</w:t>
            </w:r>
            <w:r>
              <w:rPr>
                <w:spacing w:val="-3"/>
                <w:sz w:val="21"/>
              </w:rPr>
              <w:t>包括本合同的权益转让及身故保险金受益人变更等</w:t>
            </w:r>
            <w:r>
              <w:rPr>
                <w:sz w:val="21"/>
              </w:rPr>
              <w:t>）</w:t>
            </w:r>
            <w:r>
              <w:rPr>
                <w:spacing w:val="-3"/>
                <w:sz w:val="21"/>
              </w:rPr>
              <w:t>的变更申请。</w:t>
            </w:r>
          </w:p>
        </w:tc>
      </w:tr>
      <w:tr>
        <w:trPr>
          <w:trHeight w:val="1417" w:hRule="atLeast"/>
        </w:trPr>
        <w:tc>
          <w:tcPr>
            <w:tcW w:w="831" w:type="dxa"/>
          </w:tcPr>
          <w:p>
            <w:pPr>
              <w:pStyle w:val="TableParagraph"/>
              <w:spacing w:before="9"/>
              <w:ind w:left="49"/>
              <w:rPr>
                <w:rFonts w:ascii="微软雅黑"/>
                <w:b/>
                <w:sz w:val="21"/>
              </w:rPr>
            </w:pPr>
            <w:r>
              <w:rPr>
                <w:rFonts w:ascii="微软雅黑"/>
                <w:b/>
                <w:sz w:val="21"/>
              </w:rPr>
              <w:t>6.10</w:t>
            </w:r>
          </w:p>
        </w:tc>
        <w:tc>
          <w:tcPr>
            <w:tcW w:w="2261" w:type="dxa"/>
          </w:tcPr>
          <w:p>
            <w:pPr>
              <w:pStyle w:val="TableParagraph"/>
              <w:spacing w:before="9"/>
              <w:ind w:left="253"/>
              <w:rPr>
                <w:rFonts w:ascii="微软雅黑" w:eastAsia="微软雅黑" w:hint="eastAsia"/>
                <w:b/>
                <w:sz w:val="21"/>
              </w:rPr>
            </w:pPr>
            <w:r>
              <w:rPr>
                <w:rFonts w:ascii="微软雅黑" w:eastAsia="微软雅黑" w:hint="eastAsia"/>
                <w:b/>
                <w:sz w:val="21"/>
              </w:rPr>
              <w:t>地址变更</w:t>
            </w:r>
          </w:p>
        </w:tc>
        <w:tc>
          <w:tcPr>
            <w:tcW w:w="7032" w:type="dxa"/>
          </w:tcPr>
          <w:p>
            <w:pPr>
              <w:pStyle w:val="TableParagraph"/>
              <w:spacing w:line="273" w:lineRule="auto" w:before="72"/>
              <w:ind w:left="-1" w:right="305"/>
              <w:jc w:val="both"/>
              <w:rPr>
                <w:sz w:val="21"/>
              </w:rPr>
            </w:pPr>
            <w:r>
              <w:rPr>
                <w:sz w:val="21"/>
              </w:rPr>
              <w:t>为了保障您的合法权益，您的住所或通讯地址变更时，请及时以书面形式或双方认可的其他形式通知百年人寿。若您未以书面形式或双方认可的其他形式通知百年人寿，百年人寿按本合同载明的最后住所或通讯地址发送的有关通知，均视为已送达给您。</w:t>
            </w:r>
          </w:p>
        </w:tc>
      </w:tr>
      <w:tr>
        <w:trPr>
          <w:trHeight w:val="848" w:hRule="atLeast"/>
        </w:trPr>
        <w:tc>
          <w:tcPr>
            <w:tcW w:w="831" w:type="dxa"/>
          </w:tcPr>
          <w:p>
            <w:pPr>
              <w:pStyle w:val="TableParagraph"/>
              <w:spacing w:before="8"/>
              <w:ind w:left="49"/>
              <w:rPr>
                <w:rFonts w:ascii="微软雅黑"/>
                <w:b/>
                <w:sz w:val="21"/>
              </w:rPr>
            </w:pPr>
            <w:r>
              <w:rPr>
                <w:rFonts w:ascii="微软雅黑"/>
                <w:b/>
                <w:sz w:val="21"/>
              </w:rPr>
              <w:t>6.11</w:t>
            </w:r>
          </w:p>
        </w:tc>
        <w:tc>
          <w:tcPr>
            <w:tcW w:w="2261" w:type="dxa"/>
          </w:tcPr>
          <w:p>
            <w:pPr>
              <w:pStyle w:val="TableParagraph"/>
              <w:spacing w:before="8"/>
              <w:ind w:left="253"/>
              <w:rPr>
                <w:rFonts w:ascii="微软雅黑" w:eastAsia="微软雅黑" w:hint="eastAsia"/>
                <w:b/>
                <w:sz w:val="21"/>
              </w:rPr>
            </w:pPr>
            <w:r>
              <w:rPr>
                <w:rFonts w:ascii="微软雅黑" w:eastAsia="微软雅黑" w:hint="eastAsia"/>
                <w:b/>
                <w:sz w:val="21"/>
              </w:rPr>
              <w:t>争议处理</w:t>
            </w:r>
          </w:p>
        </w:tc>
        <w:tc>
          <w:tcPr>
            <w:tcW w:w="7032" w:type="dxa"/>
          </w:tcPr>
          <w:p>
            <w:pPr>
              <w:pStyle w:val="TableParagraph"/>
              <w:spacing w:line="273" w:lineRule="auto" w:before="70"/>
              <w:ind w:left="-1" w:right="305"/>
              <w:rPr>
                <w:sz w:val="21"/>
              </w:rPr>
            </w:pPr>
            <w:r>
              <w:rPr>
                <w:sz w:val="21"/>
              </w:rPr>
              <w:t>本合同履行过程中，双方发生争议不能协商解决的，可以达成仲裁协议通过仲裁解决，也可以依法向人民法院起诉。</w:t>
            </w:r>
          </w:p>
        </w:tc>
      </w:tr>
      <w:tr>
        <w:trPr>
          <w:trHeight w:val="629" w:hRule="atLeast"/>
        </w:trPr>
        <w:tc>
          <w:tcPr>
            <w:tcW w:w="831" w:type="dxa"/>
          </w:tcPr>
          <w:p>
            <w:pPr>
              <w:pStyle w:val="TableParagraph"/>
              <w:spacing w:before="32"/>
              <w:ind w:left="49"/>
              <w:rPr>
                <w:rFonts w:ascii="微软雅黑" w:hAnsi="微软雅黑"/>
                <w:b/>
                <w:sz w:val="28"/>
              </w:rPr>
            </w:pPr>
            <w:r>
              <w:rPr>
                <w:rFonts w:ascii="微软雅黑" w:hAnsi="微软雅黑"/>
                <w:b/>
                <w:w w:val="100"/>
                <w:sz w:val="28"/>
              </w:rPr>
              <w:t>⒎</w:t>
            </w:r>
          </w:p>
        </w:tc>
        <w:tc>
          <w:tcPr>
            <w:tcW w:w="2261" w:type="dxa"/>
          </w:tcPr>
          <w:p>
            <w:pPr>
              <w:pStyle w:val="TableParagraph"/>
              <w:spacing w:before="45"/>
              <w:ind w:left="253"/>
              <w:rPr>
                <w:rFonts w:ascii="微软雅黑" w:eastAsia="微软雅黑" w:hint="eastAsia"/>
                <w:b/>
                <w:sz w:val="24"/>
              </w:rPr>
            </w:pPr>
            <w:r>
              <w:rPr>
                <w:rFonts w:ascii="微软雅黑" w:eastAsia="微软雅黑" w:hint="eastAsia"/>
                <w:b/>
                <w:sz w:val="24"/>
              </w:rPr>
              <w:t>重大疾病</w:t>
            </w:r>
          </w:p>
        </w:tc>
        <w:tc>
          <w:tcPr>
            <w:tcW w:w="7032" w:type="dxa"/>
          </w:tcPr>
          <w:p>
            <w:pPr>
              <w:pStyle w:val="TableParagraph"/>
              <w:rPr>
                <w:rFonts w:ascii="Times New Roman"/>
                <w:sz w:val="20"/>
              </w:rPr>
            </w:pPr>
          </w:p>
        </w:tc>
      </w:tr>
      <w:tr>
        <w:trPr>
          <w:trHeight w:val="515" w:hRule="atLeast"/>
        </w:trPr>
        <w:tc>
          <w:tcPr>
            <w:tcW w:w="10124" w:type="dxa"/>
            <w:gridSpan w:val="3"/>
          </w:tcPr>
          <w:p>
            <w:pPr>
              <w:pStyle w:val="TableParagraph"/>
              <w:spacing w:before="21"/>
              <w:ind w:left="1084"/>
              <w:rPr>
                <w:rFonts w:ascii="微软雅黑" w:eastAsia="微软雅黑" w:hint="eastAsia"/>
                <w:b/>
                <w:sz w:val="21"/>
              </w:rPr>
            </w:pPr>
            <w:r>
              <w:rPr>
                <w:rFonts w:ascii="微软雅黑" w:eastAsia="微软雅黑" w:hint="eastAsia"/>
                <w:b/>
                <w:sz w:val="21"/>
              </w:rPr>
              <w:t>这部分描述的是本合同所称重大疾病的释义。</w:t>
            </w:r>
          </w:p>
        </w:tc>
      </w:tr>
      <w:tr>
        <w:trPr>
          <w:trHeight w:val="1803" w:hRule="atLeast"/>
        </w:trPr>
        <w:tc>
          <w:tcPr>
            <w:tcW w:w="831" w:type="dxa"/>
            <w:tcBorders>
              <w:top w:val="single" w:sz="8" w:space="0" w:color="000000"/>
            </w:tcBorders>
          </w:tcPr>
          <w:p>
            <w:pPr>
              <w:pStyle w:val="TableParagraph"/>
              <w:spacing w:before="95"/>
              <w:ind w:left="49"/>
              <w:rPr>
                <w:rFonts w:ascii="微软雅黑"/>
                <w:b/>
                <w:sz w:val="21"/>
              </w:rPr>
            </w:pPr>
            <w:r>
              <w:rPr>
                <w:rFonts w:ascii="微软雅黑"/>
                <w:b/>
                <w:sz w:val="21"/>
              </w:rPr>
              <w:t>7.1</w:t>
            </w:r>
          </w:p>
        </w:tc>
        <w:tc>
          <w:tcPr>
            <w:tcW w:w="2261" w:type="dxa"/>
            <w:tcBorders>
              <w:top w:val="single" w:sz="8" w:space="0" w:color="000000"/>
            </w:tcBorders>
          </w:tcPr>
          <w:p>
            <w:pPr>
              <w:pStyle w:val="TableParagraph"/>
              <w:spacing w:before="54"/>
              <w:ind w:left="253"/>
              <w:rPr>
                <w:rFonts w:ascii="微软雅黑" w:eastAsia="微软雅黑" w:hint="eastAsia"/>
                <w:b/>
                <w:sz w:val="21"/>
              </w:rPr>
            </w:pPr>
            <w:r>
              <w:rPr>
                <w:rFonts w:ascii="微软雅黑" w:eastAsia="微软雅黑" w:hint="eastAsia"/>
                <w:b/>
                <w:sz w:val="21"/>
              </w:rPr>
              <w:t>重大疾病范围</w:t>
            </w:r>
          </w:p>
        </w:tc>
        <w:tc>
          <w:tcPr>
            <w:tcW w:w="7032" w:type="dxa"/>
            <w:tcBorders>
              <w:top w:val="single" w:sz="8" w:space="0" w:color="000000"/>
            </w:tcBorders>
          </w:tcPr>
          <w:p>
            <w:pPr>
              <w:pStyle w:val="TableParagraph"/>
              <w:spacing w:line="206" w:lineRule="auto" w:before="146"/>
              <w:ind w:left="-1" w:right="317"/>
              <w:jc w:val="both"/>
              <w:rPr>
                <w:rFonts w:ascii="微软雅黑" w:eastAsia="微软雅黑" w:hint="eastAsia"/>
                <w:b/>
                <w:sz w:val="21"/>
              </w:rPr>
            </w:pPr>
            <w:r>
              <w:rPr>
                <w:rFonts w:ascii="微软雅黑" w:eastAsia="微软雅黑" w:hint="eastAsia"/>
                <w:b/>
                <w:spacing w:val="-5"/>
                <w:sz w:val="21"/>
              </w:rPr>
              <w:t>本合同所指的重大疾病在本合同中有确定的含义，不仅包括部分一般意义</w:t>
            </w:r>
            <w:r>
              <w:rPr>
                <w:rFonts w:ascii="微软雅黑" w:eastAsia="微软雅黑" w:hint="eastAsia"/>
                <w:b/>
                <w:spacing w:val="-8"/>
                <w:sz w:val="21"/>
              </w:rPr>
              <w:t>上的重大疾病，还包括某些重大手术，本合同所指的重大疾病可能与临床</w:t>
            </w:r>
            <w:r>
              <w:rPr>
                <w:rFonts w:ascii="微软雅黑" w:eastAsia="微软雅黑" w:hint="eastAsia"/>
                <w:b/>
                <w:spacing w:val="-10"/>
                <w:sz w:val="21"/>
              </w:rPr>
              <w:t>医学所指的重大疾病在概念和范围上有所不同，百年人寿将在本合同重大</w:t>
            </w:r>
            <w:r>
              <w:rPr>
                <w:rFonts w:ascii="微软雅黑" w:eastAsia="微软雅黑" w:hint="eastAsia"/>
                <w:b/>
                <w:spacing w:val="-4"/>
                <w:sz w:val="21"/>
              </w:rPr>
              <w:t>疾病定义中详细列明，您投保本合同即表明认可并遵从本合同中对重大疾病的定义。</w:t>
            </w:r>
          </w:p>
        </w:tc>
      </w:tr>
      <w:tr>
        <w:trPr>
          <w:trHeight w:val="2053" w:hRule="atLeast"/>
        </w:trPr>
        <w:tc>
          <w:tcPr>
            <w:tcW w:w="831" w:type="dxa"/>
          </w:tcPr>
          <w:p>
            <w:pPr>
              <w:pStyle w:val="TableParagraph"/>
              <w:spacing w:before="20"/>
              <w:ind w:left="49"/>
              <w:rPr>
                <w:rFonts w:ascii="微软雅黑"/>
                <w:b/>
                <w:sz w:val="21"/>
              </w:rPr>
            </w:pPr>
            <w:r>
              <w:rPr>
                <w:rFonts w:ascii="微软雅黑"/>
                <w:b/>
                <w:sz w:val="21"/>
              </w:rPr>
              <w:t>7.2</w:t>
            </w:r>
          </w:p>
        </w:tc>
        <w:tc>
          <w:tcPr>
            <w:tcW w:w="2261" w:type="dxa"/>
          </w:tcPr>
          <w:p>
            <w:pPr>
              <w:pStyle w:val="TableParagraph"/>
              <w:spacing w:before="20"/>
              <w:ind w:left="253"/>
              <w:rPr>
                <w:rFonts w:ascii="微软雅黑" w:eastAsia="微软雅黑" w:hint="eastAsia"/>
                <w:b/>
                <w:sz w:val="21"/>
              </w:rPr>
            </w:pPr>
            <w:r>
              <w:rPr>
                <w:rFonts w:ascii="微软雅黑" w:eastAsia="微软雅黑" w:hint="eastAsia"/>
                <w:b/>
                <w:sz w:val="21"/>
              </w:rPr>
              <w:t>重大疾病定义</w:t>
            </w:r>
          </w:p>
        </w:tc>
        <w:tc>
          <w:tcPr>
            <w:tcW w:w="7032" w:type="dxa"/>
          </w:tcPr>
          <w:p>
            <w:pPr>
              <w:pStyle w:val="TableParagraph"/>
              <w:spacing w:line="247" w:lineRule="auto" w:before="20"/>
              <w:ind w:left="-1" w:right="307"/>
              <w:jc w:val="both"/>
              <w:rPr>
                <w:sz w:val="21"/>
              </w:rPr>
            </w:pPr>
            <w:r>
              <w:rPr>
                <w:sz w:val="21"/>
              </w:rPr>
              <w:t>本合同所指重大疾病，是被保险人发生经百年人寿认可的医院</w:t>
            </w:r>
            <w:r>
              <w:rPr>
                <w:rFonts w:ascii="微软雅黑" w:eastAsia="微软雅黑" w:hint="eastAsia"/>
                <w:b/>
                <w:sz w:val="21"/>
              </w:rPr>
              <w:t>专科医生</w:t>
            </w:r>
            <w:r>
              <w:rPr>
                <w:rFonts w:ascii="微软雅黑" w:eastAsia="微软雅黑" w:hint="eastAsia"/>
                <w:b/>
                <w:position w:val="11"/>
                <w:sz w:val="11"/>
              </w:rPr>
              <w:t>17 </w:t>
            </w:r>
            <w:r>
              <w:rPr>
                <w:sz w:val="21"/>
              </w:rPr>
              <w:t>明确诊断，符合以下定义所述条件的疾病、疾病状态或手术，共四十种。</w:t>
            </w:r>
          </w:p>
          <w:p>
            <w:pPr>
              <w:pStyle w:val="TableParagraph"/>
              <w:spacing w:line="273" w:lineRule="auto" w:before="31"/>
              <w:ind w:left="-1" w:right="314"/>
              <w:jc w:val="both"/>
              <w:rPr>
                <w:sz w:val="21"/>
              </w:rPr>
            </w:pPr>
            <w:r>
              <w:rPr>
                <w:sz w:val="21"/>
              </w:rPr>
              <w:t>（</w:t>
            </w:r>
            <w:r>
              <w:rPr>
                <w:spacing w:val="-8"/>
                <w:sz w:val="21"/>
              </w:rPr>
              <w:t>重大疾病定义中的第 </w:t>
            </w:r>
            <w:r>
              <w:rPr>
                <w:sz w:val="21"/>
              </w:rPr>
              <w:t>1</w:t>
            </w:r>
            <w:r>
              <w:rPr>
                <w:spacing w:val="-21"/>
                <w:sz w:val="21"/>
              </w:rPr>
              <w:t> 种至第 </w:t>
            </w:r>
            <w:r>
              <w:rPr>
                <w:sz w:val="21"/>
              </w:rPr>
              <w:t>24</w:t>
            </w:r>
            <w:r>
              <w:rPr>
                <w:spacing w:val="-15"/>
                <w:sz w:val="21"/>
              </w:rPr>
              <w:t> 种采用了中国保险行业协会发布的《重</w:t>
            </w:r>
            <w:r>
              <w:rPr>
                <w:spacing w:val="-8"/>
                <w:sz w:val="21"/>
              </w:rPr>
              <w:t>大疾病保险的疾病定义使用规范》中的疾病定义，如中国保险行业协会或</w:t>
            </w:r>
            <w:r>
              <w:rPr>
                <w:spacing w:val="-5"/>
                <w:sz w:val="21"/>
              </w:rPr>
              <w:t>保险监管机关对“重大疾病保险的疾病定义”进行调整，百年人寿会相应调整。</w:t>
            </w:r>
            <w:r>
              <w:rPr>
                <w:sz w:val="21"/>
              </w:rPr>
              <w:t>）</w:t>
            </w:r>
            <w:r>
              <w:rPr>
                <w:spacing w:val="-3"/>
                <w:sz w:val="21"/>
              </w:rPr>
              <w:t>重大疾病的名称及定义如下：</w:t>
            </w:r>
          </w:p>
        </w:tc>
      </w:tr>
      <w:tr>
        <w:trPr>
          <w:trHeight w:val="3159" w:hRule="atLeast"/>
        </w:trPr>
        <w:tc>
          <w:tcPr>
            <w:tcW w:w="831" w:type="dxa"/>
          </w:tcPr>
          <w:p>
            <w:pPr>
              <w:pStyle w:val="TableParagraph"/>
              <w:spacing w:before="9"/>
              <w:ind w:left="49"/>
              <w:rPr>
                <w:rFonts w:ascii="微软雅黑"/>
                <w:b/>
                <w:sz w:val="21"/>
              </w:rPr>
            </w:pPr>
            <w:r>
              <w:rPr>
                <w:rFonts w:ascii="微软雅黑"/>
                <w:b/>
                <w:w w:val="105"/>
                <w:sz w:val="21"/>
              </w:rPr>
              <w:t>7.2.1</w:t>
            </w:r>
          </w:p>
        </w:tc>
        <w:tc>
          <w:tcPr>
            <w:tcW w:w="2261" w:type="dxa"/>
          </w:tcPr>
          <w:p>
            <w:pPr>
              <w:pStyle w:val="TableParagraph"/>
              <w:spacing w:before="9"/>
              <w:ind w:left="253"/>
              <w:rPr>
                <w:rFonts w:ascii="微软雅黑" w:eastAsia="微软雅黑" w:hint="eastAsia"/>
                <w:b/>
                <w:sz w:val="21"/>
              </w:rPr>
            </w:pPr>
            <w:r>
              <w:rPr>
                <w:rFonts w:ascii="微软雅黑" w:eastAsia="微软雅黑" w:hint="eastAsia"/>
                <w:b/>
                <w:sz w:val="21"/>
              </w:rPr>
              <w:t>恶性肿瘤</w:t>
            </w:r>
          </w:p>
        </w:tc>
        <w:tc>
          <w:tcPr>
            <w:tcW w:w="7032" w:type="dxa"/>
          </w:tcPr>
          <w:p>
            <w:pPr>
              <w:pStyle w:val="TableParagraph"/>
              <w:spacing w:line="273" w:lineRule="auto" w:before="72"/>
              <w:ind w:left="-1" w:right="314"/>
              <w:jc w:val="both"/>
              <w:rPr>
                <w:sz w:val="21"/>
              </w:rPr>
            </w:pPr>
            <w:r>
              <w:rPr>
                <w:spacing w:val="-5"/>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w:t>
            </w:r>
            <w:r>
              <w:rPr>
                <w:spacing w:val="-3"/>
                <w:sz w:val="21"/>
              </w:rPr>
              <w:t>统计分类》</w:t>
            </w:r>
            <w:r>
              <w:rPr>
                <w:spacing w:val="-1"/>
                <w:sz w:val="21"/>
              </w:rPr>
              <w:t>（ICD-10）</w:t>
            </w:r>
            <w:r>
              <w:rPr>
                <w:spacing w:val="-2"/>
                <w:sz w:val="21"/>
              </w:rPr>
              <w:t>的恶性肿瘤范畴。</w:t>
            </w:r>
          </w:p>
          <w:p>
            <w:pPr>
              <w:pStyle w:val="TableParagraph"/>
              <w:spacing w:line="276" w:lineRule="exact"/>
              <w:ind w:left="-1"/>
              <w:jc w:val="both"/>
              <w:rPr>
                <w:rFonts w:ascii="Microsoft JhengHei" w:eastAsia="Microsoft JhengHei" w:hint="eastAsia"/>
                <w:b/>
                <w:sz w:val="22"/>
              </w:rPr>
            </w:pPr>
            <w:r>
              <w:rPr>
                <w:rFonts w:ascii="Microsoft JhengHei" w:eastAsia="Microsoft JhengHei" w:hint="eastAsia"/>
                <w:b/>
                <w:sz w:val="22"/>
                <w:shd w:fill="D9D9D9" w:color="auto" w:val="clear"/>
              </w:rPr>
              <w:t>下列疾病不在保障范围内：</w:t>
            </w:r>
          </w:p>
          <w:p>
            <w:pPr>
              <w:pStyle w:val="TableParagraph"/>
              <w:spacing w:line="312" w:lineRule="exact"/>
              <w:ind w:left="-1"/>
              <w:jc w:val="both"/>
              <w:rPr>
                <w:rFonts w:ascii="Microsoft JhengHei" w:eastAsia="Microsoft JhengHei" w:hint="eastAsia"/>
                <w:b/>
                <w:sz w:val="22"/>
              </w:rPr>
            </w:pPr>
            <w:r>
              <w:rPr>
                <w:rFonts w:ascii="Microsoft JhengHei" w:eastAsia="Microsoft JhengHei" w:hint="eastAsia"/>
                <w:b/>
                <w:w w:val="95"/>
                <w:sz w:val="22"/>
              </w:rPr>
              <w:t>（1）原位癌</w:t>
            </w:r>
            <w:r>
              <w:rPr>
                <w:rFonts w:ascii="微软雅黑" w:eastAsia="微软雅黑" w:hint="eastAsia"/>
                <w:b/>
                <w:w w:val="95"/>
                <w:position w:val="11"/>
                <w:sz w:val="11"/>
              </w:rPr>
              <w:t>18</w:t>
            </w:r>
            <w:r>
              <w:rPr>
                <w:rFonts w:ascii="Microsoft JhengHei" w:eastAsia="Microsoft JhengHei" w:hint="eastAsia"/>
                <w:b/>
                <w:w w:val="95"/>
                <w:sz w:val="22"/>
              </w:rPr>
              <w:t>；</w:t>
            </w:r>
          </w:p>
          <w:p>
            <w:pPr>
              <w:pStyle w:val="TableParagraph"/>
              <w:spacing w:line="312" w:lineRule="exact"/>
              <w:ind w:left="-1"/>
              <w:jc w:val="both"/>
              <w:rPr>
                <w:rFonts w:ascii="Microsoft JhengHei" w:eastAsia="Microsoft JhengHei" w:hint="eastAsia"/>
                <w:b/>
                <w:sz w:val="22"/>
              </w:rPr>
            </w:pPr>
            <w:r>
              <w:rPr>
                <w:rFonts w:ascii="Microsoft JhengHei" w:eastAsia="Microsoft JhengHei" w:hint="eastAsia"/>
                <w:b/>
                <w:sz w:val="22"/>
                <w:shd w:fill="D9D9D9" w:color="auto" w:val="clear"/>
              </w:rPr>
              <w:t>（2）相当于Binet分期方案 A期程度的慢性淋巴细胞白血病；</w:t>
            </w:r>
          </w:p>
          <w:p>
            <w:pPr>
              <w:pStyle w:val="TableParagraph"/>
              <w:spacing w:line="312" w:lineRule="exact"/>
              <w:ind w:left="-1"/>
              <w:jc w:val="both"/>
              <w:rPr>
                <w:rFonts w:ascii="Microsoft JhengHei" w:eastAsia="Microsoft JhengHei" w:hint="eastAsia"/>
                <w:b/>
                <w:sz w:val="22"/>
              </w:rPr>
            </w:pPr>
            <w:r>
              <w:rPr>
                <w:rFonts w:ascii="Microsoft JhengHei" w:eastAsia="Microsoft JhengHei" w:hint="eastAsia"/>
                <w:b/>
                <w:sz w:val="22"/>
                <w:shd w:fill="D9D9D9" w:color="auto" w:val="clear"/>
              </w:rPr>
              <w:t>（3）相当于 Ann Arbor 分期方案 </w:t>
            </w:r>
            <w:r>
              <w:rPr>
                <w:rFonts w:ascii="Microsoft JhengHei" w:eastAsia="Microsoft JhengHei" w:hint="eastAsia"/>
                <w:b/>
                <w:w w:val="135"/>
                <w:sz w:val="22"/>
                <w:shd w:fill="D9D9D9" w:color="auto" w:val="clear"/>
              </w:rPr>
              <w:t>I </w:t>
            </w:r>
            <w:r>
              <w:rPr>
                <w:rFonts w:ascii="Microsoft JhengHei" w:eastAsia="Microsoft JhengHei" w:hint="eastAsia"/>
                <w:b/>
                <w:sz w:val="22"/>
                <w:shd w:fill="D9D9D9" w:color="auto" w:val="clear"/>
              </w:rPr>
              <w:t>期程度的何杰金氏病；</w:t>
            </w:r>
          </w:p>
          <w:p>
            <w:pPr>
              <w:pStyle w:val="TableParagraph"/>
              <w:spacing w:line="312" w:lineRule="exact"/>
              <w:ind w:left="-1"/>
              <w:jc w:val="both"/>
              <w:rPr>
                <w:rFonts w:ascii="Microsoft JhengHei" w:eastAsia="Microsoft JhengHei" w:hint="eastAsia"/>
                <w:b/>
                <w:sz w:val="22"/>
              </w:rPr>
            </w:pPr>
            <w:r>
              <w:rPr>
                <w:rFonts w:ascii="Microsoft JhengHei" w:eastAsia="Microsoft JhengHei" w:hint="eastAsia"/>
                <w:b/>
                <w:w w:val="95"/>
                <w:sz w:val="22"/>
                <w:shd w:fill="D9D9D9" w:color="auto" w:val="clear"/>
              </w:rPr>
              <w:t>（4）皮肤癌（不包括恶性黑色素瘤及已发Th转移的皮肤癌）；</w:t>
            </w:r>
          </w:p>
          <w:p>
            <w:pPr>
              <w:pStyle w:val="TableParagraph"/>
              <w:spacing w:line="303" w:lineRule="exact"/>
              <w:ind w:left="-1"/>
              <w:jc w:val="both"/>
              <w:rPr>
                <w:rFonts w:ascii="Microsoft JhengHei" w:eastAsia="Microsoft JhengHei" w:hint="eastAsia"/>
                <w:b/>
                <w:sz w:val="22"/>
              </w:rPr>
            </w:pPr>
            <w:r>
              <w:rPr>
                <w:rFonts w:ascii="Microsoft JhengHei" w:eastAsia="Microsoft JhengHei" w:hint="eastAsia"/>
                <w:b/>
                <w:w w:val="90"/>
                <w:sz w:val="22"/>
                <w:shd w:fill="D9D9D9" w:color="auto" w:val="clear"/>
              </w:rPr>
              <w:t>（5）TNM   分期为T1N0M0期或更轻分期的前列腺癌；</w:t>
            </w:r>
          </w:p>
        </w:tc>
      </w:tr>
    </w:tbl>
    <w:p>
      <w:pPr>
        <w:pStyle w:val="BodyText"/>
        <w:rPr>
          <w:sz w:val="21"/>
        </w:rPr>
      </w:pPr>
      <w:r>
        <w:rPr/>
        <w:pict>
          <v:line style="position:absolute;mso-position-horizontal-relative:page;mso-position-vertical-relative:paragraph;z-index:1288;mso-wrap-distance-left:0;mso-wrap-distance-right:0" from="56.639999pt,15.96751pt" to="200.689999pt,15.96751pt" stroked="true" strokeweight=".47998pt" strokecolor="#000000">
            <v:stroke dashstyle="solid"/>
            <w10:wrap type="topAndBottom"/>
          </v:line>
        </w:pict>
      </w:r>
    </w:p>
    <w:p>
      <w:pPr>
        <w:spacing w:line="284" w:lineRule="exact" w:before="0"/>
        <w:ind w:left="152" w:right="0" w:firstLine="0"/>
        <w:jc w:val="left"/>
        <w:rPr>
          <w:sz w:val="18"/>
        </w:rPr>
      </w:pPr>
      <w:r>
        <w:rPr>
          <w:rFonts w:ascii="Times New Roman" w:eastAsia="Times New Roman"/>
          <w:position w:val="6"/>
          <w:sz w:val="12"/>
        </w:rPr>
        <w:t>17   </w:t>
      </w:r>
      <w:r>
        <w:rPr>
          <w:rFonts w:ascii="微软雅黑" w:eastAsia="微软雅黑" w:hint="eastAsia"/>
          <w:b/>
          <w:sz w:val="18"/>
        </w:rPr>
        <w:t>专科医生</w:t>
      </w:r>
      <w:r>
        <w:rPr>
          <w:sz w:val="18"/>
        </w:rPr>
        <w:t>应当同时满足以下四项资格条件：</w:t>
      </w:r>
    </w:p>
    <w:p>
      <w:pPr>
        <w:pStyle w:val="BodyText"/>
        <w:spacing w:line="229" w:lineRule="exact"/>
        <w:ind w:left="152"/>
      </w:pPr>
      <w:r>
        <w:rPr/>
        <w:pict>
          <v:rect style="position:absolute;margin-left:208.729996pt;margin-top:-107.011871pt;width:77.52pt;height:14.4pt;mso-position-horizontal-relative:page;mso-position-vertical-relative:paragraph;z-index:-39736" filled="true" fillcolor="#d9d9d9" stroked="false">
            <v:fill type="solid"/>
            <w10:wrap type="none"/>
          </v:rect>
        </w:pict>
      </w:r>
      <w:r>
        <w:rPr/>
        <w:t>（</w:t>
      </w:r>
      <w:r>
        <w:rPr>
          <w:rFonts w:ascii="Times New Roman" w:eastAsia="Times New Roman"/>
        </w:rPr>
        <w:t>1</w:t>
      </w:r>
      <w:r>
        <w:rPr/>
        <w:t>）具有有效的中华人民共和国《医师资格证书》；</w:t>
      </w:r>
    </w:p>
    <w:p>
      <w:pPr>
        <w:pStyle w:val="BodyText"/>
        <w:spacing w:line="233" w:lineRule="exact"/>
        <w:ind w:left="152"/>
      </w:pPr>
      <w:r>
        <w:rPr/>
        <w:t>（</w:t>
      </w:r>
      <w:r>
        <w:rPr>
          <w:rFonts w:ascii="Times New Roman" w:eastAsia="Times New Roman"/>
        </w:rPr>
        <w:t>2</w:t>
      </w:r>
      <w:r>
        <w:rPr/>
        <w:t>）具有有效的中华人民共和国《医师执业证书》，并按期到相关部门登记注册；</w:t>
      </w:r>
    </w:p>
    <w:p>
      <w:pPr>
        <w:pStyle w:val="BodyText"/>
        <w:spacing w:line="234" w:lineRule="exact"/>
        <w:ind w:left="152"/>
      </w:pPr>
      <w:r>
        <w:rPr/>
        <w:t>（</w:t>
      </w:r>
      <w:r>
        <w:rPr>
          <w:rFonts w:ascii="Times New Roman" w:eastAsia="Times New Roman"/>
        </w:rPr>
        <w:t>3</w:t>
      </w:r>
      <w:r>
        <w:rPr/>
        <w:t>）具有有效的中华人民共和国主治医师或主治医师以上职称的《医师职称证书》；</w:t>
      </w:r>
    </w:p>
    <w:p>
      <w:pPr>
        <w:pStyle w:val="BodyText"/>
        <w:spacing w:line="218" w:lineRule="exact"/>
        <w:ind w:left="152"/>
      </w:pPr>
      <w:r>
        <w:rPr/>
        <w:t>（</w:t>
      </w:r>
      <w:r>
        <w:rPr>
          <w:rFonts w:ascii="Times New Roman" w:eastAsia="Times New Roman"/>
        </w:rPr>
        <w:t>4</w:t>
      </w:r>
      <w:r>
        <w:rPr/>
        <w:t>）在二级或二级以上医院的相应科室从事临床工作 </w:t>
      </w:r>
      <w:r>
        <w:rPr>
          <w:rFonts w:ascii="Times New Roman" w:eastAsia="Times New Roman"/>
        </w:rPr>
        <w:t>3 </w:t>
      </w:r>
      <w:r>
        <w:rPr/>
        <w:t>年以上。</w:t>
      </w:r>
    </w:p>
    <w:p>
      <w:pPr>
        <w:pStyle w:val="BodyText"/>
        <w:spacing w:line="220" w:lineRule="auto"/>
        <w:ind w:left="152" w:right="619"/>
      </w:pPr>
      <w:r>
        <w:rPr>
          <w:position w:val="10"/>
          <w:sz w:val="10"/>
        </w:rPr>
        <w:t>18 </w:t>
      </w:r>
      <w:r>
        <w:rPr>
          <w:rFonts w:ascii="微软雅黑" w:eastAsia="微软雅黑" w:hint="eastAsia"/>
          <w:b/>
        </w:rPr>
        <w:t>原位癌</w:t>
      </w:r>
      <w:r>
        <w:rPr/>
        <w:t>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20" w:lineRule="auto"/>
        <w:sectPr>
          <w:pgSz w:w="11910" w:h="16840"/>
          <w:pgMar w:header="567" w:footer="664" w:top="1000" w:bottom="860" w:left="980" w:right="600"/>
        </w:sectPr>
      </w:pPr>
    </w:p>
    <w:p>
      <w:pPr>
        <w:pStyle w:val="BodyText"/>
        <w:rPr>
          <w:sz w:val="20"/>
        </w:rPr>
      </w:pPr>
    </w:p>
    <w:p>
      <w:pPr>
        <w:pStyle w:val="BodyText"/>
        <w:spacing w:before="3"/>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2101"/>
        <w:gridCol w:w="7180"/>
      </w:tblGrid>
      <w:tr>
        <w:trPr>
          <w:trHeight w:val="354" w:hRule="atLeast"/>
        </w:trPr>
        <w:tc>
          <w:tcPr>
            <w:tcW w:w="981" w:type="dxa"/>
          </w:tcPr>
          <w:p>
            <w:pPr>
              <w:pStyle w:val="TableParagraph"/>
              <w:rPr>
                <w:rFonts w:ascii="Times New Roman"/>
                <w:sz w:val="20"/>
              </w:rPr>
            </w:pPr>
          </w:p>
        </w:tc>
        <w:tc>
          <w:tcPr>
            <w:tcW w:w="2101" w:type="dxa"/>
          </w:tcPr>
          <w:p>
            <w:pPr>
              <w:pStyle w:val="TableParagraph"/>
              <w:rPr>
                <w:rFonts w:ascii="Times New Roman"/>
                <w:sz w:val="20"/>
              </w:rPr>
            </w:pPr>
          </w:p>
        </w:tc>
        <w:tc>
          <w:tcPr>
            <w:tcW w:w="7180" w:type="dxa"/>
          </w:tcPr>
          <w:p>
            <w:pPr>
              <w:pStyle w:val="TableParagraph"/>
              <w:spacing w:line="246" w:lineRule="exact"/>
              <w:ind w:left="159"/>
              <w:rPr>
                <w:rFonts w:ascii="Microsoft JhengHei" w:eastAsia="Microsoft JhengHei" w:hint="eastAsia"/>
                <w:b/>
                <w:sz w:val="22"/>
              </w:rPr>
            </w:pPr>
            <w:r>
              <w:rPr>
                <w:rFonts w:ascii="Microsoft JhengHei" w:eastAsia="Microsoft JhengHei" w:hint="eastAsia"/>
                <w:b/>
                <w:w w:val="95"/>
                <w:sz w:val="22"/>
                <w:shd w:fill="D9D9D9" w:color="auto" w:val="clear"/>
              </w:rPr>
              <w:t>（6）感染艾滋病病毒或患艾滋病期间所患恶性肿瘤。</w:t>
            </w:r>
          </w:p>
        </w:tc>
      </w:tr>
      <w:tr>
        <w:trPr>
          <w:trHeight w:val="2663" w:hRule="atLeast"/>
        </w:trPr>
        <w:tc>
          <w:tcPr>
            <w:tcW w:w="981" w:type="dxa"/>
          </w:tcPr>
          <w:p>
            <w:pPr>
              <w:pStyle w:val="TableParagraph"/>
              <w:spacing w:before="7"/>
              <w:ind w:left="200"/>
              <w:rPr>
                <w:rFonts w:ascii="微软雅黑"/>
                <w:b/>
                <w:sz w:val="21"/>
              </w:rPr>
            </w:pPr>
            <w:r>
              <w:rPr>
                <w:rFonts w:ascii="微软雅黑"/>
                <w:b/>
                <w:w w:val="105"/>
                <w:sz w:val="21"/>
              </w:rPr>
              <w:t>7.2.2</w:t>
            </w:r>
          </w:p>
        </w:tc>
        <w:tc>
          <w:tcPr>
            <w:tcW w:w="2101" w:type="dxa"/>
          </w:tcPr>
          <w:p>
            <w:pPr>
              <w:pStyle w:val="TableParagraph"/>
              <w:spacing w:before="7"/>
              <w:ind w:left="253"/>
              <w:rPr>
                <w:rFonts w:ascii="微软雅黑" w:eastAsia="微软雅黑" w:hint="eastAsia"/>
                <w:b/>
                <w:sz w:val="21"/>
              </w:rPr>
            </w:pPr>
            <w:r>
              <w:rPr>
                <w:rFonts w:ascii="微软雅黑" w:eastAsia="微软雅黑" w:hint="eastAsia"/>
                <w:b/>
                <w:sz w:val="21"/>
              </w:rPr>
              <w:t>急性心肌梗塞</w:t>
            </w:r>
          </w:p>
        </w:tc>
        <w:tc>
          <w:tcPr>
            <w:tcW w:w="7180" w:type="dxa"/>
          </w:tcPr>
          <w:p>
            <w:pPr>
              <w:pStyle w:val="TableParagraph"/>
              <w:spacing w:line="273" w:lineRule="auto" w:before="70"/>
              <w:ind w:left="159" w:right="260"/>
              <w:rPr>
                <w:sz w:val="21"/>
              </w:rPr>
            </w:pPr>
            <w:r>
              <w:rPr>
                <w:sz w:val="21"/>
              </w:rPr>
              <w:t>指因冠状动脉阻塞导致的相应区域供血不足造成部分心肌坏死。须满足下列至少三项条件：</w:t>
            </w:r>
          </w:p>
          <w:p>
            <w:pPr>
              <w:pStyle w:val="TableParagraph"/>
              <w:spacing w:before="7"/>
              <w:ind w:left="159"/>
              <w:rPr>
                <w:sz w:val="21"/>
              </w:rPr>
            </w:pPr>
            <w:r>
              <w:rPr>
                <w:sz w:val="21"/>
              </w:rPr>
              <w:t>（1）典型临床表现，例如急性胸痛等；</w:t>
            </w:r>
          </w:p>
          <w:p>
            <w:pPr>
              <w:pStyle w:val="TableParagraph"/>
              <w:spacing w:before="36"/>
              <w:ind w:left="159"/>
              <w:rPr>
                <w:sz w:val="21"/>
              </w:rPr>
            </w:pPr>
            <w:r>
              <w:rPr>
                <w:sz w:val="21"/>
              </w:rPr>
              <w:t>（2）新近的心电图改变提示急性心肌梗塞；</w:t>
            </w:r>
          </w:p>
          <w:p>
            <w:pPr>
              <w:pStyle w:val="TableParagraph"/>
              <w:spacing w:line="273" w:lineRule="auto" w:before="36"/>
              <w:ind w:left="159" w:right="397"/>
              <w:rPr>
                <w:sz w:val="21"/>
              </w:rPr>
            </w:pPr>
            <w:r>
              <w:rPr>
                <w:sz w:val="21"/>
              </w:rPr>
              <w:t>（3）心肌酶或肌钙蛋白有诊断意义的升高，或呈符合急性心肌梗塞的动态性变化；</w:t>
            </w:r>
          </w:p>
          <w:p>
            <w:pPr>
              <w:pStyle w:val="TableParagraph"/>
              <w:spacing w:before="7"/>
              <w:ind w:left="159"/>
              <w:rPr>
                <w:sz w:val="21"/>
              </w:rPr>
            </w:pPr>
            <w:r>
              <w:rPr>
                <w:sz w:val="21"/>
              </w:rPr>
              <w:t>（4）发病90日后，经检查证实左心室功能降低，如左心室射血分数低于</w:t>
            </w:r>
          </w:p>
          <w:p>
            <w:pPr>
              <w:pStyle w:val="TableParagraph"/>
              <w:spacing w:before="37"/>
              <w:ind w:left="159"/>
              <w:rPr>
                <w:sz w:val="21"/>
              </w:rPr>
            </w:pPr>
            <w:r>
              <w:rPr>
                <w:sz w:val="21"/>
              </w:rPr>
              <w:t>50%。</w:t>
            </w:r>
          </w:p>
        </w:tc>
      </w:tr>
      <w:tr>
        <w:trPr>
          <w:trHeight w:val="2353" w:hRule="atLeast"/>
        </w:trPr>
        <w:tc>
          <w:tcPr>
            <w:tcW w:w="981" w:type="dxa"/>
          </w:tcPr>
          <w:p>
            <w:pPr>
              <w:pStyle w:val="TableParagraph"/>
              <w:spacing w:before="8"/>
              <w:ind w:left="200"/>
              <w:rPr>
                <w:rFonts w:ascii="微软雅黑"/>
                <w:b/>
                <w:sz w:val="21"/>
              </w:rPr>
            </w:pPr>
            <w:r>
              <w:rPr>
                <w:rFonts w:ascii="微软雅黑"/>
                <w:b/>
                <w:w w:val="105"/>
                <w:sz w:val="21"/>
              </w:rPr>
              <w:t>7.2.3</w:t>
            </w:r>
          </w:p>
        </w:tc>
        <w:tc>
          <w:tcPr>
            <w:tcW w:w="2101" w:type="dxa"/>
          </w:tcPr>
          <w:p>
            <w:pPr>
              <w:pStyle w:val="TableParagraph"/>
              <w:spacing w:before="8"/>
              <w:ind w:left="253"/>
              <w:rPr>
                <w:rFonts w:ascii="微软雅黑" w:eastAsia="微软雅黑" w:hint="eastAsia"/>
                <w:b/>
                <w:sz w:val="21"/>
              </w:rPr>
            </w:pPr>
            <w:r>
              <w:rPr>
                <w:rFonts w:ascii="微软雅黑" w:eastAsia="微软雅黑" w:hint="eastAsia"/>
                <w:b/>
                <w:sz w:val="21"/>
              </w:rPr>
              <w:t>脑中风后遗症</w:t>
            </w:r>
          </w:p>
        </w:tc>
        <w:tc>
          <w:tcPr>
            <w:tcW w:w="7180" w:type="dxa"/>
          </w:tcPr>
          <w:p>
            <w:pPr>
              <w:pStyle w:val="TableParagraph"/>
              <w:spacing w:line="273" w:lineRule="auto" w:before="70"/>
              <w:ind w:left="159" w:right="302"/>
              <w:rPr>
                <w:sz w:val="21"/>
              </w:rPr>
            </w:pPr>
            <w:r>
              <w:rPr>
                <w:spacing w:val="-5"/>
                <w:sz w:val="21"/>
              </w:rPr>
              <w:t>指因脑血管的突发病变引起脑血管出血、栓塞或梗塞，并导致神经系统永</w:t>
            </w:r>
            <w:r>
              <w:rPr>
                <w:spacing w:val="-4"/>
                <w:sz w:val="21"/>
              </w:rPr>
              <w:t>久性的功能障碍。神经系统永久性的功能障碍，指疾病确诊</w:t>
            </w:r>
            <w:r>
              <w:rPr>
                <w:sz w:val="21"/>
              </w:rPr>
              <w:t>180</w:t>
            </w:r>
            <w:r>
              <w:rPr>
                <w:spacing w:val="-3"/>
                <w:sz w:val="21"/>
              </w:rPr>
              <w:t>日后，仍遗留下列一种或一种以上障碍：</w:t>
            </w:r>
          </w:p>
          <w:p>
            <w:pPr>
              <w:pStyle w:val="TableParagraph"/>
              <w:spacing w:line="283" w:lineRule="exact"/>
              <w:ind w:left="159"/>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19</w:t>
            </w:r>
            <w:r>
              <w:rPr>
                <w:w w:val="95"/>
                <w:sz w:val="21"/>
              </w:rPr>
              <w:t>；</w:t>
            </w:r>
          </w:p>
          <w:p>
            <w:pPr>
              <w:pStyle w:val="TableParagraph"/>
              <w:spacing w:line="312" w:lineRule="exact"/>
              <w:ind w:left="159"/>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20</w:t>
            </w:r>
            <w:r>
              <w:rPr>
                <w:w w:val="95"/>
                <w:sz w:val="21"/>
              </w:rPr>
              <w:t>；</w:t>
            </w:r>
          </w:p>
          <w:p>
            <w:pPr>
              <w:pStyle w:val="TableParagraph"/>
              <w:spacing w:line="312" w:lineRule="exact" w:before="32"/>
              <w:ind w:left="685" w:right="247" w:hanging="526"/>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21</w:t>
            </w:r>
            <w:r>
              <w:rPr>
                <w:sz w:val="21"/>
              </w:rPr>
              <w:t>中的三项或三项以上。</w:t>
            </w:r>
          </w:p>
        </w:tc>
      </w:tr>
      <w:tr>
        <w:trPr>
          <w:trHeight w:val="1730" w:hRule="atLeast"/>
        </w:trPr>
        <w:tc>
          <w:tcPr>
            <w:tcW w:w="981" w:type="dxa"/>
          </w:tcPr>
          <w:p>
            <w:pPr>
              <w:pStyle w:val="TableParagraph"/>
              <w:spacing w:before="9"/>
              <w:ind w:left="200"/>
              <w:rPr>
                <w:rFonts w:ascii="微软雅黑"/>
                <w:b/>
                <w:sz w:val="21"/>
              </w:rPr>
            </w:pPr>
            <w:r>
              <w:rPr>
                <w:rFonts w:ascii="微软雅黑"/>
                <w:b/>
                <w:w w:val="105"/>
                <w:sz w:val="21"/>
              </w:rPr>
              <w:t>7.2.4</w:t>
            </w:r>
          </w:p>
        </w:tc>
        <w:tc>
          <w:tcPr>
            <w:tcW w:w="2101" w:type="dxa"/>
          </w:tcPr>
          <w:p>
            <w:pPr>
              <w:pStyle w:val="TableParagraph"/>
              <w:spacing w:line="206" w:lineRule="auto" w:before="60"/>
              <w:ind w:left="253" w:right="155"/>
              <w:rPr>
                <w:rFonts w:ascii="微软雅黑" w:eastAsia="微软雅黑" w:hint="eastAsia"/>
                <w:b/>
                <w:sz w:val="21"/>
              </w:rPr>
            </w:pPr>
            <w:r>
              <w:rPr>
                <w:rFonts w:ascii="微软雅黑" w:eastAsia="微软雅黑" w:hint="eastAsia"/>
                <w:b/>
                <w:sz w:val="21"/>
              </w:rPr>
              <w:t>重大器官移植术或造血干细胞移植术</w:t>
            </w:r>
          </w:p>
        </w:tc>
        <w:tc>
          <w:tcPr>
            <w:tcW w:w="7180" w:type="dxa"/>
          </w:tcPr>
          <w:p>
            <w:pPr>
              <w:pStyle w:val="TableParagraph"/>
              <w:spacing w:line="273" w:lineRule="auto" w:before="72"/>
              <w:ind w:left="159" w:right="260"/>
              <w:rPr>
                <w:sz w:val="21"/>
              </w:rPr>
            </w:pPr>
            <w:r>
              <w:rPr>
                <w:sz w:val="21"/>
              </w:rPr>
              <w:t>重大器官移植术，指因相应器官功能衰竭，已经实施了肾脏、肝脏、心脏或肺脏的异体移植手术。</w:t>
            </w:r>
          </w:p>
          <w:p>
            <w:pPr>
              <w:pStyle w:val="TableParagraph"/>
              <w:spacing w:line="273" w:lineRule="auto" w:before="8"/>
              <w:ind w:left="159" w:right="196"/>
              <w:rPr>
                <w:sz w:val="21"/>
              </w:rPr>
            </w:pPr>
            <w:r>
              <w:rPr>
                <w:spacing w:val="-5"/>
                <w:sz w:val="21"/>
              </w:rPr>
              <w:t>造血干细胞移植术，指因造血功能损害或造血系统恶性肿瘤，已经实施了</w:t>
            </w:r>
            <w:r>
              <w:rPr>
                <w:spacing w:val="-16"/>
                <w:sz w:val="21"/>
              </w:rPr>
              <w:t>造血干细胞</w:t>
            </w:r>
            <w:r>
              <w:rPr>
                <w:sz w:val="21"/>
              </w:rPr>
              <w:t>（</w:t>
            </w:r>
            <w:r>
              <w:rPr>
                <w:spacing w:val="-9"/>
                <w:sz w:val="21"/>
              </w:rPr>
              <w:t>包括骨髓造血干细胞、外周血造血干细胞和脐血造血干细胞</w:t>
            </w:r>
            <w:r>
              <w:rPr>
                <w:sz w:val="21"/>
              </w:rPr>
              <w:t>） </w:t>
            </w:r>
            <w:r>
              <w:rPr>
                <w:spacing w:val="-3"/>
                <w:sz w:val="21"/>
              </w:rPr>
              <w:t>的异体移植手术。</w:t>
            </w:r>
          </w:p>
        </w:tc>
      </w:tr>
      <w:tr>
        <w:trPr>
          <w:trHeight w:val="1420" w:hRule="atLeast"/>
        </w:trPr>
        <w:tc>
          <w:tcPr>
            <w:tcW w:w="981" w:type="dxa"/>
          </w:tcPr>
          <w:p>
            <w:pPr>
              <w:pStyle w:val="TableParagraph"/>
              <w:spacing w:before="9"/>
              <w:ind w:left="200"/>
              <w:rPr>
                <w:rFonts w:ascii="微软雅黑"/>
                <w:b/>
                <w:sz w:val="21"/>
              </w:rPr>
            </w:pPr>
            <w:r>
              <w:rPr>
                <w:rFonts w:ascii="微软雅黑"/>
                <w:b/>
                <w:w w:val="105"/>
                <w:sz w:val="21"/>
              </w:rPr>
              <w:t>7.2.5</w:t>
            </w:r>
          </w:p>
        </w:tc>
        <w:tc>
          <w:tcPr>
            <w:tcW w:w="2101" w:type="dxa"/>
          </w:tcPr>
          <w:p>
            <w:pPr>
              <w:pStyle w:val="TableParagraph"/>
              <w:spacing w:line="337" w:lineRule="exact" w:before="9"/>
              <w:ind w:left="253"/>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5"/>
              <w:ind w:left="253" w:right="155"/>
              <w:rPr>
                <w:rFonts w:ascii="微软雅黑" w:eastAsia="微软雅黑" w:hint="eastAsia"/>
                <w:b/>
                <w:sz w:val="21"/>
              </w:rPr>
            </w:pPr>
            <w:r>
              <w:rPr>
                <w:rFonts w:ascii="微软雅黑" w:eastAsia="微软雅黑" w:hint="eastAsia"/>
                <w:b/>
                <w:sz w:val="21"/>
              </w:rPr>
              <w:t>（或称冠状动脉旁</w:t>
            </w:r>
            <w:r>
              <w:rPr>
                <w:rFonts w:ascii="微软雅黑" w:eastAsia="微软雅黑" w:hint="eastAsia"/>
                <w:b/>
                <w:w w:val="95"/>
                <w:sz w:val="21"/>
              </w:rPr>
              <w:t>路移植术）</w:t>
            </w:r>
          </w:p>
        </w:tc>
        <w:tc>
          <w:tcPr>
            <w:tcW w:w="7180" w:type="dxa"/>
          </w:tcPr>
          <w:p>
            <w:pPr>
              <w:pStyle w:val="TableParagraph"/>
              <w:spacing w:line="273" w:lineRule="auto" w:before="72"/>
              <w:ind w:left="159" w:right="261"/>
              <w:rPr>
                <w:sz w:val="21"/>
              </w:rPr>
            </w:pPr>
            <w:r>
              <w:rPr>
                <w:sz w:val="21"/>
              </w:rPr>
              <w:t>指为治疗严重的冠心病，实际实施了开胸进行的冠状动脉血管旁路移植的手术。</w:t>
            </w:r>
          </w:p>
          <w:p>
            <w:pPr>
              <w:pStyle w:val="TableParagraph"/>
              <w:spacing w:line="194" w:lineRule="auto" w:before="2"/>
              <w:ind w:left="159" w:right="394"/>
              <w:rPr>
                <w:rFonts w:ascii="Microsoft JhengHei" w:eastAsia="Microsoft JhengHei" w:hint="eastAsia"/>
                <w:b/>
                <w:sz w:val="22"/>
              </w:rPr>
            </w:pPr>
            <w:r>
              <w:rPr>
                <w:rFonts w:ascii="Microsoft JhengHei" w:eastAsia="Microsoft JhengHei" w:hint="eastAsia"/>
                <w:b/>
                <w:sz w:val="22"/>
                <w:shd w:fill="D9D9D9" w:color="auto" w:val="clear"/>
              </w:rPr>
              <w:t>冠状动脉支架植入术、心导管球囊扩张术、激光射频技术及其它非开胸的介入手术、腔镜手术不在保障范围内。</w:t>
            </w:r>
          </w:p>
        </w:tc>
      </w:tr>
      <w:tr>
        <w:trPr>
          <w:trHeight w:val="1104" w:hRule="atLeast"/>
        </w:trPr>
        <w:tc>
          <w:tcPr>
            <w:tcW w:w="981" w:type="dxa"/>
          </w:tcPr>
          <w:p>
            <w:pPr>
              <w:pStyle w:val="TableParagraph"/>
              <w:spacing w:before="7"/>
              <w:ind w:left="200"/>
              <w:rPr>
                <w:rFonts w:ascii="微软雅黑"/>
                <w:b/>
                <w:sz w:val="21"/>
              </w:rPr>
            </w:pPr>
            <w:r>
              <w:rPr>
                <w:rFonts w:ascii="微软雅黑"/>
                <w:b/>
                <w:w w:val="105"/>
                <w:sz w:val="21"/>
              </w:rPr>
              <w:t>7.2.6</w:t>
            </w:r>
          </w:p>
        </w:tc>
        <w:tc>
          <w:tcPr>
            <w:tcW w:w="2101" w:type="dxa"/>
          </w:tcPr>
          <w:p>
            <w:pPr>
              <w:pStyle w:val="TableParagraph"/>
              <w:spacing w:line="206" w:lineRule="auto" w:before="58"/>
              <w:ind w:left="253" w:right="155"/>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180" w:type="dxa"/>
          </w:tcPr>
          <w:p>
            <w:pPr>
              <w:pStyle w:val="TableParagraph"/>
              <w:spacing w:before="70"/>
              <w:ind w:left="159"/>
              <w:rPr>
                <w:sz w:val="21"/>
              </w:rPr>
            </w:pPr>
            <w:r>
              <w:rPr>
                <w:sz w:val="21"/>
              </w:rPr>
              <w:t>指双肾功能慢性不可逆性衰竭，达到尿毒症期，经诊断后已经进行了至少</w:t>
            </w:r>
          </w:p>
          <w:p>
            <w:pPr>
              <w:pStyle w:val="TableParagraph"/>
              <w:spacing w:before="37"/>
              <w:ind w:left="159"/>
              <w:rPr>
                <w:sz w:val="21"/>
              </w:rPr>
            </w:pPr>
            <w:r>
              <w:rPr>
                <w:sz w:val="21"/>
              </w:rPr>
              <w:t>90 日的规律性透析治疗或实施了肾脏移植手术。</w:t>
            </w:r>
          </w:p>
        </w:tc>
      </w:tr>
      <w:tr>
        <w:trPr>
          <w:trHeight w:val="794" w:hRule="atLeast"/>
        </w:trPr>
        <w:tc>
          <w:tcPr>
            <w:tcW w:w="981" w:type="dxa"/>
          </w:tcPr>
          <w:p>
            <w:pPr>
              <w:pStyle w:val="TableParagraph"/>
              <w:spacing w:before="9"/>
              <w:ind w:left="200"/>
              <w:rPr>
                <w:rFonts w:ascii="微软雅黑"/>
                <w:b/>
                <w:sz w:val="21"/>
              </w:rPr>
            </w:pPr>
            <w:r>
              <w:rPr>
                <w:rFonts w:ascii="微软雅黑"/>
                <w:b/>
                <w:w w:val="105"/>
                <w:sz w:val="21"/>
              </w:rPr>
              <w:t>7.2.7</w:t>
            </w:r>
          </w:p>
        </w:tc>
        <w:tc>
          <w:tcPr>
            <w:tcW w:w="2101" w:type="dxa"/>
          </w:tcPr>
          <w:p>
            <w:pPr>
              <w:pStyle w:val="TableParagraph"/>
              <w:spacing w:before="9"/>
              <w:ind w:left="253"/>
              <w:rPr>
                <w:rFonts w:ascii="微软雅黑" w:eastAsia="微软雅黑" w:hint="eastAsia"/>
                <w:b/>
                <w:sz w:val="21"/>
              </w:rPr>
            </w:pPr>
            <w:r>
              <w:rPr>
                <w:rFonts w:ascii="微软雅黑" w:eastAsia="微软雅黑" w:hint="eastAsia"/>
                <w:b/>
                <w:sz w:val="21"/>
              </w:rPr>
              <w:t>多个肢体缺失</w:t>
            </w:r>
          </w:p>
        </w:tc>
        <w:tc>
          <w:tcPr>
            <w:tcW w:w="7180" w:type="dxa"/>
          </w:tcPr>
          <w:p>
            <w:pPr>
              <w:pStyle w:val="TableParagraph"/>
              <w:spacing w:line="273" w:lineRule="auto" w:before="72"/>
              <w:ind w:left="159" w:right="260"/>
              <w:rPr>
                <w:sz w:val="21"/>
              </w:rPr>
            </w:pPr>
            <w:r>
              <w:rPr>
                <w:sz w:val="21"/>
              </w:rPr>
              <w:t>指因疾病或意外伤害导致二个或二个以上肢体自腕关节或踝关节近端（靠近躯干端）以上完全性断离。</w:t>
            </w:r>
          </w:p>
        </w:tc>
      </w:tr>
      <w:tr>
        <w:trPr>
          <w:trHeight w:val="346" w:hRule="atLeast"/>
        </w:trPr>
        <w:tc>
          <w:tcPr>
            <w:tcW w:w="981" w:type="dxa"/>
          </w:tcPr>
          <w:p>
            <w:pPr>
              <w:pStyle w:val="TableParagraph"/>
              <w:spacing w:line="317" w:lineRule="exact" w:before="9"/>
              <w:ind w:left="200"/>
              <w:rPr>
                <w:rFonts w:ascii="微软雅黑"/>
                <w:b/>
                <w:sz w:val="21"/>
              </w:rPr>
            </w:pPr>
            <w:r>
              <w:rPr>
                <w:rFonts w:ascii="微软雅黑"/>
                <w:b/>
                <w:w w:val="105"/>
                <w:sz w:val="21"/>
              </w:rPr>
              <w:t>7.2.8</w:t>
            </w:r>
          </w:p>
        </w:tc>
        <w:tc>
          <w:tcPr>
            <w:tcW w:w="2101" w:type="dxa"/>
          </w:tcPr>
          <w:p>
            <w:pPr>
              <w:pStyle w:val="TableParagraph"/>
              <w:spacing w:line="317" w:lineRule="exact" w:before="9"/>
              <w:ind w:left="253"/>
              <w:rPr>
                <w:rFonts w:ascii="微软雅黑" w:eastAsia="微软雅黑" w:hint="eastAsia"/>
                <w:b/>
                <w:sz w:val="21"/>
              </w:rPr>
            </w:pPr>
            <w:r>
              <w:rPr>
                <w:rFonts w:ascii="微软雅黑" w:eastAsia="微软雅黑" w:hint="eastAsia"/>
                <w:b/>
                <w:sz w:val="21"/>
              </w:rPr>
              <w:t>急性或亚急性重症</w:t>
            </w:r>
          </w:p>
        </w:tc>
        <w:tc>
          <w:tcPr>
            <w:tcW w:w="7180" w:type="dxa"/>
          </w:tcPr>
          <w:p>
            <w:pPr>
              <w:pStyle w:val="TableParagraph"/>
              <w:spacing w:line="255" w:lineRule="exact" w:before="72"/>
              <w:ind w:left="159"/>
              <w:rPr>
                <w:sz w:val="21"/>
              </w:rPr>
            </w:pPr>
            <w:r>
              <w:rPr>
                <w:sz w:val="21"/>
              </w:rPr>
              <w:t>指因肝炎病毒感染引起肝脏组织弥漫性坏死，导致急性肝功能衰竭，且经</w:t>
            </w:r>
          </w:p>
        </w:tc>
      </w:tr>
    </w:tbl>
    <w:p>
      <w:pPr>
        <w:pStyle w:val="BodyText"/>
        <w:spacing w:before="7"/>
        <w:rPr>
          <w:sz w:val="25"/>
        </w:rPr>
      </w:pPr>
      <w:r>
        <w:rPr/>
        <w:pict>
          <v:line style="position:absolute;mso-position-horizontal-relative:page;mso-position-vertical-relative:paragraph;z-index:1336;mso-wrap-distance-left:0;mso-wrap-distance-right:0" from="56.639999pt,18.915010pt" to="200.689999pt,18.915010pt" stroked="true" strokeweight=".47998pt" strokecolor="#000000">
            <v:stroke dashstyle="solid"/>
            <w10:wrap type="topAndBottom"/>
          </v:line>
        </w:pict>
      </w:r>
    </w:p>
    <w:p>
      <w:pPr>
        <w:pStyle w:val="BodyText"/>
        <w:spacing w:line="220" w:lineRule="auto" w:before="32"/>
        <w:ind w:left="312" w:right="614"/>
      </w:pPr>
      <w:r>
        <w:rPr>
          <w:position w:val="10"/>
          <w:sz w:val="10"/>
        </w:rPr>
        <w:t>19 </w:t>
      </w:r>
      <w:r>
        <w:rPr>
          <w:rFonts w:ascii="微软雅黑" w:eastAsia="微软雅黑" w:hint="eastAsia"/>
          <w:b/>
        </w:rPr>
        <w:t>肢体机能完全丧失</w:t>
      </w:r>
      <w:r>
        <w:rPr/>
        <w:t>指肢体的三大关节中的两大关节僵硬，或不能随意识活动。肢体是指包括肩关节的整个上肢或包括髋关节的整个下肢。</w:t>
      </w:r>
    </w:p>
    <w:p>
      <w:pPr>
        <w:spacing w:line="267" w:lineRule="exact" w:before="0"/>
        <w:ind w:left="312" w:right="0" w:firstLine="0"/>
        <w:jc w:val="left"/>
        <w:rPr>
          <w:sz w:val="18"/>
        </w:rPr>
      </w:pPr>
      <w:r>
        <w:rPr>
          <w:position w:val="10"/>
          <w:sz w:val="10"/>
        </w:rPr>
        <w:t>20  </w:t>
      </w:r>
      <w:r>
        <w:rPr>
          <w:rFonts w:ascii="微软雅黑" w:eastAsia="微软雅黑" w:hint="eastAsia"/>
          <w:b/>
          <w:sz w:val="18"/>
        </w:rPr>
        <w:t>语言能力或咀嚼吞咽能力完全丧失，</w:t>
      </w:r>
      <w:r>
        <w:rPr>
          <w:sz w:val="18"/>
        </w:rPr>
        <w:t>语言能力完全丧失，指无法发出四种语音（包括口唇音、齿舌音、口盖音和喉头音）</w:t>
      </w:r>
    </w:p>
    <w:p>
      <w:pPr>
        <w:pStyle w:val="BodyText"/>
        <w:spacing w:line="237" w:lineRule="auto"/>
        <w:ind w:left="312" w:right="531"/>
      </w:pPr>
      <w:r>
        <w:rPr>
          <w:spacing w:val="-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69" w:lineRule="exact" w:before="7"/>
        <w:ind w:left="312" w:right="0" w:firstLine="0"/>
        <w:jc w:val="left"/>
        <w:rPr>
          <w:rFonts w:ascii="微软雅黑" w:eastAsia="微软雅黑" w:hint="eastAsia"/>
          <w:b/>
          <w:sz w:val="18"/>
        </w:rPr>
      </w:pPr>
      <w:r>
        <w:rPr>
          <w:position w:val="10"/>
          <w:sz w:val="10"/>
        </w:rPr>
        <w:t>21 </w:t>
      </w:r>
      <w:r>
        <w:rPr>
          <w:rFonts w:ascii="微软雅黑" w:eastAsia="微软雅黑" w:hint="eastAsia"/>
          <w:b/>
          <w:sz w:val="18"/>
        </w:rPr>
        <w:t>六项基本日常生活活动是指：</w:t>
      </w:r>
    </w:p>
    <w:p>
      <w:pPr>
        <w:pStyle w:val="BodyText"/>
        <w:spacing w:line="231" w:lineRule="exact"/>
        <w:ind w:left="312"/>
      </w:pPr>
      <w:r>
        <w:rPr/>
        <w:t>（</w:t>
      </w:r>
      <w:r>
        <w:rPr>
          <w:rFonts w:ascii="Times New Roman" w:eastAsia="Times New Roman"/>
        </w:rPr>
        <w:t>1</w:t>
      </w:r>
      <w:r>
        <w:rPr/>
        <w:t>）穿衣：自己能够穿衣及脱衣；</w:t>
      </w:r>
    </w:p>
    <w:p>
      <w:pPr>
        <w:pStyle w:val="BodyText"/>
        <w:spacing w:line="233" w:lineRule="exact"/>
        <w:ind w:left="312"/>
      </w:pPr>
      <w:r>
        <w:rPr/>
        <w:t>（</w:t>
      </w:r>
      <w:r>
        <w:rPr>
          <w:rFonts w:ascii="Times New Roman" w:eastAsia="Times New Roman"/>
        </w:rPr>
        <w:t>2</w:t>
      </w:r>
      <w:r>
        <w:rPr/>
        <w:t>）移动：自己从一个房间到另一个房间；</w:t>
      </w:r>
    </w:p>
    <w:p>
      <w:pPr>
        <w:pStyle w:val="BodyText"/>
        <w:spacing w:line="233" w:lineRule="exact"/>
        <w:ind w:left="312"/>
      </w:pPr>
      <w:r>
        <w:rPr/>
        <w:t>（</w:t>
      </w:r>
      <w:r>
        <w:rPr>
          <w:rFonts w:ascii="Times New Roman" w:eastAsia="Times New Roman"/>
        </w:rPr>
        <w:t>3</w:t>
      </w:r>
      <w:r>
        <w:rPr/>
        <w:t>）行动：自己上下床或上下轮椅；</w:t>
      </w:r>
    </w:p>
    <w:p>
      <w:pPr>
        <w:pStyle w:val="BodyText"/>
        <w:spacing w:line="234" w:lineRule="exact"/>
        <w:ind w:left="312"/>
      </w:pPr>
      <w:r>
        <w:rPr/>
        <w:t>（</w:t>
      </w:r>
      <w:r>
        <w:rPr>
          <w:rFonts w:ascii="Times New Roman" w:eastAsia="Times New Roman"/>
        </w:rPr>
        <w:t>4</w:t>
      </w:r>
      <w:r>
        <w:rPr/>
        <w:t>）如厕：自己控制进行大小便；</w:t>
      </w:r>
    </w:p>
    <w:p>
      <w:pPr>
        <w:pStyle w:val="BodyText"/>
        <w:spacing w:line="234" w:lineRule="exact"/>
        <w:ind w:left="312"/>
      </w:pPr>
      <w:r>
        <w:rPr/>
        <w:t>（</w:t>
      </w:r>
      <w:r>
        <w:rPr>
          <w:rFonts w:ascii="Times New Roman" w:eastAsia="Times New Roman"/>
        </w:rPr>
        <w:t>5</w:t>
      </w:r>
      <w:r>
        <w:rPr/>
        <w:t>）进食：自己从已准备好的碗或碟中取食物放入口中；</w:t>
      </w:r>
    </w:p>
    <w:p>
      <w:pPr>
        <w:pStyle w:val="BodyText"/>
        <w:spacing w:line="241" w:lineRule="exact"/>
        <w:ind w:left="312"/>
      </w:pPr>
      <w:r>
        <w:rPr/>
        <w:t>（</w:t>
      </w:r>
      <w:r>
        <w:rPr>
          <w:rFonts w:ascii="Times New Roman" w:eastAsia="Times New Roman"/>
        </w:rPr>
        <w:t>6</w:t>
      </w:r>
      <w:r>
        <w:rPr/>
        <w:t>）洗澡：自己进行淋浴或盆浴。</w:t>
      </w:r>
    </w:p>
    <w:p>
      <w:pPr>
        <w:spacing w:after="0" w:line="241" w:lineRule="exact"/>
        <w:sectPr>
          <w:pgSz w:w="11910" w:h="16840"/>
          <w:pgMar w:header="567" w:footer="664" w:top="1000" w:bottom="860" w:left="820" w:right="600"/>
        </w:sectPr>
      </w:pPr>
    </w:p>
    <w:p>
      <w:pPr>
        <w:pStyle w:val="BodyText"/>
        <w:rPr>
          <w:sz w:val="20"/>
        </w:rPr>
      </w:pPr>
      <w:r>
        <w:rPr/>
        <w:pict>
          <v:rect style="position:absolute;margin-left:208.729996pt;margin-top:526.75pt;width:325.01pt;height:14.4pt;mso-position-horizontal-relative:page;mso-position-vertical-relative:page;z-index:-39664" filled="true" fillcolor="#d9d9d9" stroked="false">
            <v:fill type="solid"/>
            <w10:wrap type="none"/>
          </v:rect>
        </w:pict>
      </w:r>
    </w:p>
    <w:p>
      <w:pPr>
        <w:pStyle w:val="BodyText"/>
        <w:spacing w:before="9"/>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2206"/>
        <w:gridCol w:w="6871"/>
      </w:tblGrid>
      <w:tr>
        <w:trPr>
          <w:trHeight w:val="261" w:hRule="atLeast"/>
        </w:trPr>
        <w:tc>
          <w:tcPr>
            <w:tcW w:w="885" w:type="dxa"/>
          </w:tcPr>
          <w:p>
            <w:pPr>
              <w:pStyle w:val="TableParagraph"/>
              <w:rPr>
                <w:rFonts w:ascii="Times New Roman"/>
                <w:sz w:val="18"/>
              </w:rPr>
            </w:pPr>
          </w:p>
        </w:tc>
        <w:tc>
          <w:tcPr>
            <w:tcW w:w="2206" w:type="dxa"/>
          </w:tcPr>
          <w:p>
            <w:pPr>
              <w:pStyle w:val="TableParagraph"/>
              <w:spacing w:line="236" w:lineRule="exact"/>
              <w:ind w:left="199"/>
              <w:rPr>
                <w:rFonts w:ascii="微软雅黑" w:eastAsia="微软雅黑" w:hint="eastAsia"/>
                <w:b/>
                <w:sz w:val="21"/>
              </w:rPr>
            </w:pPr>
            <w:r>
              <w:rPr>
                <w:rFonts w:ascii="微软雅黑" w:eastAsia="微软雅黑" w:hint="eastAsia"/>
                <w:b/>
                <w:sz w:val="21"/>
              </w:rPr>
              <w:t>肝炎</w:t>
            </w:r>
          </w:p>
        </w:tc>
        <w:tc>
          <w:tcPr>
            <w:tcW w:w="6871" w:type="dxa"/>
          </w:tcPr>
          <w:p>
            <w:pPr>
              <w:pStyle w:val="TableParagraph"/>
              <w:spacing w:line="211" w:lineRule="exact"/>
              <w:rPr>
                <w:sz w:val="21"/>
              </w:rPr>
            </w:pPr>
            <w:r>
              <w:rPr>
                <w:sz w:val="21"/>
              </w:rPr>
              <w:t>血清学或病毒学检查证实，并须满足下列全部条件：</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2" w:lineRule="exact"/>
              <w:rPr>
                <w:sz w:val="21"/>
              </w:rPr>
            </w:pPr>
            <w:r>
              <w:rPr>
                <w:sz w:val="21"/>
              </w:rPr>
              <w:t>（1）重度黄疸或黄疸迅速加重；</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（2）肝性脑病；</w:t>
            </w:r>
          </w:p>
        </w:tc>
      </w:tr>
      <w:tr>
        <w:trPr>
          <w:trHeight w:val="311"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（3）B 超或其它影像学检查显示肝脏体积急速萎缩；</w:t>
            </w:r>
          </w:p>
        </w:tc>
      </w:tr>
      <w:tr>
        <w:trPr>
          <w:trHeight w:val="397"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（4）肝功能指标进行性恶化。</w:t>
            </w:r>
          </w:p>
        </w:tc>
      </w:tr>
      <w:tr>
        <w:trPr>
          <w:trHeight w:val="397" w:hRule="atLeast"/>
        </w:trPr>
        <w:tc>
          <w:tcPr>
            <w:tcW w:w="885" w:type="dxa"/>
          </w:tcPr>
          <w:p>
            <w:pPr>
              <w:pStyle w:val="TableParagraph"/>
              <w:spacing w:before="9"/>
              <w:ind w:left="50"/>
              <w:rPr>
                <w:rFonts w:ascii="微软雅黑"/>
                <w:b/>
                <w:sz w:val="21"/>
              </w:rPr>
            </w:pPr>
            <w:r>
              <w:rPr>
                <w:rFonts w:ascii="微软雅黑"/>
                <w:b/>
                <w:w w:val="105"/>
                <w:sz w:val="21"/>
              </w:rPr>
              <w:t>7.2.9</w:t>
            </w:r>
          </w:p>
        </w:tc>
        <w:tc>
          <w:tcPr>
            <w:tcW w:w="2206" w:type="dxa"/>
          </w:tcPr>
          <w:p>
            <w:pPr>
              <w:pStyle w:val="TableParagraph"/>
              <w:spacing w:before="9"/>
              <w:ind w:left="199"/>
              <w:rPr>
                <w:rFonts w:ascii="微软雅黑" w:eastAsia="微软雅黑" w:hint="eastAsia"/>
                <w:b/>
                <w:sz w:val="21"/>
              </w:rPr>
            </w:pPr>
            <w:r>
              <w:rPr>
                <w:rFonts w:ascii="微软雅黑" w:eastAsia="微软雅黑" w:hint="eastAsia"/>
                <w:b/>
                <w:sz w:val="21"/>
              </w:rPr>
              <w:t>良性脑肿瘤</w:t>
            </w:r>
          </w:p>
        </w:tc>
        <w:tc>
          <w:tcPr>
            <w:tcW w:w="6871" w:type="dxa"/>
          </w:tcPr>
          <w:p>
            <w:pPr>
              <w:pStyle w:val="TableParagraph"/>
              <w:spacing w:before="72"/>
              <w:rPr>
                <w:sz w:val="21"/>
              </w:rPr>
            </w:pPr>
            <w:r>
              <w:rPr>
                <w:sz w:val="21"/>
              </w:rPr>
              <w:t>指脑的良性肿瘤，已经引起颅内压增高，临床表现为视神经乳头水肿、精</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pacing w:val="-10"/>
                <w:sz w:val="21"/>
              </w:rPr>
              <w:t>神症状、癫痫及运动感觉障碍等，并危及生命。须由头颅断层扫描</w:t>
            </w:r>
            <w:r>
              <w:rPr>
                <w:spacing w:val="-7"/>
                <w:sz w:val="21"/>
              </w:rPr>
              <w:t>（CT）</w:t>
            </w:r>
            <w:r>
              <w:rPr>
                <w:spacing w:val="-22"/>
                <w:sz w:val="21"/>
              </w:rPr>
              <w:t>、</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核磁共振检查（MRI）或正电子发射断层扫描（PET）等影像学检查证实，</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并须满足下列至少一项条件：</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（1）实际实施了开颅进行的脑肿瘤完全切除或部分切除的手术；</w:t>
            </w:r>
          </w:p>
        </w:tc>
      </w:tr>
      <w:tr>
        <w:trPr>
          <w:trHeight w:val="710"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40" w:lineRule="exact"/>
              <w:rPr>
                <w:sz w:val="21"/>
              </w:rPr>
            </w:pPr>
            <w:r>
              <w:rPr>
                <w:sz w:val="21"/>
              </w:rPr>
              <w:t>（2）实际实施了对脑肿瘤进行的放射治疗。</w:t>
            </w:r>
          </w:p>
          <w:p>
            <w:pPr>
              <w:pStyle w:val="TableParagraph"/>
              <w:spacing w:line="362" w:lineRule="exact"/>
              <w:rPr>
                <w:rFonts w:ascii="Microsoft JhengHei" w:eastAsia="Microsoft JhengHei" w:hint="eastAsia"/>
                <w:b/>
                <w:sz w:val="22"/>
              </w:rPr>
            </w:pPr>
            <w:r>
              <w:rPr>
                <w:rFonts w:ascii="Microsoft JhengHei" w:eastAsia="Microsoft JhengHei" w:hint="eastAsia"/>
                <w:b/>
                <w:sz w:val="22"/>
                <w:shd w:fill="D9D9D9" w:color="auto" w:val="clear"/>
              </w:rPr>
              <w:t>脑垂体瘤、脑囊肿、脑血管性疾病不在保障范围内。</w:t>
            </w:r>
          </w:p>
        </w:tc>
      </w:tr>
      <w:tr>
        <w:trPr>
          <w:trHeight w:val="394" w:hRule="atLeast"/>
        </w:trPr>
        <w:tc>
          <w:tcPr>
            <w:tcW w:w="885" w:type="dxa"/>
          </w:tcPr>
          <w:p>
            <w:pPr>
              <w:pStyle w:val="TableParagraph"/>
              <w:spacing w:before="6"/>
              <w:ind w:left="50"/>
              <w:rPr>
                <w:rFonts w:ascii="微软雅黑"/>
                <w:b/>
                <w:sz w:val="21"/>
              </w:rPr>
            </w:pPr>
            <w:r>
              <w:rPr>
                <w:rFonts w:ascii="微软雅黑"/>
                <w:b/>
                <w:sz w:val="21"/>
              </w:rPr>
              <w:t>7.2.10</w:t>
            </w:r>
          </w:p>
        </w:tc>
        <w:tc>
          <w:tcPr>
            <w:tcW w:w="2206" w:type="dxa"/>
          </w:tcPr>
          <w:p>
            <w:pPr>
              <w:pStyle w:val="TableParagraph"/>
              <w:spacing w:before="6"/>
              <w:ind w:left="199"/>
              <w:rPr>
                <w:rFonts w:ascii="微软雅黑" w:eastAsia="微软雅黑" w:hint="eastAsia"/>
                <w:b/>
                <w:sz w:val="21"/>
              </w:rPr>
            </w:pPr>
            <w:r>
              <w:rPr>
                <w:rFonts w:ascii="微软雅黑" w:eastAsia="微软雅黑" w:hint="eastAsia"/>
                <w:b/>
                <w:sz w:val="21"/>
              </w:rPr>
              <w:t>慢性肝功能衰竭失</w:t>
            </w:r>
          </w:p>
        </w:tc>
        <w:tc>
          <w:tcPr>
            <w:tcW w:w="6871" w:type="dxa"/>
          </w:tcPr>
          <w:p>
            <w:pPr>
              <w:pStyle w:val="TableParagraph"/>
              <w:spacing w:before="69"/>
              <w:rPr>
                <w:sz w:val="21"/>
              </w:rPr>
            </w:pPr>
            <w:r>
              <w:rPr>
                <w:sz w:val="21"/>
              </w:rPr>
              <w:t>指因慢性肝脏疾病导致肝功能衰竭,须满足下列全部条件：</w:t>
            </w:r>
          </w:p>
        </w:tc>
      </w:tr>
      <w:tr>
        <w:trPr>
          <w:trHeight w:val="312" w:hRule="atLeast"/>
        </w:trPr>
        <w:tc>
          <w:tcPr>
            <w:tcW w:w="885" w:type="dxa"/>
          </w:tcPr>
          <w:p>
            <w:pPr>
              <w:pStyle w:val="TableParagraph"/>
              <w:rPr>
                <w:rFonts w:ascii="Times New Roman"/>
                <w:sz w:val="20"/>
              </w:rPr>
            </w:pPr>
          </w:p>
        </w:tc>
        <w:tc>
          <w:tcPr>
            <w:tcW w:w="2206" w:type="dxa"/>
          </w:tcPr>
          <w:p>
            <w:pPr>
              <w:pStyle w:val="TableParagraph"/>
              <w:spacing w:line="287" w:lineRule="exact"/>
              <w:ind w:left="199"/>
              <w:rPr>
                <w:rFonts w:ascii="微软雅黑" w:eastAsia="微软雅黑" w:hint="eastAsia"/>
                <w:b/>
                <w:sz w:val="21"/>
              </w:rPr>
            </w:pPr>
            <w:r>
              <w:rPr>
                <w:rFonts w:ascii="微软雅黑" w:eastAsia="微软雅黑" w:hint="eastAsia"/>
                <w:b/>
                <w:sz w:val="21"/>
              </w:rPr>
              <w:t>代偿期</w:t>
            </w:r>
          </w:p>
        </w:tc>
        <w:tc>
          <w:tcPr>
            <w:tcW w:w="6871" w:type="dxa"/>
          </w:tcPr>
          <w:p>
            <w:pPr>
              <w:pStyle w:val="TableParagraph"/>
              <w:spacing w:line="261" w:lineRule="exact"/>
              <w:rPr>
                <w:sz w:val="21"/>
              </w:rPr>
            </w:pPr>
            <w:r>
              <w:rPr>
                <w:sz w:val="21"/>
              </w:rPr>
              <w:t>（1）持续性黄疸；</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（2）腹水；</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（3）肝性脑病；</w:t>
            </w:r>
          </w:p>
        </w:tc>
      </w:tr>
      <w:tr>
        <w:trPr>
          <w:trHeight w:val="711"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40" w:lineRule="exact"/>
              <w:rPr>
                <w:sz w:val="21"/>
              </w:rPr>
            </w:pPr>
            <w:r>
              <w:rPr>
                <w:sz w:val="21"/>
              </w:rPr>
              <w:t>（4）充血性脾肿大伴脾功能亢进或食管胃底静脉曲张。</w:t>
            </w:r>
          </w:p>
          <w:p>
            <w:pPr>
              <w:pStyle w:val="TableParagraph"/>
              <w:spacing w:line="362" w:lineRule="exact"/>
              <w:rPr>
                <w:rFonts w:ascii="Microsoft JhengHei" w:eastAsia="Microsoft JhengHei" w:hint="eastAsia"/>
                <w:b/>
                <w:sz w:val="22"/>
              </w:rPr>
            </w:pPr>
            <w:r>
              <w:rPr>
                <w:rFonts w:ascii="Microsoft JhengHei" w:eastAsia="Microsoft JhengHei" w:hint="eastAsia"/>
                <w:b/>
                <w:sz w:val="22"/>
                <w:shd w:fill="D9D9D9" w:color="auto" w:val="clear"/>
              </w:rPr>
              <w:t>因酗酒或药物滥用导致的肝功能衰竭不在保障范围内。</w:t>
            </w:r>
          </w:p>
        </w:tc>
      </w:tr>
      <w:tr>
        <w:trPr>
          <w:trHeight w:val="395" w:hRule="atLeast"/>
        </w:trPr>
        <w:tc>
          <w:tcPr>
            <w:tcW w:w="885" w:type="dxa"/>
          </w:tcPr>
          <w:p>
            <w:pPr>
              <w:pStyle w:val="TableParagraph"/>
              <w:spacing w:before="7"/>
              <w:ind w:left="50"/>
              <w:rPr>
                <w:rFonts w:ascii="微软雅黑"/>
                <w:b/>
                <w:sz w:val="21"/>
              </w:rPr>
            </w:pPr>
            <w:r>
              <w:rPr>
                <w:rFonts w:ascii="微软雅黑"/>
                <w:b/>
                <w:sz w:val="21"/>
              </w:rPr>
              <w:t>7.2.11</w:t>
            </w:r>
          </w:p>
        </w:tc>
        <w:tc>
          <w:tcPr>
            <w:tcW w:w="2206" w:type="dxa"/>
          </w:tcPr>
          <w:p>
            <w:pPr>
              <w:pStyle w:val="TableParagraph"/>
              <w:spacing w:before="7"/>
              <w:ind w:left="199"/>
              <w:rPr>
                <w:rFonts w:ascii="微软雅黑" w:eastAsia="微软雅黑" w:hint="eastAsia"/>
                <w:b/>
                <w:sz w:val="21"/>
              </w:rPr>
            </w:pPr>
            <w:r>
              <w:rPr>
                <w:rFonts w:ascii="微软雅黑" w:eastAsia="微软雅黑" w:hint="eastAsia"/>
                <w:b/>
                <w:sz w:val="21"/>
              </w:rPr>
              <w:t>脑炎后遗症或脑膜</w:t>
            </w:r>
          </w:p>
        </w:tc>
        <w:tc>
          <w:tcPr>
            <w:tcW w:w="6871" w:type="dxa"/>
          </w:tcPr>
          <w:p>
            <w:pPr>
              <w:pStyle w:val="TableParagraph"/>
              <w:spacing w:before="70"/>
              <w:rPr>
                <w:sz w:val="21"/>
              </w:rPr>
            </w:pPr>
            <w:r>
              <w:rPr>
                <w:sz w:val="21"/>
              </w:rPr>
              <w:t>指因患脑炎或脑膜炎导致的神经系统永久性的功能障碍。神经系统永久性</w:t>
            </w:r>
          </w:p>
        </w:tc>
      </w:tr>
      <w:tr>
        <w:trPr>
          <w:trHeight w:val="311" w:hRule="atLeast"/>
        </w:trPr>
        <w:tc>
          <w:tcPr>
            <w:tcW w:w="885" w:type="dxa"/>
          </w:tcPr>
          <w:p>
            <w:pPr>
              <w:pStyle w:val="TableParagraph"/>
              <w:rPr>
                <w:rFonts w:ascii="Times New Roman"/>
                <w:sz w:val="20"/>
              </w:rPr>
            </w:pPr>
          </w:p>
        </w:tc>
        <w:tc>
          <w:tcPr>
            <w:tcW w:w="2206" w:type="dxa"/>
          </w:tcPr>
          <w:p>
            <w:pPr>
              <w:pStyle w:val="TableParagraph"/>
              <w:spacing w:line="287" w:lineRule="exact"/>
              <w:ind w:left="199"/>
              <w:rPr>
                <w:rFonts w:ascii="微软雅黑" w:eastAsia="微软雅黑" w:hint="eastAsia"/>
                <w:b/>
                <w:sz w:val="21"/>
              </w:rPr>
            </w:pPr>
            <w:r>
              <w:rPr>
                <w:rFonts w:ascii="微软雅黑" w:eastAsia="微软雅黑" w:hint="eastAsia"/>
                <w:b/>
                <w:sz w:val="21"/>
              </w:rPr>
              <w:t>炎后遗症</w:t>
            </w:r>
          </w:p>
        </w:tc>
        <w:tc>
          <w:tcPr>
            <w:tcW w:w="6871" w:type="dxa"/>
          </w:tcPr>
          <w:p>
            <w:pPr>
              <w:pStyle w:val="TableParagraph"/>
              <w:spacing w:line="261" w:lineRule="exact"/>
              <w:rPr>
                <w:sz w:val="21"/>
              </w:rPr>
            </w:pPr>
            <w:r>
              <w:rPr>
                <w:sz w:val="21"/>
              </w:rPr>
              <w:t>的功能障碍，指疾病确诊180 日后，仍遗留下列一种或一种以上障碍：</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87" w:lineRule="exact"/>
              <w:rPr>
                <w:sz w:val="21"/>
              </w:rPr>
            </w:pPr>
            <w:r>
              <w:rPr>
                <w:sz w:val="21"/>
              </w:rPr>
              <w:t>（1）一肢或一肢以上</w:t>
            </w:r>
            <w:r>
              <w:rPr>
                <w:rFonts w:ascii="微软雅黑" w:eastAsia="微软雅黑" w:hint="eastAsia"/>
                <w:b/>
                <w:sz w:val="21"/>
              </w:rPr>
              <w:t>肢体机能完全丧失</w:t>
            </w:r>
            <w:r>
              <w:rPr>
                <w:sz w:val="21"/>
              </w:rPr>
              <w:t>；</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87" w:lineRule="exact"/>
              <w:rPr>
                <w:sz w:val="21"/>
              </w:rPr>
            </w:pPr>
            <w:r>
              <w:rPr>
                <w:sz w:val="21"/>
              </w:rPr>
              <w:t>（2）</w:t>
            </w:r>
            <w:r>
              <w:rPr>
                <w:rFonts w:ascii="微软雅黑" w:eastAsia="微软雅黑" w:hint="eastAsia"/>
                <w:b/>
                <w:sz w:val="21"/>
              </w:rPr>
              <w:t>语言能力或咀嚼吞咽能力完全丧失</w:t>
            </w:r>
            <w:r>
              <w:rPr>
                <w:sz w:val="21"/>
              </w:rPr>
              <w:t>；</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87" w:lineRule="exact"/>
              <w:rPr>
                <w:sz w:val="21"/>
              </w:rPr>
            </w:pPr>
            <w:r>
              <w:rPr>
                <w:sz w:val="21"/>
              </w:rPr>
              <w:t>（3）自主生活能力完全丧失，无法独立完成</w:t>
            </w:r>
            <w:r>
              <w:rPr>
                <w:rFonts w:ascii="微软雅黑" w:eastAsia="微软雅黑" w:hint="eastAsia"/>
                <w:b/>
                <w:sz w:val="21"/>
              </w:rPr>
              <w:t>六项基本日常生活活动</w:t>
            </w:r>
            <w:r>
              <w:rPr>
                <w:sz w:val="21"/>
              </w:rPr>
              <w:t>中的</w:t>
            </w:r>
          </w:p>
        </w:tc>
      </w:tr>
      <w:tr>
        <w:trPr>
          <w:trHeight w:val="385"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三项或三项以上。</w:t>
            </w:r>
          </w:p>
        </w:tc>
      </w:tr>
      <w:tr>
        <w:trPr>
          <w:trHeight w:val="409" w:hRule="atLeast"/>
        </w:trPr>
        <w:tc>
          <w:tcPr>
            <w:tcW w:w="885" w:type="dxa"/>
          </w:tcPr>
          <w:p>
            <w:pPr>
              <w:pStyle w:val="TableParagraph"/>
              <w:spacing w:before="21"/>
              <w:ind w:left="50"/>
              <w:rPr>
                <w:rFonts w:ascii="微软雅黑"/>
                <w:b/>
                <w:sz w:val="21"/>
              </w:rPr>
            </w:pPr>
            <w:r>
              <w:rPr>
                <w:rFonts w:ascii="微软雅黑"/>
                <w:b/>
                <w:sz w:val="21"/>
              </w:rPr>
              <w:t>7.2.13</w:t>
            </w:r>
          </w:p>
        </w:tc>
        <w:tc>
          <w:tcPr>
            <w:tcW w:w="2206" w:type="dxa"/>
          </w:tcPr>
          <w:p>
            <w:pPr>
              <w:pStyle w:val="TableParagraph"/>
              <w:spacing w:before="21"/>
              <w:ind w:left="199"/>
              <w:rPr>
                <w:rFonts w:ascii="微软雅黑" w:eastAsia="微软雅黑" w:hint="eastAsia"/>
                <w:b/>
                <w:sz w:val="21"/>
              </w:rPr>
            </w:pPr>
            <w:r>
              <w:rPr>
                <w:rFonts w:ascii="微软雅黑" w:eastAsia="微软雅黑" w:hint="eastAsia"/>
                <w:b/>
                <w:sz w:val="21"/>
              </w:rPr>
              <w:t>双耳失聪</w:t>
            </w:r>
          </w:p>
        </w:tc>
        <w:tc>
          <w:tcPr>
            <w:tcW w:w="6871" w:type="dxa"/>
          </w:tcPr>
          <w:p>
            <w:pPr>
              <w:pStyle w:val="TableParagraph"/>
              <w:spacing w:before="21"/>
              <w:rPr>
                <w:sz w:val="21"/>
              </w:rPr>
            </w:pPr>
            <w:r>
              <w:rPr>
                <w:spacing w:val="-3"/>
                <w:sz w:val="21"/>
              </w:rPr>
              <w:t>指因疾病或意外伤害导致双耳听力</w:t>
            </w:r>
            <w:r>
              <w:rPr>
                <w:rFonts w:ascii="微软雅黑" w:eastAsia="微软雅黑" w:hint="eastAsia"/>
                <w:b/>
                <w:spacing w:val="-1"/>
                <w:sz w:val="21"/>
              </w:rPr>
              <w:t>永久不可逆</w:t>
            </w:r>
            <w:r>
              <w:rPr>
                <w:rFonts w:ascii="微软雅黑" w:eastAsia="微软雅黑" w:hint="eastAsia"/>
                <w:b/>
                <w:position w:val="11"/>
                <w:sz w:val="11"/>
              </w:rPr>
              <w:t>22</w:t>
            </w:r>
            <w:r>
              <w:rPr>
                <w:spacing w:val="-21"/>
                <w:sz w:val="21"/>
              </w:rPr>
              <w:t>性丧失，在 </w:t>
            </w:r>
            <w:r>
              <w:rPr>
                <w:sz w:val="21"/>
              </w:rPr>
              <w:t>500</w:t>
            </w:r>
            <w:r>
              <w:rPr>
                <w:spacing w:val="-30"/>
                <w:sz w:val="21"/>
              </w:rPr>
              <w:t> 赫兹、</w:t>
            </w:r>
            <w:r>
              <w:rPr>
                <w:sz w:val="21"/>
              </w:rPr>
              <w:t>1000</w:t>
            </w:r>
          </w:p>
        </w:tc>
      </w:tr>
      <w:tr>
        <w:trPr>
          <w:trHeight w:val="311"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pacing w:val="-14"/>
                <w:sz w:val="21"/>
              </w:rPr>
              <w:t>赫兹和 </w:t>
            </w:r>
            <w:r>
              <w:rPr>
                <w:sz w:val="21"/>
              </w:rPr>
              <w:t>2000</w:t>
            </w:r>
            <w:r>
              <w:rPr>
                <w:spacing w:val="-13"/>
                <w:sz w:val="21"/>
              </w:rPr>
              <w:t> 赫兹语音频率下，平均听阈大于 </w:t>
            </w:r>
            <w:r>
              <w:rPr>
                <w:sz w:val="21"/>
              </w:rPr>
              <w:t>90</w:t>
            </w:r>
            <w:r>
              <w:rPr>
                <w:spacing w:val="-14"/>
                <w:sz w:val="21"/>
              </w:rPr>
              <w:t> 分贝，且经纯音听力测试、</w:t>
            </w:r>
          </w:p>
        </w:tc>
      </w:tr>
      <w:tr>
        <w:trPr>
          <w:trHeight w:val="323"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声导抗检测或听觉诱发电位检测等证实。</w:t>
            </w:r>
          </w:p>
        </w:tc>
      </w:tr>
      <w:tr>
        <w:trPr>
          <w:trHeight w:val="287"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shd w:val="clear" w:color="auto" w:fill="D9D9D9"/>
          </w:tcPr>
          <w:p>
            <w:pPr>
              <w:pStyle w:val="TableParagraph"/>
              <w:spacing w:line="268" w:lineRule="exact"/>
              <w:rPr>
                <w:rFonts w:ascii="Microsoft JhengHei" w:eastAsia="Microsoft JhengHei" w:hint="eastAsia"/>
                <w:b/>
                <w:sz w:val="22"/>
              </w:rPr>
            </w:pPr>
            <w:r>
              <w:rPr>
                <w:rFonts w:ascii="Microsoft JhengHei" w:eastAsia="Microsoft JhengHei" w:hint="eastAsia"/>
                <w:b/>
                <w:sz w:val="22"/>
              </w:rPr>
              <w:t>被保险人在 0 至 3 </w:t>
            </w:r>
            <w:r>
              <w:rPr>
                <w:rFonts w:ascii="Microsoft JhengHei" w:eastAsia="Microsoft JhengHei" w:hint="eastAsia"/>
                <w:b/>
                <w:sz w:val="21"/>
              </w:rPr>
              <w:t>周岁</w:t>
            </w:r>
            <w:r>
              <w:rPr>
                <w:rFonts w:ascii="Microsoft JhengHei" w:eastAsia="Microsoft JhengHei" w:hint="eastAsia"/>
                <w:b/>
                <w:position w:val="11"/>
                <w:sz w:val="11"/>
              </w:rPr>
              <w:t>23</w:t>
            </w:r>
            <w:r>
              <w:rPr>
                <w:rFonts w:ascii="Microsoft JhengHei" w:eastAsia="Microsoft JhengHei" w:hint="eastAsia"/>
                <w:b/>
                <w:sz w:val="22"/>
              </w:rPr>
              <w:t>保单周年日期间双耳失聪不在保障范围内。</w:t>
            </w:r>
          </w:p>
        </w:tc>
      </w:tr>
      <w:tr>
        <w:trPr>
          <w:trHeight w:val="495" w:hRule="atLeast"/>
        </w:trPr>
        <w:tc>
          <w:tcPr>
            <w:tcW w:w="885" w:type="dxa"/>
          </w:tcPr>
          <w:p>
            <w:pPr>
              <w:pStyle w:val="TableParagraph"/>
              <w:spacing w:before="107"/>
              <w:ind w:left="50"/>
              <w:rPr>
                <w:rFonts w:ascii="微软雅黑"/>
                <w:b/>
                <w:sz w:val="21"/>
              </w:rPr>
            </w:pPr>
            <w:r>
              <w:rPr>
                <w:rFonts w:ascii="微软雅黑"/>
                <w:b/>
                <w:sz w:val="21"/>
              </w:rPr>
              <w:t>7.2.13</w:t>
            </w:r>
          </w:p>
        </w:tc>
        <w:tc>
          <w:tcPr>
            <w:tcW w:w="2206" w:type="dxa"/>
          </w:tcPr>
          <w:p>
            <w:pPr>
              <w:pStyle w:val="TableParagraph"/>
              <w:spacing w:before="107"/>
              <w:ind w:left="199"/>
              <w:rPr>
                <w:rFonts w:ascii="微软雅黑" w:eastAsia="微软雅黑" w:hint="eastAsia"/>
                <w:b/>
                <w:sz w:val="21"/>
              </w:rPr>
            </w:pPr>
            <w:r>
              <w:rPr>
                <w:rFonts w:ascii="微软雅黑" w:eastAsia="微软雅黑" w:hint="eastAsia"/>
                <w:b/>
                <w:sz w:val="21"/>
              </w:rPr>
              <w:t>双目失明</w:t>
            </w:r>
          </w:p>
        </w:tc>
        <w:tc>
          <w:tcPr>
            <w:tcW w:w="6871" w:type="dxa"/>
          </w:tcPr>
          <w:p>
            <w:pPr>
              <w:pStyle w:val="TableParagraph"/>
              <w:spacing w:before="170"/>
              <w:rPr>
                <w:sz w:val="21"/>
              </w:rPr>
            </w:pPr>
            <w:r>
              <w:rPr>
                <w:sz w:val="21"/>
              </w:rPr>
              <w:t>指因疾病或意外伤害导致双眼视力永久不可逆性丧失，双眼中较好眼须满</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足下列至少一项条件：</w:t>
            </w:r>
          </w:p>
        </w:tc>
      </w:tr>
      <w:tr>
        <w:trPr>
          <w:trHeight w:val="311"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（1）眼球缺失或摘除；</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（2）矫正视力低于0.02（采用国际标准视力表，如果使用其它视力表应</w:t>
            </w:r>
          </w:p>
        </w:tc>
      </w:tr>
      <w:tr>
        <w:trPr>
          <w:trHeight w:val="311"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z w:val="21"/>
              </w:rPr>
              <w:t>进行换算）；</w:t>
            </w:r>
          </w:p>
        </w:tc>
      </w:tr>
      <w:tr>
        <w:trPr>
          <w:trHeight w:val="711"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40" w:lineRule="exact"/>
              <w:rPr>
                <w:sz w:val="21"/>
              </w:rPr>
            </w:pPr>
            <w:r>
              <w:rPr>
                <w:sz w:val="21"/>
              </w:rPr>
              <w:t>（3）视野半径小于5度。</w:t>
            </w:r>
          </w:p>
          <w:p>
            <w:pPr>
              <w:pStyle w:val="TableParagraph"/>
              <w:spacing w:line="362" w:lineRule="exact"/>
              <w:rPr>
                <w:rFonts w:ascii="Microsoft JhengHei" w:eastAsia="Microsoft JhengHei" w:hint="eastAsia"/>
                <w:b/>
                <w:sz w:val="22"/>
              </w:rPr>
            </w:pPr>
            <w:r>
              <w:rPr>
                <w:rFonts w:ascii="Microsoft JhengHei" w:eastAsia="Microsoft JhengHei" w:hint="eastAsia"/>
                <w:b/>
                <w:sz w:val="22"/>
                <w:shd w:fill="D9D9D9" w:color="auto" w:val="clear"/>
              </w:rPr>
              <w:t>被保险人在 0 至 3 周岁保单周年日期间双目失明不在保障范围内。</w:t>
            </w:r>
          </w:p>
        </w:tc>
      </w:tr>
      <w:tr>
        <w:trPr>
          <w:trHeight w:val="395" w:hRule="atLeast"/>
        </w:trPr>
        <w:tc>
          <w:tcPr>
            <w:tcW w:w="885" w:type="dxa"/>
          </w:tcPr>
          <w:p>
            <w:pPr>
              <w:pStyle w:val="TableParagraph"/>
              <w:spacing w:before="7"/>
              <w:ind w:left="50"/>
              <w:rPr>
                <w:rFonts w:ascii="微软雅黑"/>
                <w:b/>
                <w:sz w:val="21"/>
              </w:rPr>
            </w:pPr>
            <w:r>
              <w:rPr>
                <w:rFonts w:ascii="微软雅黑"/>
                <w:b/>
                <w:sz w:val="21"/>
              </w:rPr>
              <w:t>7.2.14</w:t>
            </w:r>
          </w:p>
        </w:tc>
        <w:tc>
          <w:tcPr>
            <w:tcW w:w="2206" w:type="dxa"/>
          </w:tcPr>
          <w:p>
            <w:pPr>
              <w:pStyle w:val="TableParagraph"/>
              <w:spacing w:before="7"/>
              <w:ind w:left="199"/>
              <w:rPr>
                <w:rFonts w:ascii="微软雅黑" w:eastAsia="微软雅黑" w:hint="eastAsia"/>
                <w:b/>
                <w:sz w:val="21"/>
              </w:rPr>
            </w:pPr>
            <w:r>
              <w:rPr>
                <w:rFonts w:ascii="微软雅黑" w:eastAsia="微软雅黑" w:hint="eastAsia"/>
                <w:b/>
                <w:sz w:val="21"/>
              </w:rPr>
              <w:t>瘫痪</w:t>
            </w:r>
          </w:p>
        </w:tc>
        <w:tc>
          <w:tcPr>
            <w:tcW w:w="6871" w:type="dxa"/>
          </w:tcPr>
          <w:p>
            <w:pPr>
              <w:pStyle w:val="TableParagraph"/>
              <w:spacing w:before="70"/>
              <w:rPr>
                <w:sz w:val="21"/>
              </w:rPr>
            </w:pPr>
            <w:r>
              <w:rPr>
                <w:sz w:val="21"/>
              </w:rPr>
              <w:t>指因疾病或意外伤害导致两肢或两肢以上肢体机能永久完全丧失。肢体机</w:t>
            </w:r>
          </w:p>
        </w:tc>
      </w:tr>
      <w:tr>
        <w:trPr>
          <w:trHeight w:val="312" w:hRule="atLeast"/>
        </w:trPr>
        <w:tc>
          <w:tcPr>
            <w:tcW w:w="885" w:type="dxa"/>
          </w:tcPr>
          <w:p>
            <w:pPr>
              <w:pStyle w:val="TableParagraph"/>
              <w:rPr>
                <w:rFonts w:ascii="Times New Roman"/>
                <w:sz w:val="20"/>
              </w:rPr>
            </w:pPr>
          </w:p>
        </w:tc>
        <w:tc>
          <w:tcPr>
            <w:tcW w:w="2206" w:type="dxa"/>
          </w:tcPr>
          <w:p>
            <w:pPr>
              <w:pStyle w:val="TableParagraph"/>
              <w:rPr>
                <w:rFonts w:ascii="Times New Roman"/>
                <w:sz w:val="20"/>
              </w:rPr>
            </w:pPr>
          </w:p>
        </w:tc>
        <w:tc>
          <w:tcPr>
            <w:tcW w:w="6871" w:type="dxa"/>
          </w:tcPr>
          <w:p>
            <w:pPr>
              <w:pStyle w:val="TableParagraph"/>
              <w:spacing w:line="261" w:lineRule="exact"/>
              <w:rPr>
                <w:sz w:val="21"/>
              </w:rPr>
            </w:pPr>
            <w:r>
              <w:rPr>
                <w:spacing w:val="-7"/>
                <w:sz w:val="21"/>
              </w:rPr>
              <w:t>能永久完全丧失，指疾病确诊 </w:t>
            </w:r>
            <w:r>
              <w:rPr>
                <w:sz w:val="21"/>
              </w:rPr>
              <w:t>180</w:t>
            </w:r>
            <w:r>
              <w:rPr>
                <w:spacing w:val="-13"/>
                <w:sz w:val="21"/>
              </w:rPr>
              <w:t> 日后或意外伤害发生 </w:t>
            </w:r>
            <w:r>
              <w:rPr>
                <w:sz w:val="21"/>
              </w:rPr>
              <w:t>180</w:t>
            </w:r>
            <w:r>
              <w:rPr>
                <w:spacing w:val="-10"/>
                <w:sz w:val="21"/>
              </w:rPr>
              <w:t> 日后，每肢三</w:t>
            </w:r>
          </w:p>
        </w:tc>
      </w:tr>
      <w:tr>
        <w:trPr>
          <w:trHeight w:val="261" w:hRule="atLeast"/>
        </w:trPr>
        <w:tc>
          <w:tcPr>
            <w:tcW w:w="885" w:type="dxa"/>
          </w:tcPr>
          <w:p>
            <w:pPr>
              <w:pStyle w:val="TableParagraph"/>
              <w:rPr>
                <w:rFonts w:ascii="Times New Roman"/>
                <w:sz w:val="18"/>
              </w:rPr>
            </w:pPr>
          </w:p>
        </w:tc>
        <w:tc>
          <w:tcPr>
            <w:tcW w:w="2206" w:type="dxa"/>
          </w:tcPr>
          <w:p>
            <w:pPr>
              <w:pStyle w:val="TableParagraph"/>
              <w:rPr>
                <w:rFonts w:ascii="Times New Roman"/>
                <w:sz w:val="18"/>
              </w:rPr>
            </w:pPr>
          </w:p>
        </w:tc>
        <w:tc>
          <w:tcPr>
            <w:tcW w:w="6871" w:type="dxa"/>
          </w:tcPr>
          <w:p>
            <w:pPr>
              <w:pStyle w:val="TableParagraph"/>
              <w:spacing w:line="242" w:lineRule="exact"/>
              <w:rPr>
                <w:sz w:val="21"/>
              </w:rPr>
            </w:pPr>
            <w:r>
              <w:rPr>
                <w:sz w:val="21"/>
              </w:rPr>
              <w:t>大关节中的两大关节仍然完全僵硬，或不能随意识活动。</w:t>
            </w:r>
          </w:p>
        </w:tc>
      </w:tr>
    </w:tbl>
    <w:p>
      <w:pPr>
        <w:pStyle w:val="BodyText"/>
        <w:rPr>
          <w:sz w:val="20"/>
        </w:rPr>
      </w:pPr>
    </w:p>
    <w:p>
      <w:pPr>
        <w:pStyle w:val="BodyText"/>
        <w:spacing w:before="1"/>
        <w:rPr>
          <w:sz w:val="17"/>
        </w:rPr>
      </w:pPr>
      <w:r>
        <w:rPr/>
        <w:pict>
          <v:line style="position:absolute;mso-position-horizontal-relative:page;mso-position-vertical-relative:paragraph;z-index:1360;mso-wrap-distance-left:0;mso-wrap-distance-right:0" from="56.639999pt,13.389043pt" to="200.689999pt,13.389043pt" stroked="true" strokeweight=".48004pt" strokecolor="#000000">
            <v:stroke dashstyle="solid"/>
            <w10:wrap type="topAndBottom"/>
          </v:line>
        </w:pict>
      </w:r>
    </w:p>
    <w:p>
      <w:pPr>
        <w:pStyle w:val="BodyText"/>
        <w:spacing w:line="270" w:lineRule="exact"/>
        <w:ind w:left="152"/>
      </w:pPr>
      <w:r>
        <w:rPr>
          <w:rFonts w:ascii="Times New Roman" w:eastAsia="Times New Roman"/>
          <w:position w:val="7"/>
          <w:sz w:val="14"/>
        </w:rPr>
        <w:t>22  </w:t>
      </w:r>
      <w:r>
        <w:rPr>
          <w:rFonts w:ascii="微软雅黑" w:eastAsia="微软雅黑"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pStyle w:val="BodyText"/>
        <w:spacing w:line="216" w:lineRule="auto"/>
        <w:ind w:left="333" w:right="439" w:hanging="181"/>
      </w:pPr>
      <w:r>
        <w:rPr>
          <w:rFonts w:ascii="Times New Roman" w:eastAsia="Times New Roman"/>
          <w:position w:val="6"/>
          <w:sz w:val="12"/>
        </w:rPr>
        <w:t>23 </w:t>
      </w:r>
      <w:r>
        <w:rPr>
          <w:rFonts w:ascii="微软雅黑" w:eastAsia="微软雅黑" w:hint="eastAsia"/>
          <w:b/>
        </w:rPr>
        <w:t>周岁</w:t>
      </w:r>
      <w:r>
        <w:rPr/>
        <w:t>指按法定有效身份证明文件中记载的出生日期计算的年龄，自出生之日起为零周岁，每经过一年增加一岁，不足一年的不计。</w:t>
      </w:r>
    </w:p>
    <w:p>
      <w:pPr>
        <w:spacing w:after="0" w:line="216" w:lineRule="auto"/>
        <w:sectPr>
          <w:footerReference w:type="default" r:id="rId10"/>
          <w:pgSz w:w="11910" w:h="16840"/>
          <w:pgMar w:footer="664" w:header="567" w:top="1000" w:bottom="860" w:left="98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075"/>
      </w:tblGrid>
      <w:tr>
        <w:trPr>
          <w:trHeight w:val="648" w:hRule="atLeast"/>
        </w:trPr>
        <w:tc>
          <w:tcPr>
            <w:tcW w:w="1035" w:type="dxa"/>
          </w:tcPr>
          <w:p>
            <w:pPr>
              <w:pStyle w:val="TableParagraph"/>
              <w:spacing w:line="236" w:lineRule="exact"/>
              <w:ind w:left="200"/>
              <w:rPr>
                <w:rFonts w:ascii="微软雅黑"/>
                <w:b/>
                <w:sz w:val="21"/>
              </w:rPr>
            </w:pPr>
            <w:r>
              <w:rPr>
                <w:rFonts w:ascii="微软雅黑"/>
                <w:b/>
                <w:sz w:val="21"/>
              </w:rPr>
              <w:t>7.2.15</w:t>
            </w:r>
          </w:p>
        </w:tc>
        <w:tc>
          <w:tcPr>
            <w:tcW w:w="2048" w:type="dxa"/>
          </w:tcPr>
          <w:p>
            <w:pPr>
              <w:pStyle w:val="TableParagraph"/>
              <w:spacing w:line="236" w:lineRule="exact"/>
              <w:ind w:left="199"/>
              <w:rPr>
                <w:rFonts w:ascii="微软雅黑" w:eastAsia="微软雅黑" w:hint="eastAsia"/>
                <w:b/>
                <w:sz w:val="21"/>
              </w:rPr>
            </w:pPr>
            <w:r>
              <w:rPr>
                <w:rFonts w:ascii="微软雅黑" w:eastAsia="微软雅黑" w:hint="eastAsia"/>
                <w:b/>
                <w:sz w:val="21"/>
              </w:rPr>
              <w:t>心脏瓣膜手术</w:t>
            </w:r>
          </w:p>
        </w:tc>
        <w:tc>
          <w:tcPr>
            <w:tcW w:w="7075" w:type="dxa"/>
          </w:tcPr>
          <w:p>
            <w:pPr>
              <w:pStyle w:val="TableParagraph"/>
              <w:spacing w:line="211" w:lineRule="exact"/>
              <w:ind w:left="158"/>
              <w:rPr>
                <w:sz w:val="21"/>
              </w:rPr>
            </w:pPr>
            <w:r>
              <w:rPr>
                <w:sz w:val="21"/>
              </w:rPr>
              <w:t>指为治疗心脏瓣膜疾病，实际实施了开胸进行的心脏瓣膜置换或修复的手</w:t>
            </w:r>
          </w:p>
          <w:p>
            <w:pPr>
              <w:pStyle w:val="TableParagraph"/>
              <w:spacing w:before="37"/>
              <w:ind w:left="158"/>
              <w:rPr>
                <w:sz w:val="21"/>
              </w:rPr>
            </w:pPr>
            <w:r>
              <w:rPr>
                <w:sz w:val="21"/>
              </w:rPr>
              <w:t>术。</w:t>
            </w:r>
          </w:p>
        </w:tc>
      </w:tr>
      <w:tr>
        <w:trPr>
          <w:trHeight w:val="2053" w:hRule="atLeast"/>
        </w:trPr>
        <w:tc>
          <w:tcPr>
            <w:tcW w:w="1035" w:type="dxa"/>
          </w:tcPr>
          <w:p>
            <w:pPr>
              <w:pStyle w:val="TableParagraph"/>
              <w:spacing w:before="20"/>
              <w:ind w:left="200"/>
              <w:rPr>
                <w:rFonts w:ascii="微软雅黑"/>
                <w:b/>
                <w:sz w:val="21"/>
              </w:rPr>
            </w:pPr>
            <w:r>
              <w:rPr>
                <w:rFonts w:ascii="微软雅黑"/>
                <w:b/>
                <w:sz w:val="21"/>
              </w:rPr>
              <w:t>7.2.16</w:t>
            </w:r>
          </w:p>
        </w:tc>
        <w:tc>
          <w:tcPr>
            <w:tcW w:w="2048" w:type="dxa"/>
          </w:tcPr>
          <w:p>
            <w:pPr>
              <w:pStyle w:val="TableParagraph"/>
              <w:spacing w:line="361" w:lineRule="exact"/>
              <w:ind w:left="199"/>
              <w:rPr>
                <w:rFonts w:ascii="微软雅黑" w:eastAsia="微软雅黑" w:hint="eastAsia"/>
                <w:b/>
                <w:sz w:val="21"/>
              </w:rPr>
            </w:pPr>
            <w:r>
              <w:rPr>
                <w:rFonts w:ascii="微软雅黑" w:eastAsia="微软雅黑" w:hint="eastAsia"/>
                <w:b/>
                <w:sz w:val="21"/>
              </w:rPr>
              <w:t>严重阿尔茨海默病</w:t>
            </w:r>
          </w:p>
        </w:tc>
        <w:tc>
          <w:tcPr>
            <w:tcW w:w="7075" w:type="dxa"/>
          </w:tcPr>
          <w:p>
            <w:pPr>
              <w:pStyle w:val="TableParagraph"/>
              <w:spacing w:line="312" w:lineRule="exact" w:before="78"/>
              <w:ind w:left="158" w:right="185"/>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 或正电子发射断层扫描（PET）等影像学检查证实，且自主生活能力完全丧失，无法独立完成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08" w:lineRule="exact"/>
              <w:ind w:left="158"/>
              <w:rPr>
                <w:rFonts w:ascii="Microsoft JhengHei" w:eastAsia="Microsoft JhengHei" w:hint="eastAsia"/>
                <w:b/>
                <w:sz w:val="22"/>
              </w:rPr>
            </w:pPr>
            <w:r>
              <w:rPr>
                <w:rFonts w:ascii="Microsoft JhengHei" w:eastAsia="Microsoft JhengHei" w:hint="eastAsia"/>
                <w:b/>
                <w:sz w:val="22"/>
                <w:shd w:fill="D9D9D9" w:color="auto" w:val="clear"/>
              </w:rPr>
              <w:t>神经官能症和精神疾病不在保障范围内。</w:t>
            </w:r>
          </w:p>
        </w:tc>
      </w:tr>
      <w:tr>
        <w:trPr>
          <w:trHeight w:val="2663" w:hRule="atLeast"/>
        </w:trPr>
        <w:tc>
          <w:tcPr>
            <w:tcW w:w="1035" w:type="dxa"/>
          </w:tcPr>
          <w:p>
            <w:pPr>
              <w:pStyle w:val="TableParagraph"/>
              <w:spacing w:before="6"/>
              <w:ind w:left="200"/>
              <w:rPr>
                <w:rFonts w:ascii="微软雅黑"/>
                <w:b/>
                <w:sz w:val="21"/>
              </w:rPr>
            </w:pPr>
            <w:r>
              <w:rPr>
                <w:rFonts w:ascii="微软雅黑"/>
                <w:b/>
                <w:sz w:val="21"/>
              </w:rPr>
              <w:t>7.2.17</w:t>
            </w:r>
          </w:p>
        </w:tc>
        <w:tc>
          <w:tcPr>
            <w:tcW w:w="2048" w:type="dxa"/>
          </w:tcPr>
          <w:p>
            <w:pPr>
              <w:pStyle w:val="TableParagraph"/>
              <w:spacing w:before="6"/>
              <w:ind w:left="199"/>
              <w:rPr>
                <w:rFonts w:ascii="微软雅黑" w:eastAsia="微软雅黑" w:hint="eastAsia"/>
                <w:b/>
                <w:sz w:val="21"/>
              </w:rPr>
            </w:pPr>
            <w:r>
              <w:rPr>
                <w:rFonts w:ascii="微软雅黑" w:eastAsia="微软雅黑" w:hint="eastAsia"/>
                <w:b/>
                <w:sz w:val="21"/>
              </w:rPr>
              <w:t>严重脑损伤</w:t>
            </w:r>
          </w:p>
        </w:tc>
        <w:tc>
          <w:tcPr>
            <w:tcW w:w="7075" w:type="dxa"/>
          </w:tcPr>
          <w:p>
            <w:pPr>
              <w:pStyle w:val="TableParagraph"/>
              <w:spacing w:line="273" w:lineRule="auto" w:before="68"/>
              <w:ind w:left="158" w:right="193"/>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指脑损伤 180 日后，仍遗留下列一种或一种以上障碍：</w:t>
            </w:r>
          </w:p>
          <w:p>
            <w:pPr>
              <w:pStyle w:val="TableParagraph"/>
              <w:spacing w:line="283" w:lineRule="exact"/>
              <w:ind w:left="158"/>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158"/>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684" w:right="289" w:hanging="526"/>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2039" w:hRule="atLeast"/>
        </w:trPr>
        <w:tc>
          <w:tcPr>
            <w:tcW w:w="1035" w:type="dxa"/>
          </w:tcPr>
          <w:p>
            <w:pPr>
              <w:pStyle w:val="TableParagraph"/>
              <w:spacing w:before="9"/>
              <w:ind w:left="200"/>
              <w:rPr>
                <w:rFonts w:ascii="微软雅黑"/>
                <w:b/>
                <w:sz w:val="21"/>
              </w:rPr>
            </w:pPr>
            <w:r>
              <w:rPr>
                <w:rFonts w:ascii="微软雅黑"/>
                <w:b/>
                <w:sz w:val="21"/>
              </w:rPr>
              <w:t>7.2.18</w:t>
            </w:r>
          </w:p>
        </w:tc>
        <w:tc>
          <w:tcPr>
            <w:tcW w:w="2048" w:type="dxa"/>
          </w:tcPr>
          <w:p>
            <w:pPr>
              <w:pStyle w:val="TableParagraph"/>
              <w:spacing w:before="9"/>
              <w:ind w:left="199"/>
              <w:rPr>
                <w:rFonts w:ascii="微软雅黑" w:eastAsia="微软雅黑" w:hint="eastAsia"/>
                <w:b/>
                <w:sz w:val="21"/>
              </w:rPr>
            </w:pPr>
            <w:r>
              <w:rPr>
                <w:rFonts w:ascii="微软雅黑" w:eastAsia="微软雅黑" w:hint="eastAsia"/>
                <w:b/>
                <w:sz w:val="21"/>
              </w:rPr>
              <w:t>严重帕金森病</w:t>
            </w:r>
          </w:p>
        </w:tc>
        <w:tc>
          <w:tcPr>
            <w:tcW w:w="7075" w:type="dxa"/>
          </w:tcPr>
          <w:p>
            <w:pPr>
              <w:pStyle w:val="TableParagraph"/>
              <w:spacing w:line="273" w:lineRule="auto" w:before="88"/>
              <w:ind w:left="158" w:right="173"/>
              <w:rPr>
                <w:sz w:val="21"/>
              </w:rPr>
            </w:pPr>
            <w:r>
              <w:rPr>
                <w:sz w:val="21"/>
              </w:rPr>
              <w:t>是一种中枢神经系统的退行性疾病，临床表现为震颤麻痹、共济失调等。须满足下列全部条件：</w:t>
            </w:r>
          </w:p>
          <w:p>
            <w:pPr>
              <w:pStyle w:val="TableParagraph"/>
              <w:spacing w:line="263" w:lineRule="exact" w:before="7"/>
              <w:ind w:left="158"/>
              <w:rPr>
                <w:sz w:val="21"/>
              </w:rPr>
            </w:pPr>
            <w:r>
              <w:rPr>
                <w:sz w:val="21"/>
              </w:rPr>
              <w:t>（1）药物治疗无法控制病情；</w:t>
            </w:r>
          </w:p>
          <w:p>
            <w:pPr>
              <w:pStyle w:val="TableParagraph"/>
              <w:spacing w:line="249" w:lineRule="auto"/>
              <w:ind w:left="684" w:right="264" w:hanging="526"/>
              <w:rPr>
                <w:sz w:val="21"/>
              </w:rPr>
            </w:pPr>
            <w:r>
              <w:rPr>
                <w:sz w:val="21"/>
              </w:rPr>
              <w:t>（2）自主生活能力完全丧失，无法独立完成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06" w:lineRule="exact" w:before="11"/>
              <w:ind w:left="158"/>
              <w:rPr>
                <w:rFonts w:ascii="Microsoft JhengHei" w:eastAsia="Microsoft JhengHei" w:hint="eastAsia"/>
                <w:b/>
                <w:sz w:val="22"/>
              </w:rPr>
            </w:pPr>
            <w:r>
              <w:rPr>
                <w:rFonts w:ascii="Microsoft JhengHei" w:eastAsia="Microsoft JhengHei" w:hint="eastAsia"/>
                <w:b/>
                <w:sz w:val="22"/>
                <w:shd w:fill="D9D9D9" w:color="auto" w:val="clear"/>
              </w:rPr>
              <w:t>继发性帕金森综合症不在保障范围内。</w:t>
            </w:r>
          </w:p>
        </w:tc>
      </w:tr>
      <w:tr>
        <w:trPr>
          <w:trHeight w:val="791" w:hRule="atLeast"/>
        </w:trPr>
        <w:tc>
          <w:tcPr>
            <w:tcW w:w="1035" w:type="dxa"/>
          </w:tcPr>
          <w:p>
            <w:pPr>
              <w:pStyle w:val="TableParagraph"/>
              <w:spacing w:before="7"/>
              <w:ind w:left="200"/>
              <w:rPr>
                <w:rFonts w:ascii="微软雅黑"/>
                <w:b/>
                <w:sz w:val="21"/>
              </w:rPr>
            </w:pPr>
            <w:r>
              <w:rPr>
                <w:rFonts w:ascii="微软雅黑"/>
                <w:b/>
                <w:sz w:val="21"/>
              </w:rPr>
              <w:t>7.2.19</w:t>
            </w:r>
          </w:p>
        </w:tc>
        <w:tc>
          <w:tcPr>
            <w:tcW w:w="2048" w:type="dxa"/>
          </w:tcPr>
          <w:p>
            <w:pPr>
              <w:pStyle w:val="TableParagraph"/>
              <w:spacing w:before="7"/>
              <w:ind w:left="199"/>
              <w:rPr>
                <w:rFonts w:ascii="微软雅黑" w:hAnsi="微软雅黑" w:eastAsia="微软雅黑" w:hint="eastAsia"/>
                <w:b/>
                <w:sz w:val="21"/>
              </w:rPr>
            </w:pPr>
            <w:r>
              <w:rPr>
                <w:rFonts w:ascii="微软雅黑" w:hAnsi="微软雅黑" w:eastAsia="微软雅黑" w:hint="eastAsia"/>
                <w:b/>
                <w:sz w:val="21"/>
              </w:rPr>
              <w:t>严重Ⅲ度烧伤</w:t>
            </w:r>
          </w:p>
        </w:tc>
        <w:tc>
          <w:tcPr>
            <w:tcW w:w="7075" w:type="dxa"/>
          </w:tcPr>
          <w:p>
            <w:pPr>
              <w:pStyle w:val="TableParagraph"/>
              <w:spacing w:line="273" w:lineRule="auto" w:before="70"/>
              <w:ind w:left="158" w:right="179"/>
              <w:rPr>
                <w:sz w:val="21"/>
              </w:rPr>
            </w:pPr>
            <w:r>
              <w:rPr>
                <w:sz w:val="21"/>
              </w:rPr>
              <w:t>指烧伤程度为Ⅲ度，且Ⅲ度烧伤面积达到全身体表面积的 20％或 20％以上。体表面积根据《中国新九分法》计算。</w:t>
            </w:r>
          </w:p>
        </w:tc>
      </w:tr>
      <w:tr>
        <w:trPr>
          <w:trHeight w:val="1105" w:hRule="atLeast"/>
        </w:trPr>
        <w:tc>
          <w:tcPr>
            <w:tcW w:w="1035" w:type="dxa"/>
          </w:tcPr>
          <w:p>
            <w:pPr>
              <w:pStyle w:val="TableParagraph"/>
              <w:spacing w:before="8"/>
              <w:ind w:left="200"/>
              <w:rPr>
                <w:rFonts w:ascii="微软雅黑"/>
                <w:b/>
                <w:sz w:val="21"/>
              </w:rPr>
            </w:pPr>
            <w:r>
              <w:rPr>
                <w:rFonts w:ascii="微软雅黑"/>
                <w:b/>
                <w:sz w:val="21"/>
              </w:rPr>
              <w:t>7.2.20</w:t>
            </w:r>
          </w:p>
        </w:tc>
        <w:tc>
          <w:tcPr>
            <w:tcW w:w="2048" w:type="dxa"/>
          </w:tcPr>
          <w:p>
            <w:pPr>
              <w:pStyle w:val="TableParagraph"/>
              <w:spacing w:line="206" w:lineRule="auto" w:before="59"/>
              <w:ind w:left="199" w:right="156"/>
              <w:rPr>
                <w:rFonts w:ascii="微软雅黑" w:eastAsia="微软雅黑" w:hint="eastAsia"/>
                <w:b/>
                <w:sz w:val="21"/>
              </w:rPr>
            </w:pPr>
            <w:r>
              <w:rPr>
                <w:rFonts w:ascii="微软雅黑" w:eastAsia="微软雅黑" w:hint="eastAsia"/>
                <w:b/>
                <w:sz w:val="21"/>
              </w:rPr>
              <w:t>严重原发性肺动脉高压</w:t>
            </w:r>
          </w:p>
        </w:tc>
        <w:tc>
          <w:tcPr>
            <w:tcW w:w="7075" w:type="dxa"/>
          </w:tcPr>
          <w:p>
            <w:pPr>
              <w:pStyle w:val="TableParagraph"/>
              <w:spacing w:line="273" w:lineRule="auto" w:before="70"/>
              <w:ind w:left="158" w:right="197"/>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18" w:hRule="atLeast"/>
        </w:trPr>
        <w:tc>
          <w:tcPr>
            <w:tcW w:w="1035" w:type="dxa"/>
          </w:tcPr>
          <w:p>
            <w:pPr>
              <w:pStyle w:val="TableParagraph"/>
              <w:spacing w:before="9"/>
              <w:ind w:left="200"/>
              <w:rPr>
                <w:rFonts w:ascii="微软雅黑"/>
                <w:b/>
                <w:sz w:val="21"/>
              </w:rPr>
            </w:pPr>
            <w:r>
              <w:rPr>
                <w:rFonts w:ascii="微软雅黑"/>
                <w:b/>
                <w:sz w:val="21"/>
              </w:rPr>
              <w:t>7.2.21</w:t>
            </w:r>
          </w:p>
        </w:tc>
        <w:tc>
          <w:tcPr>
            <w:tcW w:w="2048" w:type="dxa"/>
          </w:tcPr>
          <w:p>
            <w:pPr>
              <w:pStyle w:val="TableParagraph"/>
              <w:spacing w:before="9"/>
              <w:ind w:left="199"/>
              <w:rPr>
                <w:rFonts w:ascii="微软雅黑" w:eastAsia="微软雅黑" w:hint="eastAsia"/>
                <w:b/>
                <w:sz w:val="21"/>
              </w:rPr>
            </w:pPr>
            <w:r>
              <w:rPr>
                <w:rFonts w:ascii="微软雅黑" w:eastAsia="微软雅黑" w:hint="eastAsia"/>
                <w:b/>
                <w:sz w:val="21"/>
              </w:rPr>
              <w:t>严重运动神经元病</w:t>
            </w:r>
          </w:p>
        </w:tc>
        <w:tc>
          <w:tcPr>
            <w:tcW w:w="7075" w:type="dxa"/>
          </w:tcPr>
          <w:p>
            <w:pPr>
              <w:pStyle w:val="TableParagraph"/>
              <w:spacing w:line="312" w:lineRule="exact" w:before="67"/>
              <w:ind w:left="158" w:right="197"/>
              <w:jc w:val="both"/>
              <w:rPr>
                <w:sz w:val="21"/>
              </w:rPr>
            </w:pPr>
            <w:r>
              <w:rPr>
                <w:spacing w:val="-4"/>
                <w:sz w:val="21"/>
              </w:rPr>
              <w:t>是一组中枢神经系统运动神经元的进行性变性疾病，包括进行性脊肌萎缩</w:t>
            </w:r>
            <w:r>
              <w:rPr>
                <w:spacing w:val="-5"/>
                <w:sz w:val="21"/>
              </w:rPr>
              <w:t>症、进行性延髓麻痹症、原发性侧索硬化症、肌萎缩性侧索硬化症。须满</w:t>
            </w:r>
            <w:r>
              <w:rPr>
                <w:spacing w:val="-6"/>
                <w:sz w:val="21"/>
              </w:rPr>
              <w:t>足自主生活能力完全丧失，无法独立完成</w:t>
            </w:r>
            <w:r>
              <w:rPr>
                <w:rFonts w:ascii="微软雅黑" w:eastAsia="微软雅黑" w:hint="eastAsia"/>
                <w:b/>
                <w:sz w:val="21"/>
              </w:rPr>
              <w:t>六项基本日常生活活动</w:t>
            </w:r>
            <w:r>
              <w:rPr>
                <w:spacing w:val="-3"/>
                <w:sz w:val="21"/>
              </w:rPr>
              <w:t>中的三项或三项以上的条件。</w:t>
            </w:r>
          </w:p>
        </w:tc>
      </w:tr>
      <w:tr>
        <w:trPr>
          <w:trHeight w:val="1420" w:hRule="atLeast"/>
        </w:trPr>
        <w:tc>
          <w:tcPr>
            <w:tcW w:w="1035" w:type="dxa"/>
          </w:tcPr>
          <w:p>
            <w:pPr>
              <w:pStyle w:val="TableParagraph"/>
              <w:spacing w:before="9"/>
              <w:ind w:left="200"/>
              <w:rPr>
                <w:rFonts w:ascii="微软雅黑"/>
                <w:b/>
                <w:sz w:val="21"/>
              </w:rPr>
            </w:pPr>
            <w:r>
              <w:rPr>
                <w:rFonts w:ascii="微软雅黑"/>
                <w:b/>
                <w:sz w:val="21"/>
              </w:rPr>
              <w:t>7.2.22</w:t>
            </w:r>
          </w:p>
        </w:tc>
        <w:tc>
          <w:tcPr>
            <w:tcW w:w="2048" w:type="dxa"/>
          </w:tcPr>
          <w:p>
            <w:pPr>
              <w:pStyle w:val="TableParagraph"/>
              <w:spacing w:before="9"/>
              <w:ind w:left="199"/>
              <w:rPr>
                <w:rFonts w:ascii="微软雅黑" w:eastAsia="微软雅黑" w:hint="eastAsia"/>
                <w:b/>
                <w:sz w:val="21"/>
              </w:rPr>
            </w:pPr>
            <w:r>
              <w:rPr>
                <w:rFonts w:ascii="微软雅黑" w:eastAsia="微软雅黑" w:hint="eastAsia"/>
                <w:b/>
                <w:sz w:val="21"/>
              </w:rPr>
              <w:t>语言能力丧失</w:t>
            </w:r>
          </w:p>
        </w:tc>
        <w:tc>
          <w:tcPr>
            <w:tcW w:w="7075" w:type="dxa"/>
          </w:tcPr>
          <w:p>
            <w:pPr>
              <w:pStyle w:val="TableParagraph"/>
              <w:spacing w:before="72"/>
              <w:ind w:left="158"/>
              <w:rPr>
                <w:sz w:val="21"/>
              </w:rPr>
            </w:pPr>
            <w:r>
              <w:rPr>
                <w:sz w:val="21"/>
              </w:rPr>
              <w:t>指因疾病或意外伤害导致完全丧失语言能力，经过积极治疗至少 12 个月</w:t>
            </w:r>
          </w:p>
          <w:p>
            <w:pPr>
              <w:pStyle w:val="TableParagraph"/>
              <w:spacing w:line="254" w:lineRule="exact" w:before="37"/>
              <w:ind w:left="158"/>
              <w:rPr>
                <w:sz w:val="21"/>
              </w:rPr>
            </w:pPr>
            <w:r>
              <w:rPr>
                <w:sz w:val="21"/>
              </w:rPr>
              <w:t>（声带完全切除不受此时间限制），仍无法通过现有医疗手段恢复。</w:t>
            </w:r>
          </w:p>
          <w:p>
            <w:pPr>
              <w:pStyle w:val="TableParagraph"/>
              <w:spacing w:line="327" w:lineRule="exact"/>
              <w:ind w:left="158"/>
              <w:rPr>
                <w:rFonts w:ascii="Microsoft JhengHei" w:eastAsia="Microsoft JhengHei" w:hint="eastAsia"/>
                <w:b/>
                <w:sz w:val="22"/>
              </w:rPr>
            </w:pPr>
            <w:r>
              <w:rPr>
                <w:rFonts w:ascii="Microsoft JhengHei" w:eastAsia="Microsoft JhengHei" w:hint="eastAsia"/>
                <w:b/>
                <w:sz w:val="22"/>
                <w:shd w:fill="D9D9D9" w:color="auto" w:val="clear"/>
              </w:rPr>
              <w:t>精神心理因素所致的语言能力丧失不在保障范围内。</w:t>
            </w:r>
          </w:p>
          <w:p>
            <w:pPr>
              <w:pStyle w:val="TableParagraph"/>
              <w:spacing w:line="348" w:lineRule="exact"/>
              <w:ind w:left="158"/>
              <w:rPr>
                <w:rFonts w:ascii="Microsoft JhengHei" w:eastAsia="Microsoft JhengHei" w:hint="eastAsia"/>
                <w:b/>
                <w:sz w:val="22"/>
              </w:rPr>
            </w:pPr>
            <w:r>
              <w:rPr>
                <w:rFonts w:ascii="Microsoft JhengHei" w:eastAsia="Microsoft JhengHei" w:hint="eastAsia"/>
                <w:b/>
                <w:w w:val="95"/>
                <w:sz w:val="22"/>
                <w:shd w:fill="D9D9D9" w:color="auto" w:val="clear"/>
              </w:rPr>
              <w:t>被保险人在0至3周岁保单周年日期间语言能力丧失不在保障范围内。</w:t>
            </w:r>
          </w:p>
        </w:tc>
      </w:tr>
      <w:tr>
        <w:trPr>
          <w:trHeight w:val="1936" w:hRule="atLeast"/>
        </w:trPr>
        <w:tc>
          <w:tcPr>
            <w:tcW w:w="1035" w:type="dxa"/>
          </w:tcPr>
          <w:p>
            <w:pPr>
              <w:pStyle w:val="TableParagraph"/>
              <w:spacing w:before="7"/>
              <w:ind w:left="200"/>
              <w:rPr>
                <w:rFonts w:ascii="微软雅黑"/>
                <w:b/>
                <w:sz w:val="21"/>
              </w:rPr>
            </w:pPr>
            <w:r>
              <w:rPr>
                <w:rFonts w:ascii="微软雅黑"/>
                <w:b/>
                <w:sz w:val="21"/>
              </w:rPr>
              <w:t>7.2.23</w:t>
            </w:r>
          </w:p>
        </w:tc>
        <w:tc>
          <w:tcPr>
            <w:tcW w:w="2048" w:type="dxa"/>
          </w:tcPr>
          <w:p>
            <w:pPr>
              <w:pStyle w:val="TableParagraph"/>
              <w:spacing w:line="206" w:lineRule="auto" w:before="58"/>
              <w:ind w:left="199" w:right="156"/>
              <w:rPr>
                <w:rFonts w:ascii="微软雅黑" w:eastAsia="微软雅黑" w:hint="eastAsia"/>
                <w:b/>
                <w:sz w:val="21"/>
              </w:rPr>
            </w:pPr>
            <w:r>
              <w:rPr>
                <w:rFonts w:ascii="微软雅黑" w:eastAsia="微软雅黑" w:hint="eastAsia"/>
                <w:b/>
                <w:sz w:val="21"/>
              </w:rPr>
              <w:t>重型再生障碍性贫血</w:t>
            </w:r>
          </w:p>
        </w:tc>
        <w:tc>
          <w:tcPr>
            <w:tcW w:w="7075" w:type="dxa"/>
          </w:tcPr>
          <w:p>
            <w:pPr>
              <w:pStyle w:val="TableParagraph"/>
              <w:spacing w:line="273" w:lineRule="auto" w:before="89"/>
              <w:ind w:left="158" w:right="385"/>
              <w:rPr>
                <w:sz w:val="21"/>
              </w:rPr>
            </w:pPr>
            <w:r>
              <w:rPr>
                <w:sz w:val="21"/>
              </w:rPr>
              <w:t>指因骨髓造血功能慢性持续性衰竭导致的贫血、中性粒细胞减少及血小板减少。须满足下列全部条件：</w:t>
            </w:r>
          </w:p>
          <w:p>
            <w:pPr>
              <w:pStyle w:val="TableParagraph"/>
              <w:spacing w:before="10"/>
              <w:ind w:left="158"/>
              <w:rPr>
                <w:sz w:val="21"/>
              </w:rPr>
            </w:pPr>
            <w:r>
              <w:rPr>
                <w:sz w:val="21"/>
              </w:rPr>
              <w:t>（1）骨髓穿刺检查或骨髓活检结果支持诊断；</w:t>
            </w:r>
          </w:p>
          <w:p>
            <w:pPr>
              <w:pStyle w:val="TableParagraph"/>
              <w:spacing w:before="39"/>
              <w:ind w:left="158"/>
              <w:rPr>
                <w:sz w:val="21"/>
              </w:rPr>
            </w:pPr>
            <w:r>
              <w:rPr>
                <w:sz w:val="21"/>
              </w:rPr>
              <w:t>（2）外周血象须具备以下三项条件：</w:t>
            </w:r>
          </w:p>
          <w:p>
            <w:pPr>
              <w:pStyle w:val="TableParagraph"/>
              <w:spacing w:before="41"/>
              <w:ind w:left="264"/>
              <w:rPr>
                <w:sz w:val="21"/>
              </w:rPr>
            </w:pPr>
            <w:r>
              <w:rPr>
                <w:sz w:val="21"/>
              </w:rPr>
              <w:t>① 中性粒细胞绝对值≤0.5×10</w:t>
            </w:r>
            <w:r>
              <w:rPr>
                <w:position w:val="11"/>
                <w:sz w:val="11"/>
              </w:rPr>
              <w:t>9</w:t>
            </w:r>
            <w:r>
              <w:rPr>
                <w:sz w:val="21"/>
              </w:rPr>
              <w:t>/L ；</w:t>
            </w:r>
          </w:p>
          <w:p>
            <w:pPr>
              <w:pStyle w:val="TableParagraph"/>
              <w:spacing w:line="255" w:lineRule="exact" w:before="39"/>
              <w:ind w:left="264"/>
              <w:rPr>
                <w:sz w:val="21"/>
              </w:rPr>
            </w:pPr>
            <w:r>
              <w:rPr>
                <w:sz w:val="21"/>
              </w:rPr>
              <w:t>② 网织红细胞＜1%；</w:t>
            </w:r>
          </w:p>
        </w:tc>
      </w:tr>
    </w:tbl>
    <w:p>
      <w:pPr>
        <w:spacing w:after="0" w:line="255" w:lineRule="exact"/>
        <w:rPr>
          <w:sz w:val="21"/>
        </w:rPr>
        <w:sectPr>
          <w:footerReference w:type="default" r:id="rId11"/>
          <w:pgSz w:w="11910" w:h="16840"/>
          <w:pgMar w:footer="664" w:header="567" w:top="1000" w:bottom="860" w:left="820" w:right="700"/>
        </w:sectPr>
      </w:pPr>
    </w:p>
    <w:p>
      <w:pPr>
        <w:pStyle w:val="BodyText"/>
        <w:rPr>
          <w:rFonts w:ascii="Times New Roman"/>
          <w:sz w:val="20"/>
        </w:rPr>
      </w:pPr>
    </w:p>
    <w:p>
      <w:pPr>
        <w:pStyle w:val="BodyText"/>
        <w:spacing w:before="5"/>
        <w:rPr>
          <w:rFonts w:ascii="Times New Roman"/>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075"/>
      </w:tblGrid>
      <w:tr>
        <w:trPr>
          <w:trHeight w:val="370" w:hRule="atLeast"/>
        </w:trPr>
        <w:tc>
          <w:tcPr>
            <w:tcW w:w="1035" w:type="dxa"/>
          </w:tcPr>
          <w:p>
            <w:pPr>
              <w:pStyle w:val="TableParagraph"/>
              <w:rPr>
                <w:rFonts w:ascii="Times New Roman"/>
                <w:sz w:val="20"/>
              </w:rPr>
            </w:pPr>
          </w:p>
        </w:tc>
        <w:tc>
          <w:tcPr>
            <w:tcW w:w="2048" w:type="dxa"/>
          </w:tcPr>
          <w:p>
            <w:pPr>
              <w:pStyle w:val="TableParagraph"/>
              <w:rPr>
                <w:rFonts w:ascii="Times New Roman"/>
                <w:sz w:val="20"/>
              </w:rPr>
            </w:pPr>
          </w:p>
        </w:tc>
        <w:tc>
          <w:tcPr>
            <w:tcW w:w="7075" w:type="dxa"/>
          </w:tcPr>
          <w:p>
            <w:pPr>
              <w:pStyle w:val="TableParagraph"/>
              <w:spacing w:line="235" w:lineRule="exact"/>
              <w:ind w:left="264"/>
              <w:rPr>
                <w:sz w:val="21"/>
              </w:rPr>
            </w:pPr>
            <w:r>
              <w:rPr>
                <w:sz w:val="21"/>
              </w:rPr>
              <w:t>③ 血小板绝对值≤20×10</w:t>
            </w:r>
            <w:r>
              <w:rPr>
                <w:position w:val="11"/>
                <w:sz w:val="11"/>
              </w:rPr>
              <w:t>9</w:t>
            </w:r>
            <w:r>
              <w:rPr>
                <w:sz w:val="21"/>
              </w:rPr>
              <w:t>/L。</w:t>
            </w:r>
          </w:p>
        </w:tc>
      </w:tr>
      <w:tr>
        <w:trPr>
          <w:trHeight w:val="1422" w:hRule="atLeast"/>
        </w:trPr>
        <w:tc>
          <w:tcPr>
            <w:tcW w:w="1035" w:type="dxa"/>
          </w:tcPr>
          <w:p>
            <w:pPr>
              <w:pStyle w:val="TableParagraph"/>
              <w:spacing w:before="9"/>
              <w:ind w:left="200"/>
              <w:rPr>
                <w:rFonts w:ascii="微软雅黑"/>
                <w:b/>
                <w:sz w:val="21"/>
              </w:rPr>
            </w:pPr>
            <w:r>
              <w:rPr>
                <w:rFonts w:ascii="微软雅黑"/>
                <w:b/>
                <w:sz w:val="21"/>
              </w:rPr>
              <w:t>7.2.24</w:t>
            </w:r>
          </w:p>
        </w:tc>
        <w:tc>
          <w:tcPr>
            <w:tcW w:w="2048" w:type="dxa"/>
          </w:tcPr>
          <w:p>
            <w:pPr>
              <w:pStyle w:val="TableParagraph"/>
              <w:spacing w:before="9"/>
              <w:ind w:left="199"/>
              <w:rPr>
                <w:rFonts w:ascii="微软雅黑" w:eastAsia="微软雅黑" w:hint="eastAsia"/>
                <w:b/>
                <w:sz w:val="21"/>
              </w:rPr>
            </w:pPr>
            <w:r>
              <w:rPr>
                <w:rFonts w:ascii="微软雅黑" w:eastAsia="微软雅黑" w:hint="eastAsia"/>
                <w:b/>
                <w:sz w:val="21"/>
              </w:rPr>
              <w:t>主动脉手术</w:t>
            </w:r>
          </w:p>
        </w:tc>
        <w:tc>
          <w:tcPr>
            <w:tcW w:w="7075" w:type="dxa"/>
          </w:tcPr>
          <w:p>
            <w:pPr>
              <w:pStyle w:val="TableParagraph"/>
              <w:spacing w:line="273" w:lineRule="auto" w:before="91"/>
              <w:ind w:left="158" w:right="38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95" w:lineRule="exact"/>
              <w:ind w:left="158"/>
              <w:jc w:val="both"/>
              <w:rPr>
                <w:rFonts w:ascii="Microsoft JhengHei" w:eastAsia="Microsoft JhengHei" w:hint="eastAsia"/>
                <w:b/>
                <w:sz w:val="22"/>
              </w:rPr>
            </w:pPr>
            <w:r>
              <w:rPr>
                <w:rFonts w:ascii="Microsoft JhengHei" w:eastAsia="Microsoft JhengHei" w:hint="eastAsia"/>
                <w:b/>
                <w:sz w:val="22"/>
                <w:shd w:fill="D9D9D9" w:color="auto" w:val="clear"/>
              </w:rPr>
              <w:t>动脉内血管成形术不在保障范围内。</w:t>
            </w:r>
          </w:p>
        </w:tc>
      </w:tr>
      <w:tr>
        <w:trPr>
          <w:trHeight w:val="1416" w:hRule="atLeast"/>
        </w:trPr>
        <w:tc>
          <w:tcPr>
            <w:tcW w:w="1035" w:type="dxa"/>
          </w:tcPr>
          <w:p>
            <w:pPr>
              <w:pStyle w:val="TableParagraph"/>
              <w:spacing w:before="7"/>
              <w:ind w:left="200"/>
              <w:rPr>
                <w:rFonts w:ascii="微软雅黑"/>
                <w:b/>
                <w:sz w:val="21"/>
              </w:rPr>
            </w:pPr>
            <w:r>
              <w:rPr>
                <w:rFonts w:ascii="微软雅黑"/>
                <w:b/>
                <w:sz w:val="21"/>
              </w:rPr>
              <w:t>7.2.25</w:t>
            </w:r>
          </w:p>
        </w:tc>
        <w:tc>
          <w:tcPr>
            <w:tcW w:w="2048" w:type="dxa"/>
          </w:tcPr>
          <w:p>
            <w:pPr>
              <w:pStyle w:val="TableParagraph"/>
              <w:spacing w:before="7"/>
              <w:ind w:left="199"/>
              <w:rPr>
                <w:rFonts w:ascii="微软雅黑" w:eastAsia="微软雅黑" w:hint="eastAsia"/>
                <w:b/>
                <w:sz w:val="21"/>
              </w:rPr>
            </w:pPr>
            <w:r>
              <w:rPr>
                <w:rFonts w:ascii="微软雅黑" w:eastAsia="微软雅黑" w:hint="eastAsia"/>
                <w:b/>
                <w:sz w:val="21"/>
              </w:rPr>
              <w:t>严重多发性硬化症</w:t>
            </w:r>
          </w:p>
        </w:tc>
        <w:tc>
          <w:tcPr>
            <w:tcW w:w="7075" w:type="dxa"/>
          </w:tcPr>
          <w:p>
            <w:pPr>
              <w:pStyle w:val="TableParagraph"/>
              <w:spacing w:line="312" w:lineRule="exact" w:before="65"/>
              <w:ind w:left="158" w:right="198"/>
              <w:jc w:val="both"/>
              <w:rPr>
                <w:sz w:val="21"/>
              </w:rPr>
            </w:pPr>
            <w:r>
              <w:rPr>
                <w:spacing w:val="-4"/>
                <w:sz w:val="21"/>
              </w:rPr>
              <w:t>指因中枢神经系统脱髓鞘所致的不可逆的神经系统功能障碍，须由计算机</w:t>
            </w:r>
            <w:r>
              <w:rPr>
                <w:spacing w:val="-3"/>
                <w:sz w:val="21"/>
              </w:rPr>
              <w:t>断层扫描</w:t>
            </w:r>
            <w:r>
              <w:rPr>
                <w:spacing w:val="-1"/>
                <w:sz w:val="21"/>
              </w:rPr>
              <w:t>（CT）</w:t>
            </w:r>
            <w:r>
              <w:rPr>
                <w:spacing w:val="-4"/>
                <w:sz w:val="21"/>
              </w:rPr>
              <w:t>、核磁共振检查</w:t>
            </w:r>
            <w:r>
              <w:rPr>
                <w:sz w:val="21"/>
              </w:rPr>
              <w:t>（MRI）</w:t>
            </w:r>
            <w:r>
              <w:rPr>
                <w:spacing w:val="-3"/>
                <w:sz w:val="21"/>
              </w:rPr>
              <w:t>或正电子发射断层扫描</w:t>
            </w:r>
            <w:r>
              <w:rPr>
                <w:sz w:val="21"/>
              </w:rPr>
              <w:t>（PET）</w:t>
            </w:r>
            <w:r>
              <w:rPr>
                <w:spacing w:val="-5"/>
                <w:sz w:val="21"/>
              </w:rPr>
              <w:t>等影像学检查证实，且已经造成自主生活能力完全丧失，无法独立完成</w:t>
            </w:r>
            <w:r>
              <w:rPr>
                <w:rFonts w:ascii="微软雅黑" w:eastAsia="微软雅黑" w:hint="eastAsia"/>
                <w:b/>
                <w:sz w:val="21"/>
              </w:rPr>
              <w:t>六项基本日常生活活动</w:t>
            </w:r>
            <w:r>
              <w:rPr>
                <w:spacing w:val="-6"/>
                <w:sz w:val="21"/>
              </w:rPr>
              <w:t>中的三项或三项以上，持续至少 </w:t>
            </w:r>
            <w:r>
              <w:rPr>
                <w:sz w:val="21"/>
              </w:rPr>
              <w:t>180</w:t>
            </w:r>
            <w:r>
              <w:rPr>
                <w:spacing w:val="-15"/>
                <w:sz w:val="21"/>
              </w:rPr>
              <w:t> 日。</w:t>
            </w:r>
          </w:p>
        </w:tc>
      </w:tr>
      <w:tr>
        <w:trPr>
          <w:trHeight w:val="1731" w:hRule="atLeast"/>
        </w:trPr>
        <w:tc>
          <w:tcPr>
            <w:tcW w:w="1035" w:type="dxa"/>
          </w:tcPr>
          <w:p>
            <w:pPr>
              <w:pStyle w:val="TableParagraph"/>
              <w:spacing w:before="9"/>
              <w:ind w:left="200"/>
              <w:rPr>
                <w:rFonts w:ascii="微软雅黑"/>
                <w:b/>
                <w:sz w:val="21"/>
              </w:rPr>
            </w:pPr>
            <w:r>
              <w:rPr>
                <w:rFonts w:ascii="微软雅黑"/>
                <w:b/>
                <w:sz w:val="21"/>
              </w:rPr>
              <w:t>7.2.26</w:t>
            </w:r>
          </w:p>
        </w:tc>
        <w:tc>
          <w:tcPr>
            <w:tcW w:w="2048" w:type="dxa"/>
          </w:tcPr>
          <w:p>
            <w:pPr>
              <w:pStyle w:val="TableParagraph"/>
              <w:spacing w:before="9"/>
              <w:ind w:left="199"/>
              <w:rPr>
                <w:rFonts w:ascii="微软雅黑" w:eastAsia="微软雅黑" w:hint="eastAsia"/>
                <w:b/>
                <w:sz w:val="21"/>
              </w:rPr>
            </w:pPr>
            <w:r>
              <w:rPr>
                <w:rFonts w:ascii="微软雅黑" w:eastAsia="微软雅黑" w:hint="eastAsia"/>
                <w:b/>
                <w:sz w:val="21"/>
              </w:rPr>
              <w:t>严重原发性心肌病</w:t>
            </w:r>
          </w:p>
        </w:tc>
        <w:tc>
          <w:tcPr>
            <w:tcW w:w="7075" w:type="dxa"/>
          </w:tcPr>
          <w:p>
            <w:pPr>
              <w:pStyle w:val="TableParagraph"/>
              <w:spacing w:line="273" w:lineRule="auto" w:before="72"/>
              <w:ind w:left="158" w:right="197"/>
              <w:jc w:val="both"/>
              <w:rPr>
                <w:sz w:val="21"/>
              </w:rPr>
            </w:pPr>
            <w:r>
              <w:rPr>
                <w:sz w:val="21"/>
              </w:rPr>
              <w:t>指一组不明原因所致的心肌病变，包括原发性扩张型心肌病、原发性肥厚型心肌病及原发性限制型心肌病三种，已经造成永久不可逆性的体力活动能力受限，达到美国纽约心脏病学会心功能状态分级IV 级，且持续至少</w:t>
            </w:r>
          </w:p>
          <w:p>
            <w:pPr>
              <w:pStyle w:val="TableParagraph"/>
              <w:spacing w:line="254" w:lineRule="exact" w:before="8"/>
              <w:ind w:left="158"/>
              <w:jc w:val="both"/>
              <w:rPr>
                <w:sz w:val="21"/>
              </w:rPr>
            </w:pPr>
            <w:r>
              <w:rPr>
                <w:sz w:val="21"/>
              </w:rPr>
              <w:t>90日。</w:t>
            </w:r>
          </w:p>
          <w:p>
            <w:pPr>
              <w:pStyle w:val="TableParagraph"/>
              <w:spacing w:line="362" w:lineRule="exact"/>
              <w:ind w:left="158"/>
              <w:jc w:val="both"/>
              <w:rPr>
                <w:rFonts w:ascii="Microsoft JhengHei" w:eastAsia="Microsoft JhengHei" w:hint="eastAsia"/>
                <w:b/>
                <w:sz w:val="22"/>
              </w:rPr>
            </w:pPr>
            <w:r>
              <w:rPr>
                <w:rFonts w:ascii="Microsoft JhengHei" w:eastAsia="Microsoft JhengHei" w:hint="eastAsia"/>
                <w:b/>
                <w:sz w:val="22"/>
                <w:shd w:fill="D9D9D9" w:color="auto" w:val="clear"/>
              </w:rPr>
              <w:t>继发性的心肌病变不在保障范围内。</w:t>
            </w:r>
          </w:p>
        </w:tc>
      </w:tr>
      <w:tr>
        <w:trPr>
          <w:trHeight w:val="1727" w:hRule="atLeast"/>
        </w:trPr>
        <w:tc>
          <w:tcPr>
            <w:tcW w:w="1035" w:type="dxa"/>
          </w:tcPr>
          <w:p>
            <w:pPr>
              <w:pStyle w:val="TableParagraph"/>
              <w:spacing w:before="6"/>
              <w:ind w:left="200"/>
              <w:rPr>
                <w:rFonts w:ascii="微软雅黑"/>
                <w:b/>
                <w:sz w:val="21"/>
              </w:rPr>
            </w:pPr>
            <w:r>
              <w:rPr>
                <w:rFonts w:ascii="微软雅黑"/>
                <w:b/>
                <w:sz w:val="21"/>
              </w:rPr>
              <w:t>7.2.27</w:t>
            </w:r>
          </w:p>
        </w:tc>
        <w:tc>
          <w:tcPr>
            <w:tcW w:w="2048" w:type="dxa"/>
          </w:tcPr>
          <w:p>
            <w:pPr>
              <w:pStyle w:val="TableParagraph"/>
              <w:spacing w:before="6"/>
              <w:ind w:left="199"/>
              <w:rPr>
                <w:rFonts w:ascii="微软雅黑" w:eastAsia="微软雅黑" w:hint="eastAsia"/>
                <w:b/>
                <w:sz w:val="21"/>
              </w:rPr>
            </w:pPr>
            <w:r>
              <w:rPr>
                <w:rFonts w:ascii="微软雅黑" w:eastAsia="微软雅黑" w:hint="eastAsia"/>
                <w:b/>
                <w:sz w:val="21"/>
              </w:rPr>
              <w:t>严重冠心病</w:t>
            </w:r>
          </w:p>
        </w:tc>
        <w:tc>
          <w:tcPr>
            <w:tcW w:w="7075" w:type="dxa"/>
          </w:tcPr>
          <w:p>
            <w:pPr>
              <w:pStyle w:val="TableParagraph"/>
              <w:spacing w:line="273" w:lineRule="auto" w:before="68"/>
              <w:ind w:left="158" w:right="197"/>
              <w:jc w:val="both"/>
              <w:rPr>
                <w:sz w:val="21"/>
              </w:rPr>
            </w:pPr>
            <w:r>
              <w:rPr>
                <w:spacing w:val="-4"/>
                <w:sz w:val="21"/>
              </w:rPr>
              <w:t>指经心脏科专科医师根据冠状动脉造影检查结果确诊的三支主要血管</w:t>
            </w:r>
            <w:r>
              <w:rPr>
                <w:spacing w:val="-3"/>
                <w:sz w:val="21"/>
              </w:rPr>
              <w:t>（</w:t>
            </w:r>
            <w:r>
              <w:rPr>
                <w:sz w:val="21"/>
              </w:rPr>
              <w:t>左</w:t>
            </w:r>
            <w:r>
              <w:rPr>
                <w:spacing w:val="-4"/>
                <w:sz w:val="21"/>
              </w:rPr>
              <w:t>冠状动脉主干和右冠状动脉，或前降支、左旋支和右冠状动脉</w:t>
            </w:r>
            <w:r>
              <w:rPr>
                <w:spacing w:val="-5"/>
                <w:sz w:val="21"/>
              </w:rPr>
              <w:t>）</w:t>
            </w:r>
            <w:r>
              <w:rPr>
                <w:spacing w:val="-2"/>
                <w:sz w:val="21"/>
              </w:rPr>
              <w:t>严重狭窄</w:t>
            </w:r>
            <w:r>
              <w:rPr>
                <w:spacing w:val="-23"/>
                <w:sz w:val="21"/>
              </w:rPr>
              <w:t>性病变</w:t>
            </w:r>
            <w:r>
              <w:rPr>
                <w:sz w:val="21"/>
              </w:rPr>
              <w:t>（</w:t>
            </w:r>
            <w:r>
              <w:rPr>
                <w:spacing w:val="-5"/>
                <w:sz w:val="21"/>
              </w:rPr>
              <w:t>至少一支血管管腔直径减少 </w:t>
            </w:r>
            <w:r>
              <w:rPr>
                <w:sz w:val="21"/>
              </w:rPr>
              <w:t>75</w:t>
            </w:r>
            <w:r>
              <w:rPr>
                <w:spacing w:val="-3"/>
                <w:sz w:val="21"/>
              </w:rPr>
              <w:t>％以上和其他两支血管管腔直径减</w:t>
            </w:r>
            <w:r>
              <w:rPr>
                <w:spacing w:val="-15"/>
                <w:sz w:val="21"/>
              </w:rPr>
              <w:t>少 </w:t>
            </w:r>
            <w:r>
              <w:rPr>
                <w:sz w:val="21"/>
              </w:rPr>
              <w:t>60</w:t>
            </w:r>
            <w:r>
              <w:rPr>
                <w:spacing w:val="-2"/>
                <w:sz w:val="21"/>
              </w:rPr>
              <w:t>％以上</w:t>
            </w:r>
            <w:r>
              <w:rPr>
                <w:spacing w:val="-22"/>
                <w:sz w:val="21"/>
              </w:rPr>
              <w:t>）</w:t>
            </w:r>
            <w:r>
              <w:rPr>
                <w:spacing w:val="-8"/>
                <w:sz w:val="21"/>
              </w:rPr>
              <w:t>。前降支、左旋支及右冠状动脉的分支血管的狭窄不作为本</w:t>
            </w:r>
            <w:r>
              <w:rPr>
                <w:spacing w:val="-5"/>
                <w:sz w:val="21"/>
              </w:rPr>
              <w:t>保障的衡量指标。</w:t>
            </w:r>
          </w:p>
        </w:tc>
      </w:tr>
      <w:tr>
        <w:trPr>
          <w:trHeight w:val="2666" w:hRule="atLeast"/>
        </w:trPr>
        <w:tc>
          <w:tcPr>
            <w:tcW w:w="1035" w:type="dxa"/>
          </w:tcPr>
          <w:p>
            <w:pPr>
              <w:pStyle w:val="TableParagraph"/>
              <w:spacing w:before="9"/>
              <w:ind w:left="200"/>
              <w:rPr>
                <w:rFonts w:ascii="微软雅黑"/>
                <w:b/>
                <w:sz w:val="21"/>
              </w:rPr>
            </w:pPr>
            <w:r>
              <w:rPr>
                <w:rFonts w:ascii="微软雅黑"/>
                <w:b/>
                <w:sz w:val="21"/>
              </w:rPr>
              <w:t>7.2.28</w:t>
            </w:r>
          </w:p>
        </w:tc>
        <w:tc>
          <w:tcPr>
            <w:tcW w:w="2048" w:type="dxa"/>
          </w:tcPr>
          <w:p>
            <w:pPr>
              <w:pStyle w:val="TableParagraph"/>
              <w:spacing w:line="206" w:lineRule="auto" w:before="60"/>
              <w:ind w:left="199" w:right="156"/>
              <w:rPr>
                <w:rFonts w:ascii="微软雅黑" w:eastAsia="微软雅黑" w:hint="eastAsia"/>
                <w:b/>
                <w:sz w:val="21"/>
              </w:rPr>
            </w:pPr>
            <w:r>
              <w:rPr>
                <w:rFonts w:ascii="微软雅黑" w:eastAsia="微软雅黑" w:hint="eastAsia"/>
                <w:b/>
                <w:sz w:val="21"/>
              </w:rPr>
              <w:t>慢性呼吸功能衰竭终末期肺病</w:t>
            </w:r>
          </w:p>
        </w:tc>
        <w:tc>
          <w:tcPr>
            <w:tcW w:w="7075" w:type="dxa"/>
          </w:tcPr>
          <w:p>
            <w:pPr>
              <w:pStyle w:val="TableParagraph"/>
              <w:spacing w:line="273" w:lineRule="auto" w:before="72"/>
              <w:ind w:left="158" w:right="197"/>
              <w:rPr>
                <w:sz w:val="21"/>
              </w:rPr>
            </w:pPr>
            <w:r>
              <w:rPr>
                <w:spacing w:val="-3"/>
                <w:sz w:val="21"/>
              </w:rPr>
              <w:t>指被保险人必须经百年人寿认可的医院的呼吸科专科医师确诊因慢性肺 </w:t>
            </w:r>
            <w:r>
              <w:rPr>
                <w:spacing w:val="-4"/>
                <w:sz w:val="21"/>
              </w:rPr>
              <w:t>部疾病导致永久不可逆性的慢性呼吸功能衰竭，并且必须满足下列全部条件：</w:t>
            </w:r>
          </w:p>
          <w:p>
            <w:pPr>
              <w:pStyle w:val="TableParagraph"/>
              <w:spacing w:before="8"/>
              <w:ind w:left="158"/>
              <w:rPr>
                <w:sz w:val="21"/>
              </w:rPr>
            </w:pPr>
            <w:r>
              <w:rPr>
                <w:sz w:val="21"/>
              </w:rPr>
              <w:t>（1）休息时出现呼吸困难；</w:t>
            </w:r>
          </w:p>
          <w:p>
            <w:pPr>
              <w:pStyle w:val="TableParagraph"/>
              <w:spacing w:before="37"/>
              <w:ind w:left="158"/>
              <w:rPr>
                <w:sz w:val="21"/>
              </w:rPr>
            </w:pPr>
            <w:r>
              <w:rPr>
                <w:sz w:val="21"/>
              </w:rPr>
              <w:t>（2）动脉血氧饱和度（SaO2）&lt;80％；</w:t>
            </w:r>
          </w:p>
          <w:p>
            <w:pPr>
              <w:pStyle w:val="TableParagraph"/>
              <w:spacing w:before="36"/>
              <w:ind w:left="158"/>
              <w:rPr>
                <w:sz w:val="21"/>
              </w:rPr>
            </w:pPr>
            <w:r>
              <w:rPr>
                <w:sz w:val="21"/>
              </w:rPr>
              <w:t>（3）肺功能测试其 FEV1 持续低于 1 升；</w:t>
            </w:r>
          </w:p>
          <w:p>
            <w:pPr>
              <w:pStyle w:val="TableParagraph"/>
              <w:spacing w:line="273" w:lineRule="auto" w:before="36"/>
              <w:ind w:left="158" w:right="293"/>
              <w:rPr>
                <w:sz w:val="21"/>
              </w:rPr>
            </w:pPr>
            <w:r>
              <w:rPr>
                <w:sz w:val="21"/>
              </w:rPr>
              <w:t>（4）因慢性阻塞性肺病或慢性呼吸功能不全所致缺氧必须接受持续的输氧治疗；</w:t>
            </w:r>
          </w:p>
        </w:tc>
      </w:tr>
      <w:tr>
        <w:trPr>
          <w:trHeight w:val="1732" w:hRule="atLeast"/>
        </w:trPr>
        <w:tc>
          <w:tcPr>
            <w:tcW w:w="1035" w:type="dxa"/>
          </w:tcPr>
          <w:p>
            <w:pPr>
              <w:pStyle w:val="TableParagraph"/>
              <w:spacing w:before="9"/>
              <w:ind w:left="200"/>
              <w:rPr>
                <w:rFonts w:ascii="微软雅黑"/>
                <w:b/>
                <w:sz w:val="21"/>
              </w:rPr>
            </w:pPr>
            <w:r>
              <w:rPr>
                <w:rFonts w:ascii="微软雅黑"/>
                <w:b/>
                <w:sz w:val="21"/>
              </w:rPr>
              <w:t>7.2.29</w:t>
            </w:r>
          </w:p>
        </w:tc>
        <w:tc>
          <w:tcPr>
            <w:tcW w:w="2048" w:type="dxa"/>
          </w:tcPr>
          <w:p>
            <w:pPr>
              <w:pStyle w:val="TableParagraph"/>
              <w:spacing w:before="9"/>
              <w:ind w:left="199"/>
              <w:rPr>
                <w:rFonts w:ascii="微软雅黑" w:eastAsia="微软雅黑" w:hint="eastAsia"/>
                <w:b/>
                <w:sz w:val="21"/>
              </w:rPr>
            </w:pPr>
            <w:r>
              <w:rPr>
                <w:rFonts w:ascii="微软雅黑" w:eastAsia="微软雅黑" w:hint="eastAsia"/>
                <w:b/>
                <w:sz w:val="21"/>
              </w:rPr>
              <w:t>植物人状态</w:t>
            </w:r>
          </w:p>
        </w:tc>
        <w:tc>
          <w:tcPr>
            <w:tcW w:w="7075" w:type="dxa"/>
          </w:tcPr>
          <w:p>
            <w:pPr>
              <w:pStyle w:val="TableParagraph"/>
              <w:spacing w:line="273" w:lineRule="auto" w:before="72"/>
              <w:ind w:left="158" w:right="193"/>
              <w:rPr>
                <w:sz w:val="21"/>
              </w:rPr>
            </w:pPr>
            <w:r>
              <w:rPr>
                <w:sz w:val="21"/>
              </w:rPr>
              <w:t>指因脑皮质广泛性坏死导致对自身及周边的认知能力完全丧失,但脑干功能依然存在，须经专科医生明确诊断,且由头颅断层扫描（CT），核磁共振检查（MRI）或正电子发射断层扫描（PET）等影像学检查证实，这种状态持续至少 30 日。</w:t>
            </w:r>
          </w:p>
          <w:p>
            <w:pPr>
              <w:pStyle w:val="TableParagraph"/>
              <w:spacing w:line="311" w:lineRule="exact"/>
              <w:ind w:left="158"/>
              <w:rPr>
                <w:rFonts w:ascii="Microsoft JhengHei" w:eastAsia="Microsoft JhengHei" w:hint="eastAsia"/>
                <w:b/>
                <w:sz w:val="22"/>
              </w:rPr>
            </w:pPr>
            <w:r>
              <w:rPr>
                <w:rFonts w:ascii="Microsoft JhengHei" w:eastAsia="Microsoft JhengHei" w:hint="eastAsia"/>
                <w:b/>
                <w:sz w:val="22"/>
                <w:shd w:fill="D9D9D9" w:color="auto" w:val="clear"/>
              </w:rPr>
              <w:t>因酗酒或滥用药物所致的植物人状态不在保障范围内。</w:t>
            </w:r>
          </w:p>
        </w:tc>
      </w:tr>
      <w:tr>
        <w:trPr>
          <w:trHeight w:val="2841" w:hRule="atLeast"/>
        </w:trPr>
        <w:tc>
          <w:tcPr>
            <w:tcW w:w="1035" w:type="dxa"/>
          </w:tcPr>
          <w:p>
            <w:pPr>
              <w:pStyle w:val="TableParagraph"/>
              <w:spacing w:before="7"/>
              <w:ind w:left="200"/>
              <w:rPr>
                <w:rFonts w:ascii="微软雅黑"/>
                <w:b/>
                <w:sz w:val="21"/>
              </w:rPr>
            </w:pPr>
            <w:r>
              <w:rPr>
                <w:rFonts w:ascii="微软雅黑"/>
                <w:b/>
                <w:sz w:val="21"/>
              </w:rPr>
              <w:t>7.2.30</w:t>
            </w:r>
          </w:p>
        </w:tc>
        <w:tc>
          <w:tcPr>
            <w:tcW w:w="2048" w:type="dxa"/>
          </w:tcPr>
          <w:p>
            <w:pPr>
              <w:pStyle w:val="TableParagraph"/>
              <w:spacing w:line="206" w:lineRule="auto" w:before="58"/>
              <w:ind w:left="199" w:right="156"/>
              <w:rPr>
                <w:rFonts w:ascii="微软雅黑" w:eastAsia="微软雅黑" w:hint="eastAsia"/>
                <w:b/>
                <w:sz w:val="21"/>
              </w:rPr>
            </w:pPr>
            <w:r>
              <w:rPr>
                <w:rFonts w:ascii="微软雅黑" w:eastAsia="微软雅黑" w:hint="eastAsia"/>
                <w:b/>
                <w:sz w:val="21"/>
              </w:rPr>
              <w:t>系统性红斑狼疮性肾炎</w:t>
            </w:r>
          </w:p>
        </w:tc>
        <w:tc>
          <w:tcPr>
            <w:tcW w:w="7075" w:type="dxa"/>
          </w:tcPr>
          <w:p>
            <w:pPr>
              <w:pStyle w:val="TableParagraph"/>
              <w:spacing w:line="273" w:lineRule="auto" w:before="70"/>
              <w:ind w:left="158" w:right="198"/>
              <w:jc w:val="both"/>
              <w:rPr>
                <w:sz w:val="21"/>
              </w:rPr>
            </w:pPr>
            <w:r>
              <w:rPr>
                <w:spacing w:val="-5"/>
                <w:sz w:val="21"/>
              </w:rPr>
              <w:t>指系统性红斑狼疮累及肾脏导致的功能损害，经肾脏活检，病理结果符合世界卫生组织</w:t>
            </w:r>
            <w:r>
              <w:rPr>
                <w:sz w:val="21"/>
              </w:rPr>
              <w:t>（WHO）</w:t>
            </w:r>
            <w:r>
              <w:rPr>
                <w:spacing w:val="-8"/>
                <w:sz w:val="21"/>
              </w:rPr>
              <w:t>诊断标准定义中的 </w:t>
            </w:r>
            <w:r>
              <w:rPr>
                <w:sz w:val="21"/>
              </w:rPr>
              <w:t>III</w:t>
            </w:r>
            <w:r>
              <w:rPr>
                <w:spacing w:val="-26"/>
                <w:sz w:val="21"/>
              </w:rPr>
              <w:t> 型至 </w:t>
            </w:r>
            <w:r>
              <w:rPr>
                <w:sz w:val="21"/>
              </w:rPr>
              <w:t>VI</w:t>
            </w:r>
            <w:r>
              <w:rPr>
                <w:spacing w:val="-9"/>
                <w:sz w:val="21"/>
              </w:rPr>
              <w:t> 型的狼疮性肾炎，血肌酐清除率持续每分钟 </w:t>
            </w:r>
            <w:r>
              <w:rPr>
                <w:sz w:val="21"/>
              </w:rPr>
              <w:t>30ml。</w:t>
            </w:r>
          </w:p>
          <w:p>
            <w:pPr>
              <w:pStyle w:val="TableParagraph"/>
              <w:spacing w:before="8"/>
              <w:ind w:left="158"/>
              <w:jc w:val="both"/>
              <w:rPr>
                <w:sz w:val="21"/>
              </w:rPr>
            </w:pPr>
            <w:r>
              <w:rPr>
                <w:sz w:val="21"/>
              </w:rPr>
              <w:t>世界卫生组织（WHO）狼疮性肾炎分型：</w:t>
            </w:r>
          </w:p>
          <w:p>
            <w:pPr>
              <w:pStyle w:val="TableParagraph"/>
              <w:numPr>
                <w:ilvl w:val="0"/>
                <w:numId w:val="14"/>
              </w:numPr>
              <w:tabs>
                <w:tab w:pos="318" w:val="left" w:leader="none"/>
              </w:tabs>
              <w:spacing w:line="240" w:lineRule="auto" w:before="37" w:after="0"/>
              <w:ind w:left="317" w:right="0" w:hanging="159"/>
              <w:jc w:val="both"/>
              <w:rPr>
                <w:sz w:val="21"/>
              </w:rPr>
            </w:pPr>
            <w:r>
              <w:rPr>
                <w:spacing w:val="-3"/>
                <w:sz w:val="21"/>
              </w:rPr>
              <w:t>型：微小病变型</w:t>
            </w:r>
          </w:p>
          <w:p>
            <w:pPr>
              <w:pStyle w:val="TableParagraph"/>
              <w:numPr>
                <w:ilvl w:val="0"/>
                <w:numId w:val="14"/>
              </w:numPr>
              <w:tabs>
                <w:tab w:pos="423" w:val="left" w:leader="none"/>
              </w:tabs>
              <w:spacing w:line="240" w:lineRule="auto" w:before="37" w:after="0"/>
              <w:ind w:left="422" w:right="0" w:hanging="264"/>
              <w:jc w:val="both"/>
              <w:rPr>
                <w:sz w:val="21"/>
              </w:rPr>
            </w:pPr>
            <w:r>
              <w:rPr>
                <w:spacing w:val="-3"/>
                <w:sz w:val="21"/>
              </w:rPr>
              <w:t>型：系膜增殖性狼疮性肾炎</w:t>
            </w:r>
          </w:p>
          <w:p>
            <w:pPr>
              <w:pStyle w:val="TableParagraph"/>
              <w:numPr>
                <w:ilvl w:val="0"/>
                <w:numId w:val="14"/>
              </w:numPr>
              <w:tabs>
                <w:tab w:pos="529" w:val="left" w:leader="none"/>
              </w:tabs>
              <w:spacing w:line="240" w:lineRule="auto" w:before="37" w:after="0"/>
              <w:ind w:left="528" w:right="0" w:hanging="370"/>
              <w:jc w:val="both"/>
              <w:rPr>
                <w:sz w:val="21"/>
              </w:rPr>
            </w:pPr>
            <w:r>
              <w:rPr>
                <w:spacing w:val="-3"/>
                <w:sz w:val="21"/>
              </w:rPr>
              <w:t>型：局灶节段增殖性狼疮性肾炎</w:t>
            </w:r>
          </w:p>
          <w:p>
            <w:pPr>
              <w:pStyle w:val="TableParagraph"/>
              <w:numPr>
                <w:ilvl w:val="0"/>
                <w:numId w:val="14"/>
              </w:numPr>
              <w:tabs>
                <w:tab w:pos="423" w:val="left" w:leader="none"/>
              </w:tabs>
              <w:spacing w:line="240" w:lineRule="auto" w:before="36" w:after="0"/>
              <w:ind w:left="422" w:right="0" w:hanging="264"/>
              <w:jc w:val="both"/>
              <w:rPr>
                <w:sz w:val="21"/>
              </w:rPr>
            </w:pPr>
            <w:r>
              <w:rPr>
                <w:spacing w:val="-3"/>
                <w:sz w:val="21"/>
              </w:rPr>
              <w:t>型：弥漫增殖性狼疮性肾炎</w:t>
            </w:r>
          </w:p>
          <w:p>
            <w:pPr>
              <w:pStyle w:val="TableParagraph"/>
              <w:numPr>
                <w:ilvl w:val="0"/>
                <w:numId w:val="14"/>
              </w:numPr>
              <w:tabs>
                <w:tab w:pos="318" w:val="left" w:leader="none"/>
              </w:tabs>
              <w:spacing w:line="255" w:lineRule="exact" w:before="36" w:after="0"/>
              <w:ind w:left="317" w:right="0" w:hanging="159"/>
              <w:jc w:val="both"/>
              <w:rPr>
                <w:sz w:val="21"/>
              </w:rPr>
            </w:pPr>
            <w:r>
              <w:rPr>
                <w:spacing w:val="-3"/>
                <w:sz w:val="21"/>
              </w:rPr>
              <w:t>型：膜性狼疮性肾炎</w:t>
            </w:r>
          </w:p>
        </w:tc>
      </w:tr>
    </w:tbl>
    <w:p>
      <w:pPr>
        <w:spacing w:after="0" w:line="255" w:lineRule="exact"/>
        <w:jc w:val="both"/>
        <w:rPr>
          <w:sz w:val="21"/>
        </w:rPr>
        <w:sectPr>
          <w:footerReference w:type="default" r:id="rId12"/>
          <w:pgSz w:w="11910" w:h="16840"/>
          <w:pgMar w:footer="664" w:header="567" w:top="1000" w:bottom="860" w:left="820" w:right="700"/>
          <w:pgNumType w:start="2"/>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39"/>
        <w:gridCol w:w="7188"/>
      </w:tblGrid>
      <w:tr>
        <w:trPr>
          <w:trHeight w:val="347" w:hRule="atLeast"/>
        </w:trPr>
        <w:tc>
          <w:tcPr>
            <w:tcW w:w="1035" w:type="dxa"/>
          </w:tcPr>
          <w:p>
            <w:pPr>
              <w:pStyle w:val="TableParagraph"/>
              <w:rPr>
                <w:rFonts w:ascii="Times New Roman"/>
                <w:sz w:val="20"/>
              </w:rPr>
            </w:pPr>
          </w:p>
        </w:tc>
        <w:tc>
          <w:tcPr>
            <w:tcW w:w="2039" w:type="dxa"/>
          </w:tcPr>
          <w:p>
            <w:pPr>
              <w:pStyle w:val="TableParagraph"/>
              <w:rPr>
                <w:rFonts w:ascii="Times New Roman"/>
                <w:sz w:val="20"/>
              </w:rPr>
            </w:pPr>
          </w:p>
        </w:tc>
        <w:tc>
          <w:tcPr>
            <w:tcW w:w="7188" w:type="dxa"/>
          </w:tcPr>
          <w:p>
            <w:pPr>
              <w:pStyle w:val="TableParagraph"/>
              <w:spacing w:line="211" w:lineRule="exact"/>
              <w:ind w:left="167"/>
              <w:rPr>
                <w:sz w:val="21"/>
              </w:rPr>
            </w:pPr>
            <w:r>
              <w:rPr>
                <w:sz w:val="21"/>
              </w:rPr>
              <w:t>VI 型：肾小球硬化性狼疮性肾炎</w:t>
            </w:r>
          </w:p>
        </w:tc>
      </w:tr>
      <w:tr>
        <w:trPr>
          <w:trHeight w:val="2977" w:hRule="atLeast"/>
        </w:trPr>
        <w:tc>
          <w:tcPr>
            <w:tcW w:w="1035" w:type="dxa"/>
          </w:tcPr>
          <w:p>
            <w:pPr>
              <w:pStyle w:val="TableParagraph"/>
              <w:spacing w:before="9"/>
              <w:ind w:left="200"/>
              <w:rPr>
                <w:rFonts w:ascii="微软雅黑"/>
                <w:b/>
                <w:sz w:val="21"/>
              </w:rPr>
            </w:pPr>
            <w:r>
              <w:rPr>
                <w:rFonts w:ascii="微软雅黑"/>
                <w:b/>
                <w:sz w:val="21"/>
              </w:rPr>
              <w:t>7.2.31</w:t>
            </w:r>
          </w:p>
        </w:tc>
        <w:tc>
          <w:tcPr>
            <w:tcW w:w="2039" w:type="dxa"/>
          </w:tcPr>
          <w:p>
            <w:pPr>
              <w:pStyle w:val="TableParagraph"/>
              <w:spacing w:line="206" w:lineRule="auto" w:before="60"/>
              <w:ind w:left="199" w:right="147"/>
              <w:rPr>
                <w:rFonts w:ascii="微软雅黑" w:eastAsia="微软雅黑" w:hint="eastAsia"/>
                <w:b/>
                <w:sz w:val="21"/>
              </w:rPr>
            </w:pPr>
            <w:r>
              <w:rPr>
                <w:rFonts w:ascii="微软雅黑" w:eastAsia="微软雅黑" w:hint="eastAsia"/>
                <w:b/>
                <w:sz w:val="21"/>
              </w:rPr>
              <w:t>严重类风湿性关节炎</w:t>
            </w:r>
          </w:p>
        </w:tc>
        <w:tc>
          <w:tcPr>
            <w:tcW w:w="7188" w:type="dxa"/>
          </w:tcPr>
          <w:p>
            <w:pPr>
              <w:pStyle w:val="TableParagraph"/>
              <w:spacing w:line="273" w:lineRule="auto" w:before="72"/>
              <w:ind w:left="167" w:right="277"/>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7"/>
              <w:ind w:left="167" w:right="294"/>
              <w:rPr>
                <w:sz w:val="21"/>
              </w:rPr>
            </w:pPr>
            <w:r>
              <w:rPr>
                <w:sz w:val="21"/>
              </w:rPr>
              <w:t>（1）至少包括下列关节中的三组或以上有广泛受损和畸形改变：双手指关节、双腕关节、双肘关节、双膝关节、双髋关节、双踝关节、脊椎或双脚趾关节；</w:t>
            </w:r>
          </w:p>
          <w:p>
            <w:pPr>
              <w:pStyle w:val="TableParagraph"/>
              <w:spacing w:line="254" w:lineRule="exact" w:before="7"/>
              <w:ind w:left="167"/>
              <w:rPr>
                <w:sz w:val="21"/>
              </w:rPr>
            </w:pPr>
            <w:r>
              <w:rPr>
                <w:sz w:val="21"/>
              </w:rPr>
              <w:t>（2）X 线检查可见类风湿性关节炎的典型变化；</w:t>
            </w:r>
          </w:p>
          <w:p>
            <w:pPr>
              <w:pStyle w:val="TableParagraph"/>
              <w:spacing w:line="335" w:lineRule="exact"/>
              <w:ind w:left="167"/>
              <w:rPr>
                <w:rFonts w:ascii="Microsoft JhengHei" w:eastAsia="Microsoft JhengHei" w:hint="eastAsia"/>
                <w:b/>
                <w:sz w:val="22"/>
              </w:rPr>
            </w:pPr>
            <w:r>
              <w:rPr>
                <w:sz w:val="21"/>
              </w:rPr>
              <w:t>（3）</w:t>
            </w:r>
            <w:r>
              <w:rPr>
                <w:rFonts w:ascii="Microsoft JhengHei" w:eastAsia="Microsoft JhengHei" w:hint="eastAsia"/>
                <w:b/>
                <w:sz w:val="22"/>
                <w:shd w:fill="D9D9D9" w:color="auto" w:val="clear"/>
              </w:rPr>
              <w:t>关节的畸形改变至少持续 180 天；</w:t>
            </w:r>
          </w:p>
          <w:p>
            <w:pPr>
              <w:pStyle w:val="TableParagraph"/>
              <w:spacing w:line="312" w:lineRule="exact" w:before="31"/>
              <w:ind w:left="150" w:right="395" w:firstLine="12"/>
              <w:rPr>
                <w:sz w:val="21"/>
              </w:rPr>
            </w:pPr>
            <w:r>
              <w:rPr>
                <w:sz w:val="21"/>
              </w:rPr>
              <w:t>（4）自主生活能力完全丧失，无法独立完成</w:t>
            </w:r>
            <w:r>
              <w:rPr>
                <w:rFonts w:ascii="微软雅黑" w:eastAsia="微软雅黑" w:hint="eastAsia"/>
                <w:b/>
                <w:sz w:val="21"/>
              </w:rPr>
              <w:t>六项基本日常生活活动</w:t>
            </w:r>
            <w:r>
              <w:rPr>
                <w:sz w:val="21"/>
              </w:rPr>
              <w:t>中的三项或三项以上，至少持续 180 天。</w:t>
            </w:r>
          </w:p>
        </w:tc>
      </w:tr>
      <w:tr>
        <w:trPr>
          <w:trHeight w:val="2041" w:hRule="atLeast"/>
        </w:trPr>
        <w:tc>
          <w:tcPr>
            <w:tcW w:w="1035" w:type="dxa"/>
          </w:tcPr>
          <w:p>
            <w:pPr>
              <w:pStyle w:val="TableParagraph"/>
              <w:spacing w:before="8"/>
              <w:ind w:left="200"/>
              <w:rPr>
                <w:rFonts w:ascii="微软雅黑"/>
                <w:b/>
                <w:sz w:val="21"/>
              </w:rPr>
            </w:pPr>
            <w:r>
              <w:rPr>
                <w:rFonts w:ascii="微软雅黑"/>
                <w:b/>
                <w:sz w:val="21"/>
              </w:rPr>
              <w:t>7.2.32</w:t>
            </w:r>
          </w:p>
        </w:tc>
        <w:tc>
          <w:tcPr>
            <w:tcW w:w="2039" w:type="dxa"/>
          </w:tcPr>
          <w:p>
            <w:pPr>
              <w:pStyle w:val="TableParagraph"/>
              <w:spacing w:before="8"/>
              <w:ind w:left="199"/>
              <w:rPr>
                <w:rFonts w:ascii="微软雅黑" w:eastAsia="微软雅黑" w:hint="eastAsia"/>
                <w:b/>
                <w:sz w:val="21"/>
              </w:rPr>
            </w:pPr>
            <w:r>
              <w:rPr>
                <w:rFonts w:ascii="微软雅黑" w:eastAsia="微软雅黑" w:hint="eastAsia"/>
                <w:b/>
                <w:sz w:val="21"/>
              </w:rPr>
              <w:t>坏死性筋膜炎</w:t>
            </w:r>
          </w:p>
        </w:tc>
        <w:tc>
          <w:tcPr>
            <w:tcW w:w="7188" w:type="dxa"/>
          </w:tcPr>
          <w:p>
            <w:pPr>
              <w:pStyle w:val="TableParagraph"/>
              <w:spacing w:line="273" w:lineRule="auto" w:before="70"/>
              <w:ind w:left="167" w:right="277"/>
              <w:rPr>
                <w:sz w:val="21"/>
              </w:rPr>
            </w:pPr>
            <w:r>
              <w:rPr>
                <w:sz w:val="21"/>
              </w:rPr>
              <w:t>指一种严重软组织混合性细菌感染，常于手术或皮肤损伤后发生。须满足下列全部条件：</w:t>
            </w:r>
          </w:p>
          <w:p>
            <w:pPr>
              <w:pStyle w:val="TableParagraph"/>
              <w:spacing w:before="7"/>
              <w:ind w:left="167"/>
              <w:rPr>
                <w:sz w:val="21"/>
              </w:rPr>
            </w:pPr>
            <w:r>
              <w:rPr>
                <w:sz w:val="21"/>
              </w:rPr>
              <w:t>（1）符合坏死性筋膜炎的一般临床表现；</w:t>
            </w:r>
          </w:p>
          <w:p>
            <w:pPr>
              <w:pStyle w:val="TableParagraph"/>
              <w:spacing w:before="36"/>
              <w:ind w:left="167"/>
              <w:rPr>
                <w:sz w:val="21"/>
              </w:rPr>
            </w:pPr>
            <w:r>
              <w:rPr>
                <w:sz w:val="21"/>
              </w:rPr>
              <w:t>（2）细菌培养检出致病菌；</w:t>
            </w:r>
          </w:p>
          <w:p>
            <w:pPr>
              <w:pStyle w:val="TableParagraph"/>
              <w:spacing w:line="273" w:lineRule="auto" w:before="36"/>
              <w:ind w:left="731" w:right="262" w:hanging="564"/>
              <w:rPr>
                <w:sz w:val="21"/>
              </w:rPr>
            </w:pPr>
            <w:r>
              <w:rPr>
                <w:sz w:val="21"/>
              </w:rPr>
              <w:t>（3） 出现广泛性肌肉及软组织坏死，并导致身体受影响部位完全丧失功能超过 180 日。</w:t>
            </w:r>
          </w:p>
        </w:tc>
      </w:tr>
      <w:tr>
        <w:trPr>
          <w:trHeight w:val="2354" w:hRule="atLeast"/>
        </w:trPr>
        <w:tc>
          <w:tcPr>
            <w:tcW w:w="1035" w:type="dxa"/>
          </w:tcPr>
          <w:p>
            <w:pPr>
              <w:pStyle w:val="TableParagraph"/>
              <w:spacing w:before="9"/>
              <w:ind w:left="200"/>
              <w:rPr>
                <w:rFonts w:ascii="微软雅黑"/>
                <w:b/>
                <w:sz w:val="21"/>
              </w:rPr>
            </w:pPr>
            <w:r>
              <w:rPr>
                <w:rFonts w:ascii="微软雅黑"/>
                <w:b/>
                <w:sz w:val="21"/>
              </w:rPr>
              <w:t>7.2.33</w:t>
            </w:r>
          </w:p>
        </w:tc>
        <w:tc>
          <w:tcPr>
            <w:tcW w:w="2039" w:type="dxa"/>
          </w:tcPr>
          <w:p>
            <w:pPr>
              <w:pStyle w:val="TableParagraph"/>
              <w:spacing w:before="9"/>
              <w:ind w:left="199"/>
              <w:rPr>
                <w:rFonts w:ascii="微软雅黑" w:eastAsia="微软雅黑" w:hint="eastAsia"/>
                <w:b/>
                <w:sz w:val="21"/>
              </w:rPr>
            </w:pPr>
            <w:r>
              <w:rPr>
                <w:rFonts w:ascii="微软雅黑" w:eastAsia="微软雅黑" w:hint="eastAsia"/>
                <w:b/>
                <w:sz w:val="21"/>
              </w:rPr>
              <w:t>重症肌无力</w:t>
            </w:r>
          </w:p>
        </w:tc>
        <w:tc>
          <w:tcPr>
            <w:tcW w:w="7188" w:type="dxa"/>
          </w:tcPr>
          <w:p>
            <w:pPr>
              <w:pStyle w:val="TableParagraph"/>
              <w:spacing w:line="273" w:lineRule="auto" w:before="72"/>
              <w:ind w:left="165" w:right="301" w:firstLine="2"/>
              <w:jc w:val="both"/>
              <w:rPr>
                <w:sz w:val="21"/>
              </w:rPr>
            </w:pPr>
            <w:r>
              <w:rPr>
                <w:spacing w:val="-4"/>
                <w:sz w:val="21"/>
              </w:rPr>
              <w:t>指一种神经与肌肉接头部位传递障碍的自身免疫性疾病，临床特征是局部</w:t>
            </w:r>
            <w:r>
              <w:rPr>
                <w:spacing w:val="-3"/>
                <w:sz w:val="21"/>
              </w:rPr>
              <w:t>或全身肌肉于活动时易于疲劳无力，须经专科医生明确诊断，并满足下列全部条件：</w:t>
            </w:r>
          </w:p>
          <w:p>
            <w:pPr>
              <w:pStyle w:val="TableParagraph"/>
              <w:spacing w:line="273" w:lineRule="auto" w:before="8"/>
              <w:ind w:left="165" w:right="397" w:firstLine="2"/>
              <w:jc w:val="both"/>
              <w:rPr>
                <w:sz w:val="21"/>
              </w:rPr>
            </w:pPr>
            <w:r>
              <w:rPr>
                <w:sz w:val="21"/>
              </w:rPr>
              <w:t>（1）经药物治疗或胸腺手术治疗一年以上无法控制病情，症状缓解、复发及恶化交替出现；</w:t>
            </w:r>
          </w:p>
          <w:p>
            <w:pPr>
              <w:pStyle w:val="TableParagraph"/>
              <w:spacing w:line="312" w:lineRule="exact" w:before="3"/>
              <w:ind w:left="165" w:right="393" w:firstLine="2"/>
              <w:jc w:val="both"/>
              <w:rPr>
                <w:sz w:val="21"/>
              </w:rPr>
            </w:pPr>
            <w:r>
              <w:rPr>
                <w:sz w:val="21"/>
              </w:rPr>
              <w:t>（2）自主生活能力完全丧失，无法独立完成</w:t>
            </w:r>
            <w:r>
              <w:rPr>
                <w:rFonts w:ascii="微软雅黑" w:eastAsia="微软雅黑" w:hint="eastAsia"/>
                <w:b/>
                <w:sz w:val="21"/>
              </w:rPr>
              <w:t>六项基本日常生活活动</w:t>
            </w:r>
            <w:r>
              <w:rPr>
                <w:sz w:val="21"/>
              </w:rPr>
              <w:t>中的三项或三项以上。</w:t>
            </w:r>
          </w:p>
        </w:tc>
      </w:tr>
      <w:tr>
        <w:trPr>
          <w:trHeight w:val="3290" w:hRule="atLeast"/>
        </w:trPr>
        <w:tc>
          <w:tcPr>
            <w:tcW w:w="1035" w:type="dxa"/>
          </w:tcPr>
          <w:p>
            <w:pPr>
              <w:pStyle w:val="TableParagraph"/>
              <w:spacing w:before="9"/>
              <w:ind w:left="200"/>
              <w:rPr>
                <w:rFonts w:ascii="微软雅黑"/>
                <w:b/>
                <w:sz w:val="21"/>
              </w:rPr>
            </w:pPr>
            <w:r>
              <w:rPr>
                <w:rFonts w:ascii="微软雅黑"/>
                <w:b/>
                <w:sz w:val="21"/>
              </w:rPr>
              <w:t>7.2.34</w:t>
            </w:r>
          </w:p>
        </w:tc>
        <w:tc>
          <w:tcPr>
            <w:tcW w:w="2039" w:type="dxa"/>
          </w:tcPr>
          <w:p>
            <w:pPr>
              <w:pStyle w:val="TableParagraph"/>
              <w:spacing w:line="206" w:lineRule="auto" w:before="60"/>
              <w:ind w:left="199" w:right="147"/>
              <w:rPr>
                <w:rFonts w:ascii="微软雅黑" w:eastAsia="微软雅黑" w:hint="eastAsia"/>
                <w:b/>
                <w:sz w:val="21"/>
              </w:rPr>
            </w:pPr>
            <w:r>
              <w:rPr>
                <w:rFonts w:ascii="微软雅黑" w:eastAsia="微软雅黑" w:hint="eastAsia"/>
                <w:b/>
                <w:sz w:val="21"/>
              </w:rPr>
              <w:t>经输血导致的人类免疫缺陷病毒感染</w:t>
            </w:r>
          </w:p>
          <w:p>
            <w:pPr>
              <w:pStyle w:val="TableParagraph"/>
              <w:spacing w:line="312" w:lineRule="exact"/>
              <w:ind w:left="199"/>
              <w:rPr>
                <w:rFonts w:ascii="微软雅黑" w:eastAsia="微软雅黑" w:hint="eastAsia"/>
                <w:b/>
                <w:sz w:val="21"/>
              </w:rPr>
            </w:pPr>
            <w:r>
              <w:rPr>
                <w:rFonts w:ascii="微软雅黑" w:eastAsia="微软雅黑" w:hint="eastAsia"/>
                <w:b/>
                <w:sz w:val="21"/>
              </w:rPr>
              <w:t>（HIV）</w:t>
            </w:r>
          </w:p>
        </w:tc>
        <w:tc>
          <w:tcPr>
            <w:tcW w:w="7188" w:type="dxa"/>
          </w:tcPr>
          <w:p>
            <w:pPr>
              <w:pStyle w:val="TableParagraph"/>
              <w:spacing w:before="72"/>
              <w:ind w:left="167"/>
              <w:rPr>
                <w:sz w:val="21"/>
              </w:rPr>
            </w:pPr>
            <w:r>
              <w:rPr>
                <w:sz w:val="21"/>
              </w:rPr>
              <w:t>保险人感染上人类免疫缺陷病毒（HIV）并且满足下列全部条件：</w:t>
            </w:r>
          </w:p>
          <w:p>
            <w:pPr>
              <w:pStyle w:val="TableParagraph"/>
              <w:spacing w:before="37"/>
              <w:ind w:left="167"/>
              <w:rPr>
                <w:sz w:val="21"/>
              </w:rPr>
            </w:pPr>
            <w:r>
              <w:rPr>
                <w:sz w:val="21"/>
              </w:rPr>
              <w:t>（1）在保障起始日或复效日之后，被保险人因输血而感染 HIV；</w:t>
            </w:r>
          </w:p>
          <w:p>
            <w:pPr>
              <w:pStyle w:val="TableParagraph"/>
              <w:spacing w:line="273" w:lineRule="auto" w:before="37"/>
              <w:ind w:left="165" w:right="397" w:firstLine="2"/>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67"/>
              <w:rPr>
                <w:sz w:val="21"/>
              </w:rPr>
            </w:pPr>
            <w:r>
              <w:rPr>
                <w:sz w:val="21"/>
              </w:rPr>
              <w:t>（3）受感染的被保险人不是血友病患者。</w:t>
            </w:r>
          </w:p>
          <w:p>
            <w:pPr>
              <w:pStyle w:val="TableParagraph"/>
              <w:spacing w:line="273" w:lineRule="auto" w:before="36"/>
              <w:ind w:left="165" w:right="304" w:firstLine="2"/>
              <w:rPr>
                <w:sz w:val="21"/>
              </w:rPr>
            </w:pPr>
            <w:r>
              <w:rPr>
                <w:spacing w:val="-4"/>
                <w:sz w:val="21"/>
              </w:rPr>
              <w:t>在任何治愈艾滋病</w:t>
            </w:r>
            <w:r>
              <w:rPr>
                <w:sz w:val="21"/>
              </w:rPr>
              <w:t>（AIDS）</w:t>
            </w:r>
            <w:r>
              <w:rPr>
                <w:spacing w:val="-12"/>
                <w:sz w:val="21"/>
              </w:rPr>
              <w:t>或阻止 </w:t>
            </w:r>
            <w:r>
              <w:rPr>
                <w:sz w:val="21"/>
              </w:rPr>
              <w:t>HIV</w:t>
            </w:r>
            <w:r>
              <w:rPr>
                <w:spacing w:val="-8"/>
                <w:sz w:val="21"/>
              </w:rPr>
              <w:t> 病毒作用的疗法被发现以后，或能</w:t>
            </w:r>
            <w:r>
              <w:rPr>
                <w:spacing w:val="-18"/>
                <w:sz w:val="21"/>
              </w:rPr>
              <w:t>防止 </w:t>
            </w:r>
            <w:r>
              <w:rPr>
                <w:sz w:val="21"/>
              </w:rPr>
              <w:t>AIDS</w:t>
            </w:r>
            <w:r>
              <w:rPr>
                <w:spacing w:val="-8"/>
                <w:sz w:val="21"/>
              </w:rPr>
              <w:t> 发生的医疗方法被研究出来以后，本保障将不再予以赔付。</w:t>
            </w:r>
          </w:p>
          <w:p>
            <w:pPr>
              <w:pStyle w:val="TableParagraph"/>
              <w:spacing w:line="276" w:lineRule="exact"/>
              <w:ind w:left="167"/>
              <w:rPr>
                <w:rFonts w:ascii="Microsoft JhengHei" w:eastAsia="Microsoft JhengHei" w:hint="eastAsia"/>
                <w:b/>
                <w:sz w:val="22"/>
              </w:rPr>
            </w:pPr>
            <w:r>
              <w:rPr>
                <w:rFonts w:ascii="Microsoft JhengHei" w:eastAsia="Microsoft JhengHei" w:hint="eastAsia"/>
                <w:b/>
                <w:w w:val="100"/>
                <w:sz w:val="22"/>
                <w:shd w:fill="D9D9D9" w:color="auto" w:val="clear"/>
              </w:rPr>
              <w:t>任何因其他传播方式（包括：性传播或静脉注射毒品）导致的</w:t>
            </w:r>
            <w:r>
              <w:rPr>
                <w:rFonts w:ascii="Microsoft JhengHei" w:eastAsia="Microsoft JhengHei" w:hint="eastAsia"/>
                <w:b/>
                <w:spacing w:val="0"/>
                <w:sz w:val="22"/>
                <w:shd w:fill="D9D9D9" w:color="auto" w:val="clear"/>
              </w:rPr>
              <w:t> </w:t>
            </w:r>
            <w:r>
              <w:rPr>
                <w:rFonts w:ascii="Microsoft JhengHei" w:eastAsia="Microsoft JhengHei" w:hint="eastAsia"/>
                <w:b/>
                <w:spacing w:val="1"/>
                <w:w w:val="63"/>
                <w:sz w:val="22"/>
                <w:shd w:fill="D9D9D9" w:color="auto" w:val="clear"/>
              </w:rPr>
              <w:t>H</w:t>
            </w:r>
            <w:r>
              <w:rPr>
                <w:rFonts w:ascii="Microsoft JhengHei" w:eastAsia="Microsoft JhengHei" w:hint="eastAsia"/>
                <w:b/>
                <w:w w:val="163"/>
                <w:sz w:val="22"/>
                <w:shd w:fill="D9D9D9" w:color="auto" w:val="clear"/>
              </w:rPr>
              <w:t>I</w:t>
            </w:r>
            <w:r>
              <w:rPr>
                <w:rFonts w:ascii="Microsoft JhengHei" w:eastAsia="Microsoft JhengHei" w:hint="eastAsia"/>
                <w:b/>
                <w:w w:val="72"/>
                <w:sz w:val="22"/>
                <w:shd w:fill="D9D9D9" w:color="auto" w:val="clear"/>
              </w:rPr>
              <w:t>V</w:t>
            </w:r>
            <w:r>
              <w:rPr>
                <w:rFonts w:ascii="Microsoft JhengHei" w:eastAsia="Microsoft JhengHei" w:hint="eastAsia"/>
                <w:b/>
                <w:sz w:val="22"/>
                <w:shd w:fill="D9D9D9" w:color="auto" w:val="clear"/>
              </w:rPr>
              <w:t> </w:t>
            </w:r>
            <w:r>
              <w:rPr>
                <w:rFonts w:ascii="Microsoft JhengHei" w:eastAsia="Microsoft JhengHei" w:hint="eastAsia"/>
                <w:b/>
                <w:w w:val="100"/>
                <w:sz w:val="22"/>
                <w:shd w:fill="D9D9D9" w:color="auto" w:val="clear"/>
              </w:rPr>
              <w:t>感</w:t>
            </w:r>
          </w:p>
          <w:p>
            <w:pPr>
              <w:pStyle w:val="TableParagraph"/>
              <w:spacing w:line="310" w:lineRule="exact" w:before="44"/>
              <w:ind w:left="167" w:right="361"/>
              <w:rPr>
                <w:sz w:val="21"/>
              </w:rPr>
            </w:pPr>
            <w:r>
              <w:rPr>
                <w:rFonts w:ascii="Microsoft JhengHei" w:eastAsia="Microsoft JhengHei" w:hint="eastAsia"/>
                <w:b/>
                <w:sz w:val="22"/>
                <w:shd w:fill="D9D9D9" w:color="auto" w:val="clear"/>
              </w:rPr>
              <w:t>染不在本保险单保障范围内。</w:t>
            </w:r>
            <w:r>
              <w:rPr>
                <w:sz w:val="21"/>
              </w:rPr>
              <w:t>保险公司必须拥有获得使用被保险人的所有血液样本的权利和能够对这些样本进行独立检验的权利。</w:t>
            </w:r>
          </w:p>
        </w:tc>
      </w:tr>
      <w:tr>
        <w:trPr>
          <w:trHeight w:val="2042" w:hRule="atLeast"/>
        </w:trPr>
        <w:tc>
          <w:tcPr>
            <w:tcW w:w="1035" w:type="dxa"/>
          </w:tcPr>
          <w:p>
            <w:pPr>
              <w:pStyle w:val="TableParagraph"/>
              <w:spacing w:before="9"/>
              <w:ind w:left="200"/>
              <w:rPr>
                <w:rFonts w:ascii="微软雅黑"/>
                <w:b/>
                <w:sz w:val="21"/>
              </w:rPr>
            </w:pPr>
            <w:r>
              <w:rPr>
                <w:rFonts w:ascii="微软雅黑"/>
                <w:b/>
                <w:sz w:val="21"/>
              </w:rPr>
              <w:t>7.2.35</w:t>
            </w:r>
          </w:p>
        </w:tc>
        <w:tc>
          <w:tcPr>
            <w:tcW w:w="2039" w:type="dxa"/>
          </w:tcPr>
          <w:p>
            <w:pPr>
              <w:pStyle w:val="TableParagraph"/>
              <w:spacing w:before="9"/>
              <w:ind w:left="199"/>
              <w:rPr>
                <w:rFonts w:ascii="微软雅黑" w:eastAsia="微软雅黑" w:hint="eastAsia"/>
                <w:b/>
                <w:sz w:val="21"/>
              </w:rPr>
            </w:pPr>
            <w:r>
              <w:rPr>
                <w:rFonts w:ascii="微软雅黑" w:eastAsia="微软雅黑" w:hint="eastAsia"/>
                <w:b/>
                <w:sz w:val="21"/>
              </w:rPr>
              <w:t>肌营养不良</w:t>
            </w:r>
          </w:p>
        </w:tc>
        <w:tc>
          <w:tcPr>
            <w:tcW w:w="7188" w:type="dxa"/>
          </w:tcPr>
          <w:p>
            <w:pPr>
              <w:pStyle w:val="TableParagraph"/>
              <w:spacing w:line="273" w:lineRule="auto" w:before="72"/>
              <w:ind w:left="167" w:right="260"/>
              <w:rPr>
                <w:sz w:val="21"/>
              </w:rPr>
            </w:pPr>
            <w:r>
              <w:rPr>
                <w:sz w:val="21"/>
              </w:rPr>
              <w:t>指一组原发于肌肉的遗传性疾病，临床表现为与神经系统无关的肌肉无力和肌肉萎缩。须满足下列全部条件：</w:t>
            </w:r>
          </w:p>
          <w:p>
            <w:pPr>
              <w:pStyle w:val="TableParagraph"/>
              <w:spacing w:line="273" w:lineRule="auto" w:before="8"/>
              <w:ind w:left="167" w:right="397"/>
              <w:rPr>
                <w:sz w:val="21"/>
              </w:rPr>
            </w:pPr>
            <w:r>
              <w:rPr>
                <w:sz w:val="21"/>
              </w:rPr>
              <w:t>（1）肌肉组织活检结果满足肌营养不良症的肌肉细胞变性、坏死等阳性改变；</w:t>
            </w:r>
          </w:p>
          <w:p>
            <w:pPr>
              <w:pStyle w:val="TableParagraph"/>
              <w:spacing w:line="312" w:lineRule="exact" w:before="3"/>
              <w:ind w:left="167" w:right="393"/>
              <w:rPr>
                <w:sz w:val="21"/>
              </w:rPr>
            </w:pPr>
            <w:r>
              <w:rPr>
                <w:sz w:val="21"/>
              </w:rPr>
              <w:t>（2）自主生活能力完全丧失，无法独立完成</w:t>
            </w:r>
            <w:r>
              <w:rPr>
                <w:rFonts w:ascii="微软雅黑" w:eastAsia="微软雅黑" w:hint="eastAsia"/>
                <w:b/>
                <w:sz w:val="21"/>
              </w:rPr>
              <w:t>六项基本日常生活活动</w:t>
            </w:r>
            <w:r>
              <w:rPr>
                <w:sz w:val="21"/>
              </w:rPr>
              <w:t>中的三项或三项以上。</w:t>
            </w:r>
          </w:p>
        </w:tc>
      </w:tr>
      <w:tr>
        <w:trPr>
          <w:trHeight w:val="970" w:hRule="atLeast"/>
        </w:trPr>
        <w:tc>
          <w:tcPr>
            <w:tcW w:w="1035" w:type="dxa"/>
          </w:tcPr>
          <w:p>
            <w:pPr>
              <w:pStyle w:val="TableParagraph"/>
              <w:spacing w:before="9"/>
              <w:ind w:left="200"/>
              <w:rPr>
                <w:rFonts w:ascii="微软雅黑"/>
                <w:b/>
                <w:sz w:val="21"/>
              </w:rPr>
            </w:pPr>
            <w:r>
              <w:rPr>
                <w:rFonts w:ascii="微软雅黑"/>
                <w:b/>
                <w:sz w:val="21"/>
              </w:rPr>
              <w:t>7.2.36</w:t>
            </w:r>
          </w:p>
        </w:tc>
        <w:tc>
          <w:tcPr>
            <w:tcW w:w="2039" w:type="dxa"/>
          </w:tcPr>
          <w:p>
            <w:pPr>
              <w:pStyle w:val="TableParagraph"/>
              <w:spacing w:before="9"/>
              <w:ind w:left="199"/>
              <w:rPr>
                <w:rFonts w:ascii="微软雅黑" w:eastAsia="微软雅黑" w:hint="eastAsia"/>
                <w:b/>
                <w:sz w:val="21"/>
              </w:rPr>
            </w:pPr>
            <w:r>
              <w:rPr>
                <w:rFonts w:ascii="微软雅黑" w:eastAsia="微软雅黑" w:hint="eastAsia"/>
                <w:b/>
                <w:sz w:val="21"/>
              </w:rPr>
              <w:t>严重脊髓灰质炎</w:t>
            </w:r>
          </w:p>
        </w:tc>
        <w:tc>
          <w:tcPr>
            <w:tcW w:w="7188" w:type="dxa"/>
          </w:tcPr>
          <w:p>
            <w:pPr>
              <w:pStyle w:val="TableParagraph"/>
              <w:spacing w:line="310" w:lineRule="atLeast" w:before="36"/>
              <w:ind w:left="167" w:right="196"/>
              <w:jc w:val="both"/>
              <w:rPr>
                <w:sz w:val="21"/>
              </w:rPr>
            </w:pPr>
            <w:r>
              <w:rPr>
                <w:spacing w:val="1"/>
                <w:sz w:val="21"/>
              </w:rPr>
              <w:t>由脊髓灰质炎病毒感染所导致的运动功能障碍或呼吸功能减弱持续三个</w:t>
            </w:r>
            <w:r>
              <w:rPr>
                <w:spacing w:val="-4"/>
                <w:sz w:val="21"/>
              </w:rPr>
              <w:t>月以上，须导致一肢或一肢以上肢体机能永久完全丧失。肢体机能永久完</w:t>
            </w:r>
            <w:r>
              <w:rPr>
                <w:spacing w:val="-13"/>
                <w:sz w:val="21"/>
              </w:rPr>
              <w:t>全丧失，指疾病确诊 </w:t>
            </w:r>
            <w:r>
              <w:rPr>
                <w:sz w:val="21"/>
              </w:rPr>
              <w:t>180</w:t>
            </w:r>
            <w:r>
              <w:rPr>
                <w:spacing w:val="-12"/>
                <w:sz w:val="21"/>
              </w:rPr>
              <w:t> 天后，每肢三大关节中的两大关节仍然完全僵硬，</w:t>
            </w:r>
          </w:p>
        </w:tc>
      </w:tr>
    </w:tbl>
    <w:p>
      <w:pPr>
        <w:spacing w:after="0" w:line="310" w:lineRule="atLeast"/>
        <w:jc w:val="both"/>
        <w:rPr>
          <w:sz w:val="21"/>
        </w:rPr>
        <w:sectPr>
          <w:pgSz w:w="11910" w:h="16840"/>
          <w:pgMar w:header="567" w:footer="664" w:top="1000" w:bottom="860" w:left="820" w:right="600"/>
        </w:sectPr>
      </w:pPr>
    </w:p>
    <w:p>
      <w:pPr>
        <w:pStyle w:val="BodyText"/>
        <w:rPr>
          <w:rFonts w:ascii="Times New Roman"/>
          <w:sz w:val="20"/>
        </w:rPr>
      </w:pPr>
      <w:r>
        <w:rPr/>
        <w:pict>
          <v:line style="position:absolute;mso-position-horizontal-relative:page;mso-position-vertical-relative:page;z-index:-39640" from="56.880001pt,166.339981pt" to="56.880001pt,182.059981pt" stroked="true" strokeweight=".48pt" strokecolor="#ffffff">
            <v:stroke dashstyle="solid"/>
            <w10:wrap type="none"/>
          </v:line>
        </w:pict>
      </w:r>
    </w:p>
    <w:p>
      <w:pPr>
        <w:pStyle w:val="BodyText"/>
        <w:spacing w:before="6"/>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2103"/>
        <w:gridCol w:w="6989"/>
      </w:tblGrid>
      <w:tr>
        <w:trPr>
          <w:trHeight w:val="347" w:hRule="atLeast"/>
        </w:trPr>
        <w:tc>
          <w:tcPr>
            <w:tcW w:w="947" w:type="dxa"/>
          </w:tcPr>
          <w:p>
            <w:pPr>
              <w:pStyle w:val="TableParagraph"/>
              <w:rPr>
                <w:rFonts w:ascii="Times New Roman"/>
                <w:sz w:val="20"/>
              </w:rPr>
            </w:pPr>
          </w:p>
        </w:tc>
        <w:tc>
          <w:tcPr>
            <w:tcW w:w="2103" w:type="dxa"/>
          </w:tcPr>
          <w:p>
            <w:pPr>
              <w:pStyle w:val="TableParagraph"/>
              <w:rPr>
                <w:rFonts w:ascii="Times New Roman"/>
                <w:sz w:val="20"/>
              </w:rPr>
            </w:pPr>
          </w:p>
        </w:tc>
        <w:tc>
          <w:tcPr>
            <w:tcW w:w="6989" w:type="dxa"/>
          </w:tcPr>
          <w:p>
            <w:pPr>
              <w:pStyle w:val="TableParagraph"/>
              <w:spacing w:line="211" w:lineRule="exact"/>
              <w:ind w:left="101"/>
              <w:rPr>
                <w:sz w:val="21"/>
              </w:rPr>
            </w:pPr>
            <w:r>
              <w:rPr>
                <w:sz w:val="21"/>
              </w:rPr>
              <w:t>或不能随意识活动。</w:t>
            </w:r>
          </w:p>
        </w:tc>
      </w:tr>
      <w:tr>
        <w:trPr>
          <w:trHeight w:val="1417" w:hRule="atLeast"/>
        </w:trPr>
        <w:tc>
          <w:tcPr>
            <w:tcW w:w="947" w:type="dxa"/>
          </w:tcPr>
          <w:p>
            <w:pPr>
              <w:pStyle w:val="TableParagraph"/>
              <w:spacing w:before="9"/>
              <w:ind w:left="109"/>
              <w:rPr>
                <w:rFonts w:ascii="微软雅黑"/>
                <w:b/>
                <w:sz w:val="21"/>
              </w:rPr>
            </w:pPr>
            <w:r>
              <w:rPr>
                <w:rFonts w:ascii="微软雅黑"/>
                <w:b/>
                <w:sz w:val="21"/>
              </w:rPr>
              <w:t>7.2.37</w:t>
            </w:r>
          </w:p>
        </w:tc>
        <w:tc>
          <w:tcPr>
            <w:tcW w:w="2103" w:type="dxa"/>
          </w:tcPr>
          <w:p>
            <w:pPr>
              <w:pStyle w:val="TableParagraph"/>
              <w:spacing w:before="9"/>
              <w:ind w:left="197"/>
              <w:rPr>
                <w:rFonts w:ascii="微软雅黑" w:eastAsia="微软雅黑" w:hint="eastAsia"/>
                <w:b/>
                <w:sz w:val="21"/>
              </w:rPr>
            </w:pPr>
            <w:r>
              <w:rPr>
                <w:rFonts w:ascii="微软雅黑" w:eastAsia="微软雅黑" w:hint="eastAsia"/>
                <w:b/>
                <w:sz w:val="21"/>
              </w:rPr>
              <w:t>严重克隆病</w:t>
            </w:r>
          </w:p>
        </w:tc>
        <w:tc>
          <w:tcPr>
            <w:tcW w:w="6989" w:type="dxa"/>
          </w:tcPr>
          <w:p>
            <w:pPr>
              <w:pStyle w:val="TableParagraph"/>
              <w:spacing w:line="273" w:lineRule="auto" w:before="72"/>
              <w:ind w:left="101" w:right="144"/>
              <w:rPr>
                <w:sz w:val="21"/>
              </w:rPr>
            </w:pPr>
            <w:r>
              <w:rPr>
                <w:sz w:val="21"/>
              </w:rPr>
              <w:t>指一种胃肠道慢性炎性肉芽肿性疾病，须经专科医师明确诊断，且必须满足下列所有条件：</w:t>
            </w:r>
          </w:p>
          <w:p>
            <w:pPr>
              <w:pStyle w:val="TableParagraph"/>
              <w:spacing w:before="7"/>
              <w:ind w:left="101"/>
              <w:rPr>
                <w:sz w:val="21"/>
              </w:rPr>
            </w:pPr>
            <w:r>
              <w:rPr>
                <w:sz w:val="21"/>
              </w:rPr>
              <w:t>（1）已经造成瘘管并伴有肠梗阻或肠穿孔；</w:t>
            </w:r>
          </w:p>
          <w:p>
            <w:pPr>
              <w:pStyle w:val="TableParagraph"/>
              <w:spacing w:before="36"/>
              <w:ind w:left="101"/>
              <w:rPr>
                <w:sz w:val="21"/>
              </w:rPr>
            </w:pPr>
            <w:r>
              <w:rPr>
                <w:sz w:val="21"/>
              </w:rPr>
              <w:t>（2）有结肠镜检查和组织病理学检查作为诊断依据。</w:t>
            </w:r>
          </w:p>
        </w:tc>
      </w:tr>
      <w:tr>
        <w:trPr>
          <w:trHeight w:val="1417" w:hRule="atLeast"/>
        </w:trPr>
        <w:tc>
          <w:tcPr>
            <w:tcW w:w="947" w:type="dxa"/>
          </w:tcPr>
          <w:p>
            <w:pPr>
              <w:pStyle w:val="TableParagraph"/>
              <w:spacing w:before="20"/>
              <w:ind w:left="114"/>
              <w:rPr>
                <w:rFonts w:ascii="微软雅黑"/>
                <w:b/>
                <w:sz w:val="21"/>
              </w:rPr>
            </w:pPr>
            <w:r>
              <w:rPr>
                <w:rFonts w:ascii="微软雅黑"/>
                <w:b/>
                <w:sz w:val="21"/>
              </w:rPr>
              <w:t>7.2.38</w:t>
            </w:r>
          </w:p>
        </w:tc>
        <w:tc>
          <w:tcPr>
            <w:tcW w:w="2103" w:type="dxa"/>
          </w:tcPr>
          <w:p>
            <w:pPr>
              <w:pStyle w:val="TableParagraph"/>
              <w:spacing w:before="8"/>
              <w:ind w:left="197"/>
              <w:rPr>
                <w:rFonts w:ascii="微软雅黑" w:eastAsia="微软雅黑" w:hint="eastAsia"/>
                <w:b/>
                <w:sz w:val="21"/>
              </w:rPr>
            </w:pPr>
            <w:r>
              <w:rPr>
                <w:rFonts w:ascii="微软雅黑" w:eastAsia="微软雅黑" w:hint="eastAsia"/>
                <w:b/>
                <w:sz w:val="21"/>
              </w:rPr>
              <w:t>严重溃疡性结肠炎</w:t>
            </w:r>
          </w:p>
        </w:tc>
        <w:tc>
          <w:tcPr>
            <w:tcW w:w="6989" w:type="dxa"/>
          </w:tcPr>
          <w:p>
            <w:pPr>
              <w:pStyle w:val="TableParagraph"/>
              <w:spacing w:line="273" w:lineRule="auto" w:before="70"/>
              <w:ind w:left="101" w:right="159"/>
              <w:jc w:val="both"/>
              <w:rPr>
                <w:sz w:val="21"/>
              </w:rPr>
            </w:pPr>
            <w:r>
              <w:rPr>
                <w:sz w:val="21"/>
              </w:rPr>
              <w:t>指伴有致命性电解质紊乱的急性暴发性溃疡性结肠炎，病变累及全结肠， 表现为严重的血便和系统性症状体征，治疗通常采取全结肠切除和回肠造瘘术。溃疡性结肠炎必须根据组织病理学特点诊断，并且被保险人已经接受了全结肠切除和回肠造瘘术。</w:t>
            </w:r>
          </w:p>
        </w:tc>
      </w:tr>
      <w:tr>
        <w:trPr>
          <w:trHeight w:val="2385" w:hRule="atLeast"/>
        </w:trPr>
        <w:tc>
          <w:tcPr>
            <w:tcW w:w="947" w:type="dxa"/>
          </w:tcPr>
          <w:p>
            <w:pPr>
              <w:pStyle w:val="TableParagraph"/>
              <w:spacing w:before="9"/>
              <w:ind w:left="109"/>
              <w:rPr>
                <w:rFonts w:ascii="微软雅黑"/>
                <w:b/>
                <w:sz w:val="21"/>
              </w:rPr>
            </w:pPr>
            <w:r>
              <w:rPr>
                <w:rFonts w:ascii="微软雅黑"/>
                <w:b/>
                <w:sz w:val="21"/>
              </w:rPr>
              <w:t>7.2.39</w:t>
            </w:r>
          </w:p>
        </w:tc>
        <w:tc>
          <w:tcPr>
            <w:tcW w:w="2103" w:type="dxa"/>
          </w:tcPr>
          <w:p>
            <w:pPr>
              <w:pStyle w:val="TableParagraph"/>
              <w:spacing w:before="9"/>
              <w:ind w:left="197"/>
              <w:rPr>
                <w:rFonts w:ascii="微软雅黑" w:eastAsia="微软雅黑" w:hint="eastAsia"/>
                <w:b/>
                <w:sz w:val="21"/>
              </w:rPr>
            </w:pPr>
            <w:r>
              <w:rPr>
                <w:rFonts w:ascii="微软雅黑" w:eastAsia="微软雅黑" w:hint="eastAsia"/>
                <w:b/>
                <w:sz w:val="21"/>
              </w:rPr>
              <w:t>Ｉ型糖尿病</w:t>
            </w:r>
          </w:p>
        </w:tc>
        <w:tc>
          <w:tcPr>
            <w:tcW w:w="6989" w:type="dxa"/>
          </w:tcPr>
          <w:p>
            <w:pPr>
              <w:pStyle w:val="TableParagraph"/>
              <w:spacing w:before="91"/>
              <w:ind w:left="101"/>
              <w:rPr>
                <w:sz w:val="21"/>
              </w:rPr>
            </w:pPr>
            <w:r>
              <w:rPr>
                <w:sz w:val="21"/>
              </w:rPr>
              <w:t>指经内分泌专科医生明确诊断为Ｉ型糖尿病，且须同时满足下列条件：</w:t>
            </w:r>
          </w:p>
          <w:p>
            <w:pPr>
              <w:pStyle w:val="TableParagraph"/>
              <w:spacing w:before="42"/>
              <w:ind w:left="101"/>
              <w:rPr>
                <w:sz w:val="21"/>
              </w:rPr>
            </w:pPr>
            <w:r>
              <w:rPr>
                <w:sz w:val="21"/>
              </w:rPr>
              <w:t>（1）必须持续性地依赖外源性胰岛素维持生命至少180天以上。</w:t>
            </w:r>
          </w:p>
          <w:p>
            <w:pPr>
              <w:pStyle w:val="TableParagraph"/>
              <w:spacing w:before="39"/>
              <w:ind w:left="101"/>
              <w:rPr>
                <w:sz w:val="21"/>
              </w:rPr>
            </w:pPr>
            <w:r>
              <w:rPr>
                <w:sz w:val="21"/>
              </w:rPr>
              <w:t>（2）血胰岛素测定、血C肽测定或尿C肽测定结果异常。</w:t>
            </w:r>
          </w:p>
          <w:p>
            <w:pPr>
              <w:pStyle w:val="TableParagraph"/>
              <w:spacing w:before="39"/>
              <w:ind w:left="101"/>
              <w:rPr>
                <w:sz w:val="21"/>
              </w:rPr>
            </w:pPr>
            <w:r>
              <w:rPr>
                <w:sz w:val="21"/>
              </w:rPr>
              <w:t>（3）出现下述三种并发症之一或一种以上：</w:t>
            </w:r>
          </w:p>
          <w:p>
            <w:pPr>
              <w:pStyle w:val="TableParagraph"/>
              <w:spacing w:before="39"/>
              <w:ind w:left="207"/>
              <w:rPr>
                <w:sz w:val="21"/>
              </w:rPr>
            </w:pPr>
            <w:r>
              <w:rPr>
                <w:sz w:val="21"/>
              </w:rPr>
              <w:t>① 并发增殖性视网膜病变；</w:t>
            </w:r>
          </w:p>
          <w:p>
            <w:pPr>
              <w:pStyle w:val="TableParagraph"/>
              <w:spacing w:before="42"/>
              <w:ind w:left="207"/>
              <w:rPr>
                <w:sz w:val="21"/>
              </w:rPr>
            </w:pPr>
            <w:r>
              <w:rPr>
                <w:sz w:val="21"/>
              </w:rPr>
              <w:t>② 并发心脏病变，并须植入心脏起搏器进行治疗；</w:t>
            </w:r>
          </w:p>
          <w:p>
            <w:pPr>
              <w:pStyle w:val="TableParagraph"/>
              <w:spacing w:before="39"/>
              <w:ind w:left="207"/>
              <w:rPr>
                <w:sz w:val="21"/>
              </w:rPr>
            </w:pPr>
            <w:r>
              <w:rPr>
                <w:sz w:val="21"/>
              </w:rPr>
              <w:t>③ 至少一个脚趾发生坏疽并已达到手术切除指征。</w:t>
            </w:r>
          </w:p>
        </w:tc>
      </w:tr>
      <w:tr>
        <w:trPr>
          <w:trHeight w:val="1154" w:hRule="atLeast"/>
        </w:trPr>
        <w:tc>
          <w:tcPr>
            <w:tcW w:w="947" w:type="dxa"/>
          </w:tcPr>
          <w:p>
            <w:pPr>
              <w:pStyle w:val="TableParagraph"/>
              <w:spacing w:before="1"/>
              <w:ind w:left="109"/>
              <w:rPr>
                <w:rFonts w:ascii="微软雅黑"/>
                <w:b/>
                <w:sz w:val="21"/>
              </w:rPr>
            </w:pPr>
            <w:r>
              <w:rPr>
                <w:rFonts w:ascii="微软雅黑"/>
                <w:b/>
                <w:sz w:val="21"/>
              </w:rPr>
              <w:t>7.2.40</w:t>
            </w:r>
          </w:p>
        </w:tc>
        <w:tc>
          <w:tcPr>
            <w:tcW w:w="2103" w:type="dxa"/>
          </w:tcPr>
          <w:p>
            <w:pPr>
              <w:pStyle w:val="TableParagraph"/>
              <w:spacing w:line="206" w:lineRule="auto" w:before="51"/>
              <w:ind w:left="197" w:right="98"/>
              <w:rPr>
                <w:rFonts w:ascii="微软雅黑" w:eastAsia="微软雅黑" w:hint="eastAsia"/>
                <w:b/>
                <w:sz w:val="21"/>
              </w:rPr>
            </w:pPr>
            <w:r>
              <w:rPr>
                <w:rFonts w:ascii="微软雅黑" w:eastAsia="微软雅黑" w:hint="eastAsia"/>
                <w:b/>
                <w:sz w:val="21"/>
              </w:rPr>
              <w:t>急性坏死性胰腺炎开腹手术</w:t>
            </w:r>
          </w:p>
        </w:tc>
        <w:tc>
          <w:tcPr>
            <w:tcW w:w="6989" w:type="dxa"/>
          </w:tcPr>
          <w:p>
            <w:pPr>
              <w:pStyle w:val="TableParagraph"/>
              <w:spacing w:line="273" w:lineRule="auto" w:before="63"/>
              <w:ind w:left="101" w:right="128"/>
              <w:rPr>
                <w:sz w:val="21"/>
              </w:rPr>
            </w:pPr>
            <w:r>
              <w:rPr>
                <w:sz w:val="21"/>
              </w:rPr>
              <w:t>指由百年人寿认可的专科医生确诊为急性坏死性胰腺炎，并已经接受了坏死组织清除、病灶切除或胰腺部分切除的手术治疗。</w:t>
            </w:r>
          </w:p>
          <w:p>
            <w:pPr>
              <w:pStyle w:val="TableParagraph"/>
              <w:spacing w:line="311" w:lineRule="exact"/>
              <w:ind w:left="101"/>
              <w:rPr>
                <w:rFonts w:ascii="Microsoft JhengHei" w:eastAsia="Microsoft JhengHei" w:hint="eastAsia"/>
                <w:b/>
                <w:sz w:val="22"/>
              </w:rPr>
            </w:pPr>
            <w:r>
              <w:rPr>
                <w:rFonts w:ascii="Microsoft JhengHei" w:eastAsia="Microsoft JhengHei" w:hint="eastAsia"/>
                <w:b/>
                <w:sz w:val="22"/>
                <w:shd w:fill="D9D9D9" w:color="auto" w:val="clear"/>
              </w:rPr>
              <w:t>因酒精中毒引起的急性胰腺炎除外。</w:t>
            </w:r>
          </w:p>
        </w:tc>
      </w:tr>
      <w:tr>
        <w:trPr>
          <w:trHeight w:val="632" w:hRule="atLeast"/>
        </w:trPr>
        <w:tc>
          <w:tcPr>
            <w:tcW w:w="947" w:type="dxa"/>
          </w:tcPr>
          <w:p>
            <w:pPr>
              <w:pStyle w:val="TableParagraph"/>
              <w:spacing w:before="42"/>
              <w:ind w:left="109"/>
              <w:rPr>
                <w:rFonts w:ascii="微软雅黑" w:hAnsi="微软雅黑"/>
                <w:b/>
                <w:sz w:val="28"/>
              </w:rPr>
            </w:pPr>
            <w:r>
              <w:rPr>
                <w:rFonts w:ascii="微软雅黑" w:hAnsi="微软雅黑"/>
                <w:b/>
                <w:w w:val="100"/>
                <w:sz w:val="28"/>
              </w:rPr>
              <w:t>⒏</w:t>
            </w:r>
          </w:p>
        </w:tc>
        <w:tc>
          <w:tcPr>
            <w:tcW w:w="2103" w:type="dxa"/>
          </w:tcPr>
          <w:p>
            <w:pPr>
              <w:pStyle w:val="TableParagraph"/>
              <w:spacing w:before="43"/>
              <w:ind w:left="197"/>
              <w:rPr>
                <w:rFonts w:ascii="微软雅黑" w:eastAsia="微软雅黑" w:hint="eastAsia"/>
                <w:b/>
                <w:sz w:val="24"/>
              </w:rPr>
            </w:pPr>
            <w:r>
              <w:rPr>
                <w:rFonts w:ascii="微软雅黑" w:eastAsia="微软雅黑" w:hint="eastAsia"/>
                <w:b/>
                <w:sz w:val="24"/>
              </w:rPr>
              <w:t>特定疾病</w:t>
            </w:r>
          </w:p>
        </w:tc>
        <w:tc>
          <w:tcPr>
            <w:tcW w:w="6989" w:type="dxa"/>
          </w:tcPr>
          <w:p>
            <w:pPr>
              <w:pStyle w:val="TableParagraph"/>
              <w:rPr>
                <w:rFonts w:ascii="Times New Roman"/>
                <w:sz w:val="20"/>
              </w:rPr>
            </w:pPr>
          </w:p>
        </w:tc>
      </w:tr>
      <w:tr>
        <w:trPr>
          <w:trHeight w:val="518" w:hRule="atLeast"/>
        </w:trPr>
        <w:tc>
          <w:tcPr>
            <w:tcW w:w="10039" w:type="dxa"/>
            <w:gridSpan w:val="3"/>
            <w:tcBorders>
              <w:bottom w:val="single" w:sz="6" w:space="0" w:color="000000"/>
            </w:tcBorders>
          </w:tcPr>
          <w:p>
            <w:pPr>
              <w:pStyle w:val="TableParagraph"/>
              <w:spacing w:before="14"/>
              <w:ind w:left="1144"/>
              <w:rPr>
                <w:rFonts w:ascii="微软雅黑" w:eastAsia="微软雅黑" w:hint="eastAsia"/>
                <w:b/>
                <w:sz w:val="21"/>
              </w:rPr>
            </w:pPr>
            <w:r>
              <w:rPr>
                <w:rFonts w:ascii="微软雅黑" w:eastAsia="微软雅黑" w:hint="eastAsia"/>
                <w:b/>
                <w:sz w:val="21"/>
              </w:rPr>
              <w:t>这部分描述的是本合同所称特定疾病的释义。</w:t>
            </w:r>
          </w:p>
        </w:tc>
      </w:tr>
      <w:tr>
        <w:trPr>
          <w:trHeight w:val="1187" w:hRule="atLeast"/>
        </w:trPr>
        <w:tc>
          <w:tcPr>
            <w:tcW w:w="947" w:type="dxa"/>
            <w:tcBorders>
              <w:top w:val="single" w:sz="6" w:space="0" w:color="000000"/>
            </w:tcBorders>
          </w:tcPr>
          <w:p>
            <w:pPr>
              <w:pStyle w:val="TableParagraph"/>
              <w:spacing w:before="90"/>
              <w:ind w:left="109"/>
              <w:rPr>
                <w:rFonts w:ascii="微软雅黑"/>
                <w:b/>
                <w:sz w:val="21"/>
              </w:rPr>
            </w:pPr>
            <w:r>
              <w:rPr>
                <w:rFonts w:ascii="微软雅黑"/>
                <w:b/>
                <w:sz w:val="21"/>
              </w:rPr>
              <w:t>8.1</w:t>
            </w:r>
          </w:p>
        </w:tc>
        <w:tc>
          <w:tcPr>
            <w:tcW w:w="2103" w:type="dxa"/>
            <w:tcBorders>
              <w:top w:val="single" w:sz="6" w:space="0" w:color="000000"/>
            </w:tcBorders>
          </w:tcPr>
          <w:p>
            <w:pPr>
              <w:pStyle w:val="TableParagraph"/>
              <w:spacing w:before="90"/>
              <w:ind w:left="197"/>
              <w:rPr>
                <w:rFonts w:ascii="微软雅黑" w:eastAsia="微软雅黑" w:hint="eastAsia"/>
                <w:b/>
                <w:sz w:val="21"/>
              </w:rPr>
            </w:pPr>
            <w:r>
              <w:rPr>
                <w:rFonts w:ascii="微软雅黑" w:eastAsia="微软雅黑" w:hint="eastAsia"/>
                <w:b/>
                <w:sz w:val="21"/>
              </w:rPr>
              <w:t>特定疾病</w:t>
            </w:r>
          </w:p>
        </w:tc>
        <w:tc>
          <w:tcPr>
            <w:tcW w:w="6989" w:type="dxa"/>
            <w:tcBorders>
              <w:top w:val="single" w:sz="6" w:space="0" w:color="000000"/>
            </w:tcBorders>
          </w:tcPr>
          <w:p>
            <w:pPr>
              <w:pStyle w:val="TableParagraph"/>
              <w:spacing w:line="273" w:lineRule="auto" w:before="153"/>
              <w:ind w:left="101" w:right="169"/>
              <w:jc w:val="both"/>
              <w:rPr>
                <w:sz w:val="21"/>
              </w:rPr>
            </w:pPr>
            <w:r>
              <w:rPr>
                <w:spacing w:val="-4"/>
                <w:sz w:val="21"/>
              </w:rPr>
              <w:t>本合同所指特定疾病，是被保险人经百年人寿认可的医院专科医生明确诊</w:t>
            </w:r>
            <w:r>
              <w:rPr>
                <w:spacing w:val="-5"/>
                <w:sz w:val="21"/>
              </w:rPr>
              <w:t>断，发生符合以下定义所述条件的疾病、疾病状态或手术，共计十种。特</w:t>
            </w:r>
            <w:r>
              <w:rPr>
                <w:spacing w:val="-4"/>
                <w:sz w:val="21"/>
              </w:rPr>
              <w:t>定疾病分组、名称及定义如下：</w:t>
            </w:r>
          </w:p>
        </w:tc>
      </w:tr>
      <w:tr>
        <w:trPr>
          <w:trHeight w:val="3291" w:hRule="atLeast"/>
        </w:trPr>
        <w:tc>
          <w:tcPr>
            <w:tcW w:w="947" w:type="dxa"/>
          </w:tcPr>
          <w:p>
            <w:pPr>
              <w:pStyle w:val="TableParagraph"/>
              <w:spacing w:before="9"/>
              <w:ind w:left="109"/>
              <w:rPr>
                <w:rFonts w:ascii="微软雅黑"/>
                <w:b/>
                <w:sz w:val="21"/>
              </w:rPr>
            </w:pPr>
            <w:r>
              <w:rPr>
                <w:rFonts w:ascii="微软雅黑"/>
                <w:b/>
                <w:w w:val="105"/>
                <w:sz w:val="21"/>
              </w:rPr>
              <w:t>8.1.1</w:t>
            </w:r>
          </w:p>
        </w:tc>
        <w:tc>
          <w:tcPr>
            <w:tcW w:w="2103" w:type="dxa"/>
          </w:tcPr>
          <w:p>
            <w:pPr>
              <w:pStyle w:val="TableParagraph"/>
              <w:spacing w:line="206" w:lineRule="auto" w:before="60"/>
              <w:ind w:left="197" w:right="98"/>
              <w:rPr>
                <w:rFonts w:ascii="微软雅黑" w:eastAsia="微软雅黑" w:hint="eastAsia"/>
                <w:b/>
                <w:sz w:val="21"/>
              </w:rPr>
            </w:pPr>
            <w:r>
              <w:rPr>
                <w:rFonts w:ascii="微软雅黑" w:eastAsia="微软雅黑" w:hint="eastAsia"/>
                <w:b/>
                <w:sz w:val="21"/>
              </w:rPr>
              <w:t>极早期的恶性肿瘤或恶性病变</w:t>
            </w:r>
          </w:p>
        </w:tc>
        <w:tc>
          <w:tcPr>
            <w:tcW w:w="6989" w:type="dxa"/>
          </w:tcPr>
          <w:p>
            <w:pPr>
              <w:pStyle w:val="TableParagraph"/>
              <w:spacing w:line="273" w:lineRule="auto" w:before="72"/>
              <w:ind w:left="101" w:right="177"/>
              <w:rPr>
                <w:sz w:val="21"/>
              </w:rPr>
            </w:pPr>
            <w:r>
              <w:rPr>
                <w:sz w:val="21"/>
              </w:rPr>
              <w:t>指经组织病理学检查被明确诊断为下列恶性病变，并且接受了相应的治疗。</w:t>
            </w:r>
          </w:p>
          <w:p>
            <w:pPr>
              <w:pStyle w:val="TableParagraph"/>
              <w:spacing w:before="8"/>
              <w:ind w:left="101"/>
              <w:jc w:val="both"/>
              <w:rPr>
                <w:sz w:val="21"/>
              </w:rPr>
            </w:pPr>
            <w:r>
              <w:rPr>
                <w:sz w:val="21"/>
              </w:rPr>
              <w:t>（</w:t>
            </w:r>
            <w:r>
              <w:rPr>
                <w:rFonts w:ascii="Times New Roman" w:eastAsia="Times New Roman"/>
                <w:sz w:val="21"/>
              </w:rPr>
              <w:t>1</w:t>
            </w:r>
            <w:r>
              <w:rPr>
                <w:sz w:val="21"/>
              </w:rPr>
              <w:t>）原位癌；</w:t>
            </w:r>
          </w:p>
          <w:p>
            <w:pPr>
              <w:pStyle w:val="TableParagraph"/>
              <w:spacing w:before="21"/>
              <w:ind w:left="101"/>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01"/>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01"/>
              <w:jc w:val="both"/>
              <w:rPr>
                <w:sz w:val="21"/>
              </w:rPr>
            </w:pPr>
            <w:r>
              <w:rPr>
                <w:sz w:val="21"/>
              </w:rPr>
              <w:t>（</w:t>
            </w:r>
            <w:r>
              <w:rPr>
                <w:rFonts w:ascii="Times New Roman" w:eastAsia="Times New Roman"/>
                <w:sz w:val="21"/>
              </w:rPr>
              <w:t>4</w:t>
            </w:r>
            <w:r>
              <w:rPr>
                <w:sz w:val="21"/>
              </w:rPr>
              <w:t>）皮肤癌；</w:t>
            </w:r>
          </w:p>
          <w:p>
            <w:pPr>
              <w:pStyle w:val="TableParagraph"/>
              <w:spacing w:before="20"/>
              <w:ind w:left="101"/>
              <w:jc w:val="both"/>
              <w:rPr>
                <w:sz w:val="21"/>
              </w:rPr>
            </w:pPr>
            <w:r>
              <w:rPr>
                <w:position w:val="2"/>
                <w:sz w:val="21"/>
              </w:rPr>
              <w:t>（</w:t>
            </w:r>
            <w:r>
              <w:rPr>
                <w:rFonts w:ascii="Times New Roman" w:eastAsia="Times New Roman"/>
                <w:position w:val="2"/>
                <w:sz w:val="21"/>
              </w:rPr>
              <w:t>5</w:t>
            </w:r>
            <w:r>
              <w:rPr>
                <w:position w:val="2"/>
                <w:sz w:val="21"/>
              </w:rPr>
              <w:t>）</w:t>
            </w:r>
            <w:r>
              <w:rPr>
                <w:rFonts w:ascii="Times New Roman" w:eastAsia="Times New Roman"/>
                <w:position w:val="2"/>
                <w:sz w:val="21"/>
              </w:rPr>
              <w:t>TNM  </w:t>
            </w:r>
            <w:r>
              <w:rPr>
                <w:position w:val="2"/>
                <w:sz w:val="21"/>
              </w:rPr>
              <w:t>分期为 </w:t>
            </w:r>
            <w:r>
              <w:rPr>
                <w:rFonts w:ascii="Times New Roman" w:eastAsia="Times New Roman"/>
                <w:position w:val="2"/>
                <w:sz w:val="21"/>
              </w:rPr>
              <w:t>T</w:t>
            </w:r>
            <w:r>
              <w:rPr>
                <w:rFonts w:ascii="Times New Roman" w:eastAsia="Times New Roman"/>
                <w:position w:val="2"/>
                <w:sz w:val="21"/>
                <w:vertAlign w:val="subscript"/>
              </w:rPr>
              <w:t>1</w:t>
            </w:r>
            <w:r>
              <w:rPr>
                <w:rFonts w:ascii="Times New Roman" w:eastAsia="Times New Roman"/>
                <w:position w:val="2"/>
                <w:sz w:val="21"/>
                <w:vertAlign w:val="baseline"/>
              </w:rPr>
              <w:t>N</w:t>
            </w:r>
            <w:r>
              <w:rPr>
                <w:rFonts w:ascii="Times New Roman" w:eastAsia="Times New Roman"/>
                <w:position w:val="2"/>
                <w:sz w:val="21"/>
                <w:vertAlign w:val="subscript"/>
              </w:rPr>
              <w:t>0</w:t>
            </w:r>
            <w:r>
              <w:rPr>
                <w:rFonts w:ascii="Times New Roman" w:eastAsia="Times New Roman"/>
                <w:position w:val="2"/>
                <w:sz w:val="21"/>
                <w:vertAlign w:val="baseline"/>
              </w:rPr>
              <w:t>M</w:t>
            </w:r>
            <w:r>
              <w:rPr>
                <w:rFonts w:ascii="Times New Roman" w:eastAsia="Times New Roman"/>
                <w:position w:val="2"/>
                <w:sz w:val="21"/>
                <w:vertAlign w:val="subscript"/>
              </w:rPr>
              <w:t>0</w:t>
            </w:r>
            <w:r>
              <w:rPr>
                <w:rFonts w:ascii="Times New Roman" w:eastAsia="Times New Roman"/>
                <w:position w:val="2"/>
                <w:sz w:val="21"/>
                <w:vertAlign w:val="baseline"/>
              </w:rPr>
              <w:t>  </w:t>
            </w:r>
            <w:r>
              <w:rPr>
                <w:position w:val="2"/>
                <w:sz w:val="21"/>
                <w:vertAlign w:val="baseline"/>
              </w:rPr>
              <w:t>期或更轻分期的前列腺癌。</w:t>
            </w:r>
          </w:p>
          <w:p>
            <w:pPr>
              <w:pStyle w:val="TableParagraph"/>
              <w:spacing w:line="273" w:lineRule="auto" w:before="2"/>
              <w:ind w:left="101" w:right="169"/>
              <w:jc w:val="both"/>
              <w:rPr>
                <w:sz w:val="21"/>
              </w:rPr>
            </w:pPr>
            <w:r>
              <w:rPr>
                <w:spacing w:val="-4"/>
                <w:sz w:val="21"/>
              </w:rPr>
              <w:t>原位癌：指恶性细胞局限于上皮内尚未穿破基底膜浸润周围正常组织的癌</w:t>
            </w:r>
            <w:r>
              <w:rPr>
                <w:spacing w:val="-5"/>
                <w:sz w:val="21"/>
              </w:rPr>
              <w:t>细胞新生物。原位癌必须经对固定活组织的组织病理学检查明确诊断。被</w:t>
            </w:r>
            <w:r>
              <w:rPr>
                <w:spacing w:val="-4"/>
                <w:sz w:val="21"/>
              </w:rPr>
              <w:t>保险人必须己经接受了针对原位癌病灶的积极治疗。</w:t>
            </w:r>
          </w:p>
        </w:tc>
      </w:tr>
      <w:tr>
        <w:trPr>
          <w:trHeight w:val="1594" w:hRule="atLeast"/>
        </w:trPr>
        <w:tc>
          <w:tcPr>
            <w:tcW w:w="947" w:type="dxa"/>
          </w:tcPr>
          <w:p>
            <w:pPr>
              <w:pStyle w:val="TableParagraph"/>
              <w:spacing w:before="9"/>
              <w:ind w:left="109"/>
              <w:rPr>
                <w:rFonts w:ascii="微软雅黑"/>
                <w:b/>
                <w:sz w:val="21"/>
              </w:rPr>
            </w:pPr>
            <w:r>
              <w:rPr>
                <w:rFonts w:ascii="微软雅黑"/>
                <w:b/>
                <w:w w:val="110"/>
                <w:sz w:val="21"/>
              </w:rPr>
              <w:t>8.1.2</w:t>
            </w:r>
          </w:p>
        </w:tc>
        <w:tc>
          <w:tcPr>
            <w:tcW w:w="2103" w:type="dxa"/>
          </w:tcPr>
          <w:p>
            <w:pPr>
              <w:pStyle w:val="TableParagraph"/>
              <w:spacing w:line="206" w:lineRule="auto" w:before="60"/>
              <w:ind w:left="197" w:right="117"/>
              <w:rPr>
                <w:rFonts w:ascii="微软雅黑" w:eastAsia="微软雅黑" w:hint="eastAsia"/>
                <w:b/>
                <w:sz w:val="21"/>
              </w:rPr>
            </w:pPr>
            <w:r>
              <w:rPr>
                <w:rFonts w:ascii="微软雅黑" w:eastAsia="微软雅黑" w:hint="eastAsia"/>
                <w:b/>
                <w:sz w:val="21"/>
              </w:rPr>
              <w:t>不典型的急性心肌梗塞</w:t>
            </w:r>
          </w:p>
        </w:tc>
        <w:tc>
          <w:tcPr>
            <w:tcW w:w="6989" w:type="dxa"/>
          </w:tcPr>
          <w:p>
            <w:pPr>
              <w:pStyle w:val="TableParagraph"/>
              <w:spacing w:line="273" w:lineRule="auto" w:before="72"/>
              <w:ind w:left="101" w:right="128"/>
              <w:rPr>
                <w:sz w:val="21"/>
              </w:rPr>
            </w:pPr>
            <w:r>
              <w:rPr>
                <w:sz w:val="21"/>
              </w:rPr>
              <w:t>指被临床诊断为急性心肌梗塞并接受了急性心肌梗塞治疗，虽然未达到重大疾病“急性心肌梗塞”的给付标准，但满足下列全部条件：</w:t>
            </w:r>
          </w:p>
          <w:p>
            <w:pPr>
              <w:pStyle w:val="TableParagraph"/>
              <w:spacing w:line="273" w:lineRule="auto" w:before="8"/>
              <w:ind w:left="101" w:right="265"/>
              <w:rPr>
                <w:sz w:val="21"/>
              </w:rPr>
            </w:pPr>
            <w:r>
              <w:rPr>
                <w:sz w:val="21"/>
              </w:rPr>
              <w:t>（1）心肌酶或肌钙蛋白有诊断意义的升高；或呈符合急性心肌梗塞的动态性变化</w:t>
            </w:r>
          </w:p>
          <w:p>
            <w:pPr>
              <w:pStyle w:val="TableParagraph"/>
              <w:spacing w:line="255" w:lineRule="exact" w:before="8"/>
              <w:ind w:left="101"/>
              <w:rPr>
                <w:sz w:val="21"/>
              </w:rPr>
            </w:pPr>
            <w:r>
              <w:rPr>
                <w:sz w:val="21"/>
              </w:rPr>
              <w:t>肌钙蛋白有诊断意义的升高；</w:t>
            </w:r>
          </w:p>
        </w:tc>
      </w:tr>
    </w:tbl>
    <w:p>
      <w:pPr>
        <w:spacing w:after="0" w:line="255" w:lineRule="exact"/>
        <w:rPr>
          <w:sz w:val="21"/>
        </w:rPr>
        <w:sectPr>
          <w:pgSz w:w="11910" w:h="16840"/>
          <w:pgMar w:header="567" w:footer="664" w:top="1000" w:bottom="860" w:left="920" w:right="74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7"/>
        <w:gridCol w:w="2150"/>
        <w:gridCol w:w="6982"/>
      </w:tblGrid>
      <w:tr>
        <w:trPr>
          <w:trHeight w:val="971" w:hRule="atLeast"/>
        </w:trPr>
        <w:tc>
          <w:tcPr>
            <w:tcW w:w="1037" w:type="dxa"/>
          </w:tcPr>
          <w:p>
            <w:pPr>
              <w:pStyle w:val="TableParagraph"/>
              <w:rPr>
                <w:rFonts w:ascii="Times New Roman"/>
                <w:sz w:val="20"/>
              </w:rPr>
            </w:pPr>
          </w:p>
        </w:tc>
        <w:tc>
          <w:tcPr>
            <w:tcW w:w="2150" w:type="dxa"/>
          </w:tcPr>
          <w:p>
            <w:pPr>
              <w:pStyle w:val="TableParagraph"/>
              <w:rPr>
                <w:rFonts w:ascii="Times New Roman"/>
                <w:sz w:val="20"/>
              </w:rPr>
            </w:pPr>
          </w:p>
        </w:tc>
        <w:tc>
          <w:tcPr>
            <w:tcW w:w="6982" w:type="dxa"/>
          </w:tcPr>
          <w:p>
            <w:pPr>
              <w:pStyle w:val="TableParagraph"/>
              <w:spacing w:line="211" w:lineRule="exact"/>
              <w:ind w:left="54"/>
              <w:rPr>
                <w:sz w:val="21"/>
              </w:rPr>
            </w:pPr>
            <w:r>
              <w:rPr>
                <w:sz w:val="21"/>
              </w:rPr>
              <w:t>（2）心电图有损伤性的ST 段改变但未出现病理 Q波。</w:t>
            </w:r>
          </w:p>
          <w:p>
            <w:pPr>
              <w:pStyle w:val="TableParagraph"/>
              <w:spacing w:line="273" w:lineRule="auto" w:before="37"/>
              <w:ind w:left="54" w:right="408"/>
              <w:rPr>
                <w:sz w:val="21"/>
              </w:rPr>
            </w:pPr>
            <w:r>
              <w:rPr>
                <w:sz w:val="21"/>
              </w:rPr>
              <w:t>如果被保险人在出现不典型的急性心肌梗塞后接受冠状动脉介入手术治疗，该冠状动脉介入手术与不典型的急性心肌梗塞视为同一轻症疾病。</w:t>
            </w:r>
          </w:p>
        </w:tc>
      </w:tr>
      <w:tr>
        <w:trPr>
          <w:trHeight w:val="1417" w:hRule="atLeast"/>
        </w:trPr>
        <w:tc>
          <w:tcPr>
            <w:tcW w:w="1037" w:type="dxa"/>
          </w:tcPr>
          <w:p>
            <w:pPr>
              <w:pStyle w:val="TableParagraph"/>
              <w:spacing w:before="9"/>
              <w:ind w:left="200"/>
              <w:rPr>
                <w:rFonts w:ascii="微软雅黑"/>
                <w:b/>
                <w:sz w:val="21"/>
              </w:rPr>
            </w:pPr>
            <w:r>
              <w:rPr>
                <w:rFonts w:ascii="微软雅黑"/>
                <w:b/>
                <w:w w:val="110"/>
                <w:sz w:val="21"/>
              </w:rPr>
              <w:t>8.1.3</w:t>
            </w:r>
          </w:p>
        </w:tc>
        <w:tc>
          <w:tcPr>
            <w:tcW w:w="2150" w:type="dxa"/>
          </w:tcPr>
          <w:p>
            <w:pPr>
              <w:pStyle w:val="TableParagraph"/>
              <w:spacing w:before="9"/>
              <w:ind w:left="197"/>
              <w:rPr>
                <w:rFonts w:ascii="微软雅黑" w:eastAsia="微软雅黑" w:hint="eastAsia"/>
                <w:b/>
                <w:sz w:val="21"/>
              </w:rPr>
            </w:pPr>
            <w:r>
              <w:rPr>
                <w:rFonts w:ascii="微软雅黑" w:eastAsia="微软雅黑" w:hint="eastAsia"/>
                <w:b/>
                <w:sz w:val="21"/>
              </w:rPr>
              <w:t>冠状动脉介入手术</w:t>
            </w:r>
          </w:p>
        </w:tc>
        <w:tc>
          <w:tcPr>
            <w:tcW w:w="6982" w:type="dxa"/>
          </w:tcPr>
          <w:p>
            <w:pPr>
              <w:pStyle w:val="TableParagraph"/>
              <w:spacing w:line="273" w:lineRule="auto" w:before="72"/>
              <w:ind w:left="54" w:right="168"/>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8"/>
              <w:ind w:left="54" w:right="217"/>
              <w:rPr>
                <w:sz w:val="21"/>
              </w:rPr>
            </w:pPr>
            <w:r>
              <w:rPr>
                <w:sz w:val="21"/>
              </w:rPr>
              <w:t>如果被保险人在出现不典型的急性心肌梗塞后接受冠状动脉介入手术治疗，该冠状动脉介入手术与不典型的急性心肌梗塞视为同一轻症疾病。</w:t>
            </w:r>
          </w:p>
        </w:tc>
      </w:tr>
      <w:tr>
        <w:trPr>
          <w:trHeight w:val="2667" w:hRule="atLeast"/>
        </w:trPr>
        <w:tc>
          <w:tcPr>
            <w:tcW w:w="1037" w:type="dxa"/>
          </w:tcPr>
          <w:p>
            <w:pPr>
              <w:pStyle w:val="TableParagraph"/>
              <w:spacing w:before="8"/>
              <w:ind w:left="200"/>
              <w:rPr>
                <w:rFonts w:ascii="微软雅黑"/>
                <w:b/>
                <w:sz w:val="21"/>
              </w:rPr>
            </w:pPr>
            <w:r>
              <w:rPr>
                <w:rFonts w:ascii="微软雅黑"/>
                <w:b/>
                <w:w w:val="110"/>
                <w:sz w:val="21"/>
              </w:rPr>
              <w:t>8.1.4</w:t>
            </w:r>
          </w:p>
        </w:tc>
        <w:tc>
          <w:tcPr>
            <w:tcW w:w="2150" w:type="dxa"/>
          </w:tcPr>
          <w:p>
            <w:pPr>
              <w:pStyle w:val="TableParagraph"/>
              <w:spacing w:before="8"/>
              <w:ind w:left="197"/>
              <w:rPr>
                <w:rFonts w:ascii="微软雅黑" w:eastAsia="微软雅黑" w:hint="eastAsia"/>
                <w:b/>
                <w:sz w:val="21"/>
              </w:rPr>
            </w:pPr>
            <w:r>
              <w:rPr>
                <w:rFonts w:ascii="微软雅黑" w:eastAsia="微软雅黑" w:hint="eastAsia"/>
                <w:b/>
                <w:sz w:val="21"/>
              </w:rPr>
              <w:t>特定脑中风后遗症</w:t>
            </w:r>
          </w:p>
        </w:tc>
        <w:tc>
          <w:tcPr>
            <w:tcW w:w="6982" w:type="dxa"/>
          </w:tcPr>
          <w:p>
            <w:pPr>
              <w:pStyle w:val="TableParagraph"/>
              <w:spacing w:line="273" w:lineRule="auto" w:before="70"/>
              <w:ind w:left="54" w:right="209"/>
              <w:jc w:val="both"/>
              <w:rPr>
                <w:sz w:val="21"/>
              </w:rPr>
            </w:pPr>
            <w:r>
              <w:rPr>
                <w:spacing w:val="-5"/>
                <w:sz w:val="21"/>
              </w:rPr>
              <w:t>指因脑血管的突发病变引起脑血管出血、栓塞或梗塞，并导致神经系统永</w:t>
            </w:r>
            <w:r>
              <w:rPr>
                <w:spacing w:val="-7"/>
                <w:sz w:val="21"/>
              </w:rPr>
              <w:t>久性的功能障碍。神经系统永久性的功能障碍，指疾病确诊 </w:t>
            </w:r>
            <w:r>
              <w:rPr>
                <w:sz w:val="21"/>
              </w:rPr>
              <w:t>180</w:t>
            </w:r>
            <w:r>
              <w:rPr>
                <w:spacing w:val="-11"/>
                <w:sz w:val="21"/>
              </w:rPr>
              <w:t> 天后，仍</w:t>
            </w:r>
            <w:r>
              <w:rPr>
                <w:spacing w:val="-3"/>
                <w:sz w:val="21"/>
              </w:rPr>
              <w:t>遗留下列一种或一种以上障碍：</w:t>
            </w:r>
          </w:p>
          <w:p>
            <w:pPr>
              <w:pStyle w:val="TableParagraph"/>
              <w:spacing w:line="273" w:lineRule="auto" w:before="7"/>
              <w:ind w:left="54" w:right="211"/>
              <w:jc w:val="both"/>
              <w:rPr>
                <w:sz w:val="21"/>
              </w:rPr>
            </w:pPr>
            <w:r>
              <w:rPr>
                <w:spacing w:val="-3"/>
                <w:sz w:val="21"/>
              </w:rPr>
              <w:t>（1）</w:t>
            </w:r>
            <w:r>
              <w:rPr>
                <w:spacing w:val="-4"/>
                <w:sz w:val="21"/>
              </w:rPr>
              <w:t>一肢或一肢以上肢体机能部分丧失，其肢体肌力为Ⅲ级,或小于Ⅲ级</w:t>
            </w:r>
            <w:r>
              <w:rPr>
                <w:spacing w:val="-3"/>
                <w:sz w:val="21"/>
              </w:rPr>
              <w:t>但尚未达到脑中风后遗症的给付标准；</w:t>
            </w:r>
          </w:p>
          <w:p>
            <w:pPr>
              <w:pStyle w:val="TableParagraph"/>
              <w:spacing w:line="312" w:lineRule="exact" w:before="4"/>
              <w:ind w:left="54" w:right="211"/>
              <w:jc w:val="both"/>
              <w:rPr>
                <w:sz w:val="21"/>
              </w:rPr>
            </w:pPr>
            <w:r>
              <w:rPr>
                <w:sz w:val="21"/>
              </w:rPr>
              <w:t>（2）自主生活能力部分丧失，无法独立完成</w:t>
            </w:r>
            <w:r>
              <w:rPr>
                <w:rFonts w:ascii="微软雅黑" w:eastAsia="微软雅黑" w:hint="eastAsia"/>
                <w:b/>
                <w:sz w:val="21"/>
              </w:rPr>
              <w:t>六项基本日常生活活动</w:t>
            </w:r>
            <w:r>
              <w:rPr>
                <w:sz w:val="21"/>
              </w:rPr>
              <w:t>中的两项。</w:t>
            </w:r>
          </w:p>
          <w:p>
            <w:pPr>
              <w:pStyle w:val="TableParagraph"/>
              <w:spacing w:line="308" w:lineRule="exact"/>
              <w:ind w:left="54"/>
              <w:jc w:val="both"/>
              <w:rPr>
                <w:rFonts w:ascii="Microsoft JhengHei" w:eastAsia="Microsoft JhengHei" w:hint="eastAsia"/>
                <w:b/>
                <w:sz w:val="22"/>
              </w:rPr>
            </w:pPr>
            <w:r>
              <w:rPr>
                <w:rFonts w:ascii="Microsoft JhengHei" w:eastAsia="Microsoft JhengHei" w:hint="eastAsia"/>
                <w:b/>
                <w:sz w:val="22"/>
                <w:shd w:fill="D9D9D9" w:color="auto" w:val="clear"/>
              </w:rPr>
              <w:t>短暂性脑缺血发作（TIA）和腔隙性脑梗塞不在保障范围内 。</w:t>
            </w:r>
          </w:p>
        </w:tc>
      </w:tr>
      <w:tr>
        <w:trPr>
          <w:trHeight w:val="792" w:hRule="atLeast"/>
        </w:trPr>
        <w:tc>
          <w:tcPr>
            <w:tcW w:w="1037" w:type="dxa"/>
          </w:tcPr>
          <w:p>
            <w:pPr>
              <w:pStyle w:val="TableParagraph"/>
              <w:spacing w:before="7"/>
              <w:ind w:left="200"/>
              <w:rPr>
                <w:rFonts w:ascii="微软雅黑"/>
                <w:b/>
                <w:sz w:val="21"/>
              </w:rPr>
            </w:pPr>
            <w:r>
              <w:rPr>
                <w:rFonts w:ascii="微软雅黑"/>
                <w:b/>
                <w:w w:val="110"/>
                <w:sz w:val="21"/>
              </w:rPr>
              <w:t>8.1.5</w:t>
            </w:r>
          </w:p>
        </w:tc>
        <w:tc>
          <w:tcPr>
            <w:tcW w:w="2150" w:type="dxa"/>
          </w:tcPr>
          <w:p>
            <w:pPr>
              <w:pStyle w:val="TableParagraph"/>
              <w:spacing w:before="7"/>
              <w:ind w:left="197"/>
              <w:rPr>
                <w:rFonts w:ascii="微软雅黑" w:eastAsia="微软雅黑" w:hint="eastAsia"/>
                <w:b/>
                <w:sz w:val="21"/>
              </w:rPr>
            </w:pPr>
            <w:r>
              <w:rPr>
                <w:rFonts w:ascii="微软雅黑" w:eastAsia="微软雅黑" w:hint="eastAsia"/>
                <w:b/>
                <w:sz w:val="21"/>
              </w:rPr>
              <w:t>心脏瓣膜介入手术</w:t>
            </w:r>
          </w:p>
        </w:tc>
        <w:tc>
          <w:tcPr>
            <w:tcW w:w="6982" w:type="dxa"/>
          </w:tcPr>
          <w:p>
            <w:pPr>
              <w:pStyle w:val="TableParagraph"/>
              <w:spacing w:line="273" w:lineRule="auto" w:before="70"/>
              <w:ind w:left="54" w:right="167"/>
              <w:rPr>
                <w:sz w:val="21"/>
              </w:rPr>
            </w:pPr>
            <w:r>
              <w:rPr>
                <w:sz w:val="21"/>
              </w:rPr>
              <w:t>指为了治疗心脏瓣膜疾病，实际实施了非开胸的经胸壁打孔内镜手术或经皮经导管介入手术进行的心脏瓣膜置换或修复手术。</w:t>
            </w:r>
          </w:p>
        </w:tc>
      </w:tr>
      <w:tr>
        <w:trPr>
          <w:trHeight w:val="2356" w:hRule="atLeast"/>
        </w:trPr>
        <w:tc>
          <w:tcPr>
            <w:tcW w:w="1037" w:type="dxa"/>
          </w:tcPr>
          <w:p>
            <w:pPr>
              <w:pStyle w:val="TableParagraph"/>
              <w:spacing w:before="9"/>
              <w:ind w:left="200"/>
              <w:rPr>
                <w:rFonts w:ascii="微软雅黑"/>
                <w:b/>
                <w:sz w:val="21"/>
              </w:rPr>
            </w:pPr>
            <w:r>
              <w:rPr>
                <w:rFonts w:ascii="微软雅黑"/>
                <w:b/>
                <w:w w:val="110"/>
                <w:sz w:val="21"/>
              </w:rPr>
              <w:t>8.1.6</w:t>
            </w:r>
          </w:p>
        </w:tc>
        <w:tc>
          <w:tcPr>
            <w:tcW w:w="2150" w:type="dxa"/>
          </w:tcPr>
          <w:p>
            <w:pPr>
              <w:pStyle w:val="TableParagraph"/>
              <w:spacing w:before="9"/>
              <w:ind w:left="197"/>
              <w:rPr>
                <w:rFonts w:ascii="微软雅黑" w:eastAsia="微软雅黑" w:hint="eastAsia"/>
                <w:b/>
                <w:sz w:val="21"/>
              </w:rPr>
            </w:pPr>
            <w:r>
              <w:rPr>
                <w:rFonts w:ascii="微软雅黑" w:eastAsia="微软雅黑" w:hint="eastAsia"/>
                <w:b/>
                <w:sz w:val="21"/>
              </w:rPr>
              <w:t>视力严重受损</w:t>
            </w:r>
          </w:p>
        </w:tc>
        <w:tc>
          <w:tcPr>
            <w:tcW w:w="6982" w:type="dxa"/>
          </w:tcPr>
          <w:p>
            <w:pPr>
              <w:pStyle w:val="TableParagraph"/>
              <w:spacing w:line="273" w:lineRule="auto" w:before="72"/>
              <w:ind w:left="54" w:right="167"/>
              <w:rPr>
                <w:sz w:val="21"/>
              </w:rPr>
            </w:pPr>
            <w:r>
              <w:rPr>
                <w:sz w:val="21"/>
              </w:rPr>
              <w:t>指因疾病或意外伤害导致双目视力永久不可逆性丧失，虽然未达到重大疾病“双目失明”的给付标准，但满足下列全部条件：</w:t>
            </w:r>
          </w:p>
          <w:p>
            <w:pPr>
              <w:pStyle w:val="TableParagraph"/>
              <w:spacing w:line="273" w:lineRule="auto" w:before="8"/>
              <w:ind w:left="54" w:right="209"/>
              <w:rPr>
                <w:sz w:val="21"/>
              </w:rPr>
            </w:pPr>
            <w:r>
              <w:rPr>
                <w:spacing w:val="-8"/>
                <w:sz w:val="21"/>
              </w:rPr>
              <w:t>（1）</w:t>
            </w:r>
            <w:r>
              <w:rPr>
                <w:spacing w:val="-5"/>
                <w:sz w:val="21"/>
              </w:rPr>
              <w:t>双眼中较好眼矫正视力低于 </w:t>
            </w:r>
            <w:r>
              <w:rPr>
                <w:spacing w:val="-7"/>
                <w:sz w:val="21"/>
              </w:rPr>
              <w:t>0.1（</w:t>
            </w:r>
            <w:r>
              <w:rPr>
                <w:spacing w:val="-5"/>
                <w:sz w:val="21"/>
              </w:rPr>
              <w:t>采用国际标准视力表，如果使用其</w:t>
            </w:r>
            <w:r>
              <w:rPr>
                <w:spacing w:val="-4"/>
                <w:sz w:val="21"/>
              </w:rPr>
              <w:t>他视力表应进行换算</w:t>
            </w:r>
            <w:r>
              <w:rPr>
                <w:sz w:val="21"/>
              </w:rPr>
              <w:t>）；</w:t>
            </w:r>
          </w:p>
          <w:p>
            <w:pPr>
              <w:pStyle w:val="TableParagraph"/>
              <w:spacing w:line="254" w:lineRule="exact" w:before="8"/>
              <w:ind w:left="54"/>
              <w:rPr>
                <w:sz w:val="21"/>
              </w:rPr>
            </w:pPr>
            <w:r>
              <w:rPr>
                <w:sz w:val="21"/>
              </w:rPr>
              <w:t>（2）视野半径小于 20 度。</w:t>
            </w:r>
          </w:p>
          <w:p>
            <w:pPr>
              <w:pStyle w:val="TableParagraph"/>
              <w:spacing w:line="196" w:lineRule="auto" w:before="48"/>
              <w:ind w:left="54" w:right="298"/>
              <w:rPr>
                <w:rFonts w:ascii="Microsoft JhengHei" w:eastAsia="Microsoft JhengHei" w:hint="eastAsia"/>
                <w:b/>
                <w:sz w:val="22"/>
              </w:rPr>
            </w:pPr>
            <w:r>
              <w:rPr>
                <w:rFonts w:ascii="Microsoft JhengHei" w:eastAsia="Microsoft JhengHei" w:hint="eastAsia"/>
                <w:b/>
                <w:sz w:val="22"/>
                <w:shd w:fill="D9D9D9" w:color="auto" w:val="clear"/>
              </w:rPr>
              <w:t>申请理赔时，被保险人年龄必须在 3 周岁以上，并且须提供理赔当时</w:t>
            </w:r>
            <w:r>
              <w:rPr>
                <w:rFonts w:ascii="Microsoft JhengHei" w:eastAsia="Microsoft JhengHei" w:hint="eastAsia"/>
                <w:b/>
                <w:spacing w:val="-221"/>
                <w:sz w:val="22"/>
                <w:shd w:fill="D9D9D9" w:color="auto" w:val="clear"/>
              </w:rPr>
              <w:t>的</w:t>
            </w:r>
            <w:r>
              <w:rPr>
                <w:rFonts w:ascii="Microsoft JhengHei" w:eastAsia="Microsoft JhengHei" w:hint="eastAsia"/>
                <w:b/>
                <w:sz w:val="22"/>
                <w:shd w:fill="D9D9D9" w:color="auto" w:val="clear"/>
              </w:rPr>
              <w:t>视力丧失诊断及检查证据。</w:t>
            </w:r>
          </w:p>
        </w:tc>
      </w:tr>
      <w:tr>
        <w:trPr>
          <w:trHeight w:val="792" w:hRule="atLeast"/>
        </w:trPr>
        <w:tc>
          <w:tcPr>
            <w:tcW w:w="1037" w:type="dxa"/>
          </w:tcPr>
          <w:p>
            <w:pPr>
              <w:pStyle w:val="TableParagraph"/>
              <w:spacing w:before="7"/>
              <w:ind w:left="200"/>
              <w:rPr>
                <w:rFonts w:ascii="微软雅黑"/>
                <w:b/>
                <w:sz w:val="21"/>
              </w:rPr>
            </w:pPr>
            <w:r>
              <w:rPr>
                <w:rFonts w:ascii="微软雅黑"/>
                <w:b/>
                <w:w w:val="110"/>
                <w:sz w:val="21"/>
              </w:rPr>
              <w:t>8.1.7</w:t>
            </w:r>
          </w:p>
        </w:tc>
        <w:tc>
          <w:tcPr>
            <w:tcW w:w="2150" w:type="dxa"/>
          </w:tcPr>
          <w:p>
            <w:pPr>
              <w:pStyle w:val="TableParagraph"/>
              <w:spacing w:line="206" w:lineRule="auto" w:before="58"/>
              <w:ind w:left="197" w:right="134"/>
              <w:rPr>
                <w:rFonts w:ascii="微软雅黑" w:eastAsia="微软雅黑" w:hint="eastAsia"/>
                <w:b/>
                <w:sz w:val="21"/>
              </w:rPr>
            </w:pPr>
            <w:r>
              <w:rPr>
                <w:rFonts w:ascii="微软雅黑" w:eastAsia="微软雅黑" w:hint="eastAsia"/>
                <w:b/>
                <w:w w:val="110"/>
                <w:sz w:val="21"/>
              </w:rPr>
              <w:t>较小面积 </w:t>
            </w:r>
            <w:r>
              <w:rPr>
                <w:rFonts w:ascii="微软雅黑" w:eastAsia="微软雅黑" w:hint="eastAsia"/>
                <w:b/>
                <w:w w:val="130"/>
                <w:sz w:val="21"/>
              </w:rPr>
              <w:t>III </w:t>
            </w:r>
            <w:r>
              <w:rPr>
                <w:rFonts w:ascii="微软雅黑" w:eastAsia="微软雅黑" w:hint="eastAsia"/>
                <w:b/>
                <w:w w:val="110"/>
                <w:sz w:val="21"/>
              </w:rPr>
              <w:t>度烧伤</w:t>
            </w:r>
          </w:p>
        </w:tc>
        <w:tc>
          <w:tcPr>
            <w:tcW w:w="6982" w:type="dxa"/>
          </w:tcPr>
          <w:p>
            <w:pPr>
              <w:pStyle w:val="TableParagraph"/>
              <w:spacing w:line="273" w:lineRule="auto" w:before="70"/>
              <w:ind w:left="54" w:right="306"/>
              <w:rPr>
                <w:sz w:val="21"/>
              </w:rPr>
            </w:pPr>
            <w:r>
              <w:rPr>
                <w:spacing w:val="-5"/>
                <w:sz w:val="21"/>
              </w:rPr>
              <w:t>指烧伤程度为Ⅲ度，且Ⅲ度烧伤的面积达到全身体表面积的 </w:t>
            </w:r>
            <w:r>
              <w:rPr>
                <w:sz w:val="21"/>
              </w:rPr>
              <w:t>15</w:t>
            </w:r>
            <w:r>
              <w:rPr>
                <w:spacing w:val="-14"/>
                <w:sz w:val="21"/>
              </w:rPr>
              <w:t>％或 </w:t>
            </w:r>
            <w:r>
              <w:rPr>
                <w:sz w:val="21"/>
              </w:rPr>
              <w:t>15％ </w:t>
            </w:r>
            <w:r>
              <w:rPr>
                <w:spacing w:val="-3"/>
                <w:sz w:val="21"/>
              </w:rPr>
              <w:t>以上。体表面积根据《中国新九分法》计算。</w:t>
            </w:r>
          </w:p>
        </w:tc>
      </w:tr>
      <w:tr>
        <w:trPr>
          <w:trHeight w:val="794" w:hRule="atLeast"/>
        </w:trPr>
        <w:tc>
          <w:tcPr>
            <w:tcW w:w="1037" w:type="dxa"/>
          </w:tcPr>
          <w:p>
            <w:pPr>
              <w:pStyle w:val="TableParagraph"/>
              <w:spacing w:before="9"/>
              <w:ind w:left="200"/>
              <w:rPr>
                <w:rFonts w:ascii="微软雅黑"/>
                <w:b/>
                <w:sz w:val="21"/>
              </w:rPr>
            </w:pPr>
            <w:r>
              <w:rPr>
                <w:rFonts w:ascii="微软雅黑"/>
                <w:b/>
                <w:w w:val="110"/>
                <w:sz w:val="21"/>
              </w:rPr>
              <w:t>8.1.8</w:t>
            </w:r>
          </w:p>
        </w:tc>
        <w:tc>
          <w:tcPr>
            <w:tcW w:w="2150" w:type="dxa"/>
          </w:tcPr>
          <w:p>
            <w:pPr>
              <w:pStyle w:val="TableParagraph"/>
              <w:spacing w:before="9"/>
              <w:ind w:left="197"/>
              <w:rPr>
                <w:rFonts w:ascii="微软雅黑" w:eastAsia="微软雅黑" w:hint="eastAsia"/>
                <w:b/>
                <w:sz w:val="21"/>
              </w:rPr>
            </w:pPr>
            <w:r>
              <w:rPr>
                <w:rFonts w:ascii="微软雅黑" w:eastAsia="微软雅黑" w:hint="eastAsia"/>
                <w:b/>
                <w:sz w:val="21"/>
              </w:rPr>
              <w:t>主动脉内手术</w:t>
            </w:r>
          </w:p>
        </w:tc>
        <w:tc>
          <w:tcPr>
            <w:tcW w:w="6982" w:type="dxa"/>
          </w:tcPr>
          <w:p>
            <w:pPr>
              <w:pStyle w:val="TableParagraph"/>
              <w:spacing w:before="72"/>
              <w:ind w:left="54"/>
              <w:rPr>
                <w:sz w:val="21"/>
              </w:rPr>
            </w:pPr>
            <w:r>
              <w:rPr>
                <w:sz w:val="21"/>
              </w:rPr>
              <w:t>指为了治疗主动脉疾病实际实施了经皮经导管进行的动脉内手术。</w:t>
            </w:r>
          </w:p>
          <w:p>
            <w:pPr>
              <w:pStyle w:val="TableParagraph"/>
              <w:spacing w:before="37"/>
              <w:ind w:left="54"/>
              <w:rPr>
                <w:sz w:val="21"/>
              </w:rPr>
            </w:pPr>
            <w:r>
              <w:rPr>
                <w:sz w:val="21"/>
              </w:rPr>
              <w:t>主动脉指胸主动脉和腹主动脉，不包括胸主动脉和腹主动脉的分支血管。</w:t>
            </w:r>
          </w:p>
        </w:tc>
      </w:tr>
      <w:tr>
        <w:trPr>
          <w:trHeight w:val="1729" w:hRule="atLeast"/>
        </w:trPr>
        <w:tc>
          <w:tcPr>
            <w:tcW w:w="1037" w:type="dxa"/>
          </w:tcPr>
          <w:p>
            <w:pPr>
              <w:pStyle w:val="TableParagraph"/>
              <w:spacing w:before="9"/>
              <w:ind w:left="200"/>
              <w:rPr>
                <w:rFonts w:ascii="微软雅黑"/>
                <w:b/>
                <w:sz w:val="21"/>
              </w:rPr>
            </w:pPr>
            <w:r>
              <w:rPr>
                <w:rFonts w:ascii="微软雅黑"/>
                <w:b/>
                <w:w w:val="110"/>
                <w:sz w:val="21"/>
              </w:rPr>
              <w:t>8.1.9</w:t>
            </w:r>
          </w:p>
        </w:tc>
        <w:tc>
          <w:tcPr>
            <w:tcW w:w="2150" w:type="dxa"/>
          </w:tcPr>
          <w:p>
            <w:pPr>
              <w:pStyle w:val="TableParagraph"/>
              <w:spacing w:line="206" w:lineRule="auto" w:before="60"/>
              <w:ind w:left="197" w:right="54"/>
              <w:rPr>
                <w:rFonts w:ascii="微软雅黑" w:eastAsia="微软雅黑" w:hint="eastAsia"/>
                <w:b/>
                <w:sz w:val="21"/>
              </w:rPr>
            </w:pPr>
            <w:r>
              <w:rPr>
                <w:rFonts w:ascii="微软雅黑" w:eastAsia="微软雅黑" w:hint="eastAsia"/>
                <w:b/>
                <w:spacing w:val="-2"/>
                <w:sz w:val="21"/>
              </w:rPr>
              <w:t>脑垂体瘤、脑囊肿、脑动脉瘤及脑血管 瘤</w:t>
            </w:r>
          </w:p>
        </w:tc>
        <w:tc>
          <w:tcPr>
            <w:tcW w:w="6982" w:type="dxa"/>
          </w:tcPr>
          <w:p>
            <w:pPr>
              <w:pStyle w:val="TableParagraph"/>
              <w:spacing w:line="273" w:lineRule="auto" w:before="72"/>
              <w:ind w:left="54" w:right="214"/>
              <w:rPr>
                <w:sz w:val="21"/>
              </w:rPr>
            </w:pPr>
            <w:r>
              <w:rPr>
                <w:sz w:val="21"/>
              </w:rPr>
              <w:t>指经头颅断层扫描（CT）、核磁共振（MRI）或其他影像学检查被确诊为下列病变，并实际接受了手术或放射治疗。</w:t>
            </w:r>
          </w:p>
          <w:p>
            <w:pPr>
              <w:pStyle w:val="TableParagraph"/>
              <w:spacing w:before="8"/>
              <w:ind w:left="54"/>
              <w:rPr>
                <w:sz w:val="21"/>
              </w:rPr>
            </w:pPr>
            <w:r>
              <w:rPr>
                <w:sz w:val="21"/>
              </w:rPr>
              <w:t>（1）脑垂体瘤；</w:t>
            </w:r>
          </w:p>
          <w:p>
            <w:pPr>
              <w:pStyle w:val="TableParagraph"/>
              <w:spacing w:before="37"/>
              <w:ind w:left="54"/>
              <w:rPr>
                <w:sz w:val="21"/>
              </w:rPr>
            </w:pPr>
            <w:r>
              <w:rPr>
                <w:sz w:val="21"/>
              </w:rPr>
              <w:t>（2）脑囊肿；</w:t>
            </w:r>
          </w:p>
          <w:p>
            <w:pPr>
              <w:pStyle w:val="TableParagraph"/>
              <w:spacing w:before="37"/>
              <w:ind w:left="54"/>
              <w:rPr>
                <w:sz w:val="21"/>
              </w:rPr>
            </w:pPr>
            <w:r>
              <w:rPr>
                <w:sz w:val="21"/>
              </w:rPr>
              <w:t>（3）脑动脉瘤、脑血管瘤。</w:t>
            </w:r>
          </w:p>
        </w:tc>
      </w:tr>
      <w:tr>
        <w:trPr>
          <w:trHeight w:val="1593" w:hRule="atLeast"/>
        </w:trPr>
        <w:tc>
          <w:tcPr>
            <w:tcW w:w="1037" w:type="dxa"/>
          </w:tcPr>
          <w:p>
            <w:pPr>
              <w:pStyle w:val="TableParagraph"/>
              <w:spacing w:before="8"/>
              <w:ind w:left="200"/>
              <w:rPr>
                <w:rFonts w:ascii="微软雅黑"/>
                <w:b/>
                <w:sz w:val="21"/>
              </w:rPr>
            </w:pPr>
            <w:r>
              <w:rPr>
                <w:rFonts w:ascii="微软雅黑"/>
                <w:b/>
                <w:w w:val="105"/>
                <w:sz w:val="21"/>
              </w:rPr>
              <w:t>8.1.10</w:t>
            </w:r>
          </w:p>
        </w:tc>
        <w:tc>
          <w:tcPr>
            <w:tcW w:w="2150" w:type="dxa"/>
          </w:tcPr>
          <w:p>
            <w:pPr>
              <w:pStyle w:val="TableParagraph"/>
              <w:spacing w:before="8"/>
              <w:ind w:left="197"/>
              <w:rPr>
                <w:rFonts w:ascii="微软雅黑" w:eastAsia="微软雅黑" w:hint="eastAsia"/>
                <w:b/>
                <w:sz w:val="21"/>
              </w:rPr>
            </w:pPr>
            <w:r>
              <w:rPr>
                <w:rFonts w:ascii="微软雅黑" w:eastAsia="微软雅黑" w:hint="eastAsia"/>
                <w:b/>
                <w:sz w:val="21"/>
              </w:rPr>
              <w:t>重度头部外伤</w:t>
            </w:r>
          </w:p>
        </w:tc>
        <w:tc>
          <w:tcPr>
            <w:tcW w:w="6982" w:type="dxa"/>
          </w:tcPr>
          <w:p>
            <w:pPr>
              <w:pStyle w:val="TableParagraph"/>
              <w:spacing w:line="312" w:lineRule="exact" w:before="66"/>
              <w:ind w:left="54" w:right="210"/>
              <w:jc w:val="both"/>
              <w:rPr>
                <w:sz w:val="21"/>
              </w:rPr>
            </w:pPr>
            <w:r>
              <w:rPr>
                <w:spacing w:val="-5"/>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13"/>
                <w:sz w:val="21"/>
              </w:rPr>
              <w:t>脑损伤 </w:t>
            </w:r>
            <w:r>
              <w:rPr>
                <w:sz w:val="21"/>
              </w:rPr>
              <w:t>180</w:t>
            </w:r>
            <w:r>
              <w:rPr>
                <w:spacing w:val="-7"/>
                <w:sz w:val="21"/>
              </w:rPr>
              <w:t> 天后，仍完全丧失自主生活能力，无法独立完成</w:t>
            </w:r>
            <w:r>
              <w:rPr>
                <w:rFonts w:ascii="微软雅黑" w:eastAsia="微软雅黑" w:hint="eastAsia"/>
                <w:b/>
                <w:sz w:val="21"/>
              </w:rPr>
              <w:t>六项基本日常生活活动</w:t>
            </w:r>
            <w:r>
              <w:rPr>
                <w:spacing w:val="-3"/>
                <w:sz w:val="21"/>
              </w:rPr>
              <w:t>中的二项或以上。</w:t>
            </w:r>
          </w:p>
        </w:tc>
      </w:tr>
    </w:tbl>
    <w:sectPr>
      <w:pgSz w:w="11910" w:h="16840"/>
      <w:pgMar w:header="567" w:footer="664" w:top="1000" w:bottom="86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30011pt;margin-top:797.715942pt;width:23.4pt;height:12pt;mso-position-horizontal-relative:page;mso-position-vertical-relative:page;z-index:-39952"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30011pt;margin-top:797.715942pt;width:23.4pt;height:12pt;mso-position-horizontal-relative:page;mso-position-vertical-relative:page;z-index:-39928"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4</w:t>
                </w:r>
                <w:r>
                  <w:rPr/>
                  <w:fldChar w:fldCharType="end"/>
                </w:r>
                <w:r>
                  <w:rPr>
                    <w:rFonts w:ascii="Times New Roman"/>
                    <w:b/>
                    <w:sz w:val="18"/>
                  </w:rPr>
                  <w:t> </w:t>
                </w:r>
                <w:r>
                  <w:rPr>
                    <w:rFonts w:ascii="Times New Roman"/>
                    <w:sz w:val="18"/>
                  </w:rPr>
                  <w:t>/ </w:t>
                </w:r>
                <w:r>
                  <w:rPr>
                    <w:rFonts w:ascii="Times New Roman"/>
                    <w:b/>
                    <w:sz w:val="18"/>
                  </w:rPr>
                  <w:t>15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450012pt;margin-top:797.715942pt;width:27.1pt;height:12pt;mso-position-horizontal-relative:page;mso-position-vertical-relative:page;z-index:-39904" type="#_x0000_t202" filled="false" stroked="false">
          <v:textbox inset="0,0,0,0">
            <w:txbxContent>
              <w:p>
                <w:pPr>
                  <w:spacing w:before="12"/>
                  <w:ind w:left="20" w:right="0" w:firstLine="0"/>
                  <w:jc w:val="left"/>
                  <w:rPr>
                    <w:rFonts w:ascii="Times New Roman"/>
                    <w:b/>
                    <w:sz w:val="18"/>
                  </w:rPr>
                </w:pPr>
                <w:r>
                  <w:rPr>
                    <w:rFonts w:ascii="Times New Roman"/>
                    <w:b/>
                    <w:sz w:val="18"/>
                  </w:rPr>
                  <w:t>10 </w:t>
                </w:r>
                <w:r>
                  <w:rPr>
                    <w:rFonts w:ascii="Times New Roman"/>
                    <w:sz w:val="18"/>
                  </w:rPr>
                  <w:t>/ </w:t>
                </w:r>
                <w:r>
                  <w:rPr>
                    <w:rFonts w:ascii="Times New Roman"/>
                    <w:b/>
                    <w:sz w:val="18"/>
                  </w:rPr>
                  <w:t>15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97.715942pt;width:26.6pt;height:12pt;mso-position-horizontal-relative:page;mso-position-vertical-relative:page;z-index:-39880" type="#_x0000_t202" filled="false" stroked="false">
          <v:textbox inset="0,0,0,0">
            <w:txbxContent>
              <w:p>
                <w:pPr>
                  <w:spacing w:before="12"/>
                  <w:ind w:left="20" w:right="0" w:firstLine="0"/>
                  <w:jc w:val="left"/>
                  <w:rPr>
                    <w:rFonts w:ascii="Times New Roman"/>
                    <w:b/>
                    <w:sz w:val="18"/>
                  </w:rPr>
                </w:pPr>
                <w:r>
                  <w:rPr>
                    <w:rFonts w:ascii="Times New Roman"/>
                    <w:b/>
                    <w:sz w:val="18"/>
                  </w:rPr>
                  <w:t>11 </w:t>
                </w:r>
                <w:r>
                  <w:rPr>
                    <w:rFonts w:ascii="Times New Roman"/>
                    <w:sz w:val="18"/>
                  </w:rPr>
                  <w:t>/ </w:t>
                </w:r>
                <w:r>
                  <w:rPr>
                    <w:rFonts w:ascii="Times New Roman"/>
                    <w:b/>
                    <w:sz w:val="18"/>
                  </w:rPr>
                  <w:t>15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450012pt;margin-top:797.715942pt;width:27.1pt;height:12pt;mso-position-horizontal-relative:page;mso-position-vertical-relative:page;z-index:-39856" type="#_x0000_t202" filled="false" stroked="false">
          <v:textbox inset="0,0,0,0">
            <w:txbxContent>
              <w:p>
                <w:pPr>
                  <w:spacing w:before="12"/>
                  <w:ind w:left="20" w:right="0" w:firstLine="0"/>
                  <w:jc w:val="left"/>
                  <w:rPr>
                    <w:rFonts w:ascii="Times New Roman"/>
                    <w:b/>
                    <w:sz w:val="18"/>
                  </w:rPr>
                </w:pPr>
                <w:r>
                  <w:rPr>
                    <w:rFonts w:ascii="Times New Roman"/>
                    <w:b/>
                    <w:sz w:val="18"/>
                  </w:rPr>
                  <w:t>1</w:t>
                </w:r>
                <w:r>
                  <w:rPr/>
                  <w:fldChar w:fldCharType="begin"/>
                </w:r>
                <w:r>
                  <w:rPr>
                    <w:rFonts w:ascii="Times New Roman"/>
                    <w:b/>
                    <w:sz w:val="18"/>
                  </w:rPr>
                  <w:instrText> PAGE </w:instrText>
                </w:r>
                <w:r>
                  <w:rPr/>
                  <w:fldChar w:fldCharType="separate"/>
                </w:r>
                <w:r>
                  <w:rPr/>
                  <w:t>2</w:t>
                </w:r>
                <w:r>
                  <w:rPr/>
                  <w:fldChar w:fldCharType="end"/>
                </w:r>
                <w:r>
                  <w:rPr>
                    <w:rFonts w:ascii="Times New Roman"/>
                    <w:b/>
                    <w:sz w:val="18"/>
                  </w:rPr>
                  <w:t> </w:t>
                </w:r>
                <w:r>
                  <w:rPr>
                    <w:rFonts w:ascii="Times New Roman"/>
                    <w:sz w:val="18"/>
                  </w:rPr>
                  <w:t>/ </w:t>
                </w:r>
                <w:r>
                  <w:rPr>
                    <w:rFonts w:ascii="Times New Roman"/>
                    <w:b/>
                    <w:sz w:val="18"/>
                  </w:rPr>
                  <w:t>15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5431">
          <wp:simplePos x="0" y="0"/>
          <wp:positionH relativeFrom="page">
            <wp:posOffset>720090</wp:posOffset>
          </wp:positionH>
          <wp:positionV relativeFrom="page">
            <wp:posOffset>360044</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40000"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1.390015pt;margin-top:37.585609pt;width:181.95pt;height:11pt;mso-position-horizontal-relative:page;mso-position-vertical-relative:page;z-index:-39976" type="#_x0000_t202" filled="false" stroked="false">
          <v:textbox inset="0,0,0,0">
            <w:txbxContent>
              <w:p>
                <w:pPr>
                  <w:pStyle w:val="BodyText"/>
                  <w:spacing w:line="200" w:lineRule="exact"/>
                  <w:ind w:left="20"/>
                </w:pPr>
                <w:r>
                  <w:rPr/>
                  <w:t>百年附加福瑞安康提前给付重大疾病保险条款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317" w:hanging="159"/>
        <w:jc w:val="left"/>
      </w:pPr>
      <w:rPr>
        <w:rFonts w:hint="default" w:ascii="宋体" w:hAnsi="宋体" w:eastAsia="宋体" w:cs="宋体"/>
        <w:w w:val="100"/>
        <w:sz w:val="21"/>
        <w:szCs w:val="21"/>
      </w:rPr>
    </w:lvl>
    <w:lvl w:ilvl="1">
      <w:start w:val="0"/>
      <w:numFmt w:val="bullet"/>
      <w:lvlText w:val="•"/>
      <w:lvlJc w:val="left"/>
      <w:pPr>
        <w:ind w:left="995" w:hanging="159"/>
      </w:pPr>
      <w:rPr>
        <w:rFonts w:hint="default"/>
      </w:rPr>
    </w:lvl>
    <w:lvl w:ilvl="2">
      <w:start w:val="0"/>
      <w:numFmt w:val="bullet"/>
      <w:lvlText w:val="•"/>
      <w:lvlJc w:val="left"/>
      <w:pPr>
        <w:ind w:left="1671" w:hanging="159"/>
      </w:pPr>
      <w:rPr>
        <w:rFonts w:hint="default"/>
      </w:rPr>
    </w:lvl>
    <w:lvl w:ilvl="3">
      <w:start w:val="0"/>
      <w:numFmt w:val="bullet"/>
      <w:lvlText w:val="•"/>
      <w:lvlJc w:val="left"/>
      <w:pPr>
        <w:ind w:left="2346" w:hanging="159"/>
      </w:pPr>
      <w:rPr>
        <w:rFonts w:hint="default"/>
      </w:rPr>
    </w:lvl>
    <w:lvl w:ilvl="4">
      <w:start w:val="0"/>
      <w:numFmt w:val="bullet"/>
      <w:lvlText w:val="•"/>
      <w:lvlJc w:val="left"/>
      <w:pPr>
        <w:ind w:left="3022" w:hanging="159"/>
      </w:pPr>
      <w:rPr>
        <w:rFonts w:hint="default"/>
      </w:rPr>
    </w:lvl>
    <w:lvl w:ilvl="5">
      <w:start w:val="0"/>
      <w:numFmt w:val="bullet"/>
      <w:lvlText w:val="•"/>
      <w:lvlJc w:val="left"/>
      <w:pPr>
        <w:ind w:left="3697" w:hanging="159"/>
      </w:pPr>
      <w:rPr>
        <w:rFonts w:hint="default"/>
      </w:rPr>
    </w:lvl>
    <w:lvl w:ilvl="6">
      <w:start w:val="0"/>
      <w:numFmt w:val="bullet"/>
      <w:lvlText w:val="•"/>
      <w:lvlJc w:val="left"/>
      <w:pPr>
        <w:ind w:left="4373" w:hanging="159"/>
      </w:pPr>
      <w:rPr>
        <w:rFonts w:hint="default"/>
      </w:rPr>
    </w:lvl>
    <w:lvl w:ilvl="7">
      <w:start w:val="0"/>
      <w:numFmt w:val="bullet"/>
      <w:lvlText w:val="•"/>
      <w:lvlJc w:val="left"/>
      <w:pPr>
        <w:ind w:left="5048" w:hanging="159"/>
      </w:pPr>
      <w:rPr>
        <w:rFonts w:hint="default"/>
      </w:rPr>
    </w:lvl>
    <w:lvl w:ilvl="8">
      <w:start w:val="0"/>
      <w:numFmt w:val="bullet"/>
      <w:lvlText w:val="•"/>
      <w:lvlJc w:val="left"/>
      <w:pPr>
        <w:ind w:left="5724" w:hanging="159"/>
      </w:pPr>
      <w:rPr>
        <w:rFonts w:hint="default"/>
      </w:rPr>
    </w:lvl>
  </w:abstractNum>
  <w:abstractNum w:abstractNumId="12">
    <w:multiLevelType w:val="hybridMultilevel"/>
    <w:lvl w:ilvl="0">
      <w:start w:val="6"/>
      <w:numFmt w:val="decimal"/>
      <w:lvlText w:val="%1"/>
      <w:lvlJc w:val="left"/>
      <w:pPr>
        <w:ind w:left="1187" w:hanging="1035"/>
        <w:jc w:val="left"/>
      </w:pPr>
      <w:rPr>
        <w:rFonts w:hint="default"/>
      </w:rPr>
    </w:lvl>
    <w:lvl w:ilvl="1">
      <w:start w:val="7"/>
      <w:numFmt w:val="decimal"/>
      <w:lvlText w:val="%1.%2"/>
      <w:lvlJc w:val="left"/>
      <w:pPr>
        <w:ind w:left="1187" w:hanging="1035"/>
        <w:jc w:val="left"/>
      </w:pPr>
      <w:rPr>
        <w:rFonts w:hint="default" w:ascii="微软雅黑" w:hAnsi="微软雅黑" w:eastAsia="微软雅黑" w:cs="微软雅黑"/>
        <w:b/>
        <w:bCs/>
        <w:w w:val="81"/>
        <w:sz w:val="21"/>
        <w:szCs w:val="21"/>
      </w:rPr>
    </w:lvl>
    <w:lvl w:ilvl="2">
      <w:start w:val="0"/>
      <w:numFmt w:val="bullet"/>
      <w:lvlText w:val="•"/>
      <w:lvlJc w:val="left"/>
      <w:pPr>
        <w:ind w:left="1542" w:hanging="1035"/>
      </w:pPr>
      <w:rPr>
        <w:rFonts w:hint="default"/>
      </w:rPr>
    </w:lvl>
    <w:lvl w:ilvl="3">
      <w:start w:val="0"/>
      <w:numFmt w:val="bullet"/>
      <w:lvlText w:val="•"/>
      <w:lvlJc w:val="left"/>
      <w:pPr>
        <w:ind w:left="1723" w:hanging="1035"/>
      </w:pPr>
      <w:rPr>
        <w:rFonts w:hint="default"/>
      </w:rPr>
    </w:lvl>
    <w:lvl w:ilvl="4">
      <w:start w:val="0"/>
      <w:numFmt w:val="bullet"/>
      <w:lvlText w:val="•"/>
      <w:lvlJc w:val="left"/>
      <w:pPr>
        <w:ind w:left="1904" w:hanging="1035"/>
      </w:pPr>
      <w:rPr>
        <w:rFonts w:hint="default"/>
      </w:rPr>
    </w:lvl>
    <w:lvl w:ilvl="5">
      <w:start w:val="0"/>
      <w:numFmt w:val="bullet"/>
      <w:lvlText w:val="•"/>
      <w:lvlJc w:val="left"/>
      <w:pPr>
        <w:ind w:left="2086" w:hanging="1035"/>
      </w:pPr>
      <w:rPr>
        <w:rFonts w:hint="default"/>
      </w:rPr>
    </w:lvl>
    <w:lvl w:ilvl="6">
      <w:start w:val="0"/>
      <w:numFmt w:val="bullet"/>
      <w:lvlText w:val="•"/>
      <w:lvlJc w:val="left"/>
      <w:pPr>
        <w:ind w:left="2267" w:hanging="1035"/>
      </w:pPr>
      <w:rPr>
        <w:rFonts w:hint="default"/>
      </w:rPr>
    </w:lvl>
    <w:lvl w:ilvl="7">
      <w:start w:val="0"/>
      <w:numFmt w:val="bullet"/>
      <w:lvlText w:val="•"/>
      <w:lvlJc w:val="left"/>
      <w:pPr>
        <w:ind w:left="2448" w:hanging="1035"/>
      </w:pPr>
      <w:rPr>
        <w:rFonts w:hint="default"/>
      </w:rPr>
    </w:lvl>
    <w:lvl w:ilvl="8">
      <w:start w:val="0"/>
      <w:numFmt w:val="bullet"/>
      <w:lvlText w:val="•"/>
      <w:lvlJc w:val="left"/>
      <w:pPr>
        <w:ind w:left="2629" w:hanging="1035"/>
      </w:pPr>
      <w:rPr>
        <w:rFonts w:hint="default"/>
      </w:rPr>
    </w:lvl>
  </w:abstractNum>
  <w:abstractNum w:abstractNumId="11">
    <w:multiLevelType w:val="hybridMultilevel"/>
    <w:lvl w:ilvl="0">
      <w:start w:val="4"/>
      <w:numFmt w:val="decimal"/>
      <w:lvlText w:val="%1"/>
      <w:lvlJc w:val="left"/>
      <w:pPr>
        <w:ind w:left="3700" w:hanging="1035"/>
        <w:jc w:val="right"/>
      </w:pPr>
      <w:rPr>
        <w:rFonts w:hint="default"/>
      </w:rPr>
    </w:lvl>
    <w:lvl w:ilvl="1">
      <w:start w:val="2"/>
      <w:numFmt w:val="decimal"/>
      <w:lvlText w:val="%1.%2"/>
      <w:lvlJc w:val="left"/>
      <w:pPr>
        <w:ind w:left="1167" w:hanging="1035"/>
        <w:jc w:val="left"/>
      </w:pPr>
      <w:rPr>
        <w:rFonts w:hint="default" w:ascii="微软雅黑" w:hAnsi="微软雅黑" w:eastAsia="微软雅黑" w:cs="微软雅黑"/>
        <w:b/>
        <w:bCs/>
        <w:w w:val="99"/>
        <w:sz w:val="21"/>
        <w:szCs w:val="21"/>
      </w:rPr>
    </w:lvl>
    <w:lvl w:ilvl="2">
      <w:start w:val="1"/>
      <w:numFmt w:val="decimal"/>
      <w:lvlText w:val="%1.%2.%3"/>
      <w:lvlJc w:val="left"/>
      <w:pPr>
        <w:ind w:left="1167" w:hanging="1035"/>
        <w:jc w:val="left"/>
      </w:pPr>
      <w:rPr>
        <w:rFonts w:hint="default" w:ascii="微软雅黑" w:hAnsi="微软雅黑" w:eastAsia="微软雅黑" w:cs="微软雅黑"/>
        <w:b/>
        <w:bCs/>
        <w:w w:val="103"/>
        <w:sz w:val="21"/>
        <w:szCs w:val="21"/>
      </w:rPr>
    </w:lvl>
    <w:lvl w:ilvl="3">
      <w:start w:val="0"/>
      <w:numFmt w:val="bullet"/>
      <w:lvlText w:val="•"/>
      <w:lvlJc w:val="left"/>
      <w:pPr>
        <w:ind w:left="3512" w:hanging="1035"/>
      </w:pPr>
      <w:rPr>
        <w:rFonts w:hint="default"/>
      </w:rPr>
    </w:lvl>
    <w:lvl w:ilvl="4">
      <w:start w:val="0"/>
      <w:numFmt w:val="bullet"/>
      <w:lvlText w:val="•"/>
      <w:lvlJc w:val="left"/>
      <w:pPr>
        <w:ind w:left="3419" w:hanging="1035"/>
      </w:pPr>
      <w:rPr>
        <w:rFonts w:hint="default"/>
      </w:rPr>
    </w:lvl>
    <w:lvl w:ilvl="5">
      <w:start w:val="0"/>
      <w:numFmt w:val="bullet"/>
      <w:lvlText w:val="•"/>
      <w:lvlJc w:val="left"/>
      <w:pPr>
        <w:ind w:left="3325" w:hanging="1035"/>
      </w:pPr>
      <w:rPr>
        <w:rFonts w:hint="default"/>
      </w:rPr>
    </w:lvl>
    <w:lvl w:ilvl="6">
      <w:start w:val="0"/>
      <w:numFmt w:val="bullet"/>
      <w:lvlText w:val="•"/>
      <w:lvlJc w:val="left"/>
      <w:pPr>
        <w:ind w:left="3231" w:hanging="1035"/>
      </w:pPr>
      <w:rPr>
        <w:rFonts w:hint="default"/>
      </w:rPr>
    </w:lvl>
    <w:lvl w:ilvl="7">
      <w:start w:val="0"/>
      <w:numFmt w:val="bullet"/>
      <w:lvlText w:val="•"/>
      <w:lvlJc w:val="left"/>
      <w:pPr>
        <w:ind w:left="3138" w:hanging="1035"/>
      </w:pPr>
      <w:rPr>
        <w:rFonts w:hint="default"/>
      </w:rPr>
    </w:lvl>
    <w:lvl w:ilvl="8">
      <w:start w:val="0"/>
      <w:numFmt w:val="bullet"/>
      <w:lvlText w:val="•"/>
      <w:lvlJc w:val="left"/>
      <w:pPr>
        <w:ind w:left="3044" w:hanging="1035"/>
      </w:pPr>
      <w:rPr>
        <w:rFonts w:hint="default"/>
      </w:rPr>
    </w:lvl>
  </w:abstractNum>
  <w:abstractNum w:abstractNumId="10">
    <w:multiLevelType w:val="hybridMultilevel"/>
    <w:lvl w:ilvl="0">
      <w:start w:val="1"/>
      <w:numFmt w:val="decimal"/>
      <w:lvlText w:val="%1"/>
      <w:lvlJc w:val="left"/>
      <w:pPr>
        <w:ind w:left="1187" w:hanging="1035"/>
        <w:jc w:val="left"/>
      </w:pPr>
      <w:rPr>
        <w:rFonts w:hint="default"/>
      </w:rPr>
    </w:lvl>
    <w:lvl w:ilvl="1">
      <w:start w:val="1"/>
      <w:numFmt w:val="decimal"/>
      <w:lvlText w:val="%1.%2"/>
      <w:lvlJc w:val="left"/>
      <w:pPr>
        <w:ind w:left="1187" w:hanging="1035"/>
        <w:jc w:val="left"/>
      </w:pPr>
      <w:rPr>
        <w:rFonts w:hint="default" w:ascii="微软雅黑" w:hAnsi="微软雅黑" w:eastAsia="微软雅黑" w:cs="微软雅黑"/>
        <w:b/>
        <w:bCs/>
        <w:w w:val="99"/>
        <w:sz w:val="21"/>
        <w:szCs w:val="21"/>
      </w:rPr>
    </w:lvl>
    <w:lvl w:ilvl="2">
      <w:start w:val="1"/>
      <w:numFmt w:val="decimal"/>
      <w:lvlText w:val="%1.%2.%3"/>
      <w:lvlJc w:val="left"/>
      <w:pPr>
        <w:ind w:left="1187" w:hanging="1035"/>
        <w:jc w:val="left"/>
      </w:pPr>
      <w:rPr>
        <w:rFonts w:hint="default" w:ascii="微软雅黑" w:hAnsi="微软雅黑" w:eastAsia="微软雅黑" w:cs="微软雅黑"/>
        <w:b/>
        <w:bCs/>
        <w:w w:val="103"/>
        <w:sz w:val="21"/>
        <w:szCs w:val="21"/>
      </w:rPr>
    </w:lvl>
    <w:lvl w:ilvl="3">
      <w:start w:val="0"/>
      <w:numFmt w:val="bullet"/>
      <w:lvlText w:val="•"/>
      <w:lvlJc w:val="left"/>
      <w:pPr>
        <w:ind w:left="3863" w:hanging="1035"/>
      </w:pPr>
      <w:rPr>
        <w:rFonts w:hint="default"/>
      </w:rPr>
    </w:lvl>
    <w:lvl w:ilvl="4">
      <w:start w:val="0"/>
      <w:numFmt w:val="bullet"/>
      <w:lvlText w:val="•"/>
      <w:lvlJc w:val="left"/>
      <w:pPr>
        <w:ind w:left="4758" w:hanging="1035"/>
      </w:pPr>
      <w:rPr>
        <w:rFonts w:hint="default"/>
      </w:rPr>
    </w:lvl>
    <w:lvl w:ilvl="5">
      <w:start w:val="0"/>
      <w:numFmt w:val="bullet"/>
      <w:lvlText w:val="•"/>
      <w:lvlJc w:val="left"/>
      <w:pPr>
        <w:ind w:left="5653" w:hanging="1035"/>
      </w:pPr>
      <w:rPr>
        <w:rFonts w:hint="default"/>
      </w:rPr>
    </w:lvl>
    <w:lvl w:ilvl="6">
      <w:start w:val="0"/>
      <w:numFmt w:val="bullet"/>
      <w:lvlText w:val="•"/>
      <w:lvlJc w:val="left"/>
      <w:pPr>
        <w:ind w:left="6547" w:hanging="1035"/>
      </w:pPr>
      <w:rPr>
        <w:rFonts w:hint="default"/>
      </w:rPr>
    </w:lvl>
    <w:lvl w:ilvl="7">
      <w:start w:val="0"/>
      <w:numFmt w:val="bullet"/>
      <w:lvlText w:val="•"/>
      <w:lvlJc w:val="left"/>
      <w:pPr>
        <w:ind w:left="7442" w:hanging="1035"/>
      </w:pPr>
      <w:rPr>
        <w:rFonts w:hint="default"/>
      </w:rPr>
    </w:lvl>
    <w:lvl w:ilvl="8">
      <w:start w:val="0"/>
      <w:numFmt w:val="bullet"/>
      <w:lvlText w:val="•"/>
      <w:lvlJc w:val="left"/>
      <w:pPr>
        <w:ind w:left="8337" w:hanging="1035"/>
      </w:pPr>
      <w:rPr>
        <w:rFonts w:hint="default"/>
      </w:rPr>
    </w:lvl>
  </w:abstractNum>
  <w:abstractNum w:abstractNumId="9">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70" w:hanging="423"/>
      </w:pPr>
      <w:rPr>
        <w:rFonts w:hint="default"/>
      </w:rPr>
    </w:lvl>
    <w:lvl w:ilvl="3">
      <w:start w:val="0"/>
      <w:numFmt w:val="bullet"/>
      <w:lvlText w:val="•"/>
      <w:lvlJc w:val="left"/>
      <w:pPr>
        <w:ind w:left="1585" w:hanging="423"/>
      </w:pPr>
      <w:rPr>
        <w:rFonts w:hint="default"/>
      </w:rPr>
    </w:lvl>
    <w:lvl w:ilvl="4">
      <w:start w:val="0"/>
      <w:numFmt w:val="bullet"/>
      <w:lvlText w:val="•"/>
      <w:lvlJc w:val="left"/>
      <w:pPr>
        <w:ind w:left="1800" w:hanging="423"/>
      </w:pPr>
      <w:rPr>
        <w:rFonts w:hint="default"/>
      </w:rPr>
    </w:lvl>
    <w:lvl w:ilvl="5">
      <w:start w:val="0"/>
      <w:numFmt w:val="bullet"/>
      <w:lvlText w:val="•"/>
      <w:lvlJc w:val="left"/>
      <w:pPr>
        <w:ind w:left="2016" w:hanging="423"/>
      </w:pPr>
      <w:rPr>
        <w:rFonts w:hint="default"/>
      </w:rPr>
    </w:lvl>
    <w:lvl w:ilvl="6">
      <w:start w:val="0"/>
      <w:numFmt w:val="bullet"/>
      <w:lvlText w:val="•"/>
      <w:lvlJc w:val="left"/>
      <w:pPr>
        <w:ind w:left="2231"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61" w:hanging="423"/>
      </w:pPr>
      <w:rPr>
        <w:rFonts w:hint="default"/>
      </w:rPr>
    </w:lvl>
  </w:abstractNum>
  <w:abstractNum w:abstractNumId="8">
    <w:multiLevelType w:val="hybridMultilevel"/>
    <w:lvl w:ilvl="0">
      <w:start w:val="6"/>
      <w:numFmt w:val="decimal"/>
      <w:lvlText w:val="%1"/>
      <w:lvlJc w:val="left"/>
      <w:pPr>
        <w:ind w:left="935" w:hanging="423"/>
        <w:jc w:val="left"/>
      </w:pPr>
      <w:rPr>
        <w:rFonts w:hint="default"/>
      </w:rPr>
    </w:lvl>
    <w:lvl w:ilvl="1">
      <w:start w:val="6"/>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70" w:hanging="423"/>
      </w:pPr>
      <w:rPr>
        <w:rFonts w:hint="default"/>
      </w:rPr>
    </w:lvl>
    <w:lvl w:ilvl="3">
      <w:start w:val="0"/>
      <w:numFmt w:val="bullet"/>
      <w:lvlText w:val="•"/>
      <w:lvlJc w:val="left"/>
      <w:pPr>
        <w:ind w:left="1585" w:hanging="423"/>
      </w:pPr>
      <w:rPr>
        <w:rFonts w:hint="default"/>
      </w:rPr>
    </w:lvl>
    <w:lvl w:ilvl="4">
      <w:start w:val="0"/>
      <w:numFmt w:val="bullet"/>
      <w:lvlText w:val="•"/>
      <w:lvlJc w:val="left"/>
      <w:pPr>
        <w:ind w:left="1800" w:hanging="423"/>
      </w:pPr>
      <w:rPr>
        <w:rFonts w:hint="default"/>
      </w:rPr>
    </w:lvl>
    <w:lvl w:ilvl="5">
      <w:start w:val="0"/>
      <w:numFmt w:val="bullet"/>
      <w:lvlText w:val="•"/>
      <w:lvlJc w:val="left"/>
      <w:pPr>
        <w:ind w:left="2016" w:hanging="423"/>
      </w:pPr>
      <w:rPr>
        <w:rFonts w:hint="default"/>
      </w:rPr>
    </w:lvl>
    <w:lvl w:ilvl="6">
      <w:start w:val="0"/>
      <w:numFmt w:val="bullet"/>
      <w:lvlText w:val="•"/>
      <w:lvlJc w:val="left"/>
      <w:pPr>
        <w:ind w:left="2231"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61" w:hanging="423"/>
      </w:pPr>
      <w:rPr>
        <w:rFonts w:hint="default"/>
      </w:rPr>
    </w:lvl>
  </w:abstractNum>
  <w:abstractNum w:abstractNumId="7">
    <w:multiLevelType w:val="hybridMultilevel"/>
    <w:lvl w:ilvl="0">
      <w:start w:val="6"/>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94" w:hanging="423"/>
      </w:pPr>
      <w:rPr>
        <w:rFonts w:hint="default"/>
      </w:rPr>
    </w:lvl>
    <w:lvl w:ilvl="3">
      <w:start w:val="0"/>
      <w:numFmt w:val="bullet"/>
      <w:lvlText w:val="•"/>
      <w:lvlJc w:val="left"/>
      <w:pPr>
        <w:ind w:left="1621" w:hanging="423"/>
      </w:pPr>
      <w:rPr>
        <w:rFonts w:hint="default"/>
      </w:rPr>
    </w:lvl>
    <w:lvl w:ilvl="4">
      <w:start w:val="0"/>
      <w:numFmt w:val="bullet"/>
      <w:lvlText w:val="•"/>
      <w:lvlJc w:val="left"/>
      <w:pPr>
        <w:ind w:left="1848" w:hanging="423"/>
      </w:pPr>
      <w:rPr>
        <w:rFonts w:hint="default"/>
      </w:rPr>
    </w:lvl>
    <w:lvl w:ilvl="5">
      <w:start w:val="0"/>
      <w:numFmt w:val="bullet"/>
      <w:lvlText w:val="•"/>
      <w:lvlJc w:val="left"/>
      <w:pPr>
        <w:ind w:left="2075" w:hanging="423"/>
      </w:pPr>
      <w:rPr>
        <w:rFonts w:hint="default"/>
      </w:rPr>
    </w:lvl>
    <w:lvl w:ilvl="6">
      <w:start w:val="0"/>
      <w:numFmt w:val="bullet"/>
      <w:lvlText w:val="•"/>
      <w:lvlJc w:val="left"/>
      <w:pPr>
        <w:ind w:left="2302" w:hanging="423"/>
      </w:pPr>
      <w:rPr>
        <w:rFonts w:hint="default"/>
      </w:rPr>
    </w:lvl>
    <w:lvl w:ilvl="7">
      <w:start w:val="0"/>
      <w:numFmt w:val="bullet"/>
      <w:lvlText w:val="•"/>
      <w:lvlJc w:val="left"/>
      <w:pPr>
        <w:ind w:left="2529" w:hanging="423"/>
      </w:pPr>
      <w:rPr>
        <w:rFonts w:hint="default"/>
      </w:rPr>
    </w:lvl>
    <w:lvl w:ilvl="8">
      <w:start w:val="0"/>
      <w:numFmt w:val="bullet"/>
      <w:lvlText w:val="•"/>
      <w:lvlJc w:val="left"/>
      <w:pPr>
        <w:ind w:left="2756" w:hanging="423"/>
      </w:pPr>
      <w:rPr>
        <w:rFonts w:hint="default"/>
      </w:rPr>
    </w:lvl>
  </w:abstractNum>
  <w:abstractNum w:abstractNumId="6">
    <w:multiLevelType w:val="hybridMultilevel"/>
    <w:lvl w:ilvl="0">
      <w:start w:val="5"/>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94" w:hanging="423"/>
      </w:pPr>
      <w:rPr>
        <w:rFonts w:hint="default"/>
      </w:rPr>
    </w:lvl>
    <w:lvl w:ilvl="3">
      <w:start w:val="0"/>
      <w:numFmt w:val="bullet"/>
      <w:lvlText w:val="•"/>
      <w:lvlJc w:val="left"/>
      <w:pPr>
        <w:ind w:left="1621" w:hanging="423"/>
      </w:pPr>
      <w:rPr>
        <w:rFonts w:hint="default"/>
      </w:rPr>
    </w:lvl>
    <w:lvl w:ilvl="4">
      <w:start w:val="0"/>
      <w:numFmt w:val="bullet"/>
      <w:lvlText w:val="•"/>
      <w:lvlJc w:val="left"/>
      <w:pPr>
        <w:ind w:left="1848" w:hanging="423"/>
      </w:pPr>
      <w:rPr>
        <w:rFonts w:hint="default"/>
      </w:rPr>
    </w:lvl>
    <w:lvl w:ilvl="5">
      <w:start w:val="0"/>
      <w:numFmt w:val="bullet"/>
      <w:lvlText w:val="•"/>
      <w:lvlJc w:val="left"/>
      <w:pPr>
        <w:ind w:left="2075" w:hanging="423"/>
      </w:pPr>
      <w:rPr>
        <w:rFonts w:hint="default"/>
      </w:rPr>
    </w:lvl>
    <w:lvl w:ilvl="6">
      <w:start w:val="0"/>
      <w:numFmt w:val="bullet"/>
      <w:lvlText w:val="•"/>
      <w:lvlJc w:val="left"/>
      <w:pPr>
        <w:ind w:left="2302" w:hanging="423"/>
      </w:pPr>
      <w:rPr>
        <w:rFonts w:hint="default"/>
      </w:rPr>
    </w:lvl>
    <w:lvl w:ilvl="7">
      <w:start w:val="0"/>
      <w:numFmt w:val="bullet"/>
      <w:lvlText w:val="•"/>
      <w:lvlJc w:val="left"/>
      <w:pPr>
        <w:ind w:left="2529" w:hanging="423"/>
      </w:pPr>
      <w:rPr>
        <w:rFonts w:hint="default"/>
      </w:rPr>
    </w:lvl>
    <w:lvl w:ilvl="8">
      <w:start w:val="0"/>
      <w:numFmt w:val="bullet"/>
      <w:lvlText w:val="•"/>
      <w:lvlJc w:val="left"/>
      <w:pPr>
        <w:ind w:left="2756" w:hanging="423"/>
      </w:pPr>
      <w:rPr>
        <w:rFonts w:hint="default"/>
      </w:rPr>
    </w:lvl>
  </w:abstractNum>
  <w:abstractNum w:abstractNumId="5">
    <w:multiLevelType w:val="hybridMultilevel"/>
    <w:lvl w:ilvl="0">
      <w:start w:val="4"/>
      <w:numFmt w:val="decimal"/>
      <w:lvlText w:val="%1"/>
      <w:lvlJc w:val="left"/>
      <w:pPr>
        <w:ind w:left="934" w:hanging="423"/>
        <w:jc w:val="left"/>
      </w:pPr>
      <w:rPr>
        <w:rFonts w:hint="default"/>
      </w:rPr>
    </w:lvl>
    <w:lvl w:ilvl="1">
      <w:start w:val="3"/>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94" w:hanging="423"/>
      </w:pPr>
      <w:rPr>
        <w:rFonts w:hint="default"/>
      </w:rPr>
    </w:lvl>
    <w:lvl w:ilvl="3">
      <w:start w:val="0"/>
      <w:numFmt w:val="bullet"/>
      <w:lvlText w:val="•"/>
      <w:lvlJc w:val="left"/>
      <w:pPr>
        <w:ind w:left="1621" w:hanging="423"/>
      </w:pPr>
      <w:rPr>
        <w:rFonts w:hint="default"/>
      </w:rPr>
    </w:lvl>
    <w:lvl w:ilvl="4">
      <w:start w:val="0"/>
      <w:numFmt w:val="bullet"/>
      <w:lvlText w:val="•"/>
      <w:lvlJc w:val="left"/>
      <w:pPr>
        <w:ind w:left="1848" w:hanging="423"/>
      </w:pPr>
      <w:rPr>
        <w:rFonts w:hint="default"/>
      </w:rPr>
    </w:lvl>
    <w:lvl w:ilvl="5">
      <w:start w:val="0"/>
      <w:numFmt w:val="bullet"/>
      <w:lvlText w:val="•"/>
      <w:lvlJc w:val="left"/>
      <w:pPr>
        <w:ind w:left="2075" w:hanging="423"/>
      </w:pPr>
      <w:rPr>
        <w:rFonts w:hint="default"/>
      </w:rPr>
    </w:lvl>
    <w:lvl w:ilvl="6">
      <w:start w:val="0"/>
      <w:numFmt w:val="bullet"/>
      <w:lvlText w:val="•"/>
      <w:lvlJc w:val="left"/>
      <w:pPr>
        <w:ind w:left="2302" w:hanging="423"/>
      </w:pPr>
      <w:rPr>
        <w:rFonts w:hint="default"/>
      </w:rPr>
    </w:lvl>
    <w:lvl w:ilvl="7">
      <w:start w:val="0"/>
      <w:numFmt w:val="bullet"/>
      <w:lvlText w:val="•"/>
      <w:lvlJc w:val="left"/>
      <w:pPr>
        <w:ind w:left="2529" w:hanging="423"/>
      </w:pPr>
      <w:rPr>
        <w:rFonts w:hint="default"/>
      </w:rPr>
    </w:lvl>
    <w:lvl w:ilvl="8">
      <w:start w:val="0"/>
      <w:numFmt w:val="bullet"/>
      <w:lvlText w:val="•"/>
      <w:lvlJc w:val="left"/>
      <w:pPr>
        <w:ind w:left="2756" w:hanging="423"/>
      </w:pPr>
      <w:rPr>
        <w:rFonts w:hint="default"/>
      </w:rPr>
    </w:lvl>
  </w:abstractNum>
  <w:abstractNum w:abstractNumId="4">
    <w:multiLevelType w:val="hybridMultilevel"/>
    <w:lvl w:ilvl="0">
      <w:start w:val="4"/>
      <w:numFmt w:val="decimal"/>
      <w:lvlText w:val="%1."/>
      <w:lvlJc w:val="left"/>
      <w:pPr>
        <w:ind w:left="467" w:hanging="317"/>
        <w:jc w:val="left"/>
      </w:pPr>
      <w:rPr>
        <w:rFonts w:hint="default" w:ascii="微软雅黑" w:hAnsi="微软雅黑" w:eastAsia="微软雅黑" w:cs="微软雅黑"/>
        <w:b/>
        <w:bCs/>
        <w:w w:val="81"/>
        <w:sz w:val="21"/>
        <w:szCs w:val="21"/>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1"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2" w:hanging="423"/>
      </w:pPr>
      <w:rPr>
        <w:rFonts w:hint="default"/>
      </w:rPr>
    </w:lvl>
    <w:lvl w:ilvl="6">
      <w:start w:val="0"/>
      <w:numFmt w:val="bullet"/>
      <w:lvlText w:val="•"/>
      <w:lvlJc w:val="left"/>
      <w:pPr>
        <w:ind w:left="2167" w:hanging="423"/>
      </w:pPr>
      <w:rPr>
        <w:rFonts w:hint="default"/>
      </w:rPr>
    </w:lvl>
    <w:lvl w:ilvl="7">
      <w:start w:val="0"/>
      <w:numFmt w:val="bullet"/>
      <w:lvlText w:val="•"/>
      <w:lvlJc w:val="left"/>
      <w:pPr>
        <w:ind w:left="2413" w:hanging="423"/>
      </w:pPr>
      <w:rPr>
        <w:rFonts w:hint="default"/>
      </w:rPr>
    </w:lvl>
    <w:lvl w:ilvl="8">
      <w:start w:val="0"/>
      <w:numFmt w:val="bullet"/>
      <w:lvlText w:val="•"/>
      <w:lvlJc w:val="left"/>
      <w:pPr>
        <w:ind w:left="2658" w:hanging="423"/>
      </w:pPr>
      <w:rPr>
        <w:rFonts w:hint="default"/>
      </w:rPr>
    </w:lvl>
  </w:abstractNum>
  <w:abstractNum w:abstractNumId="3">
    <w:multiLevelType w:val="hybridMultilevel"/>
    <w:lvl w:ilvl="0">
      <w:start w:val="3"/>
      <w:numFmt w:val="decimal"/>
      <w:lvlText w:val="%1"/>
      <w:lvlJc w:val="left"/>
      <w:pPr>
        <w:ind w:left="932"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82" w:hanging="423"/>
      </w:pPr>
      <w:rPr>
        <w:rFonts w:hint="default"/>
      </w:rPr>
    </w:lvl>
    <w:lvl w:ilvl="3">
      <w:start w:val="0"/>
      <w:numFmt w:val="bullet"/>
      <w:lvlText w:val="•"/>
      <w:lvlJc w:val="left"/>
      <w:pPr>
        <w:ind w:left="1603" w:hanging="423"/>
      </w:pPr>
      <w:rPr>
        <w:rFonts w:hint="default"/>
      </w:rPr>
    </w:lvl>
    <w:lvl w:ilvl="4">
      <w:start w:val="0"/>
      <w:numFmt w:val="bullet"/>
      <w:lvlText w:val="•"/>
      <w:lvlJc w:val="left"/>
      <w:pPr>
        <w:ind w:left="1824"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266" w:hanging="423"/>
      </w:pPr>
      <w:rPr>
        <w:rFonts w:hint="default"/>
      </w:rPr>
    </w:lvl>
    <w:lvl w:ilvl="7">
      <w:start w:val="0"/>
      <w:numFmt w:val="bullet"/>
      <w:lvlText w:val="•"/>
      <w:lvlJc w:val="left"/>
      <w:pPr>
        <w:ind w:left="2487" w:hanging="423"/>
      </w:pPr>
      <w:rPr>
        <w:rFonts w:hint="default"/>
      </w:rPr>
    </w:lvl>
    <w:lvl w:ilvl="8">
      <w:start w:val="0"/>
      <w:numFmt w:val="bullet"/>
      <w:lvlText w:val="•"/>
      <w:lvlJc w:val="left"/>
      <w:pPr>
        <w:ind w:left="2708" w:hanging="423"/>
      </w:pPr>
      <w:rPr>
        <w:rFonts w:hint="default"/>
      </w:rPr>
    </w:lvl>
  </w:abstractNum>
  <w:abstractNum w:abstractNumId="2">
    <w:multiLevelType w:val="hybridMultilevel"/>
    <w:lvl w:ilvl="0">
      <w:start w:val="2"/>
      <w:numFmt w:val="decimal"/>
      <w:lvlText w:val="%1"/>
      <w:lvlJc w:val="left"/>
      <w:pPr>
        <w:ind w:left="932"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82" w:hanging="423"/>
      </w:pPr>
      <w:rPr>
        <w:rFonts w:hint="default"/>
      </w:rPr>
    </w:lvl>
    <w:lvl w:ilvl="3">
      <w:start w:val="0"/>
      <w:numFmt w:val="bullet"/>
      <w:lvlText w:val="•"/>
      <w:lvlJc w:val="left"/>
      <w:pPr>
        <w:ind w:left="1603" w:hanging="423"/>
      </w:pPr>
      <w:rPr>
        <w:rFonts w:hint="default"/>
      </w:rPr>
    </w:lvl>
    <w:lvl w:ilvl="4">
      <w:start w:val="0"/>
      <w:numFmt w:val="bullet"/>
      <w:lvlText w:val="•"/>
      <w:lvlJc w:val="left"/>
      <w:pPr>
        <w:ind w:left="1824"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266" w:hanging="423"/>
      </w:pPr>
      <w:rPr>
        <w:rFonts w:hint="default"/>
      </w:rPr>
    </w:lvl>
    <w:lvl w:ilvl="7">
      <w:start w:val="0"/>
      <w:numFmt w:val="bullet"/>
      <w:lvlText w:val="•"/>
      <w:lvlJc w:val="left"/>
      <w:pPr>
        <w:ind w:left="2487" w:hanging="423"/>
      </w:pPr>
      <w:rPr>
        <w:rFonts w:hint="default"/>
      </w:rPr>
    </w:lvl>
    <w:lvl w:ilvl="8">
      <w:start w:val="0"/>
      <w:numFmt w:val="bullet"/>
      <w:lvlText w:val="•"/>
      <w:lvlJc w:val="left"/>
      <w:pPr>
        <w:ind w:left="2708" w:hanging="423"/>
      </w:pPr>
      <w:rPr>
        <w:rFonts w:hint="default"/>
      </w:rPr>
    </w:lvl>
  </w:abstractNum>
  <w:abstractNum w:abstractNumId="1">
    <w:multiLevelType w:val="hybridMultilevel"/>
    <w:lvl w:ilvl="0">
      <w:start w:val="1"/>
      <w:numFmt w:val="decimal"/>
      <w:lvlText w:val="%1"/>
      <w:lvlJc w:val="left"/>
      <w:pPr>
        <w:ind w:left="916" w:hanging="406"/>
        <w:jc w:val="left"/>
      </w:pPr>
      <w:rPr>
        <w:rFonts w:hint="default"/>
      </w:rPr>
    </w:lvl>
    <w:lvl w:ilvl="1">
      <w:start w:val="1"/>
      <w:numFmt w:val="decimal"/>
      <w:lvlText w:val="%1.%2"/>
      <w:lvlJc w:val="left"/>
      <w:pPr>
        <w:ind w:left="916" w:hanging="406"/>
        <w:jc w:val="left"/>
      </w:pPr>
      <w:rPr>
        <w:rFonts w:hint="default" w:ascii="宋体" w:hAnsi="宋体" w:eastAsia="宋体" w:cs="宋体"/>
        <w:w w:val="100"/>
        <w:sz w:val="21"/>
        <w:szCs w:val="21"/>
      </w:rPr>
    </w:lvl>
    <w:lvl w:ilvl="2">
      <w:start w:val="0"/>
      <w:numFmt w:val="bullet"/>
      <w:lvlText w:val="•"/>
      <w:lvlJc w:val="left"/>
      <w:pPr>
        <w:ind w:left="1366" w:hanging="406"/>
      </w:pPr>
      <w:rPr>
        <w:rFonts w:hint="default"/>
      </w:rPr>
    </w:lvl>
    <w:lvl w:ilvl="3">
      <w:start w:val="0"/>
      <w:numFmt w:val="bullet"/>
      <w:lvlText w:val="•"/>
      <w:lvlJc w:val="left"/>
      <w:pPr>
        <w:ind w:left="1589" w:hanging="406"/>
      </w:pPr>
      <w:rPr>
        <w:rFonts w:hint="default"/>
      </w:rPr>
    </w:lvl>
    <w:lvl w:ilvl="4">
      <w:start w:val="0"/>
      <w:numFmt w:val="bullet"/>
      <w:lvlText w:val="•"/>
      <w:lvlJc w:val="left"/>
      <w:pPr>
        <w:ind w:left="1812" w:hanging="406"/>
      </w:pPr>
      <w:rPr>
        <w:rFonts w:hint="default"/>
      </w:rPr>
    </w:lvl>
    <w:lvl w:ilvl="5">
      <w:start w:val="0"/>
      <w:numFmt w:val="bullet"/>
      <w:lvlText w:val="•"/>
      <w:lvlJc w:val="left"/>
      <w:pPr>
        <w:ind w:left="2035" w:hanging="406"/>
      </w:pPr>
      <w:rPr>
        <w:rFonts w:hint="default"/>
      </w:rPr>
    </w:lvl>
    <w:lvl w:ilvl="6">
      <w:start w:val="0"/>
      <w:numFmt w:val="bullet"/>
      <w:lvlText w:val="•"/>
      <w:lvlJc w:val="left"/>
      <w:pPr>
        <w:ind w:left="2258" w:hanging="406"/>
      </w:pPr>
      <w:rPr>
        <w:rFonts w:hint="default"/>
      </w:rPr>
    </w:lvl>
    <w:lvl w:ilvl="7">
      <w:start w:val="0"/>
      <w:numFmt w:val="bullet"/>
      <w:lvlText w:val="•"/>
      <w:lvlJc w:val="left"/>
      <w:pPr>
        <w:ind w:left="2481" w:hanging="406"/>
      </w:pPr>
      <w:rPr>
        <w:rFonts w:hint="default"/>
      </w:rPr>
    </w:lvl>
    <w:lvl w:ilvl="8">
      <w:start w:val="0"/>
      <w:numFmt w:val="bullet"/>
      <w:lvlText w:val="•"/>
      <w:lvlJc w:val="left"/>
      <w:pPr>
        <w:ind w:left="2704"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4" w:hanging="413"/>
      </w:pPr>
      <w:rPr>
        <w:rFonts w:hint="default"/>
      </w:rPr>
    </w:lvl>
    <w:lvl w:ilvl="2">
      <w:start w:val="0"/>
      <w:numFmt w:val="bullet"/>
      <w:lvlText w:val="•"/>
      <w:lvlJc w:val="left"/>
      <w:pPr>
        <w:ind w:left="2769" w:hanging="413"/>
      </w:pPr>
      <w:rPr>
        <w:rFonts w:hint="default"/>
      </w:rPr>
    </w:lvl>
    <w:lvl w:ilvl="3">
      <w:start w:val="0"/>
      <w:numFmt w:val="bullet"/>
      <w:lvlText w:val="•"/>
      <w:lvlJc w:val="left"/>
      <w:pPr>
        <w:ind w:left="3663" w:hanging="413"/>
      </w:pPr>
      <w:rPr>
        <w:rFonts w:hint="default"/>
      </w:rPr>
    </w:lvl>
    <w:lvl w:ilvl="4">
      <w:start w:val="0"/>
      <w:numFmt w:val="bullet"/>
      <w:lvlText w:val="•"/>
      <w:lvlJc w:val="left"/>
      <w:pPr>
        <w:ind w:left="4558" w:hanging="413"/>
      </w:pPr>
      <w:rPr>
        <w:rFonts w:hint="default"/>
      </w:rPr>
    </w:lvl>
    <w:lvl w:ilvl="5">
      <w:start w:val="0"/>
      <w:numFmt w:val="bullet"/>
      <w:lvlText w:val="•"/>
      <w:lvlJc w:val="left"/>
      <w:pPr>
        <w:ind w:left="5453" w:hanging="413"/>
      </w:pPr>
      <w:rPr>
        <w:rFonts w:hint="default"/>
      </w:rPr>
    </w:lvl>
    <w:lvl w:ilvl="6">
      <w:start w:val="0"/>
      <w:numFmt w:val="bullet"/>
      <w:lvlText w:val="•"/>
      <w:lvlJc w:val="left"/>
      <w:pPr>
        <w:ind w:left="6347" w:hanging="413"/>
      </w:pPr>
      <w:rPr>
        <w:rFonts w:hint="default"/>
      </w:rPr>
    </w:lvl>
    <w:lvl w:ilvl="7">
      <w:start w:val="0"/>
      <w:numFmt w:val="bullet"/>
      <w:lvlText w:val="•"/>
      <w:lvlJc w:val="left"/>
      <w:pPr>
        <w:ind w:left="7242" w:hanging="413"/>
      </w:pPr>
      <w:rPr>
        <w:rFonts w:hint="default"/>
      </w:rPr>
    </w:lvl>
    <w:lvl w:ilvl="8">
      <w:start w:val="0"/>
      <w:numFmt w:val="bullet"/>
      <w:lvlText w:val="•"/>
      <w:lvlJc w:val="left"/>
      <w:pPr>
        <w:ind w:left="8137" w:hanging="413"/>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1"/>
      <w:ind w:left="3194"/>
      <w:jc w:val="both"/>
      <w:outlineLvl w:val="1"/>
    </w:pPr>
    <w:rPr>
      <w:rFonts w:ascii="Microsoft JhengHei" w:hAnsi="Microsoft JhengHei" w:eastAsia="Microsoft JhengHei" w:cs="Microsoft JhengHei"/>
      <w:b/>
      <w:bCs/>
      <w:sz w:val="22"/>
      <w:szCs w:val="22"/>
    </w:rPr>
  </w:style>
  <w:style w:styleId="Heading2" w:type="paragraph">
    <w:name w:val="Heading 2"/>
    <w:basedOn w:val="Normal"/>
    <w:uiPriority w:val="1"/>
    <w:qFormat/>
    <w:pPr>
      <w:ind w:left="118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973" w:hanging="10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2018-10-20T04:43:21Z</dcterms:created>
  <dcterms:modified xsi:type="dcterms:W3CDTF">2018-10-20T04:43:21Z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2017-03-25T00:00:00Z</vt:filetime>
  </property>
  <property fmtid="{D5CDD505-2E9C-101B-9397-08002B2CF9AE}" pid="3" name="Creator">
    <vt:lpwstr>Microsoft® Word 2016</vt:lpwstr>
  </property>
  <property fmtid="{D5CDD505-2E9C-101B-9397-08002B2CF9AE}" pid="4" name="LastSaved">
    <vt:filetime>2018-10-19T00:00:00Z</vt:filetime>
  </property>
</Properties>
</file>