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38" w:lineRule="exact" w:before="0"/>
        <w:ind w:left="0" w:right="376" w:firstLine="0"/>
        <w:jc w:val="right"/>
        <w:rPr>
          <w:rFonts w:ascii="Microsoft JhengHei" w:eastAsia="Microsoft JhengHei" w:hint="eastAsia"/>
          <w:b/>
          <w:sz w:val="20"/>
        </w:rPr>
      </w:pPr>
      <w:r>
        <w:rPr>
          <w:rFonts w:ascii="Microsoft JhengHei" w:eastAsia="Microsoft JhengHei" w:hint="eastAsia"/>
          <w:b/>
          <w:w w:val="95"/>
          <w:sz w:val="20"/>
        </w:rPr>
        <w:t>请扫描以查询验证条款</w:t>
      </w:r>
    </w:p>
    <w:p>
      <w:pPr>
        <w:pStyle w:val="BodyText"/>
        <w:spacing w:before="4"/>
        <w:rPr>
          <w:rFonts w:ascii="Microsoft JhengHei"/>
          <w:b/>
          <w:sz w:val="11"/>
        </w:rPr>
      </w:pPr>
      <w:r>
        <w:rPr/>
        <w:drawing>
          <wp:anchor distT="0" distB="0" distL="0" distR="0" allowOverlap="1" layoutInCell="1" locked="0" behindDoc="0" simplePos="0" relativeHeight="0">
            <wp:simplePos x="0" y="0"/>
            <wp:positionH relativeFrom="page">
              <wp:posOffset>5254752</wp:posOffset>
            </wp:positionH>
            <wp:positionV relativeFrom="paragraph">
              <wp:posOffset>149090</wp:posOffset>
            </wp:positionV>
            <wp:extent cx="726954"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6954" cy="723900"/>
                    </a:xfrm>
                    <a:prstGeom prst="rect">
                      <a:avLst/>
                    </a:prstGeom>
                  </pic:spPr>
                </pic:pic>
              </a:graphicData>
            </a:graphic>
          </wp:anchor>
        </w:drawing>
      </w:r>
    </w:p>
    <w:p>
      <w:pPr>
        <w:spacing w:line="291" w:lineRule="exact" w:before="0"/>
        <w:ind w:left="0" w:right="549" w:firstLine="0"/>
        <w:jc w:val="right"/>
        <w:rPr>
          <w:rFonts w:ascii="Microsoft JhengHei" w:eastAsia="Microsoft JhengHei" w:hint="eastAsia"/>
          <w:sz w:val="20"/>
        </w:rPr>
      </w:pPr>
      <w:r>
        <w:rPr>
          <w:rFonts w:ascii="Microsoft JhengHei" w:eastAsia="Microsoft JhengHei" w:hint="eastAsia"/>
          <w:sz w:val="20"/>
        </w:rPr>
        <w:t>中新大东方 [2014]</w:t>
      </w:r>
    </w:p>
    <w:p>
      <w:pPr>
        <w:spacing w:line="323" w:lineRule="exact" w:before="0"/>
        <w:ind w:left="0" w:right="785" w:firstLine="0"/>
        <w:jc w:val="right"/>
        <w:rPr>
          <w:rFonts w:ascii="Microsoft JhengHei" w:eastAsia="Microsoft JhengHei" w:hint="eastAsia"/>
          <w:sz w:val="20"/>
        </w:rPr>
      </w:pPr>
      <w:r>
        <w:rPr>
          <w:rFonts w:ascii="Microsoft JhengHei" w:eastAsia="Microsoft JhengHei" w:hint="eastAsia"/>
          <w:sz w:val="20"/>
        </w:rPr>
        <w:t>疾病保险 025</w:t>
      </w:r>
    </w:p>
    <w:p>
      <w:pPr>
        <w:pStyle w:val="BodyText"/>
        <w:rPr>
          <w:rFonts w:ascii="Microsoft JhengHei"/>
          <w:sz w:val="20"/>
        </w:rPr>
      </w:pPr>
    </w:p>
    <w:p>
      <w:pPr>
        <w:pStyle w:val="BodyText"/>
        <w:spacing w:before="10"/>
        <w:rPr>
          <w:rFonts w:ascii="Microsoft JhengHei"/>
          <w:sz w:val="29"/>
        </w:rPr>
      </w:pPr>
    </w:p>
    <w:p>
      <w:pPr>
        <w:spacing w:line="473" w:lineRule="exact" w:before="0"/>
        <w:ind w:left="969" w:right="0" w:firstLine="0"/>
        <w:jc w:val="left"/>
        <w:rPr>
          <w:rFonts w:ascii="Microsoft JhengHei UI" w:eastAsia="Microsoft JhengHei UI" w:hint="eastAsia"/>
          <w:b/>
          <w:sz w:val="30"/>
        </w:rPr>
      </w:pPr>
      <w:r>
        <w:rPr>
          <w:rFonts w:ascii="Microsoft JhengHei UI" w:eastAsia="Microsoft JhengHei UI" w:hint="eastAsia"/>
          <w:b/>
          <w:sz w:val="30"/>
        </w:rPr>
        <w:t>中新大东方附加金玉长安提前给付重大疾病保险条款</w:t>
      </w:r>
    </w:p>
    <w:p>
      <w:pPr>
        <w:pStyle w:val="BodyText"/>
        <w:spacing w:before="225"/>
        <w:ind w:left="1977"/>
      </w:pPr>
      <w:r>
        <w:rPr/>
        <w:t>感谢您选择了本公司 </w:t>
      </w:r>
      <w:r>
        <w:rPr>
          <w:rFonts w:ascii="Microsoft JhengHei UI" w:eastAsia="Microsoft JhengHei UI" w:hint="eastAsia"/>
          <w:b/>
        </w:rPr>
        <w:t>-  </w:t>
      </w:r>
      <w:r>
        <w:rPr/>
        <w:t>中新大东方人寿保险有限公司</w:t>
      </w:r>
    </w:p>
    <w:p>
      <w:pPr>
        <w:pStyle w:val="BodyText"/>
        <w:rPr>
          <w:sz w:val="26"/>
        </w:rPr>
      </w:pPr>
    </w:p>
    <w:p>
      <w:pPr>
        <w:pStyle w:val="BodyText"/>
        <w:spacing w:before="10"/>
        <w:rPr>
          <w:sz w:val="36"/>
        </w:rPr>
      </w:pPr>
    </w:p>
    <w:p>
      <w:pPr>
        <w:pStyle w:val="Heading1"/>
        <w:spacing w:line="240" w:lineRule="auto"/>
        <w:ind w:left="3501"/>
      </w:pPr>
      <w:r>
        <w:rPr/>
        <w:t>阅  读  指  引</w:t>
      </w:r>
    </w:p>
    <w:p>
      <w:pPr>
        <w:pStyle w:val="BodyText"/>
        <w:spacing w:line="408" w:lineRule="auto" w:before="209"/>
        <w:ind w:left="120" w:right="112" w:firstLine="309"/>
      </w:pPr>
      <w:r>
        <w:rPr/>
        <w:t>本阅读指引旨在提示您本条款中的重要事项，对“中新大东方附加金玉长安提前给付重大疾病保险合同”内容的解释以条款为准。</w:t>
      </w:r>
    </w:p>
    <w:p>
      <w:pPr>
        <w:pStyle w:val="Heading2"/>
        <w:spacing w:line="345" w:lineRule="exact"/>
        <w:ind w:left="429" w:firstLine="0"/>
      </w:pPr>
      <w:r>
        <w:rPr/>
        <w:t>您拥有的重要权益</w:t>
      </w:r>
    </w:p>
    <w:p>
      <w:pPr>
        <w:pStyle w:val="ListParagraph"/>
        <w:numPr>
          <w:ilvl w:val="0"/>
          <w:numId w:val="1"/>
        </w:numPr>
        <w:tabs>
          <w:tab w:pos="849" w:val="left" w:leader="none"/>
          <w:tab w:pos="850" w:val="left" w:leader="none"/>
        </w:tabs>
        <w:spacing w:line="240" w:lineRule="auto" w:before="169" w:after="0"/>
        <w:ind w:left="429" w:right="0" w:firstLine="0"/>
        <w:jc w:val="left"/>
        <w:rPr>
          <w:sz w:val="21"/>
        </w:rPr>
      </w:pPr>
      <w:r>
        <w:rPr>
          <w:spacing w:val="-3"/>
          <w:w w:val="95"/>
          <w:sz w:val="21"/>
        </w:rPr>
        <w:t>被保险人享有本公司提供的保障</w:t>
      </w:r>
      <w:r>
        <w:rPr>
          <w:w w:val="95"/>
          <w:sz w:val="21"/>
        </w:rPr>
        <w:t>（4.3）</w:t>
      </w:r>
    </w:p>
    <w:p>
      <w:pPr>
        <w:pStyle w:val="ListParagraph"/>
        <w:numPr>
          <w:ilvl w:val="0"/>
          <w:numId w:val="1"/>
        </w:numPr>
        <w:tabs>
          <w:tab w:pos="849" w:val="left" w:leader="none"/>
          <w:tab w:pos="850" w:val="left" w:leader="none"/>
        </w:tabs>
        <w:spacing w:line="345" w:lineRule="auto" w:before="178" w:after="0"/>
        <w:ind w:left="429" w:right="5557" w:firstLine="0"/>
        <w:jc w:val="left"/>
        <w:rPr>
          <w:rFonts w:ascii="Microsoft JhengHei UI" w:eastAsia="Microsoft JhengHei UI" w:hint="eastAsia"/>
          <w:b/>
          <w:sz w:val="21"/>
        </w:rPr>
      </w:pPr>
      <w:r>
        <w:rPr>
          <w:spacing w:val="-2"/>
          <w:w w:val="100"/>
          <w:sz w:val="21"/>
        </w:rPr>
        <w:t>您有退保的权利</w:t>
      </w:r>
      <w:r>
        <w:rPr>
          <w:w w:val="100"/>
          <w:sz w:val="21"/>
        </w:rPr>
        <w:t>（</w:t>
      </w:r>
      <w:r>
        <w:rPr>
          <w:spacing w:val="-1"/>
          <w:w w:val="94"/>
          <w:sz w:val="21"/>
        </w:rPr>
        <w:t>7</w:t>
      </w:r>
      <w:r>
        <w:rPr>
          <w:spacing w:val="-1"/>
          <w:w w:val="44"/>
          <w:sz w:val="21"/>
        </w:rPr>
        <w:t>.</w:t>
      </w:r>
      <w:r>
        <w:rPr>
          <w:spacing w:val="-1"/>
          <w:w w:val="94"/>
          <w:sz w:val="21"/>
        </w:rPr>
        <w:t>3</w:t>
      </w:r>
      <w:r>
        <w:rPr>
          <w:w w:val="100"/>
          <w:sz w:val="21"/>
        </w:rPr>
        <w:t>）</w:t>
      </w:r>
      <w:r>
        <w:rPr>
          <w:rFonts w:ascii="Microsoft JhengHei UI" w:eastAsia="Microsoft JhengHei UI" w:hint="eastAsia"/>
          <w:b/>
          <w:spacing w:val="-3"/>
          <w:sz w:val="21"/>
        </w:rPr>
        <w:t>您应当特别注意的事项</w:t>
      </w:r>
    </w:p>
    <w:p>
      <w:pPr>
        <w:pStyle w:val="ListParagraph"/>
        <w:numPr>
          <w:ilvl w:val="0"/>
          <w:numId w:val="1"/>
        </w:numPr>
        <w:tabs>
          <w:tab w:pos="849" w:val="left" w:leader="none"/>
          <w:tab w:pos="850" w:val="left" w:leader="none"/>
        </w:tabs>
        <w:spacing w:line="240" w:lineRule="auto" w:before="51" w:after="0"/>
        <w:ind w:left="849" w:right="0" w:hanging="422"/>
        <w:jc w:val="left"/>
        <w:rPr>
          <w:sz w:val="21"/>
        </w:rPr>
      </w:pPr>
      <w:r>
        <w:rPr>
          <w:rFonts w:ascii="黑体" w:eastAsia="黑体" w:hint="eastAsia"/>
          <w:b/>
          <w:spacing w:val="-2"/>
          <w:w w:val="95"/>
          <w:sz w:val="21"/>
        </w:rPr>
        <w:t>在某些情况下，本公司不承担保险责任</w:t>
      </w:r>
      <w:r>
        <w:rPr>
          <w:w w:val="95"/>
          <w:sz w:val="21"/>
        </w:rPr>
        <w:t>（4.4）</w:t>
      </w:r>
    </w:p>
    <w:p>
      <w:pPr>
        <w:pStyle w:val="ListParagraph"/>
        <w:numPr>
          <w:ilvl w:val="0"/>
          <w:numId w:val="1"/>
        </w:numPr>
        <w:tabs>
          <w:tab w:pos="849" w:val="left" w:leader="none"/>
          <w:tab w:pos="850" w:val="left" w:leader="none"/>
        </w:tabs>
        <w:spacing w:line="240" w:lineRule="auto" w:before="178" w:after="0"/>
        <w:ind w:left="849" w:right="0" w:hanging="422"/>
        <w:jc w:val="left"/>
        <w:rPr>
          <w:sz w:val="21"/>
        </w:rPr>
      </w:pPr>
      <w:r>
        <w:rPr>
          <w:spacing w:val="-4"/>
          <w:w w:val="95"/>
          <w:sz w:val="21"/>
        </w:rPr>
        <w:t>在保险期间内本公司可能会调整保险费率</w:t>
      </w:r>
      <w:r>
        <w:rPr>
          <w:w w:val="95"/>
          <w:sz w:val="21"/>
        </w:rPr>
        <w:t>（5.2）</w:t>
      </w:r>
    </w:p>
    <w:p>
      <w:pPr>
        <w:pStyle w:val="ListParagraph"/>
        <w:numPr>
          <w:ilvl w:val="0"/>
          <w:numId w:val="1"/>
        </w:numPr>
        <w:tabs>
          <w:tab w:pos="849" w:val="left" w:leader="none"/>
          <w:tab w:pos="850" w:val="left" w:leader="none"/>
        </w:tabs>
        <w:spacing w:line="240" w:lineRule="auto" w:before="178" w:after="0"/>
        <w:ind w:left="849" w:right="0" w:hanging="422"/>
        <w:jc w:val="left"/>
        <w:rPr>
          <w:sz w:val="21"/>
        </w:rPr>
      </w:pPr>
      <w:r>
        <w:rPr>
          <w:spacing w:val="-4"/>
          <w:w w:val="95"/>
          <w:sz w:val="21"/>
        </w:rPr>
        <w:t>没有按时支付保险费将会导致合同中止</w:t>
      </w:r>
      <w:r>
        <w:rPr>
          <w:w w:val="95"/>
          <w:sz w:val="21"/>
        </w:rPr>
        <w:t>（5.3）</w:t>
      </w:r>
    </w:p>
    <w:p>
      <w:pPr>
        <w:pStyle w:val="ListParagraph"/>
        <w:numPr>
          <w:ilvl w:val="0"/>
          <w:numId w:val="1"/>
        </w:numPr>
        <w:tabs>
          <w:tab w:pos="849" w:val="left" w:leader="none"/>
          <w:tab w:pos="850" w:val="left" w:leader="none"/>
        </w:tabs>
        <w:spacing w:line="240" w:lineRule="auto" w:before="178" w:after="0"/>
        <w:ind w:left="849" w:right="0" w:hanging="422"/>
        <w:jc w:val="left"/>
        <w:rPr>
          <w:sz w:val="21"/>
        </w:rPr>
      </w:pPr>
      <w:r>
        <w:rPr>
          <w:spacing w:val="-3"/>
          <w:w w:val="100"/>
          <w:sz w:val="21"/>
        </w:rPr>
        <w:t>犹豫期后退保会给您带来一定损失，请慎重决策</w:t>
      </w:r>
      <w:r>
        <w:rPr>
          <w:w w:val="100"/>
          <w:sz w:val="21"/>
        </w:rPr>
        <w:t>（</w:t>
      </w:r>
      <w:r>
        <w:rPr>
          <w:spacing w:val="-1"/>
          <w:w w:val="94"/>
          <w:sz w:val="21"/>
        </w:rPr>
        <w:t>7</w:t>
      </w:r>
      <w:r>
        <w:rPr>
          <w:spacing w:val="-4"/>
          <w:w w:val="44"/>
          <w:sz w:val="21"/>
        </w:rPr>
        <w:t>.</w:t>
      </w:r>
      <w:r>
        <w:rPr>
          <w:spacing w:val="-1"/>
          <w:w w:val="94"/>
          <w:sz w:val="21"/>
        </w:rPr>
        <w:t>3</w:t>
      </w:r>
      <w:r>
        <w:rPr>
          <w:w w:val="69"/>
          <w:sz w:val="21"/>
        </w:rPr>
        <w:t>.</w:t>
      </w:r>
      <w:r>
        <w:rPr>
          <w:spacing w:val="-2"/>
          <w:w w:val="69"/>
          <w:sz w:val="21"/>
        </w:rPr>
        <w:t>2</w:t>
      </w:r>
      <w:r>
        <w:rPr>
          <w:w w:val="100"/>
          <w:sz w:val="21"/>
        </w:rPr>
        <w:t>）</w:t>
      </w:r>
    </w:p>
    <w:p>
      <w:pPr>
        <w:pStyle w:val="ListParagraph"/>
        <w:numPr>
          <w:ilvl w:val="0"/>
          <w:numId w:val="1"/>
        </w:numPr>
        <w:tabs>
          <w:tab w:pos="849" w:val="left" w:leader="none"/>
          <w:tab w:pos="850" w:val="left" w:leader="none"/>
        </w:tabs>
        <w:spacing w:line="240" w:lineRule="auto" w:before="178" w:after="0"/>
        <w:ind w:left="849" w:right="0" w:hanging="422"/>
        <w:jc w:val="left"/>
        <w:rPr>
          <w:sz w:val="21"/>
        </w:rPr>
      </w:pPr>
      <w:r>
        <w:rPr>
          <w:spacing w:val="-4"/>
          <w:w w:val="95"/>
          <w:sz w:val="21"/>
        </w:rPr>
        <w:t>主险合同的某些变动会导致本附加险合同效力中止或终止(</w:t>
      </w:r>
      <w:r>
        <w:rPr>
          <w:w w:val="95"/>
          <w:sz w:val="21"/>
        </w:rPr>
        <w:t>7.4)</w:t>
      </w:r>
    </w:p>
    <w:p>
      <w:pPr>
        <w:pStyle w:val="ListParagraph"/>
        <w:numPr>
          <w:ilvl w:val="0"/>
          <w:numId w:val="1"/>
        </w:numPr>
        <w:tabs>
          <w:tab w:pos="849" w:val="left" w:leader="none"/>
          <w:tab w:pos="850" w:val="left" w:leader="none"/>
        </w:tabs>
        <w:spacing w:line="240" w:lineRule="auto" w:before="178" w:after="0"/>
        <w:ind w:left="849" w:right="0" w:hanging="422"/>
        <w:jc w:val="left"/>
        <w:rPr>
          <w:sz w:val="21"/>
        </w:rPr>
      </w:pPr>
      <w:r>
        <w:rPr>
          <w:spacing w:val="-3"/>
          <w:sz w:val="21"/>
        </w:rPr>
        <w:t>您有如实告知的义务</w:t>
      </w:r>
      <w:r>
        <w:rPr>
          <w:sz w:val="21"/>
        </w:rPr>
        <w:t>（9）</w:t>
      </w:r>
    </w:p>
    <w:p>
      <w:pPr>
        <w:pStyle w:val="ListParagraph"/>
        <w:numPr>
          <w:ilvl w:val="0"/>
          <w:numId w:val="1"/>
        </w:numPr>
        <w:tabs>
          <w:tab w:pos="849" w:val="left" w:leader="none"/>
          <w:tab w:pos="850" w:val="left" w:leader="none"/>
        </w:tabs>
        <w:spacing w:line="240" w:lineRule="auto" w:before="178" w:after="0"/>
        <w:ind w:left="849" w:right="0" w:hanging="422"/>
        <w:jc w:val="left"/>
        <w:rPr>
          <w:sz w:val="21"/>
        </w:rPr>
      </w:pPr>
      <w:r>
        <w:rPr>
          <w:spacing w:val="-4"/>
          <w:sz w:val="21"/>
        </w:rPr>
        <w:t>本公司对一些重要术语作了显著标记，并进行了解释</w:t>
      </w:r>
      <w:r>
        <w:rPr>
          <w:sz w:val="21"/>
        </w:rPr>
        <w:t>（10）</w:t>
      </w:r>
    </w:p>
    <w:p>
      <w:pPr>
        <w:pStyle w:val="ListParagraph"/>
        <w:numPr>
          <w:ilvl w:val="0"/>
          <w:numId w:val="1"/>
        </w:numPr>
        <w:tabs>
          <w:tab w:pos="849" w:val="left" w:leader="none"/>
          <w:tab w:pos="850" w:val="left" w:leader="none"/>
        </w:tabs>
        <w:spacing w:line="240" w:lineRule="auto" w:before="178" w:after="0"/>
        <w:ind w:left="849" w:right="0" w:hanging="422"/>
        <w:jc w:val="left"/>
        <w:rPr>
          <w:sz w:val="21"/>
        </w:rPr>
      </w:pPr>
      <w:r>
        <w:rPr>
          <w:spacing w:val="-3"/>
          <w:w w:val="95"/>
          <w:sz w:val="21"/>
        </w:rPr>
        <w:t>请仔细阅读本条款中关于重大疾病的释义</w:t>
      </w:r>
      <w:r>
        <w:rPr>
          <w:w w:val="95"/>
          <w:sz w:val="21"/>
        </w:rPr>
        <w:t>(10.3)</w:t>
      </w:r>
    </w:p>
    <w:p>
      <w:pPr>
        <w:pStyle w:val="BodyText"/>
        <w:spacing w:line="408" w:lineRule="auto" w:before="190"/>
        <w:ind w:left="429" w:right="112"/>
        <w:rPr>
          <w:rFonts w:ascii="黑体" w:eastAsia="黑体" w:hint="eastAsia"/>
        </w:rPr>
      </w:pPr>
      <w:r>
        <w:rPr>
          <w:rFonts w:ascii="黑体" w:eastAsia="黑体" w:hint="eastAsia"/>
          <w:spacing w:val="-4"/>
        </w:rPr>
        <w:t>条款是保险合同的重要组成部分，关系到您及被保险人、受益人的切身利益，请详细阅</w:t>
      </w:r>
      <w:r>
        <w:rPr>
          <w:rFonts w:ascii="黑体" w:eastAsia="黑体" w:hint="eastAsia"/>
          <w:spacing w:val="-2"/>
        </w:rPr>
        <w:t>读本条款</w:t>
      </w:r>
      <w:r>
        <w:rPr>
          <w:rFonts w:ascii="黑体" w:eastAsia="黑体" w:hint="eastAsia"/>
          <w:spacing w:val="-3"/>
        </w:rPr>
        <w:t>（特别是以黑体字标识的内容</w:t>
      </w:r>
      <w:r>
        <w:rPr>
          <w:rFonts w:ascii="黑体" w:eastAsia="黑体" w:hint="eastAsia"/>
          <w:spacing w:val="-108"/>
        </w:rPr>
        <w:t>）</w:t>
      </w:r>
      <w:r>
        <w:rPr>
          <w:rFonts w:ascii="黑体" w:eastAsia="黑体" w:hint="eastAsia"/>
        </w:rPr>
        <w:t>。</w:t>
      </w:r>
    </w:p>
    <w:p>
      <w:pPr>
        <w:spacing w:after="0" w:line="408" w:lineRule="auto"/>
        <w:rPr>
          <w:rFonts w:ascii="黑体" w:eastAsia="黑体" w:hint="eastAsia"/>
        </w:rPr>
        <w:sectPr>
          <w:footerReference w:type="default" r:id="rId5"/>
          <w:type w:val="continuous"/>
          <w:pgSz w:w="11910" w:h="16840"/>
          <w:pgMar w:footer="1045" w:top="1560" w:bottom="1240" w:left="1680" w:right="1680"/>
        </w:sectPr>
      </w:pPr>
    </w:p>
    <w:p>
      <w:pPr>
        <w:pStyle w:val="Heading1"/>
        <w:ind w:left="3939" w:right="3940"/>
        <w:jc w:val="center"/>
      </w:pPr>
      <w:r>
        <w:rPr/>
        <w:t>目 录</w:t>
      </w:r>
    </w:p>
    <w:p>
      <w:pPr>
        <w:spacing w:after="0"/>
        <w:jc w:val="center"/>
        <w:sectPr>
          <w:footerReference w:type="default" r:id="rId7"/>
          <w:pgSz w:w="11910" w:h="16840"/>
          <w:pgMar w:footer="1045" w:header="0" w:top="1460" w:bottom="1697" w:left="1680" w:right="1680"/>
          <w:pgNumType w:start="1"/>
        </w:sectPr>
      </w:pPr>
    </w:p>
    <w:sdt>
      <w:sdtPr>
        <w:docPartObj>
          <w:docPartGallery w:val="Table of Contents"/>
          <w:docPartUnique/>
        </w:docPartObj>
      </w:sdtPr>
      <w:sdtEndPr/>
      <w:sdtContent>
        <w:p>
          <w:pPr>
            <w:pStyle w:val="TOC1"/>
            <w:numPr>
              <w:ilvl w:val="0"/>
              <w:numId w:val="2"/>
            </w:numPr>
            <w:tabs>
              <w:tab w:pos="959" w:val="left" w:leader="none"/>
              <w:tab w:pos="960" w:val="left" w:leader="none"/>
              <w:tab w:pos="8416" w:val="right" w:leader="dot"/>
            </w:tabs>
            <w:spacing w:line="240" w:lineRule="auto" w:before="129" w:after="0"/>
            <w:ind w:left="960" w:right="0" w:hanging="840"/>
            <w:jc w:val="left"/>
            <w:rPr>
              <w:rFonts w:ascii="Times New Roman" w:eastAsia="Times New Roman"/>
            </w:rPr>
          </w:pPr>
          <w:r>
            <w:rPr/>
            <w:t>合同</w:t>
          </w:r>
          <w:r>
            <w:rPr>
              <w:spacing w:val="-3"/>
            </w:rPr>
            <w:t>订</w:t>
          </w:r>
          <w:r>
            <w:rPr/>
            <w:t>立</w:t>
            <w:tab/>
          </w:r>
          <w:r>
            <w:rPr>
              <w:rFonts w:ascii="Times New Roman" w:eastAsia="Times New Roman"/>
            </w:rPr>
            <w:t>3</w:t>
          </w:r>
        </w:p>
        <w:p>
          <w:pPr>
            <w:pStyle w:val="TOC1"/>
            <w:numPr>
              <w:ilvl w:val="0"/>
              <w:numId w:val="2"/>
            </w:numPr>
            <w:tabs>
              <w:tab w:pos="959" w:val="left" w:leader="none"/>
              <w:tab w:pos="960" w:val="left" w:leader="none"/>
              <w:tab w:pos="8416" w:val="right" w:leader="dot"/>
            </w:tabs>
            <w:spacing w:line="240" w:lineRule="auto" w:before="20" w:after="0"/>
            <w:ind w:left="960" w:right="0" w:hanging="840"/>
            <w:jc w:val="left"/>
            <w:rPr>
              <w:rFonts w:ascii="Times New Roman" w:eastAsia="Times New Roman"/>
            </w:rPr>
          </w:pPr>
          <w:hyperlink w:history="true" w:anchor="_TOC_250071">
            <w:r>
              <w:rPr/>
              <w:t>投保</w:t>
            </w:r>
            <w:r>
              <w:rPr>
                <w:spacing w:val="-3"/>
              </w:rPr>
              <w:t>年</w:t>
            </w:r>
            <w:r>
              <w:rPr/>
              <w:t>龄</w:t>
              <w:tab/>
            </w:r>
            <w:r>
              <w:rPr>
                <w:rFonts w:ascii="Times New Roman" w:eastAsia="Times New Roman"/>
              </w:rPr>
              <w:t>3</w:t>
            </w:r>
          </w:hyperlink>
        </w:p>
        <w:p>
          <w:pPr>
            <w:pStyle w:val="TOC1"/>
            <w:numPr>
              <w:ilvl w:val="0"/>
              <w:numId w:val="2"/>
            </w:numPr>
            <w:tabs>
              <w:tab w:pos="959" w:val="left" w:leader="none"/>
              <w:tab w:pos="960" w:val="left" w:leader="none"/>
              <w:tab w:pos="8416" w:val="right" w:leader="dot"/>
            </w:tabs>
            <w:spacing w:line="240" w:lineRule="auto" w:before="20" w:after="0"/>
            <w:ind w:left="960" w:right="0" w:hanging="840"/>
            <w:jc w:val="left"/>
            <w:rPr>
              <w:rFonts w:ascii="Times New Roman" w:eastAsia="Times New Roman"/>
            </w:rPr>
          </w:pPr>
          <w:r>
            <w:rPr/>
            <w:t>合同</w:t>
          </w:r>
          <w:r>
            <w:rPr>
              <w:spacing w:val="-3"/>
            </w:rPr>
            <w:t>生</w:t>
          </w:r>
          <w:r>
            <w:rPr/>
            <w:t>效</w:t>
            <w:tab/>
          </w:r>
          <w:r>
            <w:rPr>
              <w:rFonts w:ascii="Times New Roman" w:eastAsia="Times New Roman"/>
            </w:rPr>
            <w:t>3</w:t>
          </w:r>
        </w:p>
        <w:p>
          <w:pPr>
            <w:pStyle w:val="TOC1"/>
            <w:numPr>
              <w:ilvl w:val="0"/>
              <w:numId w:val="2"/>
            </w:numPr>
            <w:tabs>
              <w:tab w:pos="959" w:val="left" w:leader="none"/>
              <w:tab w:pos="960" w:val="left" w:leader="none"/>
              <w:tab w:pos="8416" w:val="right" w:leader="dot"/>
            </w:tabs>
            <w:spacing w:line="240" w:lineRule="auto" w:before="20" w:after="0"/>
            <w:ind w:left="960" w:right="0" w:hanging="840"/>
            <w:jc w:val="left"/>
            <w:rPr>
              <w:rFonts w:ascii="Times New Roman" w:eastAsia="Times New Roman"/>
            </w:rPr>
          </w:pPr>
          <w:hyperlink w:history="true" w:anchor="_TOC_250070">
            <w:r>
              <w:rPr/>
              <w:t>保险</w:t>
            </w:r>
            <w:r>
              <w:rPr>
                <w:spacing w:val="-3"/>
              </w:rPr>
              <w:t>责</w:t>
            </w:r>
            <w:r>
              <w:rPr/>
              <w:t>任</w:t>
              <w:tab/>
            </w:r>
            <w:r>
              <w:rPr>
                <w:rFonts w:ascii="Times New Roman" w:eastAsia="Times New Roman"/>
              </w:rPr>
              <w:t>4</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hyperlink w:history="true" w:anchor="_TOC_250069">
            <w:r>
              <w:rPr/>
              <w:t>保险</w:t>
            </w:r>
            <w:r>
              <w:rPr>
                <w:spacing w:val="-3"/>
              </w:rPr>
              <w:t>责</w:t>
            </w:r>
            <w:r>
              <w:rPr/>
              <w:t>任</w:t>
            </w:r>
            <w:r>
              <w:rPr>
                <w:spacing w:val="-3"/>
              </w:rPr>
              <w:t>的</w:t>
            </w:r>
            <w:r>
              <w:rPr/>
              <w:t>开始</w:t>
              <w:tab/>
            </w:r>
            <w:r>
              <w:rPr>
                <w:rFonts w:ascii="Times New Roman" w:eastAsia="Times New Roman"/>
              </w:rPr>
              <w:t>4</w:t>
            </w:r>
          </w:hyperlink>
        </w:p>
        <w:p>
          <w:pPr>
            <w:pStyle w:val="TOC2"/>
            <w:numPr>
              <w:ilvl w:val="1"/>
              <w:numId w:val="2"/>
            </w:numPr>
            <w:tabs>
              <w:tab w:pos="1171" w:val="left" w:leader="none"/>
              <w:tab w:pos="1172" w:val="left" w:leader="none"/>
              <w:tab w:pos="8416" w:val="right" w:leader="dot"/>
            </w:tabs>
            <w:spacing w:line="240" w:lineRule="auto" w:before="21" w:after="0"/>
            <w:ind w:left="1171" w:right="0" w:hanging="632"/>
            <w:jc w:val="left"/>
            <w:rPr>
              <w:rFonts w:ascii="Times New Roman" w:eastAsia="Times New Roman"/>
            </w:rPr>
          </w:pPr>
          <w:hyperlink w:history="true" w:anchor="_TOC_250068">
            <w:r>
              <w:rPr/>
              <w:t>保险</w:t>
            </w:r>
            <w:r>
              <w:rPr>
                <w:spacing w:val="-3"/>
              </w:rPr>
              <w:t>期</w:t>
            </w:r>
            <w:r>
              <w:rPr/>
              <w:t>间</w:t>
              <w:tab/>
            </w:r>
            <w:r>
              <w:rPr>
                <w:rFonts w:ascii="Times New Roman" w:eastAsia="Times New Roman"/>
              </w:rPr>
              <w:t>4</w:t>
            </w:r>
          </w:hyperlink>
        </w:p>
        <w:p>
          <w:pPr>
            <w:pStyle w:val="TOC2"/>
            <w:numPr>
              <w:ilvl w:val="1"/>
              <w:numId w:val="2"/>
            </w:numPr>
            <w:tabs>
              <w:tab w:pos="1171" w:val="left" w:leader="none"/>
              <w:tab w:pos="1172" w:val="left" w:leader="none"/>
              <w:tab w:pos="8416" w:val="right" w:leader="dot"/>
            </w:tabs>
            <w:spacing w:line="240" w:lineRule="auto" w:before="21" w:after="0"/>
            <w:ind w:left="1171" w:right="0" w:hanging="632"/>
            <w:jc w:val="left"/>
            <w:rPr>
              <w:rFonts w:ascii="Times New Roman" w:eastAsia="Times New Roman"/>
            </w:rPr>
          </w:pPr>
          <w:hyperlink w:history="true" w:anchor="_TOC_250067">
            <w:r>
              <w:rPr/>
              <w:t>本公</w:t>
            </w:r>
            <w:r>
              <w:rPr>
                <w:spacing w:val="-3"/>
              </w:rPr>
              <w:t>司</w:t>
            </w:r>
            <w:r>
              <w:rPr/>
              <w:t>承</w:t>
            </w:r>
            <w:r>
              <w:rPr>
                <w:spacing w:val="-3"/>
              </w:rPr>
              <w:t>担</w:t>
            </w:r>
            <w:r>
              <w:rPr/>
              <w:t>的</w:t>
            </w:r>
            <w:r>
              <w:rPr>
                <w:spacing w:val="-3"/>
              </w:rPr>
              <w:t>保</w:t>
            </w:r>
            <w:r>
              <w:rPr/>
              <w:t>险</w:t>
            </w:r>
            <w:r>
              <w:rPr>
                <w:spacing w:val="-3"/>
              </w:rPr>
              <w:t>责</w:t>
            </w:r>
            <w:r>
              <w:rPr/>
              <w:t>任</w:t>
              <w:tab/>
            </w:r>
            <w:r>
              <w:rPr>
                <w:rFonts w:ascii="Times New Roman" w:eastAsia="Times New Roman"/>
              </w:rPr>
              <w:t>4</w:t>
            </w:r>
          </w:hyperlink>
        </w:p>
        <w:p>
          <w:pPr>
            <w:pStyle w:val="TOC2"/>
            <w:numPr>
              <w:ilvl w:val="1"/>
              <w:numId w:val="2"/>
            </w:numPr>
            <w:tabs>
              <w:tab w:pos="1171" w:val="left" w:leader="none"/>
              <w:tab w:pos="1172" w:val="left" w:leader="none"/>
              <w:tab w:pos="8416" w:val="right" w:leader="dot"/>
            </w:tabs>
            <w:spacing w:line="240" w:lineRule="auto" w:before="21" w:after="0"/>
            <w:ind w:left="1171" w:right="0" w:hanging="632"/>
            <w:jc w:val="left"/>
            <w:rPr>
              <w:rFonts w:ascii="Times New Roman" w:eastAsia="Times New Roman"/>
            </w:rPr>
          </w:pPr>
          <w:hyperlink w:history="true" w:anchor="_TOC_250066">
            <w:r>
              <w:rPr/>
              <w:t>责任</w:t>
            </w:r>
            <w:r>
              <w:rPr>
                <w:spacing w:val="-3"/>
              </w:rPr>
              <w:t>免</w:t>
            </w:r>
            <w:r>
              <w:rPr/>
              <w:t>除</w:t>
              <w:tab/>
            </w:r>
            <w:r>
              <w:rPr>
                <w:rFonts w:ascii="Times New Roman" w:eastAsia="Times New Roman"/>
              </w:rPr>
              <w:t>4</w:t>
            </w:r>
          </w:hyperlink>
        </w:p>
        <w:p>
          <w:pPr>
            <w:pStyle w:val="TOC1"/>
            <w:numPr>
              <w:ilvl w:val="0"/>
              <w:numId w:val="2"/>
            </w:numPr>
            <w:tabs>
              <w:tab w:pos="959" w:val="left" w:leader="none"/>
              <w:tab w:pos="960" w:val="left" w:leader="none"/>
              <w:tab w:pos="8416" w:val="right" w:leader="dot"/>
            </w:tabs>
            <w:spacing w:line="240" w:lineRule="auto" w:before="21" w:after="0"/>
            <w:ind w:left="960" w:right="0" w:hanging="840"/>
            <w:jc w:val="left"/>
            <w:rPr>
              <w:rFonts w:ascii="Times New Roman" w:eastAsia="Times New Roman"/>
            </w:rPr>
          </w:pPr>
          <w:hyperlink w:history="true" w:anchor="_TOC_250065">
            <w:r>
              <w:rPr/>
              <w:t>保险费</w:t>
              <w:tab/>
            </w:r>
            <w:r>
              <w:rPr>
                <w:rFonts w:ascii="Times New Roman" w:eastAsia="Times New Roman"/>
              </w:rPr>
              <w:t>5</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r>
            <w:rPr/>
            <w:t>保险</w:t>
          </w:r>
          <w:r>
            <w:rPr>
              <w:spacing w:val="-3"/>
            </w:rPr>
            <w:t>费</w:t>
          </w:r>
          <w:r>
            <w:rPr/>
            <w:t>的</w:t>
          </w:r>
          <w:r>
            <w:rPr>
              <w:spacing w:val="-3"/>
            </w:rPr>
            <w:t>交</w:t>
          </w:r>
          <w:r>
            <w:rPr/>
            <w:t>纳</w:t>
          </w:r>
          <w:r>
            <w:rPr>
              <w:spacing w:val="-3"/>
            </w:rPr>
            <w:t>方</w:t>
          </w:r>
          <w:r>
            <w:rPr/>
            <w:t>式</w:t>
            <w:tab/>
          </w:r>
          <w:r>
            <w:rPr>
              <w:rFonts w:ascii="Times New Roman" w:eastAsia="Times New Roman"/>
            </w:rPr>
            <w:t>5</w:t>
          </w:r>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hyperlink w:history="true" w:anchor="_TOC_250064">
            <w:r>
              <w:rPr/>
              <w:t>保险</w:t>
            </w:r>
            <w:r>
              <w:rPr>
                <w:spacing w:val="-3"/>
              </w:rPr>
              <w:t>费</w:t>
            </w:r>
            <w:r>
              <w:rPr/>
              <w:t>率</w:t>
            </w:r>
            <w:r>
              <w:rPr>
                <w:spacing w:val="-3"/>
              </w:rPr>
              <w:t>调</w:t>
            </w:r>
            <w:r>
              <w:rPr/>
              <w:t>整</w:t>
              <w:tab/>
            </w:r>
            <w:r>
              <w:rPr>
                <w:rFonts w:ascii="Times New Roman" w:eastAsia="Times New Roman"/>
              </w:rPr>
              <w:t>5</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hyperlink w:history="true" w:anchor="_TOC_250063">
            <w:r>
              <w:rPr/>
              <w:t>宽限期</w:t>
              <w:tab/>
            </w:r>
            <w:r>
              <w:rPr>
                <w:rFonts w:ascii="Times New Roman" w:eastAsia="Times New Roman"/>
              </w:rPr>
              <w:t>5</w:t>
            </w:r>
          </w:hyperlink>
        </w:p>
        <w:p>
          <w:pPr>
            <w:pStyle w:val="TOC1"/>
            <w:numPr>
              <w:ilvl w:val="0"/>
              <w:numId w:val="2"/>
            </w:numPr>
            <w:tabs>
              <w:tab w:pos="959" w:val="left" w:leader="none"/>
              <w:tab w:pos="960" w:val="left" w:leader="none"/>
              <w:tab w:pos="8416" w:val="right" w:leader="dot"/>
            </w:tabs>
            <w:spacing w:line="240" w:lineRule="auto" w:before="20" w:after="0"/>
            <w:ind w:left="960" w:right="0" w:hanging="840"/>
            <w:jc w:val="left"/>
            <w:rPr>
              <w:rFonts w:ascii="Times New Roman" w:eastAsia="Times New Roman"/>
            </w:rPr>
          </w:pPr>
          <w:hyperlink w:history="true" w:anchor="_TOC_250062">
            <w:r>
              <w:rPr/>
              <w:t>保险</w:t>
            </w:r>
            <w:r>
              <w:rPr>
                <w:spacing w:val="-3"/>
              </w:rPr>
              <w:t>金</w:t>
            </w:r>
            <w:r>
              <w:rPr/>
              <w:t>的</w:t>
            </w:r>
            <w:r>
              <w:rPr>
                <w:spacing w:val="-3"/>
              </w:rPr>
              <w:t>领</w:t>
            </w:r>
            <w:r>
              <w:rPr/>
              <w:t>取</w:t>
              <w:tab/>
            </w:r>
            <w:r>
              <w:rPr>
                <w:rFonts w:ascii="Times New Roman" w:eastAsia="Times New Roman"/>
              </w:rPr>
              <w:t>6</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hyperlink w:history="true" w:anchor="_TOC_250061">
            <w:r>
              <w:rPr/>
              <w:t>重大</w:t>
            </w:r>
            <w:r>
              <w:rPr>
                <w:spacing w:val="-3"/>
              </w:rPr>
              <w:t>疾</w:t>
            </w:r>
            <w:r>
              <w:rPr/>
              <w:t>病</w:t>
            </w:r>
            <w:r>
              <w:rPr>
                <w:spacing w:val="-3"/>
              </w:rPr>
              <w:t>保</w:t>
            </w:r>
            <w:r>
              <w:rPr/>
              <w:t>险</w:t>
            </w:r>
            <w:r>
              <w:rPr>
                <w:spacing w:val="-3"/>
              </w:rPr>
              <w:t>金</w:t>
            </w:r>
            <w:r>
              <w:rPr/>
              <w:t>受</w:t>
            </w:r>
            <w:r>
              <w:rPr>
                <w:spacing w:val="-3"/>
              </w:rPr>
              <w:t>益</w:t>
            </w:r>
            <w:r>
              <w:rPr/>
              <w:t>人</w:t>
              <w:tab/>
            </w:r>
            <w:r>
              <w:rPr>
                <w:rFonts w:ascii="Times New Roman" w:eastAsia="Times New Roman"/>
              </w:rPr>
              <w:t>6</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hyperlink w:history="true" w:anchor="_TOC_250060">
            <w:r>
              <w:rPr/>
              <w:t>保险</w:t>
            </w:r>
            <w:r>
              <w:rPr>
                <w:spacing w:val="-3"/>
              </w:rPr>
              <w:t>事</w:t>
            </w:r>
            <w:r>
              <w:rPr/>
              <w:t>故</w:t>
            </w:r>
            <w:r>
              <w:rPr>
                <w:spacing w:val="-3"/>
              </w:rPr>
              <w:t>的</w:t>
            </w:r>
            <w:r>
              <w:rPr/>
              <w:t>通知</w:t>
              <w:tab/>
            </w:r>
            <w:r>
              <w:rPr>
                <w:rFonts w:ascii="Times New Roman" w:eastAsia="Times New Roman"/>
              </w:rPr>
              <w:t>6</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hyperlink w:history="true" w:anchor="_TOC_250059">
            <w:r>
              <w:rPr/>
              <w:t>重大</w:t>
            </w:r>
            <w:r>
              <w:rPr>
                <w:spacing w:val="-3"/>
              </w:rPr>
              <w:t>疾</w:t>
            </w:r>
            <w:r>
              <w:rPr/>
              <w:t>病</w:t>
            </w:r>
            <w:r>
              <w:rPr>
                <w:spacing w:val="-3"/>
              </w:rPr>
              <w:t>保</w:t>
            </w:r>
            <w:r>
              <w:rPr/>
              <w:t>险</w:t>
            </w:r>
            <w:r>
              <w:rPr>
                <w:spacing w:val="-3"/>
              </w:rPr>
              <w:t>金</w:t>
            </w:r>
            <w:r>
              <w:rPr/>
              <w:t>的</w:t>
            </w:r>
            <w:r>
              <w:rPr>
                <w:spacing w:val="-3"/>
              </w:rPr>
              <w:t>申</w:t>
            </w:r>
            <w:r>
              <w:rPr/>
              <w:t>请</w:t>
              <w:tab/>
            </w:r>
            <w:r>
              <w:rPr>
                <w:rFonts w:ascii="Times New Roman" w:eastAsia="Times New Roman"/>
              </w:rPr>
              <w:t>6</w:t>
            </w:r>
          </w:hyperlink>
        </w:p>
        <w:p>
          <w:pPr>
            <w:pStyle w:val="TOC2"/>
            <w:numPr>
              <w:ilvl w:val="1"/>
              <w:numId w:val="2"/>
            </w:numPr>
            <w:tabs>
              <w:tab w:pos="1171" w:val="left" w:leader="none"/>
              <w:tab w:pos="1172" w:val="left" w:leader="none"/>
              <w:tab w:pos="8416" w:val="right" w:leader="dot"/>
            </w:tabs>
            <w:spacing w:line="240" w:lineRule="auto" w:before="21" w:after="0"/>
            <w:ind w:left="1171" w:right="0" w:hanging="632"/>
            <w:jc w:val="left"/>
            <w:rPr>
              <w:rFonts w:ascii="Times New Roman" w:eastAsia="Times New Roman"/>
            </w:rPr>
          </w:pPr>
          <w:hyperlink w:history="true" w:anchor="_TOC_250058">
            <w:r>
              <w:rPr/>
              <w:t>保险</w:t>
            </w:r>
            <w:r>
              <w:rPr>
                <w:spacing w:val="-3"/>
              </w:rPr>
              <w:t>金</w:t>
            </w:r>
            <w:r>
              <w:rPr/>
              <w:t>的</w:t>
            </w:r>
            <w:r>
              <w:rPr>
                <w:spacing w:val="-3"/>
              </w:rPr>
              <w:t>给</w:t>
            </w:r>
            <w:r>
              <w:rPr/>
              <w:t>付</w:t>
              <w:tab/>
            </w:r>
            <w:r>
              <w:rPr>
                <w:rFonts w:ascii="Times New Roman" w:eastAsia="Times New Roman"/>
              </w:rPr>
              <w:t>6</w:t>
            </w:r>
          </w:hyperlink>
        </w:p>
        <w:p>
          <w:pPr>
            <w:pStyle w:val="TOC2"/>
            <w:numPr>
              <w:ilvl w:val="1"/>
              <w:numId w:val="2"/>
            </w:numPr>
            <w:tabs>
              <w:tab w:pos="1171" w:val="left" w:leader="none"/>
              <w:tab w:pos="1172" w:val="left" w:leader="none"/>
              <w:tab w:pos="8416" w:val="right" w:leader="dot"/>
            </w:tabs>
            <w:spacing w:line="240" w:lineRule="auto" w:before="21" w:after="0"/>
            <w:ind w:left="1171" w:right="0" w:hanging="632"/>
            <w:jc w:val="left"/>
            <w:rPr>
              <w:rFonts w:ascii="Times New Roman" w:eastAsia="Times New Roman"/>
            </w:rPr>
          </w:pPr>
          <w:hyperlink w:history="true" w:anchor="_TOC_250057">
            <w:r>
              <w:rPr/>
              <w:t>诉讼</w:t>
            </w:r>
            <w:r>
              <w:rPr>
                <w:spacing w:val="-3"/>
              </w:rPr>
              <w:t>时</w:t>
            </w:r>
            <w:r>
              <w:rPr/>
              <w:t>效</w:t>
              <w:tab/>
            </w:r>
            <w:r>
              <w:rPr>
                <w:rFonts w:ascii="Times New Roman" w:eastAsia="Times New Roman"/>
              </w:rPr>
              <w:t>7</w:t>
            </w:r>
          </w:hyperlink>
        </w:p>
        <w:p>
          <w:pPr>
            <w:pStyle w:val="TOC1"/>
            <w:numPr>
              <w:ilvl w:val="0"/>
              <w:numId w:val="2"/>
            </w:numPr>
            <w:tabs>
              <w:tab w:pos="959" w:val="left" w:leader="none"/>
              <w:tab w:pos="960" w:val="left" w:leader="none"/>
              <w:tab w:pos="8416" w:val="right" w:leader="dot"/>
            </w:tabs>
            <w:spacing w:line="240" w:lineRule="auto" w:before="21" w:after="0"/>
            <w:ind w:left="960" w:right="0" w:hanging="840"/>
            <w:jc w:val="left"/>
            <w:rPr>
              <w:rFonts w:ascii="Times New Roman" w:eastAsia="Times New Roman"/>
            </w:rPr>
          </w:pPr>
          <w:hyperlink w:history="true" w:anchor="_TOC_250056">
            <w:r>
              <w:rPr/>
              <w:t>合同</w:t>
            </w:r>
            <w:r>
              <w:rPr>
                <w:spacing w:val="-3"/>
              </w:rPr>
              <w:t>效</w:t>
            </w:r>
            <w:r>
              <w:rPr/>
              <w:t>力</w:t>
            </w:r>
            <w:r>
              <w:rPr>
                <w:spacing w:val="-3"/>
              </w:rPr>
              <w:t>的</w:t>
            </w:r>
            <w:r>
              <w:rPr/>
              <w:t>变动</w:t>
              <w:tab/>
            </w:r>
            <w:r>
              <w:rPr>
                <w:rFonts w:ascii="Times New Roman" w:eastAsia="Times New Roman"/>
              </w:rPr>
              <w:t>7</w:t>
            </w:r>
          </w:hyperlink>
        </w:p>
        <w:p>
          <w:pPr>
            <w:pStyle w:val="TOC2"/>
            <w:numPr>
              <w:ilvl w:val="1"/>
              <w:numId w:val="2"/>
            </w:numPr>
            <w:tabs>
              <w:tab w:pos="1171" w:val="left" w:leader="none"/>
              <w:tab w:pos="1172" w:val="left" w:leader="none"/>
              <w:tab w:pos="8416" w:val="right" w:leader="dot"/>
            </w:tabs>
            <w:spacing w:line="240" w:lineRule="auto" w:before="21" w:after="0"/>
            <w:ind w:left="1171" w:right="0" w:hanging="632"/>
            <w:jc w:val="left"/>
            <w:rPr>
              <w:rFonts w:ascii="Times New Roman" w:eastAsia="Times New Roman"/>
            </w:rPr>
          </w:pPr>
          <w:hyperlink w:history="true" w:anchor="_TOC_250055">
            <w:r>
              <w:rPr/>
              <w:t>合同</w:t>
            </w:r>
            <w:r>
              <w:rPr>
                <w:spacing w:val="-3"/>
              </w:rPr>
              <w:t>效</w:t>
            </w:r>
            <w:r>
              <w:rPr/>
              <w:t>力</w:t>
            </w:r>
            <w:r>
              <w:rPr>
                <w:spacing w:val="-3"/>
              </w:rPr>
              <w:t>的</w:t>
            </w:r>
            <w:r>
              <w:rPr/>
              <w:t>中止</w:t>
              <w:tab/>
            </w:r>
            <w:r>
              <w:rPr>
                <w:rFonts w:ascii="Times New Roman" w:eastAsia="Times New Roman"/>
              </w:rPr>
              <w:t>7</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hyperlink w:history="true" w:anchor="_TOC_250054">
            <w:r>
              <w:rPr/>
              <w:t>合同</w:t>
            </w:r>
            <w:r>
              <w:rPr>
                <w:spacing w:val="-3"/>
              </w:rPr>
              <w:t>效</w:t>
            </w:r>
            <w:r>
              <w:rPr/>
              <w:t>力</w:t>
            </w:r>
            <w:r>
              <w:rPr>
                <w:spacing w:val="-3"/>
              </w:rPr>
              <w:t>的</w:t>
            </w:r>
            <w:r>
              <w:rPr/>
              <w:t>恢复</w:t>
              <w:tab/>
            </w:r>
            <w:r>
              <w:rPr>
                <w:rFonts w:ascii="Times New Roman" w:eastAsia="Times New Roman"/>
              </w:rPr>
              <w:t>7</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hAnsi="Times New Roman" w:eastAsia="Times New Roman"/>
            </w:rPr>
          </w:pPr>
          <w:hyperlink w:history="true" w:anchor="_TOC_250053">
            <w:r>
              <w:rPr/>
              <w:t>合同</w:t>
            </w:r>
            <w:r>
              <w:rPr>
                <w:spacing w:val="-3"/>
              </w:rPr>
              <w:t>的</w:t>
            </w:r>
            <w:r>
              <w:rPr/>
              <w:t>解</w:t>
            </w:r>
            <w:r>
              <w:rPr>
                <w:spacing w:val="-3"/>
              </w:rPr>
              <w:t>除</w:t>
            </w:r>
            <w:r>
              <w:rPr/>
              <w:t>——退保</w:t>
              <w:tab/>
            </w:r>
            <w:r>
              <w:rPr>
                <w:rFonts w:ascii="Times New Roman" w:hAnsi="Times New Roman" w:eastAsia="Times New Roman"/>
              </w:rPr>
              <w:t>7</w:t>
            </w:r>
          </w:hyperlink>
        </w:p>
        <w:p>
          <w:pPr>
            <w:pStyle w:val="TOC3"/>
            <w:numPr>
              <w:ilvl w:val="2"/>
              <w:numId w:val="2"/>
            </w:numPr>
            <w:tabs>
              <w:tab w:pos="1498" w:val="left" w:leader="none"/>
              <w:tab w:pos="8416" w:val="right" w:leader="dot"/>
            </w:tabs>
            <w:spacing w:line="240" w:lineRule="auto" w:before="20" w:after="0"/>
            <w:ind w:left="1497" w:right="0" w:hanging="537"/>
            <w:jc w:val="left"/>
            <w:rPr>
              <w:rFonts w:ascii="Times New Roman" w:eastAsia="Times New Roman"/>
            </w:rPr>
          </w:pPr>
          <w:hyperlink w:history="true" w:anchor="_TOC_250052">
            <w:r>
              <w:rPr/>
              <w:t>犹豫期</w:t>
              <w:tab/>
            </w:r>
            <w:r>
              <w:rPr>
                <w:rFonts w:ascii="Times New Roman" w:eastAsia="Times New Roman"/>
              </w:rPr>
              <w:t>7</w:t>
            </w:r>
          </w:hyperlink>
        </w:p>
        <w:p>
          <w:pPr>
            <w:pStyle w:val="TOC3"/>
            <w:numPr>
              <w:ilvl w:val="2"/>
              <w:numId w:val="2"/>
            </w:numPr>
            <w:tabs>
              <w:tab w:pos="1498" w:val="left" w:leader="none"/>
              <w:tab w:pos="8416" w:val="right" w:leader="dot"/>
            </w:tabs>
            <w:spacing w:line="240" w:lineRule="auto" w:before="20" w:after="0"/>
            <w:ind w:left="1497" w:right="0" w:hanging="537"/>
            <w:jc w:val="left"/>
            <w:rPr>
              <w:rFonts w:ascii="Times New Roman" w:eastAsia="Times New Roman"/>
            </w:rPr>
          </w:pPr>
          <w:hyperlink w:history="true" w:anchor="_TOC_250051">
            <w:r>
              <w:rPr/>
              <w:t>犹豫期</w:t>
            </w:r>
            <w:r>
              <w:rPr>
                <w:spacing w:val="-3"/>
              </w:rPr>
              <w:t>之后</w:t>
            </w:r>
            <w:r>
              <w:rPr/>
              <w:t>申请</w:t>
            </w:r>
            <w:r>
              <w:rPr>
                <w:spacing w:val="-3"/>
              </w:rPr>
              <w:t>退</w:t>
            </w:r>
            <w:r>
              <w:rPr/>
              <w:t>保</w:t>
              <w:tab/>
            </w:r>
            <w:r>
              <w:rPr>
                <w:rFonts w:ascii="Times New Roman" w:eastAsia="Times New Roman"/>
              </w:rPr>
              <w:t>8</w:t>
            </w:r>
          </w:hyperlink>
        </w:p>
        <w:p>
          <w:pPr>
            <w:pStyle w:val="TOC3"/>
            <w:numPr>
              <w:ilvl w:val="2"/>
              <w:numId w:val="2"/>
            </w:numPr>
            <w:tabs>
              <w:tab w:pos="1498" w:val="left" w:leader="none"/>
              <w:tab w:pos="8416" w:val="right" w:leader="dot"/>
            </w:tabs>
            <w:spacing w:line="240" w:lineRule="auto" w:before="20" w:after="0"/>
            <w:ind w:left="1497" w:right="0" w:hanging="537"/>
            <w:jc w:val="left"/>
            <w:rPr>
              <w:rFonts w:ascii="Times New Roman" w:eastAsia="Times New Roman"/>
            </w:rPr>
          </w:pPr>
          <w:hyperlink w:history="true" w:anchor="_TOC_250050">
            <w:r>
              <w:rPr/>
              <w:t>退保申请</w:t>
              <w:tab/>
            </w:r>
            <w:r>
              <w:rPr>
                <w:rFonts w:ascii="Times New Roman" w:eastAsia="Times New Roman"/>
              </w:rPr>
              <w:t>8</w:t>
            </w:r>
          </w:hyperlink>
        </w:p>
        <w:p>
          <w:pPr>
            <w:pStyle w:val="TOC2"/>
            <w:numPr>
              <w:ilvl w:val="1"/>
              <w:numId w:val="2"/>
            </w:numPr>
            <w:tabs>
              <w:tab w:pos="1171" w:val="left" w:leader="none"/>
              <w:tab w:pos="1172" w:val="left" w:leader="none"/>
              <w:tab w:pos="8416" w:val="right" w:leader="dot"/>
            </w:tabs>
            <w:spacing w:line="240" w:lineRule="auto" w:before="20" w:after="0"/>
            <w:ind w:left="1171" w:right="0" w:hanging="632"/>
            <w:jc w:val="left"/>
            <w:rPr>
              <w:rFonts w:ascii="Times New Roman" w:eastAsia="Times New Roman"/>
            </w:rPr>
          </w:pPr>
          <w:hyperlink w:history="true" w:anchor="_TOC_250049">
            <w:r>
              <w:rPr/>
              <w:t>合同</w:t>
            </w:r>
            <w:r>
              <w:rPr>
                <w:spacing w:val="-3"/>
              </w:rPr>
              <w:t>效</w:t>
            </w:r>
            <w:r>
              <w:rPr/>
              <w:t>力</w:t>
            </w:r>
            <w:r>
              <w:rPr>
                <w:spacing w:val="-3"/>
              </w:rPr>
              <w:t>的</w:t>
            </w:r>
            <w:r>
              <w:rPr/>
              <w:t>终止</w:t>
              <w:tab/>
            </w:r>
            <w:r>
              <w:rPr>
                <w:rFonts w:ascii="Times New Roman" w:eastAsia="Times New Roman"/>
              </w:rPr>
              <w:t>8</w:t>
            </w:r>
          </w:hyperlink>
        </w:p>
        <w:p>
          <w:pPr>
            <w:pStyle w:val="TOC1"/>
            <w:numPr>
              <w:ilvl w:val="0"/>
              <w:numId w:val="2"/>
            </w:numPr>
            <w:tabs>
              <w:tab w:pos="959" w:val="left" w:leader="none"/>
              <w:tab w:pos="960" w:val="left" w:leader="none"/>
              <w:tab w:pos="8416" w:val="right" w:leader="dot"/>
            </w:tabs>
            <w:spacing w:line="240" w:lineRule="auto" w:before="20" w:after="0"/>
            <w:ind w:left="960" w:right="0" w:hanging="840"/>
            <w:jc w:val="left"/>
            <w:rPr>
              <w:rFonts w:ascii="Times New Roman" w:eastAsia="Times New Roman"/>
            </w:rPr>
          </w:pPr>
          <w:hyperlink w:history="true" w:anchor="_TOC_250048">
            <w:r>
              <w:rPr/>
              <w:t>被保</w:t>
            </w:r>
            <w:r>
              <w:rPr>
                <w:spacing w:val="-3"/>
              </w:rPr>
              <w:t>险</w:t>
            </w:r>
            <w:r>
              <w:rPr/>
              <w:t>人</w:t>
            </w:r>
            <w:r>
              <w:rPr>
                <w:spacing w:val="-3"/>
              </w:rPr>
              <w:t>年</w:t>
            </w:r>
            <w:r>
              <w:rPr/>
              <w:t>龄</w:t>
            </w:r>
            <w:r>
              <w:rPr>
                <w:spacing w:val="-3"/>
              </w:rPr>
              <w:t>确</w:t>
            </w:r>
            <w:r>
              <w:rPr/>
              <w:t>定</w:t>
            </w:r>
            <w:r>
              <w:rPr>
                <w:spacing w:val="-3"/>
              </w:rPr>
              <w:t>错</w:t>
            </w:r>
            <w:r>
              <w:rPr/>
              <w:t>误</w:t>
            </w:r>
            <w:r>
              <w:rPr>
                <w:spacing w:val="-3"/>
              </w:rPr>
              <w:t>处</w:t>
            </w:r>
            <w:r>
              <w:rPr/>
              <w:t>理</w:t>
              <w:tab/>
            </w:r>
            <w:r>
              <w:rPr>
                <w:rFonts w:ascii="Times New Roman" w:eastAsia="Times New Roman"/>
              </w:rPr>
              <w:t>8</w:t>
            </w:r>
          </w:hyperlink>
        </w:p>
        <w:p>
          <w:pPr>
            <w:pStyle w:val="TOC1"/>
            <w:numPr>
              <w:ilvl w:val="0"/>
              <w:numId w:val="2"/>
            </w:numPr>
            <w:tabs>
              <w:tab w:pos="959" w:val="left" w:leader="none"/>
              <w:tab w:pos="960" w:val="left" w:leader="none"/>
              <w:tab w:pos="8416" w:val="right" w:leader="dot"/>
            </w:tabs>
            <w:spacing w:line="240" w:lineRule="auto" w:before="21" w:after="0"/>
            <w:ind w:left="960" w:right="0" w:hanging="840"/>
            <w:jc w:val="left"/>
            <w:rPr>
              <w:rFonts w:ascii="Times New Roman" w:eastAsia="Times New Roman"/>
            </w:rPr>
          </w:pPr>
          <w:hyperlink w:history="true" w:anchor="_TOC_250047">
            <w:r>
              <w:rPr/>
              <w:t>适用</w:t>
            </w:r>
            <w:r>
              <w:rPr>
                <w:spacing w:val="-3"/>
              </w:rPr>
              <w:t>主</w:t>
            </w:r>
            <w:r>
              <w:rPr/>
              <w:t>险</w:t>
            </w:r>
            <w:r>
              <w:rPr>
                <w:spacing w:val="-3"/>
              </w:rPr>
              <w:t>条</w:t>
            </w:r>
            <w:r>
              <w:rPr/>
              <w:t>款</w:t>
              <w:tab/>
            </w:r>
            <w:r>
              <w:rPr>
                <w:rFonts w:ascii="Times New Roman" w:eastAsia="Times New Roman"/>
              </w:rPr>
              <w:t>9</w:t>
            </w:r>
          </w:hyperlink>
        </w:p>
        <w:p>
          <w:pPr>
            <w:pStyle w:val="TOC1"/>
            <w:numPr>
              <w:ilvl w:val="0"/>
              <w:numId w:val="2"/>
            </w:numPr>
            <w:tabs>
              <w:tab w:pos="959" w:val="left" w:leader="none"/>
              <w:tab w:pos="960" w:val="left" w:leader="none"/>
              <w:tab w:pos="8416" w:val="right" w:leader="dot"/>
            </w:tabs>
            <w:spacing w:line="240" w:lineRule="auto" w:before="21" w:after="0"/>
            <w:ind w:left="960" w:right="0" w:hanging="840"/>
            <w:jc w:val="left"/>
            <w:rPr>
              <w:rFonts w:ascii="Times New Roman" w:eastAsia="Times New Roman"/>
            </w:rPr>
          </w:pPr>
          <w:hyperlink w:history="true" w:anchor="_TOC_250046">
            <w:r>
              <w:rPr/>
              <w:t>释义</w:t>
              <w:tab/>
            </w:r>
            <w:r>
              <w:rPr>
                <w:rFonts w:ascii="Times New Roman" w:eastAsia="Times New Roman"/>
              </w:rPr>
              <w:t>9</w:t>
            </w:r>
          </w:hyperlink>
        </w:p>
        <w:p>
          <w:pPr>
            <w:pStyle w:val="TOC2"/>
            <w:numPr>
              <w:ilvl w:val="1"/>
              <w:numId w:val="3"/>
            </w:numPr>
            <w:tabs>
              <w:tab w:pos="1091" w:val="left" w:leader="none"/>
              <w:tab w:pos="1092" w:val="left" w:leader="none"/>
              <w:tab w:pos="8416" w:val="right" w:leader="dot"/>
            </w:tabs>
            <w:spacing w:line="240" w:lineRule="auto" w:before="21" w:after="0"/>
            <w:ind w:left="1092" w:right="0" w:hanging="553"/>
            <w:jc w:val="left"/>
            <w:rPr>
              <w:rFonts w:ascii="Times New Roman" w:eastAsia="Times New Roman"/>
            </w:rPr>
          </w:pPr>
          <w:hyperlink w:history="true" w:anchor="_TOC_250045">
            <w:r>
              <w:rPr/>
              <w:t>周岁</w:t>
              <w:tab/>
            </w:r>
            <w:r>
              <w:rPr>
                <w:rFonts w:ascii="Times New Roman" w:eastAsia="Times New Roman"/>
              </w:rPr>
              <w:t>9</w:t>
            </w:r>
          </w:hyperlink>
        </w:p>
        <w:p>
          <w:pPr>
            <w:pStyle w:val="TOC2"/>
            <w:numPr>
              <w:ilvl w:val="1"/>
              <w:numId w:val="3"/>
            </w:numPr>
            <w:tabs>
              <w:tab w:pos="1091" w:val="left" w:leader="none"/>
              <w:tab w:pos="1092" w:val="left" w:leader="none"/>
              <w:tab w:pos="8416" w:val="right" w:leader="dot"/>
            </w:tabs>
            <w:spacing w:line="240" w:lineRule="auto" w:before="21" w:after="0"/>
            <w:ind w:left="1092" w:right="0" w:hanging="553"/>
            <w:jc w:val="left"/>
            <w:rPr>
              <w:rFonts w:ascii="Times New Roman" w:eastAsia="Times New Roman"/>
            </w:rPr>
          </w:pPr>
          <w:hyperlink w:history="true" w:anchor="_TOC_250044">
            <w:r>
              <w:rPr/>
              <w:t>医院</w:t>
              <w:tab/>
            </w:r>
            <w:r>
              <w:rPr>
                <w:rFonts w:ascii="Times New Roman" w:eastAsia="Times New Roman"/>
              </w:rPr>
              <w:t>9</w:t>
            </w:r>
          </w:hyperlink>
        </w:p>
        <w:p>
          <w:pPr>
            <w:pStyle w:val="TOC2"/>
            <w:numPr>
              <w:ilvl w:val="1"/>
              <w:numId w:val="3"/>
            </w:numPr>
            <w:tabs>
              <w:tab w:pos="1091" w:val="left" w:leader="none"/>
              <w:tab w:pos="1092" w:val="left" w:leader="none"/>
              <w:tab w:pos="8416" w:val="right" w:leader="dot"/>
            </w:tabs>
            <w:spacing w:line="240" w:lineRule="auto" w:before="20" w:after="0"/>
            <w:ind w:left="1092" w:right="0" w:hanging="553"/>
            <w:jc w:val="left"/>
            <w:rPr>
              <w:rFonts w:ascii="Times New Roman" w:eastAsia="Times New Roman"/>
            </w:rPr>
          </w:pPr>
          <w:hyperlink w:history="true" w:anchor="_TOC_250043">
            <w:r>
              <w:rPr/>
              <w:t>30</w:t>
            </w:r>
            <w:r>
              <w:rPr>
                <w:spacing w:val="-55"/>
              </w:rPr>
              <w:t> </w:t>
            </w:r>
            <w:r>
              <w:rPr/>
              <w:t>种</w:t>
            </w:r>
            <w:r>
              <w:rPr>
                <w:spacing w:val="-3"/>
              </w:rPr>
              <w:t>重</w:t>
            </w:r>
            <w:r>
              <w:rPr/>
              <w:t>大</w:t>
            </w:r>
            <w:r>
              <w:rPr>
                <w:spacing w:val="-3"/>
              </w:rPr>
              <w:t>疾</w:t>
            </w:r>
            <w:r>
              <w:rPr/>
              <w:t>病</w:t>
              <w:tab/>
            </w:r>
            <w:r>
              <w:rPr>
                <w:rFonts w:ascii="Times New Roman" w:eastAsia="Times New Roman"/>
              </w:rPr>
              <w:t>9</w:t>
            </w:r>
          </w:hyperlink>
        </w:p>
        <w:p>
          <w:pPr>
            <w:pStyle w:val="TOC3"/>
            <w:numPr>
              <w:ilvl w:val="2"/>
              <w:numId w:val="3"/>
            </w:numPr>
            <w:tabs>
              <w:tab w:pos="1799" w:val="left" w:leader="none"/>
              <w:tab w:pos="1800" w:val="left" w:leader="none"/>
              <w:tab w:pos="8416" w:val="right" w:leader="dot"/>
            </w:tabs>
            <w:spacing w:line="240" w:lineRule="auto" w:before="20" w:after="0"/>
            <w:ind w:left="1799" w:right="0" w:hanging="839"/>
            <w:jc w:val="left"/>
            <w:rPr>
              <w:rFonts w:ascii="Times New Roman" w:eastAsia="Times New Roman"/>
            </w:rPr>
          </w:pPr>
          <w:hyperlink w:history="true" w:anchor="_TOC_250042">
            <w:r>
              <w:rPr/>
              <w:t>恶性</w:t>
            </w:r>
            <w:r>
              <w:rPr>
                <w:spacing w:val="-3"/>
              </w:rPr>
              <w:t>肿</w:t>
            </w:r>
            <w:r>
              <w:rPr/>
              <w:t>瘤</w:t>
              <w:tab/>
            </w:r>
            <w:r>
              <w:rPr>
                <w:rFonts w:ascii="Times New Roman" w:eastAsia="Times New Roman"/>
              </w:rPr>
              <w:t>10</w:t>
            </w:r>
          </w:hyperlink>
        </w:p>
        <w:p>
          <w:pPr>
            <w:pStyle w:val="TOC3"/>
            <w:numPr>
              <w:ilvl w:val="2"/>
              <w:numId w:val="3"/>
            </w:numPr>
            <w:tabs>
              <w:tab w:pos="1799" w:val="left" w:leader="none"/>
              <w:tab w:pos="1800" w:val="left" w:leader="none"/>
              <w:tab w:pos="8416" w:val="right" w:leader="dot"/>
            </w:tabs>
            <w:spacing w:line="240" w:lineRule="auto" w:before="20" w:after="0"/>
            <w:ind w:left="1799" w:right="0" w:hanging="839"/>
            <w:jc w:val="left"/>
            <w:rPr>
              <w:rFonts w:ascii="Times New Roman" w:eastAsia="Times New Roman"/>
            </w:rPr>
          </w:pPr>
          <w:hyperlink w:history="true" w:anchor="_TOC_250041">
            <w:r>
              <w:rPr/>
              <w:t>急性</w:t>
            </w:r>
            <w:r>
              <w:rPr>
                <w:spacing w:val="-3"/>
              </w:rPr>
              <w:t>心</w:t>
            </w:r>
            <w:r>
              <w:rPr/>
              <w:t>肌</w:t>
            </w:r>
            <w:r>
              <w:rPr>
                <w:spacing w:val="-3"/>
              </w:rPr>
              <w:t>梗</w:t>
            </w:r>
            <w:r>
              <w:rPr/>
              <w:t>塞</w:t>
              <w:tab/>
            </w:r>
            <w:r>
              <w:rPr>
                <w:rFonts w:ascii="Times New Roman" w:eastAsia="Times New Roman"/>
              </w:rPr>
              <w:t>10</w:t>
            </w:r>
          </w:hyperlink>
        </w:p>
        <w:p>
          <w:pPr>
            <w:pStyle w:val="TOC3"/>
            <w:numPr>
              <w:ilvl w:val="2"/>
              <w:numId w:val="3"/>
            </w:numPr>
            <w:tabs>
              <w:tab w:pos="1799" w:val="left" w:leader="none"/>
              <w:tab w:pos="1800" w:val="left" w:leader="none"/>
              <w:tab w:pos="8419" w:val="right" w:leader="dot"/>
            </w:tabs>
            <w:spacing w:line="240" w:lineRule="auto" w:before="20" w:after="0"/>
            <w:ind w:left="1799" w:right="0" w:hanging="839"/>
            <w:jc w:val="left"/>
            <w:rPr>
              <w:rFonts w:ascii="Times New Roman" w:eastAsia="Times New Roman"/>
            </w:rPr>
          </w:pPr>
          <w:hyperlink w:history="true" w:anchor="_TOC_250040">
            <w:r>
              <w:rPr/>
              <w:t>脑中</w:t>
            </w:r>
            <w:r>
              <w:rPr>
                <w:spacing w:val="-3"/>
              </w:rPr>
              <w:t>风</w:t>
            </w:r>
            <w:r>
              <w:rPr/>
              <w:t>后</w:t>
            </w:r>
            <w:r>
              <w:rPr>
                <w:spacing w:val="-3"/>
              </w:rPr>
              <w:t>遗</w:t>
            </w:r>
            <w:r>
              <w:rPr/>
              <w:t>症</w:t>
              <w:tab/>
            </w:r>
            <w:r>
              <w:rPr>
                <w:rFonts w:ascii="Times New Roman" w:eastAsia="Times New Roman"/>
                <w:spacing w:val="-4"/>
              </w:rPr>
              <w:t>11</w:t>
            </w:r>
          </w:hyperlink>
        </w:p>
        <w:p>
          <w:pPr>
            <w:pStyle w:val="TOC3"/>
            <w:numPr>
              <w:ilvl w:val="2"/>
              <w:numId w:val="3"/>
            </w:numPr>
            <w:tabs>
              <w:tab w:pos="1799" w:val="left" w:leader="none"/>
              <w:tab w:pos="1800" w:val="left" w:leader="none"/>
              <w:tab w:pos="8419" w:val="right" w:leader="dot"/>
            </w:tabs>
            <w:spacing w:line="240" w:lineRule="auto" w:before="20" w:after="0"/>
            <w:ind w:left="1799" w:right="0" w:hanging="839"/>
            <w:jc w:val="left"/>
            <w:rPr>
              <w:rFonts w:ascii="Times New Roman" w:eastAsia="Times New Roman"/>
            </w:rPr>
          </w:pPr>
          <w:hyperlink w:history="true" w:anchor="_TOC_250039">
            <w:r>
              <w:rPr/>
              <w:t>重大</w:t>
            </w:r>
            <w:r>
              <w:rPr>
                <w:spacing w:val="-3"/>
              </w:rPr>
              <w:t>器</w:t>
            </w:r>
            <w:r>
              <w:rPr/>
              <w:t>官</w:t>
            </w:r>
            <w:r>
              <w:rPr>
                <w:spacing w:val="-3"/>
              </w:rPr>
              <w:t>移</w:t>
            </w:r>
            <w:r>
              <w:rPr/>
              <w:t>植</w:t>
            </w:r>
            <w:r>
              <w:rPr>
                <w:spacing w:val="-3"/>
              </w:rPr>
              <w:t>术</w:t>
            </w:r>
            <w:r>
              <w:rPr/>
              <w:t>或</w:t>
            </w:r>
            <w:r>
              <w:rPr>
                <w:spacing w:val="-3"/>
              </w:rPr>
              <w:t>造</w:t>
            </w:r>
            <w:r>
              <w:rPr/>
              <w:t>血</w:t>
            </w:r>
            <w:r>
              <w:rPr>
                <w:spacing w:val="-3"/>
              </w:rPr>
              <w:t>干</w:t>
            </w:r>
            <w:r>
              <w:rPr/>
              <w:t>细胞</w:t>
            </w:r>
            <w:r>
              <w:rPr>
                <w:spacing w:val="-3"/>
              </w:rPr>
              <w:t>移</w:t>
            </w:r>
            <w:r>
              <w:rPr/>
              <w:t>植术</w:t>
              <w:tab/>
            </w:r>
            <w:r>
              <w:rPr>
                <w:rFonts w:ascii="Times New Roman" w:eastAsia="Times New Roman"/>
                <w:spacing w:val="-4"/>
              </w:rPr>
              <w:t>11</w:t>
            </w:r>
          </w:hyperlink>
        </w:p>
        <w:p>
          <w:pPr>
            <w:pStyle w:val="TOC3"/>
            <w:numPr>
              <w:ilvl w:val="2"/>
              <w:numId w:val="3"/>
            </w:numPr>
            <w:tabs>
              <w:tab w:pos="1799" w:val="left" w:leader="none"/>
              <w:tab w:pos="1800" w:val="left" w:leader="none"/>
              <w:tab w:pos="8419" w:val="right" w:leader="dot"/>
            </w:tabs>
            <w:spacing w:line="240" w:lineRule="auto" w:before="20" w:after="0"/>
            <w:ind w:left="1799" w:right="0" w:hanging="839"/>
            <w:jc w:val="left"/>
            <w:rPr>
              <w:rFonts w:ascii="Times New Roman" w:eastAsia="Times New Roman"/>
            </w:rPr>
          </w:pPr>
          <w:hyperlink w:history="true" w:anchor="_TOC_250038">
            <w:r>
              <w:rPr/>
              <w:t>冠状</w:t>
            </w:r>
            <w:r>
              <w:rPr>
                <w:spacing w:val="-3"/>
              </w:rPr>
              <w:t>动</w:t>
            </w:r>
            <w:r>
              <w:rPr/>
              <w:t>脉</w:t>
            </w:r>
            <w:r>
              <w:rPr>
                <w:spacing w:val="-3"/>
              </w:rPr>
              <w:t>搭</w:t>
            </w:r>
            <w:r>
              <w:rPr/>
              <w:t>桥</w:t>
            </w:r>
            <w:r>
              <w:rPr>
                <w:spacing w:val="-3"/>
              </w:rPr>
              <w:t>术</w:t>
            </w:r>
            <w:r>
              <w:rPr/>
              <w:t>（</w:t>
            </w:r>
            <w:r>
              <w:rPr>
                <w:spacing w:val="-3"/>
              </w:rPr>
              <w:t>或</w:t>
            </w:r>
            <w:r>
              <w:rPr/>
              <w:t>称</w:t>
            </w:r>
            <w:r>
              <w:rPr>
                <w:spacing w:val="-3"/>
              </w:rPr>
              <w:t>冠</w:t>
            </w:r>
            <w:r>
              <w:rPr/>
              <w:t>状动</w:t>
            </w:r>
            <w:r>
              <w:rPr>
                <w:spacing w:val="-3"/>
              </w:rPr>
              <w:t>脉</w:t>
            </w:r>
            <w:r>
              <w:rPr/>
              <w:t>旁路移</w:t>
            </w:r>
            <w:r>
              <w:rPr>
                <w:spacing w:val="-5"/>
              </w:rPr>
              <w:t>植</w:t>
            </w:r>
            <w:r>
              <w:rPr/>
              <w:t>术）</w:t>
              <w:tab/>
            </w:r>
            <w:r>
              <w:rPr>
                <w:rFonts w:ascii="Times New Roman" w:eastAsia="Times New Roman"/>
                <w:spacing w:val="-4"/>
              </w:rPr>
              <w:t>11</w:t>
            </w:r>
          </w:hyperlink>
        </w:p>
        <w:p>
          <w:pPr>
            <w:pStyle w:val="TOC3"/>
            <w:numPr>
              <w:ilvl w:val="2"/>
              <w:numId w:val="3"/>
            </w:numPr>
            <w:tabs>
              <w:tab w:pos="1799" w:val="left" w:leader="none"/>
              <w:tab w:pos="1800" w:val="left" w:leader="none"/>
              <w:tab w:pos="8419" w:val="right" w:leader="dot"/>
            </w:tabs>
            <w:spacing w:line="240" w:lineRule="auto" w:before="20" w:after="0"/>
            <w:ind w:left="1799" w:right="0" w:hanging="839"/>
            <w:jc w:val="left"/>
            <w:rPr>
              <w:rFonts w:ascii="Times New Roman" w:eastAsia="Times New Roman"/>
            </w:rPr>
          </w:pPr>
          <w:hyperlink w:history="true" w:anchor="_TOC_250037">
            <w:r>
              <w:rPr/>
              <w:t>终末</w:t>
            </w:r>
            <w:r>
              <w:rPr>
                <w:spacing w:val="-3"/>
              </w:rPr>
              <w:t>期</w:t>
            </w:r>
            <w:r>
              <w:rPr/>
              <w:t>肾</w:t>
            </w:r>
            <w:r>
              <w:rPr>
                <w:spacing w:val="-3"/>
              </w:rPr>
              <w:t>病</w:t>
            </w:r>
            <w:r>
              <w:rPr/>
              <w:t>（</w:t>
            </w:r>
            <w:r>
              <w:rPr>
                <w:spacing w:val="-3"/>
              </w:rPr>
              <w:t>或</w:t>
            </w:r>
            <w:r>
              <w:rPr/>
              <w:t>称</w:t>
            </w:r>
            <w:r>
              <w:rPr>
                <w:spacing w:val="-3"/>
              </w:rPr>
              <w:t>慢</w:t>
            </w:r>
            <w:r>
              <w:rPr/>
              <w:t>性</w:t>
            </w:r>
            <w:r>
              <w:rPr>
                <w:spacing w:val="-3"/>
              </w:rPr>
              <w:t>肾</w:t>
            </w:r>
            <w:r>
              <w:rPr/>
              <w:t>功能</w:t>
            </w:r>
            <w:r>
              <w:rPr>
                <w:spacing w:val="-3"/>
              </w:rPr>
              <w:t>衰</w:t>
            </w:r>
            <w:r>
              <w:rPr/>
              <w:t>竭尿毒</w:t>
            </w:r>
            <w:r>
              <w:rPr>
                <w:spacing w:val="-5"/>
              </w:rPr>
              <w:t>症</w:t>
            </w:r>
            <w:r>
              <w:rPr/>
              <w:t>期）</w:t>
              <w:tab/>
            </w:r>
            <w:r>
              <w:rPr>
                <w:rFonts w:ascii="Times New Roman" w:eastAsia="Times New Roman"/>
                <w:spacing w:val="-4"/>
              </w:rPr>
              <w:t>11</w:t>
            </w:r>
          </w:hyperlink>
        </w:p>
        <w:p>
          <w:pPr>
            <w:pStyle w:val="TOC3"/>
            <w:numPr>
              <w:ilvl w:val="2"/>
              <w:numId w:val="3"/>
            </w:numPr>
            <w:tabs>
              <w:tab w:pos="1799" w:val="left" w:leader="none"/>
              <w:tab w:pos="1800" w:val="left" w:leader="none"/>
              <w:tab w:pos="8419" w:val="right" w:leader="dot"/>
            </w:tabs>
            <w:spacing w:line="240" w:lineRule="auto" w:before="21" w:after="0"/>
            <w:ind w:left="1799" w:right="0" w:hanging="839"/>
            <w:jc w:val="left"/>
            <w:rPr>
              <w:rFonts w:ascii="Times New Roman" w:eastAsia="Times New Roman"/>
            </w:rPr>
          </w:pPr>
          <w:hyperlink w:history="true" w:anchor="_TOC_250036">
            <w:r>
              <w:rPr/>
              <w:t>多个</w:t>
            </w:r>
            <w:r>
              <w:rPr>
                <w:spacing w:val="-3"/>
              </w:rPr>
              <w:t>肢</w:t>
            </w:r>
            <w:r>
              <w:rPr/>
              <w:t>体</w:t>
            </w:r>
            <w:r>
              <w:rPr>
                <w:spacing w:val="-3"/>
              </w:rPr>
              <w:t>缺</w:t>
            </w:r>
            <w:r>
              <w:rPr/>
              <w:t>失</w:t>
              <w:tab/>
            </w:r>
            <w:r>
              <w:rPr>
                <w:rFonts w:ascii="Times New Roman" w:eastAsia="Times New Roman"/>
                <w:spacing w:val="-4"/>
              </w:rPr>
              <w:t>11</w:t>
            </w:r>
          </w:hyperlink>
        </w:p>
        <w:p>
          <w:pPr>
            <w:pStyle w:val="TOC3"/>
            <w:numPr>
              <w:ilvl w:val="2"/>
              <w:numId w:val="3"/>
            </w:numPr>
            <w:tabs>
              <w:tab w:pos="1799" w:val="left" w:leader="none"/>
              <w:tab w:pos="1800" w:val="left" w:leader="none"/>
              <w:tab w:pos="8419" w:val="right" w:leader="dot"/>
            </w:tabs>
            <w:spacing w:line="240" w:lineRule="auto" w:before="21" w:after="0"/>
            <w:ind w:left="1799" w:right="0" w:hanging="839"/>
            <w:jc w:val="left"/>
            <w:rPr>
              <w:rFonts w:ascii="Times New Roman" w:eastAsia="Times New Roman"/>
            </w:rPr>
          </w:pPr>
          <w:hyperlink w:history="true" w:anchor="_TOC_250035">
            <w:r>
              <w:rPr/>
              <w:t>急性</w:t>
            </w:r>
            <w:r>
              <w:rPr>
                <w:spacing w:val="-3"/>
              </w:rPr>
              <w:t>或</w:t>
            </w:r>
            <w:r>
              <w:rPr/>
              <w:t>亚</w:t>
            </w:r>
            <w:r>
              <w:rPr>
                <w:spacing w:val="-3"/>
              </w:rPr>
              <w:t>急</w:t>
            </w:r>
            <w:r>
              <w:rPr/>
              <w:t>性</w:t>
            </w:r>
            <w:r>
              <w:rPr>
                <w:spacing w:val="-3"/>
              </w:rPr>
              <w:t>重</w:t>
            </w:r>
            <w:r>
              <w:rPr/>
              <w:t>症</w:t>
            </w:r>
            <w:r>
              <w:rPr>
                <w:spacing w:val="-3"/>
              </w:rPr>
              <w:t>肝</w:t>
            </w:r>
            <w:r>
              <w:rPr/>
              <w:t>炎</w:t>
              <w:tab/>
            </w:r>
            <w:r>
              <w:rPr>
                <w:rFonts w:ascii="Times New Roman" w:eastAsia="Times New Roman"/>
                <w:spacing w:val="-4"/>
              </w:rPr>
              <w:t>11</w:t>
            </w:r>
          </w:hyperlink>
        </w:p>
        <w:p>
          <w:pPr>
            <w:pStyle w:val="TOC3"/>
            <w:numPr>
              <w:ilvl w:val="2"/>
              <w:numId w:val="3"/>
            </w:numPr>
            <w:tabs>
              <w:tab w:pos="1799" w:val="left" w:leader="none"/>
              <w:tab w:pos="1800" w:val="left" w:leader="none"/>
              <w:tab w:pos="8416" w:val="right" w:leader="dot"/>
            </w:tabs>
            <w:spacing w:line="240" w:lineRule="auto" w:before="21" w:after="0"/>
            <w:ind w:left="1799" w:right="0" w:hanging="839"/>
            <w:jc w:val="left"/>
            <w:rPr>
              <w:rFonts w:ascii="Times New Roman" w:eastAsia="Times New Roman"/>
            </w:rPr>
          </w:pPr>
          <w:hyperlink w:history="true" w:anchor="_TOC_250034">
            <w:r>
              <w:rPr/>
              <w:t>良性</w:t>
            </w:r>
            <w:r>
              <w:rPr>
                <w:spacing w:val="-3"/>
              </w:rPr>
              <w:t>脑</w:t>
            </w:r>
            <w:r>
              <w:rPr/>
              <w:t>肿瘤</w:t>
              <w:tab/>
            </w:r>
            <w:r>
              <w:rPr>
                <w:rFonts w:ascii="Times New Roman" w:eastAsia="Times New Roman"/>
              </w:rPr>
              <w:t>12</w:t>
            </w:r>
          </w:hyperlink>
        </w:p>
        <w:p>
          <w:pPr>
            <w:pStyle w:val="TOC3"/>
            <w:numPr>
              <w:ilvl w:val="2"/>
              <w:numId w:val="3"/>
            </w:numPr>
            <w:tabs>
              <w:tab w:pos="1807" w:val="left" w:leader="none"/>
              <w:tab w:pos="1808" w:val="left" w:leader="none"/>
              <w:tab w:pos="8416" w:val="right" w:leader="dot"/>
            </w:tabs>
            <w:spacing w:line="240" w:lineRule="auto" w:before="21" w:after="20"/>
            <w:ind w:left="1807" w:right="0" w:hanging="847"/>
            <w:jc w:val="left"/>
            <w:rPr>
              <w:rFonts w:ascii="Times New Roman" w:eastAsia="Times New Roman"/>
            </w:rPr>
          </w:pPr>
          <w:hyperlink w:history="true" w:anchor="_TOC_250033">
            <w:r>
              <w:rPr/>
              <w:t>慢性</w:t>
            </w:r>
            <w:r>
              <w:rPr>
                <w:spacing w:val="-3"/>
              </w:rPr>
              <w:t>肝</w:t>
            </w:r>
            <w:r>
              <w:rPr/>
              <w:t>功能</w:t>
            </w:r>
            <w:r>
              <w:rPr>
                <w:spacing w:val="-3"/>
              </w:rPr>
              <w:t>衰竭</w:t>
            </w:r>
            <w:r>
              <w:rPr/>
              <w:t>失代偿期</w:t>
              <w:tab/>
            </w:r>
            <w:r>
              <w:rPr>
                <w:rFonts w:ascii="Times New Roman" w:eastAsia="Times New Roman"/>
              </w:rPr>
              <w:t>12</w:t>
            </w:r>
          </w:hyperlink>
        </w:p>
        <w:p>
          <w:pPr>
            <w:pStyle w:val="TOC3"/>
            <w:numPr>
              <w:ilvl w:val="2"/>
              <w:numId w:val="3"/>
            </w:numPr>
            <w:tabs>
              <w:tab w:pos="1807" w:val="left" w:leader="none"/>
              <w:tab w:pos="1808" w:val="left" w:leader="none"/>
              <w:tab w:pos="8416" w:val="right" w:leader="dot"/>
            </w:tabs>
            <w:spacing w:line="240" w:lineRule="auto" w:before="35" w:after="0"/>
            <w:ind w:left="1807" w:right="0" w:hanging="847"/>
            <w:jc w:val="left"/>
            <w:rPr>
              <w:rFonts w:ascii="Times New Roman" w:eastAsia="Times New Roman"/>
            </w:rPr>
          </w:pPr>
          <w:hyperlink w:history="true" w:anchor="_TOC_250032">
            <w:r>
              <w:rPr/>
              <w:t>脑炎</w:t>
            </w:r>
            <w:r>
              <w:rPr>
                <w:spacing w:val="-3"/>
              </w:rPr>
              <w:t>后</w:t>
            </w:r>
            <w:r>
              <w:rPr/>
              <w:t>遗症</w:t>
            </w:r>
            <w:r>
              <w:rPr>
                <w:spacing w:val="-3"/>
              </w:rPr>
              <w:t>或脑</w:t>
            </w:r>
            <w:r>
              <w:rPr/>
              <w:t>膜炎后</w:t>
            </w:r>
            <w:r>
              <w:rPr>
                <w:spacing w:val="-5"/>
              </w:rPr>
              <w:t>遗</w:t>
            </w:r>
            <w:r>
              <w:rPr/>
              <w:t>症</w:t>
              <w:tab/>
            </w:r>
            <w:r>
              <w:rPr>
                <w:rFonts w:ascii="Times New Roman" w:eastAsia="Times New Roman"/>
              </w:rPr>
              <w:t>12</w:t>
            </w:r>
          </w:hyperlink>
        </w:p>
        <w:p>
          <w:pPr>
            <w:pStyle w:val="TOC3"/>
            <w:numPr>
              <w:ilvl w:val="2"/>
              <w:numId w:val="3"/>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31">
            <w:r>
              <w:rPr/>
              <w:t>深度</w:t>
            </w:r>
            <w:r>
              <w:rPr>
                <w:spacing w:val="-3"/>
              </w:rPr>
              <w:t>昏</w:t>
            </w:r>
            <w:r>
              <w:rPr/>
              <w:t>迷</w:t>
              <w:tab/>
            </w:r>
            <w:r>
              <w:rPr>
                <w:rFonts w:ascii="Times New Roman" w:eastAsia="Times New Roman"/>
              </w:rPr>
              <w:t>13</w:t>
            </w:r>
          </w:hyperlink>
        </w:p>
        <w:p>
          <w:pPr>
            <w:pStyle w:val="TOC3"/>
            <w:numPr>
              <w:ilvl w:val="2"/>
              <w:numId w:val="3"/>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30">
            <w:r>
              <w:rPr/>
              <w:t>双耳</w:t>
            </w:r>
            <w:r>
              <w:rPr>
                <w:spacing w:val="-3"/>
              </w:rPr>
              <w:t>失</w:t>
            </w:r>
            <w:r>
              <w:rPr/>
              <w:t>聪</w:t>
              <w:tab/>
            </w:r>
            <w:r>
              <w:rPr>
                <w:rFonts w:ascii="Times New Roman" w:eastAsia="Times New Roman"/>
              </w:rPr>
              <w:t>13</w:t>
            </w:r>
          </w:hyperlink>
        </w:p>
        <w:p>
          <w:pPr>
            <w:pStyle w:val="TOC3"/>
            <w:numPr>
              <w:ilvl w:val="2"/>
              <w:numId w:val="3"/>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9">
            <w:r>
              <w:rPr/>
              <w:t>双目</w:t>
            </w:r>
            <w:r>
              <w:rPr>
                <w:spacing w:val="-3"/>
              </w:rPr>
              <w:t>失</w:t>
            </w:r>
            <w:r>
              <w:rPr/>
              <w:t>明</w:t>
              <w:tab/>
            </w:r>
            <w:r>
              <w:rPr>
                <w:rFonts w:ascii="Times New Roman" w:eastAsia="Times New Roman"/>
              </w:rPr>
              <w:t>13</w:t>
            </w:r>
          </w:hyperlink>
        </w:p>
        <w:p>
          <w:pPr>
            <w:pStyle w:val="TOC3"/>
            <w:tabs>
              <w:tab w:pos="1807" w:val="left" w:leader="none"/>
              <w:tab w:pos="8416" w:val="right" w:leader="dot"/>
            </w:tabs>
            <w:ind w:left="960" w:firstLine="0"/>
            <w:rPr>
              <w:rFonts w:ascii="Times New Roman" w:eastAsia="Times New Roman"/>
            </w:rPr>
          </w:pPr>
          <w:hyperlink w:history="true" w:anchor="_TOC_250028">
            <w:r>
              <w:rPr>
                <w:w w:val="90"/>
              </w:rPr>
              <w:t>10.3.15</w:t>
              <w:tab/>
            </w:r>
            <w:r>
              <w:rPr/>
              <w:t>瘫痪</w:t>
              <w:tab/>
            </w:r>
            <w:r>
              <w:rPr>
                <w:rFonts w:ascii="Times New Roman" w:eastAsia="Times New Roman"/>
              </w:rPr>
              <w:t>13</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7">
            <w:r>
              <w:rPr/>
              <w:t>心脏</w:t>
            </w:r>
            <w:r>
              <w:rPr>
                <w:spacing w:val="-3"/>
              </w:rPr>
              <w:t>瓣</w:t>
            </w:r>
            <w:r>
              <w:rPr/>
              <w:t>膜手术</w:t>
              <w:tab/>
            </w:r>
            <w:r>
              <w:rPr>
                <w:rFonts w:ascii="Times New Roman" w:eastAsia="Times New Roman"/>
              </w:rPr>
              <w:t>14</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6">
            <w:r>
              <w:rPr/>
              <w:t>严重</w:t>
            </w:r>
            <w:r>
              <w:rPr>
                <w:spacing w:val="-3"/>
              </w:rPr>
              <w:t>阿</w:t>
            </w:r>
            <w:r>
              <w:rPr/>
              <w:t>尔茨</w:t>
            </w:r>
            <w:r>
              <w:rPr>
                <w:spacing w:val="-3"/>
              </w:rPr>
              <w:t>海默</w:t>
            </w:r>
            <w:r>
              <w:rPr/>
              <w:t>病</w:t>
              <w:tab/>
            </w:r>
            <w:r>
              <w:rPr>
                <w:rFonts w:ascii="Times New Roman" w:eastAsia="Times New Roman"/>
              </w:rPr>
              <w:t>14</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5">
            <w:r>
              <w:rPr/>
              <w:t>严重</w:t>
            </w:r>
            <w:r>
              <w:rPr>
                <w:spacing w:val="-3"/>
              </w:rPr>
              <w:t>脑</w:t>
            </w:r>
            <w:r>
              <w:rPr/>
              <w:t>损伤</w:t>
              <w:tab/>
            </w:r>
            <w:r>
              <w:rPr>
                <w:rFonts w:ascii="Times New Roman" w:eastAsia="Times New Roman"/>
              </w:rPr>
              <w:t>14</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4">
            <w:r>
              <w:rPr/>
              <w:t>严重</w:t>
            </w:r>
            <w:r>
              <w:rPr>
                <w:spacing w:val="-3"/>
              </w:rPr>
              <w:t>帕</w:t>
            </w:r>
            <w:r>
              <w:rPr/>
              <w:t>金森病</w:t>
              <w:tab/>
            </w:r>
            <w:r>
              <w:rPr>
                <w:rFonts w:ascii="Times New Roman" w:eastAsia="Times New Roman"/>
              </w:rPr>
              <w:t>14</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3">
            <w:r>
              <w:rPr/>
              <w:t>严重</w:t>
            </w:r>
            <w:r>
              <w:rPr>
                <w:spacing w:val="-54"/>
              </w:rPr>
              <w:t> </w:t>
            </w:r>
            <w:r>
              <w:rPr/>
              <w:t>III</w:t>
            </w:r>
            <w:r>
              <w:rPr>
                <w:spacing w:val="-57"/>
              </w:rPr>
              <w:t> </w:t>
            </w:r>
            <w:r>
              <w:rPr/>
              <w:t>度烧伤</w:t>
              <w:tab/>
            </w:r>
            <w:r>
              <w:rPr>
                <w:rFonts w:ascii="Times New Roman" w:eastAsia="Times New Roman"/>
              </w:rPr>
              <w:t>14</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2">
            <w:r>
              <w:rPr/>
              <w:t>严重</w:t>
            </w:r>
            <w:r>
              <w:rPr>
                <w:spacing w:val="-3"/>
              </w:rPr>
              <w:t>原</w:t>
            </w:r>
            <w:r>
              <w:rPr/>
              <w:t>发性</w:t>
            </w:r>
            <w:r>
              <w:rPr>
                <w:spacing w:val="-3"/>
              </w:rPr>
              <w:t>肺动</w:t>
            </w:r>
            <w:r>
              <w:rPr/>
              <w:t>脉高压</w:t>
              <w:tab/>
            </w:r>
            <w:r>
              <w:rPr>
                <w:rFonts w:ascii="Times New Roman" w:eastAsia="Times New Roman"/>
              </w:rPr>
              <w:t>15</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1">
            <w:r>
              <w:rPr/>
              <w:t>严重</w:t>
            </w:r>
            <w:r>
              <w:rPr>
                <w:spacing w:val="-3"/>
              </w:rPr>
              <w:t>运</w:t>
            </w:r>
            <w:r>
              <w:rPr/>
              <w:t>动神</w:t>
            </w:r>
            <w:r>
              <w:rPr>
                <w:spacing w:val="-3"/>
              </w:rPr>
              <w:t>经元</w:t>
            </w:r>
            <w:r>
              <w:rPr/>
              <w:t>病</w:t>
              <w:tab/>
            </w:r>
            <w:r>
              <w:rPr>
                <w:rFonts w:ascii="Times New Roman" w:eastAsia="Times New Roman"/>
              </w:rPr>
              <w:t>15</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20">
            <w:r>
              <w:rPr/>
              <w:t>语言</w:t>
            </w:r>
            <w:r>
              <w:rPr>
                <w:spacing w:val="-3"/>
              </w:rPr>
              <w:t>能</w:t>
            </w:r>
            <w:r>
              <w:rPr/>
              <w:t>力丧失</w:t>
              <w:tab/>
            </w:r>
            <w:r>
              <w:rPr>
                <w:rFonts w:ascii="Times New Roman" w:eastAsia="Times New Roman"/>
              </w:rPr>
              <w:t>15</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19">
            <w:r>
              <w:rPr/>
              <w:t>重型</w:t>
            </w:r>
            <w:r>
              <w:rPr>
                <w:spacing w:val="-3"/>
              </w:rPr>
              <w:t>再</w:t>
            </w:r>
            <w:r>
              <w:rPr/>
              <w:t>生障</w:t>
            </w:r>
            <w:r>
              <w:rPr>
                <w:spacing w:val="-3"/>
              </w:rPr>
              <w:t>碍性</w:t>
            </w:r>
            <w:r>
              <w:rPr/>
              <w:t>贫血</w:t>
              <w:tab/>
            </w:r>
            <w:r>
              <w:rPr>
                <w:rFonts w:ascii="Times New Roman" w:eastAsia="Times New Roman"/>
              </w:rPr>
              <w:t>15</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18">
            <w:r>
              <w:rPr/>
              <w:t>主动</w:t>
            </w:r>
            <w:r>
              <w:rPr>
                <w:spacing w:val="-3"/>
              </w:rPr>
              <w:t>脉</w:t>
            </w:r>
            <w:r>
              <w:rPr/>
              <w:t>手术</w:t>
              <w:tab/>
            </w:r>
            <w:r>
              <w:rPr>
                <w:rFonts w:ascii="Times New Roman" w:eastAsia="Times New Roman"/>
              </w:rPr>
              <w:t>16</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17">
            <w:r>
              <w:rPr/>
              <w:t>系统</w:t>
            </w:r>
            <w:r>
              <w:rPr>
                <w:spacing w:val="-3"/>
              </w:rPr>
              <w:t>性</w:t>
            </w:r>
            <w:r>
              <w:rPr/>
              <w:t>红斑</w:t>
            </w:r>
            <w:r>
              <w:rPr>
                <w:spacing w:val="-3"/>
              </w:rPr>
              <w:t>狼</w:t>
            </w:r>
            <w:r>
              <w:rPr/>
              <w:t>疮</w:t>
            </w:r>
            <w:r>
              <w:rPr>
                <w:spacing w:val="-5"/>
              </w:rPr>
              <w:t> </w:t>
            </w:r>
            <w:r>
              <w:rPr/>
              <w:t>－</w:t>
            </w:r>
            <w:r>
              <w:rPr>
                <w:spacing w:val="-3"/>
              </w:rPr>
              <w:t> </w:t>
            </w:r>
            <w:r>
              <w:rPr/>
              <w:t>III</w:t>
            </w:r>
            <w:r>
              <w:rPr>
                <w:spacing w:val="-55"/>
              </w:rPr>
              <w:t> </w:t>
            </w:r>
            <w:r>
              <w:rPr>
                <w:spacing w:val="-3"/>
              </w:rPr>
              <w:t>型</w:t>
            </w:r>
            <w:r>
              <w:rPr/>
              <w:t>或以</w:t>
            </w:r>
            <w:r>
              <w:rPr>
                <w:spacing w:val="-3"/>
              </w:rPr>
              <w:t>上</w:t>
            </w:r>
            <w:r>
              <w:rPr/>
              <w:t>狼</w:t>
            </w:r>
            <w:r>
              <w:rPr>
                <w:spacing w:val="-3"/>
              </w:rPr>
              <w:t>疮</w:t>
            </w:r>
            <w:r>
              <w:rPr/>
              <w:t>性肾炎</w:t>
              <w:tab/>
            </w:r>
            <w:r>
              <w:rPr>
                <w:rFonts w:ascii="Times New Roman" w:eastAsia="Times New Roman"/>
              </w:rPr>
              <w:t>16</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16">
            <w:r>
              <w:rPr/>
              <w:t>经输</w:t>
            </w:r>
            <w:r>
              <w:rPr>
                <w:spacing w:val="-3"/>
              </w:rPr>
              <w:t>血</w:t>
            </w:r>
            <w:r>
              <w:rPr/>
              <w:t>导致</w:t>
            </w:r>
            <w:r>
              <w:rPr>
                <w:spacing w:val="-3"/>
              </w:rPr>
              <w:t>的人</w:t>
            </w:r>
            <w:r>
              <w:rPr/>
              <w:t>类免疫</w:t>
            </w:r>
            <w:r>
              <w:rPr>
                <w:spacing w:val="-5"/>
              </w:rPr>
              <w:t>缺</w:t>
            </w:r>
            <w:r>
              <w:rPr/>
              <w:t>陷病</w:t>
            </w:r>
            <w:r>
              <w:rPr>
                <w:spacing w:val="-3"/>
              </w:rPr>
              <w:t>毒</w:t>
            </w:r>
            <w:r>
              <w:rPr/>
              <w:t>（HIV）感染</w:t>
              <w:tab/>
            </w:r>
            <w:r>
              <w:rPr>
                <w:rFonts w:ascii="Times New Roman" w:eastAsia="Times New Roman"/>
              </w:rPr>
              <w:t>16</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15">
            <w:r>
              <w:rPr/>
              <w:t>严重</w:t>
            </w:r>
            <w:r>
              <w:rPr>
                <w:spacing w:val="-3"/>
              </w:rPr>
              <w:t>多</w:t>
            </w:r>
            <w:r>
              <w:rPr/>
              <w:t>发性</w:t>
            </w:r>
            <w:r>
              <w:rPr>
                <w:spacing w:val="-3"/>
              </w:rPr>
              <w:t>硬</w:t>
            </w:r>
            <w:r>
              <w:rPr/>
              <w:t>化</w:t>
              <w:tab/>
            </w:r>
            <w:r>
              <w:rPr>
                <w:rFonts w:ascii="Times New Roman" w:eastAsia="Times New Roman"/>
              </w:rPr>
              <w:t>17</w:t>
            </w:r>
          </w:hyperlink>
        </w:p>
        <w:p>
          <w:pPr>
            <w:pStyle w:val="TOC3"/>
            <w:numPr>
              <w:ilvl w:val="2"/>
              <w:numId w:val="4"/>
            </w:numPr>
            <w:tabs>
              <w:tab w:pos="1807" w:val="left" w:leader="none"/>
              <w:tab w:pos="1808" w:val="left" w:leader="none"/>
              <w:tab w:pos="8416" w:val="right" w:leader="dot"/>
            </w:tabs>
            <w:spacing w:line="240" w:lineRule="auto" w:before="21" w:after="0"/>
            <w:ind w:left="1807" w:right="0" w:hanging="847"/>
            <w:jc w:val="left"/>
            <w:rPr>
              <w:rFonts w:ascii="Times New Roman" w:eastAsia="Times New Roman"/>
            </w:rPr>
          </w:pPr>
          <w:hyperlink w:history="true" w:anchor="_TOC_250014">
            <w:r>
              <w:rPr/>
              <w:t>严重</w:t>
            </w:r>
            <w:r>
              <w:rPr>
                <w:spacing w:val="-3"/>
              </w:rPr>
              <w:t>类</w:t>
            </w:r>
            <w:r>
              <w:rPr/>
              <w:t>风湿</w:t>
            </w:r>
            <w:r>
              <w:rPr>
                <w:spacing w:val="-3"/>
              </w:rPr>
              <w:t>性关</w:t>
            </w:r>
            <w:r>
              <w:rPr/>
              <w:t>节炎</w:t>
              <w:tab/>
            </w:r>
            <w:r>
              <w:rPr>
                <w:rFonts w:ascii="Times New Roman" w:eastAsia="Times New Roman"/>
              </w:rPr>
              <w:t>17</w:t>
            </w:r>
          </w:hyperlink>
        </w:p>
        <w:p>
          <w:pPr>
            <w:pStyle w:val="TOC3"/>
            <w:numPr>
              <w:ilvl w:val="2"/>
              <w:numId w:val="4"/>
            </w:numPr>
            <w:tabs>
              <w:tab w:pos="1807" w:val="left" w:leader="none"/>
              <w:tab w:pos="1808" w:val="left" w:leader="none"/>
              <w:tab w:pos="8416" w:val="right" w:leader="dot"/>
            </w:tabs>
            <w:spacing w:line="240" w:lineRule="auto" w:before="20" w:after="0"/>
            <w:ind w:left="1807" w:right="0" w:hanging="847"/>
            <w:jc w:val="left"/>
            <w:rPr>
              <w:rFonts w:ascii="Times New Roman" w:eastAsia="Times New Roman"/>
            </w:rPr>
          </w:pPr>
          <w:hyperlink w:history="true" w:anchor="_TOC_250013">
            <w:r>
              <w:rPr/>
              <w:t>慢性</w:t>
            </w:r>
            <w:r>
              <w:rPr>
                <w:spacing w:val="-3"/>
              </w:rPr>
              <w:t>呼</w:t>
            </w:r>
            <w:r>
              <w:rPr/>
              <w:t>吸功</w:t>
            </w:r>
            <w:r>
              <w:rPr>
                <w:spacing w:val="-3"/>
              </w:rPr>
              <w:t>能衰</w:t>
            </w:r>
            <w:r>
              <w:rPr/>
              <w:t>竭</w:t>
              <w:tab/>
            </w:r>
            <w:r>
              <w:rPr>
                <w:rFonts w:ascii="Times New Roman" w:eastAsia="Times New Roman"/>
              </w:rPr>
              <w:t>17</w:t>
            </w:r>
          </w:hyperlink>
        </w:p>
        <w:p>
          <w:pPr>
            <w:pStyle w:val="TOC2"/>
            <w:numPr>
              <w:ilvl w:val="1"/>
              <w:numId w:val="4"/>
            </w:numPr>
            <w:tabs>
              <w:tab w:pos="1091" w:val="left" w:leader="none"/>
              <w:tab w:pos="1092" w:val="left" w:leader="none"/>
              <w:tab w:pos="8416" w:val="right" w:leader="dot"/>
            </w:tabs>
            <w:spacing w:line="240" w:lineRule="auto" w:before="20" w:after="0"/>
            <w:ind w:left="1092" w:right="0" w:hanging="553"/>
            <w:jc w:val="left"/>
          </w:pPr>
          <w:hyperlink w:history="true" w:anchor="_TOC_250012">
            <w:r>
              <w:rPr/>
              <w:t>本</w:t>
            </w:r>
            <w:r>
              <w:rPr>
                <w:spacing w:val="-3"/>
              </w:rPr>
              <w:t>条</w:t>
            </w:r>
            <w:r>
              <w:rPr/>
              <w:t>款约定</w:t>
            </w:r>
            <w:r>
              <w:rPr>
                <w:spacing w:val="-5"/>
              </w:rPr>
              <w:t>确</w:t>
            </w:r>
            <w:r>
              <w:rPr/>
              <w:t>诊日</w:t>
              <w:tab/>
            </w:r>
            <w:r>
              <w:rPr>
                <w:rFonts w:ascii="Times New Roman" w:eastAsia="Times New Roman"/>
              </w:rPr>
              <w:t>18</w:t>
            </w:r>
          </w:hyperlink>
        </w:p>
        <w:p>
          <w:pPr>
            <w:pStyle w:val="TOC2"/>
            <w:tabs>
              <w:tab w:pos="1091" w:val="left" w:leader="none"/>
              <w:tab w:pos="8416" w:val="right" w:leader="dot"/>
            </w:tabs>
            <w:ind w:left="539" w:firstLine="0"/>
            <w:rPr>
              <w:rFonts w:ascii="Times New Roman" w:eastAsia="Times New Roman"/>
            </w:rPr>
          </w:pPr>
          <w:hyperlink w:history="true" w:anchor="_TOC_250011">
            <w:r>
              <w:rPr/>
              <w:t>10.5</w:t>
              <w:tab/>
              <w:t>毒品</w:t>
              <w:tab/>
            </w:r>
            <w:r>
              <w:rPr>
                <w:rFonts w:ascii="Times New Roman" w:eastAsia="Times New Roman"/>
              </w:rPr>
              <w:t>18</w:t>
            </w:r>
          </w:hyperlink>
        </w:p>
        <w:p>
          <w:pPr>
            <w:pStyle w:val="TOC2"/>
            <w:numPr>
              <w:ilvl w:val="1"/>
              <w:numId w:val="5"/>
            </w:numPr>
            <w:tabs>
              <w:tab w:pos="1091" w:val="left" w:leader="none"/>
              <w:tab w:pos="1092" w:val="left" w:leader="none"/>
              <w:tab w:pos="8416" w:val="right" w:leader="dot"/>
            </w:tabs>
            <w:spacing w:line="240" w:lineRule="auto" w:before="21" w:after="0"/>
            <w:ind w:left="1092" w:right="0" w:hanging="553"/>
            <w:jc w:val="left"/>
            <w:rPr>
              <w:rFonts w:ascii="Times New Roman" w:eastAsia="Times New Roman"/>
            </w:rPr>
          </w:pPr>
          <w:hyperlink w:history="true" w:anchor="_TOC_250010">
            <w:r>
              <w:rPr/>
              <w:t>酒</w:t>
            </w:r>
            <w:r>
              <w:rPr>
                <w:spacing w:val="-3"/>
              </w:rPr>
              <w:t>后</w:t>
            </w:r>
            <w:r>
              <w:rPr/>
              <w:t>驾驶</w:t>
              <w:tab/>
            </w:r>
            <w:r>
              <w:rPr>
                <w:rFonts w:ascii="Times New Roman" w:eastAsia="Times New Roman"/>
              </w:rPr>
              <w:t>18</w:t>
            </w:r>
          </w:hyperlink>
        </w:p>
        <w:p>
          <w:pPr>
            <w:pStyle w:val="TOC2"/>
            <w:numPr>
              <w:ilvl w:val="1"/>
              <w:numId w:val="5"/>
            </w:numPr>
            <w:tabs>
              <w:tab w:pos="1091" w:val="left" w:leader="none"/>
              <w:tab w:pos="1092" w:val="left" w:leader="none"/>
              <w:tab w:pos="8416" w:val="right" w:leader="dot"/>
            </w:tabs>
            <w:spacing w:line="240" w:lineRule="auto" w:before="21" w:after="0"/>
            <w:ind w:left="1092" w:right="0" w:hanging="553"/>
            <w:jc w:val="left"/>
            <w:rPr>
              <w:rFonts w:ascii="Times New Roman" w:eastAsia="Times New Roman"/>
            </w:rPr>
          </w:pPr>
          <w:r>
            <w:rPr/>
            <w:t>无</w:t>
          </w:r>
          <w:r>
            <w:rPr>
              <w:spacing w:val="-3"/>
            </w:rPr>
            <w:t>合</w:t>
          </w:r>
          <w:r>
            <w:rPr/>
            <w:t>法有效</w:t>
          </w:r>
          <w:r>
            <w:rPr>
              <w:spacing w:val="-5"/>
            </w:rPr>
            <w:t>驾</w:t>
          </w:r>
          <w:r>
            <w:rPr/>
            <w:t>驶</w:t>
          </w:r>
          <w:r>
            <w:rPr>
              <w:spacing w:val="-3"/>
            </w:rPr>
            <w:t>证驾</w:t>
          </w:r>
          <w:r>
            <w:rPr/>
            <w:t>驶</w:t>
            <w:tab/>
          </w:r>
          <w:r>
            <w:rPr>
              <w:rFonts w:ascii="Times New Roman" w:eastAsia="Times New Roman"/>
            </w:rPr>
            <w:t>18</w:t>
          </w:r>
        </w:p>
        <w:p>
          <w:pPr>
            <w:pStyle w:val="TOC2"/>
            <w:numPr>
              <w:ilvl w:val="1"/>
              <w:numId w:val="5"/>
            </w:numPr>
            <w:tabs>
              <w:tab w:pos="1091" w:val="left" w:leader="none"/>
              <w:tab w:pos="1092" w:val="left" w:leader="none"/>
              <w:tab w:pos="8416" w:val="right" w:leader="dot"/>
            </w:tabs>
            <w:spacing w:line="240" w:lineRule="auto" w:before="21" w:after="0"/>
            <w:ind w:left="1092" w:right="0" w:hanging="553"/>
            <w:jc w:val="left"/>
            <w:rPr>
              <w:rFonts w:ascii="Times New Roman" w:eastAsia="Times New Roman"/>
            </w:rPr>
          </w:pPr>
          <w:r>
            <w:rPr/>
            <w:t>无</w:t>
          </w:r>
          <w:r>
            <w:rPr>
              <w:spacing w:val="-3"/>
            </w:rPr>
            <w:t>有</w:t>
          </w:r>
          <w:r>
            <w:rPr/>
            <w:t>效行驶证</w:t>
            <w:tab/>
          </w:r>
          <w:r>
            <w:rPr>
              <w:rFonts w:ascii="Times New Roman" w:eastAsia="Times New Roman"/>
            </w:rPr>
            <w:t>18</w:t>
          </w:r>
        </w:p>
        <w:p>
          <w:pPr>
            <w:pStyle w:val="TOC2"/>
            <w:numPr>
              <w:ilvl w:val="1"/>
              <w:numId w:val="5"/>
            </w:numPr>
            <w:tabs>
              <w:tab w:pos="1091" w:val="left" w:leader="none"/>
              <w:tab w:pos="1092" w:val="left" w:leader="none"/>
              <w:tab w:pos="8416" w:val="right" w:leader="dot"/>
            </w:tabs>
            <w:spacing w:line="240" w:lineRule="auto" w:before="21" w:after="0"/>
            <w:ind w:left="1092" w:right="0" w:hanging="553"/>
            <w:jc w:val="left"/>
            <w:rPr>
              <w:rFonts w:ascii="Times New Roman" w:eastAsia="Times New Roman"/>
            </w:rPr>
          </w:pPr>
          <w:hyperlink w:history="true" w:anchor="_TOC_250009">
            <w:r>
              <w:rPr/>
              <w:t>感</w:t>
            </w:r>
            <w:r>
              <w:rPr>
                <w:spacing w:val="-3"/>
              </w:rPr>
              <w:t>染</w:t>
            </w:r>
            <w:r>
              <w:rPr/>
              <w:t>艾滋病</w:t>
            </w:r>
            <w:r>
              <w:rPr>
                <w:spacing w:val="-5"/>
              </w:rPr>
              <w:t>病</w:t>
            </w:r>
            <w:r>
              <w:rPr/>
              <w:t>毒</w:t>
            </w:r>
            <w:r>
              <w:rPr>
                <w:spacing w:val="-3"/>
              </w:rPr>
              <w:t>或患</w:t>
            </w:r>
            <w:r>
              <w:rPr/>
              <w:t>艾滋病</w:t>
              <w:tab/>
            </w:r>
            <w:r>
              <w:rPr>
                <w:rFonts w:ascii="Times New Roman" w:eastAsia="Times New Roman"/>
              </w:rPr>
              <w:t>18</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8">
            <w:r>
              <w:rPr/>
              <w:t>遗传</w:t>
            </w:r>
            <w:r>
              <w:rPr>
                <w:spacing w:val="-3"/>
              </w:rPr>
              <w:t>性</w:t>
            </w:r>
            <w:r>
              <w:rPr/>
              <w:t>疾病</w:t>
              <w:tab/>
            </w:r>
            <w:r>
              <w:rPr>
                <w:rFonts w:ascii="Times New Roman" w:eastAsia="Times New Roman"/>
              </w:rPr>
              <w:t>19</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7">
            <w:r>
              <w:rPr/>
              <w:t>先天</w:t>
            </w:r>
            <w:r>
              <w:rPr>
                <w:spacing w:val="-3"/>
              </w:rPr>
              <w:t>性</w:t>
            </w:r>
            <w:r>
              <w:rPr/>
              <w:t>畸</w:t>
            </w:r>
            <w:r>
              <w:rPr>
                <w:spacing w:val="-3"/>
              </w:rPr>
              <w:t>形</w:t>
            </w:r>
            <w:r>
              <w:rPr/>
              <w:t>、</w:t>
            </w:r>
            <w:r>
              <w:rPr>
                <w:spacing w:val="-3"/>
              </w:rPr>
              <w:t>变</w:t>
            </w:r>
            <w:r>
              <w:rPr/>
              <w:t>形或</w:t>
            </w:r>
            <w:r>
              <w:rPr>
                <w:spacing w:val="-3"/>
              </w:rPr>
              <w:t>染</w:t>
            </w:r>
            <w:r>
              <w:rPr/>
              <w:t>色体</w:t>
            </w:r>
            <w:r>
              <w:rPr>
                <w:spacing w:val="-3"/>
              </w:rPr>
              <w:t>异</w:t>
            </w:r>
            <w:r>
              <w:rPr/>
              <w:t>常</w:t>
              <w:tab/>
            </w:r>
            <w:r>
              <w:rPr>
                <w:rFonts w:ascii="Times New Roman" w:eastAsia="Times New Roman"/>
              </w:rPr>
              <w:t>19</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6">
            <w:r>
              <w:rPr/>
              <w:t>银行</w:t>
            </w:r>
            <w:r>
              <w:rPr>
                <w:spacing w:val="-3"/>
              </w:rPr>
              <w:t>转</w:t>
            </w:r>
            <w:r>
              <w:rPr/>
              <w:t>账</w:t>
            </w:r>
            <w:r>
              <w:rPr>
                <w:spacing w:val="-3"/>
              </w:rPr>
              <w:t>交</w:t>
            </w:r>
            <w:r>
              <w:rPr/>
              <w:t>费</w:t>
              <w:tab/>
            </w:r>
            <w:r>
              <w:rPr>
                <w:rFonts w:ascii="Times New Roman" w:eastAsia="Times New Roman"/>
              </w:rPr>
              <w:t>19</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5">
            <w:r>
              <w:rPr/>
              <w:t>本条</w:t>
            </w:r>
            <w:r>
              <w:rPr>
                <w:spacing w:val="-3"/>
              </w:rPr>
              <w:t>款</w:t>
            </w:r>
            <w:r>
              <w:rPr/>
              <w:t>约</w:t>
            </w:r>
            <w:r>
              <w:rPr>
                <w:spacing w:val="-3"/>
              </w:rPr>
              <w:t>定</w:t>
            </w:r>
            <w:r>
              <w:rPr/>
              <w:t>利率</w:t>
              <w:tab/>
            </w:r>
            <w:r>
              <w:rPr>
                <w:rFonts w:ascii="Times New Roman" w:eastAsia="Times New Roman"/>
              </w:rPr>
              <w:t>19</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4">
            <w:r>
              <w:rPr/>
              <w:t>肌体</w:t>
            </w:r>
            <w:r>
              <w:rPr>
                <w:spacing w:val="-3"/>
              </w:rPr>
              <w:t>机</w:t>
            </w:r>
            <w:r>
              <w:rPr/>
              <w:t>能</w:t>
            </w:r>
            <w:r>
              <w:rPr>
                <w:spacing w:val="-3"/>
              </w:rPr>
              <w:t>完</w:t>
            </w:r>
            <w:r>
              <w:rPr/>
              <w:t>全</w:t>
            </w:r>
            <w:r>
              <w:rPr>
                <w:spacing w:val="-3"/>
              </w:rPr>
              <w:t>丧</w:t>
            </w:r>
            <w:r>
              <w:rPr/>
              <w:t>失</w:t>
              <w:tab/>
            </w:r>
            <w:r>
              <w:rPr>
                <w:rFonts w:ascii="Times New Roman" w:eastAsia="Times New Roman"/>
              </w:rPr>
              <w:t>19</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3">
            <w:r>
              <w:rPr/>
              <w:t>语言</w:t>
            </w:r>
            <w:r>
              <w:rPr>
                <w:spacing w:val="-3"/>
              </w:rPr>
              <w:t>能</w:t>
            </w:r>
            <w:r>
              <w:rPr/>
              <w:t>力</w:t>
            </w:r>
            <w:r>
              <w:rPr>
                <w:spacing w:val="-3"/>
              </w:rPr>
              <w:t>或</w:t>
            </w:r>
            <w:r>
              <w:rPr/>
              <w:t>咀</w:t>
            </w:r>
            <w:r>
              <w:rPr>
                <w:spacing w:val="-3"/>
              </w:rPr>
              <w:t>嚼</w:t>
            </w:r>
            <w:r>
              <w:rPr/>
              <w:t>吞咽</w:t>
            </w:r>
            <w:r>
              <w:rPr>
                <w:spacing w:val="-3"/>
              </w:rPr>
              <w:t>能</w:t>
            </w:r>
            <w:r>
              <w:rPr/>
              <w:t>力完</w:t>
            </w:r>
            <w:r>
              <w:rPr>
                <w:spacing w:val="-3"/>
              </w:rPr>
              <w:t>全丧</w:t>
            </w:r>
            <w:r>
              <w:rPr/>
              <w:t>失</w:t>
              <w:tab/>
            </w:r>
            <w:r>
              <w:rPr>
                <w:rFonts w:ascii="Times New Roman" w:eastAsia="Times New Roman"/>
              </w:rPr>
              <w:t>19</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2">
            <w:r>
              <w:rPr/>
              <w:t>六项</w:t>
            </w:r>
            <w:r>
              <w:rPr>
                <w:spacing w:val="-3"/>
              </w:rPr>
              <w:t>基</w:t>
            </w:r>
            <w:r>
              <w:rPr/>
              <w:t>本</w:t>
            </w:r>
            <w:r>
              <w:rPr>
                <w:spacing w:val="-3"/>
              </w:rPr>
              <w:t>日</w:t>
            </w:r>
            <w:r>
              <w:rPr/>
              <w:t>常</w:t>
            </w:r>
            <w:r>
              <w:rPr>
                <w:spacing w:val="-3"/>
              </w:rPr>
              <w:t>生</w:t>
            </w:r>
            <w:r>
              <w:rPr/>
              <w:t>活活动</w:t>
              <w:tab/>
            </w:r>
            <w:r>
              <w:rPr>
                <w:rFonts w:ascii="Times New Roman" w:eastAsia="Times New Roman"/>
              </w:rPr>
              <w:t>20</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1">
            <w:r>
              <w:rPr/>
              <w:t>永久</w:t>
            </w:r>
            <w:r>
              <w:rPr>
                <w:spacing w:val="-3"/>
              </w:rPr>
              <w:t>不</w:t>
            </w:r>
            <w:r>
              <w:rPr/>
              <w:t>可逆</w:t>
              <w:tab/>
            </w:r>
            <w:r>
              <w:rPr>
                <w:rFonts w:ascii="Times New Roman" w:eastAsia="Times New Roman"/>
              </w:rPr>
              <w:t>20</w:t>
            </w:r>
          </w:hyperlink>
        </w:p>
        <w:p>
          <w:pPr>
            <w:pStyle w:val="TOC2"/>
            <w:numPr>
              <w:ilvl w:val="1"/>
              <w:numId w:val="5"/>
            </w:numPr>
            <w:tabs>
              <w:tab w:pos="1085" w:val="left" w:leader="none"/>
              <w:tab w:pos="8416" w:val="right" w:leader="dot"/>
            </w:tabs>
            <w:spacing w:line="240" w:lineRule="auto" w:before="21" w:after="0"/>
            <w:ind w:left="1084" w:right="0" w:hanging="545"/>
            <w:jc w:val="left"/>
            <w:rPr>
              <w:rFonts w:ascii="Times New Roman" w:eastAsia="Times New Roman"/>
            </w:rPr>
          </w:pPr>
          <w:hyperlink w:history="true" w:anchor="_TOC_250000">
            <w:r>
              <w:rPr/>
              <w:t>专科</w:t>
            </w:r>
            <w:r>
              <w:rPr>
                <w:spacing w:val="-3"/>
              </w:rPr>
              <w:t>医</w:t>
            </w:r>
            <w:r>
              <w:rPr/>
              <w:t>生</w:t>
              <w:tab/>
            </w:r>
            <w:r>
              <w:rPr>
                <w:rFonts w:ascii="Times New Roman" w:eastAsia="Times New Roman"/>
              </w:rPr>
              <w:t>20</w:t>
            </w:r>
          </w:hyperlink>
        </w:p>
      </w:sdtContent>
    </w:sdt>
    <w:p>
      <w:pPr>
        <w:spacing w:after="0" w:line="240" w:lineRule="auto"/>
        <w:jc w:val="left"/>
        <w:rPr>
          <w:rFonts w:ascii="Times New Roman" w:eastAsia="Times New Roman"/>
        </w:rPr>
        <w:sectPr>
          <w:type w:val="continuous"/>
          <w:pgSz w:w="11910" w:h="16840"/>
          <w:pgMar w:top="1380" w:bottom="1697" w:left="1680" w:right="1680"/>
        </w:sectPr>
      </w:pPr>
    </w:p>
    <w:p>
      <w:pPr>
        <w:spacing w:line="429" w:lineRule="exact" w:before="0"/>
        <w:ind w:left="1048" w:right="0" w:firstLine="0"/>
        <w:jc w:val="left"/>
        <w:rPr>
          <w:rFonts w:ascii="Microsoft JhengHei UI" w:eastAsia="Microsoft JhengHei UI" w:hint="eastAsia"/>
          <w:b/>
          <w:sz w:val="28"/>
        </w:rPr>
      </w:pPr>
      <w:r>
        <w:rPr>
          <w:rFonts w:ascii="Microsoft JhengHei UI" w:eastAsia="Microsoft JhengHei UI" w:hint="eastAsia"/>
          <w:b/>
          <w:sz w:val="28"/>
        </w:rPr>
        <w:t>中新大东方附加金玉长安提前给付重大疾病保险条款</w:t>
      </w:r>
    </w:p>
    <w:p>
      <w:pPr>
        <w:pStyle w:val="BodyText"/>
        <w:spacing w:before="12"/>
        <w:rPr>
          <w:rFonts w:ascii="Microsoft JhengHei UI"/>
          <w:b/>
          <w:sz w:val="40"/>
        </w:rPr>
      </w:pPr>
    </w:p>
    <w:p>
      <w:pPr>
        <w:pStyle w:val="BodyText"/>
        <w:ind w:left="120"/>
      </w:pPr>
      <w:r>
        <w:rPr>
          <w:spacing w:val="-12"/>
          <w:w w:val="100"/>
        </w:rPr>
        <w:t>在本条款中，“您”指投保人，</w:t>
      </w:r>
      <w:r>
        <w:rPr>
          <w:spacing w:val="-2"/>
        </w:rPr>
        <w:t> </w:t>
      </w:r>
      <w:r>
        <w:rPr>
          <w:spacing w:val="-5"/>
          <w:w w:val="100"/>
        </w:rPr>
        <w:t>“本公司”指中新大东方人寿保险有限公司。</w:t>
      </w:r>
    </w:p>
    <w:p>
      <w:pPr>
        <w:pStyle w:val="BodyText"/>
        <w:spacing w:line="408" w:lineRule="auto" w:before="193"/>
        <w:ind w:left="120" w:right="112"/>
      </w:pPr>
      <w:r>
        <w:rPr>
          <w:spacing w:val="-6"/>
        </w:rPr>
        <w:t>“中新大东方附加金玉长安提前给付重大疾病保险合同” 在以下条款中简称为 “本附加险</w:t>
      </w:r>
      <w:r>
        <w:rPr>
          <w:spacing w:val="-4"/>
        </w:rPr>
        <w:t>合同”。</w:t>
      </w:r>
    </w:p>
    <w:p>
      <w:pPr>
        <w:pStyle w:val="BodyText"/>
        <w:spacing w:before="4"/>
        <w:rPr>
          <w:sz w:val="36"/>
        </w:rPr>
      </w:pPr>
    </w:p>
    <w:p>
      <w:pPr>
        <w:pStyle w:val="Heading2"/>
        <w:numPr>
          <w:ilvl w:val="0"/>
          <w:numId w:val="6"/>
        </w:numPr>
        <w:tabs>
          <w:tab w:pos="544" w:val="left" w:leader="none"/>
          <w:tab w:pos="545" w:val="left" w:leader="none"/>
        </w:tabs>
        <w:spacing w:line="240" w:lineRule="auto" w:before="1" w:after="0"/>
        <w:ind w:left="544" w:right="0" w:hanging="424"/>
        <w:jc w:val="left"/>
      </w:pPr>
      <w:r>
        <w:rPr/>
        <w:t>合同构成</w:t>
      </w:r>
    </w:p>
    <w:p>
      <w:pPr>
        <w:pStyle w:val="BodyText"/>
        <w:spacing w:before="10"/>
        <w:rPr>
          <w:rFonts w:ascii="Microsoft JhengHei UI"/>
          <w:b/>
          <w:sz w:val="38"/>
        </w:rPr>
      </w:pPr>
    </w:p>
    <w:p>
      <w:pPr>
        <w:pStyle w:val="BodyText"/>
        <w:spacing w:line="408" w:lineRule="auto"/>
        <w:ind w:left="120" w:right="112"/>
        <w:jc w:val="both"/>
      </w:pPr>
      <w:r>
        <w:rPr>
          <w:spacing w:val="-10"/>
        </w:rPr>
        <w:t>本保险条款、保险单或其他保险凭证、投保单、与本附加险合同有关的投保文件、合法有效</w:t>
      </w:r>
      <w:r>
        <w:rPr>
          <w:spacing w:val="-13"/>
        </w:rPr>
        <w:t>的声明、批注、批单、复效申请书、健康声明书、其他书面协议均是您与本公司之间订立的</w:t>
      </w:r>
      <w:r>
        <w:rPr>
          <w:spacing w:val="-6"/>
        </w:rPr>
        <w:t>保险合同的组成部分。</w:t>
      </w:r>
    </w:p>
    <w:p>
      <w:pPr>
        <w:pStyle w:val="BodyText"/>
        <w:spacing w:before="4"/>
        <w:rPr>
          <w:sz w:val="36"/>
        </w:rPr>
      </w:pPr>
    </w:p>
    <w:p>
      <w:pPr>
        <w:pStyle w:val="Heading2"/>
        <w:numPr>
          <w:ilvl w:val="0"/>
          <w:numId w:val="6"/>
        </w:numPr>
        <w:tabs>
          <w:tab w:pos="544" w:val="left" w:leader="none"/>
          <w:tab w:pos="545" w:val="left" w:leader="none"/>
        </w:tabs>
        <w:spacing w:line="240" w:lineRule="auto" w:before="0" w:after="0"/>
        <w:ind w:left="544" w:right="0" w:hanging="424"/>
        <w:jc w:val="left"/>
      </w:pPr>
      <w:bookmarkStart w:name="_TOC_250071" w:id="1"/>
      <w:bookmarkEnd w:id="1"/>
      <w:r>
        <w:rPr/>
        <w:t>投保年龄</w:t>
      </w:r>
    </w:p>
    <w:p>
      <w:pPr>
        <w:pStyle w:val="BodyText"/>
        <w:spacing w:before="15"/>
        <w:rPr>
          <w:rFonts w:ascii="Microsoft JhengHei UI"/>
          <w:b/>
          <w:sz w:val="37"/>
        </w:rPr>
      </w:pPr>
    </w:p>
    <w:p>
      <w:pPr>
        <w:pStyle w:val="BodyText"/>
        <w:ind w:left="120"/>
      </w:pPr>
      <w:r>
        <w:rPr>
          <w:w w:val="95"/>
        </w:rPr>
        <w:t>被保险人的投保年龄以</w:t>
      </w:r>
      <w:r>
        <w:rPr>
          <w:rFonts w:ascii="黑体" w:eastAsia="黑体" w:hint="eastAsia"/>
          <w:b/>
          <w:i/>
          <w:w w:val="95"/>
          <w:sz w:val="22"/>
        </w:rPr>
        <w:t>周岁</w:t>
      </w:r>
      <w:r>
        <w:rPr>
          <w:w w:val="95"/>
        </w:rPr>
        <w:t>(见释义10.1)计算。</w:t>
      </w:r>
    </w:p>
    <w:p>
      <w:pPr>
        <w:pStyle w:val="BodyText"/>
        <w:spacing w:before="191"/>
        <w:ind w:left="120"/>
      </w:pPr>
      <w:r>
        <w:rPr/>
        <w:t>本附加险合同接受的被保险人投保年龄范围为：出院且出生满30天至55周岁。</w:t>
      </w:r>
    </w:p>
    <w:p>
      <w:pPr>
        <w:pStyle w:val="BodyText"/>
        <w:rPr>
          <w:sz w:val="26"/>
        </w:rPr>
      </w:pPr>
    </w:p>
    <w:p>
      <w:pPr>
        <w:pStyle w:val="BodyText"/>
        <w:spacing w:before="7"/>
      </w:pPr>
    </w:p>
    <w:p>
      <w:pPr>
        <w:pStyle w:val="Heading2"/>
        <w:numPr>
          <w:ilvl w:val="0"/>
          <w:numId w:val="6"/>
        </w:numPr>
        <w:tabs>
          <w:tab w:pos="544" w:val="left" w:leader="none"/>
          <w:tab w:pos="545" w:val="left" w:leader="none"/>
        </w:tabs>
        <w:spacing w:line="240" w:lineRule="auto" w:before="0" w:after="0"/>
        <w:ind w:left="544" w:right="0" w:hanging="424"/>
        <w:jc w:val="left"/>
      </w:pPr>
      <w:r>
        <w:rPr>
          <w:spacing w:val="-2"/>
        </w:rPr>
        <w:t>合同成立与生效</w:t>
      </w:r>
    </w:p>
    <w:p>
      <w:pPr>
        <w:pStyle w:val="BodyText"/>
        <w:spacing w:before="12"/>
        <w:rPr>
          <w:rFonts w:ascii="Microsoft JhengHei UI"/>
          <w:b/>
          <w:sz w:val="38"/>
        </w:rPr>
      </w:pPr>
    </w:p>
    <w:p>
      <w:pPr>
        <w:pStyle w:val="BodyText"/>
        <w:spacing w:line="408" w:lineRule="auto"/>
        <w:ind w:left="120" w:right="112"/>
      </w:pPr>
      <w:r>
        <w:rPr>
          <w:spacing w:val="-5"/>
        </w:rPr>
        <w:t>本附加险合同由主保险合同</w:t>
      </w:r>
      <w:r>
        <w:rPr/>
        <w:t>（</w:t>
      </w:r>
      <w:r>
        <w:rPr>
          <w:spacing w:val="-6"/>
        </w:rPr>
        <w:t>以下简称“主险合同</w:t>
      </w:r>
      <w:r>
        <w:rPr>
          <w:spacing w:val="-20"/>
        </w:rPr>
        <w:t>”）</w:t>
      </w:r>
      <w:r>
        <w:rPr>
          <w:spacing w:val="-6"/>
        </w:rPr>
        <w:t>投保人提出申请，经本公司同意而成立。</w:t>
      </w:r>
    </w:p>
    <w:p>
      <w:pPr>
        <w:pStyle w:val="BodyText"/>
        <w:spacing w:before="45"/>
        <w:ind w:left="120"/>
      </w:pPr>
      <w:r>
        <w:rPr/>
        <w:t>本附加险合同只可附加于中新大东方金玉长安两全保险（分红型）合同。</w:t>
      </w:r>
    </w:p>
    <w:p>
      <w:pPr>
        <w:pStyle w:val="BodyText"/>
        <w:spacing w:line="408" w:lineRule="auto" w:before="192"/>
        <w:ind w:left="120" w:right="112"/>
      </w:pPr>
      <w:r>
        <w:rPr>
          <w:spacing w:val="-8"/>
        </w:rPr>
        <w:t>本附加险合同自本公司同意承保且已向您收取首期保险费且签发保险单开始生效，具体生效</w:t>
      </w:r>
      <w:r>
        <w:rPr>
          <w:spacing w:val="-3"/>
        </w:rPr>
        <w:t>日以保险单所载的日期为准。</w:t>
      </w:r>
    </w:p>
    <w:p>
      <w:pPr>
        <w:pStyle w:val="BodyText"/>
        <w:spacing w:before="45"/>
        <w:ind w:left="120"/>
      </w:pPr>
      <w:r>
        <w:rPr/>
        <w:t>本附加险合同生效日以后每年的对应日为年生效对应日、保单周年日。</w:t>
      </w:r>
    </w:p>
    <w:p>
      <w:pPr>
        <w:pStyle w:val="BodyText"/>
        <w:spacing w:line="408" w:lineRule="auto" w:before="192"/>
        <w:ind w:left="120" w:right="112"/>
      </w:pPr>
      <w:r>
        <w:rPr>
          <w:spacing w:val="-10"/>
        </w:rPr>
        <w:t>保单年度、保险费约定支付日和保险单满期日均以生效日为基础进行计算。如果当月无对应</w:t>
      </w:r>
      <w:r>
        <w:rPr>
          <w:spacing w:val="-3"/>
        </w:rPr>
        <w:t>的同一日，则以该月最后一日作为对应日。</w:t>
      </w:r>
    </w:p>
    <w:p>
      <w:pPr>
        <w:spacing w:after="0" w:line="408" w:lineRule="auto"/>
        <w:sectPr>
          <w:pgSz w:w="11910" w:h="16840"/>
          <w:pgMar w:header="0" w:footer="1045" w:top="1460" w:bottom="1240" w:left="1680" w:right="1680"/>
        </w:sectPr>
      </w:pPr>
    </w:p>
    <w:p>
      <w:pPr>
        <w:pStyle w:val="Heading2"/>
        <w:numPr>
          <w:ilvl w:val="0"/>
          <w:numId w:val="6"/>
        </w:numPr>
        <w:tabs>
          <w:tab w:pos="544" w:val="left" w:leader="none"/>
          <w:tab w:pos="545" w:val="left" w:leader="none"/>
        </w:tabs>
        <w:spacing w:line="332" w:lineRule="exact" w:before="0" w:after="0"/>
        <w:ind w:left="544" w:right="0" w:hanging="424"/>
        <w:jc w:val="left"/>
      </w:pPr>
      <w:bookmarkStart w:name="_TOC_250070" w:id="2"/>
      <w:bookmarkEnd w:id="2"/>
      <w:r>
        <w:rPr/>
        <w:t>保险责任</w:t>
      </w:r>
    </w:p>
    <w:p>
      <w:pPr>
        <w:pStyle w:val="BodyText"/>
        <w:spacing w:before="15"/>
        <w:rPr>
          <w:rFonts w:ascii="Microsoft JhengHei UI"/>
          <w:b/>
          <w:sz w:val="37"/>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69" w:id="3"/>
      <w:bookmarkEnd w:id="3"/>
      <w:r>
        <w:rPr>
          <w:spacing w:val="-2"/>
        </w:rPr>
        <w:t>保险责任的开始</w:t>
      </w:r>
    </w:p>
    <w:p>
      <w:pPr>
        <w:pStyle w:val="BodyText"/>
        <w:spacing w:before="3"/>
        <w:rPr>
          <w:rFonts w:ascii="Microsoft JhengHei UI"/>
          <w:b/>
          <w:sz w:val="27"/>
        </w:rPr>
      </w:pPr>
    </w:p>
    <w:p>
      <w:pPr>
        <w:pStyle w:val="BodyText"/>
        <w:spacing w:line="396" w:lineRule="auto" w:before="1"/>
        <w:ind w:left="120" w:right="109"/>
      </w:pPr>
      <w:r>
        <w:rPr>
          <w:spacing w:val="-9"/>
        </w:rPr>
        <w:t>等待期：从本附加险合同生效日起 </w:t>
      </w:r>
      <w:r>
        <w:rPr/>
        <w:t>90</w:t>
      </w:r>
      <w:r>
        <w:rPr>
          <w:spacing w:val="-14"/>
        </w:rPr>
        <w:t> 天内或最后复效日起 </w:t>
      </w:r>
      <w:r>
        <w:rPr/>
        <w:t>90</w:t>
      </w:r>
      <w:r>
        <w:rPr>
          <w:spacing w:val="-12"/>
        </w:rPr>
        <w:t> 天内，被保险人经</w:t>
      </w:r>
      <w:r>
        <w:rPr>
          <w:rFonts w:ascii="黑体" w:eastAsia="黑体" w:hint="eastAsia"/>
          <w:b/>
          <w:i/>
          <w:spacing w:val="-11"/>
          <w:sz w:val="22"/>
        </w:rPr>
        <w:t>医院</w:t>
      </w:r>
      <w:r>
        <w:rPr>
          <w:sz w:val="22"/>
        </w:rPr>
        <w:t>（</w:t>
      </w:r>
      <w:r>
        <w:rPr/>
        <w:t>见释</w:t>
      </w:r>
      <w:r>
        <w:rPr>
          <w:w w:val="100"/>
        </w:rPr>
        <w:t>义</w:t>
      </w:r>
      <w:r>
        <w:rPr>
          <w:spacing w:val="-53"/>
        </w:rPr>
        <w:t> </w:t>
      </w:r>
      <w:r>
        <w:rPr>
          <w:spacing w:val="-1"/>
          <w:w w:val="94"/>
        </w:rPr>
        <w:t>10</w:t>
      </w:r>
      <w:r>
        <w:rPr>
          <w:spacing w:val="-1"/>
          <w:w w:val="44"/>
        </w:rPr>
        <w:t>.</w:t>
      </w:r>
      <w:r>
        <w:rPr>
          <w:spacing w:val="-1"/>
          <w:w w:val="94"/>
        </w:rPr>
        <w:t>2</w:t>
      </w:r>
      <w:r>
        <w:rPr>
          <w:spacing w:val="-12"/>
          <w:w w:val="100"/>
        </w:rPr>
        <w:t>）</w:t>
      </w:r>
      <w:r>
        <w:rPr>
          <w:spacing w:val="-3"/>
          <w:w w:val="100"/>
        </w:rPr>
        <w:t>诊断初次发生本附加险合同所界定的</w:t>
      </w:r>
      <w:r>
        <w:rPr>
          <w:spacing w:val="-3"/>
        </w:rPr>
        <w:t> </w:t>
      </w:r>
      <w:r>
        <w:rPr>
          <w:w w:val="94"/>
        </w:rPr>
        <w:t>30</w:t>
      </w:r>
      <w:r>
        <w:rPr>
          <w:spacing w:val="-54"/>
        </w:rPr>
        <w:t> </w:t>
      </w:r>
      <w:r>
        <w:rPr>
          <w:spacing w:val="-2"/>
          <w:w w:val="100"/>
        </w:rPr>
        <w:t>种</w:t>
      </w:r>
      <w:r>
        <w:rPr>
          <w:rFonts w:ascii="黑体" w:eastAsia="黑体" w:hint="eastAsia"/>
          <w:b/>
          <w:i/>
          <w:spacing w:val="-3"/>
          <w:w w:val="95"/>
          <w:sz w:val="22"/>
        </w:rPr>
        <w:t>重大疾病</w:t>
      </w:r>
      <w:r>
        <w:rPr>
          <w:spacing w:val="-3"/>
          <w:w w:val="96"/>
          <w:sz w:val="22"/>
        </w:rPr>
        <w:t>（</w:t>
      </w:r>
      <w:r>
        <w:rPr>
          <w:spacing w:val="-2"/>
          <w:w w:val="100"/>
        </w:rPr>
        <w:t>见释义</w:t>
      </w:r>
      <w:r>
        <w:rPr>
          <w:spacing w:val="-53"/>
        </w:rPr>
        <w:t> </w:t>
      </w:r>
      <w:r>
        <w:rPr>
          <w:spacing w:val="-1"/>
          <w:w w:val="94"/>
        </w:rPr>
        <w:t>10</w:t>
      </w:r>
      <w:r>
        <w:rPr>
          <w:spacing w:val="-1"/>
          <w:w w:val="44"/>
        </w:rPr>
        <w:t>.</w:t>
      </w:r>
      <w:r>
        <w:rPr>
          <w:spacing w:val="-3"/>
          <w:w w:val="94"/>
        </w:rPr>
        <w:t>3</w:t>
      </w:r>
      <w:r>
        <w:rPr>
          <w:spacing w:val="-13"/>
          <w:w w:val="95"/>
          <w:sz w:val="22"/>
        </w:rPr>
        <w:t>）</w:t>
      </w:r>
      <w:r>
        <w:rPr>
          <w:spacing w:val="-2"/>
          <w:w w:val="100"/>
        </w:rPr>
        <w:t>中的任何一种，</w:t>
      </w:r>
      <w:r>
        <w:rPr>
          <w:spacing w:val="-7"/>
        </w:rPr>
        <w:t>本公司不承担保险责任，这 </w:t>
      </w:r>
      <w:r>
        <w:rPr/>
        <w:t>90</w:t>
      </w:r>
      <w:r>
        <w:rPr>
          <w:spacing w:val="-10"/>
        </w:rPr>
        <w:t> 天为等待期。</w:t>
      </w:r>
    </w:p>
    <w:p>
      <w:pPr>
        <w:pStyle w:val="BodyText"/>
        <w:spacing w:line="252" w:lineRule="exact"/>
        <w:ind w:left="120"/>
      </w:pPr>
      <w:r>
        <w:rPr/>
        <w:t>本公司承担的保险责任自本附加险合同约定的等待期后开始。</w:t>
      </w:r>
    </w:p>
    <w:p>
      <w:pPr>
        <w:pStyle w:val="BodyText"/>
        <w:spacing w:before="7"/>
        <w:rPr>
          <w:sz w:val="27"/>
        </w:rPr>
      </w:pPr>
    </w:p>
    <w:p>
      <w:pPr>
        <w:pStyle w:val="Heading2"/>
        <w:numPr>
          <w:ilvl w:val="1"/>
          <w:numId w:val="6"/>
        </w:numPr>
        <w:tabs>
          <w:tab w:pos="839" w:val="left" w:leader="none"/>
          <w:tab w:pos="841" w:val="left" w:leader="none"/>
        </w:tabs>
        <w:spacing w:line="240" w:lineRule="auto" w:before="1" w:after="0"/>
        <w:ind w:left="840" w:right="0" w:hanging="720"/>
        <w:jc w:val="left"/>
      </w:pPr>
      <w:bookmarkStart w:name="_TOC_250068" w:id="4"/>
      <w:bookmarkEnd w:id="4"/>
      <w:r>
        <w:rPr>
          <w:spacing w:val="-1"/>
        </w:rPr>
        <w:t>保险期间</w:t>
      </w:r>
    </w:p>
    <w:p>
      <w:pPr>
        <w:pStyle w:val="BodyText"/>
        <w:spacing w:before="1"/>
        <w:rPr>
          <w:rFonts w:ascii="Microsoft JhengHei UI"/>
          <w:b/>
          <w:sz w:val="28"/>
        </w:rPr>
      </w:pPr>
    </w:p>
    <w:p>
      <w:pPr>
        <w:pStyle w:val="BodyText"/>
        <w:ind w:left="120"/>
      </w:pPr>
      <w:r>
        <w:rPr/>
        <w:t>本附加险合同的保险期间与所附主险合同的保险期间相同，即6年、10年、20年。</w:t>
      </w:r>
    </w:p>
    <w:p>
      <w:pPr>
        <w:pStyle w:val="BodyText"/>
        <w:spacing w:before="5"/>
        <w:rPr>
          <w:sz w:val="33"/>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67" w:id="5"/>
      <w:bookmarkEnd w:id="5"/>
      <w:r>
        <w:rPr>
          <w:spacing w:val="-3"/>
        </w:rPr>
        <w:t>本公司承担的保险责任</w:t>
      </w:r>
    </w:p>
    <w:p>
      <w:pPr>
        <w:pStyle w:val="BodyText"/>
        <w:spacing w:before="1"/>
        <w:rPr>
          <w:rFonts w:ascii="Microsoft JhengHei UI"/>
          <w:b/>
          <w:sz w:val="28"/>
        </w:rPr>
      </w:pPr>
    </w:p>
    <w:p>
      <w:pPr>
        <w:pStyle w:val="BodyText"/>
        <w:ind w:left="120"/>
      </w:pPr>
      <w:r>
        <w:rPr/>
        <w:t>在等待期后本附加险合同的责任有效期内：</w:t>
      </w:r>
    </w:p>
    <w:p>
      <w:pPr>
        <w:pStyle w:val="BodyText"/>
        <w:spacing w:line="403" w:lineRule="auto" w:before="193"/>
        <w:ind w:left="120" w:right="212"/>
        <w:jc w:val="both"/>
      </w:pPr>
      <w:r>
        <w:rPr>
          <w:spacing w:val="-4"/>
        </w:rPr>
        <w:t>如果被保险人经医院确诊初次发生本附加险合同所界定的 </w:t>
      </w:r>
      <w:r>
        <w:rPr/>
        <w:t>30</w:t>
      </w:r>
      <w:r>
        <w:rPr>
          <w:spacing w:val="-6"/>
        </w:rPr>
        <w:t> 种重大疾病中的任何一种，从</w:t>
      </w:r>
      <w:r>
        <w:rPr>
          <w:rFonts w:ascii="黑体" w:eastAsia="黑体" w:hint="eastAsia"/>
          <w:b/>
          <w:i/>
          <w:spacing w:val="-11"/>
          <w:w w:val="95"/>
          <w:sz w:val="22"/>
        </w:rPr>
        <w:t>本条款约定确诊日</w:t>
      </w:r>
      <w:r>
        <w:rPr>
          <w:spacing w:val="-3"/>
          <w:w w:val="95"/>
        </w:rPr>
        <w:t>（</w:t>
      </w:r>
      <w:r>
        <w:rPr>
          <w:spacing w:val="22"/>
          <w:w w:val="95"/>
        </w:rPr>
        <w:t>见释义 </w:t>
      </w:r>
      <w:r>
        <w:rPr>
          <w:spacing w:val="-9"/>
          <w:w w:val="95"/>
        </w:rPr>
        <w:t>10.4）</w:t>
      </w:r>
      <w:r>
        <w:rPr>
          <w:spacing w:val="-5"/>
          <w:w w:val="95"/>
        </w:rPr>
        <w:t>起本公司将本附加险合同所附主险合同身故保险金作为重</w:t>
      </w:r>
      <w:r>
        <w:rPr>
          <w:spacing w:val="-8"/>
        </w:rPr>
        <w:t>大疾病保险金提前一次性给付予重大疾病保险金受益人，同时本附加险合同与所附主险合同终止。</w:t>
      </w:r>
    </w:p>
    <w:p>
      <w:pPr>
        <w:pStyle w:val="BodyText"/>
        <w:spacing w:before="7"/>
        <w:rPr>
          <w:sz w:val="22"/>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66" w:id="6"/>
      <w:bookmarkEnd w:id="6"/>
      <w:r>
        <w:rPr>
          <w:spacing w:val="-1"/>
        </w:rPr>
        <w:t>责任免除</w:t>
      </w:r>
    </w:p>
    <w:p>
      <w:pPr>
        <w:pStyle w:val="BodyText"/>
        <w:spacing w:before="14"/>
        <w:rPr>
          <w:rFonts w:ascii="Microsoft JhengHei UI"/>
          <w:b/>
          <w:sz w:val="22"/>
        </w:rPr>
      </w:pPr>
    </w:p>
    <w:p>
      <w:pPr>
        <w:pStyle w:val="BodyText"/>
        <w:spacing w:line="355" w:lineRule="auto"/>
        <w:ind w:left="120" w:right="212"/>
        <w:rPr>
          <w:rFonts w:ascii="黑体" w:eastAsia="黑体" w:hint="eastAsia"/>
        </w:rPr>
      </w:pPr>
      <w:r>
        <w:rPr>
          <w:rFonts w:ascii="黑体" w:eastAsia="黑体" w:hint="eastAsia"/>
          <w:spacing w:val="-8"/>
        </w:rPr>
        <w:t>因下列情形之一，导致被保险人发</w:t>
      </w:r>
      <w:r>
        <w:rPr>
          <w:rFonts w:ascii="黑体" w:eastAsia="黑体" w:hint="eastAsia"/>
          <w:spacing w:val="-3"/>
        </w:rPr>
        <w:t>Th</w:t>
      </w:r>
      <w:r>
        <w:rPr>
          <w:rFonts w:ascii="黑体" w:eastAsia="黑体" w:hint="eastAsia"/>
          <w:spacing w:val="-7"/>
        </w:rPr>
        <w:t>本附加险合同所指的重大疾病，本公司不承担给付保险</w:t>
      </w:r>
      <w:r>
        <w:rPr>
          <w:rFonts w:ascii="黑体" w:eastAsia="黑体" w:hint="eastAsia"/>
          <w:spacing w:val="-5"/>
        </w:rPr>
        <w:t>金的责任：</w:t>
      </w:r>
    </w:p>
    <w:p>
      <w:pPr>
        <w:pStyle w:val="ListParagraph"/>
        <w:numPr>
          <w:ilvl w:val="0"/>
          <w:numId w:val="7"/>
        </w:numPr>
        <w:tabs>
          <w:tab w:pos="687" w:val="left" w:leader="none"/>
        </w:tabs>
        <w:spacing w:line="240" w:lineRule="auto" w:before="133" w:after="0"/>
        <w:ind w:left="686" w:right="0" w:hanging="566"/>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10"/>
        <w:rPr>
          <w:rFonts w:ascii="黑体"/>
          <w:sz w:val="14"/>
        </w:rPr>
      </w:pPr>
    </w:p>
    <w:p>
      <w:pPr>
        <w:pStyle w:val="ListParagraph"/>
        <w:numPr>
          <w:ilvl w:val="0"/>
          <w:numId w:val="7"/>
        </w:numPr>
        <w:tabs>
          <w:tab w:pos="687" w:val="left" w:leader="none"/>
        </w:tabs>
        <w:spacing w:line="240" w:lineRule="auto" w:before="0" w:after="0"/>
        <w:ind w:left="686" w:right="0" w:hanging="566"/>
        <w:jc w:val="left"/>
        <w:rPr>
          <w:rFonts w:ascii="黑体" w:eastAsia="黑体" w:hint="eastAsia"/>
          <w:sz w:val="21"/>
        </w:rPr>
      </w:pPr>
      <w:r>
        <w:rPr>
          <w:rFonts w:ascii="黑体" w:eastAsia="黑体" w:hint="eastAsia"/>
          <w:spacing w:val="-5"/>
          <w:sz w:val="21"/>
        </w:rPr>
        <w:t>被保险人故意自伤、故意犯罪或抗拒依法采取的刑事强制措施；</w:t>
      </w:r>
    </w:p>
    <w:p>
      <w:pPr>
        <w:pStyle w:val="BodyText"/>
        <w:spacing w:before="11"/>
        <w:rPr>
          <w:rFonts w:ascii="黑体"/>
          <w:sz w:val="13"/>
        </w:rPr>
      </w:pPr>
    </w:p>
    <w:p>
      <w:pPr>
        <w:pStyle w:val="ListParagraph"/>
        <w:numPr>
          <w:ilvl w:val="0"/>
          <w:numId w:val="7"/>
        </w:numPr>
        <w:tabs>
          <w:tab w:pos="687" w:val="left" w:leader="none"/>
        </w:tabs>
        <w:spacing w:line="240" w:lineRule="auto" w:before="0" w:after="0"/>
        <w:ind w:left="686" w:right="0" w:hanging="566"/>
        <w:jc w:val="left"/>
        <w:rPr>
          <w:rFonts w:ascii="黑体" w:eastAsia="黑体" w:hint="eastAsia"/>
          <w:sz w:val="21"/>
        </w:rPr>
      </w:pPr>
      <w:r>
        <w:rPr>
          <w:rFonts w:ascii="黑体" w:eastAsia="黑体" w:hint="eastAsia"/>
          <w:spacing w:val="-4"/>
          <w:sz w:val="21"/>
        </w:rPr>
        <w:t>被保险人服用、吸食或注射</w:t>
      </w:r>
      <w:r>
        <w:rPr>
          <w:rFonts w:ascii="黑体" w:eastAsia="黑体" w:hint="eastAsia"/>
          <w:b/>
          <w:i/>
          <w:sz w:val="22"/>
        </w:rPr>
        <w:t>毒品</w:t>
      </w:r>
      <w:r>
        <w:rPr>
          <w:rFonts w:ascii="黑体" w:eastAsia="黑体" w:hint="eastAsia"/>
          <w:spacing w:val="-3"/>
          <w:sz w:val="21"/>
        </w:rPr>
        <w:t>（</w:t>
      </w:r>
      <w:r>
        <w:rPr>
          <w:rFonts w:ascii="黑体" w:eastAsia="黑体" w:hint="eastAsia"/>
          <w:spacing w:val="-1"/>
          <w:sz w:val="21"/>
        </w:rPr>
        <w:t>见释义</w:t>
      </w:r>
      <w:r>
        <w:rPr>
          <w:rFonts w:ascii="黑体" w:eastAsia="黑体" w:hint="eastAsia"/>
          <w:sz w:val="21"/>
        </w:rPr>
        <w:t>10.5）；</w:t>
      </w:r>
    </w:p>
    <w:p>
      <w:pPr>
        <w:pStyle w:val="ListParagraph"/>
        <w:numPr>
          <w:ilvl w:val="0"/>
          <w:numId w:val="7"/>
        </w:numPr>
        <w:tabs>
          <w:tab w:pos="687" w:val="left" w:leader="none"/>
        </w:tabs>
        <w:spacing w:line="240" w:lineRule="auto" w:before="180" w:after="0"/>
        <w:ind w:left="686" w:right="0" w:hanging="566"/>
        <w:jc w:val="left"/>
        <w:rPr>
          <w:rFonts w:ascii="黑体" w:eastAsia="黑体" w:hint="eastAsia"/>
          <w:sz w:val="21"/>
        </w:rPr>
      </w:pPr>
      <w:r>
        <w:rPr>
          <w:rFonts w:ascii="黑体" w:eastAsia="黑体" w:hint="eastAsia"/>
          <w:spacing w:val="-2"/>
          <w:w w:val="95"/>
          <w:sz w:val="21"/>
        </w:rPr>
        <w:t>被保险人</w:t>
      </w:r>
      <w:r>
        <w:rPr>
          <w:rFonts w:ascii="黑体" w:eastAsia="黑体" w:hint="eastAsia"/>
          <w:b/>
          <w:i/>
          <w:spacing w:val="-2"/>
          <w:w w:val="95"/>
          <w:sz w:val="22"/>
        </w:rPr>
        <w:t>酒后驾驶</w:t>
      </w:r>
      <w:r>
        <w:rPr>
          <w:rFonts w:ascii="黑体" w:eastAsia="黑体" w:hint="eastAsia"/>
          <w:spacing w:val="-3"/>
          <w:w w:val="95"/>
          <w:sz w:val="21"/>
        </w:rPr>
        <w:t>（</w:t>
      </w:r>
      <w:r>
        <w:rPr>
          <w:rFonts w:ascii="黑体" w:eastAsia="黑体" w:hint="eastAsia"/>
          <w:spacing w:val="-1"/>
          <w:w w:val="95"/>
          <w:sz w:val="21"/>
        </w:rPr>
        <w:t>见释义</w:t>
      </w:r>
      <w:r>
        <w:rPr>
          <w:rFonts w:ascii="黑体" w:eastAsia="黑体" w:hint="eastAsia"/>
          <w:spacing w:val="-3"/>
          <w:w w:val="95"/>
          <w:sz w:val="21"/>
        </w:rPr>
        <w:t>10.6）</w:t>
      </w:r>
      <w:r>
        <w:rPr>
          <w:rFonts w:ascii="黑体" w:eastAsia="黑体" w:hint="eastAsia"/>
          <w:spacing w:val="-10"/>
          <w:w w:val="95"/>
          <w:sz w:val="21"/>
        </w:rPr>
        <w:t>、</w:t>
      </w:r>
      <w:r>
        <w:rPr>
          <w:rFonts w:ascii="黑体" w:eastAsia="黑体" w:hint="eastAsia"/>
          <w:b/>
          <w:i/>
          <w:spacing w:val="-2"/>
          <w:w w:val="95"/>
          <w:sz w:val="22"/>
        </w:rPr>
        <w:t>无合法有效驾驶证驾驶</w:t>
      </w:r>
      <w:r>
        <w:rPr>
          <w:rFonts w:ascii="黑体" w:eastAsia="黑体" w:hint="eastAsia"/>
          <w:i/>
          <w:spacing w:val="-3"/>
          <w:w w:val="95"/>
          <w:sz w:val="22"/>
        </w:rPr>
        <w:t>（</w:t>
      </w:r>
      <w:r>
        <w:rPr>
          <w:rFonts w:ascii="黑体" w:eastAsia="黑体" w:hint="eastAsia"/>
          <w:spacing w:val="-2"/>
          <w:w w:val="95"/>
          <w:sz w:val="21"/>
        </w:rPr>
        <w:t>见释义</w:t>
      </w:r>
      <w:r>
        <w:rPr>
          <w:rFonts w:ascii="黑体" w:eastAsia="黑体" w:hint="eastAsia"/>
          <w:spacing w:val="-4"/>
          <w:w w:val="95"/>
          <w:sz w:val="21"/>
        </w:rPr>
        <w:t>10.7）</w:t>
      </w:r>
      <w:r>
        <w:rPr>
          <w:rFonts w:ascii="黑体" w:eastAsia="黑体" w:hint="eastAsia"/>
          <w:spacing w:val="-2"/>
          <w:w w:val="95"/>
          <w:sz w:val="21"/>
        </w:rPr>
        <w:t>，及驾驶</w:t>
      </w:r>
    </w:p>
    <w:p>
      <w:pPr>
        <w:spacing w:before="180"/>
        <w:ind w:left="686" w:right="0" w:firstLine="0"/>
        <w:jc w:val="left"/>
        <w:rPr>
          <w:rFonts w:ascii="黑体" w:eastAsia="黑体" w:hint="eastAsia"/>
          <w:sz w:val="21"/>
        </w:rPr>
      </w:pPr>
      <w:r>
        <w:rPr>
          <w:rFonts w:ascii="黑体" w:eastAsia="黑体" w:hint="eastAsia"/>
          <w:b/>
          <w:i/>
          <w:w w:val="95"/>
          <w:sz w:val="22"/>
        </w:rPr>
        <w:t>无有效行驶证</w:t>
      </w:r>
      <w:r>
        <w:rPr>
          <w:rFonts w:ascii="黑体" w:eastAsia="黑体" w:hint="eastAsia"/>
          <w:w w:val="95"/>
          <w:sz w:val="21"/>
        </w:rPr>
        <w:t>（见释义10.8）的机动车；</w:t>
      </w:r>
    </w:p>
    <w:p>
      <w:pPr>
        <w:pStyle w:val="ListParagraph"/>
        <w:numPr>
          <w:ilvl w:val="0"/>
          <w:numId w:val="7"/>
        </w:numPr>
        <w:tabs>
          <w:tab w:pos="687" w:val="left" w:leader="none"/>
        </w:tabs>
        <w:spacing w:line="240" w:lineRule="auto" w:before="180" w:after="0"/>
        <w:ind w:left="686" w:right="0" w:hanging="566"/>
        <w:jc w:val="left"/>
        <w:rPr>
          <w:rFonts w:ascii="黑体" w:eastAsia="黑体" w:hint="eastAsia"/>
          <w:sz w:val="21"/>
        </w:rPr>
      </w:pPr>
      <w:r>
        <w:rPr>
          <w:rFonts w:ascii="黑体" w:eastAsia="黑体" w:hint="eastAsia"/>
          <w:spacing w:val="-3"/>
          <w:w w:val="95"/>
          <w:sz w:val="21"/>
        </w:rPr>
        <w:t>被保险人</w:t>
      </w:r>
      <w:r>
        <w:rPr>
          <w:rFonts w:ascii="黑体" w:eastAsia="黑体" w:hint="eastAsia"/>
          <w:b/>
          <w:i/>
          <w:spacing w:val="-2"/>
          <w:w w:val="95"/>
          <w:sz w:val="22"/>
        </w:rPr>
        <w:t>感染艾滋病病毒或患艾滋病</w:t>
      </w:r>
      <w:r>
        <w:rPr>
          <w:rFonts w:ascii="黑体" w:eastAsia="黑体" w:hint="eastAsia"/>
          <w:spacing w:val="-3"/>
          <w:w w:val="95"/>
          <w:sz w:val="21"/>
        </w:rPr>
        <w:t>（</w:t>
      </w:r>
      <w:r>
        <w:rPr>
          <w:rFonts w:ascii="黑体" w:eastAsia="黑体" w:hint="eastAsia"/>
          <w:spacing w:val="-2"/>
          <w:w w:val="95"/>
          <w:sz w:val="21"/>
        </w:rPr>
        <w:t>见释义</w:t>
      </w:r>
      <w:r>
        <w:rPr>
          <w:rFonts w:ascii="黑体" w:eastAsia="黑体" w:hint="eastAsia"/>
          <w:w w:val="95"/>
          <w:sz w:val="21"/>
        </w:rPr>
        <w:t>10.9）；</w:t>
      </w:r>
    </w:p>
    <w:p>
      <w:pPr>
        <w:pStyle w:val="ListParagraph"/>
        <w:numPr>
          <w:ilvl w:val="0"/>
          <w:numId w:val="7"/>
        </w:numPr>
        <w:tabs>
          <w:tab w:pos="687" w:val="left" w:leader="none"/>
        </w:tabs>
        <w:spacing w:line="240" w:lineRule="auto" w:before="192" w:after="0"/>
        <w:ind w:left="686" w:right="0" w:hanging="566"/>
        <w:jc w:val="left"/>
        <w:rPr>
          <w:rFonts w:ascii="黑体" w:eastAsia="黑体" w:hint="eastAsia"/>
          <w:sz w:val="21"/>
        </w:rPr>
      </w:pPr>
      <w:r>
        <w:rPr>
          <w:rFonts w:ascii="黑体" w:eastAsia="黑体" w:hint="eastAsia"/>
          <w:spacing w:val="-3"/>
          <w:sz w:val="21"/>
        </w:rPr>
        <w:t>战争、军事冲突、暴乱或武装叛乱；</w:t>
      </w:r>
    </w:p>
    <w:p>
      <w:pPr>
        <w:spacing w:after="0" w:line="240" w:lineRule="auto"/>
        <w:jc w:val="left"/>
        <w:rPr>
          <w:rFonts w:ascii="黑体" w:eastAsia="黑体" w:hint="eastAsia"/>
          <w:sz w:val="21"/>
        </w:rPr>
        <w:sectPr>
          <w:pgSz w:w="11910" w:h="16840"/>
          <w:pgMar w:header="0" w:footer="1045" w:top="1580" w:bottom="1240" w:left="1680" w:right="1580"/>
        </w:sectPr>
      </w:pPr>
    </w:p>
    <w:p>
      <w:pPr>
        <w:pStyle w:val="ListParagraph"/>
        <w:numPr>
          <w:ilvl w:val="0"/>
          <w:numId w:val="7"/>
        </w:numPr>
        <w:tabs>
          <w:tab w:pos="687" w:val="left" w:leader="none"/>
        </w:tabs>
        <w:spacing w:line="240" w:lineRule="auto" w:before="6" w:after="0"/>
        <w:ind w:left="686" w:right="0" w:hanging="566"/>
        <w:jc w:val="left"/>
        <w:rPr>
          <w:rFonts w:ascii="黑体" w:eastAsia="黑体" w:hint="eastAsia"/>
          <w:sz w:val="21"/>
        </w:rPr>
      </w:pPr>
      <w:r>
        <w:rPr>
          <w:rFonts w:ascii="黑体" w:eastAsia="黑体" w:hint="eastAsia"/>
          <w:spacing w:val="-3"/>
          <w:sz w:val="21"/>
        </w:rPr>
        <w:t>核爆炸、核辐射或核污染；</w:t>
      </w:r>
    </w:p>
    <w:p>
      <w:pPr>
        <w:pStyle w:val="BodyText"/>
        <w:spacing w:before="10"/>
        <w:rPr>
          <w:rFonts w:ascii="黑体"/>
          <w:sz w:val="13"/>
        </w:rPr>
      </w:pPr>
    </w:p>
    <w:p>
      <w:pPr>
        <w:pStyle w:val="ListParagraph"/>
        <w:numPr>
          <w:ilvl w:val="0"/>
          <w:numId w:val="7"/>
        </w:numPr>
        <w:tabs>
          <w:tab w:pos="688" w:val="left" w:leader="none"/>
        </w:tabs>
        <w:spacing w:line="240" w:lineRule="auto" w:before="1" w:after="0"/>
        <w:ind w:left="687" w:right="0" w:hanging="567"/>
        <w:jc w:val="left"/>
        <w:rPr>
          <w:rFonts w:ascii="黑体" w:eastAsia="黑体" w:hint="eastAsia"/>
          <w:sz w:val="21"/>
        </w:rPr>
      </w:pPr>
      <w:r>
        <w:rPr>
          <w:rFonts w:ascii="黑体" w:eastAsia="黑体" w:hint="eastAsia"/>
          <w:b/>
          <w:i/>
          <w:spacing w:val="-1"/>
          <w:w w:val="95"/>
          <w:sz w:val="22"/>
        </w:rPr>
        <w:t>遗传性疾病</w:t>
      </w:r>
      <w:r>
        <w:rPr>
          <w:rFonts w:ascii="黑体" w:eastAsia="黑体" w:hint="eastAsia"/>
          <w:spacing w:val="-3"/>
          <w:w w:val="95"/>
          <w:sz w:val="21"/>
        </w:rPr>
        <w:t>（</w:t>
      </w:r>
      <w:r>
        <w:rPr>
          <w:rFonts w:ascii="黑体" w:eastAsia="黑体" w:hint="eastAsia"/>
          <w:spacing w:val="-2"/>
          <w:w w:val="95"/>
          <w:sz w:val="21"/>
        </w:rPr>
        <w:t>见释义</w:t>
      </w:r>
      <w:r>
        <w:rPr>
          <w:rFonts w:ascii="黑体" w:eastAsia="黑体" w:hint="eastAsia"/>
          <w:spacing w:val="-1"/>
          <w:w w:val="95"/>
          <w:sz w:val="21"/>
        </w:rPr>
        <w:t>10.10）、</w:t>
      </w:r>
      <w:r>
        <w:rPr>
          <w:rFonts w:ascii="黑体" w:eastAsia="黑体" w:hint="eastAsia"/>
          <w:b/>
          <w:i/>
          <w:spacing w:val="-2"/>
          <w:w w:val="95"/>
          <w:sz w:val="22"/>
        </w:rPr>
        <w:t>先天性畸形、变形或染色体异常</w:t>
      </w:r>
      <w:r>
        <w:rPr>
          <w:rFonts w:ascii="黑体" w:eastAsia="黑体" w:hint="eastAsia"/>
          <w:spacing w:val="-3"/>
          <w:w w:val="95"/>
          <w:sz w:val="21"/>
        </w:rPr>
        <w:t>（</w:t>
      </w:r>
      <w:r>
        <w:rPr>
          <w:rFonts w:ascii="黑体" w:eastAsia="黑体" w:hint="eastAsia"/>
          <w:spacing w:val="-2"/>
          <w:w w:val="95"/>
          <w:sz w:val="21"/>
        </w:rPr>
        <w:t>见释义</w:t>
      </w:r>
      <w:r>
        <w:rPr>
          <w:rFonts w:ascii="黑体" w:eastAsia="黑体" w:hint="eastAsia"/>
          <w:w w:val="95"/>
          <w:sz w:val="21"/>
        </w:rPr>
        <w:t>10.11）。</w:t>
      </w:r>
    </w:p>
    <w:p>
      <w:pPr>
        <w:pStyle w:val="BodyText"/>
        <w:spacing w:before="12"/>
        <w:rPr>
          <w:rFonts w:ascii="黑体"/>
          <w:sz w:val="30"/>
        </w:rPr>
      </w:pPr>
    </w:p>
    <w:p>
      <w:pPr>
        <w:pStyle w:val="BodyText"/>
        <w:spacing w:line="355" w:lineRule="auto" w:before="1"/>
        <w:ind w:left="120" w:right="192"/>
        <w:rPr>
          <w:rFonts w:ascii="黑体" w:eastAsia="黑体" w:hint="eastAsia"/>
        </w:rPr>
      </w:pPr>
      <w:r>
        <w:rPr>
          <w:rFonts w:ascii="黑体" w:eastAsia="黑体" w:hint="eastAsia"/>
          <w:spacing w:val="-3"/>
        </w:rPr>
        <w:t>如果因上述情形导致被保险人发</w:t>
      </w:r>
      <w:r>
        <w:rPr>
          <w:rFonts w:ascii="黑体" w:eastAsia="黑体" w:hint="eastAsia"/>
        </w:rPr>
        <w:t>Th</w:t>
      </w:r>
      <w:r>
        <w:rPr>
          <w:rFonts w:ascii="黑体" w:eastAsia="黑体" w:hint="eastAsia"/>
          <w:spacing w:val="-10"/>
        </w:rPr>
        <w:t>本附加险合同所指的重大疾病，本附加险合同终止，本公</w:t>
      </w:r>
      <w:r>
        <w:rPr>
          <w:rFonts w:ascii="黑体" w:eastAsia="黑体" w:hint="eastAsia"/>
          <w:spacing w:val="-5"/>
        </w:rPr>
        <w:t>司向您退还本附加险合同终止时的现金价值扣除欠交保费及利息后的余额。</w:t>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
        <w:rPr>
          <w:rFonts w:ascii="黑体"/>
          <w:sz w:val="17"/>
        </w:rPr>
      </w:pPr>
    </w:p>
    <w:p>
      <w:pPr>
        <w:pStyle w:val="Heading2"/>
        <w:numPr>
          <w:ilvl w:val="0"/>
          <w:numId w:val="6"/>
        </w:numPr>
        <w:tabs>
          <w:tab w:pos="544" w:val="left" w:leader="none"/>
          <w:tab w:pos="545" w:val="left" w:leader="none"/>
        </w:tabs>
        <w:spacing w:line="240" w:lineRule="auto" w:before="0" w:after="0"/>
        <w:ind w:left="544" w:right="0" w:hanging="424"/>
        <w:jc w:val="left"/>
      </w:pPr>
      <w:bookmarkStart w:name="_TOC_250065" w:id="7"/>
      <w:bookmarkEnd w:id="7"/>
      <w:r>
        <w:rPr/>
        <w:t>保险费</w:t>
      </w:r>
    </w:p>
    <w:p>
      <w:pPr>
        <w:pStyle w:val="BodyText"/>
        <w:spacing w:before="12"/>
        <w:rPr>
          <w:rFonts w:ascii="Microsoft JhengHei UI"/>
          <w:b/>
          <w:sz w:val="37"/>
        </w:rPr>
      </w:pPr>
    </w:p>
    <w:p>
      <w:pPr>
        <w:pStyle w:val="ListParagraph"/>
        <w:numPr>
          <w:ilvl w:val="1"/>
          <w:numId w:val="6"/>
        </w:numPr>
        <w:tabs>
          <w:tab w:pos="839" w:val="left" w:leader="none"/>
          <w:tab w:pos="841" w:val="left" w:leader="none"/>
        </w:tabs>
        <w:spacing w:line="240" w:lineRule="auto" w:before="0" w:after="0"/>
        <w:ind w:left="840" w:right="0" w:hanging="720"/>
        <w:jc w:val="left"/>
        <w:rPr>
          <w:rFonts w:ascii="Microsoft JhengHei UI" w:eastAsia="Microsoft JhengHei UI" w:hint="eastAsia"/>
          <w:b/>
          <w:sz w:val="21"/>
        </w:rPr>
      </w:pPr>
      <w:r>
        <w:rPr>
          <w:rFonts w:ascii="Microsoft JhengHei UI" w:eastAsia="Microsoft JhengHei UI" w:hint="eastAsia"/>
          <w:b/>
          <w:spacing w:val="-3"/>
          <w:sz w:val="21"/>
        </w:rPr>
        <w:t>保险费的支付方式</w:t>
      </w:r>
    </w:p>
    <w:p>
      <w:pPr>
        <w:pStyle w:val="BodyText"/>
        <w:spacing w:before="15"/>
        <w:rPr>
          <w:rFonts w:ascii="Microsoft JhengHei UI"/>
          <w:b/>
          <w:sz w:val="27"/>
        </w:rPr>
      </w:pPr>
    </w:p>
    <w:p>
      <w:pPr>
        <w:pStyle w:val="BodyText"/>
        <w:spacing w:line="408" w:lineRule="auto"/>
        <w:ind w:left="120" w:right="192"/>
      </w:pPr>
      <w:r>
        <w:rPr>
          <w:spacing w:val="-10"/>
        </w:rPr>
        <w:t>在支付首期保险费后，您应当按照约定的交费日期支付续期保险费，在此期间本公司也将通</w:t>
      </w:r>
      <w:r>
        <w:rPr>
          <w:spacing w:val="-3"/>
        </w:rPr>
        <w:t>过业务员、信函等方式提醒您交纳保险费。</w:t>
      </w:r>
    </w:p>
    <w:p>
      <w:pPr>
        <w:pStyle w:val="BodyText"/>
        <w:spacing w:before="34"/>
        <w:ind w:left="120"/>
      </w:pPr>
      <w:r>
        <w:rPr>
          <w:spacing w:val="-3"/>
          <w:w w:val="100"/>
        </w:rPr>
        <w:t>首期保险费的支付方式有</w:t>
      </w:r>
      <w:r>
        <w:rPr>
          <w:rFonts w:ascii="黑体" w:eastAsia="黑体" w:hint="eastAsia"/>
          <w:b/>
          <w:i/>
          <w:spacing w:val="-1"/>
          <w:w w:val="95"/>
          <w:sz w:val="22"/>
        </w:rPr>
        <w:t>银行转账交费</w:t>
      </w:r>
      <w:r>
        <w:rPr>
          <w:spacing w:val="-3"/>
          <w:w w:val="100"/>
        </w:rPr>
        <w:t>（</w:t>
      </w:r>
      <w:r>
        <w:rPr>
          <w:spacing w:val="-2"/>
          <w:w w:val="100"/>
        </w:rPr>
        <w:t>见释义</w:t>
      </w:r>
      <w:r>
        <w:rPr>
          <w:w w:val="94"/>
        </w:rPr>
        <w:t>1</w:t>
      </w:r>
      <w:r>
        <w:rPr>
          <w:spacing w:val="-2"/>
          <w:w w:val="94"/>
        </w:rPr>
        <w:t>0</w:t>
      </w:r>
      <w:r>
        <w:rPr>
          <w:spacing w:val="-1"/>
          <w:w w:val="44"/>
        </w:rPr>
        <w:t>.</w:t>
      </w:r>
      <w:r>
        <w:rPr>
          <w:spacing w:val="-4"/>
          <w:w w:val="94"/>
        </w:rPr>
        <w:t>1</w:t>
      </w:r>
      <w:r>
        <w:rPr>
          <w:spacing w:val="-1"/>
          <w:w w:val="94"/>
        </w:rPr>
        <w:t>2</w:t>
      </w:r>
      <w:r>
        <w:rPr>
          <w:w w:val="100"/>
        </w:rPr>
        <w:t>）</w:t>
      </w:r>
      <w:r>
        <w:rPr>
          <w:spacing w:val="-3"/>
          <w:w w:val="100"/>
        </w:rPr>
        <w:t>和银行代收交费。</w:t>
      </w:r>
    </w:p>
    <w:p>
      <w:pPr>
        <w:pStyle w:val="BodyText"/>
        <w:spacing w:line="408" w:lineRule="auto" w:before="191"/>
        <w:ind w:left="120" w:right="192"/>
      </w:pPr>
      <w:r>
        <w:rPr>
          <w:spacing w:val="-8"/>
        </w:rPr>
        <w:t>续期保险费的交费方式是银行转账交费。在此交费方式下，请您确保账号准确以及交费期间</w:t>
      </w:r>
      <w:r>
        <w:rPr>
          <w:spacing w:val="-5"/>
        </w:rPr>
        <w:t>内账户余额充足。</w:t>
      </w:r>
    </w:p>
    <w:p>
      <w:pPr>
        <w:pStyle w:val="BodyText"/>
        <w:spacing w:before="2"/>
        <w:rPr>
          <w:sz w:val="22"/>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64" w:id="8"/>
      <w:bookmarkEnd w:id="8"/>
      <w:r>
        <w:rPr>
          <w:spacing w:val="-1"/>
        </w:rPr>
        <w:t>保险费率调整</w:t>
      </w:r>
    </w:p>
    <w:p>
      <w:pPr>
        <w:pStyle w:val="BodyText"/>
        <w:rPr>
          <w:rFonts w:ascii="Microsoft JhengHei UI"/>
          <w:b/>
          <w:sz w:val="28"/>
        </w:rPr>
      </w:pPr>
    </w:p>
    <w:p>
      <w:pPr>
        <w:pStyle w:val="BodyText"/>
        <w:spacing w:line="408" w:lineRule="auto" w:before="1"/>
        <w:ind w:left="120" w:right="98"/>
      </w:pPr>
      <w:r>
        <w:rPr>
          <w:spacing w:val="-8"/>
        </w:rPr>
        <w:t>本公司保留于每个保单周年日审核调整本附加险合同保险费率的权利。调整保险费率是对所</w:t>
      </w:r>
      <w:r>
        <w:rPr>
          <w:spacing w:val="-5"/>
        </w:rPr>
        <w:t>有被保险人或同一投保年龄的所有被保险人适用的保险费率进行调整。保险费率经调整后， 您应支付的续期保险费将按调整后的保险费率计算。</w:t>
      </w:r>
    </w:p>
    <w:p>
      <w:pPr>
        <w:pStyle w:val="BodyText"/>
        <w:spacing w:before="3"/>
        <w:rPr>
          <w:sz w:val="22"/>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63" w:id="9"/>
      <w:bookmarkEnd w:id="9"/>
      <w:r>
        <w:rPr/>
        <w:t>宽限期</w:t>
      </w:r>
    </w:p>
    <w:p>
      <w:pPr>
        <w:pStyle w:val="BodyText"/>
        <w:spacing w:before="1"/>
        <w:rPr>
          <w:rFonts w:ascii="Microsoft JhengHei UI"/>
          <w:b/>
          <w:sz w:val="28"/>
        </w:rPr>
      </w:pPr>
    </w:p>
    <w:p>
      <w:pPr>
        <w:pStyle w:val="BodyText"/>
        <w:spacing w:line="408" w:lineRule="auto"/>
        <w:ind w:left="120" w:right="137"/>
        <w:jc w:val="both"/>
      </w:pPr>
      <w:r>
        <w:rPr>
          <w:spacing w:val="-7"/>
        </w:rPr>
        <w:t>分期支付保险费的，您支付首期保险费后，除本附加险合同另有约定外，如果您到期未支付</w:t>
      </w:r>
      <w:r>
        <w:rPr>
          <w:spacing w:val="-6"/>
        </w:rPr>
        <w:t>保险费，自本附加险合同保险费约定支付日次日零时起 </w:t>
      </w:r>
      <w:r>
        <w:rPr/>
        <w:t>60</w:t>
      </w:r>
      <w:r>
        <w:rPr>
          <w:spacing w:val="-3"/>
        </w:rPr>
        <w:t> 天为宽限期。宽限期内发生的保</w:t>
      </w:r>
      <w:r>
        <w:rPr>
          <w:spacing w:val="-5"/>
        </w:rPr>
        <w:t>险事故，本公司仍会承担保险责任，但将从保险金中扣除您欠交的保险费及利息。</w:t>
      </w:r>
    </w:p>
    <w:p>
      <w:pPr>
        <w:pStyle w:val="BodyText"/>
        <w:spacing w:line="403" w:lineRule="auto" w:before="45"/>
        <w:ind w:left="120" w:right="134"/>
        <w:jc w:val="both"/>
      </w:pPr>
      <w:r>
        <w:rPr>
          <w:spacing w:val="-6"/>
        </w:rPr>
        <w:t>自宽限期届满日次日零时起，欠交保险费开始计息。欠交保险费的计息期间为 </w:t>
      </w:r>
      <w:r>
        <w:rPr/>
        <w:t>6</w:t>
      </w:r>
      <w:r>
        <w:rPr>
          <w:spacing w:val="-10"/>
        </w:rPr>
        <w:t> 个月。欠交</w:t>
      </w:r>
      <w:r>
        <w:rPr>
          <w:spacing w:val="-16"/>
        </w:rPr>
        <w:t>保险费利息在 </w:t>
      </w:r>
      <w:r>
        <w:rPr/>
        <w:t>6</w:t>
      </w:r>
      <w:r>
        <w:rPr>
          <w:spacing w:val="-16"/>
        </w:rPr>
        <w:t> 个月内按照</w:t>
      </w:r>
      <w:r>
        <w:rPr>
          <w:rFonts w:ascii="黑体" w:eastAsia="黑体" w:hint="eastAsia"/>
          <w:b/>
          <w:i/>
          <w:spacing w:val="-5"/>
          <w:sz w:val="22"/>
        </w:rPr>
        <w:t>本条款约定利率</w:t>
      </w:r>
      <w:r>
        <w:rPr>
          <w:spacing w:val="-3"/>
        </w:rPr>
        <w:t>（</w:t>
      </w:r>
      <w:r>
        <w:rPr>
          <w:spacing w:val="-20"/>
        </w:rPr>
        <w:t>见释义 </w:t>
      </w:r>
      <w:r>
        <w:rPr>
          <w:spacing w:val="-7"/>
        </w:rPr>
        <w:t>10.13）</w:t>
      </w:r>
      <w:r>
        <w:rPr>
          <w:spacing w:val="-17"/>
        </w:rPr>
        <w:t>以单利计算。若 </w:t>
      </w:r>
      <w:r>
        <w:rPr/>
        <w:t>6</w:t>
      </w:r>
      <w:r>
        <w:rPr>
          <w:spacing w:val="-13"/>
        </w:rPr>
        <w:t> 个月后您仍未</w:t>
      </w:r>
      <w:r>
        <w:rPr/>
        <w:t>补交所欠交保险费及利息，则所欠交保险费及利息将作为新的本金按照本条款约定利率计息。</w:t>
      </w:r>
    </w:p>
    <w:p>
      <w:pPr>
        <w:spacing w:after="0" w:line="403" w:lineRule="auto"/>
        <w:jc w:val="both"/>
        <w:sectPr>
          <w:pgSz w:w="11910" w:h="16840"/>
          <w:pgMar w:header="0" w:footer="1045" w:top="1480" w:bottom="1240" w:left="1680" w:right="1600"/>
        </w:sectPr>
      </w:pPr>
    </w:p>
    <w:p>
      <w:pPr>
        <w:pStyle w:val="Heading2"/>
        <w:numPr>
          <w:ilvl w:val="0"/>
          <w:numId w:val="6"/>
        </w:numPr>
        <w:tabs>
          <w:tab w:pos="544" w:val="left" w:leader="none"/>
          <w:tab w:pos="545" w:val="left" w:leader="none"/>
        </w:tabs>
        <w:spacing w:line="332" w:lineRule="exact" w:before="0" w:after="0"/>
        <w:ind w:left="544" w:right="0" w:hanging="424"/>
        <w:jc w:val="left"/>
      </w:pPr>
      <w:bookmarkStart w:name="_TOC_250062" w:id="10"/>
      <w:bookmarkEnd w:id="10"/>
      <w:r>
        <w:rPr>
          <w:spacing w:val="-1"/>
        </w:rPr>
        <w:t>保险金的领取</w:t>
      </w:r>
    </w:p>
    <w:p>
      <w:pPr>
        <w:pStyle w:val="BodyText"/>
        <w:spacing w:before="15"/>
        <w:rPr>
          <w:rFonts w:ascii="Microsoft JhengHei UI"/>
          <w:b/>
          <w:sz w:val="37"/>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61" w:id="11"/>
      <w:bookmarkEnd w:id="11"/>
      <w:r>
        <w:rPr>
          <w:spacing w:val="-3"/>
        </w:rPr>
        <w:t>重大疾病保险金受益人</w:t>
      </w:r>
    </w:p>
    <w:p>
      <w:pPr>
        <w:pStyle w:val="BodyText"/>
        <w:spacing w:before="15"/>
        <w:rPr>
          <w:rFonts w:ascii="Microsoft JhengHei UI"/>
          <w:b/>
          <w:sz w:val="27"/>
        </w:rPr>
      </w:pPr>
    </w:p>
    <w:p>
      <w:pPr>
        <w:pStyle w:val="BodyText"/>
        <w:ind w:left="120"/>
      </w:pPr>
      <w:r>
        <w:rPr/>
        <w:t>除另有约定外，重大疾病保险金的受益人为被保险人本人。</w:t>
      </w:r>
    </w:p>
    <w:p>
      <w:pPr>
        <w:pStyle w:val="BodyText"/>
        <w:spacing w:before="5"/>
        <w:rPr>
          <w:sz w:val="33"/>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60" w:id="12"/>
      <w:bookmarkEnd w:id="12"/>
      <w:r>
        <w:rPr>
          <w:spacing w:val="-2"/>
        </w:rPr>
        <w:t>保险事故的通知</w:t>
      </w:r>
    </w:p>
    <w:p>
      <w:pPr>
        <w:pStyle w:val="BodyText"/>
        <w:rPr>
          <w:rFonts w:ascii="Microsoft JhengHei UI"/>
          <w:b/>
          <w:sz w:val="28"/>
        </w:rPr>
      </w:pPr>
    </w:p>
    <w:p>
      <w:pPr>
        <w:pStyle w:val="BodyText"/>
        <w:spacing w:before="1"/>
        <w:ind w:left="120"/>
      </w:pPr>
      <w:r>
        <w:rPr/>
        <w:t>您或者受益人必须在知道保险事故发生之日起十日内通知本公司。</w:t>
      </w:r>
    </w:p>
    <w:p>
      <w:pPr>
        <w:pStyle w:val="BodyText"/>
        <w:spacing w:line="405" w:lineRule="auto" w:before="205"/>
        <w:ind w:left="120" w:right="159"/>
        <w:jc w:val="both"/>
      </w:pPr>
      <w:r>
        <w:rPr>
          <w:rFonts w:ascii="黑体" w:eastAsia="黑体" w:hint="eastAsia"/>
          <w:spacing w:val="-7"/>
        </w:rPr>
        <w:t>如果您或受益人故意或者因重大过失未及时通知，致使保险事故的性质、原因、损失程度等</w:t>
      </w:r>
      <w:r>
        <w:rPr>
          <w:rFonts w:ascii="黑体" w:eastAsia="黑体" w:hint="eastAsia"/>
          <w:spacing w:val="-8"/>
        </w:rPr>
        <w:t>难以确定的，本公司对无法确定的部分，不承担给付保险金的责任，</w:t>
      </w:r>
      <w:r>
        <w:rPr>
          <w:spacing w:val="-3"/>
        </w:rPr>
        <w:t>但本公司通过其他途径</w:t>
      </w:r>
      <w:r>
        <w:rPr/>
        <w:t>已经及时知道或者应当及时知道保险事故发生或者虽未及时通知但不影响本公司确定保险</w:t>
      </w:r>
      <w:r>
        <w:rPr>
          <w:spacing w:val="-3"/>
        </w:rPr>
        <w:t>事故的性质、原因、损失程度的除外。</w:t>
      </w:r>
    </w:p>
    <w:p>
      <w:pPr>
        <w:pStyle w:val="BodyText"/>
        <w:spacing w:before="5"/>
        <w:rPr>
          <w:sz w:val="22"/>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59" w:id="13"/>
      <w:bookmarkEnd w:id="13"/>
      <w:r>
        <w:rPr>
          <w:spacing w:val="-3"/>
        </w:rPr>
        <w:t>重大疾病保险金的申请</w:t>
      </w:r>
    </w:p>
    <w:p>
      <w:pPr>
        <w:pStyle w:val="BodyText"/>
        <w:spacing w:before="1"/>
        <w:rPr>
          <w:rFonts w:ascii="Microsoft JhengHei UI"/>
          <w:b/>
          <w:sz w:val="28"/>
        </w:rPr>
      </w:pPr>
    </w:p>
    <w:p>
      <w:pPr>
        <w:pStyle w:val="BodyText"/>
        <w:ind w:left="120"/>
      </w:pPr>
      <w:r>
        <w:rPr/>
        <w:t>由重大疾病保险金受益人填写理赔申请书，并提供下列证明和资料的原件：</w:t>
      </w:r>
    </w:p>
    <w:p>
      <w:pPr>
        <w:pStyle w:val="ListParagraph"/>
        <w:numPr>
          <w:ilvl w:val="0"/>
          <w:numId w:val="8"/>
        </w:numPr>
        <w:tabs>
          <w:tab w:pos="959" w:val="left" w:leader="none"/>
          <w:tab w:pos="960" w:val="left" w:leader="none"/>
        </w:tabs>
        <w:spacing w:line="240" w:lineRule="auto" w:before="193" w:after="0"/>
        <w:ind w:left="960" w:right="0" w:hanging="421"/>
        <w:jc w:val="left"/>
        <w:rPr>
          <w:sz w:val="21"/>
        </w:rPr>
      </w:pPr>
      <w:r>
        <w:rPr>
          <w:spacing w:val="-1"/>
          <w:sz w:val="21"/>
        </w:rPr>
        <w:t>保险合同；</w:t>
      </w:r>
    </w:p>
    <w:p>
      <w:pPr>
        <w:pStyle w:val="ListParagraph"/>
        <w:numPr>
          <w:ilvl w:val="0"/>
          <w:numId w:val="8"/>
        </w:numPr>
        <w:tabs>
          <w:tab w:pos="959" w:val="left" w:leader="none"/>
          <w:tab w:pos="960" w:val="left" w:leader="none"/>
        </w:tabs>
        <w:spacing w:line="240" w:lineRule="auto" w:before="193" w:after="0"/>
        <w:ind w:left="960" w:right="0" w:hanging="421"/>
        <w:jc w:val="left"/>
        <w:rPr>
          <w:sz w:val="21"/>
        </w:rPr>
      </w:pPr>
      <w:r>
        <w:rPr>
          <w:spacing w:val="-3"/>
          <w:sz w:val="21"/>
        </w:rPr>
        <w:t>受益人的有效身份证件；</w:t>
      </w:r>
    </w:p>
    <w:p>
      <w:pPr>
        <w:pStyle w:val="ListParagraph"/>
        <w:numPr>
          <w:ilvl w:val="0"/>
          <w:numId w:val="8"/>
        </w:numPr>
        <w:tabs>
          <w:tab w:pos="959" w:val="left" w:leader="none"/>
          <w:tab w:pos="960" w:val="left" w:leader="none"/>
        </w:tabs>
        <w:spacing w:line="240" w:lineRule="auto" w:before="193" w:after="0"/>
        <w:ind w:left="960" w:right="0" w:hanging="421"/>
        <w:jc w:val="left"/>
        <w:rPr>
          <w:sz w:val="21"/>
        </w:rPr>
      </w:pPr>
      <w:r>
        <w:rPr>
          <w:spacing w:val="-3"/>
          <w:sz w:val="21"/>
        </w:rPr>
        <w:t>重大疾病诊断证明书；</w:t>
      </w:r>
    </w:p>
    <w:p>
      <w:pPr>
        <w:pStyle w:val="ListParagraph"/>
        <w:numPr>
          <w:ilvl w:val="0"/>
          <w:numId w:val="8"/>
        </w:numPr>
        <w:tabs>
          <w:tab w:pos="959" w:val="left" w:leader="none"/>
          <w:tab w:pos="960" w:val="left" w:leader="none"/>
        </w:tabs>
        <w:spacing w:line="240" w:lineRule="auto" w:before="193" w:after="0"/>
        <w:ind w:left="960" w:right="0" w:hanging="421"/>
        <w:jc w:val="left"/>
        <w:rPr>
          <w:sz w:val="21"/>
        </w:rPr>
      </w:pPr>
      <w:r>
        <w:rPr>
          <w:spacing w:val="-1"/>
          <w:sz w:val="21"/>
        </w:rPr>
        <w:t>出院证明；</w:t>
      </w:r>
    </w:p>
    <w:p>
      <w:pPr>
        <w:pStyle w:val="ListParagraph"/>
        <w:numPr>
          <w:ilvl w:val="0"/>
          <w:numId w:val="8"/>
        </w:numPr>
        <w:tabs>
          <w:tab w:pos="959" w:val="left" w:leader="none"/>
          <w:tab w:pos="960" w:val="left" w:leader="none"/>
        </w:tabs>
        <w:spacing w:line="240" w:lineRule="auto" w:before="193" w:after="0"/>
        <w:ind w:left="960" w:right="0" w:hanging="421"/>
        <w:jc w:val="left"/>
        <w:rPr>
          <w:sz w:val="21"/>
        </w:rPr>
      </w:pPr>
      <w:r>
        <w:rPr>
          <w:spacing w:val="-3"/>
          <w:sz w:val="21"/>
        </w:rPr>
        <w:t>本公司需要的其它文件和资料。</w:t>
      </w:r>
    </w:p>
    <w:p>
      <w:pPr>
        <w:pStyle w:val="BodyText"/>
        <w:spacing w:before="6"/>
        <w:rPr>
          <w:sz w:val="33"/>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58" w:id="14"/>
      <w:bookmarkEnd w:id="14"/>
      <w:r>
        <w:rPr>
          <w:spacing w:val="-1"/>
        </w:rPr>
        <w:t>保险金的给付</w:t>
      </w:r>
    </w:p>
    <w:p>
      <w:pPr>
        <w:pStyle w:val="BodyText"/>
        <w:spacing w:before="1"/>
        <w:rPr>
          <w:rFonts w:ascii="Microsoft JhengHei UI"/>
          <w:b/>
          <w:sz w:val="28"/>
        </w:rPr>
      </w:pPr>
    </w:p>
    <w:p>
      <w:pPr>
        <w:pStyle w:val="BodyText"/>
        <w:spacing w:line="408" w:lineRule="auto"/>
        <w:ind w:left="120" w:right="109"/>
      </w:pPr>
      <w:r>
        <w:rPr>
          <w:spacing w:val="-4"/>
        </w:rPr>
        <w:t>本公司在收到申请人的理赔申请书及上述所有相关证明和资料后，在</w:t>
      </w:r>
      <w:r>
        <w:rPr/>
        <w:t>5</w:t>
      </w:r>
      <w:r>
        <w:rPr>
          <w:spacing w:val="-3"/>
        </w:rPr>
        <w:t>日内作出核定；情形</w:t>
      </w:r>
      <w:r>
        <w:rPr>
          <w:spacing w:val="-7"/>
        </w:rPr>
        <w:t>复杂的，在</w:t>
      </w:r>
      <w:r>
        <w:rPr/>
        <w:t>30</w:t>
      </w:r>
      <w:r>
        <w:rPr>
          <w:spacing w:val="-8"/>
        </w:rPr>
        <w:t>日内作出核定，另有约定的除外。对确定属于保险责任的，在与受益人或被保</w:t>
      </w:r>
      <w:r>
        <w:rPr>
          <w:spacing w:val="-7"/>
        </w:rPr>
        <w:t>险人达成有关给付保险金数额的协议后</w:t>
      </w:r>
      <w:r>
        <w:rPr/>
        <w:t>10</w:t>
      </w:r>
      <w:r>
        <w:rPr>
          <w:spacing w:val="-16"/>
        </w:rPr>
        <w:t>日内，履行给付保险金责任。对不属于保险责任的， </w:t>
      </w:r>
      <w:r>
        <w:rPr>
          <w:spacing w:val="-7"/>
        </w:rPr>
        <w:t>本公司不予给付保险金，自本公司作出核定之日起</w:t>
      </w:r>
      <w:r>
        <w:rPr>
          <w:spacing w:val="-3"/>
        </w:rPr>
        <w:t>3</w:t>
      </w:r>
      <w:r>
        <w:rPr>
          <w:spacing w:val="-4"/>
        </w:rPr>
        <w:t>日内向受益人发出拒绝给付保险金通知</w:t>
      </w:r>
      <w:r>
        <w:rPr>
          <w:spacing w:val="-3"/>
        </w:rPr>
        <w:t>书并说明理由。</w:t>
      </w:r>
    </w:p>
    <w:p>
      <w:pPr>
        <w:spacing w:after="0" w:line="408" w:lineRule="auto"/>
        <w:sectPr>
          <w:pgSz w:w="11910" w:h="16840"/>
          <w:pgMar w:header="0" w:footer="1045" w:top="1580" w:bottom="1240" w:left="1680" w:right="1580"/>
        </w:sect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57" w:id="15"/>
      <w:bookmarkEnd w:id="15"/>
      <w:r>
        <w:rPr>
          <w:spacing w:val="-1"/>
        </w:rPr>
        <w:t>诉讼时效</w:t>
      </w:r>
    </w:p>
    <w:p>
      <w:pPr>
        <w:pStyle w:val="BodyText"/>
        <w:spacing w:before="1"/>
        <w:rPr>
          <w:rFonts w:ascii="Microsoft JhengHei UI"/>
          <w:b/>
          <w:sz w:val="28"/>
        </w:rPr>
      </w:pPr>
    </w:p>
    <w:p>
      <w:pPr>
        <w:pStyle w:val="BodyText"/>
        <w:spacing w:line="408" w:lineRule="auto"/>
        <w:ind w:left="120" w:right="209"/>
      </w:pPr>
      <w:r>
        <w:rPr/>
        <w:t>受益人向本公司请求给付保险金的诉讼时效期间为2年，自其知道或应当知道保险事故发生之日起计算。</w:t>
      </w:r>
    </w:p>
    <w:p>
      <w:pPr>
        <w:pStyle w:val="BodyText"/>
        <w:spacing w:before="4"/>
        <w:rPr>
          <w:sz w:val="36"/>
        </w:rPr>
      </w:pPr>
    </w:p>
    <w:p>
      <w:pPr>
        <w:pStyle w:val="Heading2"/>
        <w:numPr>
          <w:ilvl w:val="0"/>
          <w:numId w:val="6"/>
        </w:numPr>
        <w:tabs>
          <w:tab w:pos="544" w:val="left" w:leader="none"/>
          <w:tab w:pos="545" w:val="left" w:leader="none"/>
        </w:tabs>
        <w:spacing w:line="240" w:lineRule="auto" w:before="0" w:after="0"/>
        <w:ind w:left="544" w:right="0" w:hanging="424"/>
        <w:jc w:val="left"/>
      </w:pPr>
      <w:bookmarkStart w:name="_TOC_250056" w:id="16"/>
      <w:bookmarkEnd w:id="16"/>
      <w:r>
        <w:rPr>
          <w:spacing w:val="-1"/>
        </w:rPr>
        <w:t>合同效力的变动</w:t>
      </w:r>
    </w:p>
    <w:p>
      <w:pPr>
        <w:pStyle w:val="BodyText"/>
        <w:spacing w:before="12"/>
        <w:rPr>
          <w:rFonts w:ascii="Microsoft JhengHei UI"/>
          <w:b/>
          <w:sz w:val="37"/>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55" w:id="17"/>
      <w:bookmarkEnd w:id="17"/>
      <w:r>
        <w:rPr>
          <w:spacing w:val="-2"/>
        </w:rPr>
        <w:t>合同效力的中止</w:t>
      </w:r>
    </w:p>
    <w:p>
      <w:pPr>
        <w:pStyle w:val="BodyText"/>
        <w:spacing w:before="1"/>
        <w:rPr>
          <w:rFonts w:ascii="Microsoft JhengHei UI"/>
          <w:b/>
          <w:sz w:val="28"/>
        </w:rPr>
      </w:pPr>
    </w:p>
    <w:p>
      <w:pPr>
        <w:pStyle w:val="BodyText"/>
        <w:spacing w:line="408" w:lineRule="auto"/>
        <w:ind w:left="120" w:right="98"/>
      </w:pPr>
      <w:r>
        <w:rPr>
          <w:spacing w:val="-5"/>
        </w:rPr>
        <w:t>如果您在保险费支付宽限期结束后未支付到期应交的保险费，除本附加险合同另有约定外， </w:t>
      </w:r>
      <w:r>
        <w:rPr>
          <w:spacing w:val="-4"/>
        </w:rPr>
        <w:t>本附加险合同自宽限期满次日零时起效力中止。</w:t>
      </w:r>
    </w:p>
    <w:p>
      <w:pPr>
        <w:pStyle w:val="BodyText"/>
        <w:spacing w:before="46"/>
        <w:ind w:left="120"/>
      </w:pPr>
      <w:r>
        <w:rPr/>
        <w:t>在本附加险合同效力中止期间，本公司不承担保险责任。</w:t>
      </w:r>
    </w:p>
    <w:p>
      <w:pPr>
        <w:pStyle w:val="BodyText"/>
        <w:spacing w:before="6"/>
        <w:rPr>
          <w:sz w:val="33"/>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54" w:id="18"/>
      <w:bookmarkEnd w:id="18"/>
      <w:r>
        <w:rPr>
          <w:spacing w:val="-2"/>
        </w:rPr>
        <w:t>合同效力的恢复</w:t>
      </w:r>
    </w:p>
    <w:p>
      <w:pPr>
        <w:pStyle w:val="BodyText"/>
        <w:spacing w:before="1"/>
        <w:rPr>
          <w:rFonts w:ascii="Microsoft JhengHei UI"/>
          <w:b/>
          <w:sz w:val="28"/>
        </w:rPr>
      </w:pPr>
    </w:p>
    <w:p>
      <w:pPr>
        <w:pStyle w:val="BodyText"/>
        <w:spacing w:line="408" w:lineRule="auto"/>
        <w:ind w:left="120" w:right="192"/>
        <w:jc w:val="both"/>
      </w:pPr>
      <w:r>
        <w:rPr>
          <w:spacing w:val="-8"/>
        </w:rPr>
        <w:t>本附加险合同效力中止后二年内，您可以申请复效。申请复效时，您应填写复效申请书，并按本公司的规定提供被保险人健康声明书或本公司指定的医院出具的体检报告书，申请复效</w:t>
      </w:r>
      <w:r>
        <w:rPr>
          <w:spacing w:val="-10"/>
        </w:rPr>
        <w:t>时发生的体检费等相关费用由您自行承担。经本公司审核同意，自您补交欠交的保险费及利</w:t>
      </w:r>
      <w:r>
        <w:rPr>
          <w:spacing w:val="-5"/>
        </w:rPr>
        <w:t>息后的次日零时起，本附加险合同效力恢复。</w:t>
      </w:r>
    </w:p>
    <w:p>
      <w:pPr>
        <w:pStyle w:val="BodyText"/>
        <w:spacing w:line="408" w:lineRule="auto" w:before="45"/>
        <w:ind w:left="120" w:right="192"/>
      </w:pPr>
      <w:r>
        <w:rPr>
          <w:spacing w:val="-9"/>
        </w:rPr>
        <w:t>自本附加险合同效力中止之日起二年内，如果您未提出复效申请或复效申请未经过本公司审</w:t>
      </w:r>
      <w:r>
        <w:rPr>
          <w:spacing w:val="-5"/>
        </w:rPr>
        <w:t>核同意，本附加险合同自效力中止二年期限届满次日零时起效力终止。</w:t>
      </w:r>
    </w:p>
    <w:p>
      <w:pPr>
        <w:pStyle w:val="BodyText"/>
        <w:spacing w:before="45"/>
        <w:ind w:left="120"/>
      </w:pPr>
      <w:r>
        <w:rPr/>
        <w:t>主险合同效力中止期间，本附加险合同不得单独申请复效。</w:t>
      </w:r>
    </w:p>
    <w:p>
      <w:pPr>
        <w:pStyle w:val="BodyText"/>
        <w:spacing w:before="5"/>
        <w:rPr>
          <w:sz w:val="33"/>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53" w:id="19"/>
      <w:bookmarkEnd w:id="19"/>
      <w:r>
        <w:rPr>
          <w:spacing w:val="-3"/>
          <w:w w:val="95"/>
        </w:rPr>
        <w:t>合同的解除——退保</w:t>
      </w:r>
    </w:p>
    <w:p>
      <w:pPr>
        <w:pStyle w:val="BodyText"/>
        <w:spacing w:before="4"/>
        <w:rPr>
          <w:rFonts w:ascii="Microsoft JhengHei UI"/>
          <w:b/>
          <w:sz w:val="23"/>
        </w:rPr>
      </w:pPr>
    </w:p>
    <w:p>
      <w:pPr>
        <w:pStyle w:val="BodyText"/>
        <w:spacing w:line="273" w:lineRule="auto" w:before="1"/>
        <w:ind w:left="120" w:right="192"/>
      </w:pPr>
      <w:r>
        <w:rPr>
          <w:spacing w:val="-8"/>
        </w:rPr>
        <w:t>您不能单独申请终止本附加险合同。如您申请终止本附加险合同，与本附加险合同不可分割</w:t>
      </w:r>
      <w:r>
        <w:rPr>
          <w:spacing w:val="-3"/>
        </w:rPr>
        <w:t>的主险合同应与本附加险合同同时终止。</w:t>
      </w:r>
    </w:p>
    <w:p>
      <w:pPr>
        <w:pStyle w:val="BodyText"/>
        <w:spacing w:before="4"/>
        <w:rPr>
          <w:sz w:val="25"/>
        </w:rPr>
      </w:pPr>
    </w:p>
    <w:p>
      <w:pPr>
        <w:pStyle w:val="Heading2"/>
        <w:numPr>
          <w:ilvl w:val="2"/>
          <w:numId w:val="6"/>
        </w:numPr>
        <w:tabs>
          <w:tab w:pos="661" w:val="left" w:leader="none"/>
        </w:tabs>
        <w:spacing w:line="240" w:lineRule="auto" w:before="1" w:after="0"/>
        <w:ind w:left="660" w:right="0" w:hanging="540"/>
        <w:jc w:val="left"/>
      </w:pPr>
      <w:bookmarkStart w:name="_TOC_250052" w:id="20"/>
      <w:bookmarkEnd w:id="20"/>
      <w:r>
        <w:rPr/>
        <w:t>犹豫期</w:t>
      </w:r>
    </w:p>
    <w:p>
      <w:pPr>
        <w:pStyle w:val="BodyText"/>
        <w:spacing w:before="1"/>
        <w:rPr>
          <w:rFonts w:ascii="Microsoft JhengHei UI"/>
          <w:b/>
          <w:sz w:val="28"/>
        </w:rPr>
      </w:pPr>
    </w:p>
    <w:p>
      <w:pPr>
        <w:pStyle w:val="BodyText"/>
        <w:spacing w:line="408" w:lineRule="auto"/>
        <w:ind w:left="120" w:right="192"/>
        <w:jc w:val="both"/>
      </w:pPr>
      <w:r>
        <w:rPr>
          <w:spacing w:val="-6"/>
        </w:rPr>
        <w:t>自您签收到本附加险合同之日起，本公司给予您</w:t>
      </w:r>
      <w:r>
        <w:rPr/>
        <w:t>15</w:t>
      </w:r>
      <w:r>
        <w:rPr>
          <w:spacing w:val="-7"/>
        </w:rPr>
        <w:t>日的犹豫期。在此期间请您认真审视本附</w:t>
      </w:r>
      <w:r>
        <w:rPr>
          <w:spacing w:val="-12"/>
        </w:rPr>
        <w:t>加险合同，如果您确定本附加险合同与您的需求不相符，您可以在此期间提出解除本附加险</w:t>
      </w:r>
      <w:r>
        <w:rPr>
          <w:spacing w:val="-3"/>
        </w:rPr>
        <w:t>合同，本公司将退还您已支付的全部保险费。</w:t>
      </w:r>
    </w:p>
    <w:p>
      <w:pPr>
        <w:spacing w:after="0" w:line="408" w:lineRule="auto"/>
        <w:jc w:val="both"/>
        <w:sectPr>
          <w:pgSz w:w="11910" w:h="16840"/>
          <w:pgMar w:header="0" w:footer="1045" w:top="1460" w:bottom="1240" w:left="1680" w:right="1600"/>
        </w:sectPr>
      </w:pPr>
    </w:p>
    <w:p>
      <w:pPr>
        <w:pStyle w:val="Heading2"/>
        <w:numPr>
          <w:ilvl w:val="2"/>
          <w:numId w:val="6"/>
        </w:numPr>
        <w:tabs>
          <w:tab w:pos="661" w:val="left" w:leader="none"/>
        </w:tabs>
        <w:spacing w:line="240" w:lineRule="auto" w:before="0" w:after="0"/>
        <w:ind w:left="660" w:right="0" w:hanging="540"/>
        <w:jc w:val="left"/>
      </w:pPr>
      <w:bookmarkStart w:name="_TOC_250051" w:id="21"/>
      <w:bookmarkEnd w:id="21"/>
      <w:r>
        <w:rPr>
          <w:spacing w:val="-2"/>
        </w:rPr>
        <w:t>犹豫期之后申请退保</w:t>
      </w:r>
    </w:p>
    <w:p>
      <w:pPr>
        <w:pStyle w:val="BodyText"/>
        <w:spacing w:before="1"/>
        <w:rPr>
          <w:rFonts w:ascii="Microsoft JhengHei UI"/>
          <w:b/>
          <w:sz w:val="28"/>
        </w:rPr>
      </w:pPr>
    </w:p>
    <w:p>
      <w:pPr>
        <w:pStyle w:val="BodyText"/>
        <w:spacing w:line="408" w:lineRule="auto"/>
        <w:ind w:left="120" w:right="192"/>
      </w:pPr>
      <w:r>
        <w:rPr>
          <w:spacing w:val="-9"/>
        </w:rPr>
        <w:t>您在犹豫期之后申请退保时，本公司将在收到您的退保申请后三十日内返还给您退保金，同</w:t>
      </w:r>
      <w:r>
        <w:rPr>
          <w:spacing w:val="-5"/>
        </w:rPr>
        <w:t>时本公司对本附加险合同应承担的一切保险责任自收到您的退保申请次日零时起终止。</w:t>
      </w:r>
    </w:p>
    <w:p>
      <w:pPr>
        <w:pStyle w:val="BodyText"/>
        <w:spacing w:before="46"/>
        <w:ind w:left="120"/>
      </w:pPr>
      <w:r>
        <w:rPr/>
        <w:t>退保金的计算公式为：</w:t>
      </w:r>
    </w:p>
    <w:p>
      <w:pPr>
        <w:pStyle w:val="BodyText"/>
        <w:spacing w:before="193"/>
        <w:ind w:left="120"/>
      </w:pPr>
      <w:r>
        <w:rPr/>
        <w:t>退保金 </w:t>
      </w:r>
      <w:r>
        <w:rPr>
          <w:spacing w:val="-6"/>
          <w:w w:val="115"/>
        </w:rPr>
        <w:t>= </w:t>
      </w:r>
      <w:r>
        <w:rPr>
          <w:spacing w:val="-3"/>
        </w:rPr>
        <w:t>退保当时保险单所对应的现金价值 </w:t>
      </w:r>
      <w:r>
        <w:rPr>
          <w:spacing w:val="5"/>
          <w:w w:val="95"/>
        </w:rPr>
        <w:t>- </w:t>
      </w:r>
      <w:r>
        <w:rPr>
          <w:spacing w:val="-4"/>
        </w:rPr>
        <w:t>欠交的保险费及利息</w:t>
      </w:r>
      <w:r>
        <w:rPr/>
        <w:t>（</w:t>
      </w:r>
      <w:r>
        <w:rPr>
          <w:spacing w:val="-2"/>
        </w:rPr>
        <w:t>如果有</w:t>
      </w:r>
      <w:r>
        <w:rPr>
          <w:spacing w:val="-108"/>
        </w:rPr>
        <w:t>）</w:t>
      </w:r>
      <w:r>
        <w:rPr/>
        <w:t>。</w:t>
      </w:r>
    </w:p>
    <w:p>
      <w:pPr>
        <w:pStyle w:val="BodyText"/>
        <w:spacing w:before="205"/>
        <w:ind w:left="120"/>
        <w:rPr>
          <w:rFonts w:ascii="黑体" w:eastAsia="黑体" w:hint="eastAsia"/>
        </w:rPr>
      </w:pPr>
      <w:r>
        <w:rPr>
          <w:rFonts w:ascii="黑体" w:eastAsia="黑体" w:hint="eastAsia"/>
        </w:rPr>
        <w:t>您在犹豫期后解除合同会遭受一定损失。</w:t>
      </w:r>
    </w:p>
    <w:p>
      <w:pPr>
        <w:pStyle w:val="BodyText"/>
        <w:rPr>
          <w:rFonts w:ascii="黑体"/>
          <w:sz w:val="20"/>
        </w:rPr>
      </w:pPr>
    </w:p>
    <w:p>
      <w:pPr>
        <w:pStyle w:val="Heading2"/>
        <w:numPr>
          <w:ilvl w:val="2"/>
          <w:numId w:val="6"/>
        </w:numPr>
        <w:tabs>
          <w:tab w:pos="661" w:val="left" w:leader="none"/>
        </w:tabs>
        <w:spacing w:line="240" w:lineRule="auto" w:before="164" w:after="0"/>
        <w:ind w:left="660" w:right="0" w:hanging="540"/>
        <w:jc w:val="left"/>
      </w:pPr>
      <w:bookmarkStart w:name="_TOC_250050" w:id="22"/>
      <w:bookmarkEnd w:id="22"/>
      <w:r>
        <w:rPr/>
        <w:t>退保申请</w:t>
      </w:r>
    </w:p>
    <w:p>
      <w:pPr>
        <w:pStyle w:val="BodyText"/>
        <w:spacing w:before="1"/>
        <w:rPr>
          <w:rFonts w:ascii="Microsoft JhengHei UI"/>
          <w:b/>
          <w:sz w:val="28"/>
        </w:rPr>
      </w:pPr>
    </w:p>
    <w:p>
      <w:pPr>
        <w:pStyle w:val="BodyText"/>
        <w:ind w:left="120"/>
      </w:pPr>
      <w:r>
        <w:rPr/>
        <w:t>申请退保时需要填写保全业务申请书，并提供下列证明和资料的原件：</w:t>
      </w:r>
    </w:p>
    <w:p>
      <w:pPr>
        <w:pStyle w:val="ListParagraph"/>
        <w:numPr>
          <w:ilvl w:val="0"/>
          <w:numId w:val="9"/>
        </w:numPr>
        <w:tabs>
          <w:tab w:pos="370" w:val="left" w:leader="none"/>
        </w:tabs>
        <w:spacing w:line="240" w:lineRule="auto" w:before="193" w:after="0"/>
        <w:ind w:left="369" w:right="0" w:hanging="249"/>
        <w:jc w:val="left"/>
        <w:rPr>
          <w:sz w:val="21"/>
        </w:rPr>
      </w:pPr>
      <w:r>
        <w:rPr>
          <w:spacing w:val="-3"/>
          <w:sz w:val="21"/>
        </w:rPr>
        <w:t>保险合同；</w:t>
      </w:r>
    </w:p>
    <w:p>
      <w:pPr>
        <w:pStyle w:val="ListParagraph"/>
        <w:numPr>
          <w:ilvl w:val="0"/>
          <w:numId w:val="9"/>
        </w:numPr>
        <w:tabs>
          <w:tab w:pos="370" w:val="left" w:leader="none"/>
        </w:tabs>
        <w:spacing w:line="240" w:lineRule="auto" w:before="193" w:after="0"/>
        <w:ind w:left="369" w:right="0" w:hanging="249"/>
        <w:jc w:val="left"/>
        <w:rPr>
          <w:sz w:val="21"/>
        </w:rPr>
      </w:pPr>
      <w:r>
        <w:rPr>
          <w:spacing w:val="-3"/>
          <w:sz w:val="21"/>
        </w:rPr>
        <w:t>您的有效身份证件。</w:t>
      </w:r>
    </w:p>
    <w:p>
      <w:pPr>
        <w:pStyle w:val="BodyText"/>
        <w:spacing w:before="6"/>
        <w:rPr>
          <w:sz w:val="33"/>
        </w:rPr>
      </w:pPr>
    </w:p>
    <w:p>
      <w:pPr>
        <w:pStyle w:val="Heading2"/>
        <w:numPr>
          <w:ilvl w:val="1"/>
          <w:numId w:val="6"/>
        </w:numPr>
        <w:tabs>
          <w:tab w:pos="839" w:val="left" w:leader="none"/>
          <w:tab w:pos="841" w:val="left" w:leader="none"/>
        </w:tabs>
        <w:spacing w:line="240" w:lineRule="auto" w:before="0" w:after="0"/>
        <w:ind w:left="840" w:right="0" w:hanging="720"/>
        <w:jc w:val="left"/>
      </w:pPr>
      <w:bookmarkStart w:name="_TOC_250049" w:id="23"/>
      <w:bookmarkEnd w:id="23"/>
      <w:r>
        <w:rPr>
          <w:spacing w:val="-3"/>
        </w:rPr>
        <w:t>合同效力的终止</w:t>
      </w:r>
    </w:p>
    <w:p>
      <w:pPr>
        <w:pStyle w:val="BodyText"/>
        <w:spacing w:before="1"/>
        <w:rPr>
          <w:rFonts w:ascii="Microsoft JhengHei UI"/>
          <w:b/>
          <w:sz w:val="28"/>
        </w:rPr>
      </w:pPr>
    </w:p>
    <w:p>
      <w:pPr>
        <w:pStyle w:val="BodyText"/>
        <w:ind w:left="120"/>
      </w:pPr>
      <w:r>
        <w:rPr/>
        <w:t>本附加险合同将于下述情况之一出现自动终止：</w:t>
      </w:r>
    </w:p>
    <w:p>
      <w:pPr>
        <w:pStyle w:val="BodyText"/>
        <w:spacing w:before="192"/>
        <w:ind w:left="213"/>
      </w:pPr>
      <w:r>
        <w:rPr/>
        <w:t>1．主险合同效力终止；</w:t>
      </w:r>
    </w:p>
    <w:p>
      <w:pPr>
        <w:pStyle w:val="BodyText"/>
        <w:spacing w:before="192"/>
        <w:ind w:left="213"/>
      </w:pPr>
      <w:r>
        <w:rPr/>
        <w:t>2．本附加险合同到期终止；</w:t>
      </w:r>
    </w:p>
    <w:p>
      <w:pPr>
        <w:pStyle w:val="BodyText"/>
        <w:spacing w:before="192"/>
        <w:ind w:left="213"/>
      </w:pPr>
      <w:r>
        <w:rPr/>
        <w:t>3．本附加险合同其他条款所列合同终止情况。</w:t>
      </w:r>
    </w:p>
    <w:p>
      <w:pPr>
        <w:pStyle w:val="BodyText"/>
        <w:rPr>
          <w:sz w:val="26"/>
        </w:rPr>
      </w:pPr>
    </w:p>
    <w:p>
      <w:pPr>
        <w:pStyle w:val="BodyText"/>
        <w:spacing w:before="6"/>
      </w:pPr>
    </w:p>
    <w:p>
      <w:pPr>
        <w:pStyle w:val="Heading2"/>
        <w:numPr>
          <w:ilvl w:val="0"/>
          <w:numId w:val="6"/>
        </w:numPr>
        <w:tabs>
          <w:tab w:pos="544" w:val="left" w:leader="none"/>
          <w:tab w:pos="545" w:val="left" w:leader="none"/>
        </w:tabs>
        <w:spacing w:line="240" w:lineRule="auto" w:before="1" w:after="0"/>
        <w:ind w:left="544" w:right="0" w:hanging="424"/>
        <w:jc w:val="left"/>
      </w:pPr>
      <w:bookmarkStart w:name="_TOC_250048" w:id="24"/>
      <w:bookmarkEnd w:id="24"/>
      <w:r>
        <w:rPr>
          <w:spacing w:val="-3"/>
        </w:rPr>
        <w:t>被保险人年龄确定错误处理</w:t>
      </w:r>
    </w:p>
    <w:p>
      <w:pPr>
        <w:pStyle w:val="BodyText"/>
        <w:spacing w:before="10"/>
        <w:rPr>
          <w:rFonts w:ascii="Microsoft JhengHei UI"/>
          <w:b/>
          <w:sz w:val="38"/>
        </w:rPr>
      </w:pPr>
    </w:p>
    <w:p>
      <w:pPr>
        <w:pStyle w:val="BodyText"/>
        <w:spacing w:line="408" w:lineRule="auto"/>
        <w:ind w:left="120" w:right="192"/>
      </w:pPr>
      <w:r>
        <w:rPr>
          <w:spacing w:val="-10"/>
        </w:rPr>
        <w:t>您在申请投保时，应将与有效身份证件相符的被保险人的出生日期在投保单上填明，如果发</w:t>
      </w:r>
      <w:r>
        <w:rPr>
          <w:spacing w:val="-3"/>
        </w:rPr>
        <w:t>生错误将按照下列方式处理：</w:t>
      </w:r>
    </w:p>
    <w:p>
      <w:pPr>
        <w:pStyle w:val="BodyText"/>
        <w:spacing w:line="408" w:lineRule="auto" w:before="45"/>
        <w:ind w:left="120" w:right="98"/>
      </w:pPr>
      <w:r>
        <w:rPr/>
        <w:t>（1）</w:t>
      </w:r>
      <w:r>
        <w:rPr>
          <w:rFonts w:ascii="黑体" w:hAnsi="黑体" w:eastAsia="黑体" w:hint="eastAsia"/>
          <w:spacing w:val="-5"/>
        </w:rPr>
        <w:t>您申报的被保险人年龄不真实，并且其真实年龄不符合本附加险合同约定投保年龄限制的，本公司有权解除合同。对于解除本附加险合同的，本附加险合同自解除之日起终止， 本公司向您退还本附加险合同终止时的现金价值。对于本附加险合同解除前发</w:t>
      </w:r>
      <w:r>
        <w:rPr>
          <w:rFonts w:ascii="黑体" w:hAnsi="黑体" w:eastAsia="黑体" w:hint="eastAsia"/>
        </w:rPr>
        <w:t>Th</w:t>
      </w:r>
      <w:r>
        <w:rPr>
          <w:rFonts w:ascii="黑体" w:hAnsi="黑体" w:eastAsia="黑体" w:hint="eastAsia"/>
          <w:spacing w:val="-2"/>
        </w:rPr>
        <w:t>的保险事 </w:t>
      </w:r>
      <w:r>
        <w:rPr>
          <w:rFonts w:ascii="黑体" w:hAnsi="黑体" w:eastAsia="黑体" w:hint="eastAsia"/>
          <w:spacing w:val="-5"/>
        </w:rPr>
        <w:t>故，本公司不承担给付保险金的责任</w:t>
      </w:r>
      <w:r>
        <w:rPr>
          <w:spacing w:val="-6"/>
        </w:rPr>
        <w:t>。本公司行使合同解除权适用主险合同“</w:t>
      </w:r>
      <w:r>
        <w:rPr/>
        <w:t>13.2</w:t>
      </w:r>
      <w:r>
        <w:rPr>
          <w:spacing w:val="-2"/>
        </w:rPr>
        <w:t>合同解除</w:t>
      </w:r>
      <w:r>
        <w:rPr>
          <w:spacing w:val="-3"/>
        </w:rPr>
        <w:t>权的限制”的规定。</w:t>
      </w:r>
    </w:p>
    <w:p>
      <w:pPr>
        <w:pStyle w:val="BodyText"/>
        <w:spacing w:before="45"/>
        <w:ind w:left="120"/>
        <w:rPr>
          <w:rFonts w:ascii="黑体" w:eastAsia="黑体" w:hint="eastAsia"/>
        </w:rPr>
      </w:pPr>
      <w:r>
        <w:rPr/>
        <w:t>（2）</w:t>
      </w:r>
      <w:r>
        <w:rPr>
          <w:rFonts w:ascii="黑体" w:eastAsia="黑体" w:hint="eastAsia"/>
        </w:rPr>
        <w:t>如果您申报的被保险人年龄不真实，致使您实交的保险费少于应交保险费的，本公司</w:t>
      </w:r>
    </w:p>
    <w:p>
      <w:pPr>
        <w:spacing w:after="0"/>
        <w:rPr>
          <w:rFonts w:ascii="黑体" w:eastAsia="黑体" w:hint="eastAsia"/>
        </w:rPr>
        <w:sectPr>
          <w:pgSz w:w="11910" w:h="16840"/>
          <w:pgMar w:header="0" w:footer="1045" w:top="1460" w:bottom="1240" w:left="1680" w:right="1600"/>
        </w:sectPr>
      </w:pPr>
    </w:p>
    <w:p>
      <w:pPr>
        <w:pStyle w:val="BodyText"/>
        <w:spacing w:line="398" w:lineRule="auto" w:before="6"/>
        <w:ind w:left="120" w:right="112"/>
      </w:pPr>
      <w:r>
        <w:rPr>
          <w:rFonts w:ascii="黑体" w:eastAsia="黑体" w:hint="eastAsia"/>
          <w:spacing w:val="-7"/>
        </w:rPr>
        <w:t>有权更正并要求您补交保险费。如果已发</w:t>
      </w:r>
      <w:r>
        <w:rPr>
          <w:rFonts w:ascii="黑体" w:eastAsia="黑体" w:hint="eastAsia"/>
        </w:rPr>
        <w:t>Th</w:t>
      </w:r>
      <w:r>
        <w:rPr>
          <w:rFonts w:ascii="黑体" w:eastAsia="黑体" w:hint="eastAsia"/>
          <w:spacing w:val="-8"/>
        </w:rPr>
        <w:t>保险事故，本公司将按实交保险费和应交保险费</w:t>
      </w:r>
      <w:r>
        <w:rPr>
          <w:rFonts w:ascii="黑体" w:eastAsia="黑体" w:hint="eastAsia"/>
          <w:spacing w:val="-5"/>
        </w:rPr>
        <w:t>的比例给付保险金</w:t>
      </w:r>
      <w:r>
        <w:rPr/>
        <w:t>。</w:t>
      </w:r>
    </w:p>
    <w:p>
      <w:pPr>
        <w:pStyle w:val="BodyText"/>
        <w:spacing w:line="408" w:lineRule="auto" w:before="54"/>
        <w:ind w:left="120" w:right="129"/>
      </w:pPr>
      <w:r>
        <w:rPr/>
        <w:t>（3）如果您申报的被保险人年龄不真实，致使您实交的保险费多于应交保险费的，本公司将无息退还多收的保险费给您。</w:t>
      </w:r>
    </w:p>
    <w:p>
      <w:pPr>
        <w:pStyle w:val="BodyText"/>
        <w:spacing w:before="4"/>
        <w:rPr>
          <w:sz w:val="36"/>
        </w:rPr>
      </w:pPr>
    </w:p>
    <w:p>
      <w:pPr>
        <w:pStyle w:val="Heading2"/>
        <w:numPr>
          <w:ilvl w:val="0"/>
          <w:numId w:val="6"/>
        </w:numPr>
        <w:tabs>
          <w:tab w:pos="544" w:val="left" w:leader="none"/>
          <w:tab w:pos="545" w:val="left" w:leader="none"/>
        </w:tabs>
        <w:spacing w:line="240" w:lineRule="auto" w:before="0" w:after="0"/>
        <w:ind w:left="544" w:right="0" w:hanging="424"/>
        <w:jc w:val="left"/>
      </w:pPr>
      <w:bookmarkStart w:name="_TOC_250047" w:id="25"/>
      <w:bookmarkEnd w:id="25"/>
      <w:r>
        <w:rPr>
          <w:spacing w:val="-1"/>
        </w:rPr>
        <w:t>适用主险条款</w:t>
      </w:r>
    </w:p>
    <w:p>
      <w:pPr>
        <w:pStyle w:val="BodyText"/>
        <w:spacing w:before="10"/>
        <w:rPr>
          <w:rFonts w:ascii="Microsoft JhengHei UI"/>
          <w:b/>
          <w:sz w:val="38"/>
        </w:rPr>
      </w:pPr>
    </w:p>
    <w:p>
      <w:pPr>
        <w:pStyle w:val="BodyText"/>
        <w:ind w:left="120"/>
      </w:pPr>
      <w:r>
        <w:rPr/>
        <w:t>下列各项条款，适用主险合同条款：</w:t>
      </w:r>
    </w:p>
    <w:p>
      <w:pPr>
        <w:pStyle w:val="ListParagraph"/>
        <w:numPr>
          <w:ilvl w:val="0"/>
          <w:numId w:val="10"/>
        </w:numPr>
        <w:tabs>
          <w:tab w:pos="539" w:val="left" w:leader="none"/>
          <w:tab w:pos="540" w:val="left" w:leader="none"/>
        </w:tabs>
        <w:spacing w:line="240" w:lineRule="auto" w:before="193" w:after="0"/>
        <w:ind w:left="539" w:right="0" w:hanging="419"/>
        <w:jc w:val="left"/>
        <w:rPr>
          <w:sz w:val="21"/>
        </w:rPr>
      </w:pPr>
      <w:r>
        <w:rPr>
          <w:spacing w:val="-2"/>
          <w:sz w:val="21"/>
        </w:rPr>
        <w:t>特别注意事项；</w:t>
      </w:r>
    </w:p>
    <w:p>
      <w:pPr>
        <w:pStyle w:val="ListParagraph"/>
        <w:numPr>
          <w:ilvl w:val="0"/>
          <w:numId w:val="10"/>
        </w:numPr>
        <w:tabs>
          <w:tab w:pos="539" w:val="left" w:leader="none"/>
          <w:tab w:pos="540" w:val="left" w:leader="none"/>
        </w:tabs>
        <w:spacing w:line="240" w:lineRule="auto" w:before="193" w:after="0"/>
        <w:ind w:left="539" w:right="0" w:hanging="419"/>
        <w:jc w:val="left"/>
        <w:rPr>
          <w:sz w:val="21"/>
        </w:rPr>
      </w:pPr>
      <w:r>
        <w:rPr>
          <w:spacing w:val="-3"/>
          <w:sz w:val="21"/>
        </w:rPr>
        <w:t>明确说明与如实告知；</w:t>
      </w:r>
    </w:p>
    <w:p>
      <w:pPr>
        <w:pStyle w:val="ListParagraph"/>
        <w:numPr>
          <w:ilvl w:val="0"/>
          <w:numId w:val="10"/>
        </w:numPr>
        <w:tabs>
          <w:tab w:pos="539" w:val="left" w:leader="none"/>
          <w:tab w:pos="540" w:val="left" w:leader="none"/>
        </w:tabs>
        <w:spacing w:line="240" w:lineRule="auto" w:before="193" w:after="0"/>
        <w:ind w:left="539" w:right="0" w:hanging="419"/>
        <w:jc w:val="left"/>
        <w:rPr>
          <w:sz w:val="21"/>
        </w:rPr>
      </w:pPr>
      <w:r>
        <w:rPr>
          <w:spacing w:val="-3"/>
          <w:sz w:val="21"/>
        </w:rPr>
        <w:t>合同解除权的限制；</w:t>
      </w:r>
    </w:p>
    <w:p>
      <w:pPr>
        <w:pStyle w:val="ListParagraph"/>
        <w:numPr>
          <w:ilvl w:val="0"/>
          <w:numId w:val="10"/>
        </w:numPr>
        <w:tabs>
          <w:tab w:pos="539" w:val="left" w:leader="none"/>
          <w:tab w:pos="540" w:val="left" w:leader="none"/>
        </w:tabs>
        <w:spacing w:line="240" w:lineRule="auto" w:before="193" w:after="0"/>
        <w:ind w:left="539" w:right="0" w:hanging="419"/>
        <w:jc w:val="left"/>
        <w:rPr>
          <w:sz w:val="21"/>
        </w:rPr>
      </w:pPr>
      <w:r>
        <w:rPr>
          <w:spacing w:val="-2"/>
          <w:sz w:val="21"/>
        </w:rPr>
        <w:t>合同的变更；</w:t>
      </w:r>
    </w:p>
    <w:p>
      <w:pPr>
        <w:pStyle w:val="ListParagraph"/>
        <w:numPr>
          <w:ilvl w:val="0"/>
          <w:numId w:val="10"/>
        </w:numPr>
        <w:tabs>
          <w:tab w:pos="539" w:val="left" w:leader="none"/>
          <w:tab w:pos="540" w:val="left" w:leader="none"/>
        </w:tabs>
        <w:spacing w:line="240" w:lineRule="auto" w:before="193" w:after="0"/>
        <w:ind w:left="539" w:right="0" w:hanging="419"/>
        <w:jc w:val="left"/>
        <w:rPr>
          <w:sz w:val="21"/>
        </w:rPr>
      </w:pPr>
      <w:r>
        <w:rPr>
          <w:spacing w:val="-1"/>
          <w:sz w:val="21"/>
        </w:rPr>
        <w:t>未还款项；</w:t>
      </w:r>
    </w:p>
    <w:p>
      <w:pPr>
        <w:pStyle w:val="ListParagraph"/>
        <w:numPr>
          <w:ilvl w:val="0"/>
          <w:numId w:val="10"/>
        </w:numPr>
        <w:tabs>
          <w:tab w:pos="539" w:val="left" w:leader="none"/>
          <w:tab w:pos="540" w:val="left" w:leader="none"/>
        </w:tabs>
        <w:spacing w:line="240" w:lineRule="auto" w:before="193" w:after="0"/>
        <w:ind w:left="539" w:right="0" w:hanging="419"/>
        <w:jc w:val="left"/>
        <w:rPr>
          <w:sz w:val="21"/>
        </w:rPr>
      </w:pPr>
      <w:r>
        <w:rPr>
          <w:spacing w:val="-1"/>
          <w:sz w:val="21"/>
        </w:rPr>
        <w:t>争议处理；</w:t>
      </w:r>
    </w:p>
    <w:p>
      <w:pPr>
        <w:pStyle w:val="ListParagraph"/>
        <w:numPr>
          <w:ilvl w:val="0"/>
          <w:numId w:val="10"/>
        </w:numPr>
        <w:tabs>
          <w:tab w:pos="539" w:val="left" w:leader="none"/>
          <w:tab w:pos="540" w:val="left" w:leader="none"/>
        </w:tabs>
        <w:spacing w:line="240" w:lineRule="auto" w:before="193" w:after="0"/>
        <w:ind w:left="539" w:right="0" w:hanging="419"/>
        <w:jc w:val="left"/>
        <w:rPr>
          <w:sz w:val="21"/>
        </w:rPr>
      </w:pPr>
      <w:r>
        <w:rPr>
          <w:spacing w:val="-2"/>
          <w:sz w:val="21"/>
        </w:rPr>
        <w:t>委托代办业务。</w:t>
      </w:r>
    </w:p>
    <w:p>
      <w:pPr>
        <w:pStyle w:val="BodyText"/>
        <w:rPr>
          <w:sz w:val="26"/>
        </w:rPr>
      </w:pPr>
    </w:p>
    <w:p>
      <w:pPr>
        <w:pStyle w:val="BodyText"/>
        <w:spacing w:before="7"/>
      </w:pPr>
    </w:p>
    <w:p>
      <w:pPr>
        <w:pStyle w:val="Heading2"/>
        <w:numPr>
          <w:ilvl w:val="0"/>
          <w:numId w:val="11"/>
        </w:numPr>
        <w:tabs>
          <w:tab w:pos="545" w:val="left" w:leader="none"/>
        </w:tabs>
        <w:spacing w:line="240" w:lineRule="auto" w:before="1" w:after="0"/>
        <w:ind w:left="544" w:right="0" w:hanging="424"/>
        <w:jc w:val="left"/>
      </w:pPr>
      <w:bookmarkStart w:name="_TOC_250046" w:id="26"/>
      <w:bookmarkEnd w:id="26"/>
      <w:r>
        <w:rPr/>
        <w:t>释义</w:t>
      </w:r>
    </w:p>
    <w:p>
      <w:pPr>
        <w:pStyle w:val="BodyText"/>
        <w:spacing w:before="12"/>
        <w:rPr>
          <w:rFonts w:ascii="Microsoft JhengHei UI"/>
          <w:b/>
          <w:sz w:val="37"/>
        </w:rPr>
      </w:pPr>
    </w:p>
    <w:p>
      <w:pPr>
        <w:pStyle w:val="Heading2"/>
        <w:numPr>
          <w:ilvl w:val="1"/>
          <w:numId w:val="11"/>
        </w:numPr>
        <w:tabs>
          <w:tab w:pos="674" w:val="left" w:leader="none"/>
          <w:tab w:pos="675" w:val="left" w:leader="none"/>
        </w:tabs>
        <w:spacing w:line="240" w:lineRule="auto" w:before="1" w:after="0"/>
        <w:ind w:left="674" w:right="0" w:hanging="554"/>
        <w:jc w:val="left"/>
      </w:pPr>
      <w:bookmarkStart w:name="_TOC_250045" w:id="27"/>
      <w:bookmarkEnd w:id="27"/>
      <w:r>
        <w:rPr>
          <w:spacing w:val="-2"/>
        </w:rPr>
        <w:t>周岁</w:t>
      </w:r>
    </w:p>
    <w:p>
      <w:pPr>
        <w:pStyle w:val="BodyText"/>
        <w:spacing w:before="1"/>
        <w:rPr>
          <w:rFonts w:ascii="Microsoft JhengHei UI"/>
          <w:b/>
          <w:sz w:val="28"/>
        </w:rPr>
      </w:pPr>
    </w:p>
    <w:p>
      <w:pPr>
        <w:pStyle w:val="BodyText"/>
        <w:spacing w:line="408" w:lineRule="auto"/>
        <w:ind w:left="120" w:right="57"/>
      </w:pPr>
      <w:r>
        <w:rPr/>
        <w:t>指以法定身份证明文件中记载的出生日期为基础</w:t>
      </w:r>
      <w:r>
        <w:rPr>
          <w:w w:val="75"/>
        </w:rPr>
        <w:t>, </w:t>
      </w:r>
      <w:r>
        <w:rPr/>
        <w:t>按照公历的年、月、日，从周岁生日的第二天起计算的年龄。</w:t>
      </w:r>
    </w:p>
    <w:p>
      <w:pPr>
        <w:pStyle w:val="BodyText"/>
        <w:spacing w:before="2"/>
        <w:rPr>
          <w:sz w:val="22"/>
        </w:rPr>
      </w:pPr>
    </w:p>
    <w:p>
      <w:pPr>
        <w:pStyle w:val="Heading2"/>
        <w:numPr>
          <w:ilvl w:val="1"/>
          <w:numId w:val="11"/>
        </w:numPr>
        <w:tabs>
          <w:tab w:pos="674" w:val="left" w:leader="none"/>
          <w:tab w:pos="675" w:val="left" w:leader="none"/>
        </w:tabs>
        <w:spacing w:line="240" w:lineRule="auto" w:before="0" w:after="0"/>
        <w:ind w:left="674" w:right="0" w:hanging="554"/>
        <w:jc w:val="left"/>
      </w:pPr>
      <w:bookmarkStart w:name="_TOC_250044" w:id="28"/>
      <w:bookmarkEnd w:id="28"/>
      <w:r>
        <w:rPr>
          <w:spacing w:val="-2"/>
        </w:rPr>
        <w:t>医院</w:t>
      </w:r>
    </w:p>
    <w:p>
      <w:pPr>
        <w:pStyle w:val="BodyText"/>
        <w:spacing w:before="1"/>
        <w:rPr>
          <w:rFonts w:ascii="Microsoft JhengHei UI"/>
          <w:b/>
          <w:sz w:val="28"/>
        </w:rPr>
      </w:pPr>
    </w:p>
    <w:p>
      <w:pPr>
        <w:pStyle w:val="BodyText"/>
        <w:ind w:left="120"/>
      </w:pPr>
      <w:r>
        <w:rPr/>
        <w:t>指国家卫生机构认可的公立二级甲等（含）以上的医院。</w:t>
      </w:r>
    </w:p>
    <w:p>
      <w:pPr>
        <w:pStyle w:val="BodyText"/>
        <w:spacing w:before="6"/>
        <w:rPr>
          <w:sz w:val="33"/>
        </w:rPr>
      </w:pPr>
    </w:p>
    <w:p>
      <w:pPr>
        <w:pStyle w:val="Heading2"/>
        <w:numPr>
          <w:ilvl w:val="1"/>
          <w:numId w:val="11"/>
        </w:numPr>
        <w:tabs>
          <w:tab w:pos="674" w:val="left" w:leader="none"/>
          <w:tab w:pos="675" w:val="left" w:leader="none"/>
        </w:tabs>
        <w:spacing w:line="240" w:lineRule="auto" w:before="0" w:after="0"/>
        <w:ind w:left="674" w:right="0" w:hanging="554"/>
        <w:jc w:val="left"/>
      </w:pPr>
      <w:bookmarkStart w:name="_TOC_250043" w:id="29"/>
      <w:bookmarkEnd w:id="29"/>
      <w:r>
        <w:rPr>
          <w:w w:val="95"/>
        </w:rPr>
        <w:t>30 种重大疾病</w:t>
      </w:r>
    </w:p>
    <w:p>
      <w:pPr>
        <w:pStyle w:val="BodyText"/>
        <w:spacing w:before="1"/>
        <w:rPr>
          <w:rFonts w:ascii="Microsoft JhengHei UI"/>
          <w:b/>
          <w:sz w:val="28"/>
        </w:rPr>
      </w:pPr>
    </w:p>
    <w:p>
      <w:pPr>
        <w:pStyle w:val="BodyText"/>
        <w:spacing w:line="408" w:lineRule="auto"/>
        <w:ind w:left="120" w:right="114"/>
      </w:pPr>
      <w:r>
        <w:rPr>
          <w:spacing w:val="-1"/>
        </w:rPr>
        <w:t>本产品提供</w:t>
      </w:r>
      <w:r>
        <w:rPr/>
        <w:t>30</w:t>
      </w:r>
      <w:r>
        <w:rPr>
          <w:spacing w:val="-9"/>
        </w:rPr>
        <w:t>种重大疾病保障。其中恶性肿瘤、急性心肌梗塞、脑中风后遗症、冠状动脉搭</w:t>
      </w:r>
      <w:r>
        <w:rPr>
          <w:spacing w:val="-1"/>
          <w:w w:val="95"/>
        </w:rPr>
        <w:t>桥术</w:t>
      </w:r>
      <w:r>
        <w:rPr>
          <w:spacing w:val="-1"/>
          <w:w w:val="90"/>
        </w:rPr>
        <w:t>(</w:t>
      </w:r>
      <w:r>
        <w:rPr>
          <w:spacing w:val="-4"/>
          <w:w w:val="95"/>
        </w:rPr>
        <w:t>或称冠状动脉旁路移植术</w:t>
      </w:r>
      <w:r>
        <w:rPr>
          <w:w w:val="90"/>
        </w:rPr>
        <w:t>)</w:t>
      </w:r>
      <w:r>
        <w:rPr>
          <w:spacing w:val="-9"/>
          <w:w w:val="95"/>
        </w:rPr>
        <w:t>、重大器官移植术或造血干细胞移植术、终末期肾病</w:t>
      </w:r>
      <w:r>
        <w:rPr>
          <w:w w:val="90"/>
        </w:rPr>
        <w:t>(</w:t>
      </w:r>
      <w:r>
        <w:rPr>
          <w:spacing w:val="-2"/>
          <w:w w:val="95"/>
        </w:rPr>
        <w:t>或称慢</w:t>
      </w:r>
    </w:p>
    <w:p>
      <w:pPr>
        <w:spacing w:after="0" w:line="408" w:lineRule="auto"/>
        <w:sectPr>
          <w:pgSz w:w="11910" w:h="16840"/>
          <w:pgMar w:header="0" w:footer="1045" w:top="1480" w:bottom="1240" w:left="1680" w:right="1680"/>
        </w:sectPr>
      </w:pPr>
    </w:p>
    <w:p>
      <w:pPr>
        <w:pStyle w:val="BodyText"/>
        <w:spacing w:line="408" w:lineRule="auto" w:before="34"/>
        <w:ind w:left="120" w:right="194"/>
        <w:jc w:val="both"/>
      </w:pPr>
      <w:r>
        <w:rPr>
          <w:spacing w:val="-3"/>
        </w:rPr>
        <w:t>性肾功能衰竭尿毒症期)</w:t>
      </w:r>
      <w:r>
        <w:rPr/>
        <w:t>6</w:t>
      </w:r>
      <w:r>
        <w:rPr>
          <w:spacing w:val="-7"/>
        </w:rPr>
        <w:t>种重大疾病为《中国保险行业协会重大疾病使用规范》规定重大疾</w:t>
      </w:r>
      <w:r>
        <w:rPr>
          <w:spacing w:val="-6"/>
          <w:w w:val="95"/>
        </w:rPr>
        <w:t>病保险产品必须包含的疾病种类。系统性红斑狼疮</w:t>
      </w:r>
      <w:r>
        <w:rPr>
          <w:w w:val="95"/>
        </w:rPr>
        <w:t>(III</w:t>
      </w:r>
      <w:r>
        <w:rPr>
          <w:spacing w:val="-5"/>
          <w:w w:val="95"/>
        </w:rPr>
        <w:t>型或以上狼疮性肾炎)、经输血导致的 </w:t>
      </w:r>
      <w:r>
        <w:rPr>
          <w:spacing w:val="-5"/>
        </w:rPr>
        <w:t>人类免疫缺陷病毒</w:t>
      </w:r>
      <w:r>
        <w:rPr>
          <w:spacing w:val="-4"/>
        </w:rPr>
        <w:t>（HIV）</w:t>
      </w:r>
      <w:r>
        <w:rPr>
          <w:spacing w:val="-7"/>
        </w:rPr>
        <w:t>感染、严重多发性硬化、严重类风湿性关节炎、慢性呼吸功能衰竭5</w:t>
      </w:r>
      <w:r>
        <w:rPr>
          <w:spacing w:val="-4"/>
        </w:rPr>
        <w:t>种重大疾病为我司根据产品设计需求选用。其余</w:t>
      </w:r>
      <w:r>
        <w:rPr>
          <w:spacing w:val="-3"/>
        </w:rPr>
        <w:t>19种重大疾病保险为本公司根据中国保险行业协会重大疾病使用规范选择使用。</w:t>
      </w:r>
    </w:p>
    <w:p>
      <w:pPr>
        <w:pStyle w:val="BodyText"/>
        <w:spacing w:before="4"/>
        <w:rPr>
          <w:sz w:val="27"/>
        </w:rPr>
      </w:pPr>
    </w:p>
    <w:p>
      <w:pPr>
        <w:pStyle w:val="BodyText"/>
        <w:spacing w:line="408" w:lineRule="auto"/>
        <w:ind w:left="120" w:right="192"/>
      </w:pPr>
      <w:r>
        <w:rPr>
          <w:spacing w:val="-10"/>
        </w:rPr>
        <w:t>本附加险合同所保障的重大疾病，是指被保险人在主险合同有效且等待期后本附加险合同的</w:t>
      </w:r>
      <w:r>
        <w:rPr>
          <w:spacing w:val="-5"/>
        </w:rPr>
        <w:t>责任有效期间内经专科医生明确诊断初次患下列疾病或初次达到下列疾病状态或在医院初</w:t>
      </w:r>
      <w:r>
        <w:rPr>
          <w:spacing w:val="-4"/>
        </w:rPr>
        <w:t>次接受下列手术：</w:t>
      </w:r>
    </w:p>
    <w:p>
      <w:pPr>
        <w:pStyle w:val="BodyText"/>
        <w:rPr>
          <w:sz w:val="26"/>
        </w:rPr>
      </w:pPr>
    </w:p>
    <w:p>
      <w:pPr>
        <w:pStyle w:val="BodyText"/>
        <w:rPr>
          <w:sz w:val="20"/>
        </w:rPr>
      </w:pPr>
    </w:p>
    <w:p>
      <w:pPr>
        <w:pStyle w:val="Heading2"/>
        <w:numPr>
          <w:ilvl w:val="2"/>
          <w:numId w:val="11"/>
        </w:numPr>
        <w:tabs>
          <w:tab w:pos="839" w:val="left" w:leader="none"/>
          <w:tab w:pos="841" w:val="left" w:leader="none"/>
        </w:tabs>
        <w:spacing w:line="240" w:lineRule="auto" w:before="0" w:after="0"/>
        <w:ind w:left="840" w:right="0" w:hanging="720"/>
        <w:jc w:val="left"/>
      </w:pPr>
      <w:bookmarkStart w:name="_TOC_250042" w:id="30"/>
      <w:bookmarkEnd w:id="30"/>
      <w:r>
        <w:rPr>
          <w:spacing w:val="-1"/>
        </w:rPr>
        <w:t>恶性肿瘤</w:t>
      </w:r>
    </w:p>
    <w:p>
      <w:pPr>
        <w:pStyle w:val="BodyText"/>
        <w:rPr>
          <w:rFonts w:ascii="Microsoft JhengHei UI"/>
          <w:b/>
          <w:sz w:val="28"/>
        </w:rPr>
      </w:pPr>
    </w:p>
    <w:p>
      <w:pPr>
        <w:pStyle w:val="BodyText"/>
        <w:spacing w:line="408" w:lineRule="auto" w:before="1"/>
        <w:ind w:left="120" w:right="192"/>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10"/>
          <w:w w:val="100"/>
        </w:rPr>
        <w:t>生组织《疾病和有关健康问题的国际统计分类》</w:t>
      </w:r>
      <w:r>
        <w:rPr>
          <w:w w:val="100"/>
        </w:rPr>
        <w:t>（</w:t>
      </w:r>
      <w:r>
        <w:rPr>
          <w:spacing w:val="-3"/>
          <w:w w:val="71"/>
        </w:rPr>
        <w:t>I</w:t>
      </w:r>
      <w:r>
        <w:rPr>
          <w:w w:val="141"/>
        </w:rPr>
        <w:t>C</w:t>
      </w:r>
      <w:r>
        <w:rPr>
          <w:spacing w:val="-2"/>
          <w:w w:val="141"/>
        </w:rPr>
        <w:t>D</w:t>
      </w:r>
      <w:r>
        <w:rPr>
          <w:spacing w:val="0"/>
          <w:w w:val="62"/>
        </w:rPr>
        <w:t>-</w:t>
      </w:r>
      <w:r>
        <w:rPr>
          <w:w w:val="94"/>
        </w:rPr>
        <w:t>1</w:t>
      </w:r>
      <w:r>
        <w:rPr>
          <w:spacing w:val="-4"/>
          <w:w w:val="94"/>
        </w:rPr>
        <w:t>0</w:t>
      </w:r>
      <w:r>
        <w:rPr>
          <w:w w:val="100"/>
        </w:rPr>
        <w:t>）</w:t>
      </w:r>
      <w:r>
        <w:rPr>
          <w:spacing w:val="-4"/>
          <w:w w:val="100"/>
        </w:rPr>
        <w:t>的恶性肿瘤范畴。</w:t>
      </w:r>
    </w:p>
    <w:p>
      <w:pPr>
        <w:pStyle w:val="BodyText"/>
        <w:spacing w:before="46"/>
        <w:ind w:left="120"/>
        <w:jc w:val="both"/>
      </w:pPr>
      <w:r>
        <w:rPr/>
        <w:t>下列疾病不在保障范围内：</w:t>
      </w:r>
    </w:p>
    <w:p>
      <w:pPr>
        <w:pStyle w:val="BodyText"/>
        <w:spacing w:before="113"/>
        <w:ind w:left="120"/>
        <w:jc w:val="both"/>
      </w:pPr>
      <w:r>
        <w:rPr/>
        <w:t>（1）原位癌；</w:t>
      </w:r>
    </w:p>
    <w:p>
      <w:pPr>
        <w:pStyle w:val="BodyText"/>
        <w:spacing w:before="36"/>
        <w:ind w:left="120"/>
        <w:jc w:val="both"/>
      </w:pPr>
      <w:r>
        <w:rPr/>
        <w:t>（2）</w:t>
      </w:r>
      <w:r>
        <w:rPr>
          <w:spacing w:val="-18"/>
        </w:rPr>
        <w:t>相当于 </w:t>
      </w:r>
      <w:r>
        <w:rPr/>
        <w:t>Binet</w:t>
      </w:r>
      <w:r>
        <w:rPr>
          <w:spacing w:val="-24"/>
        </w:rPr>
        <w:t> 分期方案 </w:t>
      </w:r>
      <w:r>
        <w:rPr>
          <w:w w:val="110"/>
        </w:rPr>
        <w:t>A</w:t>
      </w:r>
      <w:r>
        <w:rPr>
          <w:spacing w:val="-76"/>
          <w:w w:val="110"/>
        </w:rPr>
        <w:t> </w:t>
      </w:r>
      <w:r>
        <w:rPr>
          <w:spacing w:val="-4"/>
        </w:rPr>
        <w:t>期程度的慢性淋巴细胞白血病；</w:t>
      </w:r>
    </w:p>
    <w:p>
      <w:pPr>
        <w:pStyle w:val="BodyText"/>
        <w:spacing w:before="37"/>
        <w:ind w:left="120"/>
        <w:jc w:val="both"/>
      </w:pPr>
      <w:r>
        <w:rPr/>
        <w:t>（3）</w:t>
      </w:r>
      <w:r>
        <w:rPr>
          <w:spacing w:val="-15"/>
        </w:rPr>
        <w:t>相当于 </w:t>
      </w:r>
      <w:r>
        <w:rPr/>
        <w:t>Ann</w:t>
      </w:r>
      <w:r>
        <w:rPr>
          <w:spacing w:val="-56"/>
        </w:rPr>
        <w:t> </w:t>
      </w:r>
      <w:r>
        <w:rPr/>
        <w:t>Arbor</w:t>
      </w:r>
      <w:r>
        <w:rPr>
          <w:spacing w:val="-20"/>
        </w:rPr>
        <w:t> 分期方案 </w:t>
      </w:r>
      <w:r>
        <w:rPr/>
        <w:t>I</w:t>
      </w:r>
      <w:r>
        <w:rPr>
          <w:spacing w:val="-9"/>
        </w:rPr>
        <w:t> 期程度的何杰金氏病；</w:t>
      </w:r>
    </w:p>
    <w:p>
      <w:pPr>
        <w:pStyle w:val="BodyText"/>
        <w:spacing w:before="37"/>
        <w:ind w:left="120"/>
        <w:jc w:val="both"/>
      </w:pPr>
      <w:r>
        <w:rPr>
          <w:w w:val="100"/>
        </w:rPr>
        <w:t>（</w:t>
      </w:r>
      <w:r>
        <w:rPr>
          <w:spacing w:val="-1"/>
          <w:w w:val="94"/>
        </w:rPr>
        <w:t>4</w:t>
      </w:r>
      <w:r>
        <w:rPr>
          <w:w w:val="100"/>
        </w:rPr>
        <w:t>）</w:t>
      </w:r>
      <w:r>
        <w:rPr>
          <w:spacing w:val="-3"/>
          <w:w w:val="100"/>
        </w:rPr>
        <w:t>皮肤癌</w:t>
      </w:r>
      <w:r>
        <w:rPr>
          <w:w w:val="100"/>
        </w:rPr>
        <w:t>（</w:t>
      </w:r>
      <w:r>
        <w:rPr>
          <w:spacing w:val="-4"/>
          <w:w w:val="100"/>
        </w:rPr>
        <w:t>不包括恶性黑色素瘤及已发生转移的皮肤癌</w:t>
      </w:r>
      <w:r>
        <w:rPr>
          <w:spacing w:val="-106"/>
          <w:w w:val="100"/>
        </w:rPr>
        <w:t>）</w:t>
      </w:r>
      <w:r>
        <w:rPr>
          <w:w w:val="100"/>
        </w:rPr>
        <w:t>；</w:t>
      </w:r>
    </w:p>
    <w:p>
      <w:pPr>
        <w:spacing w:before="166"/>
        <w:ind w:left="120" w:right="0" w:firstLine="0"/>
        <w:jc w:val="both"/>
        <w:rPr>
          <w:sz w:val="21"/>
        </w:rPr>
      </w:pPr>
      <w:r>
        <w:rPr>
          <w:w w:val="100"/>
          <w:sz w:val="21"/>
        </w:rPr>
        <w:t>（</w:t>
      </w:r>
      <w:r>
        <w:rPr>
          <w:spacing w:val="-1"/>
          <w:w w:val="94"/>
          <w:sz w:val="21"/>
        </w:rPr>
        <w:t>5</w:t>
      </w:r>
      <w:r>
        <w:rPr>
          <w:spacing w:val="15"/>
          <w:w w:val="100"/>
          <w:sz w:val="21"/>
        </w:rPr>
        <w:t>）</w:t>
      </w:r>
      <w:r>
        <w:rPr>
          <w:rFonts w:ascii="Times New Roman" w:eastAsia="Times New Roman"/>
          <w:i/>
          <w:spacing w:val="-1"/>
          <w:w w:val="99"/>
          <w:position w:val="6"/>
          <w:sz w:val="24"/>
        </w:rPr>
        <w:t>TN</w:t>
      </w:r>
      <w:r>
        <w:rPr>
          <w:rFonts w:ascii="Times New Roman" w:eastAsia="Times New Roman"/>
          <w:i/>
          <w:w w:val="99"/>
          <w:position w:val="6"/>
          <w:sz w:val="24"/>
        </w:rPr>
        <w:t>M</w:t>
      </w:r>
      <w:r>
        <w:rPr>
          <w:rFonts w:ascii="Times New Roman" w:eastAsia="Times New Roman"/>
          <w:i/>
          <w:spacing w:val="26"/>
          <w:position w:val="6"/>
          <w:sz w:val="24"/>
        </w:rPr>
        <w:t> </w:t>
      </w:r>
      <w:r>
        <w:rPr>
          <w:spacing w:val="5"/>
          <w:w w:val="100"/>
          <w:sz w:val="21"/>
        </w:rPr>
        <w:t>分期为</w:t>
      </w:r>
      <w:r>
        <w:rPr>
          <w:rFonts w:ascii="Times New Roman" w:eastAsia="Times New Roman"/>
          <w:i/>
          <w:spacing w:val="-19"/>
          <w:position w:val="12"/>
          <w:sz w:val="24"/>
        </w:rPr>
        <w:t>T</w:t>
      </w:r>
      <w:r>
        <w:rPr>
          <w:rFonts w:ascii="Times New Roman" w:eastAsia="Times New Roman"/>
          <w:position w:val="6"/>
          <w:sz w:val="14"/>
        </w:rPr>
        <w:t>1</w:t>
      </w:r>
      <w:r>
        <w:rPr>
          <w:rFonts w:ascii="Times New Roman" w:eastAsia="Times New Roman"/>
          <w:spacing w:val="-23"/>
          <w:position w:val="6"/>
          <w:sz w:val="14"/>
        </w:rPr>
        <w:t> </w:t>
      </w:r>
      <w:r>
        <w:rPr>
          <w:rFonts w:ascii="Times New Roman" w:eastAsia="Times New Roman"/>
          <w:i/>
          <w:spacing w:val="18"/>
          <w:position w:val="12"/>
          <w:sz w:val="24"/>
        </w:rPr>
        <w:t>N</w:t>
      </w:r>
      <w:r>
        <w:rPr>
          <w:rFonts w:ascii="Times New Roman" w:eastAsia="Times New Roman"/>
          <w:position w:val="6"/>
          <w:sz w:val="14"/>
        </w:rPr>
        <w:t>0</w:t>
      </w:r>
      <w:r>
        <w:rPr>
          <w:rFonts w:ascii="Times New Roman" w:eastAsia="Times New Roman"/>
          <w:spacing w:val="-22"/>
          <w:position w:val="6"/>
          <w:sz w:val="14"/>
        </w:rPr>
        <w:t> </w:t>
      </w:r>
      <w:r>
        <w:rPr>
          <w:rFonts w:ascii="Times New Roman" w:eastAsia="Times New Roman"/>
          <w:i/>
          <w:position w:val="12"/>
          <w:sz w:val="24"/>
        </w:rPr>
        <w:t>M</w:t>
      </w:r>
      <w:r>
        <w:rPr>
          <w:rFonts w:ascii="Times New Roman" w:eastAsia="Times New Roman"/>
          <w:i/>
          <w:spacing w:val="-28"/>
          <w:position w:val="12"/>
          <w:sz w:val="24"/>
        </w:rPr>
        <w:t> </w:t>
      </w:r>
      <w:r>
        <w:rPr>
          <w:rFonts w:ascii="Times New Roman" w:eastAsia="Times New Roman"/>
          <w:position w:val="6"/>
          <w:sz w:val="14"/>
        </w:rPr>
        <w:t>0</w:t>
      </w:r>
      <w:r>
        <w:rPr>
          <w:rFonts w:ascii="Times New Roman" w:eastAsia="Times New Roman"/>
          <w:spacing w:val="-12"/>
          <w:position w:val="6"/>
          <w:sz w:val="14"/>
        </w:rPr>
        <w:t> </w:t>
      </w:r>
      <w:r>
        <w:rPr>
          <w:spacing w:val="-3"/>
          <w:w w:val="100"/>
          <w:sz w:val="21"/>
        </w:rPr>
        <w:t>期或更轻分期的前列腺癌</w:t>
      </w:r>
      <w:r>
        <w:rPr>
          <w:w w:val="100"/>
          <w:sz w:val="21"/>
        </w:rPr>
        <w:t>（</w:t>
      </w:r>
      <w:r>
        <w:rPr>
          <w:spacing w:val="-3"/>
          <w:w w:val="100"/>
          <w:sz w:val="21"/>
        </w:rPr>
        <w:t>注</w:t>
      </w:r>
      <w:r>
        <w:rPr>
          <w:spacing w:val="-106"/>
          <w:w w:val="100"/>
          <w:sz w:val="21"/>
        </w:rPr>
        <w:t>）</w:t>
      </w:r>
      <w:r>
        <w:rPr>
          <w:w w:val="100"/>
          <w:sz w:val="21"/>
        </w:rPr>
        <w:t>；</w:t>
      </w:r>
    </w:p>
    <w:p>
      <w:pPr>
        <w:pStyle w:val="BodyText"/>
        <w:spacing w:line="408" w:lineRule="auto" w:before="200"/>
        <w:ind w:left="331" w:right="3571" w:hanging="212"/>
      </w:pPr>
      <w:r>
        <w:rPr/>
        <w:t>（6）感染艾滋病病毒或患艾滋病期间所患恶性肿瘤。注：如果为女性重大疾病保险，则不包括此项。</w:t>
      </w:r>
    </w:p>
    <w:p>
      <w:pPr>
        <w:pStyle w:val="BodyText"/>
        <w:spacing w:before="2"/>
        <w:rPr>
          <w:sz w:val="22"/>
        </w:rPr>
      </w:pPr>
    </w:p>
    <w:p>
      <w:pPr>
        <w:pStyle w:val="Heading2"/>
        <w:numPr>
          <w:ilvl w:val="2"/>
          <w:numId w:val="11"/>
        </w:numPr>
        <w:tabs>
          <w:tab w:pos="841" w:val="left" w:leader="none"/>
        </w:tabs>
        <w:spacing w:line="240" w:lineRule="auto" w:before="1" w:after="0"/>
        <w:ind w:left="840" w:right="0" w:hanging="720"/>
        <w:jc w:val="both"/>
      </w:pPr>
      <w:bookmarkStart w:name="_TOC_250041" w:id="31"/>
      <w:bookmarkEnd w:id="31"/>
      <w:r>
        <w:rPr>
          <w:spacing w:val="-1"/>
        </w:rPr>
        <w:t>急性心肌梗塞</w:t>
      </w:r>
    </w:p>
    <w:p>
      <w:pPr>
        <w:pStyle w:val="BodyText"/>
        <w:spacing w:before="1"/>
        <w:rPr>
          <w:rFonts w:ascii="Microsoft JhengHei UI"/>
          <w:b/>
          <w:sz w:val="28"/>
        </w:rPr>
      </w:pPr>
    </w:p>
    <w:p>
      <w:pPr>
        <w:pStyle w:val="BodyText"/>
        <w:ind w:left="120"/>
        <w:jc w:val="both"/>
      </w:pPr>
      <w:r>
        <w:rPr/>
        <w:t>指因冠状动脉阻塞导致的相应区域供血不足造成部分心肌坏死。须满足下列至少三项条件：</w:t>
      </w:r>
    </w:p>
    <w:p>
      <w:pPr>
        <w:pStyle w:val="BodyText"/>
        <w:spacing w:before="113"/>
        <w:ind w:left="120"/>
        <w:jc w:val="both"/>
      </w:pPr>
      <w:r>
        <w:rPr/>
        <w:t>（1）典型临床表现，例如急性胸痛等；</w:t>
      </w:r>
    </w:p>
    <w:p>
      <w:pPr>
        <w:pStyle w:val="BodyText"/>
        <w:spacing w:before="37"/>
        <w:ind w:left="120"/>
        <w:jc w:val="both"/>
      </w:pPr>
      <w:r>
        <w:rPr/>
        <w:t>（2）新近的心电图改变提示急性心肌梗塞；</w:t>
      </w:r>
    </w:p>
    <w:p>
      <w:pPr>
        <w:pStyle w:val="BodyText"/>
        <w:spacing w:before="37"/>
        <w:ind w:left="120"/>
        <w:jc w:val="both"/>
      </w:pPr>
      <w:r>
        <w:rPr/>
        <w:t>（3）心肌酶或肌钙蛋白有诊断意义的升高，或呈符合急性心肌梗塞的动态性变化；</w:t>
      </w:r>
    </w:p>
    <w:p>
      <w:pPr>
        <w:pStyle w:val="BodyText"/>
        <w:spacing w:before="115"/>
        <w:ind w:left="120"/>
        <w:jc w:val="both"/>
      </w:pPr>
      <w:r>
        <w:rPr/>
        <w:t>（4）发病 90 天后，经检查证实左心室功能降低，如左心室射血分数低于 50%。</w:t>
      </w:r>
    </w:p>
    <w:p>
      <w:pPr>
        <w:spacing w:after="0"/>
        <w:jc w:val="both"/>
        <w:sectPr>
          <w:pgSz w:w="11910" w:h="16840"/>
          <w:pgMar w:header="0" w:footer="1045" w:top="1440" w:bottom="1240" w:left="1680" w:right="1600"/>
        </w:sectPr>
      </w:pPr>
    </w:p>
    <w:p>
      <w:pPr>
        <w:pStyle w:val="Heading2"/>
        <w:numPr>
          <w:ilvl w:val="2"/>
          <w:numId w:val="11"/>
        </w:numPr>
        <w:tabs>
          <w:tab w:pos="839" w:val="left" w:leader="none"/>
          <w:tab w:pos="841" w:val="left" w:leader="none"/>
        </w:tabs>
        <w:spacing w:line="240" w:lineRule="auto" w:before="0" w:after="0"/>
        <w:ind w:left="840" w:right="0" w:hanging="720"/>
        <w:jc w:val="left"/>
      </w:pPr>
      <w:bookmarkStart w:name="_TOC_250040" w:id="32"/>
      <w:bookmarkEnd w:id="32"/>
      <w:r>
        <w:rPr>
          <w:spacing w:val="-2"/>
        </w:rPr>
        <w:t>脑中风后遗症</w:t>
      </w:r>
    </w:p>
    <w:p>
      <w:pPr>
        <w:pStyle w:val="BodyText"/>
        <w:spacing w:before="5"/>
        <w:rPr>
          <w:rFonts w:ascii="Microsoft JhengHei UI"/>
          <w:b/>
          <w:sz w:val="23"/>
        </w:rPr>
      </w:pPr>
    </w:p>
    <w:p>
      <w:pPr>
        <w:pStyle w:val="BodyText"/>
        <w:spacing w:line="273" w:lineRule="auto"/>
        <w:ind w:left="120" w:right="98"/>
      </w:pPr>
      <w:r>
        <w:rPr>
          <w:spacing w:val="-5"/>
        </w:rPr>
        <w:t>指因脑血管的突发病变引起脑血管出血、栓塞或梗塞，并导致神经系统永久性的功能障碍。</w:t>
      </w:r>
      <w:r>
        <w:rPr>
          <w:spacing w:val="-6"/>
        </w:rPr>
        <w:t>神经系统永久性的功能障碍，指疾病确诊 </w:t>
      </w:r>
      <w:r>
        <w:rPr/>
        <w:t>180</w:t>
      </w:r>
      <w:r>
        <w:rPr>
          <w:spacing w:val="-8"/>
        </w:rPr>
        <w:t> 天后，仍遗留下列一种或一种以上障碍：</w:t>
      </w:r>
    </w:p>
    <w:p>
      <w:pPr>
        <w:spacing w:line="284" w:lineRule="exact" w:before="0"/>
        <w:ind w:left="120" w:right="0" w:firstLine="0"/>
        <w:jc w:val="left"/>
        <w:rPr>
          <w:sz w:val="21"/>
        </w:rPr>
      </w:pPr>
      <w:r>
        <w:rPr>
          <w:w w:val="100"/>
          <w:sz w:val="21"/>
        </w:rPr>
        <w:t>（</w:t>
      </w:r>
      <w:r>
        <w:rPr>
          <w:spacing w:val="-1"/>
          <w:w w:val="94"/>
          <w:sz w:val="21"/>
        </w:rPr>
        <w:t>1</w:t>
      </w:r>
      <w:r>
        <w:rPr>
          <w:w w:val="100"/>
          <w:sz w:val="21"/>
        </w:rPr>
        <w:t>）</w:t>
      </w:r>
      <w:r>
        <w:rPr>
          <w:spacing w:val="-3"/>
          <w:w w:val="100"/>
          <w:sz w:val="21"/>
        </w:rPr>
        <w:t>一肢或一肢以上</w:t>
      </w:r>
      <w:r>
        <w:rPr>
          <w:rFonts w:ascii="黑体" w:eastAsia="黑体" w:hint="eastAsia"/>
          <w:b/>
          <w:i/>
          <w:spacing w:val="-2"/>
          <w:w w:val="95"/>
          <w:sz w:val="22"/>
        </w:rPr>
        <w:t>肢体机能完全丧失</w:t>
      </w:r>
      <w:r>
        <w:rPr>
          <w:spacing w:val="-3"/>
          <w:w w:val="100"/>
          <w:sz w:val="21"/>
        </w:rPr>
        <w:t>（</w:t>
      </w:r>
      <w:r>
        <w:rPr>
          <w:spacing w:val="-2"/>
          <w:w w:val="100"/>
          <w:sz w:val="21"/>
        </w:rPr>
        <w:t>见释义</w:t>
      </w:r>
      <w:r>
        <w:rPr>
          <w:spacing w:val="-53"/>
          <w:sz w:val="21"/>
        </w:rPr>
        <w:t> </w:t>
      </w:r>
      <w:r>
        <w:rPr>
          <w:spacing w:val="-1"/>
          <w:w w:val="94"/>
          <w:sz w:val="21"/>
        </w:rPr>
        <w:t>10</w:t>
      </w:r>
      <w:r>
        <w:rPr>
          <w:spacing w:val="-4"/>
          <w:w w:val="44"/>
          <w:sz w:val="21"/>
        </w:rPr>
        <w:t>.</w:t>
      </w:r>
      <w:r>
        <w:rPr>
          <w:spacing w:val="-1"/>
          <w:w w:val="94"/>
          <w:sz w:val="21"/>
        </w:rPr>
        <w:t>14</w:t>
      </w:r>
      <w:r>
        <w:rPr>
          <w:spacing w:val="-106"/>
          <w:w w:val="100"/>
          <w:sz w:val="21"/>
        </w:rPr>
        <w:t>）</w:t>
      </w:r>
      <w:r>
        <w:rPr>
          <w:w w:val="100"/>
          <w:sz w:val="21"/>
        </w:rPr>
        <w:t>；</w:t>
      </w:r>
    </w:p>
    <w:p>
      <w:pPr>
        <w:spacing w:before="24"/>
        <w:ind w:left="120" w:right="0" w:firstLine="0"/>
        <w:jc w:val="left"/>
        <w:rPr>
          <w:sz w:val="21"/>
        </w:rPr>
      </w:pPr>
      <w:r>
        <w:rPr>
          <w:w w:val="100"/>
          <w:sz w:val="21"/>
        </w:rPr>
        <w:t>（</w:t>
      </w:r>
      <w:r>
        <w:rPr>
          <w:spacing w:val="-1"/>
          <w:w w:val="94"/>
          <w:sz w:val="21"/>
        </w:rPr>
        <w:t>2</w:t>
      </w:r>
      <w:r>
        <w:rPr>
          <w:spacing w:val="-2"/>
          <w:w w:val="100"/>
          <w:sz w:val="21"/>
        </w:rPr>
        <w:t>）</w:t>
      </w:r>
      <w:r>
        <w:rPr>
          <w:rFonts w:ascii="黑体" w:eastAsia="黑体" w:hint="eastAsia"/>
          <w:b/>
          <w:i/>
          <w:spacing w:val="-1"/>
          <w:w w:val="95"/>
          <w:sz w:val="22"/>
        </w:rPr>
        <w:t>语言能力或咀嚼吞咽能力完全丧失</w:t>
      </w:r>
      <w:r>
        <w:rPr>
          <w:spacing w:val="-3"/>
          <w:w w:val="100"/>
          <w:sz w:val="21"/>
        </w:rPr>
        <w:t>（</w:t>
      </w:r>
      <w:r>
        <w:rPr>
          <w:spacing w:val="-2"/>
          <w:w w:val="100"/>
          <w:sz w:val="21"/>
        </w:rPr>
        <w:t>见释义</w:t>
      </w:r>
      <w:r>
        <w:rPr>
          <w:spacing w:val="-53"/>
          <w:sz w:val="21"/>
        </w:rPr>
        <w:t> </w:t>
      </w:r>
      <w:r>
        <w:rPr>
          <w:spacing w:val="-1"/>
          <w:w w:val="94"/>
          <w:sz w:val="21"/>
        </w:rPr>
        <w:t>10</w:t>
      </w:r>
      <w:r>
        <w:rPr>
          <w:spacing w:val="-3"/>
          <w:w w:val="44"/>
          <w:sz w:val="21"/>
        </w:rPr>
        <w:t>.</w:t>
      </w:r>
      <w:r>
        <w:rPr>
          <w:spacing w:val="-1"/>
          <w:w w:val="94"/>
          <w:sz w:val="21"/>
        </w:rPr>
        <w:t>15</w:t>
      </w:r>
      <w:r>
        <w:rPr>
          <w:spacing w:val="-106"/>
          <w:w w:val="100"/>
          <w:sz w:val="21"/>
        </w:rPr>
        <w:t>）</w:t>
      </w:r>
      <w:r>
        <w:rPr>
          <w:w w:val="100"/>
          <w:sz w:val="21"/>
        </w:rPr>
        <w:t>；</w:t>
      </w:r>
    </w:p>
    <w:p>
      <w:pPr>
        <w:pStyle w:val="BodyText"/>
        <w:spacing w:line="268" w:lineRule="auto" w:before="23"/>
        <w:ind w:left="120" w:right="192"/>
      </w:pPr>
      <w:r>
        <w:rPr>
          <w:w w:val="100"/>
        </w:rPr>
        <w:t>（</w:t>
      </w:r>
      <w:r>
        <w:rPr>
          <w:spacing w:val="-1"/>
          <w:w w:val="94"/>
        </w:rPr>
        <w:t>3</w:t>
      </w:r>
      <w:r>
        <w:rPr>
          <w:spacing w:val="-17"/>
          <w:w w:val="100"/>
        </w:rPr>
        <w:t>）</w:t>
      </w:r>
      <w:r>
        <w:rPr>
          <w:spacing w:val="-6"/>
          <w:w w:val="100"/>
        </w:rPr>
        <w:t>自主生活能力完全丧失，无法独立完成</w:t>
      </w:r>
      <w:r>
        <w:rPr>
          <w:rFonts w:ascii="黑体" w:eastAsia="黑体" w:hint="eastAsia"/>
          <w:b/>
          <w:i/>
          <w:spacing w:val="-1"/>
          <w:w w:val="95"/>
          <w:sz w:val="22"/>
        </w:rPr>
        <w:t>六项基</w:t>
      </w:r>
      <w:r>
        <w:rPr>
          <w:rFonts w:ascii="黑体" w:eastAsia="黑体" w:hint="eastAsia"/>
          <w:b/>
          <w:i/>
          <w:w w:val="95"/>
          <w:sz w:val="22"/>
        </w:rPr>
        <w:t>本日常Th</w:t>
      </w:r>
      <w:r>
        <w:rPr>
          <w:rFonts w:ascii="黑体" w:eastAsia="黑体" w:hint="eastAsia"/>
          <w:b/>
          <w:i/>
          <w:spacing w:val="-15"/>
          <w:w w:val="95"/>
          <w:sz w:val="22"/>
        </w:rPr>
        <w:t>活</w:t>
      </w:r>
      <w:r>
        <w:rPr>
          <w:spacing w:val="-3"/>
          <w:w w:val="100"/>
        </w:rPr>
        <w:t>（</w:t>
      </w:r>
      <w:r>
        <w:rPr>
          <w:spacing w:val="-2"/>
          <w:w w:val="100"/>
        </w:rPr>
        <w:t>见释义</w:t>
      </w:r>
      <w:r>
        <w:rPr>
          <w:spacing w:val="-53"/>
        </w:rPr>
        <w:t> </w:t>
      </w:r>
      <w:r>
        <w:rPr>
          <w:spacing w:val="-1"/>
          <w:w w:val="94"/>
        </w:rPr>
        <w:t>10</w:t>
      </w:r>
      <w:r>
        <w:rPr>
          <w:spacing w:val="-1"/>
          <w:w w:val="44"/>
        </w:rPr>
        <w:t>.</w:t>
      </w:r>
      <w:r>
        <w:rPr>
          <w:spacing w:val="-1"/>
          <w:w w:val="94"/>
        </w:rPr>
        <w:t>1</w:t>
      </w:r>
      <w:r>
        <w:rPr>
          <w:spacing w:val="-3"/>
          <w:w w:val="94"/>
        </w:rPr>
        <w:t>6</w:t>
      </w:r>
      <w:r>
        <w:rPr>
          <w:spacing w:val="-15"/>
          <w:w w:val="100"/>
        </w:rPr>
        <w:t>）</w:t>
      </w:r>
      <w:r>
        <w:rPr>
          <w:spacing w:val="-2"/>
          <w:w w:val="100"/>
        </w:rPr>
        <w:t>活动中的三</w:t>
      </w:r>
      <w:r>
        <w:rPr>
          <w:spacing w:val="-3"/>
        </w:rPr>
        <w:t>项或三项以上。</w:t>
      </w:r>
    </w:p>
    <w:p>
      <w:pPr>
        <w:pStyle w:val="BodyText"/>
        <w:spacing w:before="8"/>
        <w:rPr>
          <w:sz w:val="25"/>
        </w:rPr>
      </w:pPr>
    </w:p>
    <w:p>
      <w:pPr>
        <w:pStyle w:val="Heading2"/>
        <w:numPr>
          <w:ilvl w:val="2"/>
          <w:numId w:val="11"/>
        </w:numPr>
        <w:tabs>
          <w:tab w:pos="839" w:val="left" w:leader="none"/>
          <w:tab w:pos="841" w:val="left" w:leader="none"/>
        </w:tabs>
        <w:spacing w:line="240" w:lineRule="auto" w:before="0" w:after="0"/>
        <w:ind w:left="840" w:right="0" w:hanging="720"/>
        <w:jc w:val="left"/>
      </w:pPr>
      <w:bookmarkStart w:name="_TOC_250039" w:id="33"/>
      <w:bookmarkEnd w:id="33"/>
      <w:r>
        <w:rPr>
          <w:spacing w:val="-3"/>
        </w:rPr>
        <w:t>重大器官移植术或造血干细胞移植术</w:t>
      </w:r>
    </w:p>
    <w:p>
      <w:pPr>
        <w:pStyle w:val="BodyText"/>
        <w:spacing w:before="1"/>
        <w:rPr>
          <w:rFonts w:ascii="Microsoft JhengHei UI"/>
          <w:b/>
          <w:sz w:val="28"/>
        </w:rPr>
      </w:pPr>
    </w:p>
    <w:p>
      <w:pPr>
        <w:pStyle w:val="BodyText"/>
        <w:spacing w:line="408" w:lineRule="auto"/>
        <w:ind w:left="120" w:right="192"/>
      </w:pPr>
      <w:r>
        <w:rPr>
          <w:spacing w:val="-9"/>
        </w:rPr>
        <w:t>重大器官移植术，指因相应器官功能衰竭，已经实施了肾脏、肝脏、心脏或肺脏的异体移植手术。</w:t>
      </w:r>
    </w:p>
    <w:p>
      <w:pPr>
        <w:pStyle w:val="BodyText"/>
        <w:spacing w:line="408" w:lineRule="auto" w:before="45"/>
        <w:ind w:left="120" w:right="192"/>
      </w:pPr>
      <w:r>
        <w:rPr>
          <w:spacing w:val="-8"/>
        </w:rPr>
        <w:t>造血干细胞移植术，指因造血功能损害或造血系统恶性肿瘤，已经实施了造血干细胞</w:t>
      </w:r>
      <w:r>
        <w:rPr/>
        <w:t>（</w:t>
      </w:r>
      <w:r>
        <w:rPr>
          <w:spacing w:val="-2"/>
        </w:rPr>
        <w:t>包括</w:t>
      </w:r>
      <w:r>
        <w:rPr>
          <w:spacing w:val="-3"/>
        </w:rPr>
        <w:t>骨髓造血干细胞、外周血造血干细胞和脐血造血干细胞）的异体移植手术。</w:t>
      </w:r>
    </w:p>
    <w:p>
      <w:pPr>
        <w:pStyle w:val="BodyText"/>
        <w:spacing w:before="2"/>
        <w:rPr>
          <w:sz w:val="22"/>
        </w:rPr>
      </w:pPr>
    </w:p>
    <w:p>
      <w:pPr>
        <w:pStyle w:val="Heading2"/>
        <w:numPr>
          <w:ilvl w:val="2"/>
          <w:numId w:val="11"/>
        </w:numPr>
        <w:tabs>
          <w:tab w:pos="839" w:val="left" w:leader="none"/>
          <w:tab w:pos="841" w:val="left" w:leader="none"/>
        </w:tabs>
        <w:spacing w:line="240" w:lineRule="auto" w:before="0" w:after="0"/>
        <w:ind w:left="840" w:right="0" w:hanging="720"/>
        <w:jc w:val="left"/>
      </w:pPr>
      <w:bookmarkStart w:name="_TOC_250038" w:id="34"/>
      <w:r>
        <w:rPr>
          <w:spacing w:val="-3"/>
        </w:rPr>
        <w:t>冠状动脉搭桥术（或称冠状动脉旁路移植术</w:t>
      </w:r>
      <w:bookmarkEnd w:id="34"/>
      <w:r>
        <w:rPr/>
        <w:t>）</w:t>
      </w:r>
    </w:p>
    <w:p>
      <w:pPr>
        <w:pStyle w:val="BodyText"/>
        <w:rPr>
          <w:rFonts w:ascii="Microsoft JhengHei UI"/>
          <w:b/>
          <w:sz w:val="28"/>
        </w:rPr>
      </w:pPr>
    </w:p>
    <w:p>
      <w:pPr>
        <w:pStyle w:val="BodyText"/>
        <w:spacing w:before="1"/>
        <w:ind w:left="120"/>
      </w:pPr>
      <w:r>
        <w:rPr/>
        <w:t>指为治疗严重的冠心病，实际实施了开胸进行的冠状动脉血管旁路移植的手术。</w:t>
      </w:r>
    </w:p>
    <w:p>
      <w:pPr>
        <w:pStyle w:val="BodyText"/>
        <w:spacing w:line="408" w:lineRule="auto" w:before="193"/>
        <w:ind w:left="120" w:right="192"/>
      </w:pPr>
      <w:r>
        <w:rPr>
          <w:spacing w:val="-9"/>
        </w:rPr>
        <w:t>冠状动脉支架植入术、心导管球囊扩张术、激光射频技术及其他非开胸的介入手术、腔镜手</w:t>
      </w:r>
      <w:r>
        <w:rPr>
          <w:spacing w:val="-5"/>
        </w:rPr>
        <w:t>术不在保障范围内。</w:t>
      </w:r>
    </w:p>
    <w:p>
      <w:pPr>
        <w:pStyle w:val="BodyText"/>
        <w:spacing w:before="2"/>
        <w:rPr>
          <w:sz w:val="22"/>
        </w:rPr>
      </w:pPr>
    </w:p>
    <w:p>
      <w:pPr>
        <w:pStyle w:val="Heading2"/>
        <w:numPr>
          <w:ilvl w:val="2"/>
          <w:numId w:val="11"/>
        </w:numPr>
        <w:tabs>
          <w:tab w:pos="839" w:val="left" w:leader="none"/>
          <w:tab w:pos="841" w:val="left" w:leader="none"/>
        </w:tabs>
        <w:spacing w:line="240" w:lineRule="auto" w:before="1" w:after="0"/>
        <w:ind w:left="840" w:right="0" w:hanging="720"/>
        <w:jc w:val="left"/>
      </w:pPr>
      <w:bookmarkStart w:name="_TOC_250037" w:id="35"/>
      <w:r>
        <w:rPr>
          <w:spacing w:val="-2"/>
        </w:rPr>
        <w:t>终末期肾病</w:t>
      </w:r>
      <w:r>
        <w:rPr>
          <w:spacing w:val="-3"/>
        </w:rPr>
        <w:t>（或称慢性肾功能衰竭尿毒症期</w:t>
      </w:r>
      <w:bookmarkEnd w:id="35"/>
      <w:r>
        <w:rPr/>
        <w:t>）</w:t>
      </w:r>
    </w:p>
    <w:p>
      <w:pPr>
        <w:pStyle w:val="BodyText"/>
        <w:spacing w:before="1"/>
        <w:rPr>
          <w:rFonts w:ascii="Microsoft JhengHei UI"/>
          <w:b/>
          <w:sz w:val="28"/>
        </w:rPr>
      </w:pPr>
    </w:p>
    <w:p>
      <w:pPr>
        <w:pStyle w:val="BodyText"/>
        <w:spacing w:line="408" w:lineRule="auto"/>
        <w:ind w:left="120" w:right="192"/>
      </w:pPr>
      <w:r>
        <w:rPr>
          <w:spacing w:val="-6"/>
        </w:rPr>
        <w:t>指双肾功能慢性不可逆性衰竭，达到尿毒症期，经诊断后已经进行了至少 </w:t>
      </w:r>
      <w:r>
        <w:rPr/>
        <w:t>90</w:t>
      </w:r>
      <w:r>
        <w:rPr>
          <w:spacing w:val="-6"/>
        </w:rPr>
        <w:t> 天的规律性透</w:t>
      </w:r>
      <w:r>
        <w:rPr>
          <w:spacing w:val="-3"/>
        </w:rPr>
        <w:t>析治疗或实施了肾脏移植手术。</w:t>
      </w:r>
    </w:p>
    <w:p>
      <w:pPr>
        <w:pStyle w:val="BodyText"/>
        <w:spacing w:before="2"/>
        <w:rPr>
          <w:sz w:val="22"/>
        </w:rPr>
      </w:pPr>
    </w:p>
    <w:p>
      <w:pPr>
        <w:pStyle w:val="Heading2"/>
        <w:numPr>
          <w:ilvl w:val="2"/>
          <w:numId w:val="11"/>
        </w:numPr>
        <w:tabs>
          <w:tab w:pos="839" w:val="left" w:leader="none"/>
          <w:tab w:pos="841" w:val="left" w:leader="none"/>
        </w:tabs>
        <w:spacing w:line="240" w:lineRule="auto" w:before="0" w:after="0"/>
        <w:ind w:left="840" w:right="0" w:hanging="720"/>
        <w:jc w:val="left"/>
      </w:pPr>
      <w:bookmarkStart w:name="_TOC_250036" w:id="36"/>
      <w:bookmarkEnd w:id="36"/>
      <w:r>
        <w:rPr>
          <w:spacing w:val="-1"/>
        </w:rPr>
        <w:t>多个肢体缺失</w:t>
      </w:r>
    </w:p>
    <w:p>
      <w:pPr>
        <w:pStyle w:val="BodyText"/>
        <w:spacing w:before="1"/>
        <w:rPr>
          <w:rFonts w:ascii="Microsoft JhengHei UI"/>
          <w:b/>
          <w:sz w:val="28"/>
        </w:rPr>
      </w:pPr>
    </w:p>
    <w:p>
      <w:pPr>
        <w:pStyle w:val="BodyText"/>
        <w:spacing w:line="408" w:lineRule="auto"/>
        <w:ind w:left="120" w:right="192"/>
      </w:pPr>
      <w:r>
        <w:rPr>
          <w:spacing w:val="-6"/>
        </w:rPr>
        <w:t>指因疾病或意外伤害导致两个或两个以上肢体自腕关节或踝关节近端</w:t>
      </w:r>
      <w:r>
        <w:rPr>
          <w:spacing w:val="-3"/>
        </w:rPr>
        <w:t>（靠近躯干端</w:t>
      </w:r>
      <w:r>
        <w:rPr>
          <w:spacing w:val="-49"/>
        </w:rPr>
        <w:t>）</w:t>
      </w:r>
      <w:r>
        <w:rPr>
          <w:spacing w:val="-2"/>
        </w:rPr>
        <w:t>以上完全性断离。</w:t>
      </w:r>
    </w:p>
    <w:p>
      <w:pPr>
        <w:pStyle w:val="BodyText"/>
        <w:spacing w:before="3"/>
        <w:rPr>
          <w:sz w:val="22"/>
        </w:rPr>
      </w:pPr>
    </w:p>
    <w:p>
      <w:pPr>
        <w:pStyle w:val="Heading2"/>
        <w:numPr>
          <w:ilvl w:val="2"/>
          <w:numId w:val="11"/>
        </w:numPr>
        <w:tabs>
          <w:tab w:pos="839" w:val="left" w:leader="none"/>
          <w:tab w:pos="841" w:val="left" w:leader="none"/>
        </w:tabs>
        <w:spacing w:line="240" w:lineRule="auto" w:before="0" w:after="0"/>
        <w:ind w:left="840" w:right="0" w:hanging="720"/>
        <w:jc w:val="left"/>
      </w:pPr>
      <w:bookmarkStart w:name="_TOC_250035" w:id="37"/>
      <w:bookmarkEnd w:id="37"/>
      <w:r>
        <w:rPr>
          <w:spacing w:val="-3"/>
        </w:rPr>
        <w:t>急性或亚急性重症肝炎</w:t>
      </w:r>
    </w:p>
    <w:p>
      <w:pPr>
        <w:pStyle w:val="BodyText"/>
        <w:spacing w:before="1"/>
        <w:rPr>
          <w:rFonts w:ascii="Microsoft JhengHei UI"/>
          <w:b/>
          <w:sz w:val="28"/>
        </w:rPr>
      </w:pPr>
    </w:p>
    <w:p>
      <w:pPr>
        <w:pStyle w:val="BodyText"/>
        <w:ind w:left="120"/>
      </w:pPr>
      <w:r>
        <w:rPr/>
        <w:t>指因肝炎病毒感染引起肝脏组织弥漫性坏死，导致急性肝功能衰竭，且经血清学或病毒学检</w:t>
      </w:r>
    </w:p>
    <w:p>
      <w:pPr>
        <w:spacing w:after="0"/>
        <w:sectPr>
          <w:pgSz w:w="11910" w:h="16840"/>
          <w:pgMar w:header="0" w:footer="1045" w:top="1460" w:bottom="1240" w:left="1680" w:right="1600"/>
        </w:sectPr>
      </w:pPr>
    </w:p>
    <w:p>
      <w:pPr>
        <w:pStyle w:val="BodyText"/>
        <w:spacing w:before="34"/>
        <w:ind w:left="120"/>
        <w:jc w:val="both"/>
      </w:pPr>
      <w:r>
        <w:rPr/>
        <w:t>查证实，并须满足下列全部条件：</w:t>
      </w:r>
    </w:p>
    <w:p>
      <w:pPr>
        <w:pStyle w:val="BodyText"/>
        <w:spacing w:before="192"/>
        <w:ind w:left="120"/>
        <w:jc w:val="both"/>
      </w:pPr>
      <w:r>
        <w:rPr/>
        <w:t>（1）重度黄疸或黄疸迅速加重；</w:t>
      </w:r>
    </w:p>
    <w:p>
      <w:pPr>
        <w:pStyle w:val="BodyText"/>
        <w:spacing w:before="192"/>
        <w:ind w:left="120"/>
        <w:jc w:val="both"/>
      </w:pPr>
      <w:r>
        <w:rPr/>
        <w:t>（2）肝性脑病；</w:t>
      </w:r>
    </w:p>
    <w:p>
      <w:pPr>
        <w:pStyle w:val="BodyText"/>
        <w:spacing w:before="192"/>
        <w:ind w:left="120"/>
        <w:jc w:val="both"/>
      </w:pPr>
      <w:r>
        <w:rPr/>
        <w:t>（3）B 超或其他影像学检查显示肝脏体积急速萎缩；</w:t>
      </w:r>
    </w:p>
    <w:p>
      <w:pPr>
        <w:pStyle w:val="BodyText"/>
        <w:spacing w:before="192"/>
        <w:ind w:left="120"/>
        <w:jc w:val="both"/>
      </w:pPr>
      <w:r>
        <w:rPr/>
        <w:t>（4）肝功能指标进行性恶化。</w:t>
      </w:r>
    </w:p>
    <w:p>
      <w:pPr>
        <w:pStyle w:val="BodyText"/>
        <w:spacing w:before="5"/>
        <w:rPr>
          <w:sz w:val="33"/>
        </w:rPr>
      </w:pPr>
    </w:p>
    <w:p>
      <w:pPr>
        <w:pStyle w:val="Heading2"/>
        <w:numPr>
          <w:ilvl w:val="2"/>
          <w:numId w:val="11"/>
        </w:numPr>
        <w:tabs>
          <w:tab w:pos="841" w:val="left" w:leader="none"/>
        </w:tabs>
        <w:spacing w:line="240" w:lineRule="auto" w:before="1" w:after="0"/>
        <w:ind w:left="840" w:right="0" w:hanging="720"/>
        <w:jc w:val="both"/>
      </w:pPr>
      <w:bookmarkStart w:name="_TOC_250034" w:id="38"/>
      <w:bookmarkEnd w:id="38"/>
      <w:r>
        <w:rPr>
          <w:spacing w:val="-1"/>
        </w:rPr>
        <w:t>良性脑肿瘤</w:t>
      </w:r>
    </w:p>
    <w:p>
      <w:pPr>
        <w:pStyle w:val="BodyText"/>
        <w:spacing w:before="1"/>
        <w:rPr>
          <w:rFonts w:ascii="Microsoft JhengHei UI"/>
          <w:b/>
          <w:sz w:val="28"/>
        </w:rPr>
      </w:pPr>
    </w:p>
    <w:p>
      <w:pPr>
        <w:pStyle w:val="BodyText"/>
        <w:spacing w:line="408" w:lineRule="auto"/>
        <w:ind w:left="120" w:right="112"/>
        <w:jc w:val="both"/>
      </w:pPr>
      <w:r>
        <w:rPr>
          <w:spacing w:val="-10"/>
        </w:rPr>
        <w:t>指脑的良性肿瘤，已经引起颅内压增高，临床表现为视神经乳头水肿、精神症状、癫痫及运</w:t>
      </w:r>
      <w:r>
        <w:rPr>
          <w:spacing w:val="-6"/>
          <w:w w:val="100"/>
        </w:rPr>
        <w:t>动感觉障碍等，并危及生命。须由头颅断层扫描</w:t>
      </w:r>
      <w:r>
        <w:rPr>
          <w:w w:val="100"/>
        </w:rPr>
        <w:t>（</w:t>
      </w:r>
      <w:r>
        <w:rPr>
          <w:w w:val="125"/>
        </w:rPr>
        <w:t>C</w:t>
      </w:r>
      <w:r>
        <w:rPr>
          <w:spacing w:val="-3"/>
          <w:w w:val="125"/>
        </w:rPr>
        <w:t>T</w:t>
      </w:r>
      <w:r>
        <w:rPr>
          <w:spacing w:val="-106"/>
          <w:w w:val="100"/>
        </w:rPr>
        <w:t>）</w:t>
      </w:r>
      <w:r>
        <w:rPr>
          <w:spacing w:val="-4"/>
          <w:w w:val="100"/>
        </w:rPr>
        <w:t>、核磁共振检查</w:t>
      </w:r>
      <w:r>
        <w:rPr>
          <w:w w:val="100"/>
        </w:rPr>
        <w:t>（</w:t>
      </w:r>
      <w:r>
        <w:rPr>
          <w:w w:val="121"/>
        </w:rPr>
        <w:t>MR</w:t>
      </w:r>
      <w:r>
        <w:rPr>
          <w:spacing w:val="-4"/>
          <w:w w:val="121"/>
        </w:rPr>
        <w:t>I</w:t>
      </w:r>
      <w:r>
        <w:rPr>
          <w:w w:val="100"/>
        </w:rPr>
        <w:t>）</w:t>
      </w:r>
      <w:r>
        <w:rPr>
          <w:spacing w:val="-2"/>
          <w:w w:val="100"/>
        </w:rPr>
        <w:t>或正电子发</w:t>
      </w:r>
      <w:r>
        <w:rPr>
          <w:spacing w:val="-3"/>
        </w:rPr>
        <w:t>射断层扫描</w:t>
      </w:r>
      <w:r>
        <w:rPr>
          <w:spacing w:val="-2"/>
        </w:rPr>
        <w:t>（PET）</w:t>
      </w:r>
      <w:r>
        <w:rPr>
          <w:spacing w:val="-4"/>
        </w:rPr>
        <w:t>等影像学检查证实，并须满足下列至少一项条件：</w:t>
      </w:r>
    </w:p>
    <w:p>
      <w:pPr>
        <w:pStyle w:val="BodyText"/>
        <w:spacing w:before="45"/>
        <w:ind w:left="120"/>
        <w:jc w:val="both"/>
      </w:pPr>
      <w:r>
        <w:rPr/>
        <w:t>（1）实际实施了开颅进行的脑肿瘤完全切除或部分切除的手术；</w:t>
      </w:r>
    </w:p>
    <w:p>
      <w:pPr>
        <w:pStyle w:val="BodyText"/>
        <w:spacing w:before="192"/>
        <w:ind w:left="120"/>
        <w:jc w:val="both"/>
      </w:pPr>
      <w:r>
        <w:rPr/>
        <w:t>（2）实际实施了对脑肿瘤进行的放射治疗。</w:t>
      </w:r>
    </w:p>
    <w:p>
      <w:pPr>
        <w:pStyle w:val="BodyText"/>
        <w:spacing w:before="192"/>
        <w:ind w:left="120"/>
        <w:jc w:val="both"/>
      </w:pPr>
      <w:r>
        <w:rPr/>
        <w:t>脑垂体瘤、脑囊肿、脑血管性疾病不在保障范围内。</w:t>
      </w:r>
    </w:p>
    <w:p>
      <w:pPr>
        <w:pStyle w:val="BodyText"/>
        <w:spacing w:before="5"/>
        <w:rPr>
          <w:sz w:val="33"/>
        </w:rPr>
      </w:pPr>
    </w:p>
    <w:p>
      <w:pPr>
        <w:pStyle w:val="Heading2"/>
        <w:numPr>
          <w:ilvl w:val="2"/>
          <w:numId w:val="11"/>
        </w:numPr>
        <w:tabs>
          <w:tab w:pos="841" w:val="left" w:leader="none"/>
        </w:tabs>
        <w:spacing w:line="240" w:lineRule="auto" w:before="0" w:after="0"/>
        <w:ind w:left="840" w:right="0" w:hanging="720"/>
        <w:jc w:val="both"/>
      </w:pPr>
      <w:bookmarkStart w:name="_TOC_250033" w:id="39"/>
      <w:bookmarkEnd w:id="39"/>
      <w:r>
        <w:rPr>
          <w:spacing w:val="-3"/>
        </w:rPr>
        <w:t>慢性肝功能衰竭失代偿期</w:t>
      </w:r>
    </w:p>
    <w:p>
      <w:pPr>
        <w:pStyle w:val="BodyText"/>
        <w:spacing w:before="1"/>
        <w:rPr>
          <w:rFonts w:ascii="Microsoft JhengHei UI"/>
          <w:b/>
          <w:sz w:val="28"/>
        </w:rPr>
      </w:pPr>
    </w:p>
    <w:p>
      <w:pPr>
        <w:pStyle w:val="BodyText"/>
        <w:ind w:left="120"/>
        <w:jc w:val="both"/>
      </w:pPr>
      <w:r>
        <w:rPr/>
        <w:t>指因慢性肝脏疾病导致肝功能衰竭。须满足下列全部条件：</w:t>
      </w:r>
    </w:p>
    <w:p>
      <w:pPr>
        <w:pStyle w:val="BodyText"/>
        <w:spacing w:before="193"/>
        <w:ind w:left="120"/>
        <w:jc w:val="both"/>
      </w:pPr>
      <w:r>
        <w:rPr/>
        <w:t>（1）持续性黄疸；</w:t>
      </w:r>
    </w:p>
    <w:p>
      <w:pPr>
        <w:pStyle w:val="BodyText"/>
        <w:spacing w:before="193"/>
        <w:ind w:left="120"/>
        <w:jc w:val="both"/>
      </w:pPr>
      <w:r>
        <w:rPr>
          <w:w w:val="95"/>
        </w:rPr>
        <w:t>（2）腹水；</w:t>
      </w:r>
    </w:p>
    <w:p>
      <w:pPr>
        <w:pStyle w:val="BodyText"/>
        <w:spacing w:before="193"/>
        <w:ind w:left="120"/>
        <w:jc w:val="both"/>
      </w:pPr>
      <w:r>
        <w:rPr/>
        <w:t>（3）肝性脑病；</w:t>
      </w:r>
    </w:p>
    <w:p>
      <w:pPr>
        <w:pStyle w:val="BodyText"/>
        <w:spacing w:line="408" w:lineRule="auto" w:before="193"/>
        <w:ind w:left="120" w:right="3280"/>
      </w:pPr>
      <w:r>
        <w:rPr/>
        <w:t>（4）充血性脾肿大伴脾功能亢进或食管胃底静脉曲张。因酗酒或药物滥用导致的肝功能衰竭不在保障范围内。</w:t>
      </w:r>
    </w:p>
    <w:p>
      <w:pPr>
        <w:pStyle w:val="BodyText"/>
        <w:spacing w:before="2"/>
        <w:rPr>
          <w:sz w:val="22"/>
        </w:rPr>
      </w:pPr>
    </w:p>
    <w:p>
      <w:pPr>
        <w:pStyle w:val="Heading2"/>
        <w:numPr>
          <w:ilvl w:val="2"/>
          <w:numId w:val="11"/>
        </w:numPr>
        <w:tabs>
          <w:tab w:pos="841" w:val="left" w:leader="none"/>
        </w:tabs>
        <w:spacing w:line="240" w:lineRule="auto" w:before="1" w:after="0"/>
        <w:ind w:left="840" w:right="0" w:hanging="720"/>
        <w:jc w:val="left"/>
      </w:pPr>
      <w:bookmarkStart w:name="_TOC_250032" w:id="40"/>
      <w:bookmarkEnd w:id="40"/>
      <w:r>
        <w:rPr>
          <w:spacing w:val="-3"/>
        </w:rPr>
        <w:t>脑炎后遗症或脑膜炎后遗症</w:t>
      </w:r>
    </w:p>
    <w:p>
      <w:pPr>
        <w:pStyle w:val="BodyText"/>
        <w:rPr>
          <w:rFonts w:ascii="Microsoft JhengHei UI"/>
          <w:b/>
          <w:sz w:val="23"/>
        </w:rPr>
      </w:pPr>
    </w:p>
    <w:p>
      <w:pPr>
        <w:pStyle w:val="BodyText"/>
        <w:spacing w:line="400" w:lineRule="auto" w:before="1"/>
        <w:ind w:left="120" w:right="112"/>
      </w:pPr>
      <w:r>
        <w:rPr>
          <w:spacing w:val="-7"/>
        </w:rPr>
        <w:t>指因患脑炎或脑膜炎导致的神经系统永久性的功能障碍。神经系统永久性的功能障碍，指疾</w:t>
      </w:r>
      <w:r>
        <w:rPr>
          <w:spacing w:val="-1"/>
        </w:rPr>
        <w:t>病确诊180</w:t>
      </w:r>
      <w:r>
        <w:rPr>
          <w:spacing w:val="-3"/>
        </w:rPr>
        <w:t>天后，仍遗留下列一种或一种以上障碍：</w:t>
      </w:r>
    </w:p>
    <w:p>
      <w:pPr>
        <w:pStyle w:val="BodyText"/>
        <w:spacing w:before="43"/>
        <w:ind w:left="120"/>
        <w:jc w:val="both"/>
      </w:pPr>
      <w:r>
        <w:rPr/>
        <w:t>（1）一肢或一肢以上肢体机能完全丧失；</w:t>
      </w:r>
    </w:p>
    <w:p>
      <w:pPr>
        <w:pStyle w:val="BodyText"/>
        <w:spacing w:before="183"/>
        <w:ind w:left="120"/>
        <w:jc w:val="both"/>
      </w:pPr>
      <w:r>
        <w:rPr/>
        <w:t>（2）语言能力或咀嚼吞咽能力完全丧失；</w:t>
      </w:r>
    </w:p>
    <w:p>
      <w:pPr>
        <w:pStyle w:val="BodyText"/>
        <w:spacing w:before="183"/>
        <w:ind w:left="120"/>
        <w:jc w:val="both"/>
      </w:pPr>
      <w:r>
        <w:rPr/>
        <w:t>（3）自主生活能力完全丧失，无法独立完成六项基本日常生活活动中的三项或三项以上。</w:t>
      </w:r>
    </w:p>
    <w:p>
      <w:pPr>
        <w:spacing w:after="0"/>
        <w:jc w:val="both"/>
        <w:sectPr>
          <w:pgSz w:w="11910" w:h="16840"/>
          <w:pgMar w:header="0" w:footer="1045" w:top="1440" w:bottom="1240" w:left="1680" w:right="1680"/>
        </w:sectPr>
      </w:pPr>
    </w:p>
    <w:p>
      <w:pPr>
        <w:pStyle w:val="Heading2"/>
        <w:numPr>
          <w:ilvl w:val="2"/>
          <w:numId w:val="11"/>
        </w:numPr>
        <w:tabs>
          <w:tab w:pos="841" w:val="left" w:leader="none"/>
        </w:tabs>
        <w:spacing w:line="240" w:lineRule="auto" w:before="0" w:after="0"/>
        <w:ind w:left="840" w:right="0" w:hanging="720"/>
        <w:jc w:val="left"/>
      </w:pPr>
      <w:bookmarkStart w:name="_TOC_250031" w:id="41"/>
      <w:bookmarkEnd w:id="41"/>
      <w:r>
        <w:rPr>
          <w:spacing w:val="-1"/>
        </w:rPr>
        <w:t>深度昏迷</w:t>
      </w:r>
    </w:p>
    <w:p>
      <w:pPr>
        <w:pStyle w:val="BodyText"/>
        <w:spacing w:before="1"/>
        <w:rPr>
          <w:rFonts w:ascii="Microsoft JhengHei UI"/>
          <w:b/>
          <w:sz w:val="28"/>
        </w:rPr>
      </w:pPr>
    </w:p>
    <w:p>
      <w:pPr>
        <w:pStyle w:val="BodyText"/>
        <w:spacing w:line="408" w:lineRule="auto"/>
        <w:ind w:left="120" w:right="192"/>
        <w:jc w:val="both"/>
      </w:pPr>
      <w:r>
        <w:rPr>
          <w:spacing w:val="-8"/>
        </w:rPr>
        <w:t>指因疾病或意外伤害导致意识丧失，对外界刺激和体内需求均无反应，昏迷程度按照格拉斯</w:t>
      </w:r>
      <w:r>
        <w:rPr>
          <w:spacing w:val="-9"/>
        </w:rPr>
        <w:t>哥昏迷分级</w:t>
      </w:r>
      <w:r>
        <w:rPr/>
        <w:t>（Glasgow</w:t>
      </w:r>
      <w:r>
        <w:rPr>
          <w:spacing w:val="-72"/>
        </w:rPr>
        <w:t> </w:t>
      </w:r>
      <w:r>
        <w:rPr/>
        <w:t>coma</w:t>
      </w:r>
      <w:r>
        <w:rPr>
          <w:spacing w:val="-72"/>
        </w:rPr>
        <w:t> </w:t>
      </w:r>
      <w:r>
        <w:rPr>
          <w:spacing w:val="-4"/>
        </w:rPr>
        <w:t>scale）</w:t>
      </w:r>
      <w:r>
        <w:rPr>
          <w:spacing w:val="-20"/>
        </w:rPr>
        <w:t>结果为 </w:t>
      </w:r>
      <w:r>
        <w:rPr/>
        <w:t>5</w:t>
      </w:r>
      <w:r>
        <w:rPr>
          <w:spacing w:val="-37"/>
        </w:rPr>
        <w:t> 分或 </w:t>
      </w:r>
      <w:r>
        <w:rPr/>
        <w:t>5</w:t>
      </w:r>
      <w:r>
        <w:rPr>
          <w:spacing w:val="-12"/>
        </w:rPr>
        <w:t> 分以下，且已经持续使用呼吸机及其他生</w:t>
      </w:r>
      <w:r>
        <w:rPr>
          <w:spacing w:val="-15"/>
        </w:rPr>
        <w:t>命维持系统 </w:t>
      </w:r>
      <w:r>
        <w:rPr/>
        <w:t>96</w:t>
      </w:r>
      <w:r>
        <w:rPr>
          <w:spacing w:val="-11"/>
        </w:rPr>
        <w:t> 小时以上。</w:t>
      </w:r>
    </w:p>
    <w:p>
      <w:pPr>
        <w:pStyle w:val="BodyText"/>
        <w:spacing w:before="46"/>
        <w:ind w:left="120"/>
      </w:pPr>
      <w:r>
        <w:rPr/>
        <w:t>因酗酒或药物滥用导致的深度昏迷不在保障范围内。</w:t>
      </w:r>
    </w:p>
    <w:p>
      <w:pPr>
        <w:pStyle w:val="BodyText"/>
        <w:spacing w:before="6"/>
        <w:rPr>
          <w:sz w:val="33"/>
        </w:rPr>
      </w:pPr>
    </w:p>
    <w:p>
      <w:pPr>
        <w:pStyle w:val="Heading2"/>
        <w:numPr>
          <w:ilvl w:val="2"/>
          <w:numId w:val="11"/>
        </w:numPr>
        <w:tabs>
          <w:tab w:pos="841" w:val="left" w:leader="none"/>
        </w:tabs>
        <w:spacing w:line="240" w:lineRule="auto" w:before="0" w:after="0"/>
        <w:ind w:left="840" w:right="0" w:hanging="720"/>
        <w:jc w:val="left"/>
      </w:pPr>
      <w:bookmarkStart w:name="_TOC_250030" w:id="42"/>
      <w:bookmarkEnd w:id="42"/>
      <w:r>
        <w:rPr>
          <w:spacing w:val="-1"/>
        </w:rPr>
        <w:t>双耳失聪</w:t>
      </w:r>
    </w:p>
    <w:p>
      <w:pPr>
        <w:pStyle w:val="BodyText"/>
        <w:spacing w:before="5"/>
        <w:rPr>
          <w:rFonts w:ascii="Microsoft JhengHei UI"/>
          <w:b/>
          <w:sz w:val="27"/>
        </w:rPr>
      </w:pPr>
    </w:p>
    <w:p>
      <w:pPr>
        <w:pStyle w:val="BodyText"/>
        <w:spacing w:line="403" w:lineRule="auto" w:before="1"/>
        <w:ind w:left="120" w:right="192"/>
        <w:jc w:val="both"/>
      </w:pPr>
      <w:r>
        <w:rPr>
          <w:spacing w:val="-3"/>
          <w:w w:val="100"/>
        </w:rPr>
        <w:t>指因疾病或意外伤害导致双耳听力</w:t>
      </w:r>
      <w:r>
        <w:rPr>
          <w:rFonts w:ascii="黑体" w:eastAsia="黑体" w:hint="eastAsia"/>
          <w:b/>
          <w:i/>
          <w:spacing w:val="-1"/>
          <w:w w:val="95"/>
          <w:sz w:val="22"/>
        </w:rPr>
        <w:t>永久不可逆</w:t>
      </w:r>
      <w:r>
        <w:rPr>
          <w:spacing w:val="-3"/>
          <w:w w:val="100"/>
        </w:rPr>
        <w:t>（</w:t>
      </w:r>
      <w:r>
        <w:rPr>
          <w:spacing w:val="-2"/>
          <w:w w:val="100"/>
        </w:rPr>
        <w:t>见释义</w:t>
      </w:r>
      <w:r>
        <w:rPr>
          <w:spacing w:val="-24"/>
        </w:rPr>
        <w:t> </w:t>
      </w:r>
      <w:r>
        <w:rPr>
          <w:spacing w:val="-1"/>
          <w:w w:val="94"/>
        </w:rPr>
        <w:t>10</w:t>
      </w:r>
      <w:r>
        <w:rPr>
          <w:spacing w:val="-1"/>
          <w:w w:val="44"/>
        </w:rPr>
        <w:t>.</w:t>
      </w:r>
      <w:r>
        <w:rPr>
          <w:spacing w:val="-1"/>
          <w:w w:val="94"/>
        </w:rPr>
        <w:t>17</w:t>
      </w:r>
      <w:r>
        <w:rPr>
          <w:spacing w:val="-3"/>
          <w:w w:val="100"/>
        </w:rPr>
        <w:t>）性丧失，在</w:t>
      </w:r>
      <w:r>
        <w:rPr>
          <w:spacing w:val="-24"/>
        </w:rPr>
        <w:t> </w:t>
      </w:r>
      <w:r>
        <w:rPr>
          <w:spacing w:val="-4"/>
          <w:w w:val="94"/>
        </w:rPr>
        <w:t>5</w:t>
      </w:r>
      <w:r>
        <w:rPr>
          <w:w w:val="94"/>
        </w:rPr>
        <w:t>00</w:t>
      </w:r>
      <w:r>
        <w:rPr>
          <w:spacing w:val="-25"/>
        </w:rPr>
        <w:t> </w:t>
      </w:r>
      <w:r>
        <w:rPr>
          <w:spacing w:val="-2"/>
          <w:w w:val="100"/>
        </w:rPr>
        <w:t>赫兹、</w:t>
      </w:r>
      <w:r>
        <w:rPr>
          <w:w w:val="94"/>
        </w:rPr>
        <w:t>1000</w:t>
      </w:r>
      <w:r>
        <w:rPr>
          <w:spacing w:val="-15"/>
        </w:rPr>
        <w:t>赫兹和 </w:t>
      </w:r>
      <w:r>
        <w:rPr/>
        <w:t>2000</w:t>
      </w:r>
      <w:r>
        <w:rPr>
          <w:spacing w:val="-14"/>
        </w:rPr>
        <w:t> 赫兹语音频率下，平均听阈大于 </w:t>
      </w:r>
      <w:r>
        <w:rPr/>
        <w:t>90</w:t>
      </w:r>
      <w:r>
        <w:rPr>
          <w:spacing w:val="-11"/>
        </w:rPr>
        <w:t> 分贝，且经纯音听力测试、声导抗检测或听</w:t>
      </w:r>
      <w:r>
        <w:rPr>
          <w:spacing w:val="-3"/>
        </w:rPr>
        <w:t>觉诱发电位检测等证实。</w:t>
      </w:r>
    </w:p>
    <w:p>
      <w:pPr>
        <w:pStyle w:val="BodyText"/>
        <w:spacing w:line="408" w:lineRule="auto" w:before="50"/>
        <w:ind w:left="120" w:right="192"/>
      </w:pPr>
      <w:r>
        <w:rPr>
          <w:spacing w:val="-8"/>
        </w:rPr>
        <w:t>本附加险合同仅对三周岁以上的被保险人予以理赔。先天性疾病所致的听力丧失不在本附加</w:t>
      </w:r>
      <w:r>
        <w:rPr>
          <w:spacing w:val="-3"/>
        </w:rPr>
        <w:t>险合同的保障范围内。</w:t>
      </w:r>
    </w:p>
    <w:p>
      <w:pPr>
        <w:pStyle w:val="BodyText"/>
        <w:spacing w:before="2"/>
        <w:rPr>
          <w:sz w:val="22"/>
        </w:rPr>
      </w:pPr>
    </w:p>
    <w:p>
      <w:pPr>
        <w:pStyle w:val="Heading2"/>
        <w:numPr>
          <w:ilvl w:val="2"/>
          <w:numId w:val="11"/>
        </w:numPr>
        <w:tabs>
          <w:tab w:pos="841" w:val="left" w:leader="none"/>
        </w:tabs>
        <w:spacing w:line="240" w:lineRule="auto" w:before="1" w:after="0"/>
        <w:ind w:left="840" w:right="0" w:hanging="720"/>
        <w:jc w:val="left"/>
      </w:pPr>
      <w:bookmarkStart w:name="_TOC_250029" w:id="43"/>
      <w:bookmarkEnd w:id="43"/>
      <w:r>
        <w:rPr>
          <w:spacing w:val="-1"/>
        </w:rPr>
        <w:t>双目失明</w:t>
      </w:r>
    </w:p>
    <w:p>
      <w:pPr>
        <w:pStyle w:val="BodyText"/>
        <w:spacing w:before="1"/>
        <w:rPr>
          <w:rFonts w:ascii="Microsoft JhengHei UI"/>
          <w:b/>
          <w:sz w:val="28"/>
        </w:rPr>
      </w:pPr>
    </w:p>
    <w:p>
      <w:pPr>
        <w:pStyle w:val="BodyText"/>
        <w:spacing w:line="408" w:lineRule="auto"/>
        <w:ind w:left="120" w:right="192"/>
      </w:pPr>
      <w:r>
        <w:rPr>
          <w:spacing w:val="-7"/>
        </w:rPr>
        <w:t>指因疾病或意外伤害导致双眼视力永久不可逆性丧失，双眼中较好眼须满足下列至少一项条件：</w:t>
      </w:r>
    </w:p>
    <w:p>
      <w:pPr>
        <w:pStyle w:val="BodyText"/>
        <w:spacing w:before="45"/>
        <w:ind w:left="120"/>
      </w:pPr>
      <w:r>
        <w:rPr/>
        <w:t>（1）眼球缺失或摘除；</w:t>
      </w:r>
    </w:p>
    <w:p>
      <w:pPr>
        <w:pStyle w:val="BodyText"/>
        <w:spacing w:before="192"/>
        <w:ind w:left="120"/>
      </w:pPr>
      <w:r>
        <w:rPr>
          <w:w w:val="100"/>
        </w:rPr>
        <w:t>（</w:t>
      </w:r>
      <w:r>
        <w:rPr>
          <w:spacing w:val="-1"/>
          <w:w w:val="94"/>
        </w:rPr>
        <w:t>2</w:t>
      </w:r>
      <w:r>
        <w:rPr>
          <w:w w:val="100"/>
        </w:rPr>
        <w:t>）</w:t>
      </w:r>
      <w:r>
        <w:rPr>
          <w:spacing w:val="-3"/>
          <w:w w:val="100"/>
        </w:rPr>
        <w:t>矫正视力低于</w:t>
      </w:r>
      <w:r>
        <w:rPr>
          <w:spacing w:val="-53"/>
        </w:rPr>
        <w:t> </w:t>
      </w:r>
      <w:r>
        <w:rPr>
          <w:w w:val="81"/>
        </w:rPr>
        <w:t>0.0</w:t>
      </w:r>
      <w:r>
        <w:rPr>
          <w:spacing w:val="-3"/>
          <w:w w:val="81"/>
        </w:rPr>
        <w:t>2</w:t>
      </w:r>
      <w:r>
        <w:rPr>
          <w:spacing w:val="-3"/>
          <w:w w:val="100"/>
        </w:rPr>
        <w:t>（</w:t>
      </w:r>
      <w:r>
        <w:rPr>
          <w:spacing w:val="-4"/>
          <w:w w:val="100"/>
        </w:rPr>
        <w:t>采用国际标准视力表，如果使用其他视力表应进行换算</w:t>
      </w:r>
      <w:r>
        <w:rPr>
          <w:spacing w:val="-108"/>
          <w:w w:val="100"/>
        </w:rPr>
        <w:t>）</w:t>
      </w:r>
      <w:r>
        <w:rPr>
          <w:w w:val="100"/>
        </w:rPr>
        <w:t>；</w:t>
      </w:r>
    </w:p>
    <w:p>
      <w:pPr>
        <w:pStyle w:val="BodyText"/>
        <w:spacing w:before="192"/>
        <w:ind w:left="120"/>
      </w:pPr>
      <w:r>
        <w:rPr/>
        <w:t>（3）视野半径小于 5 度。</w:t>
      </w:r>
    </w:p>
    <w:p>
      <w:pPr>
        <w:pStyle w:val="BodyText"/>
        <w:spacing w:line="408" w:lineRule="auto" w:before="192"/>
        <w:ind w:left="120" w:right="192"/>
      </w:pPr>
      <w:r>
        <w:rPr>
          <w:spacing w:val="-8"/>
        </w:rPr>
        <w:t>本附加险合同仅对三周岁以上的被保险人予以理赔。先天性疾病所致的视力丧失不在本附加</w:t>
      </w:r>
      <w:r>
        <w:rPr>
          <w:spacing w:val="-3"/>
        </w:rPr>
        <w:t>险合同的保障范围内。</w:t>
      </w:r>
    </w:p>
    <w:p>
      <w:pPr>
        <w:pStyle w:val="BodyText"/>
        <w:spacing w:before="2"/>
        <w:rPr>
          <w:sz w:val="22"/>
        </w:rPr>
      </w:pPr>
    </w:p>
    <w:p>
      <w:pPr>
        <w:pStyle w:val="Heading2"/>
        <w:numPr>
          <w:ilvl w:val="2"/>
          <w:numId w:val="11"/>
        </w:numPr>
        <w:tabs>
          <w:tab w:pos="841" w:val="left" w:leader="none"/>
        </w:tabs>
        <w:spacing w:line="240" w:lineRule="auto" w:before="0" w:after="0"/>
        <w:ind w:left="840" w:right="0" w:hanging="720"/>
        <w:jc w:val="left"/>
      </w:pPr>
      <w:bookmarkStart w:name="_TOC_250028" w:id="44"/>
      <w:bookmarkEnd w:id="44"/>
      <w:r>
        <w:rPr/>
        <w:t>瘫痪</w:t>
      </w:r>
    </w:p>
    <w:p>
      <w:pPr>
        <w:pStyle w:val="BodyText"/>
        <w:rPr>
          <w:rFonts w:ascii="Microsoft JhengHei UI"/>
          <w:b/>
          <w:sz w:val="28"/>
        </w:rPr>
      </w:pPr>
    </w:p>
    <w:p>
      <w:pPr>
        <w:pStyle w:val="BodyText"/>
        <w:spacing w:line="408" w:lineRule="auto" w:before="1"/>
        <w:ind w:left="120" w:right="98"/>
        <w:jc w:val="both"/>
      </w:pPr>
      <w:r>
        <w:rPr>
          <w:spacing w:val="-5"/>
        </w:rPr>
        <w:t>指因疾病或意外伤害导致两肢或两肢以上肢体机能永久完全丧失。肢体机能永久完全丧失， </w:t>
      </w:r>
      <w:r>
        <w:rPr>
          <w:spacing w:val="-12"/>
        </w:rPr>
        <w:t>指疾病确诊 </w:t>
      </w:r>
      <w:r>
        <w:rPr/>
        <w:t>180</w:t>
      </w:r>
      <w:r>
        <w:rPr>
          <w:spacing w:val="-13"/>
        </w:rPr>
        <w:t> 天后或意外伤害发生 </w:t>
      </w:r>
      <w:r>
        <w:rPr/>
        <w:t>180</w:t>
      </w:r>
      <w:r>
        <w:rPr>
          <w:spacing w:val="-9"/>
        </w:rPr>
        <w:t> 天后，每肢三大关节中的两大关节仍然完全僵硬， </w:t>
      </w:r>
      <w:r>
        <w:rPr>
          <w:spacing w:val="-5"/>
        </w:rPr>
        <w:t>或不能随意识活动。</w:t>
      </w:r>
    </w:p>
    <w:p>
      <w:pPr>
        <w:spacing w:after="0" w:line="408" w:lineRule="auto"/>
        <w:jc w:val="both"/>
        <w:sectPr>
          <w:pgSz w:w="11910" w:h="16840"/>
          <w:pgMar w:header="0" w:footer="1045" w:top="1460" w:bottom="1240" w:left="1680" w:right="1600"/>
        </w:sectPr>
      </w:pPr>
    </w:p>
    <w:p>
      <w:pPr>
        <w:pStyle w:val="Heading2"/>
        <w:numPr>
          <w:ilvl w:val="2"/>
          <w:numId w:val="11"/>
        </w:numPr>
        <w:tabs>
          <w:tab w:pos="841" w:val="left" w:leader="none"/>
        </w:tabs>
        <w:spacing w:line="240" w:lineRule="auto" w:before="0" w:after="0"/>
        <w:ind w:left="840" w:right="0" w:hanging="720"/>
        <w:jc w:val="left"/>
      </w:pPr>
      <w:bookmarkStart w:name="_TOC_250027" w:id="45"/>
      <w:bookmarkEnd w:id="45"/>
      <w:r>
        <w:rPr>
          <w:spacing w:val="-1"/>
        </w:rPr>
        <w:t>心脏瓣膜手术</w:t>
      </w:r>
    </w:p>
    <w:p>
      <w:pPr>
        <w:pStyle w:val="BodyText"/>
        <w:spacing w:before="1"/>
        <w:rPr>
          <w:rFonts w:ascii="Microsoft JhengHei UI"/>
          <w:b/>
          <w:sz w:val="28"/>
        </w:rPr>
      </w:pPr>
    </w:p>
    <w:p>
      <w:pPr>
        <w:pStyle w:val="BodyText"/>
        <w:ind w:left="120"/>
      </w:pPr>
      <w:r>
        <w:rPr/>
        <w:t>指为治疗心脏瓣膜疾病，实际实施了开胸进行的心脏瓣膜置换或修复的手术。</w:t>
      </w:r>
    </w:p>
    <w:p>
      <w:pPr>
        <w:pStyle w:val="BodyText"/>
        <w:spacing w:before="5"/>
        <w:rPr>
          <w:sz w:val="33"/>
        </w:rPr>
      </w:pPr>
    </w:p>
    <w:p>
      <w:pPr>
        <w:pStyle w:val="Heading2"/>
        <w:numPr>
          <w:ilvl w:val="2"/>
          <w:numId w:val="11"/>
        </w:numPr>
        <w:tabs>
          <w:tab w:pos="841" w:val="left" w:leader="none"/>
        </w:tabs>
        <w:spacing w:line="240" w:lineRule="auto" w:before="1" w:after="0"/>
        <w:ind w:left="840" w:right="0" w:hanging="720"/>
        <w:jc w:val="left"/>
      </w:pPr>
      <w:bookmarkStart w:name="_TOC_250026" w:id="46"/>
      <w:bookmarkEnd w:id="46"/>
      <w:r>
        <w:rPr>
          <w:spacing w:val="-2"/>
        </w:rPr>
        <w:t>严重阿尔茨海默病</w:t>
      </w:r>
    </w:p>
    <w:p>
      <w:pPr>
        <w:pStyle w:val="BodyText"/>
        <w:spacing w:before="1"/>
        <w:rPr>
          <w:rFonts w:ascii="Microsoft JhengHei UI"/>
          <w:b/>
          <w:sz w:val="28"/>
        </w:rPr>
      </w:pPr>
    </w:p>
    <w:p>
      <w:pPr>
        <w:pStyle w:val="BodyText"/>
        <w:spacing w:line="408" w:lineRule="auto"/>
        <w:ind w:left="120" w:right="106"/>
      </w:pPr>
      <w:r>
        <w:rPr>
          <w:spacing w:val="-16"/>
        </w:rPr>
        <w:t>指因大脑进行性、不可逆性改变导致智能严重衰退或丧失，临床表现为明显的认知能力障碍、</w:t>
      </w:r>
      <w:r>
        <w:rPr>
          <w:spacing w:val="-7"/>
          <w:w w:val="100"/>
        </w:rPr>
        <w:t>行为异常和社交能力减退，其日常生活必须持续受到他人监护。须从头颅断层扫描</w:t>
      </w:r>
      <w:r>
        <w:rPr>
          <w:w w:val="100"/>
        </w:rPr>
        <w:t>（</w:t>
      </w:r>
      <w:r>
        <w:rPr>
          <w:w w:val="125"/>
        </w:rPr>
        <w:t>C</w:t>
      </w:r>
      <w:r>
        <w:rPr>
          <w:spacing w:val="-3"/>
          <w:w w:val="125"/>
        </w:rPr>
        <w:t>T</w:t>
      </w:r>
      <w:r>
        <w:rPr>
          <w:spacing w:val="-108"/>
          <w:w w:val="100"/>
        </w:rPr>
        <w:t>）</w:t>
      </w:r>
      <w:r>
        <w:rPr>
          <w:w w:val="100"/>
        </w:rPr>
        <w:t>、</w:t>
      </w:r>
      <w:r>
        <w:rPr>
          <w:spacing w:val="-3"/>
        </w:rPr>
        <w:t>核磁共振检查</w:t>
      </w:r>
      <w:r>
        <w:rPr/>
        <w:t>（MRI）</w:t>
      </w:r>
      <w:r>
        <w:rPr>
          <w:spacing w:val="-4"/>
        </w:rPr>
        <w:t>或正电子发射断层扫描</w:t>
      </w:r>
      <w:r>
        <w:rPr/>
        <w:t>（PET）</w:t>
      </w:r>
      <w:r>
        <w:rPr>
          <w:spacing w:val="-5"/>
        </w:rPr>
        <w:t>等影像学检查证实，且自主生活能力 </w:t>
      </w:r>
      <w:r>
        <w:rPr>
          <w:spacing w:val="-4"/>
        </w:rPr>
        <w:t>完全丧失，无法独立完成六项基本日常生活活动中的三项或三项以上。</w:t>
      </w:r>
    </w:p>
    <w:p>
      <w:pPr>
        <w:pStyle w:val="BodyText"/>
        <w:spacing w:before="45"/>
        <w:ind w:left="120"/>
      </w:pPr>
      <w:r>
        <w:rPr/>
        <w:t>神经官能症和精神疾病不在保障范围内。</w:t>
      </w:r>
    </w:p>
    <w:p>
      <w:pPr>
        <w:pStyle w:val="BodyText"/>
        <w:spacing w:before="5"/>
        <w:rPr>
          <w:sz w:val="33"/>
        </w:rPr>
      </w:pPr>
    </w:p>
    <w:p>
      <w:pPr>
        <w:pStyle w:val="Heading2"/>
        <w:numPr>
          <w:ilvl w:val="2"/>
          <w:numId w:val="11"/>
        </w:numPr>
        <w:tabs>
          <w:tab w:pos="841" w:val="left" w:leader="none"/>
        </w:tabs>
        <w:spacing w:line="240" w:lineRule="auto" w:before="0" w:after="0"/>
        <w:ind w:left="840" w:right="0" w:hanging="720"/>
        <w:jc w:val="left"/>
      </w:pPr>
      <w:bookmarkStart w:name="_TOC_250025" w:id="47"/>
      <w:bookmarkEnd w:id="47"/>
      <w:r>
        <w:rPr>
          <w:spacing w:val="-1"/>
        </w:rPr>
        <w:t>严重脑损伤</w:t>
      </w:r>
    </w:p>
    <w:p>
      <w:pPr>
        <w:pStyle w:val="BodyText"/>
        <w:spacing w:before="1"/>
        <w:rPr>
          <w:rFonts w:ascii="Microsoft JhengHei UI"/>
          <w:b/>
          <w:sz w:val="28"/>
        </w:rPr>
      </w:pPr>
    </w:p>
    <w:p>
      <w:pPr>
        <w:pStyle w:val="BodyText"/>
        <w:spacing w:line="408" w:lineRule="auto"/>
        <w:ind w:left="120" w:right="140"/>
        <w:jc w:val="both"/>
      </w:pPr>
      <w:r>
        <w:rPr>
          <w:spacing w:val="-9"/>
        </w:rPr>
        <w:t>指因头部遭受机械性外力，引起脑重要部位损伤，导致神经系统永久性的功能障碍。须由头</w:t>
      </w:r>
      <w:r>
        <w:rPr>
          <w:spacing w:val="-9"/>
          <w:w w:val="100"/>
        </w:rPr>
        <w:t>颅断层扫描（</w:t>
      </w:r>
      <w:r>
        <w:rPr>
          <w:spacing w:val="-9"/>
          <w:w w:val="125"/>
        </w:rPr>
        <w:t>C</w:t>
      </w:r>
      <w:r>
        <w:rPr>
          <w:spacing w:val="-3"/>
          <w:w w:val="125"/>
        </w:rPr>
        <w:t>T</w:t>
      </w:r>
      <w:r>
        <w:rPr>
          <w:spacing w:val="-104"/>
          <w:w w:val="100"/>
        </w:rPr>
        <w:t>）</w:t>
      </w:r>
      <w:r>
        <w:rPr>
          <w:spacing w:val="-1"/>
          <w:w w:val="100"/>
        </w:rPr>
        <w:t>、核磁共振检查</w:t>
      </w:r>
      <w:r>
        <w:rPr>
          <w:w w:val="100"/>
        </w:rPr>
        <w:t>（</w:t>
      </w:r>
      <w:r>
        <w:rPr>
          <w:w w:val="121"/>
        </w:rPr>
        <w:t>MR</w:t>
      </w:r>
      <w:r>
        <w:rPr>
          <w:spacing w:val="-2"/>
          <w:w w:val="121"/>
        </w:rPr>
        <w:t>I</w:t>
      </w:r>
      <w:r>
        <w:rPr>
          <w:w w:val="100"/>
        </w:rPr>
        <w:t>）</w:t>
      </w:r>
      <w:r>
        <w:rPr>
          <w:spacing w:val="-1"/>
          <w:w w:val="100"/>
        </w:rPr>
        <w:t>或正电子发射断层扫描</w:t>
      </w:r>
      <w:r>
        <w:rPr>
          <w:spacing w:val="-3"/>
          <w:w w:val="100"/>
        </w:rPr>
        <w:t>（</w:t>
      </w:r>
      <w:r>
        <w:rPr>
          <w:w w:val="122"/>
        </w:rPr>
        <w:t>PE</w:t>
      </w:r>
      <w:r>
        <w:rPr>
          <w:spacing w:val="0"/>
          <w:w w:val="122"/>
        </w:rPr>
        <w:t>T</w:t>
      </w:r>
      <w:r>
        <w:rPr>
          <w:spacing w:val="-3"/>
          <w:w w:val="100"/>
        </w:rPr>
        <w:t>）</w:t>
      </w:r>
      <w:r>
        <w:rPr>
          <w:w w:val="100"/>
        </w:rPr>
        <w:t>等影像学检查证</w:t>
      </w:r>
      <w:r>
        <w:rPr>
          <w:spacing w:val="-5"/>
        </w:rPr>
        <w:t>实。神经性系统永久性的功能障碍，指脑损伤 </w:t>
      </w:r>
      <w:r>
        <w:rPr/>
        <w:t>180</w:t>
      </w:r>
      <w:r>
        <w:rPr>
          <w:spacing w:val="-7"/>
        </w:rPr>
        <w:t> 天后，仍遗留下列一种或一种以上障碍：</w:t>
      </w:r>
    </w:p>
    <w:p>
      <w:pPr>
        <w:pStyle w:val="BodyText"/>
        <w:spacing w:before="46"/>
        <w:ind w:left="120"/>
      </w:pPr>
      <w:r>
        <w:rPr/>
        <w:t>（1）一肢或一肢以上肢体机能完全丧失；</w:t>
      </w:r>
    </w:p>
    <w:p>
      <w:pPr>
        <w:pStyle w:val="BodyText"/>
        <w:spacing w:before="193"/>
        <w:ind w:left="120"/>
      </w:pPr>
      <w:r>
        <w:rPr/>
        <w:t>（2）语言能力或咀嚼吞咽能力完全丧失；</w:t>
      </w:r>
    </w:p>
    <w:p>
      <w:pPr>
        <w:pStyle w:val="BodyText"/>
        <w:spacing w:before="193"/>
        <w:ind w:left="120"/>
      </w:pPr>
      <w:r>
        <w:rPr/>
        <w:t>（3）自主生活能力完全丧失，无法独立完成六项基本日常生活活动中的三项或三项以上。</w:t>
      </w:r>
    </w:p>
    <w:p>
      <w:pPr>
        <w:pStyle w:val="BodyText"/>
        <w:spacing w:before="5"/>
        <w:rPr>
          <w:sz w:val="33"/>
        </w:rPr>
      </w:pPr>
    </w:p>
    <w:p>
      <w:pPr>
        <w:pStyle w:val="Heading2"/>
        <w:numPr>
          <w:ilvl w:val="2"/>
          <w:numId w:val="11"/>
        </w:numPr>
        <w:tabs>
          <w:tab w:pos="841" w:val="left" w:leader="none"/>
        </w:tabs>
        <w:spacing w:line="240" w:lineRule="auto" w:before="1" w:after="0"/>
        <w:ind w:left="840" w:right="0" w:hanging="720"/>
        <w:jc w:val="left"/>
      </w:pPr>
      <w:bookmarkStart w:name="_TOC_250024" w:id="48"/>
      <w:bookmarkEnd w:id="48"/>
      <w:r>
        <w:rPr>
          <w:spacing w:val="-1"/>
        </w:rPr>
        <w:t>严重帕金森病</w:t>
      </w:r>
    </w:p>
    <w:p>
      <w:pPr>
        <w:pStyle w:val="BodyText"/>
        <w:spacing w:before="1"/>
        <w:rPr>
          <w:rFonts w:ascii="Microsoft JhengHei UI"/>
          <w:b/>
          <w:sz w:val="28"/>
        </w:rPr>
      </w:pPr>
    </w:p>
    <w:p>
      <w:pPr>
        <w:pStyle w:val="BodyText"/>
        <w:spacing w:line="408" w:lineRule="auto"/>
        <w:ind w:left="120" w:right="212"/>
      </w:pPr>
      <w:r>
        <w:rPr>
          <w:spacing w:val="-8"/>
        </w:rPr>
        <w:t>是一种中枢神经系统的退行性疾病，临床表现为震颤麻痹、共济失调等。须满足下列全部条件：</w:t>
      </w:r>
    </w:p>
    <w:p>
      <w:pPr>
        <w:pStyle w:val="BodyText"/>
        <w:spacing w:before="45"/>
        <w:ind w:left="120"/>
      </w:pPr>
      <w:r>
        <w:rPr/>
        <w:t>（1）药物治疗无法控制病情；</w:t>
      </w:r>
    </w:p>
    <w:p>
      <w:pPr>
        <w:pStyle w:val="BodyText"/>
        <w:spacing w:line="408" w:lineRule="auto" w:before="192"/>
        <w:ind w:left="120" w:right="229"/>
      </w:pPr>
      <w:r>
        <w:rPr/>
        <w:t>（2）自主生活能力完全丧失，无法独立完成六项基本日常生活活动中的三项或三项以上。继发性帕金森综合症不在保障范围内。</w:t>
      </w:r>
    </w:p>
    <w:p>
      <w:pPr>
        <w:pStyle w:val="BodyText"/>
        <w:spacing w:before="2"/>
        <w:rPr>
          <w:sz w:val="22"/>
        </w:rPr>
      </w:pPr>
    </w:p>
    <w:p>
      <w:pPr>
        <w:pStyle w:val="Heading2"/>
        <w:numPr>
          <w:ilvl w:val="2"/>
          <w:numId w:val="11"/>
        </w:numPr>
        <w:tabs>
          <w:tab w:pos="841" w:val="left" w:leader="none"/>
        </w:tabs>
        <w:spacing w:line="240" w:lineRule="auto" w:before="0" w:after="0"/>
        <w:ind w:left="840" w:right="0" w:hanging="720"/>
        <w:jc w:val="left"/>
      </w:pPr>
      <w:bookmarkStart w:name="_TOC_250023" w:id="49"/>
      <w:r>
        <w:rPr>
          <w:spacing w:val="-6"/>
          <w:w w:val="105"/>
        </w:rPr>
        <w:t>严重 </w:t>
      </w:r>
      <w:r>
        <w:rPr>
          <w:w w:val="105"/>
        </w:rPr>
        <w:t>III</w:t>
      </w:r>
      <w:bookmarkEnd w:id="49"/>
      <w:r>
        <w:rPr>
          <w:spacing w:val="-6"/>
          <w:w w:val="105"/>
        </w:rPr>
        <w:t> 度烧伤</w:t>
      </w:r>
    </w:p>
    <w:p>
      <w:pPr>
        <w:pStyle w:val="BodyText"/>
        <w:rPr>
          <w:rFonts w:ascii="Microsoft JhengHei UI"/>
          <w:b/>
          <w:sz w:val="28"/>
        </w:rPr>
      </w:pPr>
    </w:p>
    <w:p>
      <w:pPr>
        <w:pStyle w:val="BodyText"/>
        <w:spacing w:line="408" w:lineRule="auto" w:before="1"/>
        <w:ind w:left="120" w:right="214"/>
      </w:pPr>
      <w:r>
        <w:rPr>
          <w:spacing w:val="-9"/>
        </w:rPr>
        <w:t>指烧伤程度为 </w:t>
      </w:r>
      <w:r>
        <w:rPr/>
        <w:t>III</w:t>
      </w:r>
      <w:r>
        <w:rPr>
          <w:spacing w:val="-21"/>
        </w:rPr>
        <w:t> 度，且 </w:t>
      </w:r>
      <w:r>
        <w:rPr/>
        <w:t>III</w:t>
      </w:r>
      <w:r>
        <w:rPr>
          <w:spacing w:val="-12"/>
        </w:rPr>
        <w:t> 度烧伤的面积达到全身体表面积的 </w:t>
      </w:r>
      <w:r>
        <w:rPr/>
        <w:t>20</w:t>
      </w:r>
      <w:r>
        <w:rPr>
          <w:spacing w:val="-15"/>
        </w:rPr>
        <w:t>%或 </w:t>
      </w:r>
      <w:r>
        <w:rPr/>
        <w:t>20</w:t>
      </w:r>
      <w:r>
        <w:rPr>
          <w:spacing w:val="-2"/>
        </w:rPr>
        <w:t>%以上。体表面积</w:t>
      </w:r>
      <w:r>
        <w:rPr>
          <w:spacing w:val="-3"/>
        </w:rPr>
        <w:t>根据《中国新九分法》计算。</w:t>
      </w:r>
    </w:p>
    <w:p>
      <w:pPr>
        <w:spacing w:after="0" w:line="408" w:lineRule="auto"/>
        <w:sectPr>
          <w:pgSz w:w="11910" w:h="16840"/>
          <w:pgMar w:header="0" w:footer="1045" w:top="1460" w:bottom="1240" w:left="1680" w:right="1580"/>
        </w:sectPr>
      </w:pPr>
    </w:p>
    <w:p>
      <w:pPr>
        <w:pStyle w:val="Heading2"/>
        <w:numPr>
          <w:ilvl w:val="2"/>
          <w:numId w:val="11"/>
        </w:numPr>
        <w:tabs>
          <w:tab w:pos="841" w:val="left" w:leader="none"/>
        </w:tabs>
        <w:spacing w:line="240" w:lineRule="auto" w:before="0" w:after="0"/>
        <w:ind w:left="840" w:right="0" w:hanging="720"/>
        <w:jc w:val="left"/>
      </w:pPr>
      <w:bookmarkStart w:name="_TOC_250022" w:id="50"/>
      <w:bookmarkEnd w:id="50"/>
      <w:r>
        <w:rPr>
          <w:spacing w:val="-3"/>
        </w:rPr>
        <w:t>严重原发性肺动脉高压</w:t>
      </w:r>
    </w:p>
    <w:p>
      <w:pPr>
        <w:pStyle w:val="BodyText"/>
        <w:spacing w:before="5"/>
        <w:rPr>
          <w:rFonts w:ascii="Microsoft JhengHei UI"/>
          <w:b/>
          <w:sz w:val="23"/>
        </w:rPr>
      </w:pPr>
    </w:p>
    <w:p>
      <w:pPr>
        <w:pStyle w:val="BodyText"/>
        <w:spacing w:line="273" w:lineRule="auto"/>
        <w:ind w:left="120" w:right="212"/>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t>IV</w:t>
      </w:r>
      <w:r>
        <w:rPr>
          <w:spacing w:val="-6"/>
        </w:rPr>
        <w:t> 级，且静息状态下肺</w:t>
      </w:r>
      <w:r>
        <w:rPr>
          <w:spacing w:val="-7"/>
          <w:w w:val="105"/>
        </w:rPr>
        <w:t>动脉平均压超过 </w:t>
      </w:r>
      <w:r>
        <w:rPr>
          <w:w w:val="105"/>
        </w:rPr>
        <w:t>30mmHg。</w:t>
      </w:r>
    </w:p>
    <w:p>
      <w:pPr>
        <w:pStyle w:val="BodyText"/>
        <w:spacing w:before="4"/>
        <w:rPr>
          <w:sz w:val="25"/>
        </w:rPr>
      </w:pPr>
    </w:p>
    <w:p>
      <w:pPr>
        <w:pStyle w:val="Heading2"/>
        <w:numPr>
          <w:ilvl w:val="2"/>
          <w:numId w:val="11"/>
        </w:numPr>
        <w:tabs>
          <w:tab w:pos="841" w:val="left" w:leader="none"/>
        </w:tabs>
        <w:spacing w:line="240" w:lineRule="auto" w:before="0" w:after="0"/>
        <w:ind w:left="840" w:right="0" w:hanging="720"/>
        <w:jc w:val="left"/>
      </w:pPr>
      <w:bookmarkStart w:name="_TOC_250021" w:id="51"/>
      <w:bookmarkEnd w:id="51"/>
      <w:r>
        <w:rPr>
          <w:spacing w:val="-2"/>
        </w:rPr>
        <w:t>严重运动神经元病</w:t>
      </w:r>
    </w:p>
    <w:p>
      <w:pPr>
        <w:pStyle w:val="BodyText"/>
        <w:spacing w:before="1"/>
        <w:rPr>
          <w:rFonts w:ascii="Microsoft JhengHei UI"/>
          <w:b/>
          <w:sz w:val="28"/>
        </w:rPr>
      </w:pPr>
    </w:p>
    <w:p>
      <w:pPr>
        <w:pStyle w:val="BodyText"/>
        <w:spacing w:line="408" w:lineRule="auto"/>
        <w:ind w:left="120" w:right="106"/>
      </w:pPr>
      <w:r>
        <w:rPr>
          <w:spacing w:val="-11"/>
        </w:rPr>
        <w:t>是一组中枢神经系统神经元的进行性变性疾病，包括进行性脊肌萎缩症、进行性延髓麻痹症、</w:t>
      </w:r>
      <w:r>
        <w:rPr>
          <w:spacing w:val="-12"/>
        </w:rPr>
        <w:t>原发性侧索硬化症、肌萎缩性侧索硬化症。须满足自主生活能力完全丧失，无法独立完成六</w:t>
      </w:r>
      <w:r>
        <w:rPr>
          <w:spacing w:val="-3"/>
        </w:rPr>
        <w:t>项基本日常生活活动中的三项或三项以上的条件。</w:t>
      </w:r>
    </w:p>
    <w:p>
      <w:pPr>
        <w:pStyle w:val="BodyText"/>
        <w:spacing w:before="2"/>
        <w:rPr>
          <w:sz w:val="22"/>
        </w:rPr>
      </w:pPr>
    </w:p>
    <w:p>
      <w:pPr>
        <w:pStyle w:val="Heading2"/>
        <w:numPr>
          <w:ilvl w:val="2"/>
          <w:numId w:val="11"/>
        </w:numPr>
        <w:tabs>
          <w:tab w:pos="841" w:val="left" w:leader="none"/>
        </w:tabs>
        <w:spacing w:line="240" w:lineRule="auto" w:before="1" w:after="0"/>
        <w:ind w:left="840" w:right="0" w:hanging="720"/>
        <w:jc w:val="left"/>
      </w:pPr>
      <w:bookmarkStart w:name="_TOC_250020" w:id="52"/>
      <w:bookmarkEnd w:id="52"/>
      <w:r>
        <w:rPr>
          <w:spacing w:val="-1"/>
        </w:rPr>
        <w:t>语言能力丧失</w:t>
      </w:r>
    </w:p>
    <w:p>
      <w:pPr>
        <w:pStyle w:val="BodyText"/>
        <w:spacing w:before="1"/>
        <w:rPr>
          <w:rFonts w:ascii="Microsoft JhengHei UI"/>
          <w:b/>
          <w:sz w:val="28"/>
        </w:rPr>
      </w:pPr>
    </w:p>
    <w:p>
      <w:pPr>
        <w:pStyle w:val="BodyText"/>
        <w:spacing w:line="408" w:lineRule="auto"/>
        <w:ind w:left="120" w:right="212"/>
      </w:pPr>
      <w:r>
        <w:rPr>
          <w:spacing w:val="-5"/>
        </w:rPr>
        <w:t>指因疾病或意外伤害导致完全丧失语言能力，经过积极治疗至少 </w:t>
      </w:r>
      <w:r>
        <w:rPr/>
        <w:t>12</w:t>
      </w:r>
      <w:r>
        <w:rPr>
          <w:spacing w:val="-11"/>
        </w:rPr>
        <w:t> 个月</w:t>
      </w:r>
      <w:r>
        <w:rPr/>
        <w:t>（</w:t>
      </w:r>
      <w:r>
        <w:rPr>
          <w:spacing w:val="-3"/>
        </w:rPr>
        <w:t>声带完全切除不</w:t>
      </w:r>
      <w:r>
        <w:rPr>
          <w:spacing w:val="-3"/>
          <w:w w:val="100"/>
        </w:rPr>
        <w:t>受此时间限制</w:t>
      </w:r>
      <w:r>
        <w:rPr>
          <w:spacing w:val="-108"/>
          <w:w w:val="100"/>
        </w:rPr>
        <w:t>）</w:t>
      </w:r>
      <w:r>
        <w:rPr>
          <w:spacing w:val="-3"/>
          <w:w w:val="100"/>
        </w:rPr>
        <w:t>，仍无法通过现有医疗手段恢复。</w:t>
      </w:r>
    </w:p>
    <w:p>
      <w:pPr>
        <w:pStyle w:val="BodyText"/>
        <w:spacing w:before="45"/>
        <w:ind w:left="120"/>
      </w:pPr>
      <w:r>
        <w:rPr/>
        <w:t>精神心理因素所致的语言能力丧失不在保障范围内。</w:t>
      </w:r>
    </w:p>
    <w:p>
      <w:pPr>
        <w:pStyle w:val="BodyText"/>
        <w:spacing w:line="408" w:lineRule="auto" w:before="192"/>
        <w:ind w:left="120" w:right="212"/>
      </w:pPr>
      <w:r>
        <w:rPr>
          <w:spacing w:val="-8"/>
        </w:rPr>
        <w:t>本附加险合同仅对三周岁以上的被保险人予以理赔。先天性失聪导致的语言能力丧失不在本</w:t>
      </w:r>
      <w:r>
        <w:rPr>
          <w:spacing w:val="-3"/>
        </w:rPr>
        <w:t>附加险合同的保障范围内。</w:t>
      </w:r>
    </w:p>
    <w:p>
      <w:pPr>
        <w:pStyle w:val="BodyText"/>
        <w:rPr>
          <w:sz w:val="26"/>
        </w:rPr>
      </w:pPr>
    </w:p>
    <w:p>
      <w:pPr>
        <w:pStyle w:val="BodyText"/>
        <w:spacing w:before="12"/>
        <w:rPr>
          <w:sz w:val="31"/>
        </w:rPr>
      </w:pPr>
    </w:p>
    <w:p>
      <w:pPr>
        <w:pStyle w:val="Heading2"/>
        <w:numPr>
          <w:ilvl w:val="2"/>
          <w:numId w:val="11"/>
        </w:numPr>
        <w:tabs>
          <w:tab w:pos="841" w:val="left" w:leader="none"/>
        </w:tabs>
        <w:spacing w:line="240" w:lineRule="auto" w:before="0" w:after="0"/>
        <w:ind w:left="840" w:right="0" w:hanging="720"/>
        <w:jc w:val="left"/>
      </w:pPr>
      <w:bookmarkStart w:name="_TOC_250019" w:id="53"/>
      <w:bookmarkEnd w:id="53"/>
      <w:r>
        <w:rPr>
          <w:spacing w:val="-3"/>
        </w:rPr>
        <w:t>重型再生障碍性贫血</w:t>
      </w:r>
    </w:p>
    <w:p>
      <w:pPr>
        <w:pStyle w:val="BodyText"/>
        <w:spacing w:before="1"/>
        <w:rPr>
          <w:rFonts w:ascii="Microsoft JhengHei UI"/>
          <w:b/>
          <w:sz w:val="28"/>
        </w:rPr>
      </w:pPr>
    </w:p>
    <w:p>
      <w:pPr>
        <w:pStyle w:val="BodyText"/>
        <w:spacing w:line="408" w:lineRule="auto"/>
        <w:ind w:left="120" w:right="212"/>
      </w:pPr>
      <w:r>
        <w:rPr>
          <w:spacing w:val="-8"/>
        </w:rPr>
        <w:t>指因骨髓造血功能慢性持续性衰竭导致的贫血、中性粒细胞减少及血小板减少。须满足下列</w:t>
      </w:r>
      <w:r>
        <w:rPr>
          <w:spacing w:val="-2"/>
        </w:rPr>
        <w:t>全部条件：</w:t>
      </w:r>
    </w:p>
    <w:p>
      <w:pPr>
        <w:pStyle w:val="BodyText"/>
        <w:spacing w:before="46"/>
        <w:ind w:left="120"/>
      </w:pPr>
      <w:r>
        <w:rPr/>
        <w:t>（1）骨髓穿刺检查或骨髓活检结果支持诊断；</w:t>
      </w:r>
    </w:p>
    <w:p>
      <w:pPr>
        <w:pStyle w:val="BodyText"/>
        <w:spacing w:before="193"/>
        <w:ind w:left="120"/>
      </w:pPr>
      <w:r>
        <w:rPr/>
        <w:t>（2）外周血象须具备以下三项条件：</w:t>
      </w:r>
    </w:p>
    <w:p>
      <w:pPr>
        <w:pStyle w:val="BodyText"/>
        <w:spacing w:before="2"/>
      </w:pPr>
    </w:p>
    <w:p>
      <w:pPr>
        <w:spacing w:line="396" w:lineRule="auto" w:before="1"/>
        <w:ind w:left="960" w:right="4412" w:firstLine="0"/>
        <w:jc w:val="left"/>
        <w:rPr>
          <w:sz w:val="21"/>
        </w:rPr>
      </w:pPr>
      <w:r>
        <w:rPr>
          <w:sz w:val="21"/>
        </w:rPr>
        <w:t>中性粒细胞绝对值</w:t>
      </w:r>
      <w:r>
        <w:rPr>
          <w:rFonts w:ascii="Segoe UI Symbol" w:hAnsi="Segoe UI Symbol" w:eastAsia="Segoe UI Symbol"/>
          <w:sz w:val="24"/>
        </w:rPr>
        <w:t></w:t>
      </w:r>
      <w:r>
        <w:rPr>
          <w:rFonts w:ascii="Segoe UI Symbol" w:hAnsi="Segoe UI Symbol" w:eastAsia="Segoe UI Symbol"/>
          <w:spacing w:val="-24"/>
          <w:sz w:val="24"/>
        </w:rPr>
        <w:t> </w:t>
      </w:r>
      <w:r>
        <w:rPr>
          <w:rFonts w:ascii="Times New Roman" w:hAnsi="Times New Roman" w:eastAsia="Times New Roman"/>
          <w:sz w:val="24"/>
        </w:rPr>
        <w:t>0.5</w:t>
      </w:r>
      <w:r>
        <w:rPr>
          <w:rFonts w:ascii="Times New Roman" w:hAnsi="Times New Roman" w:eastAsia="Times New Roman"/>
          <w:spacing w:val="-41"/>
          <w:sz w:val="24"/>
        </w:rPr>
        <w:t> </w:t>
      </w:r>
      <w:r>
        <w:rPr>
          <w:rFonts w:ascii="Segoe UI Symbol" w:hAnsi="Segoe UI Symbol" w:eastAsia="Segoe UI Symbol"/>
          <w:spacing w:val="5"/>
          <w:sz w:val="24"/>
        </w:rPr>
        <w:t></w:t>
      </w:r>
      <w:r>
        <w:rPr>
          <w:rFonts w:ascii="Times New Roman" w:hAnsi="Times New Roman" w:eastAsia="Times New Roman"/>
          <w:spacing w:val="5"/>
          <w:sz w:val="24"/>
        </w:rPr>
        <w:t>10</w:t>
      </w:r>
      <w:r>
        <w:rPr>
          <w:rFonts w:ascii="Times New Roman" w:hAnsi="Times New Roman" w:eastAsia="Times New Roman"/>
          <w:spacing w:val="5"/>
          <w:position w:val="11"/>
          <w:sz w:val="14"/>
        </w:rPr>
        <w:t>9</w:t>
      </w:r>
      <w:r>
        <w:rPr>
          <w:rFonts w:ascii="Times New Roman" w:hAnsi="Times New Roman" w:eastAsia="Times New Roman"/>
          <w:spacing w:val="-6"/>
          <w:position w:val="11"/>
          <w:sz w:val="14"/>
        </w:rPr>
        <w:t> </w:t>
      </w:r>
      <w:r>
        <w:rPr>
          <w:rFonts w:ascii="Times New Roman" w:hAnsi="Times New Roman" w:eastAsia="Times New Roman"/>
          <w:sz w:val="24"/>
        </w:rPr>
        <w:t>/</w:t>
      </w:r>
      <w:r>
        <w:rPr>
          <w:rFonts w:ascii="Times New Roman" w:hAnsi="Times New Roman" w:eastAsia="Times New Roman"/>
          <w:spacing w:val="-25"/>
          <w:sz w:val="24"/>
        </w:rPr>
        <w:t> </w:t>
      </w:r>
      <w:r>
        <w:rPr>
          <w:rFonts w:ascii="Times New Roman" w:hAnsi="Times New Roman" w:eastAsia="Times New Roman"/>
          <w:i/>
          <w:sz w:val="24"/>
        </w:rPr>
        <w:t>L</w:t>
      </w:r>
      <w:r>
        <w:rPr>
          <w:rFonts w:ascii="Times New Roman" w:hAnsi="Times New Roman" w:eastAsia="Times New Roman"/>
          <w:i/>
          <w:spacing w:val="-28"/>
          <w:sz w:val="24"/>
        </w:rPr>
        <w:t> </w:t>
      </w:r>
      <w:r>
        <w:rPr>
          <w:spacing w:val="-113"/>
          <w:sz w:val="21"/>
        </w:rPr>
        <w:t>；</w:t>
      </w:r>
      <w:r>
        <w:rPr>
          <w:spacing w:val="-103"/>
          <w:sz w:val="21"/>
        </w:rPr>
        <w:t> </w:t>
      </w:r>
      <w:r>
        <w:rPr>
          <w:spacing w:val="3"/>
          <w:sz w:val="21"/>
        </w:rPr>
        <w:t>网织红细胞</w:t>
      </w:r>
      <w:r>
        <w:rPr>
          <w:rFonts w:ascii="Segoe UI Symbol" w:hAnsi="Segoe UI Symbol" w:eastAsia="Segoe UI Symbol"/>
          <w:sz w:val="24"/>
        </w:rPr>
        <w:t></w:t>
      </w:r>
      <w:r>
        <w:rPr>
          <w:rFonts w:ascii="Segoe UI Symbol" w:hAnsi="Segoe UI Symbol" w:eastAsia="Segoe UI Symbol"/>
          <w:spacing w:val="-45"/>
          <w:sz w:val="24"/>
        </w:rPr>
        <w:t> </w:t>
      </w:r>
      <w:r>
        <w:rPr>
          <w:rFonts w:ascii="Times New Roman" w:hAnsi="Times New Roman" w:eastAsia="Times New Roman"/>
          <w:sz w:val="24"/>
        </w:rPr>
        <w:t>1%</w:t>
      </w:r>
      <w:r>
        <w:rPr>
          <w:rFonts w:ascii="Times New Roman" w:hAnsi="Times New Roman" w:eastAsia="Times New Roman"/>
          <w:spacing w:val="-38"/>
          <w:sz w:val="24"/>
        </w:rPr>
        <w:t> </w:t>
      </w:r>
      <w:r>
        <w:rPr>
          <w:sz w:val="21"/>
        </w:rPr>
        <w:t>；</w:t>
      </w:r>
    </w:p>
    <w:p>
      <w:pPr>
        <w:spacing w:before="39"/>
        <w:ind w:left="960" w:right="0" w:firstLine="0"/>
        <w:jc w:val="left"/>
        <w:rPr>
          <w:rFonts w:ascii="Times New Roman" w:hAnsi="Times New Roman" w:eastAsia="Times New Roman"/>
          <w:i/>
          <w:sz w:val="24"/>
        </w:rPr>
      </w:pPr>
      <w:r>
        <w:rPr>
          <w:sz w:val="21"/>
        </w:rPr>
        <w:t>血小板绝对值</w:t>
      </w:r>
      <w:r>
        <w:rPr>
          <w:rFonts w:ascii="Segoe UI Symbol" w:hAnsi="Segoe UI Symbol" w:eastAsia="Segoe UI Symbol"/>
          <w:sz w:val="24"/>
        </w:rPr>
        <w:t> </w:t>
      </w:r>
      <w:r>
        <w:rPr>
          <w:rFonts w:ascii="Times New Roman" w:hAnsi="Times New Roman" w:eastAsia="Times New Roman"/>
          <w:sz w:val="24"/>
        </w:rPr>
        <w:t>20 </w:t>
      </w:r>
      <w:r>
        <w:rPr>
          <w:rFonts w:ascii="Segoe UI Symbol" w:hAnsi="Segoe UI Symbol" w:eastAsia="Segoe UI Symbol"/>
          <w:sz w:val="24"/>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4"/>
        </w:rPr>
        <w:t>/ </w:t>
      </w:r>
      <w:r>
        <w:rPr>
          <w:rFonts w:ascii="Times New Roman" w:hAnsi="Times New Roman" w:eastAsia="Times New Roman"/>
          <w:i/>
          <w:sz w:val="24"/>
        </w:rPr>
        <w:t>L</w:t>
      </w:r>
    </w:p>
    <w:p>
      <w:pPr>
        <w:spacing w:after="0"/>
        <w:jc w:val="left"/>
        <w:rPr>
          <w:rFonts w:ascii="Times New Roman" w:hAnsi="Times New Roman" w:eastAsia="Times New Roman"/>
          <w:sz w:val="24"/>
        </w:rPr>
        <w:sectPr>
          <w:pgSz w:w="11910" w:h="16840"/>
          <w:pgMar w:header="0" w:footer="1045" w:top="1460" w:bottom="1240" w:left="1680" w:right="1580"/>
        </w:sectPr>
      </w:pPr>
    </w:p>
    <w:p>
      <w:pPr>
        <w:pStyle w:val="Heading2"/>
        <w:numPr>
          <w:ilvl w:val="2"/>
          <w:numId w:val="11"/>
        </w:numPr>
        <w:tabs>
          <w:tab w:pos="841" w:val="left" w:leader="none"/>
        </w:tabs>
        <w:spacing w:line="240" w:lineRule="auto" w:before="0" w:after="0"/>
        <w:ind w:left="840" w:right="0" w:hanging="720"/>
        <w:jc w:val="left"/>
      </w:pPr>
      <w:bookmarkStart w:name="_TOC_250018" w:id="54"/>
      <w:bookmarkEnd w:id="54"/>
      <w:r>
        <w:rPr>
          <w:spacing w:val="-1"/>
        </w:rPr>
        <w:t>主动脉手术</w:t>
      </w:r>
    </w:p>
    <w:p>
      <w:pPr>
        <w:pStyle w:val="BodyText"/>
        <w:spacing w:before="1"/>
        <w:rPr>
          <w:rFonts w:ascii="Microsoft JhengHei UI"/>
          <w:b/>
          <w:sz w:val="28"/>
        </w:rPr>
      </w:pPr>
    </w:p>
    <w:p>
      <w:pPr>
        <w:pStyle w:val="BodyText"/>
        <w:spacing w:line="408" w:lineRule="auto"/>
        <w:ind w:left="120" w:right="112"/>
      </w:pPr>
      <w:r>
        <w:rPr>
          <w:spacing w:val="-9"/>
        </w:rPr>
        <w:t>指为治疗主动脉疾病，实际实施了开胸或开腹进行的切除、置换、修补病损主动脉血管的手</w:t>
      </w:r>
      <w:r>
        <w:rPr>
          <w:spacing w:val="-7"/>
        </w:rPr>
        <w:t>术。主动脉指胸主动脉和腹主动脉，不包括胸主动脉和腹主动脉的分支血管。</w:t>
      </w:r>
    </w:p>
    <w:p>
      <w:pPr>
        <w:pStyle w:val="BodyText"/>
        <w:spacing w:before="46"/>
        <w:ind w:left="120"/>
      </w:pPr>
      <w:r>
        <w:rPr/>
        <w:t>动脉内血管成形术不在保障范围内。</w:t>
      </w:r>
    </w:p>
    <w:p>
      <w:pPr>
        <w:pStyle w:val="BodyText"/>
        <w:spacing w:before="6"/>
        <w:rPr>
          <w:sz w:val="33"/>
        </w:rPr>
      </w:pPr>
    </w:p>
    <w:p>
      <w:pPr>
        <w:pStyle w:val="Heading2"/>
        <w:numPr>
          <w:ilvl w:val="2"/>
          <w:numId w:val="11"/>
        </w:numPr>
        <w:tabs>
          <w:tab w:pos="841" w:val="left" w:leader="none"/>
        </w:tabs>
        <w:spacing w:line="240" w:lineRule="auto" w:before="0" w:after="0"/>
        <w:ind w:left="840" w:right="0" w:hanging="720"/>
        <w:jc w:val="left"/>
      </w:pPr>
      <w:bookmarkStart w:name="_TOC_250017" w:id="55"/>
      <w:r>
        <w:rPr>
          <w:spacing w:val="0"/>
        </w:rPr>
        <w:t>系统性红斑狼疮  －  </w:t>
      </w:r>
      <w:r>
        <w:rPr/>
        <w:t>III</w:t>
      </w:r>
      <w:bookmarkEnd w:id="55"/>
      <w:r>
        <w:rPr>
          <w:spacing w:val="-1"/>
        </w:rPr>
        <w:t> 型或以上狼疮性肾炎</w:t>
      </w:r>
    </w:p>
    <w:p>
      <w:pPr>
        <w:pStyle w:val="BodyText"/>
        <w:spacing w:before="1"/>
        <w:rPr>
          <w:rFonts w:ascii="Microsoft JhengHei UI"/>
          <w:b/>
          <w:sz w:val="28"/>
        </w:rPr>
      </w:pPr>
    </w:p>
    <w:p>
      <w:pPr>
        <w:pStyle w:val="BodyText"/>
        <w:spacing w:line="408" w:lineRule="auto"/>
        <w:ind w:left="120" w:right="112"/>
      </w:pPr>
      <w:r>
        <w:rPr>
          <w:spacing w:val="-8"/>
        </w:rPr>
        <w:t>系统性红斑狼疮是由多种因素引起，累及多系统的自身免疫性疾病。其特点是生成自身抗体</w:t>
      </w:r>
      <w:r>
        <w:rPr>
          <w:spacing w:val="-5"/>
        </w:rPr>
        <w:t>对抗多种自身抗原。多见于育龄妇女。</w:t>
      </w:r>
    </w:p>
    <w:p>
      <w:pPr>
        <w:pStyle w:val="BodyText"/>
        <w:spacing w:line="408" w:lineRule="auto" w:before="46"/>
        <w:ind w:left="120" w:right="114"/>
        <w:jc w:val="both"/>
      </w:pPr>
      <w:r>
        <w:rPr>
          <w:spacing w:val="-5"/>
        </w:rPr>
        <w:t>本保单所指的系统性红斑狼疮仅限于累及肾脏</w:t>
      </w:r>
      <w:r>
        <w:rPr>
          <w:spacing w:val="-3"/>
        </w:rPr>
        <w:t>（</w:t>
      </w:r>
      <w:r>
        <w:rPr>
          <w:spacing w:val="-9"/>
        </w:rPr>
        <w:t>经肾脏活检确认的，符合 </w:t>
      </w:r>
      <w:r>
        <w:rPr>
          <w:w w:val="145"/>
        </w:rPr>
        <w:t>WHO</w:t>
      </w:r>
      <w:r>
        <w:rPr>
          <w:spacing w:val="-61"/>
          <w:w w:val="145"/>
        </w:rPr>
        <w:t> </w:t>
      </w:r>
      <w:r>
        <w:rPr>
          <w:spacing w:val="-2"/>
        </w:rPr>
        <w:t>诊断标准定</w:t>
      </w:r>
      <w:r>
        <w:rPr>
          <w:spacing w:val="-31"/>
        </w:rPr>
        <w:t>义 </w:t>
      </w:r>
      <w:r>
        <w:rPr/>
        <w:t>III</w:t>
      </w:r>
      <w:r>
        <w:rPr>
          <w:spacing w:val="-5"/>
        </w:rPr>
        <w:t> 型至</w:t>
      </w:r>
      <w:r>
        <w:rPr>
          <w:w w:val="115"/>
        </w:rPr>
        <w:t>V</w:t>
      </w:r>
      <w:r>
        <w:rPr>
          <w:spacing w:val="-75"/>
          <w:w w:val="115"/>
        </w:rPr>
        <w:t> </w:t>
      </w:r>
      <w:r>
        <w:rPr>
          <w:spacing w:val="-3"/>
        </w:rPr>
        <w:t>型狼疮性肾炎</w:t>
      </w:r>
      <w:r>
        <w:rPr>
          <w:spacing w:val="-13"/>
        </w:rPr>
        <w:t>）</w:t>
      </w:r>
      <w:r>
        <w:rPr>
          <w:spacing w:val="-7"/>
        </w:rPr>
        <w:t>的系统性红斑狼疮。其他类型的红斑性狼疮，如盘状狼疮、仅</w:t>
      </w:r>
      <w:r>
        <w:rPr>
          <w:spacing w:val="-5"/>
        </w:rPr>
        <w:t>累及血液及关节的狼疮不在本保单保障范围內。</w:t>
      </w:r>
    </w:p>
    <w:p>
      <w:pPr>
        <w:pStyle w:val="BodyText"/>
        <w:spacing w:line="400" w:lineRule="auto" w:before="34"/>
        <w:ind w:left="120" w:right="3093"/>
      </w:pPr>
      <w:r>
        <w:rPr>
          <w:spacing w:val="-3"/>
          <w:w w:val="100"/>
        </w:rPr>
        <w:t>本病必须由免疫和风湿科</w:t>
      </w:r>
      <w:r>
        <w:rPr>
          <w:rFonts w:ascii="黑体" w:eastAsia="黑体" w:hint="eastAsia"/>
          <w:b/>
          <w:i/>
          <w:w w:val="95"/>
          <w:sz w:val="22"/>
        </w:rPr>
        <w:t>专科医T</w:t>
      </w:r>
      <w:r>
        <w:rPr>
          <w:rFonts w:ascii="黑体" w:eastAsia="黑体" w:hint="eastAsia"/>
          <w:b/>
          <w:i/>
          <w:spacing w:val="-1"/>
          <w:w w:val="95"/>
          <w:sz w:val="22"/>
        </w:rPr>
        <w:t>h</w:t>
      </w:r>
      <w:r>
        <w:rPr>
          <w:spacing w:val="-3"/>
          <w:w w:val="100"/>
        </w:rPr>
        <w:t>（</w:t>
      </w:r>
      <w:r>
        <w:rPr>
          <w:spacing w:val="-2"/>
          <w:w w:val="100"/>
        </w:rPr>
        <w:t>见释义</w:t>
      </w:r>
      <w:r>
        <w:rPr>
          <w:spacing w:val="-53"/>
        </w:rPr>
        <w:t> </w:t>
      </w:r>
      <w:r>
        <w:rPr>
          <w:spacing w:val="-1"/>
          <w:w w:val="94"/>
        </w:rPr>
        <w:t>10</w:t>
      </w:r>
      <w:r>
        <w:rPr>
          <w:spacing w:val="-1"/>
          <w:w w:val="44"/>
        </w:rPr>
        <w:t>.</w:t>
      </w:r>
      <w:r>
        <w:rPr>
          <w:spacing w:val="-1"/>
          <w:w w:val="94"/>
        </w:rPr>
        <w:t>18</w:t>
      </w:r>
      <w:r>
        <w:rPr>
          <w:spacing w:val="-3"/>
          <w:w w:val="100"/>
        </w:rPr>
        <w:t>）</w:t>
      </w:r>
      <w:r>
        <w:rPr>
          <w:w w:val="100"/>
        </w:rPr>
        <w:t>确诊。</w:t>
      </w:r>
      <w:r>
        <w:rPr>
          <w:spacing w:val="-6"/>
        </w:rPr>
        <w:t>世界卫生组织</w:t>
      </w:r>
      <w:r>
        <w:rPr>
          <w:spacing w:val="-5"/>
          <w:w w:val="120"/>
        </w:rPr>
        <w:t>（WHO）</w:t>
      </w:r>
      <w:r>
        <w:rPr>
          <w:spacing w:val="-5"/>
        </w:rPr>
        <w:t>狼疮性肾炎分型：</w:t>
      </w:r>
    </w:p>
    <w:p>
      <w:pPr>
        <w:pStyle w:val="ListParagraph"/>
        <w:numPr>
          <w:ilvl w:val="0"/>
          <w:numId w:val="12"/>
        </w:numPr>
        <w:tabs>
          <w:tab w:pos="265" w:val="left" w:leader="none"/>
          <w:tab w:pos="3237" w:val="left" w:leader="none"/>
        </w:tabs>
        <w:spacing w:line="240" w:lineRule="auto" w:before="52" w:after="0"/>
        <w:ind w:left="264" w:right="0" w:hanging="12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ListParagraph"/>
        <w:numPr>
          <w:ilvl w:val="0"/>
          <w:numId w:val="12"/>
        </w:numPr>
        <w:tabs>
          <w:tab w:pos="339" w:val="left" w:leader="none"/>
          <w:tab w:pos="3237" w:val="left" w:leader="none"/>
        </w:tabs>
        <w:spacing w:line="240" w:lineRule="auto" w:before="193" w:after="0"/>
        <w:ind w:left="338" w:right="0" w:hanging="202"/>
        <w:jc w:val="left"/>
        <w:rPr>
          <w:sz w:val="21"/>
        </w:rPr>
      </w:pPr>
      <w:r>
        <w:rPr>
          <w:sz w:val="21"/>
        </w:rPr>
        <w:t>型</w:t>
      </w:r>
      <w:r>
        <w:rPr>
          <w:spacing w:val="-3"/>
          <w:sz w:val="21"/>
        </w:rPr>
        <w:t>（</w:t>
      </w:r>
      <w:r>
        <w:rPr>
          <w:sz w:val="21"/>
        </w:rPr>
        <w:t>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沉渣改变</w:t>
      </w:r>
    </w:p>
    <w:p>
      <w:pPr>
        <w:pStyle w:val="ListParagraph"/>
        <w:numPr>
          <w:ilvl w:val="0"/>
          <w:numId w:val="12"/>
        </w:numPr>
        <w:tabs>
          <w:tab w:pos="413" w:val="left" w:leader="none"/>
          <w:tab w:pos="3237" w:val="left" w:leader="none"/>
        </w:tabs>
        <w:spacing w:line="240" w:lineRule="auto" w:before="193" w:after="0"/>
        <w:ind w:left="412" w:right="0" w:hanging="276"/>
        <w:jc w:val="left"/>
        <w:rPr>
          <w:sz w:val="21"/>
        </w:rPr>
      </w:pPr>
      <w:r>
        <w:rPr>
          <w:sz w:val="21"/>
        </w:rPr>
        <w:t>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蛋白</w:t>
      </w:r>
      <w:r>
        <w:rPr>
          <w:spacing w:val="-3"/>
          <w:sz w:val="21"/>
        </w:rPr>
        <w:t>尿</w:t>
      </w:r>
      <w:r>
        <w:rPr>
          <w:sz w:val="21"/>
        </w:rPr>
        <w:t>，</w:t>
      </w:r>
      <w:r>
        <w:rPr>
          <w:spacing w:val="-3"/>
          <w:sz w:val="21"/>
        </w:rPr>
        <w:t>尿</w:t>
      </w:r>
      <w:r>
        <w:rPr>
          <w:sz w:val="21"/>
        </w:rPr>
        <w:t>沉</w:t>
      </w:r>
      <w:r>
        <w:rPr>
          <w:spacing w:val="-3"/>
          <w:sz w:val="21"/>
        </w:rPr>
        <w:t>渣</w:t>
      </w:r>
      <w:r>
        <w:rPr>
          <w:sz w:val="21"/>
        </w:rPr>
        <w:t>改变</w:t>
      </w:r>
    </w:p>
    <w:p>
      <w:pPr>
        <w:pStyle w:val="ListParagraph"/>
        <w:numPr>
          <w:ilvl w:val="0"/>
          <w:numId w:val="12"/>
        </w:numPr>
        <w:tabs>
          <w:tab w:pos="408" w:val="left" w:leader="none"/>
          <w:tab w:pos="3237" w:val="left" w:leader="none"/>
        </w:tabs>
        <w:spacing w:line="240" w:lineRule="auto" w:before="193" w:after="0"/>
        <w:ind w:left="407" w:right="0" w:hanging="271"/>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炎伴</w:t>
      </w:r>
      <w:r>
        <w:rPr>
          <w:spacing w:val="-3"/>
          <w:sz w:val="21"/>
        </w:rPr>
        <w:t>有尿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肾病综</w:t>
      </w:r>
      <w:r>
        <w:rPr>
          <w:spacing w:val="-5"/>
          <w:sz w:val="21"/>
        </w:rPr>
        <w:t>合</w:t>
      </w:r>
      <w:r>
        <w:rPr>
          <w:sz w:val="21"/>
        </w:rPr>
        <w:t>征</w:t>
      </w:r>
    </w:p>
    <w:p>
      <w:pPr>
        <w:pStyle w:val="ListParagraph"/>
        <w:numPr>
          <w:ilvl w:val="0"/>
          <w:numId w:val="12"/>
        </w:numPr>
        <w:tabs>
          <w:tab w:pos="334" w:val="left" w:leader="none"/>
          <w:tab w:pos="3237" w:val="left" w:leader="none"/>
        </w:tabs>
        <w:spacing w:line="240" w:lineRule="auto" w:before="193" w:after="0"/>
        <w:ind w:left="333" w:right="0" w:hanging="197"/>
        <w:jc w:val="left"/>
        <w:rPr>
          <w:sz w:val="21"/>
        </w:rPr>
      </w:pPr>
      <w:r>
        <w:rPr>
          <w:spacing w:val="-3"/>
          <w:sz w:val="21"/>
        </w:rPr>
        <w:t>型</w:t>
      </w:r>
      <w:r>
        <w:rPr>
          <w:sz w:val="21"/>
        </w:rPr>
        <w:t>（膜</w:t>
      </w:r>
      <w:r>
        <w:rPr>
          <w:spacing w:val="-3"/>
          <w:sz w:val="21"/>
        </w:rPr>
        <w:t>型</w:t>
      </w:r>
      <w:r>
        <w:rPr>
          <w:sz w:val="21"/>
        </w:rPr>
        <w:t>）</w:t>
        <w:tab/>
        <w:t>肾病</w:t>
      </w:r>
      <w:r>
        <w:rPr>
          <w:spacing w:val="-3"/>
          <w:sz w:val="21"/>
        </w:rPr>
        <w:t>综</w:t>
      </w:r>
      <w:r>
        <w:rPr>
          <w:sz w:val="21"/>
        </w:rPr>
        <w:t>合征</w:t>
      </w:r>
      <w:r>
        <w:rPr>
          <w:spacing w:val="-3"/>
          <w:sz w:val="21"/>
        </w:rPr>
        <w:t>或重</w:t>
      </w:r>
      <w:r>
        <w:rPr>
          <w:sz w:val="21"/>
        </w:rPr>
        <w:t>度</w:t>
      </w:r>
      <w:r>
        <w:rPr>
          <w:spacing w:val="-3"/>
          <w:sz w:val="21"/>
        </w:rPr>
        <w:t>蛋</w:t>
      </w:r>
      <w:r>
        <w:rPr>
          <w:sz w:val="21"/>
        </w:rPr>
        <w:t>白尿</w:t>
      </w:r>
    </w:p>
    <w:p>
      <w:pPr>
        <w:pStyle w:val="BodyText"/>
        <w:spacing w:before="5"/>
        <w:rPr>
          <w:sz w:val="33"/>
        </w:rPr>
      </w:pPr>
    </w:p>
    <w:p>
      <w:pPr>
        <w:pStyle w:val="Heading2"/>
        <w:numPr>
          <w:ilvl w:val="2"/>
          <w:numId w:val="11"/>
        </w:numPr>
        <w:tabs>
          <w:tab w:pos="841" w:val="left" w:leader="none"/>
        </w:tabs>
        <w:spacing w:line="240" w:lineRule="auto" w:before="1" w:after="0"/>
        <w:ind w:left="840" w:right="0" w:hanging="720"/>
        <w:jc w:val="left"/>
      </w:pPr>
      <w:bookmarkStart w:name="_TOC_250016" w:id="56"/>
      <w:r>
        <w:rPr>
          <w:spacing w:val="-3"/>
        </w:rPr>
        <w:t>经输血导致的人类免疫缺陷病毒</w:t>
      </w:r>
      <w:bookmarkEnd w:id="56"/>
      <w:r>
        <w:rPr/>
        <w:t>（HIV）感染</w:t>
      </w:r>
    </w:p>
    <w:p>
      <w:pPr>
        <w:pStyle w:val="BodyText"/>
        <w:spacing w:before="1"/>
        <w:rPr>
          <w:rFonts w:ascii="Microsoft JhengHei UI"/>
          <w:b/>
          <w:sz w:val="28"/>
        </w:rPr>
      </w:pPr>
    </w:p>
    <w:p>
      <w:pPr>
        <w:pStyle w:val="BodyText"/>
        <w:ind w:left="120"/>
      </w:pPr>
      <w:r>
        <w:rPr/>
        <w:t>被保险人感染上人类免疫缺陷病毒（HIV）并且符合下列所有条件：</w:t>
      </w:r>
    </w:p>
    <w:p>
      <w:pPr>
        <w:pStyle w:val="BodyText"/>
        <w:spacing w:before="192"/>
        <w:ind w:left="120"/>
      </w:pPr>
      <w:r>
        <w:rPr/>
        <w:t>（1）在保障起始日或复效日之后，被保险人因输血而感染HIV；</w:t>
      </w:r>
    </w:p>
    <w:p>
      <w:pPr>
        <w:pStyle w:val="BodyText"/>
        <w:spacing w:line="408" w:lineRule="auto" w:before="192"/>
        <w:ind w:left="120" w:right="112"/>
      </w:pPr>
      <w:r>
        <w:rPr/>
        <w:t>（2）提供输血治疗的输血中心或医院出具该项输血感染属医疗责任事故的报告，或者法院终审裁定为医疗责任并且不准上诉；</w:t>
      </w:r>
    </w:p>
    <w:p>
      <w:pPr>
        <w:pStyle w:val="BodyText"/>
        <w:spacing w:before="45"/>
        <w:ind w:left="120"/>
      </w:pPr>
      <w:r>
        <w:rPr/>
        <w:t>（3）受感染的被保险人不是血友病患者。</w:t>
      </w:r>
    </w:p>
    <w:p>
      <w:pPr>
        <w:pStyle w:val="BodyText"/>
        <w:spacing w:line="408" w:lineRule="auto" w:before="192"/>
        <w:ind w:left="120" w:right="112"/>
      </w:pPr>
      <w:r>
        <w:rPr/>
        <w:t>在任何治愈艾滋病（AIDS）或阻止 HIV 病毒作用的疗法被发现以后，或能防止 AIDS 发生的医疗方法被研究出来以后，本保障将不再予以赔付。</w:t>
      </w:r>
    </w:p>
    <w:p>
      <w:pPr>
        <w:pStyle w:val="BodyText"/>
        <w:spacing w:before="45"/>
        <w:ind w:left="120"/>
      </w:pPr>
      <w:r>
        <w:rPr/>
        <w:t>任何因其他传播方式（包括：性传播或静脉注射毒品）导致的 HIV 感染不在本保单保障范</w:t>
      </w:r>
    </w:p>
    <w:p>
      <w:pPr>
        <w:spacing w:after="0"/>
        <w:sectPr>
          <w:pgSz w:w="11910" w:h="16840"/>
          <w:pgMar w:header="0" w:footer="1045" w:top="1460" w:bottom="1240" w:left="1680" w:right="1680"/>
        </w:sectPr>
      </w:pPr>
    </w:p>
    <w:p>
      <w:pPr>
        <w:pStyle w:val="BodyText"/>
        <w:spacing w:line="408" w:lineRule="auto" w:before="34"/>
        <w:ind w:left="120" w:right="112"/>
      </w:pPr>
      <w:r>
        <w:rPr>
          <w:spacing w:val="-11"/>
        </w:rPr>
        <w:t>围内。保险公司必须拥有获得使用被保险人的所有血液样本的权利和能够对这些样本进行独</w:t>
      </w:r>
      <w:r>
        <w:rPr>
          <w:spacing w:val="-3"/>
        </w:rPr>
        <w:t>立检验的权利。</w:t>
      </w:r>
    </w:p>
    <w:p>
      <w:pPr>
        <w:pStyle w:val="BodyText"/>
        <w:spacing w:before="2"/>
        <w:rPr>
          <w:sz w:val="22"/>
        </w:rPr>
      </w:pPr>
    </w:p>
    <w:p>
      <w:pPr>
        <w:pStyle w:val="Heading2"/>
        <w:numPr>
          <w:ilvl w:val="2"/>
          <w:numId w:val="11"/>
        </w:numPr>
        <w:tabs>
          <w:tab w:pos="841" w:val="left" w:leader="none"/>
        </w:tabs>
        <w:spacing w:line="240" w:lineRule="auto" w:before="0" w:after="0"/>
        <w:ind w:left="840" w:right="0" w:hanging="720"/>
        <w:jc w:val="left"/>
      </w:pPr>
      <w:bookmarkStart w:name="_TOC_250015" w:id="57"/>
      <w:bookmarkEnd w:id="57"/>
      <w:r>
        <w:rPr>
          <w:spacing w:val="-2"/>
        </w:rPr>
        <w:t>严重多发性硬化</w:t>
      </w:r>
    </w:p>
    <w:p>
      <w:pPr>
        <w:pStyle w:val="BodyText"/>
        <w:spacing w:before="1"/>
        <w:rPr>
          <w:rFonts w:ascii="Microsoft JhengHei UI"/>
          <w:b/>
          <w:sz w:val="28"/>
        </w:rPr>
      </w:pPr>
    </w:p>
    <w:p>
      <w:pPr>
        <w:pStyle w:val="BodyText"/>
        <w:spacing w:line="408" w:lineRule="auto"/>
        <w:ind w:left="120" w:right="112"/>
        <w:jc w:val="both"/>
      </w:pPr>
      <w:r>
        <w:rPr>
          <w:spacing w:val="-7"/>
        </w:rPr>
        <w:t>多发性硬化为中枢神经系统白质多灶性脱髓鞘病变，病变有时累及灰质。多发性硬化必须明</w:t>
      </w:r>
      <w:r>
        <w:rPr>
          <w:spacing w:val="-13"/>
        </w:rPr>
        <w:t>确诊断，并且已经造成神经系统功能损害导致被保险人永久不可逆性的无法独立完成下列基</w:t>
      </w:r>
      <w:r>
        <w:rPr>
          <w:spacing w:val="-6"/>
        </w:rPr>
        <w:t>本日常生活活动：</w:t>
      </w:r>
    </w:p>
    <w:p>
      <w:pPr>
        <w:pStyle w:val="BodyText"/>
        <w:spacing w:before="46"/>
        <w:ind w:left="120"/>
      </w:pPr>
      <w:r>
        <w:rPr/>
        <w:t>（1）移动：自己从一个房间移动到另一个房间；或者</w:t>
      </w:r>
    </w:p>
    <w:p>
      <w:pPr>
        <w:pStyle w:val="BodyText"/>
        <w:spacing w:before="193"/>
        <w:ind w:left="120"/>
      </w:pPr>
      <w:r>
        <w:rPr/>
        <w:t>（2）进食：自己从已准备好的碗或碟中取食物放入口中</w:t>
      </w:r>
    </w:p>
    <w:p>
      <w:pPr>
        <w:pStyle w:val="BodyText"/>
        <w:spacing w:before="6"/>
        <w:rPr>
          <w:sz w:val="33"/>
        </w:rPr>
      </w:pPr>
    </w:p>
    <w:p>
      <w:pPr>
        <w:pStyle w:val="Heading2"/>
        <w:numPr>
          <w:ilvl w:val="2"/>
          <w:numId w:val="11"/>
        </w:numPr>
        <w:tabs>
          <w:tab w:pos="841" w:val="left" w:leader="none"/>
        </w:tabs>
        <w:spacing w:line="240" w:lineRule="auto" w:before="0" w:after="0"/>
        <w:ind w:left="840" w:right="0" w:hanging="720"/>
        <w:jc w:val="left"/>
      </w:pPr>
      <w:bookmarkStart w:name="_TOC_250014" w:id="58"/>
      <w:bookmarkEnd w:id="58"/>
      <w:r>
        <w:rPr>
          <w:spacing w:val="-3"/>
        </w:rPr>
        <w:t>严重类风湿性关节炎</w:t>
      </w:r>
    </w:p>
    <w:p>
      <w:pPr>
        <w:pStyle w:val="BodyText"/>
        <w:spacing w:before="1"/>
        <w:rPr>
          <w:rFonts w:ascii="Microsoft JhengHei UI"/>
          <w:b/>
          <w:sz w:val="28"/>
        </w:rPr>
      </w:pPr>
    </w:p>
    <w:p>
      <w:pPr>
        <w:pStyle w:val="BodyText"/>
        <w:spacing w:line="408" w:lineRule="auto"/>
        <w:ind w:left="120" w:right="112"/>
        <w:jc w:val="both"/>
      </w:pPr>
      <w:r>
        <w:rPr>
          <w:spacing w:val="-7"/>
        </w:rPr>
        <w:t>类风湿性关节炎为广泛分布的慢性进行性多关节病变，表现为关节严重变形，侵犯至少三个</w:t>
      </w:r>
      <w:r>
        <w:rPr>
          <w:spacing w:val="-8"/>
        </w:rPr>
        <w:t>主要关节或关节组【如：双手</w:t>
      </w:r>
      <w:r>
        <w:rPr/>
        <w:t>（</w:t>
      </w:r>
      <w:r>
        <w:rPr>
          <w:spacing w:val="-3"/>
        </w:rPr>
        <w:t>多手指</w:t>
      </w:r>
      <w:r>
        <w:rPr>
          <w:spacing w:val="-13"/>
        </w:rPr>
        <w:t>）</w:t>
      </w:r>
      <w:r>
        <w:rPr>
          <w:spacing w:val="-6"/>
        </w:rPr>
        <w:t>关节、双足</w:t>
      </w:r>
      <w:r>
        <w:rPr>
          <w:spacing w:val="-3"/>
        </w:rPr>
        <w:t>（</w:t>
      </w:r>
      <w:r>
        <w:rPr>
          <w:spacing w:val="-2"/>
        </w:rPr>
        <w:t>多足趾</w:t>
      </w:r>
      <w:r>
        <w:rPr>
          <w:spacing w:val="-10"/>
        </w:rPr>
        <w:t>）</w:t>
      </w:r>
      <w:r>
        <w:rPr>
          <w:spacing w:val="-6"/>
        </w:rPr>
        <w:t>关节、双腕关节、双膝关节</w:t>
      </w:r>
      <w:r>
        <w:rPr>
          <w:spacing w:val="-13"/>
        </w:rPr>
        <w:t>和双髋关节】。诊断必须由风湿科主任级和保险公司的医务总监确认，被保人所患的类风湿</w:t>
      </w:r>
      <w:r>
        <w:rPr>
          <w:spacing w:val="-10"/>
        </w:rPr>
        <w:t>性关节炎必须已经达到类风湿性关节炎功能分级 </w:t>
      </w:r>
      <w:r>
        <w:rPr/>
        <w:t>III</w:t>
      </w:r>
      <w:r>
        <w:rPr>
          <w:spacing w:val="-12"/>
        </w:rPr>
        <w:t> 级以上的功能障碍</w:t>
      </w:r>
      <w:r>
        <w:rPr/>
        <w:t>（</w:t>
      </w:r>
      <w:r>
        <w:rPr>
          <w:spacing w:val="-3"/>
        </w:rPr>
        <w:t>严重限制，不能完成大部分的日常工作和活动</w:t>
      </w:r>
      <w:r>
        <w:rPr/>
        <w:t>）</w:t>
      </w:r>
      <w:r>
        <w:rPr>
          <w:spacing w:val="-3"/>
        </w:rPr>
        <w:t>并且符合下列所有条件：</w:t>
      </w:r>
    </w:p>
    <w:p>
      <w:pPr>
        <w:pStyle w:val="BodyText"/>
        <w:spacing w:before="46"/>
        <w:ind w:left="539"/>
      </w:pPr>
      <w:r>
        <w:rPr>
          <w:w w:val="95"/>
        </w:rPr>
        <w:t>（1）晨僵</w:t>
      </w:r>
    </w:p>
    <w:p>
      <w:pPr>
        <w:pStyle w:val="BodyText"/>
        <w:spacing w:before="193"/>
        <w:ind w:left="539"/>
      </w:pPr>
      <w:r>
        <w:rPr/>
        <w:t>（2）对称性关节炎</w:t>
      </w:r>
    </w:p>
    <w:p>
      <w:pPr>
        <w:pStyle w:val="BodyText"/>
        <w:spacing w:before="193"/>
        <w:ind w:left="539"/>
      </w:pPr>
      <w:r>
        <w:rPr/>
        <w:t>（3）类风湿性皮下结节</w:t>
      </w:r>
    </w:p>
    <w:p>
      <w:pPr>
        <w:pStyle w:val="BodyText"/>
        <w:spacing w:before="193"/>
        <w:ind w:left="539"/>
      </w:pPr>
      <w:r>
        <w:rPr/>
        <w:t>（4）类风湿因子滴度升高</w:t>
      </w:r>
    </w:p>
    <w:p>
      <w:pPr>
        <w:pStyle w:val="BodyText"/>
        <w:spacing w:before="193"/>
        <w:ind w:left="539"/>
      </w:pPr>
      <w:r>
        <w:rPr/>
        <w:t>（</w:t>
      </w:r>
      <w:r>
        <w:rPr>
          <w:rFonts w:ascii="Times New Roman" w:eastAsia="Times New Roman"/>
        </w:rPr>
        <w:t>5</w:t>
      </w:r>
      <w:r>
        <w:rPr/>
        <w:t>）X 线显示严重的关节（软骨和骨）破坏和关节畸形</w:t>
      </w:r>
    </w:p>
    <w:p>
      <w:pPr>
        <w:pStyle w:val="BodyText"/>
        <w:spacing w:before="3"/>
        <w:rPr>
          <w:sz w:val="32"/>
        </w:rPr>
      </w:pPr>
    </w:p>
    <w:p>
      <w:pPr>
        <w:pStyle w:val="Heading2"/>
        <w:numPr>
          <w:ilvl w:val="2"/>
          <w:numId w:val="11"/>
        </w:numPr>
        <w:tabs>
          <w:tab w:pos="841" w:val="left" w:leader="none"/>
        </w:tabs>
        <w:spacing w:line="240" w:lineRule="auto" w:before="0" w:after="0"/>
        <w:ind w:left="840" w:right="0" w:hanging="720"/>
        <w:jc w:val="both"/>
      </w:pPr>
      <w:bookmarkStart w:name="_TOC_250013" w:id="59"/>
      <w:bookmarkEnd w:id="59"/>
      <w:r>
        <w:rPr>
          <w:spacing w:val="-2"/>
        </w:rPr>
        <w:t>慢性呼吸功能衰竭</w:t>
      </w:r>
    </w:p>
    <w:p>
      <w:pPr>
        <w:pStyle w:val="BodyText"/>
        <w:spacing w:before="1"/>
        <w:rPr>
          <w:rFonts w:ascii="Microsoft JhengHei UI"/>
          <w:b/>
          <w:sz w:val="28"/>
        </w:rPr>
      </w:pPr>
    </w:p>
    <w:p>
      <w:pPr>
        <w:pStyle w:val="BodyText"/>
        <w:spacing w:line="408" w:lineRule="auto"/>
        <w:ind w:left="120" w:right="112"/>
      </w:pPr>
      <w:r>
        <w:rPr>
          <w:spacing w:val="-7"/>
        </w:rPr>
        <w:t>慢性肺部疾病导致永久不可逆性的慢性呼吸功能衰竭，必须由呼吸专科医师确认并符合下列</w:t>
      </w:r>
      <w:r>
        <w:rPr>
          <w:spacing w:val="-2"/>
        </w:rPr>
        <w:t>所有条件：</w:t>
      </w:r>
    </w:p>
    <w:p>
      <w:pPr>
        <w:pStyle w:val="BodyText"/>
        <w:spacing w:before="46"/>
        <w:ind w:left="539"/>
      </w:pPr>
      <w:r>
        <w:rPr/>
        <w:t>（1）休息时出现呼吸困难；</w:t>
      </w:r>
    </w:p>
    <w:p>
      <w:pPr>
        <w:pStyle w:val="BodyText"/>
        <w:spacing w:before="2"/>
      </w:pPr>
    </w:p>
    <w:p>
      <w:pPr>
        <w:pStyle w:val="BodyText"/>
        <w:ind w:left="539"/>
      </w:pPr>
      <w:r>
        <w:rPr>
          <w:w w:val="105"/>
        </w:rPr>
        <w:t>（2）</w:t>
      </w:r>
      <w:r>
        <w:rPr>
          <w:spacing w:val="-3"/>
          <w:w w:val="105"/>
        </w:rPr>
        <w:t>动脉氧分压 </w:t>
      </w:r>
      <w:r>
        <w:rPr>
          <w:w w:val="105"/>
        </w:rPr>
        <w:t>（</w:t>
      </w:r>
      <w:r>
        <w:rPr>
          <w:spacing w:val="-74"/>
          <w:w w:val="105"/>
        </w:rPr>
        <w:t> </w:t>
      </w:r>
      <w:r>
        <w:rPr>
          <w:rFonts w:ascii="Times New Roman" w:eastAsia="Times New Roman"/>
          <w:i/>
          <w:w w:val="105"/>
          <w:sz w:val="24"/>
        </w:rPr>
        <w:t>PaO</w:t>
      </w:r>
      <w:r>
        <w:rPr>
          <w:rFonts w:ascii="Times New Roman" w:eastAsia="Times New Roman"/>
          <w:w w:val="105"/>
          <w:position w:val="-5"/>
          <w:sz w:val="14"/>
        </w:rPr>
        <w:t>2 </w:t>
      </w:r>
      <w:r>
        <w:rPr>
          <w:w w:val="105"/>
        </w:rPr>
        <w:t>）</w:t>
      </w:r>
      <w:r>
        <w:rPr>
          <w:spacing w:val="-28"/>
          <w:w w:val="105"/>
        </w:rPr>
        <w:t>&lt; </w:t>
      </w:r>
      <w:r>
        <w:rPr>
          <w:w w:val="105"/>
        </w:rPr>
        <w:t>50mmHg；</w:t>
      </w:r>
    </w:p>
    <w:p>
      <w:pPr>
        <w:pStyle w:val="BodyText"/>
        <w:spacing w:before="9"/>
        <w:rPr>
          <w:sz w:val="16"/>
        </w:rPr>
      </w:pPr>
    </w:p>
    <w:p>
      <w:pPr>
        <w:spacing w:after="0"/>
        <w:rPr>
          <w:sz w:val="16"/>
        </w:rPr>
        <w:sectPr>
          <w:pgSz w:w="11910" w:h="16840"/>
          <w:pgMar w:header="0" w:footer="1045" w:top="1440" w:bottom="1240" w:left="1680" w:right="1680"/>
        </w:sectPr>
      </w:pPr>
    </w:p>
    <w:p>
      <w:pPr>
        <w:spacing w:before="69"/>
        <w:ind w:left="539" w:right="0" w:firstLine="0"/>
        <w:jc w:val="left"/>
        <w:rPr>
          <w:rFonts w:ascii="Times New Roman" w:eastAsia="Times New Roman"/>
          <w:sz w:val="14"/>
        </w:rPr>
      </w:pPr>
      <w:r>
        <w:rPr>
          <w:sz w:val="21"/>
        </w:rPr>
        <w:t>（3）</w:t>
      </w:r>
      <w:r>
        <w:rPr>
          <w:spacing w:val="-3"/>
          <w:sz w:val="21"/>
        </w:rPr>
        <w:t>动脉血氧饱和度 </w:t>
      </w:r>
      <w:r>
        <w:rPr>
          <w:sz w:val="21"/>
        </w:rPr>
        <w:t>（</w:t>
      </w:r>
      <w:r>
        <w:rPr>
          <w:spacing w:val="-72"/>
          <w:sz w:val="21"/>
        </w:rPr>
        <w:t> </w:t>
      </w:r>
      <w:r>
        <w:rPr>
          <w:rFonts w:ascii="Times New Roman" w:eastAsia="Times New Roman"/>
          <w:i/>
          <w:sz w:val="24"/>
        </w:rPr>
        <w:t>SaO</w:t>
      </w:r>
      <w:r>
        <w:rPr>
          <w:rFonts w:ascii="Times New Roman" w:eastAsia="Times New Roman"/>
          <w:position w:val="-5"/>
          <w:sz w:val="14"/>
        </w:rPr>
        <w:t>2</w:t>
      </w:r>
    </w:p>
    <w:p>
      <w:pPr>
        <w:pStyle w:val="BodyText"/>
        <w:spacing w:before="69"/>
        <w:ind w:left="103"/>
      </w:pPr>
      <w:r>
        <w:rPr/>
        <w:br w:type="column"/>
      </w:r>
      <w:r>
        <w:rPr>
          <w:w w:val="105"/>
        </w:rPr>
        <w:t>）&lt;</w:t>
      </w:r>
      <w:r>
        <w:rPr>
          <w:spacing w:val="-81"/>
          <w:w w:val="105"/>
        </w:rPr>
        <w:t> </w:t>
      </w:r>
      <w:r>
        <w:rPr>
          <w:w w:val="105"/>
        </w:rPr>
        <w:t>80％；</w:t>
      </w:r>
    </w:p>
    <w:p>
      <w:pPr>
        <w:spacing w:after="0"/>
        <w:sectPr>
          <w:type w:val="continuous"/>
          <w:pgSz w:w="11910" w:h="16840"/>
          <w:pgMar w:top="1560" w:bottom="1240" w:left="1680" w:right="1680"/>
          <w:cols w:num="2" w:equalWidth="0">
            <w:col w:w="3366" w:space="40"/>
            <w:col w:w="5144"/>
          </w:cols>
        </w:sectPr>
      </w:pPr>
    </w:p>
    <w:p>
      <w:pPr>
        <w:pStyle w:val="BodyText"/>
        <w:spacing w:before="34"/>
        <w:ind w:left="120"/>
        <w:jc w:val="both"/>
      </w:pPr>
      <w:r>
        <w:rPr/>
        <w:t>（4）因缺氧必须接受持续的输氧治疗。</w:t>
      </w:r>
    </w:p>
    <w:p>
      <w:pPr>
        <w:pStyle w:val="BodyText"/>
        <w:spacing w:before="5"/>
        <w:rPr>
          <w:sz w:val="33"/>
        </w:rPr>
      </w:pPr>
    </w:p>
    <w:p>
      <w:pPr>
        <w:pStyle w:val="Heading2"/>
        <w:numPr>
          <w:ilvl w:val="1"/>
          <w:numId w:val="13"/>
        </w:numPr>
        <w:tabs>
          <w:tab w:pos="675" w:val="left" w:leader="none"/>
        </w:tabs>
        <w:spacing w:line="240" w:lineRule="auto" w:before="0" w:after="0"/>
        <w:ind w:left="120" w:right="0" w:firstLine="0"/>
        <w:jc w:val="both"/>
      </w:pPr>
      <w:bookmarkStart w:name="_TOC_250012" w:id="60"/>
      <w:bookmarkEnd w:id="60"/>
      <w:r>
        <w:rPr>
          <w:spacing w:val="-3"/>
        </w:rPr>
        <w:t>本条款约定确诊日</w:t>
      </w:r>
    </w:p>
    <w:p>
      <w:pPr>
        <w:pStyle w:val="BodyText"/>
        <w:spacing w:before="1"/>
        <w:rPr>
          <w:rFonts w:ascii="Microsoft JhengHei UI"/>
          <w:b/>
          <w:sz w:val="28"/>
        </w:rPr>
      </w:pPr>
    </w:p>
    <w:p>
      <w:pPr>
        <w:pStyle w:val="BodyText"/>
        <w:ind w:left="120"/>
        <w:jc w:val="both"/>
      </w:pPr>
      <w:r>
        <w:rPr/>
        <w:t>指满足本条款约定确诊日以明确诊断该类疾病的病检标本提取日为准。</w:t>
      </w:r>
    </w:p>
    <w:p>
      <w:pPr>
        <w:pStyle w:val="BodyText"/>
        <w:spacing w:before="6"/>
        <w:rPr>
          <w:sz w:val="33"/>
        </w:rPr>
      </w:pPr>
    </w:p>
    <w:p>
      <w:pPr>
        <w:pStyle w:val="Heading2"/>
        <w:numPr>
          <w:ilvl w:val="1"/>
          <w:numId w:val="13"/>
        </w:numPr>
        <w:tabs>
          <w:tab w:pos="675" w:val="left" w:leader="none"/>
        </w:tabs>
        <w:spacing w:line="240" w:lineRule="auto" w:before="0" w:after="0"/>
        <w:ind w:left="120" w:right="0" w:firstLine="0"/>
        <w:jc w:val="both"/>
      </w:pPr>
      <w:bookmarkStart w:name="_TOC_250011" w:id="61"/>
      <w:bookmarkEnd w:id="61"/>
      <w:r>
        <w:rPr>
          <w:spacing w:val="-2"/>
        </w:rPr>
        <w:t>毒品</w:t>
      </w:r>
    </w:p>
    <w:p>
      <w:pPr>
        <w:pStyle w:val="BodyText"/>
        <w:spacing w:before="1"/>
        <w:rPr>
          <w:rFonts w:ascii="Microsoft JhengHei UI"/>
          <w:b/>
          <w:sz w:val="28"/>
        </w:rPr>
      </w:pPr>
    </w:p>
    <w:p>
      <w:pPr>
        <w:pStyle w:val="BodyText"/>
        <w:spacing w:line="408" w:lineRule="auto"/>
        <w:ind w:left="120" w:right="212"/>
        <w:jc w:val="both"/>
      </w:pPr>
      <w:r>
        <w:rPr>
          <w:spacing w:val="-6"/>
        </w:rPr>
        <w:t>指中华人民共和国刑法规定的鸦片、海洛因、甲基苯丙胺</w:t>
      </w:r>
      <w:r>
        <w:rPr/>
        <w:t>（</w:t>
      </w:r>
      <w:r>
        <w:rPr>
          <w:spacing w:val="-2"/>
        </w:rPr>
        <w:t>冰毒</w:t>
      </w:r>
      <w:r>
        <w:rPr>
          <w:spacing w:val="-15"/>
        </w:rPr>
        <w:t>）</w:t>
      </w:r>
      <w:r>
        <w:rPr>
          <w:spacing w:val="-8"/>
        </w:rPr>
        <w:t>、吗啡、大麻、可卡因以</w:t>
      </w:r>
      <w:r>
        <w:rPr>
          <w:spacing w:val="-9"/>
        </w:rPr>
        <w:t>及国家规定管制的其他能够使人形成瘾癖的麻醉药品和精神药品，但不包括由医生开具并遵</w:t>
      </w:r>
      <w:r>
        <w:rPr>
          <w:spacing w:val="-3"/>
        </w:rPr>
        <w:t>守医嘱使用的用于治疗疾病但含有毒品成分的处方药品。</w:t>
      </w:r>
    </w:p>
    <w:p>
      <w:pPr>
        <w:pStyle w:val="BodyText"/>
        <w:spacing w:before="3"/>
        <w:rPr>
          <w:sz w:val="22"/>
        </w:rPr>
      </w:pPr>
    </w:p>
    <w:p>
      <w:pPr>
        <w:pStyle w:val="Heading2"/>
        <w:numPr>
          <w:ilvl w:val="1"/>
          <w:numId w:val="13"/>
        </w:numPr>
        <w:tabs>
          <w:tab w:pos="674" w:val="left" w:leader="none"/>
          <w:tab w:pos="675" w:val="left" w:leader="none"/>
        </w:tabs>
        <w:spacing w:line="240" w:lineRule="auto" w:before="0" w:after="0"/>
        <w:ind w:left="120" w:right="0" w:firstLine="0"/>
        <w:jc w:val="left"/>
      </w:pPr>
      <w:bookmarkStart w:name="_TOC_250010" w:id="62"/>
      <w:bookmarkEnd w:id="62"/>
      <w:r>
        <w:rPr>
          <w:spacing w:val="-2"/>
        </w:rPr>
        <w:t>酒后驾驶</w:t>
      </w:r>
    </w:p>
    <w:p>
      <w:pPr>
        <w:pStyle w:val="BodyText"/>
        <w:spacing w:before="1"/>
        <w:rPr>
          <w:rFonts w:ascii="Microsoft JhengHei UI"/>
          <w:b/>
          <w:sz w:val="28"/>
        </w:rPr>
      </w:pPr>
    </w:p>
    <w:p>
      <w:pPr>
        <w:pStyle w:val="BodyText"/>
        <w:spacing w:line="408" w:lineRule="auto"/>
        <w:ind w:left="120" w:right="109"/>
      </w:pPr>
      <w:r>
        <w:rPr>
          <w:spacing w:val="-11"/>
        </w:rPr>
        <w:t>指经检测或鉴定，发生事故时车辆驾驶人员每百毫升血液中的酒精含量达到或超过一定的标</w:t>
      </w:r>
      <w:r>
        <w:rPr>
          <w:spacing w:val="-18"/>
        </w:rPr>
        <w:t>准，公安机关交通管理部门依据《道路交通安全法》的规定认定为饮酒后驾驶或醉酒后驾驶。</w:t>
      </w:r>
    </w:p>
    <w:p>
      <w:pPr>
        <w:pStyle w:val="BodyText"/>
        <w:spacing w:before="2"/>
        <w:rPr>
          <w:sz w:val="22"/>
        </w:rPr>
      </w:pPr>
    </w:p>
    <w:p>
      <w:pPr>
        <w:pStyle w:val="ListParagraph"/>
        <w:numPr>
          <w:ilvl w:val="1"/>
          <w:numId w:val="13"/>
        </w:numPr>
        <w:tabs>
          <w:tab w:pos="674" w:val="left" w:leader="none"/>
          <w:tab w:pos="675" w:val="left" w:leader="none"/>
        </w:tabs>
        <w:spacing w:line="561" w:lineRule="auto" w:before="0" w:after="0"/>
        <w:ind w:left="120" w:right="5866" w:firstLine="0"/>
        <w:jc w:val="left"/>
        <w:rPr>
          <w:sz w:val="21"/>
        </w:rPr>
      </w:pPr>
      <w:r>
        <w:rPr>
          <w:rFonts w:ascii="Microsoft JhengHei UI" w:eastAsia="Microsoft JhengHei UI" w:hint="eastAsia"/>
          <w:b/>
          <w:spacing w:val="-3"/>
          <w:sz w:val="21"/>
        </w:rPr>
        <w:t>无合法有效驾驶证驾驶</w:t>
      </w:r>
      <w:r>
        <w:rPr>
          <w:spacing w:val="-3"/>
          <w:sz w:val="21"/>
        </w:rPr>
        <w:t>指下列情形之一：</w:t>
      </w:r>
    </w:p>
    <w:p>
      <w:pPr>
        <w:pStyle w:val="ListParagraph"/>
        <w:numPr>
          <w:ilvl w:val="0"/>
          <w:numId w:val="14"/>
        </w:numPr>
        <w:tabs>
          <w:tab w:pos="841" w:val="left" w:leader="none"/>
        </w:tabs>
        <w:spacing w:line="187" w:lineRule="exact" w:before="0" w:after="0"/>
        <w:ind w:left="840" w:right="0" w:hanging="720"/>
        <w:jc w:val="both"/>
        <w:rPr>
          <w:sz w:val="21"/>
        </w:rPr>
      </w:pPr>
      <w:r>
        <w:rPr>
          <w:spacing w:val="-3"/>
          <w:sz w:val="21"/>
        </w:rPr>
        <w:t>没有取得驾驶资格；</w:t>
      </w:r>
    </w:p>
    <w:p>
      <w:pPr>
        <w:pStyle w:val="ListParagraph"/>
        <w:numPr>
          <w:ilvl w:val="0"/>
          <w:numId w:val="14"/>
        </w:numPr>
        <w:tabs>
          <w:tab w:pos="841" w:val="left" w:leader="none"/>
        </w:tabs>
        <w:spacing w:line="240" w:lineRule="auto" w:before="194" w:after="0"/>
        <w:ind w:left="840" w:right="0" w:hanging="720"/>
        <w:jc w:val="both"/>
        <w:rPr>
          <w:sz w:val="21"/>
        </w:rPr>
      </w:pPr>
      <w:r>
        <w:rPr>
          <w:spacing w:val="-4"/>
          <w:sz w:val="21"/>
        </w:rPr>
        <w:t>驾驶与驾驶证准驾车型不相符合的车辆；</w:t>
      </w:r>
    </w:p>
    <w:p>
      <w:pPr>
        <w:pStyle w:val="ListParagraph"/>
        <w:numPr>
          <w:ilvl w:val="0"/>
          <w:numId w:val="14"/>
        </w:numPr>
        <w:tabs>
          <w:tab w:pos="841" w:val="left" w:leader="none"/>
        </w:tabs>
        <w:spacing w:line="240" w:lineRule="auto" w:before="193" w:after="0"/>
        <w:ind w:left="840" w:right="0" w:hanging="720"/>
        <w:jc w:val="both"/>
        <w:rPr>
          <w:sz w:val="21"/>
        </w:rPr>
      </w:pPr>
      <w:r>
        <w:rPr>
          <w:spacing w:val="-4"/>
          <w:sz w:val="21"/>
        </w:rPr>
        <w:t>持审验不合格的驾驶证驾驶；</w:t>
      </w:r>
    </w:p>
    <w:p>
      <w:pPr>
        <w:pStyle w:val="ListParagraph"/>
        <w:numPr>
          <w:ilvl w:val="0"/>
          <w:numId w:val="14"/>
        </w:numPr>
        <w:tabs>
          <w:tab w:pos="841" w:val="left" w:leader="none"/>
        </w:tabs>
        <w:spacing w:line="240" w:lineRule="auto" w:before="193" w:after="0"/>
        <w:ind w:left="840" w:right="0" w:hanging="720"/>
        <w:jc w:val="both"/>
        <w:rPr>
          <w:sz w:val="21"/>
        </w:rPr>
      </w:pPr>
      <w:r>
        <w:rPr>
          <w:spacing w:val="-5"/>
          <w:sz w:val="21"/>
        </w:rPr>
        <w:t>持学习驾驶证学习驾车时，无教练员随车指导，或不按指定时间、路线学习驾车。</w:t>
      </w:r>
    </w:p>
    <w:p>
      <w:pPr>
        <w:pStyle w:val="BodyText"/>
        <w:spacing w:before="6"/>
        <w:rPr>
          <w:sz w:val="33"/>
        </w:rPr>
      </w:pPr>
    </w:p>
    <w:p>
      <w:pPr>
        <w:pStyle w:val="ListParagraph"/>
        <w:numPr>
          <w:ilvl w:val="1"/>
          <w:numId w:val="13"/>
        </w:numPr>
        <w:tabs>
          <w:tab w:pos="674" w:val="left" w:leader="none"/>
          <w:tab w:pos="675" w:val="left" w:leader="none"/>
        </w:tabs>
        <w:spacing w:line="561" w:lineRule="auto" w:before="0" w:after="0"/>
        <w:ind w:left="120" w:right="6706" w:firstLine="0"/>
        <w:jc w:val="left"/>
        <w:rPr>
          <w:sz w:val="21"/>
        </w:rPr>
      </w:pPr>
      <w:r>
        <w:rPr>
          <w:rFonts w:ascii="Microsoft JhengHei UI" w:eastAsia="Microsoft JhengHei UI" w:hint="eastAsia"/>
          <w:b/>
          <w:spacing w:val="-3"/>
          <w:sz w:val="21"/>
        </w:rPr>
        <w:t>无有效行驶证</w:t>
      </w:r>
      <w:r>
        <w:rPr>
          <w:spacing w:val="-3"/>
          <w:sz w:val="21"/>
        </w:rPr>
        <w:t>指下列情形之一：</w:t>
      </w:r>
    </w:p>
    <w:p>
      <w:pPr>
        <w:pStyle w:val="ListParagraph"/>
        <w:numPr>
          <w:ilvl w:val="0"/>
          <w:numId w:val="15"/>
        </w:numPr>
        <w:tabs>
          <w:tab w:pos="841" w:val="left" w:leader="none"/>
        </w:tabs>
        <w:spacing w:line="187" w:lineRule="exact" w:before="0" w:after="0"/>
        <w:ind w:left="840" w:right="0" w:hanging="720"/>
        <w:jc w:val="both"/>
        <w:rPr>
          <w:sz w:val="21"/>
        </w:rPr>
      </w:pPr>
      <w:r>
        <w:rPr>
          <w:spacing w:val="-4"/>
          <w:sz w:val="21"/>
        </w:rPr>
        <w:t>机动车被依法注销登记的；</w:t>
      </w:r>
    </w:p>
    <w:p>
      <w:pPr>
        <w:pStyle w:val="ListParagraph"/>
        <w:numPr>
          <w:ilvl w:val="0"/>
          <w:numId w:val="15"/>
        </w:numPr>
        <w:tabs>
          <w:tab w:pos="841" w:val="left" w:leader="none"/>
        </w:tabs>
        <w:spacing w:line="240" w:lineRule="auto" w:before="193" w:after="0"/>
        <w:ind w:left="840" w:right="0" w:hanging="720"/>
        <w:jc w:val="both"/>
        <w:rPr>
          <w:sz w:val="21"/>
        </w:rPr>
      </w:pPr>
      <w:r>
        <w:rPr>
          <w:spacing w:val="-4"/>
          <w:sz w:val="21"/>
        </w:rPr>
        <w:t>未依法按时进行或通过机动车安全技术检验。</w:t>
      </w:r>
    </w:p>
    <w:p>
      <w:pPr>
        <w:pStyle w:val="BodyText"/>
        <w:spacing w:before="5"/>
        <w:rPr>
          <w:sz w:val="33"/>
        </w:rPr>
      </w:pPr>
    </w:p>
    <w:p>
      <w:pPr>
        <w:pStyle w:val="Heading2"/>
        <w:numPr>
          <w:ilvl w:val="1"/>
          <w:numId w:val="13"/>
        </w:numPr>
        <w:tabs>
          <w:tab w:pos="675" w:val="left" w:leader="none"/>
        </w:tabs>
        <w:spacing w:line="240" w:lineRule="auto" w:before="1" w:after="0"/>
        <w:ind w:left="120" w:right="0" w:firstLine="0"/>
        <w:jc w:val="both"/>
      </w:pPr>
      <w:bookmarkStart w:name="_TOC_250009" w:id="63"/>
      <w:bookmarkEnd w:id="63"/>
      <w:r>
        <w:rPr>
          <w:spacing w:val="-3"/>
        </w:rPr>
        <w:t>感染艾滋病病毒或患艾滋病</w:t>
      </w:r>
    </w:p>
    <w:p>
      <w:pPr>
        <w:pStyle w:val="BodyText"/>
        <w:spacing w:before="1"/>
        <w:rPr>
          <w:rFonts w:ascii="Microsoft JhengHei UI"/>
          <w:b/>
          <w:sz w:val="28"/>
        </w:rPr>
      </w:pPr>
    </w:p>
    <w:p>
      <w:pPr>
        <w:pStyle w:val="BodyText"/>
        <w:ind w:left="120"/>
        <w:jc w:val="both"/>
      </w:pPr>
      <w:r>
        <w:rPr/>
        <w:t>艾滋病病毒指人类免疫缺陷病毒，英文缩写为HIV。艾滋病指人类免疫缺陷病毒引起的获得</w:t>
      </w:r>
    </w:p>
    <w:p>
      <w:pPr>
        <w:spacing w:after="0"/>
        <w:jc w:val="both"/>
        <w:sectPr>
          <w:pgSz w:w="11910" w:h="16840"/>
          <w:pgMar w:header="0" w:footer="1045" w:top="1440" w:bottom="1240" w:left="1680" w:right="1580"/>
        </w:sectPr>
      </w:pPr>
    </w:p>
    <w:p>
      <w:pPr>
        <w:pStyle w:val="BodyText"/>
        <w:spacing w:before="34"/>
        <w:ind w:left="120"/>
      </w:pPr>
      <w:r>
        <w:rPr/>
        <w:t>性免疫缺陷综合症，英文缩写为AIDS。</w:t>
      </w:r>
    </w:p>
    <w:p>
      <w:pPr>
        <w:pStyle w:val="BodyText"/>
        <w:spacing w:line="408" w:lineRule="auto" w:before="192"/>
        <w:ind w:left="120" w:right="98"/>
      </w:pPr>
      <w:r>
        <w:rPr>
          <w:spacing w:val="-5"/>
        </w:rPr>
        <w:t>在人体血液或其他样本中检测到艾滋病病毒或其抗体呈阳性，没有出现临床症状或体征的， 为感染艾滋病病毒；如果同时出现了明显临床症状或体征的，为患艾滋病。</w:t>
      </w:r>
    </w:p>
    <w:p>
      <w:pPr>
        <w:pStyle w:val="BodyText"/>
        <w:spacing w:before="2"/>
        <w:rPr>
          <w:sz w:val="22"/>
        </w:rPr>
      </w:pPr>
    </w:p>
    <w:p>
      <w:pPr>
        <w:pStyle w:val="Heading2"/>
        <w:numPr>
          <w:ilvl w:val="1"/>
          <w:numId w:val="13"/>
        </w:numPr>
        <w:tabs>
          <w:tab w:pos="668" w:val="left" w:leader="none"/>
        </w:tabs>
        <w:spacing w:line="240" w:lineRule="auto" w:before="0" w:after="0"/>
        <w:ind w:left="667" w:right="0" w:hanging="547"/>
        <w:jc w:val="left"/>
      </w:pPr>
      <w:bookmarkStart w:name="_TOC_250008" w:id="64"/>
      <w:bookmarkEnd w:id="64"/>
      <w:r>
        <w:rPr>
          <w:spacing w:val="-1"/>
        </w:rPr>
        <w:t>遗传性疾病</w:t>
      </w:r>
    </w:p>
    <w:p>
      <w:pPr>
        <w:pStyle w:val="BodyText"/>
        <w:spacing w:before="1"/>
        <w:rPr>
          <w:rFonts w:ascii="Microsoft JhengHei UI"/>
          <w:b/>
          <w:sz w:val="28"/>
        </w:rPr>
      </w:pPr>
    </w:p>
    <w:p>
      <w:pPr>
        <w:pStyle w:val="BodyText"/>
        <w:spacing w:line="408" w:lineRule="auto"/>
        <w:ind w:left="120" w:right="194"/>
      </w:pPr>
      <w:r>
        <w:rPr>
          <w:spacing w:val="-6"/>
        </w:rPr>
        <w:t>指生殖细胞或受精卵的遗传物质</w:t>
      </w:r>
      <w:r>
        <w:rPr>
          <w:spacing w:val="-3"/>
        </w:rPr>
        <w:t>（染色体和基因</w:t>
      </w:r>
      <w:r>
        <w:rPr>
          <w:spacing w:val="-34"/>
        </w:rPr>
        <w:t>）</w:t>
      </w:r>
      <w:r>
        <w:rPr>
          <w:spacing w:val="-6"/>
        </w:rPr>
        <w:t>发生突变或畸变所引起的疾病，通常具有</w:t>
      </w:r>
      <w:r>
        <w:rPr>
          <w:spacing w:val="-4"/>
        </w:rPr>
        <w:t>由亲代传至后代的垂直传递的特征。</w:t>
      </w:r>
    </w:p>
    <w:p>
      <w:pPr>
        <w:pStyle w:val="BodyText"/>
        <w:spacing w:before="3"/>
        <w:rPr>
          <w:sz w:val="22"/>
        </w:rPr>
      </w:pPr>
    </w:p>
    <w:p>
      <w:pPr>
        <w:pStyle w:val="Heading2"/>
        <w:numPr>
          <w:ilvl w:val="1"/>
          <w:numId w:val="13"/>
        </w:numPr>
        <w:tabs>
          <w:tab w:pos="668" w:val="left" w:leader="none"/>
        </w:tabs>
        <w:spacing w:line="240" w:lineRule="auto" w:before="0" w:after="0"/>
        <w:ind w:left="667" w:right="0" w:hanging="547"/>
        <w:jc w:val="left"/>
      </w:pPr>
      <w:bookmarkStart w:name="_TOC_250007" w:id="65"/>
      <w:bookmarkEnd w:id="65"/>
      <w:r>
        <w:rPr>
          <w:spacing w:val="-3"/>
        </w:rPr>
        <w:t>先天性畸形、变形或染色体异常</w:t>
      </w:r>
    </w:p>
    <w:p>
      <w:pPr>
        <w:pStyle w:val="BodyText"/>
        <w:spacing w:before="1"/>
        <w:rPr>
          <w:rFonts w:ascii="Microsoft JhengHei UI"/>
          <w:b/>
          <w:sz w:val="28"/>
        </w:rPr>
      </w:pPr>
    </w:p>
    <w:p>
      <w:pPr>
        <w:pStyle w:val="BodyText"/>
        <w:spacing w:line="408" w:lineRule="auto"/>
        <w:ind w:left="120" w:right="192"/>
      </w:pPr>
      <w:r>
        <w:rPr>
          <w:spacing w:val="-9"/>
        </w:rPr>
        <w:t>指被保险人出生时就具有的畸形、变形或染色体异常。先天性畸形、变形和染色体异常依照</w:t>
      </w:r>
      <w:r>
        <w:rPr>
          <w:spacing w:val="-3"/>
        </w:rPr>
        <w:t>世界卫生组织《疾病和有关健康问题的国际统计分类》</w:t>
      </w:r>
      <w:r>
        <w:rPr/>
        <w:t>（ICD-10）</w:t>
      </w:r>
      <w:r>
        <w:rPr>
          <w:spacing w:val="-2"/>
        </w:rPr>
        <w:t>确定。</w:t>
      </w:r>
    </w:p>
    <w:p>
      <w:pPr>
        <w:pStyle w:val="BodyText"/>
        <w:rPr>
          <w:sz w:val="26"/>
        </w:rPr>
      </w:pPr>
    </w:p>
    <w:p>
      <w:pPr>
        <w:pStyle w:val="BodyText"/>
        <w:spacing w:before="12"/>
        <w:rPr>
          <w:sz w:val="31"/>
        </w:rPr>
      </w:pPr>
    </w:p>
    <w:p>
      <w:pPr>
        <w:pStyle w:val="Heading2"/>
        <w:numPr>
          <w:ilvl w:val="1"/>
          <w:numId w:val="13"/>
        </w:numPr>
        <w:tabs>
          <w:tab w:pos="668" w:val="left" w:leader="none"/>
        </w:tabs>
        <w:spacing w:line="240" w:lineRule="auto" w:before="0" w:after="0"/>
        <w:ind w:left="667" w:right="0" w:hanging="547"/>
        <w:jc w:val="left"/>
      </w:pPr>
      <w:bookmarkStart w:name="_TOC_250006" w:id="66"/>
      <w:bookmarkEnd w:id="66"/>
      <w:r>
        <w:rPr>
          <w:spacing w:val="-2"/>
        </w:rPr>
        <w:t>银行转账交费</w:t>
      </w:r>
    </w:p>
    <w:p>
      <w:pPr>
        <w:pStyle w:val="BodyText"/>
        <w:rPr>
          <w:rFonts w:ascii="Microsoft JhengHei UI"/>
          <w:b/>
          <w:sz w:val="28"/>
        </w:rPr>
      </w:pPr>
    </w:p>
    <w:p>
      <w:pPr>
        <w:pStyle w:val="BodyText"/>
        <w:spacing w:line="408" w:lineRule="auto" w:before="1"/>
        <w:ind w:left="120" w:right="98"/>
      </w:pPr>
      <w:r>
        <w:rPr>
          <w:spacing w:val="-5"/>
        </w:rPr>
        <w:t>指投保人将保险费存入本公司指定银行的活期账户内，本公司通过银行转账将保险费划转， </w:t>
      </w:r>
      <w:r>
        <w:rPr>
          <w:spacing w:val="-4"/>
        </w:rPr>
        <w:t>继而完成投保人续交保险费的交纳。</w:t>
      </w:r>
    </w:p>
    <w:p>
      <w:pPr>
        <w:pStyle w:val="BodyText"/>
        <w:spacing w:before="3"/>
        <w:rPr>
          <w:sz w:val="22"/>
        </w:rPr>
      </w:pPr>
    </w:p>
    <w:p>
      <w:pPr>
        <w:pStyle w:val="Heading2"/>
        <w:numPr>
          <w:ilvl w:val="1"/>
          <w:numId w:val="13"/>
        </w:numPr>
        <w:tabs>
          <w:tab w:pos="668" w:val="left" w:leader="none"/>
        </w:tabs>
        <w:spacing w:line="240" w:lineRule="auto" w:before="0" w:after="0"/>
        <w:ind w:left="667" w:right="0" w:hanging="547"/>
        <w:jc w:val="left"/>
      </w:pPr>
      <w:bookmarkStart w:name="_TOC_250005" w:id="67"/>
      <w:bookmarkEnd w:id="67"/>
      <w:r>
        <w:rPr>
          <w:spacing w:val="-2"/>
        </w:rPr>
        <w:t>本条款约定利率</w:t>
      </w:r>
    </w:p>
    <w:p>
      <w:pPr>
        <w:pStyle w:val="BodyText"/>
        <w:spacing w:before="1"/>
        <w:rPr>
          <w:rFonts w:ascii="Microsoft JhengHei UI"/>
          <w:b/>
          <w:sz w:val="28"/>
        </w:rPr>
      </w:pPr>
    </w:p>
    <w:p>
      <w:pPr>
        <w:pStyle w:val="BodyText"/>
        <w:spacing w:line="408" w:lineRule="auto"/>
        <w:ind w:left="120" w:right="103"/>
      </w:pPr>
      <w:r>
        <w:rPr/>
        <w:t>按“同期中国人民银行每月第一个营业日适用的人民币六个月期贷款利率与4.5%之较大者” 计算。</w:t>
      </w:r>
    </w:p>
    <w:p>
      <w:pPr>
        <w:pStyle w:val="BodyText"/>
        <w:spacing w:before="2"/>
        <w:rPr>
          <w:sz w:val="22"/>
        </w:rPr>
      </w:pPr>
    </w:p>
    <w:p>
      <w:pPr>
        <w:pStyle w:val="Heading2"/>
        <w:numPr>
          <w:ilvl w:val="1"/>
          <w:numId w:val="13"/>
        </w:numPr>
        <w:tabs>
          <w:tab w:pos="668" w:val="left" w:leader="none"/>
        </w:tabs>
        <w:spacing w:line="240" w:lineRule="auto" w:before="1" w:after="0"/>
        <w:ind w:left="667" w:right="0" w:hanging="547"/>
        <w:jc w:val="left"/>
      </w:pPr>
      <w:bookmarkStart w:name="_TOC_250004" w:id="68"/>
      <w:bookmarkEnd w:id="68"/>
      <w:r>
        <w:rPr>
          <w:spacing w:val="-3"/>
        </w:rPr>
        <w:t>肌体机能完全丧失</w:t>
      </w:r>
    </w:p>
    <w:p>
      <w:pPr>
        <w:pStyle w:val="BodyText"/>
        <w:spacing w:before="1"/>
        <w:rPr>
          <w:rFonts w:ascii="Microsoft JhengHei UI"/>
          <w:b/>
          <w:sz w:val="28"/>
        </w:rPr>
      </w:pPr>
    </w:p>
    <w:p>
      <w:pPr>
        <w:pStyle w:val="BodyText"/>
        <w:spacing w:line="408" w:lineRule="auto"/>
        <w:ind w:left="120" w:right="192"/>
      </w:pPr>
      <w:r>
        <w:rPr>
          <w:spacing w:val="-8"/>
        </w:rPr>
        <w:t>指肢体的三大关节中的两大关节僵硬，或不能随意识活动。肢体是指包括肩关节的整个上肢</w:t>
      </w:r>
      <w:r>
        <w:rPr>
          <w:spacing w:val="-5"/>
        </w:rPr>
        <w:t>或包括髋关节的整个下肢。</w:t>
      </w:r>
    </w:p>
    <w:p>
      <w:pPr>
        <w:pStyle w:val="BodyText"/>
        <w:spacing w:before="2"/>
        <w:rPr>
          <w:sz w:val="22"/>
        </w:rPr>
      </w:pPr>
    </w:p>
    <w:p>
      <w:pPr>
        <w:pStyle w:val="Heading2"/>
        <w:numPr>
          <w:ilvl w:val="1"/>
          <w:numId w:val="13"/>
        </w:numPr>
        <w:tabs>
          <w:tab w:pos="668" w:val="left" w:leader="none"/>
        </w:tabs>
        <w:spacing w:line="240" w:lineRule="auto" w:before="0" w:after="0"/>
        <w:ind w:left="667" w:right="0" w:hanging="547"/>
        <w:jc w:val="left"/>
      </w:pPr>
      <w:bookmarkStart w:name="_TOC_250003" w:id="69"/>
      <w:bookmarkEnd w:id="69"/>
      <w:r>
        <w:rPr>
          <w:spacing w:val="-3"/>
        </w:rPr>
        <w:t>语言能力或咀嚼吞咽能力完全丧失</w:t>
      </w:r>
    </w:p>
    <w:p>
      <w:pPr>
        <w:pStyle w:val="BodyText"/>
        <w:spacing w:before="1"/>
        <w:rPr>
          <w:rFonts w:ascii="Microsoft JhengHei UI"/>
          <w:b/>
          <w:sz w:val="28"/>
        </w:rPr>
      </w:pPr>
    </w:p>
    <w:p>
      <w:pPr>
        <w:pStyle w:val="BodyText"/>
        <w:spacing w:line="408" w:lineRule="auto"/>
        <w:ind w:left="120" w:right="192"/>
      </w:pPr>
      <w:r>
        <w:rPr>
          <w:spacing w:val="-7"/>
        </w:rPr>
        <w:t>语言能力完全丧失，指无法发出四种声音</w:t>
      </w:r>
      <w:r>
        <w:rPr/>
        <w:t>（</w:t>
      </w:r>
      <w:r>
        <w:rPr>
          <w:spacing w:val="-8"/>
        </w:rPr>
        <w:t>包括口唇音、齿舌音、口盖音和喉头音</w:t>
      </w:r>
      <w:r>
        <w:rPr>
          <w:spacing w:val="-20"/>
        </w:rPr>
        <w:t>）</w:t>
      </w:r>
      <w:r>
        <w:rPr>
          <w:spacing w:val="-2"/>
        </w:rPr>
        <w:t>中的任</w:t>
      </w:r>
      <w:r>
        <w:rPr>
          <w:spacing w:val="-4"/>
        </w:rPr>
        <w:t>何三种、或声带全部切除，或因大脑语言中枢受伤害而患失语症。</w:t>
      </w:r>
    </w:p>
    <w:p>
      <w:pPr>
        <w:spacing w:after="0" w:line="408" w:lineRule="auto"/>
        <w:sectPr>
          <w:pgSz w:w="11910" w:h="16840"/>
          <w:pgMar w:header="0" w:footer="1045" w:top="1440" w:bottom="1240" w:left="1680" w:right="1600"/>
        </w:sectPr>
      </w:pPr>
    </w:p>
    <w:p>
      <w:pPr>
        <w:pStyle w:val="BodyText"/>
        <w:spacing w:line="408" w:lineRule="auto" w:before="34"/>
        <w:ind w:left="120" w:right="212"/>
      </w:pPr>
      <w:r>
        <w:rPr>
          <w:spacing w:val="-10"/>
        </w:rPr>
        <w:t>咀嚼吞咽能力完全丧失，指因牙齿以外的原因导致器质障碍或机能障碍，以致不能作咀嚼吞</w:t>
      </w:r>
      <w:r>
        <w:rPr>
          <w:spacing w:val="-5"/>
        </w:rPr>
        <w:t>咽动作，除流质食物外不能摄取或吞咽的状态。</w:t>
      </w:r>
    </w:p>
    <w:p>
      <w:pPr>
        <w:pStyle w:val="BodyText"/>
        <w:spacing w:before="2"/>
        <w:rPr>
          <w:sz w:val="22"/>
        </w:rPr>
      </w:pPr>
    </w:p>
    <w:p>
      <w:pPr>
        <w:pStyle w:val="Heading2"/>
        <w:numPr>
          <w:ilvl w:val="1"/>
          <w:numId w:val="13"/>
        </w:numPr>
        <w:tabs>
          <w:tab w:pos="668" w:val="left" w:leader="none"/>
        </w:tabs>
        <w:spacing w:line="240" w:lineRule="auto" w:before="0" w:after="0"/>
        <w:ind w:left="667" w:right="0" w:hanging="547"/>
        <w:jc w:val="left"/>
      </w:pPr>
      <w:bookmarkStart w:name="_TOC_250002" w:id="70"/>
      <w:bookmarkEnd w:id="70"/>
      <w:r>
        <w:rPr>
          <w:spacing w:val="-3"/>
        </w:rPr>
        <w:t>六项基本日常生活活动</w:t>
      </w:r>
    </w:p>
    <w:p>
      <w:pPr>
        <w:pStyle w:val="BodyText"/>
        <w:spacing w:before="1"/>
        <w:rPr>
          <w:rFonts w:ascii="Microsoft JhengHei UI"/>
          <w:b/>
          <w:sz w:val="28"/>
        </w:rPr>
      </w:pPr>
    </w:p>
    <w:p>
      <w:pPr>
        <w:pStyle w:val="BodyText"/>
        <w:spacing w:line="408" w:lineRule="auto"/>
        <w:ind w:left="120" w:right="140"/>
      </w:pPr>
      <w:r>
        <w:rPr>
          <w:spacing w:val="-3"/>
          <w:w w:val="100"/>
        </w:rPr>
        <w:t>六项基本日常生活活动是指</w:t>
      </w:r>
      <w:r>
        <w:rPr>
          <w:spacing w:val="-120"/>
          <w:w w:val="100"/>
        </w:rPr>
        <w:t>：</w:t>
      </w:r>
      <w:r>
        <w:rPr>
          <w:w w:val="100"/>
        </w:rPr>
        <w:t>（</w:t>
      </w:r>
      <w:r>
        <w:rPr>
          <w:spacing w:val="-1"/>
          <w:w w:val="94"/>
        </w:rPr>
        <w:t>1</w:t>
      </w:r>
      <w:r>
        <w:rPr>
          <w:spacing w:val="-15"/>
          <w:w w:val="100"/>
        </w:rPr>
        <w:t>）</w:t>
      </w:r>
      <w:r>
        <w:rPr>
          <w:spacing w:val="-5"/>
          <w:w w:val="100"/>
        </w:rPr>
        <w:t>穿衣：自己能够穿衣及脱衣</w:t>
      </w:r>
      <w:r>
        <w:rPr>
          <w:spacing w:val="-120"/>
          <w:w w:val="100"/>
        </w:rPr>
        <w:t>；</w:t>
      </w:r>
      <w:r>
        <w:rPr>
          <w:w w:val="100"/>
        </w:rPr>
        <w:t>（</w:t>
      </w:r>
      <w:r>
        <w:rPr>
          <w:spacing w:val="-1"/>
          <w:w w:val="94"/>
        </w:rPr>
        <w:t>2</w:t>
      </w:r>
      <w:r>
        <w:rPr>
          <w:spacing w:val="-15"/>
          <w:w w:val="100"/>
        </w:rPr>
        <w:t>）</w:t>
      </w:r>
      <w:r>
        <w:rPr>
          <w:spacing w:val="-5"/>
          <w:w w:val="100"/>
        </w:rPr>
        <w:t>移动：自己从一个房间</w:t>
      </w:r>
      <w:r>
        <w:rPr>
          <w:spacing w:val="-19"/>
          <w:w w:val="100"/>
        </w:rPr>
        <w:t>到另一个房间；</w:t>
      </w:r>
      <w:r>
        <w:rPr>
          <w:w w:val="100"/>
        </w:rPr>
        <w:t>（</w:t>
      </w:r>
      <w:r>
        <w:rPr>
          <w:spacing w:val="-1"/>
          <w:w w:val="94"/>
        </w:rPr>
        <w:t>3</w:t>
      </w:r>
      <w:r>
        <w:rPr>
          <w:spacing w:val="-3"/>
          <w:w w:val="100"/>
        </w:rPr>
        <w:t>）</w:t>
      </w:r>
      <w:r>
        <w:rPr>
          <w:spacing w:val="-12"/>
          <w:w w:val="100"/>
        </w:rPr>
        <w:t>行动：自己上下床或上下轮椅；</w:t>
      </w:r>
      <w:r>
        <w:rPr>
          <w:w w:val="100"/>
        </w:rPr>
        <w:t>（</w:t>
      </w:r>
      <w:r>
        <w:rPr>
          <w:spacing w:val="-1"/>
          <w:w w:val="94"/>
        </w:rPr>
        <w:t>4</w:t>
      </w:r>
      <w:r>
        <w:rPr>
          <w:w w:val="100"/>
        </w:rPr>
        <w:t>）</w:t>
      </w:r>
      <w:r>
        <w:rPr>
          <w:spacing w:val="-12"/>
          <w:w w:val="100"/>
        </w:rPr>
        <w:t>如厕：自己控制进行大小便；</w:t>
      </w:r>
      <w:r>
        <w:rPr>
          <w:w w:val="100"/>
        </w:rPr>
        <w:t>（</w:t>
      </w:r>
      <w:r>
        <w:rPr>
          <w:spacing w:val="-3"/>
          <w:w w:val="94"/>
        </w:rPr>
        <w:t>5</w:t>
      </w:r>
      <w:r>
        <w:rPr>
          <w:w w:val="100"/>
        </w:rPr>
        <w:t>）</w:t>
      </w:r>
      <w:r>
        <w:rPr>
          <w:spacing w:val="-8"/>
          <w:w w:val="100"/>
        </w:rPr>
        <w:t>进食：自己从已准备好的碗或碟中取食物放入口中；</w:t>
      </w:r>
      <w:r>
        <w:rPr>
          <w:w w:val="100"/>
        </w:rPr>
        <w:t>（</w:t>
      </w:r>
      <w:r>
        <w:rPr>
          <w:spacing w:val="-1"/>
          <w:w w:val="94"/>
        </w:rPr>
        <w:t>6</w:t>
      </w:r>
      <w:r>
        <w:rPr>
          <w:w w:val="100"/>
        </w:rPr>
        <w:t>）</w:t>
      </w:r>
      <w:r>
        <w:rPr>
          <w:spacing w:val="-4"/>
          <w:w w:val="100"/>
        </w:rPr>
        <w:t>洗澡：自己进行淋浴或盆浴。</w:t>
      </w:r>
    </w:p>
    <w:p>
      <w:pPr>
        <w:pStyle w:val="BodyText"/>
        <w:spacing w:before="3"/>
        <w:rPr>
          <w:sz w:val="22"/>
        </w:rPr>
      </w:pPr>
    </w:p>
    <w:p>
      <w:pPr>
        <w:pStyle w:val="Heading2"/>
        <w:numPr>
          <w:ilvl w:val="1"/>
          <w:numId w:val="13"/>
        </w:numPr>
        <w:tabs>
          <w:tab w:pos="668" w:val="left" w:leader="none"/>
        </w:tabs>
        <w:spacing w:line="240" w:lineRule="auto" w:before="0" w:after="0"/>
        <w:ind w:left="667" w:right="0" w:hanging="547"/>
        <w:jc w:val="left"/>
      </w:pPr>
      <w:bookmarkStart w:name="_TOC_250001" w:id="71"/>
      <w:bookmarkEnd w:id="71"/>
      <w:r>
        <w:rPr>
          <w:spacing w:val="-1"/>
        </w:rPr>
        <w:t>永久不可逆</w:t>
      </w:r>
    </w:p>
    <w:p>
      <w:pPr>
        <w:pStyle w:val="BodyText"/>
        <w:spacing w:before="1"/>
        <w:rPr>
          <w:rFonts w:ascii="Microsoft JhengHei UI"/>
          <w:b/>
          <w:sz w:val="28"/>
        </w:rPr>
      </w:pPr>
    </w:p>
    <w:p>
      <w:pPr>
        <w:pStyle w:val="BodyText"/>
        <w:spacing w:line="408" w:lineRule="auto"/>
        <w:ind w:left="120" w:right="212"/>
      </w:pPr>
      <w:r>
        <w:rPr>
          <w:spacing w:val="-8"/>
        </w:rPr>
        <w:t>指自疾病确诊或意外伤害发生之日起，经过积极治疗 </w:t>
      </w:r>
      <w:r>
        <w:rPr/>
        <w:t>180</w:t>
      </w:r>
      <w:r>
        <w:rPr>
          <w:spacing w:val="-10"/>
        </w:rPr>
        <w:t> 天后，仍无法通过现有医疗手段恢复。</w:t>
      </w:r>
    </w:p>
    <w:p>
      <w:pPr>
        <w:pStyle w:val="BodyText"/>
        <w:spacing w:before="2"/>
        <w:rPr>
          <w:sz w:val="22"/>
        </w:rPr>
      </w:pPr>
    </w:p>
    <w:p>
      <w:pPr>
        <w:pStyle w:val="Heading2"/>
        <w:numPr>
          <w:ilvl w:val="1"/>
          <w:numId w:val="13"/>
        </w:numPr>
        <w:tabs>
          <w:tab w:pos="668" w:val="left" w:leader="none"/>
        </w:tabs>
        <w:spacing w:line="240" w:lineRule="auto" w:before="0" w:after="0"/>
        <w:ind w:left="667" w:right="0" w:hanging="547"/>
        <w:jc w:val="left"/>
      </w:pPr>
      <w:bookmarkStart w:name="_TOC_250000" w:id="72"/>
      <w:bookmarkEnd w:id="72"/>
      <w:r>
        <w:rPr>
          <w:spacing w:val="-1"/>
        </w:rPr>
        <w:t>专科医生</w:t>
      </w:r>
    </w:p>
    <w:p>
      <w:pPr>
        <w:pStyle w:val="BodyText"/>
        <w:rPr>
          <w:rFonts w:ascii="Microsoft JhengHei UI"/>
          <w:b/>
          <w:sz w:val="28"/>
        </w:rPr>
      </w:pPr>
    </w:p>
    <w:p>
      <w:pPr>
        <w:pStyle w:val="BodyText"/>
        <w:spacing w:before="1"/>
        <w:ind w:left="120"/>
      </w:pPr>
      <w:r>
        <w:rPr>
          <w:spacing w:val="-3"/>
          <w:w w:val="100"/>
        </w:rPr>
        <w:t>专科医生应当同时满足以下四项资格条件</w:t>
      </w:r>
      <w:r>
        <w:rPr>
          <w:spacing w:val="-207"/>
          <w:w w:val="100"/>
        </w:rPr>
        <w:t>：</w:t>
      </w:r>
      <w:r>
        <w:rPr>
          <w:w w:val="100"/>
        </w:rPr>
        <w:t>（</w:t>
      </w:r>
      <w:r>
        <w:rPr>
          <w:spacing w:val="-1"/>
          <w:w w:val="94"/>
        </w:rPr>
        <w:t>1</w:t>
      </w:r>
      <w:r>
        <w:rPr>
          <w:spacing w:val="-101"/>
          <w:w w:val="100"/>
        </w:rPr>
        <w:t>）</w:t>
      </w:r>
      <w:r>
        <w:rPr>
          <w:spacing w:val="-17"/>
          <w:w w:val="100"/>
        </w:rPr>
        <w:t>具有有效的中华人民共和国《医师资格证书》；</w:t>
      </w:r>
    </w:p>
    <w:p>
      <w:pPr>
        <w:pStyle w:val="BodyText"/>
        <w:spacing w:line="408" w:lineRule="auto" w:before="193"/>
        <w:ind w:left="120" w:right="212"/>
        <w:jc w:val="both"/>
      </w:pPr>
      <w:r>
        <w:rPr>
          <w:w w:val="100"/>
        </w:rPr>
        <w:t>（</w:t>
      </w:r>
      <w:r>
        <w:rPr>
          <w:spacing w:val="-1"/>
          <w:w w:val="94"/>
        </w:rPr>
        <w:t>2</w:t>
      </w:r>
      <w:r>
        <w:rPr>
          <w:spacing w:val="-17"/>
          <w:w w:val="100"/>
        </w:rPr>
        <w:t>）</w:t>
      </w:r>
      <w:r>
        <w:rPr>
          <w:spacing w:val="-12"/>
          <w:w w:val="100"/>
        </w:rPr>
        <w:t>具有有效的中华人民共和国《医师执业证书》，并按期到相关部门登记注册</w:t>
      </w:r>
      <w:r>
        <w:rPr>
          <w:spacing w:val="-123"/>
          <w:w w:val="100"/>
        </w:rPr>
        <w:t>；</w:t>
      </w:r>
      <w:r>
        <w:rPr>
          <w:spacing w:val="-1"/>
          <w:w w:val="100"/>
        </w:rPr>
        <w:t>（</w:t>
      </w:r>
      <w:r>
        <w:rPr>
          <w:spacing w:val="-1"/>
          <w:w w:val="94"/>
        </w:rPr>
        <w:t>3</w:t>
      </w:r>
      <w:r>
        <w:rPr>
          <w:spacing w:val="-20"/>
          <w:w w:val="100"/>
        </w:rPr>
        <w:t>）</w:t>
      </w:r>
      <w:r>
        <w:rPr>
          <w:w w:val="100"/>
        </w:rPr>
        <w:t>具有</w:t>
      </w:r>
      <w:r>
        <w:rPr>
          <w:spacing w:val="-12"/>
          <w:w w:val="100"/>
        </w:rPr>
        <w:t>有效的中华人民共和国主治医师或主治医师以上职称的《医师职称证书》；</w:t>
      </w:r>
      <w:r>
        <w:rPr>
          <w:w w:val="100"/>
        </w:rPr>
        <w:t>（</w:t>
      </w:r>
      <w:r>
        <w:rPr>
          <w:spacing w:val="-4"/>
          <w:w w:val="94"/>
        </w:rPr>
        <w:t>4</w:t>
      </w:r>
      <w:r>
        <w:rPr>
          <w:w w:val="100"/>
        </w:rPr>
        <w:t>）</w:t>
      </w:r>
      <w:r>
        <w:rPr>
          <w:spacing w:val="-1"/>
          <w:w w:val="100"/>
        </w:rPr>
        <w:t>在二级或二</w:t>
      </w:r>
      <w:r>
        <w:rPr>
          <w:spacing w:val="-3"/>
        </w:rPr>
        <w:t>级以上医院的相应科室从事临床工作三年以上</w:t>
      </w:r>
    </w:p>
    <w:sectPr>
      <w:pgSz w:w="11910" w:h="16840"/>
      <w:pgMar w:header="0" w:footer="1045" w:top="1440" w:bottom="124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Segoe UI Symbol">
    <w:altName w:val="Segoe UI Symbol"/>
    <w:charset w:val="0"/>
    <w:family w:val="swiss"/>
    <w:pitch w:val="variable"/>
  </w:font>
  <w:font w:name="黑体">
    <w:altName w:val="黑体"/>
    <w:charset w:val="86"/>
    <w:family w:val="modern"/>
    <w:pitch w:val="fixed"/>
  </w:font>
  <w:font w:name="Wingdings">
    <w:altName w:val="Wingdings"/>
    <w:charset w:val="2"/>
    <w:family w:val="auto"/>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778.645996pt;width:209pt;height:13.75pt;mso-position-horizontal-relative:page;mso-position-vertical-relative:page;z-index:-20656" type="#_x0000_t202" filled="false" stroked="false">
          <v:textbox inset="0,0,0,0">
            <w:txbxContent>
              <w:p>
                <w:pPr>
                  <w:spacing w:line="223" w:lineRule="exact" w:before="0"/>
                  <w:ind w:left="20" w:right="0" w:firstLine="0"/>
                  <w:jc w:val="left"/>
                  <w:rPr>
                    <w:sz w:val="18"/>
                  </w:rPr>
                </w:pPr>
                <w:r>
                  <w:rPr>
                    <w:sz w:val="18"/>
                  </w:rPr>
                  <w:t>中新大东方附加金玉长安提前给付重大疾病保险条款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78.645996pt;width:209pt;height:13.75pt;mso-position-horizontal-relative:page;mso-position-vertical-relative:page;z-index:-20632" type="#_x0000_t202" filled="false" stroked="false">
          <v:textbox inset="0,0,0,0">
            <w:txbxContent>
              <w:p>
                <w:pPr>
                  <w:spacing w:line="223" w:lineRule="exact" w:before="0"/>
                  <w:ind w:left="20" w:right="0" w:firstLine="0"/>
                  <w:jc w:val="left"/>
                  <w:rPr>
                    <w:sz w:val="18"/>
                  </w:rPr>
                </w:pPr>
                <w:r>
                  <w:rPr>
                    <w:sz w:val="18"/>
                  </w:rPr>
                  <w:t>中新大东方附加金玉长安提前给付重大疾病保险条款</w:t>
                </w:r>
              </w:p>
            </w:txbxContent>
          </v:textbox>
          <w10:wrap type="none"/>
        </v:shape>
      </w:pict>
    </w:r>
    <w:r>
      <w:rPr/>
      <w:pict>
        <v:shape style="position:absolute;margin-left:479.679993pt;margin-top:779.5pt;width:13pt;height:12pt;mso-position-horizontal-relative:page;mso-position-vertical-relative:page;z-index:-20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40" w:hanging="720"/>
        <w:jc w:val="left"/>
      </w:pPr>
      <w:rPr>
        <w:rFonts w:hint="default" w:ascii="宋体" w:hAnsi="宋体" w:eastAsia="宋体" w:cs="宋体"/>
        <w:spacing w:val="-1"/>
        <w:w w:val="94"/>
        <w:sz w:val="21"/>
        <w:szCs w:val="21"/>
      </w:rPr>
    </w:lvl>
    <w:lvl w:ilvl="1">
      <w:start w:val="0"/>
      <w:numFmt w:val="bullet"/>
      <w:lvlText w:val="•"/>
      <w:lvlJc w:val="left"/>
      <w:pPr>
        <w:ind w:left="1620" w:hanging="720"/>
      </w:pPr>
      <w:rPr>
        <w:rFonts w:hint="default"/>
      </w:rPr>
    </w:lvl>
    <w:lvl w:ilvl="2">
      <w:start w:val="0"/>
      <w:numFmt w:val="bullet"/>
      <w:lvlText w:val="•"/>
      <w:lvlJc w:val="left"/>
      <w:pPr>
        <w:ind w:left="2401" w:hanging="720"/>
      </w:pPr>
      <w:rPr>
        <w:rFonts w:hint="default"/>
      </w:rPr>
    </w:lvl>
    <w:lvl w:ilvl="3">
      <w:start w:val="0"/>
      <w:numFmt w:val="bullet"/>
      <w:lvlText w:val="•"/>
      <w:lvlJc w:val="left"/>
      <w:pPr>
        <w:ind w:left="3181" w:hanging="720"/>
      </w:pPr>
      <w:rPr>
        <w:rFonts w:hint="default"/>
      </w:rPr>
    </w:lvl>
    <w:lvl w:ilvl="4">
      <w:start w:val="0"/>
      <w:numFmt w:val="bullet"/>
      <w:lvlText w:val="•"/>
      <w:lvlJc w:val="left"/>
      <w:pPr>
        <w:ind w:left="3962" w:hanging="720"/>
      </w:pPr>
      <w:rPr>
        <w:rFonts w:hint="default"/>
      </w:rPr>
    </w:lvl>
    <w:lvl w:ilvl="5">
      <w:start w:val="0"/>
      <w:numFmt w:val="bullet"/>
      <w:lvlText w:val="•"/>
      <w:lvlJc w:val="left"/>
      <w:pPr>
        <w:ind w:left="4742" w:hanging="720"/>
      </w:pPr>
      <w:rPr>
        <w:rFonts w:hint="default"/>
      </w:rPr>
    </w:lvl>
    <w:lvl w:ilvl="6">
      <w:start w:val="0"/>
      <w:numFmt w:val="bullet"/>
      <w:lvlText w:val="•"/>
      <w:lvlJc w:val="left"/>
      <w:pPr>
        <w:ind w:left="5523" w:hanging="720"/>
      </w:pPr>
      <w:rPr>
        <w:rFonts w:hint="default"/>
      </w:rPr>
    </w:lvl>
    <w:lvl w:ilvl="7">
      <w:start w:val="0"/>
      <w:numFmt w:val="bullet"/>
      <w:lvlText w:val="•"/>
      <w:lvlJc w:val="left"/>
      <w:pPr>
        <w:ind w:left="6303" w:hanging="720"/>
      </w:pPr>
      <w:rPr>
        <w:rFonts w:hint="default"/>
      </w:rPr>
    </w:lvl>
    <w:lvl w:ilvl="8">
      <w:start w:val="0"/>
      <w:numFmt w:val="bullet"/>
      <w:lvlText w:val="•"/>
      <w:lvlJc w:val="left"/>
      <w:pPr>
        <w:ind w:left="7084" w:hanging="720"/>
      </w:pPr>
      <w:rPr>
        <w:rFonts w:hint="default"/>
      </w:rPr>
    </w:lvl>
  </w:abstractNum>
  <w:abstractNum w:abstractNumId="13">
    <w:multiLevelType w:val="hybridMultilevel"/>
    <w:lvl w:ilvl="0">
      <w:start w:val="1"/>
      <w:numFmt w:val="decimal"/>
      <w:lvlText w:val="（%1）"/>
      <w:lvlJc w:val="left"/>
      <w:pPr>
        <w:ind w:left="840" w:hanging="720"/>
        <w:jc w:val="left"/>
      </w:pPr>
      <w:rPr>
        <w:rFonts w:hint="default" w:ascii="宋体" w:hAnsi="宋体" w:eastAsia="宋体" w:cs="宋体"/>
        <w:spacing w:val="-1"/>
        <w:w w:val="94"/>
        <w:sz w:val="21"/>
        <w:szCs w:val="21"/>
      </w:rPr>
    </w:lvl>
    <w:lvl w:ilvl="1">
      <w:start w:val="0"/>
      <w:numFmt w:val="bullet"/>
      <w:lvlText w:val="•"/>
      <w:lvlJc w:val="left"/>
      <w:pPr>
        <w:ind w:left="1620" w:hanging="720"/>
      </w:pPr>
      <w:rPr>
        <w:rFonts w:hint="default"/>
      </w:rPr>
    </w:lvl>
    <w:lvl w:ilvl="2">
      <w:start w:val="0"/>
      <w:numFmt w:val="bullet"/>
      <w:lvlText w:val="•"/>
      <w:lvlJc w:val="left"/>
      <w:pPr>
        <w:ind w:left="2401" w:hanging="720"/>
      </w:pPr>
      <w:rPr>
        <w:rFonts w:hint="default"/>
      </w:rPr>
    </w:lvl>
    <w:lvl w:ilvl="3">
      <w:start w:val="0"/>
      <w:numFmt w:val="bullet"/>
      <w:lvlText w:val="•"/>
      <w:lvlJc w:val="left"/>
      <w:pPr>
        <w:ind w:left="3181" w:hanging="720"/>
      </w:pPr>
      <w:rPr>
        <w:rFonts w:hint="default"/>
      </w:rPr>
    </w:lvl>
    <w:lvl w:ilvl="4">
      <w:start w:val="0"/>
      <w:numFmt w:val="bullet"/>
      <w:lvlText w:val="•"/>
      <w:lvlJc w:val="left"/>
      <w:pPr>
        <w:ind w:left="3962" w:hanging="720"/>
      </w:pPr>
      <w:rPr>
        <w:rFonts w:hint="default"/>
      </w:rPr>
    </w:lvl>
    <w:lvl w:ilvl="5">
      <w:start w:val="0"/>
      <w:numFmt w:val="bullet"/>
      <w:lvlText w:val="•"/>
      <w:lvlJc w:val="left"/>
      <w:pPr>
        <w:ind w:left="4742" w:hanging="720"/>
      </w:pPr>
      <w:rPr>
        <w:rFonts w:hint="default"/>
      </w:rPr>
    </w:lvl>
    <w:lvl w:ilvl="6">
      <w:start w:val="0"/>
      <w:numFmt w:val="bullet"/>
      <w:lvlText w:val="•"/>
      <w:lvlJc w:val="left"/>
      <w:pPr>
        <w:ind w:left="5523" w:hanging="720"/>
      </w:pPr>
      <w:rPr>
        <w:rFonts w:hint="default"/>
      </w:rPr>
    </w:lvl>
    <w:lvl w:ilvl="7">
      <w:start w:val="0"/>
      <w:numFmt w:val="bullet"/>
      <w:lvlText w:val="•"/>
      <w:lvlJc w:val="left"/>
      <w:pPr>
        <w:ind w:left="6303" w:hanging="720"/>
      </w:pPr>
      <w:rPr>
        <w:rFonts w:hint="default"/>
      </w:rPr>
    </w:lvl>
    <w:lvl w:ilvl="8">
      <w:start w:val="0"/>
      <w:numFmt w:val="bullet"/>
      <w:lvlText w:val="•"/>
      <w:lvlJc w:val="left"/>
      <w:pPr>
        <w:ind w:left="7084" w:hanging="720"/>
      </w:pPr>
      <w:rPr>
        <w:rFonts w:hint="default"/>
      </w:rPr>
    </w:lvl>
  </w:abstractNum>
  <w:abstractNum w:abstractNumId="12">
    <w:multiLevelType w:val="hybridMultilevel"/>
    <w:lvl w:ilvl="0">
      <w:start w:val="10"/>
      <w:numFmt w:val="decimal"/>
      <w:lvlText w:val="%1"/>
      <w:lvlJc w:val="left"/>
      <w:pPr>
        <w:ind w:left="674" w:hanging="555"/>
        <w:jc w:val="left"/>
      </w:pPr>
      <w:rPr>
        <w:rFonts w:hint="default"/>
      </w:rPr>
    </w:lvl>
    <w:lvl w:ilvl="1">
      <w:start w:val="4"/>
      <w:numFmt w:val="decimal"/>
      <w:lvlText w:val="%1.%2"/>
      <w:lvlJc w:val="left"/>
      <w:pPr>
        <w:ind w:left="120" w:hanging="555"/>
        <w:jc w:val="left"/>
      </w:pPr>
      <w:rPr>
        <w:rFonts w:hint="default" w:ascii="Microsoft JhengHei UI" w:hAnsi="Microsoft JhengHei UI" w:eastAsia="Microsoft JhengHei UI" w:cs="Microsoft JhengHei UI"/>
        <w:b/>
        <w:bCs/>
        <w:w w:val="80"/>
        <w:sz w:val="21"/>
        <w:szCs w:val="21"/>
      </w:rPr>
    </w:lvl>
    <w:lvl w:ilvl="2">
      <w:start w:val="0"/>
      <w:numFmt w:val="bullet"/>
      <w:lvlText w:val="•"/>
      <w:lvlJc w:val="left"/>
      <w:pPr>
        <w:ind w:left="1565" w:hanging="555"/>
      </w:pPr>
      <w:rPr>
        <w:rFonts w:hint="default"/>
      </w:rPr>
    </w:lvl>
    <w:lvl w:ilvl="3">
      <w:start w:val="0"/>
      <w:numFmt w:val="bullet"/>
      <w:lvlText w:val="•"/>
      <w:lvlJc w:val="left"/>
      <w:pPr>
        <w:ind w:left="2450" w:hanging="555"/>
      </w:pPr>
      <w:rPr>
        <w:rFonts w:hint="default"/>
      </w:rPr>
    </w:lvl>
    <w:lvl w:ilvl="4">
      <w:start w:val="0"/>
      <w:numFmt w:val="bullet"/>
      <w:lvlText w:val="•"/>
      <w:lvlJc w:val="left"/>
      <w:pPr>
        <w:ind w:left="3335" w:hanging="555"/>
      </w:pPr>
      <w:rPr>
        <w:rFonts w:hint="default"/>
      </w:rPr>
    </w:lvl>
    <w:lvl w:ilvl="5">
      <w:start w:val="0"/>
      <w:numFmt w:val="bullet"/>
      <w:lvlText w:val="•"/>
      <w:lvlJc w:val="left"/>
      <w:pPr>
        <w:ind w:left="4220" w:hanging="555"/>
      </w:pPr>
      <w:rPr>
        <w:rFonts w:hint="default"/>
      </w:rPr>
    </w:lvl>
    <w:lvl w:ilvl="6">
      <w:start w:val="0"/>
      <w:numFmt w:val="bullet"/>
      <w:lvlText w:val="•"/>
      <w:lvlJc w:val="left"/>
      <w:pPr>
        <w:ind w:left="5105" w:hanging="555"/>
      </w:pPr>
      <w:rPr>
        <w:rFonts w:hint="default"/>
      </w:rPr>
    </w:lvl>
    <w:lvl w:ilvl="7">
      <w:start w:val="0"/>
      <w:numFmt w:val="bullet"/>
      <w:lvlText w:val="•"/>
      <w:lvlJc w:val="left"/>
      <w:pPr>
        <w:ind w:left="5990" w:hanging="555"/>
      </w:pPr>
      <w:rPr>
        <w:rFonts w:hint="default"/>
      </w:rPr>
    </w:lvl>
    <w:lvl w:ilvl="8">
      <w:start w:val="0"/>
      <w:numFmt w:val="bullet"/>
      <w:lvlText w:val="•"/>
      <w:lvlJc w:val="left"/>
      <w:pPr>
        <w:ind w:left="6875" w:hanging="555"/>
      </w:pPr>
      <w:rPr>
        <w:rFonts w:hint="default"/>
      </w:rPr>
    </w:lvl>
  </w:abstractNum>
  <w:abstractNum w:abstractNumId="11">
    <w:multiLevelType w:val="hybridMultilevel"/>
    <w:lvl w:ilvl="0">
      <w:start w:val="1"/>
      <w:numFmt w:val="upperRoman"/>
      <w:lvlText w:val="%1"/>
      <w:lvlJc w:val="left"/>
      <w:pPr>
        <w:ind w:left="264" w:hanging="128"/>
        <w:jc w:val="left"/>
      </w:pPr>
      <w:rPr>
        <w:rFonts w:hint="default" w:ascii="宋体" w:hAnsi="宋体" w:eastAsia="宋体" w:cs="宋体"/>
        <w:w w:val="71"/>
        <w:sz w:val="21"/>
        <w:szCs w:val="21"/>
      </w:rPr>
    </w:lvl>
    <w:lvl w:ilvl="1">
      <w:start w:val="0"/>
      <w:numFmt w:val="bullet"/>
      <w:lvlText w:val="•"/>
      <w:lvlJc w:val="left"/>
      <w:pPr>
        <w:ind w:left="1088" w:hanging="128"/>
      </w:pPr>
      <w:rPr>
        <w:rFonts w:hint="default"/>
      </w:rPr>
    </w:lvl>
    <w:lvl w:ilvl="2">
      <w:start w:val="0"/>
      <w:numFmt w:val="bullet"/>
      <w:lvlText w:val="•"/>
      <w:lvlJc w:val="left"/>
      <w:pPr>
        <w:ind w:left="1917" w:hanging="128"/>
      </w:pPr>
      <w:rPr>
        <w:rFonts w:hint="default"/>
      </w:rPr>
    </w:lvl>
    <w:lvl w:ilvl="3">
      <w:start w:val="0"/>
      <w:numFmt w:val="bullet"/>
      <w:lvlText w:val="•"/>
      <w:lvlJc w:val="left"/>
      <w:pPr>
        <w:ind w:left="2745" w:hanging="128"/>
      </w:pPr>
      <w:rPr>
        <w:rFonts w:hint="default"/>
      </w:rPr>
    </w:lvl>
    <w:lvl w:ilvl="4">
      <w:start w:val="0"/>
      <w:numFmt w:val="bullet"/>
      <w:lvlText w:val="•"/>
      <w:lvlJc w:val="left"/>
      <w:pPr>
        <w:ind w:left="3574" w:hanging="128"/>
      </w:pPr>
      <w:rPr>
        <w:rFonts w:hint="default"/>
      </w:rPr>
    </w:lvl>
    <w:lvl w:ilvl="5">
      <w:start w:val="0"/>
      <w:numFmt w:val="bullet"/>
      <w:lvlText w:val="•"/>
      <w:lvlJc w:val="left"/>
      <w:pPr>
        <w:ind w:left="4402" w:hanging="128"/>
      </w:pPr>
      <w:rPr>
        <w:rFonts w:hint="default"/>
      </w:rPr>
    </w:lvl>
    <w:lvl w:ilvl="6">
      <w:start w:val="0"/>
      <w:numFmt w:val="bullet"/>
      <w:lvlText w:val="•"/>
      <w:lvlJc w:val="left"/>
      <w:pPr>
        <w:ind w:left="5231" w:hanging="128"/>
      </w:pPr>
      <w:rPr>
        <w:rFonts w:hint="default"/>
      </w:rPr>
    </w:lvl>
    <w:lvl w:ilvl="7">
      <w:start w:val="0"/>
      <w:numFmt w:val="bullet"/>
      <w:lvlText w:val="•"/>
      <w:lvlJc w:val="left"/>
      <w:pPr>
        <w:ind w:left="6059" w:hanging="128"/>
      </w:pPr>
      <w:rPr>
        <w:rFonts w:hint="default"/>
      </w:rPr>
    </w:lvl>
    <w:lvl w:ilvl="8">
      <w:start w:val="0"/>
      <w:numFmt w:val="bullet"/>
      <w:lvlText w:val="•"/>
      <w:lvlJc w:val="left"/>
      <w:pPr>
        <w:ind w:left="6888" w:hanging="128"/>
      </w:pPr>
      <w:rPr>
        <w:rFonts w:hint="default"/>
      </w:rPr>
    </w:lvl>
  </w:abstractNum>
  <w:abstractNum w:abstractNumId="10">
    <w:multiLevelType w:val="hybridMultilevel"/>
    <w:lvl w:ilvl="0">
      <w:start w:val="10"/>
      <w:numFmt w:val="decimal"/>
      <w:lvlText w:val="%1."/>
      <w:lvlJc w:val="left"/>
      <w:pPr>
        <w:ind w:left="544" w:hanging="425"/>
        <w:jc w:val="left"/>
      </w:pPr>
      <w:rPr>
        <w:rFonts w:hint="default" w:ascii="宋体" w:hAnsi="宋体" w:eastAsia="宋体" w:cs="宋体"/>
        <w:b/>
        <w:bCs/>
        <w:w w:val="99"/>
        <w:sz w:val="21"/>
        <w:szCs w:val="21"/>
      </w:rPr>
    </w:lvl>
    <w:lvl w:ilvl="1">
      <w:start w:val="1"/>
      <w:numFmt w:val="decimal"/>
      <w:lvlText w:val="%1.%2"/>
      <w:lvlJc w:val="left"/>
      <w:pPr>
        <w:ind w:left="674" w:hanging="555"/>
        <w:jc w:val="left"/>
      </w:pPr>
      <w:rPr>
        <w:rFonts w:hint="default" w:ascii="Microsoft JhengHei UI" w:hAnsi="Microsoft JhengHei UI" w:eastAsia="Microsoft JhengHei UI" w:cs="Microsoft JhengHei UI"/>
        <w:b/>
        <w:bCs/>
        <w:w w:val="80"/>
        <w:sz w:val="21"/>
        <w:szCs w:val="21"/>
      </w:rPr>
    </w:lvl>
    <w:lvl w:ilvl="2">
      <w:start w:val="1"/>
      <w:numFmt w:val="decimal"/>
      <w:lvlText w:val="%1.%2.%3"/>
      <w:lvlJc w:val="left"/>
      <w:pPr>
        <w:ind w:left="840" w:hanging="720"/>
        <w:jc w:val="left"/>
      </w:pPr>
      <w:rPr>
        <w:rFonts w:hint="default" w:ascii="Microsoft JhengHei UI" w:hAnsi="Microsoft JhengHei UI" w:eastAsia="Microsoft JhengHei UI" w:cs="Microsoft JhengHei UI"/>
        <w:b/>
        <w:bCs/>
        <w:w w:val="80"/>
        <w:sz w:val="21"/>
        <w:szCs w:val="21"/>
      </w:rPr>
    </w:lvl>
    <w:lvl w:ilvl="3">
      <w:start w:val="0"/>
      <w:numFmt w:val="bullet"/>
      <w:lvlText w:val="•"/>
      <w:lvlJc w:val="left"/>
      <w:pPr>
        <w:ind w:left="1803" w:hanging="720"/>
      </w:pPr>
      <w:rPr>
        <w:rFonts w:hint="default"/>
      </w:rPr>
    </w:lvl>
    <w:lvl w:ilvl="4">
      <w:start w:val="0"/>
      <w:numFmt w:val="bullet"/>
      <w:lvlText w:val="•"/>
      <w:lvlJc w:val="left"/>
      <w:pPr>
        <w:ind w:left="2766" w:hanging="720"/>
      </w:pPr>
      <w:rPr>
        <w:rFonts w:hint="default"/>
      </w:rPr>
    </w:lvl>
    <w:lvl w:ilvl="5">
      <w:start w:val="0"/>
      <w:numFmt w:val="bullet"/>
      <w:lvlText w:val="•"/>
      <w:lvlJc w:val="left"/>
      <w:pPr>
        <w:ind w:left="3729" w:hanging="720"/>
      </w:pPr>
      <w:rPr>
        <w:rFonts w:hint="default"/>
      </w:rPr>
    </w:lvl>
    <w:lvl w:ilvl="6">
      <w:start w:val="0"/>
      <w:numFmt w:val="bullet"/>
      <w:lvlText w:val="•"/>
      <w:lvlJc w:val="left"/>
      <w:pPr>
        <w:ind w:left="4692" w:hanging="720"/>
      </w:pPr>
      <w:rPr>
        <w:rFonts w:hint="default"/>
      </w:rPr>
    </w:lvl>
    <w:lvl w:ilvl="7">
      <w:start w:val="0"/>
      <w:numFmt w:val="bullet"/>
      <w:lvlText w:val="•"/>
      <w:lvlJc w:val="left"/>
      <w:pPr>
        <w:ind w:left="5655" w:hanging="720"/>
      </w:pPr>
      <w:rPr>
        <w:rFonts w:hint="default"/>
      </w:rPr>
    </w:lvl>
    <w:lvl w:ilvl="8">
      <w:start w:val="0"/>
      <w:numFmt w:val="bullet"/>
      <w:lvlText w:val="•"/>
      <w:lvlJc w:val="left"/>
      <w:pPr>
        <w:ind w:left="6619" w:hanging="720"/>
      </w:pPr>
      <w:rPr>
        <w:rFonts w:hint="default"/>
      </w:rPr>
    </w:lvl>
  </w:abstractNum>
  <w:abstractNum w:abstractNumId="9">
    <w:multiLevelType w:val="hybridMultilevel"/>
    <w:lvl w:ilvl="0">
      <w:start w:val="1"/>
      <w:numFmt w:val="decimal"/>
      <w:lvlText w:val="%1."/>
      <w:lvlJc w:val="left"/>
      <w:pPr>
        <w:ind w:left="539" w:hanging="420"/>
        <w:jc w:val="left"/>
      </w:pPr>
      <w:rPr>
        <w:rFonts w:hint="default" w:ascii="宋体" w:hAnsi="宋体" w:eastAsia="宋体" w:cs="宋体"/>
        <w:w w:val="69"/>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2"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3" w:hanging="420"/>
      </w:pPr>
      <w:rPr>
        <w:rFonts w:hint="default"/>
      </w:rPr>
    </w:lvl>
    <w:lvl w:ilvl="8">
      <w:start w:val="0"/>
      <w:numFmt w:val="bullet"/>
      <w:lvlText w:val="•"/>
      <w:lvlJc w:val="left"/>
      <w:pPr>
        <w:ind w:left="6944" w:hanging="420"/>
      </w:pPr>
      <w:rPr>
        <w:rFonts w:hint="default"/>
      </w:rPr>
    </w:lvl>
  </w:abstractNum>
  <w:abstractNum w:abstractNumId="8">
    <w:multiLevelType w:val="hybridMultilevel"/>
    <w:lvl w:ilvl="0">
      <w:start w:val="1"/>
      <w:numFmt w:val="decimal"/>
      <w:lvlText w:val="%1."/>
      <w:lvlJc w:val="left"/>
      <w:pPr>
        <w:ind w:left="369" w:hanging="250"/>
        <w:jc w:val="left"/>
      </w:pPr>
      <w:rPr>
        <w:rFonts w:hint="default" w:ascii="宋体" w:hAnsi="宋体" w:eastAsia="宋体" w:cs="宋体"/>
        <w:w w:val="69"/>
        <w:sz w:val="21"/>
        <w:szCs w:val="21"/>
      </w:rPr>
    </w:lvl>
    <w:lvl w:ilvl="1">
      <w:start w:val="0"/>
      <w:numFmt w:val="bullet"/>
      <w:lvlText w:val="•"/>
      <w:lvlJc w:val="left"/>
      <w:pPr>
        <w:ind w:left="1186" w:hanging="250"/>
      </w:pPr>
      <w:rPr>
        <w:rFonts w:hint="default"/>
      </w:rPr>
    </w:lvl>
    <w:lvl w:ilvl="2">
      <w:start w:val="0"/>
      <w:numFmt w:val="bullet"/>
      <w:lvlText w:val="•"/>
      <w:lvlJc w:val="left"/>
      <w:pPr>
        <w:ind w:left="2013" w:hanging="250"/>
      </w:pPr>
      <w:rPr>
        <w:rFonts w:hint="default"/>
      </w:rPr>
    </w:lvl>
    <w:lvl w:ilvl="3">
      <w:start w:val="0"/>
      <w:numFmt w:val="bullet"/>
      <w:lvlText w:val="•"/>
      <w:lvlJc w:val="left"/>
      <w:pPr>
        <w:ind w:left="2839" w:hanging="250"/>
      </w:pPr>
      <w:rPr>
        <w:rFonts w:hint="default"/>
      </w:rPr>
    </w:lvl>
    <w:lvl w:ilvl="4">
      <w:start w:val="0"/>
      <w:numFmt w:val="bullet"/>
      <w:lvlText w:val="•"/>
      <w:lvlJc w:val="left"/>
      <w:pPr>
        <w:ind w:left="3666" w:hanging="250"/>
      </w:pPr>
      <w:rPr>
        <w:rFonts w:hint="default"/>
      </w:rPr>
    </w:lvl>
    <w:lvl w:ilvl="5">
      <w:start w:val="0"/>
      <w:numFmt w:val="bullet"/>
      <w:lvlText w:val="•"/>
      <w:lvlJc w:val="left"/>
      <w:pPr>
        <w:ind w:left="4492" w:hanging="250"/>
      </w:pPr>
      <w:rPr>
        <w:rFonts w:hint="default"/>
      </w:rPr>
    </w:lvl>
    <w:lvl w:ilvl="6">
      <w:start w:val="0"/>
      <w:numFmt w:val="bullet"/>
      <w:lvlText w:val="•"/>
      <w:lvlJc w:val="left"/>
      <w:pPr>
        <w:ind w:left="5319" w:hanging="250"/>
      </w:pPr>
      <w:rPr>
        <w:rFonts w:hint="default"/>
      </w:rPr>
    </w:lvl>
    <w:lvl w:ilvl="7">
      <w:start w:val="0"/>
      <w:numFmt w:val="bullet"/>
      <w:lvlText w:val="•"/>
      <w:lvlJc w:val="left"/>
      <w:pPr>
        <w:ind w:left="6145" w:hanging="250"/>
      </w:pPr>
      <w:rPr>
        <w:rFonts w:hint="default"/>
      </w:rPr>
    </w:lvl>
    <w:lvl w:ilvl="8">
      <w:start w:val="0"/>
      <w:numFmt w:val="bullet"/>
      <w:lvlText w:val="•"/>
      <w:lvlJc w:val="left"/>
      <w:pPr>
        <w:ind w:left="6972" w:hanging="250"/>
      </w:pPr>
      <w:rPr>
        <w:rFonts w:hint="default"/>
      </w:rPr>
    </w:lvl>
  </w:abstractNum>
  <w:abstractNum w:abstractNumId="7">
    <w:multiLevelType w:val="hybridMultilevel"/>
    <w:lvl w:ilvl="0">
      <w:start w:val="1"/>
      <w:numFmt w:val="decimal"/>
      <w:lvlText w:val="%1."/>
      <w:lvlJc w:val="left"/>
      <w:pPr>
        <w:ind w:left="960" w:hanging="421"/>
        <w:jc w:val="left"/>
      </w:pPr>
      <w:rPr>
        <w:rFonts w:hint="default" w:ascii="宋体" w:hAnsi="宋体" w:eastAsia="宋体" w:cs="宋体"/>
        <w:w w:val="69"/>
        <w:sz w:val="21"/>
        <w:szCs w:val="21"/>
      </w:rPr>
    </w:lvl>
    <w:lvl w:ilvl="1">
      <w:start w:val="0"/>
      <w:numFmt w:val="bullet"/>
      <w:lvlText w:val="•"/>
      <w:lvlJc w:val="left"/>
      <w:pPr>
        <w:ind w:left="1728" w:hanging="421"/>
      </w:pPr>
      <w:rPr>
        <w:rFonts w:hint="default"/>
      </w:rPr>
    </w:lvl>
    <w:lvl w:ilvl="2">
      <w:start w:val="0"/>
      <w:numFmt w:val="bullet"/>
      <w:lvlText w:val="•"/>
      <w:lvlJc w:val="left"/>
      <w:pPr>
        <w:ind w:left="2497" w:hanging="421"/>
      </w:pPr>
      <w:rPr>
        <w:rFonts w:hint="default"/>
      </w:rPr>
    </w:lvl>
    <w:lvl w:ilvl="3">
      <w:start w:val="0"/>
      <w:numFmt w:val="bullet"/>
      <w:lvlText w:val="•"/>
      <w:lvlJc w:val="left"/>
      <w:pPr>
        <w:ind w:left="3265" w:hanging="421"/>
      </w:pPr>
      <w:rPr>
        <w:rFonts w:hint="default"/>
      </w:rPr>
    </w:lvl>
    <w:lvl w:ilvl="4">
      <w:start w:val="0"/>
      <w:numFmt w:val="bullet"/>
      <w:lvlText w:val="•"/>
      <w:lvlJc w:val="left"/>
      <w:pPr>
        <w:ind w:left="4034" w:hanging="421"/>
      </w:pPr>
      <w:rPr>
        <w:rFonts w:hint="default"/>
      </w:rPr>
    </w:lvl>
    <w:lvl w:ilvl="5">
      <w:start w:val="0"/>
      <w:numFmt w:val="bullet"/>
      <w:lvlText w:val="•"/>
      <w:lvlJc w:val="left"/>
      <w:pPr>
        <w:ind w:left="4802" w:hanging="421"/>
      </w:pPr>
      <w:rPr>
        <w:rFonts w:hint="default"/>
      </w:rPr>
    </w:lvl>
    <w:lvl w:ilvl="6">
      <w:start w:val="0"/>
      <w:numFmt w:val="bullet"/>
      <w:lvlText w:val="•"/>
      <w:lvlJc w:val="left"/>
      <w:pPr>
        <w:ind w:left="5571" w:hanging="421"/>
      </w:pPr>
      <w:rPr>
        <w:rFonts w:hint="default"/>
      </w:rPr>
    </w:lvl>
    <w:lvl w:ilvl="7">
      <w:start w:val="0"/>
      <w:numFmt w:val="bullet"/>
      <w:lvlText w:val="•"/>
      <w:lvlJc w:val="left"/>
      <w:pPr>
        <w:ind w:left="6339" w:hanging="421"/>
      </w:pPr>
      <w:rPr>
        <w:rFonts w:hint="default"/>
      </w:rPr>
    </w:lvl>
    <w:lvl w:ilvl="8">
      <w:start w:val="0"/>
      <w:numFmt w:val="bullet"/>
      <w:lvlText w:val="•"/>
      <w:lvlJc w:val="left"/>
      <w:pPr>
        <w:ind w:left="7108" w:hanging="421"/>
      </w:pPr>
      <w:rPr>
        <w:rFonts w:hint="default"/>
      </w:rPr>
    </w:lvl>
  </w:abstractNum>
  <w:abstractNum w:abstractNumId="6">
    <w:multiLevelType w:val="hybridMultilevel"/>
    <w:lvl w:ilvl="0">
      <w:start w:val="1"/>
      <w:numFmt w:val="decimal"/>
      <w:lvlText w:val="（%1）"/>
      <w:lvlJc w:val="left"/>
      <w:pPr>
        <w:ind w:left="686" w:hanging="567"/>
        <w:jc w:val="left"/>
      </w:pPr>
      <w:rPr>
        <w:rFonts w:hint="default" w:ascii="宋体" w:hAnsi="宋体" w:eastAsia="宋体" w:cs="宋体"/>
        <w:w w:val="100"/>
        <w:sz w:val="21"/>
        <w:szCs w:val="21"/>
      </w:rPr>
    </w:lvl>
    <w:lvl w:ilvl="1">
      <w:start w:val="0"/>
      <w:numFmt w:val="bullet"/>
      <w:lvlText w:val="•"/>
      <w:lvlJc w:val="left"/>
      <w:pPr>
        <w:ind w:left="1476" w:hanging="567"/>
      </w:pPr>
      <w:rPr>
        <w:rFonts w:hint="default"/>
      </w:rPr>
    </w:lvl>
    <w:lvl w:ilvl="2">
      <w:start w:val="0"/>
      <w:numFmt w:val="bullet"/>
      <w:lvlText w:val="•"/>
      <w:lvlJc w:val="left"/>
      <w:pPr>
        <w:ind w:left="2273" w:hanging="567"/>
      </w:pPr>
      <w:rPr>
        <w:rFonts w:hint="default"/>
      </w:rPr>
    </w:lvl>
    <w:lvl w:ilvl="3">
      <w:start w:val="0"/>
      <w:numFmt w:val="bullet"/>
      <w:lvlText w:val="•"/>
      <w:lvlJc w:val="left"/>
      <w:pPr>
        <w:ind w:left="3069" w:hanging="567"/>
      </w:pPr>
      <w:rPr>
        <w:rFonts w:hint="default"/>
      </w:rPr>
    </w:lvl>
    <w:lvl w:ilvl="4">
      <w:start w:val="0"/>
      <w:numFmt w:val="bullet"/>
      <w:lvlText w:val="•"/>
      <w:lvlJc w:val="left"/>
      <w:pPr>
        <w:ind w:left="3866" w:hanging="567"/>
      </w:pPr>
      <w:rPr>
        <w:rFonts w:hint="default"/>
      </w:rPr>
    </w:lvl>
    <w:lvl w:ilvl="5">
      <w:start w:val="0"/>
      <w:numFmt w:val="bullet"/>
      <w:lvlText w:val="•"/>
      <w:lvlJc w:val="left"/>
      <w:pPr>
        <w:ind w:left="4662" w:hanging="567"/>
      </w:pPr>
      <w:rPr>
        <w:rFonts w:hint="default"/>
      </w:rPr>
    </w:lvl>
    <w:lvl w:ilvl="6">
      <w:start w:val="0"/>
      <w:numFmt w:val="bullet"/>
      <w:lvlText w:val="•"/>
      <w:lvlJc w:val="left"/>
      <w:pPr>
        <w:ind w:left="5459" w:hanging="567"/>
      </w:pPr>
      <w:rPr>
        <w:rFonts w:hint="default"/>
      </w:rPr>
    </w:lvl>
    <w:lvl w:ilvl="7">
      <w:start w:val="0"/>
      <w:numFmt w:val="bullet"/>
      <w:lvlText w:val="•"/>
      <w:lvlJc w:val="left"/>
      <w:pPr>
        <w:ind w:left="6255" w:hanging="567"/>
      </w:pPr>
      <w:rPr>
        <w:rFonts w:hint="default"/>
      </w:rPr>
    </w:lvl>
    <w:lvl w:ilvl="8">
      <w:start w:val="0"/>
      <w:numFmt w:val="bullet"/>
      <w:lvlText w:val="•"/>
      <w:lvlJc w:val="left"/>
      <w:pPr>
        <w:ind w:left="7052" w:hanging="567"/>
      </w:pPr>
      <w:rPr>
        <w:rFonts w:hint="default"/>
      </w:rPr>
    </w:lvl>
  </w:abstractNum>
  <w:abstractNum w:abstractNumId="5">
    <w:multiLevelType w:val="hybridMultilevel"/>
    <w:lvl w:ilvl="0">
      <w:start w:val="1"/>
      <w:numFmt w:val="decimal"/>
      <w:lvlText w:val="%1."/>
      <w:lvlJc w:val="left"/>
      <w:pPr>
        <w:ind w:left="544" w:hanging="425"/>
        <w:jc w:val="left"/>
      </w:pPr>
      <w:rPr>
        <w:rFonts w:hint="default" w:ascii="宋体" w:hAnsi="宋体" w:eastAsia="宋体" w:cs="宋体"/>
        <w:b/>
        <w:bCs/>
        <w:w w:val="99"/>
        <w:sz w:val="21"/>
        <w:szCs w:val="21"/>
      </w:rPr>
    </w:lvl>
    <w:lvl w:ilvl="1">
      <w:start w:val="1"/>
      <w:numFmt w:val="decimal"/>
      <w:lvlText w:val="%1.%2."/>
      <w:lvlJc w:val="left"/>
      <w:pPr>
        <w:ind w:left="840" w:hanging="720"/>
        <w:jc w:val="left"/>
      </w:pPr>
      <w:rPr>
        <w:rFonts w:hint="default" w:ascii="Microsoft JhengHei UI" w:hAnsi="Microsoft JhengHei UI" w:eastAsia="Microsoft JhengHei UI" w:cs="Microsoft JhengHei UI"/>
        <w:b/>
        <w:bCs/>
        <w:w w:val="81"/>
        <w:sz w:val="21"/>
        <w:szCs w:val="21"/>
      </w:rPr>
    </w:lvl>
    <w:lvl w:ilvl="2">
      <w:start w:val="1"/>
      <w:numFmt w:val="decimal"/>
      <w:lvlText w:val="%1.%2.%3."/>
      <w:lvlJc w:val="left"/>
      <w:pPr>
        <w:ind w:left="660" w:hanging="541"/>
        <w:jc w:val="left"/>
      </w:pPr>
      <w:rPr>
        <w:rFonts w:hint="default" w:ascii="Microsoft JhengHei UI" w:hAnsi="Microsoft JhengHei UI" w:eastAsia="Microsoft JhengHei UI" w:cs="Microsoft JhengHei UI"/>
        <w:b/>
        <w:bCs/>
        <w:w w:val="81"/>
        <w:sz w:val="21"/>
        <w:szCs w:val="21"/>
      </w:rPr>
    </w:lvl>
    <w:lvl w:ilvl="3">
      <w:start w:val="0"/>
      <w:numFmt w:val="bullet"/>
      <w:lvlText w:val="•"/>
      <w:lvlJc w:val="left"/>
      <w:pPr>
        <w:ind w:left="1803" w:hanging="541"/>
      </w:pPr>
      <w:rPr>
        <w:rFonts w:hint="default"/>
      </w:rPr>
    </w:lvl>
    <w:lvl w:ilvl="4">
      <w:start w:val="0"/>
      <w:numFmt w:val="bullet"/>
      <w:lvlText w:val="•"/>
      <w:lvlJc w:val="left"/>
      <w:pPr>
        <w:ind w:left="2766" w:hanging="541"/>
      </w:pPr>
      <w:rPr>
        <w:rFonts w:hint="default"/>
      </w:rPr>
    </w:lvl>
    <w:lvl w:ilvl="5">
      <w:start w:val="0"/>
      <w:numFmt w:val="bullet"/>
      <w:lvlText w:val="•"/>
      <w:lvlJc w:val="left"/>
      <w:pPr>
        <w:ind w:left="3729" w:hanging="541"/>
      </w:pPr>
      <w:rPr>
        <w:rFonts w:hint="default"/>
      </w:rPr>
    </w:lvl>
    <w:lvl w:ilvl="6">
      <w:start w:val="0"/>
      <w:numFmt w:val="bullet"/>
      <w:lvlText w:val="•"/>
      <w:lvlJc w:val="left"/>
      <w:pPr>
        <w:ind w:left="4692" w:hanging="541"/>
      </w:pPr>
      <w:rPr>
        <w:rFonts w:hint="default"/>
      </w:rPr>
    </w:lvl>
    <w:lvl w:ilvl="7">
      <w:start w:val="0"/>
      <w:numFmt w:val="bullet"/>
      <w:lvlText w:val="•"/>
      <w:lvlJc w:val="left"/>
      <w:pPr>
        <w:ind w:left="5655" w:hanging="541"/>
      </w:pPr>
      <w:rPr>
        <w:rFonts w:hint="default"/>
      </w:rPr>
    </w:lvl>
    <w:lvl w:ilvl="8">
      <w:start w:val="0"/>
      <w:numFmt w:val="bullet"/>
      <w:lvlText w:val="•"/>
      <w:lvlJc w:val="left"/>
      <w:pPr>
        <w:ind w:left="6619" w:hanging="541"/>
      </w:pPr>
      <w:rPr>
        <w:rFonts w:hint="default"/>
      </w:rPr>
    </w:lvl>
  </w:abstractNum>
  <w:abstractNum w:abstractNumId="4">
    <w:multiLevelType w:val="hybridMultilevel"/>
    <w:lvl w:ilvl="0">
      <w:start w:val="10"/>
      <w:numFmt w:val="decimal"/>
      <w:lvlText w:val="%1"/>
      <w:lvlJc w:val="left"/>
      <w:pPr>
        <w:ind w:left="1092" w:hanging="553"/>
        <w:jc w:val="left"/>
      </w:pPr>
      <w:rPr>
        <w:rFonts w:hint="default"/>
      </w:rPr>
    </w:lvl>
    <w:lvl w:ilvl="1">
      <w:start w:val="6"/>
      <w:numFmt w:val="decimal"/>
      <w:lvlText w:val="%1.%2"/>
      <w:lvlJc w:val="left"/>
      <w:pPr>
        <w:ind w:left="1092" w:hanging="553"/>
        <w:jc w:val="left"/>
      </w:pPr>
      <w:rPr>
        <w:rFonts w:hint="default" w:ascii="宋体" w:hAnsi="宋体" w:eastAsia="宋体" w:cs="宋体"/>
        <w:w w:val="81"/>
        <w:sz w:val="21"/>
        <w:szCs w:val="21"/>
      </w:rPr>
    </w:lvl>
    <w:lvl w:ilvl="2">
      <w:start w:val="0"/>
      <w:numFmt w:val="bullet"/>
      <w:lvlText w:val="•"/>
      <w:lvlJc w:val="left"/>
      <w:pPr>
        <w:ind w:left="2589" w:hanging="553"/>
      </w:pPr>
      <w:rPr>
        <w:rFonts w:hint="default"/>
      </w:rPr>
    </w:lvl>
    <w:lvl w:ilvl="3">
      <w:start w:val="0"/>
      <w:numFmt w:val="bullet"/>
      <w:lvlText w:val="•"/>
      <w:lvlJc w:val="left"/>
      <w:pPr>
        <w:ind w:left="3333" w:hanging="553"/>
      </w:pPr>
      <w:rPr>
        <w:rFonts w:hint="default"/>
      </w:rPr>
    </w:lvl>
    <w:lvl w:ilvl="4">
      <w:start w:val="0"/>
      <w:numFmt w:val="bullet"/>
      <w:lvlText w:val="•"/>
      <w:lvlJc w:val="left"/>
      <w:pPr>
        <w:ind w:left="4078" w:hanging="553"/>
      </w:pPr>
      <w:rPr>
        <w:rFonts w:hint="default"/>
      </w:rPr>
    </w:lvl>
    <w:lvl w:ilvl="5">
      <w:start w:val="0"/>
      <w:numFmt w:val="bullet"/>
      <w:lvlText w:val="•"/>
      <w:lvlJc w:val="left"/>
      <w:pPr>
        <w:ind w:left="4822" w:hanging="553"/>
      </w:pPr>
      <w:rPr>
        <w:rFonts w:hint="default"/>
      </w:rPr>
    </w:lvl>
    <w:lvl w:ilvl="6">
      <w:start w:val="0"/>
      <w:numFmt w:val="bullet"/>
      <w:lvlText w:val="•"/>
      <w:lvlJc w:val="left"/>
      <w:pPr>
        <w:ind w:left="5567" w:hanging="553"/>
      </w:pPr>
      <w:rPr>
        <w:rFonts w:hint="default"/>
      </w:rPr>
    </w:lvl>
    <w:lvl w:ilvl="7">
      <w:start w:val="0"/>
      <w:numFmt w:val="bullet"/>
      <w:lvlText w:val="•"/>
      <w:lvlJc w:val="left"/>
      <w:pPr>
        <w:ind w:left="6311" w:hanging="553"/>
      </w:pPr>
      <w:rPr>
        <w:rFonts w:hint="default"/>
      </w:rPr>
    </w:lvl>
    <w:lvl w:ilvl="8">
      <w:start w:val="0"/>
      <w:numFmt w:val="bullet"/>
      <w:lvlText w:val="•"/>
      <w:lvlJc w:val="left"/>
      <w:pPr>
        <w:ind w:left="7056" w:hanging="553"/>
      </w:pPr>
      <w:rPr>
        <w:rFonts w:hint="default"/>
      </w:rPr>
    </w:lvl>
  </w:abstractNum>
  <w:abstractNum w:abstractNumId="3">
    <w:multiLevelType w:val="hybridMultilevel"/>
    <w:lvl w:ilvl="0">
      <w:start w:val="10"/>
      <w:numFmt w:val="decimal"/>
      <w:lvlText w:val="%1"/>
      <w:lvlJc w:val="left"/>
      <w:pPr>
        <w:ind w:left="1807" w:hanging="848"/>
        <w:jc w:val="left"/>
      </w:pPr>
      <w:rPr>
        <w:rFonts w:hint="default"/>
      </w:rPr>
    </w:lvl>
    <w:lvl w:ilvl="1">
      <w:start w:val="3"/>
      <w:numFmt w:val="decimal"/>
      <w:lvlText w:val="%1.%2"/>
      <w:lvlJc w:val="left"/>
      <w:pPr>
        <w:ind w:left="1807" w:hanging="848"/>
        <w:jc w:val="right"/>
      </w:pPr>
      <w:rPr>
        <w:rFonts w:hint="default"/>
      </w:rPr>
    </w:lvl>
    <w:lvl w:ilvl="2">
      <w:start w:val="16"/>
      <w:numFmt w:val="decimal"/>
      <w:lvlText w:val="%1.%2.%3"/>
      <w:lvlJc w:val="left"/>
      <w:pPr>
        <w:ind w:left="1807" w:hanging="848"/>
        <w:jc w:val="left"/>
      </w:pPr>
      <w:rPr>
        <w:rFonts w:hint="default" w:ascii="宋体" w:hAnsi="宋体" w:eastAsia="宋体" w:cs="宋体"/>
        <w:spacing w:val="-3"/>
        <w:w w:val="77"/>
        <w:sz w:val="21"/>
        <w:szCs w:val="21"/>
      </w:rPr>
    </w:lvl>
    <w:lvl w:ilvl="3">
      <w:start w:val="0"/>
      <w:numFmt w:val="bullet"/>
      <w:lvlText w:val="•"/>
      <w:lvlJc w:val="left"/>
      <w:pPr>
        <w:ind w:left="3823" w:hanging="848"/>
      </w:pPr>
      <w:rPr>
        <w:rFonts w:hint="default"/>
      </w:rPr>
    </w:lvl>
    <w:lvl w:ilvl="4">
      <w:start w:val="0"/>
      <w:numFmt w:val="bullet"/>
      <w:lvlText w:val="•"/>
      <w:lvlJc w:val="left"/>
      <w:pPr>
        <w:ind w:left="4498" w:hanging="848"/>
      </w:pPr>
      <w:rPr>
        <w:rFonts w:hint="default"/>
      </w:rPr>
    </w:lvl>
    <w:lvl w:ilvl="5">
      <w:start w:val="0"/>
      <w:numFmt w:val="bullet"/>
      <w:lvlText w:val="•"/>
      <w:lvlJc w:val="left"/>
      <w:pPr>
        <w:ind w:left="5172" w:hanging="848"/>
      </w:pPr>
      <w:rPr>
        <w:rFonts w:hint="default"/>
      </w:rPr>
    </w:lvl>
    <w:lvl w:ilvl="6">
      <w:start w:val="0"/>
      <w:numFmt w:val="bullet"/>
      <w:lvlText w:val="•"/>
      <w:lvlJc w:val="left"/>
      <w:pPr>
        <w:ind w:left="5847" w:hanging="848"/>
      </w:pPr>
      <w:rPr>
        <w:rFonts w:hint="default"/>
      </w:rPr>
    </w:lvl>
    <w:lvl w:ilvl="7">
      <w:start w:val="0"/>
      <w:numFmt w:val="bullet"/>
      <w:lvlText w:val="•"/>
      <w:lvlJc w:val="left"/>
      <w:pPr>
        <w:ind w:left="6521" w:hanging="848"/>
      </w:pPr>
      <w:rPr>
        <w:rFonts w:hint="default"/>
      </w:rPr>
    </w:lvl>
    <w:lvl w:ilvl="8">
      <w:start w:val="0"/>
      <w:numFmt w:val="bullet"/>
      <w:lvlText w:val="•"/>
      <w:lvlJc w:val="left"/>
      <w:pPr>
        <w:ind w:left="7196" w:hanging="848"/>
      </w:pPr>
      <w:rPr>
        <w:rFonts w:hint="default"/>
      </w:rPr>
    </w:lvl>
  </w:abstractNum>
  <w:abstractNum w:abstractNumId="2">
    <w:multiLevelType w:val="hybridMultilevel"/>
    <w:lvl w:ilvl="0">
      <w:start w:val="10"/>
      <w:numFmt w:val="decimal"/>
      <w:lvlText w:val="%1"/>
      <w:lvlJc w:val="left"/>
      <w:pPr>
        <w:ind w:left="1092" w:hanging="553"/>
        <w:jc w:val="left"/>
      </w:pPr>
      <w:rPr>
        <w:rFonts w:hint="default"/>
      </w:rPr>
    </w:lvl>
    <w:lvl w:ilvl="1">
      <w:start w:val="1"/>
      <w:numFmt w:val="decimal"/>
      <w:lvlText w:val="%1.%2"/>
      <w:lvlJc w:val="left"/>
      <w:pPr>
        <w:ind w:left="1092" w:hanging="553"/>
        <w:jc w:val="left"/>
      </w:pPr>
      <w:rPr>
        <w:rFonts w:hint="default" w:ascii="宋体" w:hAnsi="宋体" w:eastAsia="宋体" w:cs="宋体"/>
        <w:w w:val="81"/>
        <w:sz w:val="21"/>
        <w:szCs w:val="21"/>
      </w:rPr>
    </w:lvl>
    <w:lvl w:ilvl="2">
      <w:start w:val="1"/>
      <w:numFmt w:val="decimal"/>
      <w:lvlText w:val="%1.%2.%3"/>
      <w:lvlJc w:val="left"/>
      <w:pPr>
        <w:ind w:left="1799" w:hanging="840"/>
        <w:jc w:val="left"/>
      </w:pPr>
      <w:rPr>
        <w:rFonts w:hint="default" w:ascii="宋体" w:hAnsi="宋体" w:eastAsia="宋体" w:cs="宋体"/>
        <w:spacing w:val="-3"/>
        <w:w w:val="69"/>
        <w:sz w:val="21"/>
        <w:szCs w:val="21"/>
      </w:rPr>
    </w:lvl>
    <w:lvl w:ilvl="3">
      <w:start w:val="0"/>
      <w:numFmt w:val="bullet"/>
      <w:lvlText w:val="•"/>
      <w:lvlJc w:val="left"/>
      <w:pPr>
        <w:ind w:left="3299" w:hanging="840"/>
      </w:pPr>
      <w:rPr>
        <w:rFonts w:hint="default"/>
      </w:rPr>
    </w:lvl>
    <w:lvl w:ilvl="4">
      <w:start w:val="0"/>
      <w:numFmt w:val="bullet"/>
      <w:lvlText w:val="•"/>
      <w:lvlJc w:val="left"/>
      <w:pPr>
        <w:ind w:left="4048" w:hanging="840"/>
      </w:pPr>
      <w:rPr>
        <w:rFonts w:hint="default"/>
      </w:rPr>
    </w:lvl>
    <w:lvl w:ilvl="5">
      <w:start w:val="0"/>
      <w:numFmt w:val="bullet"/>
      <w:lvlText w:val="•"/>
      <w:lvlJc w:val="left"/>
      <w:pPr>
        <w:ind w:left="4798" w:hanging="840"/>
      </w:pPr>
      <w:rPr>
        <w:rFonts w:hint="default"/>
      </w:rPr>
    </w:lvl>
    <w:lvl w:ilvl="6">
      <w:start w:val="0"/>
      <w:numFmt w:val="bullet"/>
      <w:lvlText w:val="•"/>
      <w:lvlJc w:val="left"/>
      <w:pPr>
        <w:ind w:left="5547" w:hanging="840"/>
      </w:pPr>
      <w:rPr>
        <w:rFonts w:hint="default"/>
      </w:rPr>
    </w:lvl>
    <w:lvl w:ilvl="7">
      <w:start w:val="0"/>
      <w:numFmt w:val="bullet"/>
      <w:lvlText w:val="•"/>
      <w:lvlJc w:val="left"/>
      <w:pPr>
        <w:ind w:left="6297" w:hanging="840"/>
      </w:pPr>
      <w:rPr>
        <w:rFonts w:hint="default"/>
      </w:rPr>
    </w:lvl>
    <w:lvl w:ilvl="8">
      <w:start w:val="0"/>
      <w:numFmt w:val="bullet"/>
      <w:lvlText w:val="•"/>
      <w:lvlJc w:val="left"/>
      <w:pPr>
        <w:ind w:left="7046" w:hanging="840"/>
      </w:pPr>
      <w:rPr>
        <w:rFonts w:hint="default"/>
      </w:rPr>
    </w:lvl>
  </w:abstractNum>
  <w:abstractNum w:abstractNumId="1">
    <w:multiLevelType w:val="hybridMultilevel"/>
    <w:lvl w:ilvl="0">
      <w:start w:val="1"/>
      <w:numFmt w:val="decimal"/>
      <w:lvlText w:val="%1."/>
      <w:lvlJc w:val="left"/>
      <w:pPr>
        <w:ind w:left="960" w:hanging="840"/>
        <w:jc w:val="left"/>
      </w:pPr>
      <w:rPr>
        <w:rFonts w:hint="default" w:ascii="宋体" w:hAnsi="宋体" w:eastAsia="宋体" w:cs="宋体"/>
        <w:w w:val="100"/>
        <w:sz w:val="21"/>
        <w:szCs w:val="21"/>
      </w:rPr>
    </w:lvl>
    <w:lvl w:ilvl="1">
      <w:start w:val="1"/>
      <w:numFmt w:val="decimal"/>
      <w:lvlText w:val="%1.%2."/>
      <w:lvlJc w:val="left"/>
      <w:pPr>
        <w:ind w:left="1171" w:hanging="632"/>
        <w:jc w:val="left"/>
      </w:pPr>
      <w:rPr>
        <w:rFonts w:hint="default" w:ascii="宋体" w:hAnsi="宋体" w:eastAsia="宋体" w:cs="宋体"/>
        <w:w w:val="69"/>
        <w:sz w:val="21"/>
        <w:szCs w:val="21"/>
      </w:rPr>
    </w:lvl>
    <w:lvl w:ilvl="2">
      <w:start w:val="1"/>
      <w:numFmt w:val="decimal"/>
      <w:lvlText w:val="%1.%2.%3."/>
      <w:lvlJc w:val="left"/>
      <w:pPr>
        <w:ind w:left="1497" w:hanging="538"/>
        <w:jc w:val="left"/>
      </w:pPr>
      <w:rPr>
        <w:rFonts w:hint="default" w:ascii="宋体" w:hAnsi="宋体" w:eastAsia="宋体" w:cs="宋体"/>
        <w:spacing w:val="-3"/>
        <w:w w:val="69"/>
        <w:sz w:val="21"/>
        <w:szCs w:val="21"/>
      </w:rPr>
    </w:lvl>
    <w:lvl w:ilvl="3">
      <w:start w:val="0"/>
      <w:numFmt w:val="bullet"/>
      <w:lvlText w:val="•"/>
      <w:lvlJc w:val="left"/>
      <w:pPr>
        <w:ind w:left="2380" w:hanging="538"/>
      </w:pPr>
      <w:rPr>
        <w:rFonts w:hint="default"/>
      </w:rPr>
    </w:lvl>
    <w:lvl w:ilvl="4">
      <w:start w:val="0"/>
      <w:numFmt w:val="bullet"/>
      <w:lvlText w:val="•"/>
      <w:lvlJc w:val="left"/>
      <w:pPr>
        <w:ind w:left="3261" w:hanging="538"/>
      </w:pPr>
      <w:rPr>
        <w:rFonts w:hint="default"/>
      </w:rPr>
    </w:lvl>
    <w:lvl w:ilvl="5">
      <w:start w:val="0"/>
      <w:numFmt w:val="bullet"/>
      <w:lvlText w:val="•"/>
      <w:lvlJc w:val="left"/>
      <w:pPr>
        <w:ind w:left="4142" w:hanging="538"/>
      </w:pPr>
      <w:rPr>
        <w:rFonts w:hint="default"/>
      </w:rPr>
    </w:lvl>
    <w:lvl w:ilvl="6">
      <w:start w:val="0"/>
      <w:numFmt w:val="bullet"/>
      <w:lvlText w:val="•"/>
      <w:lvlJc w:val="left"/>
      <w:pPr>
        <w:ind w:left="5022" w:hanging="538"/>
      </w:pPr>
      <w:rPr>
        <w:rFonts w:hint="default"/>
      </w:rPr>
    </w:lvl>
    <w:lvl w:ilvl="7">
      <w:start w:val="0"/>
      <w:numFmt w:val="bullet"/>
      <w:lvlText w:val="•"/>
      <w:lvlJc w:val="left"/>
      <w:pPr>
        <w:ind w:left="5903" w:hanging="538"/>
      </w:pPr>
      <w:rPr>
        <w:rFonts w:hint="default"/>
      </w:rPr>
    </w:lvl>
    <w:lvl w:ilvl="8">
      <w:start w:val="0"/>
      <w:numFmt w:val="bullet"/>
      <w:lvlText w:val="•"/>
      <w:lvlJc w:val="left"/>
      <w:pPr>
        <w:ind w:left="6784" w:hanging="538"/>
      </w:pPr>
      <w:rPr>
        <w:rFonts w:hint="default"/>
      </w:rPr>
    </w:lvl>
  </w:abstractNum>
  <w:abstractNum w:abstractNumId="0">
    <w:multiLevelType w:val="hybridMultilevel"/>
    <w:lvl w:ilvl="0">
      <w:start w:val="0"/>
      <w:numFmt w:val="bullet"/>
      <w:lvlText w:val=""/>
      <w:lvlJc w:val="left"/>
      <w:pPr>
        <w:ind w:left="429" w:hanging="420"/>
      </w:pPr>
      <w:rPr>
        <w:rFonts w:hint="default" w:ascii="Wingdings" w:hAnsi="Wingdings" w:eastAsia="Wingdings" w:cs="Wingdings"/>
        <w:w w:val="100"/>
        <w:sz w:val="21"/>
        <w:szCs w:val="21"/>
      </w:rPr>
    </w:lvl>
    <w:lvl w:ilvl="1">
      <w:start w:val="0"/>
      <w:numFmt w:val="bullet"/>
      <w:lvlText w:val="•"/>
      <w:lvlJc w:val="left"/>
      <w:pPr>
        <w:ind w:left="1232" w:hanging="420"/>
      </w:pPr>
      <w:rPr>
        <w:rFonts w:hint="default"/>
      </w:rPr>
    </w:lvl>
    <w:lvl w:ilvl="2">
      <w:start w:val="0"/>
      <w:numFmt w:val="bullet"/>
      <w:lvlText w:val="•"/>
      <w:lvlJc w:val="left"/>
      <w:pPr>
        <w:ind w:left="2045" w:hanging="420"/>
      </w:pPr>
      <w:rPr>
        <w:rFonts w:hint="default"/>
      </w:rPr>
    </w:lvl>
    <w:lvl w:ilvl="3">
      <w:start w:val="0"/>
      <w:numFmt w:val="bullet"/>
      <w:lvlText w:val="•"/>
      <w:lvlJc w:val="left"/>
      <w:pPr>
        <w:ind w:left="2857" w:hanging="420"/>
      </w:pPr>
      <w:rPr>
        <w:rFonts w:hint="default"/>
      </w:rPr>
    </w:lvl>
    <w:lvl w:ilvl="4">
      <w:start w:val="0"/>
      <w:numFmt w:val="bullet"/>
      <w:lvlText w:val="•"/>
      <w:lvlJc w:val="left"/>
      <w:pPr>
        <w:ind w:left="3670" w:hanging="420"/>
      </w:pPr>
      <w:rPr>
        <w:rFonts w:hint="default"/>
      </w:rPr>
    </w:lvl>
    <w:lvl w:ilvl="5">
      <w:start w:val="0"/>
      <w:numFmt w:val="bullet"/>
      <w:lvlText w:val="•"/>
      <w:lvlJc w:val="left"/>
      <w:pPr>
        <w:ind w:left="4482" w:hanging="420"/>
      </w:pPr>
      <w:rPr>
        <w:rFonts w:hint="default"/>
      </w:rPr>
    </w:lvl>
    <w:lvl w:ilvl="6">
      <w:start w:val="0"/>
      <w:numFmt w:val="bullet"/>
      <w:lvlText w:val="•"/>
      <w:lvlJc w:val="left"/>
      <w:pPr>
        <w:ind w:left="5295" w:hanging="420"/>
      </w:pPr>
      <w:rPr>
        <w:rFonts w:hint="default"/>
      </w:rPr>
    </w:lvl>
    <w:lvl w:ilvl="7">
      <w:start w:val="0"/>
      <w:numFmt w:val="bullet"/>
      <w:lvlText w:val="•"/>
      <w:lvlJc w:val="left"/>
      <w:pPr>
        <w:ind w:left="6107" w:hanging="420"/>
      </w:pPr>
      <w:rPr>
        <w:rFonts w:hint="default"/>
      </w:rPr>
    </w:lvl>
    <w:lvl w:ilvl="8">
      <w:start w:val="0"/>
      <w:numFmt w:val="bullet"/>
      <w:lvlText w:val="•"/>
      <w:lvlJc w:val="left"/>
      <w:pPr>
        <w:ind w:left="6920"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
      <w:ind w:left="960" w:hanging="840"/>
    </w:pPr>
    <w:rPr>
      <w:rFonts w:ascii="宋体" w:hAnsi="宋体" w:eastAsia="宋体" w:cs="宋体"/>
      <w:sz w:val="21"/>
      <w:szCs w:val="21"/>
    </w:rPr>
  </w:style>
  <w:style w:styleId="TOC2" w:type="paragraph">
    <w:name w:val="TOC 2"/>
    <w:basedOn w:val="Normal"/>
    <w:uiPriority w:val="1"/>
    <w:qFormat/>
    <w:pPr>
      <w:spacing w:before="21"/>
      <w:ind w:left="1171" w:hanging="632"/>
    </w:pPr>
    <w:rPr>
      <w:rFonts w:ascii="宋体" w:hAnsi="宋体" w:eastAsia="宋体" w:cs="宋体"/>
      <w:sz w:val="21"/>
      <w:szCs w:val="21"/>
    </w:rPr>
  </w:style>
  <w:style w:styleId="TOC3" w:type="paragraph">
    <w:name w:val="TOC 3"/>
    <w:basedOn w:val="Normal"/>
    <w:uiPriority w:val="1"/>
    <w:qFormat/>
    <w:pPr>
      <w:spacing w:before="21"/>
      <w:ind w:left="1807" w:hanging="847"/>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29" w:lineRule="exact"/>
      <w:ind w:left="1048"/>
      <w:outlineLvl w:val="1"/>
    </w:pPr>
    <w:rPr>
      <w:rFonts w:ascii="Microsoft JhengHei UI" w:hAnsi="Microsoft JhengHei UI" w:eastAsia="Microsoft JhengHei UI" w:cs="Microsoft JhengHei UI"/>
      <w:b/>
      <w:bCs/>
      <w:sz w:val="28"/>
      <w:szCs w:val="28"/>
    </w:rPr>
  </w:style>
  <w:style w:styleId="Heading2" w:type="paragraph">
    <w:name w:val="Heading 2"/>
    <w:basedOn w:val="Normal"/>
    <w:uiPriority w:val="1"/>
    <w:qFormat/>
    <w:pPr>
      <w:ind w:left="840" w:hanging="720"/>
      <w:outlineLvl w:val="2"/>
    </w:pPr>
    <w:rPr>
      <w:rFonts w:ascii="Microsoft JhengHei UI" w:hAnsi="Microsoft JhengHei UI" w:eastAsia="Microsoft JhengHei UI" w:cs="Microsoft JhengHei UI"/>
      <w:b/>
      <w:bCs/>
      <w:sz w:val="21"/>
      <w:szCs w:val="21"/>
    </w:rPr>
  </w:style>
  <w:style w:styleId="ListParagraph" w:type="paragraph">
    <w:name w:val="List Paragraph"/>
    <w:basedOn w:val="Normal"/>
    <w:uiPriority w:val="1"/>
    <w:qFormat/>
    <w:pPr>
      <w:ind w:left="840"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2018-10-20T04:44:28Z</dcterms:created>
  <dcterms:modified xsi:type="dcterms:W3CDTF">2018-10-20T04:44:28Z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2014-05-06T00:00:00Z</vt:filetime>
  </property>
  <property fmtid="{D5CDD505-2E9C-101B-9397-08002B2CF9AE}" pid="3" name="LastSaved">
    <vt:filetime>2018-10-19T00:00:00Z</vt:filetime>
  </property>
</Properties>
</file>