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ind w:left="4081" w:right="406"/>
      </w:pPr>
      <w:r>
        <w:rPr/>
        <w:t>同方全球附加</w:t>
      </w:r>
      <w:r>
        <w:rPr>
          <w:rFonts w:ascii="新宋体" w:eastAsia="新宋体" w:hint="eastAsia"/>
          <w:sz w:val="32"/>
        </w:rPr>
        <w:t>「</w:t>
      </w:r>
      <w:r>
        <w:rPr/>
        <w:t>关爱天使</w:t>
      </w:r>
      <w:r>
        <w:rPr>
          <w:rFonts w:ascii="新宋体" w:eastAsia="新宋体" w:hint="eastAsia"/>
          <w:sz w:val="32"/>
        </w:rPr>
        <w:t>」</w:t>
      </w:r>
      <w:r>
        <w:rPr/>
        <w:t>少儿重大疾病保险条款</w:t>
      </w:r>
    </w:p>
    <w:p>
      <w:pPr>
        <w:pStyle w:val="BodyText"/>
        <w:spacing w:before="4"/>
        <w:rPr>
          <w:rFonts w:ascii="微软雅黑"/>
          <w:b/>
          <w:sz w:val="26"/>
        </w:rPr>
      </w:pPr>
    </w:p>
    <w:p>
      <w:pPr>
        <w:spacing w:before="0"/>
        <w:ind w:left="1330" w:right="437" w:firstLine="0"/>
        <w:jc w:val="center"/>
        <w:rPr>
          <w:sz w:val="32"/>
        </w:rPr>
      </w:pPr>
      <w:r>
        <w:rPr>
          <w:sz w:val="32"/>
        </w:rPr>
        <w:t>阅 读 指 引</w:t>
      </w:r>
    </w:p>
    <w:p>
      <w:pPr>
        <w:pStyle w:val="BodyText"/>
        <w:spacing w:before="2"/>
        <w:rPr>
          <w:sz w:val="35"/>
        </w:rPr>
      </w:pPr>
    </w:p>
    <w:p>
      <w:pPr>
        <w:pStyle w:val="BodyText"/>
        <w:spacing w:before="1"/>
        <w:ind w:left="1390" w:right="43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spacing w:before="4"/>
        <w:rPr>
          <w:sz w:val="35"/>
        </w:rPr>
      </w:pPr>
    </w:p>
    <w:p>
      <w:pPr>
        <w:pStyle w:val="Heading2"/>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364"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205" w:val="right" w:leader="dot"/>
        </w:tabs>
        <w:spacing w:before="21"/>
        <w:ind w:left="118"/>
        <w:rPr>
          <w:rFonts w:ascii="Times New Roman" w:eastAsia="Times New Roman"/>
        </w:rPr>
      </w:pPr>
      <w:r>
        <w:rPr/>
        <w:t>您享</w:t>
      </w:r>
      <w:r>
        <w:rPr>
          <w:spacing w:val="-3"/>
        </w:rPr>
        <w:t>有</w:t>
      </w:r>
      <w:r>
        <w:rPr/>
        <w:t>的</w:t>
      </w:r>
      <w:r>
        <w:rPr>
          <w:spacing w:val="-3"/>
        </w:rPr>
        <w:t>现</w:t>
      </w:r>
      <w:r>
        <w:rPr/>
        <w:t>金</w:t>
      </w:r>
      <w:r>
        <w:rPr>
          <w:spacing w:val="-3"/>
        </w:rPr>
        <w:t>价</w:t>
      </w:r>
      <w:r>
        <w:rPr/>
        <w:t>值</w:t>
      </w:r>
      <w:r>
        <w:rPr>
          <w:spacing w:val="-3"/>
        </w:rPr>
        <w:t>权</w:t>
      </w:r>
      <w:r>
        <w:rPr/>
        <w:t>益</w:t>
        <w:tab/>
      </w:r>
      <w:r>
        <w:rPr>
          <w:rFonts w:ascii="Times New Roman" w:eastAsia="Times New Roman"/>
        </w:rPr>
        <w:t>4</w:t>
      </w:r>
    </w:p>
    <w:p>
      <w:pPr>
        <w:pStyle w:val="BodyText"/>
        <w:tabs>
          <w:tab w:pos="8364"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5.1</w:t>
      </w:r>
    </w:p>
    <w:p>
      <w:pPr>
        <w:pStyle w:val="Heading2"/>
        <w:spacing w:before="461"/>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364"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364"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3.1</w:t>
      </w:r>
    </w:p>
    <w:p>
      <w:pPr>
        <w:pStyle w:val="BodyText"/>
        <w:tabs>
          <w:tab w:pos="8364"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5.1</w:t>
      </w:r>
    </w:p>
    <w:p>
      <w:pPr>
        <w:pStyle w:val="BodyText"/>
        <w:tabs>
          <w:tab w:pos="8210"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6</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line="355" w:lineRule="auto" w:before="39"/>
        <w:ind w:left="358" w:right="194" w:hanging="161"/>
        <w:jc w:val="left"/>
        <w:rPr>
          <w:rFonts w:ascii="仿宋" w:eastAsia="仿宋" w:hint="eastAsia"/>
          <w:sz w:val="16"/>
        </w:rPr>
      </w:pPr>
      <w:r>
        <w:rPr/>
        <w:br w:type="column"/>
      </w:r>
      <w:r>
        <w:rPr>
          <w:rFonts w:ascii="仿宋" w:eastAsia="仿宋" w:hint="eastAsia"/>
          <w:sz w:val="16"/>
        </w:rPr>
        <w:t>同方全球人寿[2015] 疾病保险 047 号</w:t>
      </w:r>
    </w:p>
    <w:p>
      <w:pPr>
        <w:pStyle w:val="BodyText"/>
        <w:spacing w:before="12"/>
        <w:rPr>
          <w:rFonts w:ascii="仿宋"/>
          <w:sz w:val="3"/>
        </w:rPr>
      </w:pPr>
    </w:p>
    <w:p>
      <w:pPr>
        <w:pStyle w:val="BodyText"/>
        <w:ind w:left="347"/>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80"/>
        <w:ind w:left="118"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540" w:bottom="280" w:left="1300" w:right="220"/>
          <w:cols w:num="2" w:equalWidth="0">
            <w:col w:w="8415" w:space="135"/>
            <w:col w:w="1840"/>
          </w:cols>
        </w:sectPr>
      </w:pPr>
    </w:p>
    <w:p>
      <w:pPr>
        <w:pStyle w:val="BodyText"/>
        <w:rPr>
          <w:rFonts w:ascii="仿宋"/>
          <w:sz w:val="20"/>
        </w:rPr>
      </w:pPr>
    </w:p>
    <w:p>
      <w:pPr>
        <w:spacing w:after="0"/>
        <w:rPr>
          <w:rFonts w:ascii="仿宋"/>
          <w:sz w:val="20"/>
        </w:rPr>
        <w:sectPr>
          <w:type w:val="continuous"/>
          <w:pgSz w:w="11910" w:h="16840"/>
          <w:pgMar w:top="540" w:bottom="280" w:left="1300" w:right="220"/>
        </w:sectPr>
      </w:pPr>
    </w:p>
    <w:p>
      <w:pPr>
        <w:pStyle w:val="Heading2"/>
        <w:spacing w:before="189"/>
        <w:ind w:left="118" w:firstLine="0"/>
      </w:pPr>
      <w:r>
        <w:rPr>
          <w:rFonts w:ascii="Wingdings" w:hAnsi="Wingdings" w:eastAsia="Wingdings"/>
        </w:rPr>
        <w:t></w:t>
      </w:r>
      <w:r>
        <w:rPr>
          <w:rFonts w:ascii="Times New Roman" w:hAnsi="Times New Roman" w:eastAsia="Times New Roman"/>
          <w:spacing w:val="58"/>
        </w:rPr>
        <w:t> </w:t>
      </w:r>
      <w:r>
        <w:rPr/>
        <w:t>条款目录</w:t>
      </w:r>
    </w:p>
    <w:p>
      <w:pPr>
        <w:pStyle w:val="BodyText"/>
        <w:spacing w:before="3"/>
        <w:rPr>
          <w:b/>
          <w:sz w:val="24"/>
        </w:rPr>
      </w:pPr>
    </w:p>
    <w:p>
      <w:pPr>
        <w:pStyle w:val="Heading3"/>
        <w:numPr>
          <w:ilvl w:val="0"/>
          <w:numId w:val="1"/>
        </w:numPr>
        <w:tabs>
          <w:tab w:pos="478" w:val="left" w:leader="none"/>
          <w:tab w:pos="479" w:val="left" w:leader="none"/>
        </w:tabs>
        <w:spacing w:line="240" w:lineRule="auto" w:before="1" w:after="0"/>
        <w:ind w:left="478" w:right="0" w:hanging="360"/>
        <w:jc w:val="left"/>
      </w:pPr>
      <w:r>
        <w:rPr/>
        <w:t>您与我们订立的合同</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合同构成</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投保范围</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合同成立与生效</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合同终止</w:t>
      </w:r>
    </w:p>
    <w:p>
      <w:pPr>
        <w:pStyle w:val="Heading3"/>
        <w:numPr>
          <w:ilvl w:val="0"/>
          <w:numId w:val="1"/>
        </w:numPr>
        <w:tabs>
          <w:tab w:pos="478" w:val="left" w:leader="none"/>
          <w:tab w:pos="479" w:val="left" w:leader="none"/>
        </w:tabs>
        <w:spacing w:line="240" w:lineRule="auto" w:before="177" w:after="0"/>
        <w:ind w:left="478" w:right="0" w:hanging="360"/>
        <w:jc w:val="left"/>
      </w:pPr>
      <w:r>
        <w:rPr/>
        <w:t>我们提供的保障</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基本保险金额</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保险期间</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保险责任</w:t>
      </w:r>
    </w:p>
    <w:p>
      <w:pPr>
        <w:pStyle w:val="ListParagraph"/>
        <w:numPr>
          <w:ilvl w:val="1"/>
          <w:numId w:val="1"/>
        </w:numPr>
        <w:tabs>
          <w:tab w:pos="717" w:val="left" w:leader="none"/>
        </w:tabs>
        <w:spacing w:line="240" w:lineRule="auto" w:before="22" w:after="0"/>
        <w:ind w:left="716" w:right="0" w:hanging="420"/>
        <w:jc w:val="left"/>
        <w:rPr>
          <w:sz w:val="21"/>
        </w:rPr>
      </w:pPr>
      <w:r>
        <w:rPr>
          <w:spacing w:val="-1"/>
          <w:sz w:val="21"/>
        </w:rPr>
        <w:t>责任免除</w:t>
      </w:r>
    </w:p>
    <w:p>
      <w:pPr>
        <w:pStyle w:val="Heading3"/>
        <w:numPr>
          <w:ilvl w:val="0"/>
          <w:numId w:val="1"/>
        </w:numPr>
        <w:tabs>
          <w:tab w:pos="478" w:val="left" w:leader="none"/>
          <w:tab w:pos="479" w:val="left" w:leader="none"/>
        </w:tabs>
        <w:spacing w:line="240" w:lineRule="auto" w:before="177" w:after="0"/>
        <w:ind w:left="478" w:right="0" w:hanging="360"/>
        <w:jc w:val="left"/>
      </w:pPr>
      <w:r>
        <w:rPr/>
        <w:t>保险金的申请</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保险事故通知</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保险金申请</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诉讼时效</w:t>
      </w:r>
    </w:p>
    <w:p>
      <w:pPr>
        <w:pStyle w:val="BodyText"/>
        <w:rPr>
          <w:sz w:val="22"/>
        </w:rPr>
      </w:pPr>
      <w:r>
        <w:rPr/>
        <w:br w:type="column"/>
      </w:r>
      <w:r>
        <w:rPr>
          <w:sz w:val="22"/>
        </w:rPr>
      </w:r>
    </w:p>
    <w:p>
      <w:pPr>
        <w:pStyle w:val="BodyText"/>
        <w:rPr>
          <w:sz w:val="22"/>
        </w:rPr>
      </w:pPr>
    </w:p>
    <w:p>
      <w:pPr>
        <w:pStyle w:val="BodyText"/>
        <w:spacing w:before="1"/>
        <w:rPr>
          <w:sz w:val="20"/>
        </w:rPr>
      </w:pPr>
    </w:p>
    <w:p>
      <w:pPr>
        <w:pStyle w:val="Heading3"/>
        <w:numPr>
          <w:ilvl w:val="0"/>
          <w:numId w:val="1"/>
        </w:numPr>
        <w:tabs>
          <w:tab w:pos="478" w:val="left" w:leader="none"/>
          <w:tab w:pos="479" w:val="left" w:leader="none"/>
        </w:tabs>
        <w:spacing w:line="240" w:lineRule="auto" w:before="0" w:after="0"/>
        <w:ind w:left="478" w:right="0" w:hanging="360"/>
        <w:jc w:val="left"/>
      </w:pPr>
      <w:r>
        <w:rPr/>
        <w:t>现金价值权益</w:t>
      </w:r>
    </w:p>
    <w:p>
      <w:pPr>
        <w:pStyle w:val="ListParagraph"/>
        <w:numPr>
          <w:ilvl w:val="1"/>
          <w:numId w:val="1"/>
        </w:numPr>
        <w:tabs>
          <w:tab w:pos="717" w:val="left" w:leader="none"/>
        </w:tabs>
        <w:spacing w:line="240" w:lineRule="auto" w:before="21" w:after="0"/>
        <w:ind w:left="716" w:right="0" w:hanging="420"/>
        <w:jc w:val="left"/>
        <w:rPr>
          <w:sz w:val="21"/>
        </w:rPr>
      </w:pPr>
      <w:r>
        <w:rPr/>
        <w:pict>
          <v:line style="position:absolute;mso-position-horizontal-relative:page;mso-position-vertical-relative:paragraph;z-index:0" from="220.369995pt,-21.720316pt" to="220.369995pt,220.099684pt" stroked="true" strokeweight=".72pt" strokecolor="#000000">
            <v:stroke dashstyle="solid"/>
            <w10:wrap type="none"/>
          </v:line>
        </w:pict>
      </w:r>
      <w:r>
        <w:rPr>
          <w:spacing w:val="-1"/>
          <w:sz w:val="21"/>
        </w:rPr>
        <w:t>现金价值</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减额交清</w:t>
      </w:r>
    </w:p>
    <w:p>
      <w:pPr>
        <w:pStyle w:val="Heading3"/>
        <w:numPr>
          <w:ilvl w:val="0"/>
          <w:numId w:val="1"/>
        </w:numPr>
        <w:tabs>
          <w:tab w:pos="478" w:val="left" w:leader="none"/>
          <w:tab w:pos="479" w:val="left" w:leader="none"/>
        </w:tabs>
        <w:spacing w:line="240" w:lineRule="auto" w:before="177" w:after="0"/>
        <w:ind w:left="478" w:right="0" w:hanging="360"/>
        <w:jc w:val="left"/>
      </w:pPr>
      <w:r>
        <w:rPr/>
        <w:t>解除合同</w:t>
      </w:r>
    </w:p>
    <w:p>
      <w:pPr>
        <w:pStyle w:val="ListParagraph"/>
        <w:numPr>
          <w:ilvl w:val="1"/>
          <w:numId w:val="1"/>
        </w:numPr>
        <w:tabs>
          <w:tab w:pos="717" w:val="left" w:leader="none"/>
        </w:tabs>
        <w:spacing w:line="256" w:lineRule="auto" w:before="21" w:after="0"/>
        <w:ind w:left="716" w:right="0" w:hanging="420"/>
        <w:jc w:val="left"/>
        <w:rPr>
          <w:sz w:val="21"/>
        </w:rPr>
      </w:pPr>
      <w:r>
        <w:rPr>
          <w:spacing w:val="15"/>
          <w:sz w:val="21"/>
        </w:rPr>
        <w:t>您解除合同的手续及风险</w:t>
      </w:r>
    </w:p>
    <w:p>
      <w:pPr>
        <w:pStyle w:val="Heading3"/>
        <w:numPr>
          <w:ilvl w:val="0"/>
          <w:numId w:val="1"/>
        </w:numPr>
        <w:tabs>
          <w:tab w:pos="478" w:val="left" w:leader="none"/>
          <w:tab w:pos="479" w:val="left" w:leader="none"/>
        </w:tabs>
        <w:spacing w:line="240" w:lineRule="auto" w:before="178" w:after="0"/>
        <w:ind w:left="478" w:right="0" w:hanging="360"/>
        <w:jc w:val="left"/>
      </w:pPr>
      <w:r>
        <w:rPr/>
        <w:t>释义</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特定重大疾病</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普通重大疾病</w:t>
      </w:r>
    </w:p>
    <w:p>
      <w:pPr>
        <w:pStyle w:val="ListParagraph"/>
        <w:numPr>
          <w:ilvl w:val="1"/>
          <w:numId w:val="1"/>
        </w:numPr>
        <w:tabs>
          <w:tab w:pos="717" w:val="left" w:leader="none"/>
        </w:tabs>
        <w:spacing w:line="240" w:lineRule="auto" w:before="20" w:after="0"/>
        <w:ind w:left="716" w:right="0" w:hanging="420"/>
        <w:jc w:val="left"/>
        <w:rPr>
          <w:sz w:val="21"/>
        </w:rPr>
      </w:pPr>
      <w:r>
        <w:rPr>
          <w:spacing w:val="-3"/>
          <w:sz w:val="21"/>
        </w:rPr>
        <w:t>肢体机能完全丧失</w:t>
      </w:r>
    </w:p>
    <w:p>
      <w:pPr>
        <w:pStyle w:val="ListParagraph"/>
        <w:numPr>
          <w:ilvl w:val="1"/>
          <w:numId w:val="1"/>
        </w:numPr>
        <w:tabs>
          <w:tab w:pos="717" w:val="left" w:leader="none"/>
        </w:tabs>
        <w:spacing w:line="256" w:lineRule="auto" w:before="20" w:after="0"/>
        <w:ind w:left="716" w:right="0" w:hanging="420"/>
        <w:jc w:val="left"/>
        <w:rPr>
          <w:sz w:val="21"/>
        </w:rPr>
      </w:pPr>
      <w:r>
        <w:rPr>
          <w:spacing w:val="15"/>
          <w:sz w:val="21"/>
        </w:rPr>
        <w:t>语言能力或咀嚼吞咽能</w:t>
      </w:r>
      <w:r>
        <w:rPr>
          <w:spacing w:val="3"/>
          <w:sz w:val="21"/>
        </w:rPr>
        <w:t>力完全丧失</w:t>
      </w:r>
    </w:p>
    <w:p>
      <w:pPr>
        <w:pStyle w:val="ListParagraph"/>
        <w:numPr>
          <w:ilvl w:val="1"/>
          <w:numId w:val="1"/>
        </w:numPr>
        <w:tabs>
          <w:tab w:pos="717" w:val="left" w:leader="none"/>
        </w:tabs>
        <w:spacing w:line="240" w:lineRule="auto" w:before="22" w:after="0"/>
        <w:ind w:left="716" w:right="0" w:hanging="420"/>
        <w:jc w:val="left"/>
        <w:rPr>
          <w:sz w:val="21"/>
        </w:rPr>
      </w:pPr>
      <w:r>
        <w:rPr>
          <w:spacing w:val="-3"/>
          <w:sz w:val="21"/>
        </w:rPr>
        <w:t>六项基本日常生活活动</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永久不可逆</w:t>
      </w:r>
    </w:p>
    <w:p>
      <w:pPr>
        <w:pStyle w:val="BodyText"/>
        <w:rPr>
          <w:sz w:val="22"/>
        </w:rPr>
      </w:pPr>
      <w:r>
        <w:rPr/>
        <w:br w:type="column"/>
      </w:r>
      <w:r>
        <w:rPr>
          <w:sz w:val="22"/>
        </w:rPr>
      </w:r>
    </w:p>
    <w:p>
      <w:pPr>
        <w:pStyle w:val="BodyText"/>
        <w:spacing w:before="2"/>
        <w:rPr>
          <w:sz w:val="30"/>
        </w:rPr>
      </w:pPr>
    </w:p>
    <w:p>
      <w:pPr>
        <w:pStyle w:val="ListParagraph"/>
        <w:numPr>
          <w:ilvl w:val="1"/>
          <w:numId w:val="1"/>
        </w:numPr>
        <w:tabs>
          <w:tab w:pos="539" w:val="left" w:leader="none"/>
        </w:tabs>
        <w:spacing w:line="240" w:lineRule="auto" w:before="0" w:after="0"/>
        <w:ind w:left="538" w:right="0" w:hanging="420"/>
        <w:jc w:val="left"/>
        <w:rPr>
          <w:sz w:val="21"/>
        </w:rPr>
      </w:pPr>
      <w:r>
        <w:rPr>
          <w:sz w:val="21"/>
        </w:rPr>
        <w:t>原位癌</w:t>
      </w:r>
    </w:p>
    <w:p>
      <w:pPr>
        <w:pStyle w:val="ListParagraph"/>
        <w:numPr>
          <w:ilvl w:val="1"/>
          <w:numId w:val="1"/>
        </w:numPr>
        <w:tabs>
          <w:tab w:pos="539" w:val="left" w:leader="none"/>
        </w:tabs>
        <w:spacing w:line="240" w:lineRule="auto" w:before="21" w:after="0"/>
        <w:ind w:left="538" w:right="0" w:hanging="420"/>
        <w:jc w:val="left"/>
        <w:rPr>
          <w:sz w:val="21"/>
        </w:rPr>
      </w:pPr>
      <w:r>
        <w:rPr/>
        <w:pict>
          <v:line style="position:absolute;mso-position-horizontal-relative:page;mso-position-vertical-relative:paragraph;z-index:1048" from="375.01001pt,-13.920328pt" to="375.01001pt,227.899672pt" stroked="true" strokeweight=".84pt" strokecolor="#000000">
            <v:stroke dashstyle="solid"/>
            <w10:wrap type="none"/>
          </v:line>
        </w:pict>
      </w:r>
      <w:r>
        <w:rPr>
          <w:spacing w:val="-1"/>
          <w:sz w:val="21"/>
        </w:rPr>
        <w:t>意外伤害</w:t>
      </w:r>
    </w:p>
    <w:p>
      <w:pPr>
        <w:pStyle w:val="ListParagraph"/>
        <w:numPr>
          <w:ilvl w:val="1"/>
          <w:numId w:val="1"/>
        </w:numPr>
        <w:tabs>
          <w:tab w:pos="539" w:val="left" w:leader="none"/>
        </w:tabs>
        <w:spacing w:line="240" w:lineRule="auto" w:before="21" w:after="0"/>
        <w:ind w:left="538" w:right="0" w:hanging="420"/>
        <w:jc w:val="left"/>
        <w:rPr>
          <w:sz w:val="21"/>
        </w:rPr>
      </w:pPr>
      <w:r>
        <w:rPr>
          <w:sz w:val="21"/>
        </w:rPr>
        <w:t>发病</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指定或认可的医院</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专科医生</w:t>
      </w:r>
    </w:p>
    <w:p>
      <w:pPr>
        <w:pStyle w:val="ListParagraph"/>
        <w:numPr>
          <w:ilvl w:val="1"/>
          <w:numId w:val="1"/>
        </w:numPr>
        <w:tabs>
          <w:tab w:pos="539" w:val="left" w:leader="none"/>
        </w:tabs>
        <w:spacing w:line="240" w:lineRule="auto" w:before="21" w:after="0"/>
        <w:ind w:left="538" w:right="0" w:hanging="420"/>
        <w:jc w:val="left"/>
        <w:rPr>
          <w:sz w:val="21"/>
        </w:rPr>
      </w:pPr>
      <w:r>
        <w:rPr>
          <w:sz w:val="21"/>
        </w:rPr>
        <w:t>毒品</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酒后驾驶</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无合法有效驾驶证驾驶</w:t>
      </w:r>
    </w:p>
    <w:p>
      <w:pPr>
        <w:pStyle w:val="ListParagraph"/>
        <w:numPr>
          <w:ilvl w:val="1"/>
          <w:numId w:val="1"/>
        </w:numPr>
        <w:tabs>
          <w:tab w:pos="539" w:val="left" w:leader="none"/>
        </w:tabs>
        <w:spacing w:line="240" w:lineRule="auto" w:before="21" w:after="0"/>
        <w:ind w:left="538" w:right="0" w:hanging="420"/>
        <w:jc w:val="left"/>
        <w:rPr>
          <w:sz w:val="21"/>
        </w:rPr>
      </w:pPr>
      <w:r>
        <w:rPr>
          <w:spacing w:val="-2"/>
          <w:sz w:val="21"/>
        </w:rPr>
        <w:t>无有效行驶证</w:t>
      </w:r>
    </w:p>
    <w:p>
      <w:pPr>
        <w:pStyle w:val="ListParagraph"/>
        <w:numPr>
          <w:ilvl w:val="1"/>
          <w:numId w:val="1"/>
        </w:numPr>
        <w:tabs>
          <w:tab w:pos="539" w:val="left" w:leader="none"/>
        </w:tabs>
        <w:spacing w:line="259" w:lineRule="auto" w:before="21" w:after="0"/>
        <w:ind w:left="538" w:right="1196" w:hanging="420"/>
        <w:jc w:val="left"/>
        <w:rPr>
          <w:sz w:val="21"/>
        </w:rPr>
      </w:pPr>
      <w:r>
        <w:rPr>
          <w:spacing w:val="15"/>
          <w:sz w:val="21"/>
        </w:rPr>
        <w:t>感染艾滋病病毒或患艾滋病</w:t>
      </w:r>
    </w:p>
    <w:p>
      <w:pPr>
        <w:pStyle w:val="ListParagraph"/>
        <w:numPr>
          <w:ilvl w:val="1"/>
          <w:numId w:val="1"/>
        </w:numPr>
        <w:tabs>
          <w:tab w:pos="539" w:val="left" w:leader="none"/>
        </w:tabs>
        <w:spacing w:line="240" w:lineRule="auto" w:before="20" w:after="0"/>
        <w:ind w:left="538" w:right="0" w:hanging="420"/>
        <w:jc w:val="left"/>
        <w:rPr>
          <w:sz w:val="21"/>
        </w:rPr>
      </w:pPr>
      <w:r>
        <w:rPr>
          <w:spacing w:val="-1"/>
          <w:sz w:val="21"/>
        </w:rPr>
        <w:t>遗传性疾病</w:t>
      </w:r>
    </w:p>
    <w:p>
      <w:pPr>
        <w:pStyle w:val="ListParagraph"/>
        <w:numPr>
          <w:ilvl w:val="1"/>
          <w:numId w:val="1"/>
        </w:numPr>
        <w:tabs>
          <w:tab w:pos="539" w:val="left" w:leader="none"/>
        </w:tabs>
        <w:spacing w:line="256" w:lineRule="auto" w:before="20" w:after="0"/>
        <w:ind w:left="538" w:right="1194" w:hanging="420"/>
        <w:jc w:val="left"/>
        <w:rPr>
          <w:sz w:val="21"/>
        </w:rPr>
      </w:pPr>
      <w:r>
        <w:rPr>
          <w:spacing w:val="-6"/>
          <w:sz w:val="21"/>
        </w:rPr>
        <w:t>先天性畸形、变形或染色体异常</w:t>
      </w:r>
    </w:p>
    <w:p>
      <w:pPr>
        <w:spacing w:after="0" w:line="256" w:lineRule="auto"/>
        <w:jc w:val="left"/>
        <w:rPr>
          <w:sz w:val="21"/>
        </w:rPr>
        <w:sectPr>
          <w:type w:val="continuous"/>
          <w:pgSz w:w="11910" w:h="16840"/>
          <w:pgMar w:top="540" w:bottom="280" w:left="1300" w:right="220"/>
          <w:cols w:num="3" w:equalWidth="0">
            <w:col w:w="2380" w:space="714"/>
            <w:col w:w="3002" w:space="267"/>
            <w:col w:w="402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firstLine="0"/>
      </w:pPr>
      <w:r>
        <w:rPr/>
        <w:t>同方全球附加</w:t>
      </w:r>
      <w:r>
        <w:rPr>
          <w:rFonts w:ascii="新宋体" w:eastAsia="新宋体" w:hint="eastAsia"/>
          <w:sz w:val="32"/>
        </w:rPr>
        <w:t>「</w:t>
      </w:r>
      <w:r>
        <w:rPr/>
        <w:t>关爱天使</w:t>
      </w:r>
      <w:r>
        <w:rPr>
          <w:rFonts w:ascii="新宋体" w:eastAsia="新宋体" w:hint="eastAsia"/>
          <w:sz w:val="32"/>
        </w:rPr>
        <w:t>」</w:t>
      </w:r>
      <w:r>
        <w:rPr/>
        <w:t>少儿重大疾病保险</w:t>
      </w:r>
    </w:p>
    <w:p>
      <w:pPr>
        <w:pStyle w:val="BodyText"/>
        <w:spacing w:line="256" w:lineRule="auto" w:before="395"/>
        <w:ind w:left="138" w:right="132"/>
      </w:pPr>
      <w:r>
        <w:rPr>
          <w:spacing w:val="-5"/>
        </w:rPr>
        <w:t>在本条款中，</w:t>
      </w:r>
      <w:r>
        <w:rPr>
          <w:rFonts w:ascii="Times New Roman" w:hAnsi="Times New Roman" w:eastAsia="Times New Roman"/>
          <w:spacing w:val="-19"/>
        </w:rPr>
        <w:t>“</w:t>
      </w:r>
      <w:r>
        <w:rPr/>
        <w:t>您</w:t>
      </w:r>
      <w:r>
        <w:rPr>
          <w:rFonts w:ascii="Times New Roman" w:hAnsi="Times New Roman" w:eastAsia="Times New Roman"/>
        </w:rPr>
        <w:t>”</w:t>
      </w:r>
      <w:r>
        <w:rPr>
          <w:spacing w:val="-7"/>
        </w:rPr>
        <w:t>指投保人，</w:t>
      </w:r>
      <w:r>
        <w:rPr>
          <w:rFonts w:ascii="Times New Roman" w:hAnsi="Times New Roman" w:eastAsia="Times New Roman"/>
          <w:spacing w:val="-19"/>
        </w:rPr>
        <w:t>“</w:t>
      </w:r>
      <w:r>
        <w:rPr/>
        <w:t>我们</w:t>
      </w:r>
      <w:r>
        <w:rPr>
          <w:rFonts w:ascii="Times New Roman" w:hAnsi="Times New Roman" w:eastAsia="Times New Roman"/>
          <w:spacing w:val="-3"/>
        </w:rPr>
        <w:t>”</w:t>
      </w:r>
      <w:r>
        <w:rPr>
          <w:spacing w:val="-5"/>
        </w:rPr>
        <w:t>指同方全球人寿保险有限公司，</w:t>
      </w:r>
      <w:r>
        <w:rPr>
          <w:rFonts w:ascii="Times New Roman" w:hAnsi="Times New Roman" w:eastAsia="Times New Roman"/>
          <w:spacing w:val="-19"/>
        </w:rPr>
        <w:t>“</w:t>
      </w:r>
      <w:r>
        <w:rPr>
          <w:spacing w:val="-3"/>
        </w:rPr>
        <w:t>本附加合同</w:t>
      </w:r>
      <w:r>
        <w:rPr>
          <w:rFonts w:ascii="Times New Roman" w:hAnsi="Times New Roman" w:eastAsia="Times New Roman"/>
          <w:spacing w:val="-3"/>
        </w:rPr>
        <w:t>”</w:t>
      </w:r>
      <w:r>
        <w:rPr>
          <w:spacing w:val="-3"/>
        </w:rPr>
        <w:t>指您与我们之间订立的</w:t>
      </w:r>
      <w:r>
        <w:rPr>
          <w:rFonts w:ascii="Times New Roman" w:hAnsi="Times New Roman" w:eastAsia="Times New Roman"/>
          <w:spacing w:val="-3"/>
        </w:rPr>
        <w:t>“</w:t>
      </w:r>
      <w:r>
        <w:rPr>
          <w:spacing w:val="-3"/>
        </w:rPr>
        <w:t>同方全球附加「关爱天使」少儿重大疾病保险合同</w:t>
      </w:r>
      <w:r>
        <w:rPr>
          <w:rFonts w:ascii="Times New Roman" w:hAnsi="Times New Roman" w:eastAsia="Times New Roman"/>
          <w:spacing w:val="-3"/>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503998pt,19.295618pt" to="525.933998pt,19.295618pt" stroked="true" strokeweight="1.44pt" strokecolor="#000000">
            <v:stroke dashstyle="solid"/>
            <w10:wrap type="topAndBottom"/>
          </v:line>
        </w:pict>
      </w:r>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合同构成</w:t>
      </w:r>
    </w:p>
    <w:p>
      <w:pPr>
        <w:pStyle w:val="BodyText"/>
        <w:spacing w:before="3"/>
        <w:rPr>
          <w:b/>
          <w:sz w:val="10"/>
        </w:rPr>
      </w:pPr>
    </w:p>
    <w:p>
      <w:pPr>
        <w:pStyle w:val="BodyText"/>
        <w:spacing w:line="266" w:lineRule="auto" w:before="43"/>
        <w:ind w:left="1610" w:right="129"/>
        <w:jc w:val="both"/>
      </w:pPr>
      <w:r>
        <w:rPr/>
        <w:t>本附加合同依您的申请，附加于您与我们订立的主保险合同（以下简称</w:t>
      </w:r>
      <w:r>
        <w:rPr>
          <w:rFonts w:ascii="Times New Roman" w:hAnsi="Times New Roman" w:eastAsia="Times New Roman"/>
        </w:rPr>
        <w:t>“</w:t>
      </w:r>
      <w:r>
        <w:rPr/>
        <w:t>主合同</w:t>
      </w:r>
      <w:r>
        <w:rPr>
          <w:rFonts w:ascii="Times New Roman" w:hAnsi="Times New Roman" w:eastAsia="Times New Roman"/>
        </w:rPr>
        <w:t>”</w:t>
      </w:r>
      <w:r>
        <w:rPr/>
        <w:t>） 之上，并经我们审核同意，在保险单或批注中列明后生效。本附加合同未约定的事项，以主合同为准；若主合同与本附加合同的条款内容互有冲突，则以本附加合同为准。</w:t>
      </w:r>
    </w:p>
    <w:p>
      <w:pPr>
        <w:pStyle w:val="BodyText"/>
        <w:spacing w:before="10"/>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r>
        <w:rPr/>
        <w:t>投保范围</w:t>
      </w:r>
    </w:p>
    <w:p>
      <w:pPr>
        <w:pStyle w:val="BodyText"/>
        <w:spacing w:before="10"/>
        <w:rPr>
          <w:b/>
          <w:sz w:val="10"/>
        </w:rPr>
      </w:pPr>
    </w:p>
    <w:p>
      <w:pPr>
        <w:pStyle w:val="BodyText"/>
        <w:spacing w:before="36"/>
        <w:ind w:left="1610"/>
      </w:pPr>
      <w:r>
        <w:rPr/>
        <w:t>本附加合同接受的被保险人的投保年龄为出生满七天至十七周岁。</w:t>
      </w:r>
    </w:p>
    <w:p>
      <w:pPr>
        <w:pStyle w:val="BodyText"/>
        <w:spacing w:before="9"/>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t>合同成立与生效</w:t>
      </w:r>
    </w:p>
    <w:p>
      <w:pPr>
        <w:pStyle w:val="BodyText"/>
        <w:spacing w:line="273" w:lineRule="auto" w:before="176"/>
        <w:ind w:left="1610" w:right="131"/>
      </w:pPr>
      <w:r>
        <w:rPr/>
        <w:t>若您于投保主合同时投保本附加合同，则主合同的合同成立日与生效日分别为本附加合同的合同成立日与生效日，并在保险单上载明。</w:t>
      </w:r>
    </w:p>
    <w:p>
      <w:pPr>
        <w:pStyle w:val="BodyText"/>
        <w:spacing w:line="273" w:lineRule="auto" w:before="163"/>
        <w:ind w:left="1610" w:right="130"/>
        <w:jc w:val="both"/>
      </w:pPr>
      <w:r>
        <w:rPr/>
        <w:t>若您于主合同有效期内申请附加本附加合同，我们同意承保，则本附加合同成立， 合同成立日期在批注上载明。您交纳应交的保险费且我们同意承保后，则本附加合同自批注上所载的生效日的零时起生效。</w:t>
      </w:r>
    </w:p>
    <w:p>
      <w:pPr>
        <w:pStyle w:val="Heading3"/>
        <w:numPr>
          <w:ilvl w:val="1"/>
          <w:numId w:val="2"/>
        </w:numPr>
        <w:tabs>
          <w:tab w:pos="714" w:val="left" w:leader="none"/>
          <w:tab w:pos="715" w:val="left" w:leader="none"/>
        </w:tabs>
        <w:spacing w:line="240" w:lineRule="auto" w:before="163" w:after="0"/>
        <w:ind w:left="714" w:right="0" w:hanging="576"/>
        <w:jc w:val="left"/>
      </w:pPr>
      <w:r>
        <w:rPr/>
        <w:t>合同终止</w:t>
      </w:r>
    </w:p>
    <w:p>
      <w:pPr>
        <w:pStyle w:val="BodyText"/>
        <w:spacing w:before="177"/>
        <w:ind w:left="1578"/>
        <w:jc w:val="both"/>
      </w:pPr>
      <w:r>
        <w:rPr/>
        <w:t>本附加合同因以下事项而终止效力：</w:t>
      </w:r>
    </w:p>
    <w:p>
      <w:pPr>
        <w:pStyle w:val="BodyText"/>
        <w:spacing w:before="10"/>
        <w:rPr>
          <w:sz w:val="14"/>
        </w:rPr>
      </w:pPr>
    </w:p>
    <w:p>
      <w:pPr>
        <w:pStyle w:val="ListParagraph"/>
        <w:numPr>
          <w:ilvl w:val="2"/>
          <w:numId w:val="2"/>
        </w:numPr>
        <w:tabs>
          <w:tab w:pos="1896" w:val="left" w:leader="none"/>
        </w:tabs>
        <w:spacing w:line="240" w:lineRule="auto" w:before="0" w:after="0"/>
        <w:ind w:left="1895" w:right="0" w:hanging="317"/>
        <w:jc w:val="both"/>
        <w:rPr>
          <w:sz w:val="21"/>
        </w:rPr>
      </w:pPr>
      <w:r>
        <w:rPr>
          <w:spacing w:val="-3"/>
          <w:sz w:val="21"/>
        </w:rPr>
        <w:t>主合同效力终止或变更为减额交清时；</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您于本附加合同有效期内向我们申请解除合同；</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本附加合同因其他条款所列情况而终止。</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503998pt,19.295626pt" to="525.933998pt,19.295626pt" stroked="true" strokeweight="1.44pt" strokecolor="#000000">
            <v:stroke dashstyle="solid"/>
            <w10:wrap type="topAndBottom"/>
          </v:line>
        </w:pict>
      </w:r>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基本保险金额</w:t>
      </w:r>
    </w:p>
    <w:p>
      <w:pPr>
        <w:pStyle w:val="BodyText"/>
        <w:spacing w:line="273" w:lineRule="auto" w:before="177"/>
        <w:ind w:left="1610" w:right="129"/>
        <w:jc w:val="both"/>
      </w:pPr>
      <w:r>
        <w:rPr/>
        <w:t>本附加合同所称基本保险金额是指保险单或合同批注上所载的本附加合同的金额， 若该金额经本附加合同其它条款修正而发生变更，则以变更后的金额为基本保险金额。</w:t>
      </w:r>
    </w:p>
    <w:p>
      <w:pPr>
        <w:pStyle w:val="Heading3"/>
        <w:numPr>
          <w:ilvl w:val="1"/>
          <w:numId w:val="2"/>
        </w:numPr>
        <w:tabs>
          <w:tab w:pos="714" w:val="left" w:leader="none"/>
          <w:tab w:pos="715" w:val="left" w:leader="none"/>
        </w:tabs>
        <w:spacing w:line="240" w:lineRule="auto" w:before="164" w:after="0"/>
        <w:ind w:left="714" w:right="0" w:hanging="576"/>
        <w:jc w:val="left"/>
      </w:pPr>
      <w:r>
        <w:rPr/>
        <w:t>保险期间</w:t>
      </w:r>
    </w:p>
    <w:p>
      <w:pPr>
        <w:pStyle w:val="BodyText"/>
        <w:spacing w:line="273" w:lineRule="auto" w:before="177"/>
        <w:ind w:left="1610" w:right="129"/>
        <w:jc w:val="both"/>
      </w:pPr>
      <w:r>
        <w:rPr/>
        <w:t>本附加合同的保险期间为本附加合同生效日零时起至被保险人年满二十五周岁后的首个保单周年日零时止。</w:t>
      </w:r>
    </w:p>
    <w:p>
      <w:pPr>
        <w:spacing w:after="0" w:line="273" w:lineRule="auto"/>
        <w:jc w:val="both"/>
        <w:sectPr>
          <w:pgSz w:w="11910" w:h="16840"/>
          <w:pgMar w:top="1420" w:bottom="280" w:left="1280" w:right="1280"/>
        </w:sectPr>
      </w:pPr>
    </w:p>
    <w:p>
      <w:pPr>
        <w:pStyle w:val="Heading3"/>
        <w:numPr>
          <w:ilvl w:val="1"/>
          <w:numId w:val="2"/>
        </w:numPr>
        <w:tabs>
          <w:tab w:pos="714" w:val="left" w:leader="none"/>
          <w:tab w:pos="715" w:val="left" w:leader="none"/>
        </w:tabs>
        <w:spacing w:line="240" w:lineRule="auto" w:before="29" w:after="0"/>
        <w:ind w:left="714" w:right="0" w:hanging="576"/>
        <w:jc w:val="left"/>
      </w:pPr>
      <w:r>
        <w:rPr/>
        <w:t>保险责任</w:t>
      </w:r>
    </w:p>
    <w:p>
      <w:pPr>
        <w:pStyle w:val="ListParagraph"/>
        <w:numPr>
          <w:ilvl w:val="2"/>
          <w:numId w:val="3"/>
        </w:numPr>
        <w:tabs>
          <w:tab w:pos="1398" w:val="left" w:leader="none"/>
          <w:tab w:pos="1399" w:val="left" w:leader="none"/>
        </w:tabs>
        <w:spacing w:line="240" w:lineRule="auto" w:before="177" w:after="0"/>
        <w:ind w:left="1398" w:right="0" w:hanging="720"/>
        <w:jc w:val="left"/>
        <w:rPr>
          <w:b/>
          <w:sz w:val="21"/>
        </w:rPr>
      </w:pPr>
      <w:r>
        <w:rPr>
          <w:b/>
          <w:sz w:val="21"/>
        </w:rPr>
        <w:t>特定重大疾病保险金</w:t>
      </w:r>
    </w:p>
    <w:p>
      <w:pPr>
        <w:pStyle w:val="BodyText"/>
        <w:spacing w:line="273" w:lineRule="auto" w:before="140"/>
        <w:ind w:left="1610" w:right="129"/>
        <w:jc w:val="both"/>
      </w:pPr>
      <w:r>
        <w:rPr/>
        <w:t>在本附加合同有效期内，如果被保险人因</w:t>
      </w:r>
      <w:r>
        <w:rPr>
          <w:b/>
        </w:rPr>
        <w:t>意外伤害</w:t>
      </w:r>
      <w:r>
        <w:rPr/>
        <w:t>事故或于本附加合同生效（或最后一次复效，以较迟者为准）日起</w:t>
      </w:r>
      <w:r>
        <w:rPr>
          <w:rFonts w:ascii="黑体" w:eastAsia="黑体" w:hint="eastAsia"/>
        </w:rPr>
        <w:t>九十天后</w:t>
      </w:r>
      <w:r>
        <w:rPr/>
        <w:t>首次</w:t>
      </w:r>
      <w:r>
        <w:rPr>
          <w:b/>
        </w:rPr>
        <w:t>发病</w:t>
      </w:r>
      <w:r>
        <w:rPr/>
        <w:t>，经我们</w:t>
      </w:r>
      <w:r>
        <w:rPr>
          <w:b/>
        </w:rPr>
        <w:t>指定或认可的医院</w:t>
      </w:r>
      <w:r>
        <w:rPr/>
        <w:t>的</w:t>
      </w:r>
      <w:r>
        <w:rPr>
          <w:b/>
        </w:rPr>
        <w:t>专科医生</w:t>
      </w:r>
      <w:r>
        <w:rPr/>
        <w:t>确诊首次罹患本附加合同约定的</w:t>
      </w:r>
      <w:r>
        <w:rPr>
          <w:b/>
        </w:rPr>
        <w:t>特定重大疾病</w:t>
      </w:r>
      <w:r>
        <w:rPr/>
        <w:t>，且被保险人至确诊日后的</w:t>
      </w:r>
      <w:r>
        <w:rPr>
          <w:rFonts w:ascii="黑体" w:eastAsia="黑体" w:hint="eastAsia"/>
        </w:rPr>
        <w:t>第二十八天的零时</w:t>
      </w:r>
      <w:r>
        <w:rPr/>
        <w:t>仍然生存（确诊日的次日为第一天），则我们按基本保险金额的</w:t>
      </w:r>
    </w:p>
    <w:p>
      <w:pPr>
        <w:pStyle w:val="BodyText"/>
        <w:spacing w:line="256" w:lineRule="auto" w:before="7"/>
        <w:ind w:left="1610" w:right="132"/>
      </w:pPr>
      <w:r>
        <w:rPr/>
        <w:drawing>
          <wp:anchor distT="0" distB="0" distL="0" distR="0" allowOverlap="1" layoutInCell="1" locked="0" behindDoc="1" simplePos="0" relativeHeight="268423919">
            <wp:simplePos x="0" y="0"/>
            <wp:positionH relativeFrom="page">
              <wp:posOffset>2036317</wp:posOffset>
            </wp:positionH>
            <wp:positionV relativeFrom="paragraph">
              <wp:posOffset>64943</wp:posOffset>
            </wp:positionV>
            <wp:extent cx="63500" cy="952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500" cy="95250"/>
                    </a:xfrm>
                    <a:prstGeom prst="rect">
                      <a:avLst/>
                    </a:prstGeom>
                  </pic:spPr>
                </pic:pic>
              </a:graphicData>
            </a:graphic>
          </wp:anchor>
        </w:drawing>
      </w:r>
      <w:r>
        <w:rPr>
          <w:rFonts w:ascii="黑体" w:hAnsi="黑体" w:eastAsia="黑体" w:hint="eastAsia"/>
        </w:rPr>
        <w:t>120</w:t>
      </w:r>
      <w:r>
        <w:rPr/>
        <w:t>给付</w:t>
      </w:r>
      <w:r>
        <w:rPr>
          <w:rFonts w:ascii="Times New Roman" w:hAnsi="Times New Roman" w:eastAsia="Times New Roman"/>
        </w:rPr>
        <w:t>“</w:t>
      </w:r>
      <w:r>
        <w:rPr/>
        <w:t>特定重大疾病保险金</w:t>
      </w:r>
      <w:r>
        <w:rPr>
          <w:rFonts w:ascii="Times New Roman" w:hAnsi="Times New Roman" w:eastAsia="Times New Roman"/>
        </w:rPr>
        <w:t>”(</w:t>
      </w:r>
      <w:r>
        <w:rPr>
          <w:rFonts w:ascii="黑体" w:hAnsi="黑体" w:eastAsia="黑体" w:hint="eastAsia"/>
        </w:rPr>
        <w:t>如果被保险人同时确诊罹患一项以上</w:t>
      </w:r>
      <w:r>
        <w:rPr>
          <w:rFonts w:ascii="黑体" w:hAnsi="黑体" w:eastAsia="黑体" w:hint="eastAsia"/>
          <w:b/>
        </w:rPr>
        <w:t>特定重大疾病</w:t>
      </w:r>
      <w:r>
        <w:rPr>
          <w:rFonts w:ascii="黑体" w:hAnsi="黑体" w:eastAsia="黑体" w:hint="eastAsia"/>
        </w:rPr>
        <w:t>时，该给付以一项为限</w:t>
      </w:r>
      <w:r>
        <w:rPr/>
        <w:t>）予被保险人，本附加合同效力终止。</w:t>
      </w:r>
    </w:p>
    <w:p>
      <w:pPr>
        <w:pStyle w:val="Heading3"/>
        <w:numPr>
          <w:ilvl w:val="2"/>
          <w:numId w:val="3"/>
        </w:numPr>
        <w:tabs>
          <w:tab w:pos="1398" w:val="left" w:leader="none"/>
          <w:tab w:pos="1399" w:val="left" w:leader="none"/>
        </w:tabs>
        <w:spacing w:line="240" w:lineRule="auto" w:before="178" w:after="0"/>
        <w:ind w:left="1398" w:right="0" w:hanging="720"/>
        <w:jc w:val="left"/>
      </w:pPr>
      <w:r>
        <w:rPr/>
        <w:t>普通重大疾病保险金</w:t>
      </w:r>
    </w:p>
    <w:p>
      <w:pPr>
        <w:pStyle w:val="BodyText"/>
        <w:spacing w:line="268" w:lineRule="auto" w:before="141"/>
        <w:ind w:left="1610" w:right="129"/>
        <w:jc w:val="both"/>
      </w:pPr>
      <w:r>
        <w:rPr/>
        <w:t>在本附加合同有效期内，如果被保险人因</w:t>
      </w:r>
      <w:r>
        <w:rPr>
          <w:b/>
        </w:rPr>
        <w:t>意外伤害</w:t>
      </w:r>
      <w:r>
        <w:rPr/>
        <w:t>事故或于本附加合同生效（或最后一次复效，以较迟者为准）日起</w:t>
      </w:r>
      <w:r>
        <w:rPr>
          <w:rFonts w:ascii="黑体" w:hAnsi="黑体" w:eastAsia="黑体" w:hint="eastAsia"/>
        </w:rPr>
        <w:t>九十天后</w:t>
      </w:r>
      <w:r>
        <w:rPr/>
        <w:t>首次</w:t>
      </w:r>
      <w:r>
        <w:rPr>
          <w:b/>
        </w:rPr>
        <w:t>发病</w:t>
      </w:r>
      <w:r>
        <w:rPr/>
        <w:t>，经我们</w:t>
      </w:r>
      <w:r>
        <w:rPr>
          <w:b/>
        </w:rPr>
        <w:t>指定或认可的医院</w:t>
      </w:r>
      <w:r>
        <w:rPr/>
        <w:t>的</w:t>
      </w:r>
      <w:r>
        <w:rPr>
          <w:b/>
        </w:rPr>
        <w:t>专科医生</w:t>
      </w:r>
      <w:r>
        <w:rPr/>
        <w:t>确诊首次罹患本附加合同约定的</w:t>
      </w:r>
      <w:r>
        <w:rPr>
          <w:b/>
        </w:rPr>
        <w:t>普通重大疾病</w:t>
      </w:r>
      <w:r>
        <w:rPr/>
        <w:t>，且被保险人至确诊日后的</w:t>
      </w:r>
      <w:r>
        <w:rPr>
          <w:rFonts w:ascii="黑体" w:hAnsi="黑体" w:eastAsia="黑体" w:hint="eastAsia"/>
        </w:rPr>
        <w:t>第二十八天的零时</w:t>
      </w:r>
      <w:r>
        <w:rPr/>
        <w:t>仍然生存（确诊日的次日为第一天），则我们按基本保险金额给付</w:t>
      </w:r>
      <w:r>
        <w:rPr>
          <w:rFonts w:ascii="Times New Roman" w:hAnsi="Times New Roman" w:eastAsia="Times New Roman"/>
        </w:rPr>
        <w:t>“</w:t>
      </w:r>
      <w:r>
        <w:rPr/>
        <w:t>普通重大疾病保险金</w:t>
      </w:r>
      <w:r>
        <w:rPr>
          <w:rFonts w:ascii="Times New Roman" w:hAnsi="Times New Roman" w:eastAsia="Times New Roman"/>
        </w:rPr>
        <w:t>”</w:t>
      </w:r>
      <w:r>
        <w:rPr/>
        <w:t>（</w:t>
      </w:r>
      <w:r>
        <w:rPr>
          <w:rFonts w:ascii="黑体" w:hAnsi="黑体" w:eastAsia="黑体" w:hint="eastAsia"/>
        </w:rPr>
        <w:t>如果被保险人同时确诊罹患一项以上</w:t>
      </w:r>
      <w:r>
        <w:rPr>
          <w:rFonts w:ascii="黑体" w:hAnsi="黑体" w:eastAsia="黑体" w:hint="eastAsia"/>
          <w:b/>
        </w:rPr>
        <w:t>普通重大疾病</w:t>
      </w:r>
      <w:r>
        <w:rPr>
          <w:rFonts w:ascii="黑体" w:hAnsi="黑体" w:eastAsia="黑体" w:hint="eastAsia"/>
        </w:rPr>
        <w:t>时， 该给付以一项为限</w:t>
      </w:r>
      <w:r>
        <w:rPr/>
        <w:t>）予被保险人，本附加合同效力终止。</w:t>
      </w:r>
    </w:p>
    <w:p>
      <w:pPr>
        <w:pStyle w:val="BodyText"/>
        <w:spacing w:line="273" w:lineRule="auto" w:before="168"/>
        <w:ind w:left="1576" w:right="73"/>
        <w:rPr>
          <w:rFonts w:ascii="黑体" w:hAnsi="黑体" w:eastAsia="黑体" w:hint="eastAsia"/>
        </w:rPr>
      </w:pPr>
      <w:r>
        <w:rPr>
          <w:rFonts w:ascii="黑体" w:hAnsi="黑体" w:eastAsia="黑体" w:hint="eastAsia"/>
        </w:rPr>
        <w:t>如果被保险人同时确诊罹患</w:t>
      </w:r>
      <w:r>
        <w:rPr>
          <w:rFonts w:ascii="黑体" w:hAnsi="黑体" w:eastAsia="黑体" w:hint="eastAsia"/>
          <w:b/>
        </w:rPr>
        <w:t>特定重大疾病</w:t>
      </w:r>
      <w:r>
        <w:rPr>
          <w:rFonts w:ascii="黑体" w:hAnsi="黑体" w:eastAsia="黑体" w:hint="eastAsia"/>
        </w:rPr>
        <w:t>与</w:t>
      </w:r>
      <w:r>
        <w:rPr>
          <w:rFonts w:ascii="黑体" w:hAnsi="黑体" w:eastAsia="黑体" w:hint="eastAsia"/>
          <w:b/>
        </w:rPr>
        <w:t>普通重大疾病</w:t>
      </w:r>
      <w:r>
        <w:rPr>
          <w:rFonts w:ascii="黑体" w:hAnsi="黑体" w:eastAsia="黑体" w:hint="eastAsia"/>
        </w:rPr>
        <w:t>时，我们将按照 2.3.1 条支付“特定重大疾病保险金”予被保险人，不再支付“普通重大疾病保险金”。</w:t>
      </w:r>
    </w:p>
    <w:p>
      <w:pPr>
        <w:pStyle w:val="Heading3"/>
        <w:numPr>
          <w:ilvl w:val="1"/>
          <w:numId w:val="3"/>
        </w:numPr>
        <w:tabs>
          <w:tab w:pos="714" w:val="left" w:leader="none"/>
          <w:tab w:pos="715" w:val="left" w:leader="none"/>
        </w:tabs>
        <w:spacing w:line="240" w:lineRule="auto" w:before="163" w:after="0"/>
        <w:ind w:left="714" w:right="0" w:hanging="576"/>
        <w:jc w:val="left"/>
        <w:rPr>
          <w:rFonts w:ascii="Times New Roman" w:eastAsia="Times New Roman"/>
        </w:rPr>
      </w:pPr>
      <w:r>
        <w:rPr/>
        <w:t>责任免除</w:t>
      </w:r>
    </w:p>
    <w:p>
      <w:pPr>
        <w:pStyle w:val="BodyText"/>
        <w:spacing w:line="273" w:lineRule="auto" w:before="176"/>
        <w:ind w:left="1610" w:right="132"/>
      </w:pPr>
      <w:r>
        <w:rPr>
          <w:rFonts w:ascii="黑体" w:eastAsia="黑体" w:hint="eastAsia"/>
        </w:rPr>
        <w:t>在本附加合同有效期内，因下列原因之一导致被保险人罹患本附加合同约定的</w:t>
      </w:r>
      <w:r>
        <w:rPr>
          <w:rFonts w:ascii="黑体" w:eastAsia="黑体" w:hint="eastAsia"/>
          <w:b/>
        </w:rPr>
        <w:t>特定重大疾病</w:t>
      </w:r>
      <w:r>
        <w:rPr>
          <w:rFonts w:ascii="黑体" w:eastAsia="黑体" w:hint="eastAsia"/>
        </w:rPr>
        <w:t>或</w:t>
      </w:r>
      <w:r>
        <w:rPr>
          <w:rFonts w:ascii="黑体" w:eastAsia="黑体" w:hint="eastAsia"/>
          <w:b/>
        </w:rPr>
        <w:t>普通重大疾病</w:t>
      </w:r>
      <w:r>
        <w:rPr>
          <w:rFonts w:ascii="黑体" w:eastAsia="黑体" w:hint="eastAsia"/>
        </w:rPr>
        <w:t>，我们不承担给付相应保险金的责任</w:t>
      </w:r>
      <w:r>
        <w:rPr/>
        <w:t>：</w:t>
      </w:r>
    </w:p>
    <w:p>
      <w:pPr>
        <w:pStyle w:val="ListParagraph"/>
        <w:numPr>
          <w:ilvl w:val="0"/>
          <w:numId w:val="4"/>
        </w:numPr>
        <w:tabs>
          <w:tab w:pos="1896" w:val="left" w:leader="none"/>
        </w:tabs>
        <w:spacing w:line="240" w:lineRule="auto" w:before="163" w:after="0"/>
        <w:ind w:left="1895" w:right="0" w:hanging="317"/>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0"/>
          <w:numId w:val="4"/>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0"/>
          <w:numId w:val="4"/>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0"/>
          <w:numId w:val="4"/>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0"/>
          <w:numId w:val="4"/>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0"/>
          <w:numId w:val="4"/>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3"/>
          <w:sz w:val="21"/>
        </w:rPr>
        <w:t>核爆炸、核辐射或核污染；</w:t>
      </w:r>
    </w:p>
    <w:p>
      <w:pPr>
        <w:pStyle w:val="Heading3"/>
        <w:numPr>
          <w:ilvl w:val="0"/>
          <w:numId w:val="4"/>
        </w:numPr>
        <w:tabs>
          <w:tab w:pos="1896" w:val="left" w:leader="none"/>
        </w:tabs>
        <w:spacing w:line="240" w:lineRule="auto" w:before="176" w:after="0"/>
        <w:ind w:left="1895" w:right="0" w:hanging="317"/>
        <w:jc w:val="both"/>
        <w:rPr>
          <w:rFonts w:ascii="黑体" w:eastAsia="黑体" w:hint="eastAsia"/>
          <w:b w:val="0"/>
        </w:rPr>
      </w:pPr>
      <w:r>
        <w:rPr>
          <w:rFonts w:ascii="黑体" w:eastAsia="黑体" w:hint="eastAsia"/>
          <w:spacing w:val="-2"/>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3"/>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120;mso-wrap-distance-left:0;mso-wrap-distance-right:0" from="69.503998pt,19.295618pt" to="525.933998pt,19.295618pt" stroked="true" strokeweight="1.44pt" strokecolor="#000000">
            <v:stroke dashstyle="solid"/>
            <w10:wrap type="topAndBottom"/>
          </v:line>
        </w:pict>
      </w:r>
      <w:r>
        <w:rPr>
          <w:b/>
          <w:w w:val="95"/>
          <w:sz w:val="24"/>
        </w:rPr>
        <w:t>保险金的申请</w:t>
      </w:r>
    </w:p>
    <w:p>
      <w:pPr>
        <w:pStyle w:val="BodyText"/>
        <w:spacing w:before="6"/>
        <w:rPr>
          <w:b/>
          <w:sz w:val="5"/>
        </w:rPr>
      </w:pPr>
    </w:p>
    <w:p>
      <w:pPr>
        <w:pStyle w:val="ListParagraph"/>
        <w:numPr>
          <w:ilvl w:val="1"/>
          <w:numId w:val="5"/>
        </w:numPr>
        <w:tabs>
          <w:tab w:pos="714" w:val="left" w:leader="none"/>
          <w:tab w:pos="715" w:val="left" w:leader="none"/>
        </w:tabs>
        <w:spacing w:line="240" w:lineRule="auto" w:before="43" w:after="0"/>
        <w:ind w:left="714" w:right="0" w:hanging="576"/>
        <w:jc w:val="left"/>
        <w:rPr>
          <w:b/>
          <w:sz w:val="21"/>
        </w:rPr>
      </w:pPr>
      <w:r>
        <w:rPr>
          <w:b/>
          <w:spacing w:val="-1"/>
          <w:sz w:val="21"/>
        </w:rPr>
        <w:t>保险事故通知</w:t>
      </w:r>
    </w:p>
    <w:p>
      <w:pPr>
        <w:pStyle w:val="BodyText"/>
        <w:spacing w:before="177"/>
        <w:ind w:left="1610"/>
      </w:pPr>
      <w:r>
        <w:rPr/>
        <w:t>您或被保险人应于知道保险事故发生之日起十日内通知我们。</w:t>
      </w:r>
    </w:p>
    <w:p>
      <w:pPr>
        <w:pStyle w:val="BodyText"/>
        <w:spacing w:before="9"/>
        <w:rPr>
          <w:sz w:val="14"/>
        </w:rPr>
      </w:pPr>
    </w:p>
    <w:p>
      <w:pPr>
        <w:pStyle w:val="BodyText"/>
        <w:spacing w:line="273" w:lineRule="auto"/>
        <w:ind w:left="1610" w:right="129"/>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w:t>
      </w:r>
    </w:p>
    <w:p>
      <w:pPr>
        <w:spacing w:after="0" w:line="273" w:lineRule="auto"/>
        <w:jc w:val="both"/>
        <w:sectPr>
          <w:pgSz w:w="11910" w:h="16840"/>
          <w:pgMar w:top="1380" w:bottom="280" w:left="1280" w:right="1280"/>
        </w:sectPr>
      </w:pPr>
    </w:p>
    <w:p>
      <w:pPr>
        <w:pStyle w:val="BodyText"/>
        <w:spacing w:before="9"/>
        <w:ind w:left="1610"/>
      </w:pPr>
      <w:r>
        <w:rPr/>
        <w:t>不影响我们确定保险事故的性质、原因、损失程度的除外。</w:t>
      </w:r>
    </w:p>
    <w:p>
      <w:pPr>
        <w:pStyle w:val="BodyText"/>
        <w:spacing w:before="10"/>
        <w:rPr>
          <w:sz w:val="14"/>
        </w:rPr>
      </w:pPr>
    </w:p>
    <w:p>
      <w:pPr>
        <w:pStyle w:val="Heading3"/>
        <w:numPr>
          <w:ilvl w:val="1"/>
          <w:numId w:val="5"/>
        </w:numPr>
        <w:tabs>
          <w:tab w:pos="714" w:val="left" w:leader="none"/>
          <w:tab w:pos="715" w:val="left" w:leader="none"/>
        </w:tabs>
        <w:spacing w:line="240" w:lineRule="auto" w:before="0" w:after="0"/>
        <w:ind w:left="714" w:right="0" w:hanging="576"/>
        <w:jc w:val="left"/>
      </w:pPr>
      <w:r>
        <w:rPr/>
        <w:t>保险金申请</w:t>
      </w:r>
    </w:p>
    <w:p>
      <w:pPr>
        <w:spacing w:line="273" w:lineRule="auto" w:before="177"/>
        <w:ind w:left="1610" w:right="212" w:firstLine="0"/>
        <w:jc w:val="both"/>
        <w:rPr>
          <w:sz w:val="21"/>
        </w:rPr>
      </w:pPr>
      <w:r>
        <w:rPr>
          <w:sz w:val="21"/>
        </w:rPr>
        <w:t>若被保险人经我们</w:t>
      </w:r>
      <w:r>
        <w:rPr>
          <w:b/>
          <w:sz w:val="21"/>
        </w:rPr>
        <w:t>指定或认可的医院</w:t>
      </w:r>
      <w:r>
        <w:rPr>
          <w:sz w:val="21"/>
        </w:rPr>
        <w:t>确诊首次罹患本附加合同约定的</w:t>
      </w:r>
      <w:r>
        <w:rPr>
          <w:b/>
          <w:sz w:val="21"/>
        </w:rPr>
        <w:t>特定重大疾病</w:t>
      </w:r>
      <w:r>
        <w:rPr>
          <w:sz w:val="21"/>
        </w:rPr>
        <w:t>或</w:t>
      </w:r>
      <w:r>
        <w:rPr>
          <w:b/>
          <w:sz w:val="21"/>
        </w:rPr>
        <w:t>普通重大疾病</w:t>
      </w:r>
      <w:r>
        <w:rPr>
          <w:sz w:val="21"/>
        </w:rPr>
        <w:t>，申请人应填写保险金给付申请书，并向我们提供以下证明和资料原件：</w:t>
      </w:r>
    </w:p>
    <w:p>
      <w:pPr>
        <w:pStyle w:val="ListParagraph"/>
        <w:numPr>
          <w:ilvl w:val="2"/>
          <w:numId w:val="5"/>
        </w:numPr>
        <w:tabs>
          <w:tab w:pos="1896" w:val="left" w:leader="none"/>
        </w:tabs>
        <w:spacing w:line="240" w:lineRule="auto" w:before="163" w:after="0"/>
        <w:ind w:left="1895" w:right="0" w:hanging="317"/>
        <w:jc w:val="left"/>
        <w:rPr>
          <w:sz w:val="21"/>
        </w:rPr>
      </w:pPr>
      <w:r>
        <w:rPr>
          <w:spacing w:val="-1"/>
          <w:sz w:val="21"/>
        </w:rPr>
        <w:t>保险合同；</w:t>
      </w:r>
    </w:p>
    <w:p>
      <w:pPr>
        <w:pStyle w:val="ListParagraph"/>
        <w:numPr>
          <w:ilvl w:val="2"/>
          <w:numId w:val="5"/>
        </w:numPr>
        <w:tabs>
          <w:tab w:pos="1896" w:val="left" w:leader="none"/>
        </w:tabs>
        <w:spacing w:line="240" w:lineRule="auto" w:before="176" w:after="0"/>
        <w:ind w:left="1895" w:right="0" w:hanging="317"/>
        <w:jc w:val="left"/>
        <w:rPr>
          <w:sz w:val="21"/>
        </w:rPr>
      </w:pPr>
      <w:r>
        <w:rPr>
          <w:spacing w:val="-3"/>
          <w:sz w:val="21"/>
        </w:rPr>
        <w:t>被保险人的有效身份证件；</w:t>
      </w:r>
    </w:p>
    <w:p>
      <w:pPr>
        <w:pStyle w:val="ListParagraph"/>
        <w:numPr>
          <w:ilvl w:val="2"/>
          <w:numId w:val="5"/>
        </w:numPr>
        <w:tabs>
          <w:tab w:pos="1896" w:val="left" w:leader="none"/>
        </w:tabs>
        <w:spacing w:line="256" w:lineRule="auto" w:before="176" w:after="0"/>
        <w:ind w:left="1895" w:right="212" w:hanging="317"/>
        <w:jc w:val="left"/>
        <w:rPr>
          <w:sz w:val="21"/>
        </w:rPr>
      </w:pPr>
      <w:r>
        <w:rPr>
          <w:sz w:val="21"/>
        </w:rPr>
        <w:t>由我们</w:t>
      </w:r>
      <w:r>
        <w:rPr>
          <w:b/>
          <w:spacing w:val="-2"/>
          <w:sz w:val="21"/>
        </w:rPr>
        <w:t>指定或认可的医院</w:t>
      </w:r>
      <w:r>
        <w:rPr>
          <w:spacing w:val="-3"/>
          <w:sz w:val="21"/>
        </w:rPr>
        <w:t>的</w:t>
      </w:r>
      <w:r>
        <w:rPr>
          <w:b/>
          <w:sz w:val="21"/>
        </w:rPr>
        <w:t>专科医生</w:t>
      </w:r>
      <w:r>
        <w:rPr>
          <w:spacing w:val="-8"/>
          <w:sz w:val="21"/>
        </w:rPr>
        <w:t>出具的病历、必须的病理检验、血液检查及</w:t>
      </w:r>
      <w:r>
        <w:rPr>
          <w:spacing w:val="-5"/>
          <w:sz w:val="21"/>
        </w:rPr>
        <w:t>其他科学诊断报告、诊断书或手术证明；</w:t>
      </w:r>
    </w:p>
    <w:p>
      <w:pPr>
        <w:pStyle w:val="ListParagraph"/>
        <w:numPr>
          <w:ilvl w:val="2"/>
          <w:numId w:val="5"/>
        </w:numPr>
        <w:tabs>
          <w:tab w:pos="1896" w:val="left" w:leader="none"/>
        </w:tabs>
        <w:spacing w:line="240" w:lineRule="auto" w:before="177" w:after="0"/>
        <w:ind w:left="1895" w:right="0" w:hanging="317"/>
        <w:jc w:val="left"/>
        <w:rPr>
          <w:sz w:val="21"/>
        </w:rPr>
      </w:pPr>
      <w:r>
        <w:rPr>
          <w:spacing w:val="-3"/>
          <w:sz w:val="21"/>
        </w:rPr>
        <w:t>司法鉴定机构所出具的被保险人伤残程度鉴定报告书；</w:t>
      </w:r>
    </w:p>
    <w:p>
      <w:pPr>
        <w:pStyle w:val="ListParagraph"/>
        <w:numPr>
          <w:ilvl w:val="2"/>
          <w:numId w:val="5"/>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5"/>
        </w:numPr>
        <w:tabs>
          <w:tab w:pos="714" w:val="left" w:leader="none"/>
          <w:tab w:pos="715" w:val="left" w:leader="none"/>
        </w:tabs>
        <w:spacing w:line="240" w:lineRule="auto" w:before="1" w:after="0"/>
        <w:ind w:left="714" w:right="0" w:hanging="576"/>
        <w:jc w:val="left"/>
      </w:pPr>
      <w:r>
        <w:rPr/>
        <w:t>诉讼时效</w:t>
      </w:r>
    </w:p>
    <w:p>
      <w:pPr>
        <w:pStyle w:val="BodyText"/>
        <w:spacing w:line="273" w:lineRule="auto" w:before="177"/>
        <w:ind w:left="1610" w:right="211"/>
      </w:pPr>
      <w:r>
        <w:rPr/>
        <w:t>被保险人向我们请求给付保险金的诉讼时效期间为两年，自其知道或者应当知道保险事故发生之日起计算。</w:t>
      </w:r>
    </w:p>
    <w:p>
      <w:pPr>
        <w:pStyle w:val="BodyText"/>
        <w:spacing w:before="6"/>
        <w:rPr>
          <w:sz w:val="22"/>
        </w:rPr>
      </w:pPr>
    </w:p>
    <w:p>
      <w:pPr>
        <w:pStyle w:val="Heading2"/>
        <w:numPr>
          <w:ilvl w:val="0"/>
          <w:numId w:val="5"/>
        </w:numPr>
        <w:tabs>
          <w:tab w:pos="570" w:val="left" w:leader="none"/>
          <w:tab w:pos="571" w:val="left" w:leader="none"/>
        </w:tabs>
        <w:spacing w:line="240" w:lineRule="auto" w:before="0" w:after="0"/>
        <w:ind w:left="570" w:right="0" w:hanging="432"/>
        <w:jc w:val="left"/>
        <w:rPr>
          <w:rFonts w:ascii="Times New Roman" w:eastAsia="Times New Roman"/>
        </w:rPr>
      </w:pPr>
      <w:r>
        <w:rPr/>
        <w:pict>
          <v:line style="position:absolute;mso-position-horizontal-relative:page;mso-position-vertical-relative:paragraph;z-index:1168;mso-wrap-distance-left:0;mso-wrap-distance-right:0" from="69.503998pt,19.295618pt" to="525.933998pt,19.295618pt" stroked="true" strokeweight="1.44pt" strokecolor="#000000">
            <v:stroke dashstyle="solid"/>
            <w10:wrap type="topAndBottom"/>
          </v:line>
        </w:pict>
      </w:r>
      <w:r>
        <w:rPr>
          <w:w w:val="95"/>
        </w:rPr>
        <w:t>现金价值权益</w:t>
      </w:r>
    </w:p>
    <w:p>
      <w:pPr>
        <w:pStyle w:val="BodyText"/>
        <w:spacing w:before="5"/>
        <w:rPr>
          <w:b/>
          <w:sz w:val="5"/>
        </w:rPr>
      </w:pPr>
    </w:p>
    <w:p>
      <w:pPr>
        <w:pStyle w:val="Heading3"/>
        <w:numPr>
          <w:ilvl w:val="1"/>
          <w:numId w:val="5"/>
        </w:numPr>
        <w:tabs>
          <w:tab w:pos="714" w:val="left" w:leader="none"/>
          <w:tab w:pos="715" w:val="left" w:leader="none"/>
        </w:tabs>
        <w:spacing w:line="240" w:lineRule="auto" w:before="43" w:after="0"/>
        <w:ind w:left="714" w:right="0" w:hanging="576"/>
        <w:jc w:val="left"/>
      </w:pPr>
      <w:r>
        <w:rPr/>
        <w:t>现金价值</w:t>
      </w:r>
    </w:p>
    <w:p>
      <w:pPr>
        <w:pStyle w:val="BodyText"/>
        <w:spacing w:before="9"/>
        <w:rPr>
          <w:b/>
          <w:sz w:val="10"/>
        </w:rPr>
      </w:pPr>
    </w:p>
    <w:p>
      <w:pPr>
        <w:pStyle w:val="BodyText"/>
        <w:spacing w:before="37"/>
        <w:ind w:left="1610"/>
      </w:pPr>
      <w:r>
        <w:rPr/>
        <w:t>本附加合同的现金价值会在保险单或批注上载明。</w:t>
      </w:r>
    </w:p>
    <w:p>
      <w:pPr>
        <w:pStyle w:val="BodyText"/>
        <w:spacing w:before="6"/>
        <w:rPr>
          <w:sz w:val="11"/>
        </w:rPr>
      </w:pPr>
    </w:p>
    <w:p>
      <w:pPr>
        <w:pStyle w:val="Heading3"/>
        <w:numPr>
          <w:ilvl w:val="1"/>
          <w:numId w:val="5"/>
        </w:numPr>
        <w:tabs>
          <w:tab w:pos="714" w:val="left" w:leader="none"/>
          <w:tab w:pos="715" w:val="left" w:leader="none"/>
        </w:tabs>
        <w:spacing w:line="240" w:lineRule="auto" w:before="43" w:after="0"/>
        <w:ind w:left="714" w:right="0" w:hanging="576"/>
        <w:jc w:val="left"/>
      </w:pPr>
      <w:r>
        <w:rPr>
          <w:spacing w:val="-1"/>
        </w:rPr>
        <w:t>减额交清</w:t>
      </w:r>
    </w:p>
    <w:p>
      <w:pPr>
        <w:pStyle w:val="BodyText"/>
        <w:spacing w:before="9"/>
        <w:rPr>
          <w:b/>
          <w:sz w:val="10"/>
        </w:rPr>
      </w:pPr>
    </w:p>
    <w:p>
      <w:pPr>
        <w:pStyle w:val="BodyText"/>
        <w:spacing w:before="36"/>
        <w:ind w:left="1610"/>
      </w:pPr>
      <w:r>
        <w:rPr/>
        <w:t>本附加合同不提供减额交清。</w:t>
      </w:r>
    </w:p>
    <w:p>
      <w:pPr>
        <w:pStyle w:val="BodyText"/>
        <w:spacing w:before="1"/>
        <w:rPr>
          <w:sz w:val="22"/>
        </w:rPr>
      </w:pPr>
    </w:p>
    <w:p>
      <w:pPr>
        <w:pStyle w:val="Heading2"/>
        <w:numPr>
          <w:ilvl w:val="0"/>
          <w:numId w:val="5"/>
        </w:numPr>
        <w:tabs>
          <w:tab w:pos="570" w:val="left" w:leader="none"/>
          <w:tab w:pos="571" w:val="left" w:leader="none"/>
        </w:tabs>
        <w:spacing w:line="240" w:lineRule="auto" w:before="34" w:after="0"/>
        <w:ind w:left="570" w:right="0" w:hanging="432"/>
        <w:jc w:val="left"/>
        <w:rPr>
          <w:rFonts w:ascii="Times New Roman" w:eastAsia="Times New Roman"/>
        </w:rPr>
      </w:pPr>
      <w:r>
        <w:rPr/>
        <w:pict>
          <v:line style="position:absolute;mso-position-horizontal-relative:page;mso-position-vertical-relative:paragraph;z-index:1192;mso-wrap-distance-left:0;mso-wrap-distance-right:0" from="69.503998pt,20.995623pt" to="525.933998pt,20.995623pt" stroked="true" strokeweight="1.44pt" strokecolor="#000000">
            <v:stroke dashstyle="solid"/>
            <w10:wrap type="topAndBottom"/>
          </v:line>
        </w:pict>
      </w:r>
      <w:r>
        <w:rPr/>
        <w:t>解除合同</w:t>
      </w:r>
    </w:p>
    <w:p>
      <w:pPr>
        <w:pStyle w:val="BodyText"/>
        <w:spacing w:before="5"/>
        <w:rPr>
          <w:b/>
          <w:sz w:val="5"/>
        </w:rPr>
      </w:pPr>
    </w:p>
    <w:p>
      <w:pPr>
        <w:pStyle w:val="Heading3"/>
        <w:numPr>
          <w:ilvl w:val="1"/>
          <w:numId w:val="5"/>
        </w:numPr>
        <w:tabs>
          <w:tab w:pos="714" w:val="left" w:leader="none"/>
          <w:tab w:pos="715" w:val="left" w:leader="none"/>
        </w:tabs>
        <w:spacing w:line="240" w:lineRule="auto" w:before="43" w:after="0"/>
        <w:ind w:left="714" w:right="0" w:hanging="576"/>
        <w:jc w:val="left"/>
      </w:pPr>
      <w:r>
        <w:rPr>
          <w:spacing w:val="-1"/>
        </w:rPr>
        <w:t>您解除合同的手续及风险</w:t>
      </w:r>
    </w:p>
    <w:p>
      <w:pPr>
        <w:pStyle w:val="BodyText"/>
        <w:spacing w:line="273" w:lineRule="auto" w:before="177"/>
        <w:ind w:left="1610" w:right="210"/>
      </w:pPr>
      <w:r>
        <w:rPr/>
        <w:t>您于犹豫期后，可以向我们书面申请解除本附加合同，并向我们提供下列证明和资料：</w:t>
      </w:r>
    </w:p>
    <w:p>
      <w:pPr>
        <w:pStyle w:val="ListParagraph"/>
        <w:numPr>
          <w:ilvl w:val="2"/>
          <w:numId w:val="5"/>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5"/>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2"/>
          <w:numId w:val="5"/>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before="176"/>
        <w:ind w:left="1610" w:right="209"/>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3"/>
        <w:ind w:left="1610"/>
        <w:rPr>
          <w:rFonts w:ascii="黑体" w:eastAsia="黑体" w:hint="eastAsia"/>
        </w:rPr>
      </w:pPr>
      <w:r>
        <w:rPr>
          <w:rFonts w:ascii="黑体" w:eastAsia="黑体" w:hint="eastAsia"/>
        </w:rPr>
        <w:t>您犹豫期后解除合同会遭受一定损失。</w:t>
      </w:r>
    </w:p>
    <w:p>
      <w:pPr>
        <w:spacing w:after="0"/>
        <w:rPr>
          <w:rFonts w:ascii="黑体" w:eastAsia="黑体" w:hint="eastAsia"/>
        </w:rPr>
        <w:sectPr>
          <w:pgSz w:w="11910" w:h="16840"/>
          <w:pgMar w:top="1400" w:bottom="280" w:left="1280" w:right="1200"/>
        </w:sectPr>
      </w:pPr>
    </w:p>
    <w:p>
      <w:pPr>
        <w:pStyle w:val="Heading2"/>
        <w:numPr>
          <w:ilvl w:val="0"/>
          <w:numId w:val="5"/>
        </w:numPr>
        <w:tabs>
          <w:tab w:pos="570" w:val="left" w:leader="none"/>
          <w:tab w:pos="571" w:val="left" w:leader="none"/>
        </w:tabs>
        <w:spacing w:line="240" w:lineRule="auto" w:before="3" w:after="0"/>
        <w:ind w:left="570" w:right="0" w:hanging="432"/>
        <w:jc w:val="left"/>
        <w:rPr>
          <w:rFonts w:ascii="Times New Roman" w:eastAsia="Times New Roman"/>
        </w:rPr>
      </w:pPr>
      <w:r>
        <w:rPr/>
        <w:pict>
          <v:line style="position:absolute;mso-position-horizontal-relative:page;mso-position-vertical-relative:paragraph;z-index:1216;mso-wrap-distance-left:0;mso-wrap-distance-right:0" from="69.503998pt,19.445612pt" to="525.933998pt,19.445612pt" stroked="true" strokeweight="1.44pt" strokecolor="#000000">
            <v:stroke dashstyle="solid"/>
            <w10:wrap type="topAndBottom"/>
          </v:line>
        </w:pict>
      </w:r>
      <w:r>
        <w:rPr/>
        <w:t>释义</w:t>
      </w:r>
    </w:p>
    <w:p>
      <w:pPr>
        <w:pStyle w:val="BodyText"/>
        <w:spacing w:before="5"/>
        <w:rPr>
          <w:b/>
          <w:sz w:val="5"/>
        </w:rPr>
      </w:pPr>
    </w:p>
    <w:p>
      <w:pPr>
        <w:pStyle w:val="Heading3"/>
        <w:numPr>
          <w:ilvl w:val="1"/>
          <w:numId w:val="5"/>
        </w:numPr>
        <w:tabs>
          <w:tab w:pos="714" w:val="left" w:leader="none"/>
          <w:tab w:pos="715" w:val="left" w:leader="none"/>
        </w:tabs>
        <w:spacing w:line="240" w:lineRule="auto" w:before="44" w:after="0"/>
        <w:ind w:left="714" w:right="0" w:hanging="576"/>
        <w:jc w:val="left"/>
      </w:pPr>
      <w:r>
        <w:rPr>
          <w:spacing w:val="-1"/>
        </w:rPr>
        <w:t>特定重大疾病</w:t>
      </w:r>
    </w:p>
    <w:p>
      <w:pPr>
        <w:pStyle w:val="ListParagraph"/>
        <w:numPr>
          <w:ilvl w:val="2"/>
          <w:numId w:val="6"/>
        </w:numPr>
        <w:tabs>
          <w:tab w:pos="1398" w:val="left" w:leader="none"/>
          <w:tab w:pos="1399" w:val="left" w:leader="none"/>
        </w:tabs>
        <w:spacing w:line="240" w:lineRule="auto" w:before="177" w:after="0"/>
        <w:ind w:left="1398" w:right="0" w:hanging="720"/>
        <w:jc w:val="left"/>
        <w:rPr>
          <w:b/>
          <w:sz w:val="21"/>
        </w:rPr>
      </w:pPr>
      <w:r>
        <w:rPr>
          <w:b/>
          <w:sz w:val="21"/>
        </w:rPr>
        <w:t>恶性肿瘤</w:t>
      </w:r>
    </w:p>
    <w:p>
      <w:pPr>
        <w:pStyle w:val="BodyText"/>
        <w:spacing w:line="266" w:lineRule="auto" w:before="141"/>
        <w:ind w:left="1610" w:right="104"/>
      </w:pPr>
      <w:r>
        <w:rPr>
          <w:spacing w:val="-6"/>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w:t>
      </w:r>
      <w:r>
        <w:rPr>
          <w:spacing w:val="-2"/>
        </w:rPr>
        <w:t>的恶性</w:t>
      </w:r>
      <w:r>
        <w:rPr>
          <w:spacing w:val="-3"/>
        </w:rPr>
        <w:t>肿瘤范畴。</w:t>
      </w:r>
    </w:p>
    <w:p>
      <w:pPr>
        <w:pStyle w:val="BodyText"/>
        <w:spacing w:before="170"/>
        <w:ind w:left="1610"/>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spacing w:before="0"/>
        <w:ind w:left="161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spacing w:before="176"/>
        <w:ind w:left="1610"/>
        <w:rPr>
          <w:rFonts w:ascii="黑体" w:eastAsia="黑体" w:hint="eastAsia"/>
        </w:rPr>
      </w:pPr>
      <w:r>
        <w:rPr>
          <w:rFonts w:ascii="Times New Roman" w:eastAsia="Times New Roman"/>
        </w:rPr>
        <w:t>2</w:t>
      </w:r>
      <w:r>
        <w:rPr>
          <w:rFonts w:ascii="黑体" w:eastAsia="黑体" w:hint="eastAsia"/>
        </w:rPr>
        <w:t>． 相当于 Binet 分期方案 A 期程度的慢性淋巴细胞白血病；</w:t>
      </w:r>
    </w:p>
    <w:p>
      <w:pPr>
        <w:pStyle w:val="BodyText"/>
        <w:spacing w:before="177"/>
        <w:ind w:left="1610"/>
        <w:rPr>
          <w:rFonts w:ascii="黑体" w:eastAsia="黑体" w:hint="eastAsia"/>
        </w:rPr>
      </w:pPr>
      <w:r>
        <w:rPr>
          <w:rFonts w:ascii="Times New Roman" w:eastAsia="Times New Roman"/>
        </w:rPr>
        <w:t>3</w:t>
      </w:r>
      <w:r>
        <w:rPr>
          <w:rFonts w:ascii="黑体" w:eastAsia="黑体" w:hint="eastAsia"/>
        </w:rPr>
        <w:t>． 相当于 Ann Arbor 分期方案 I 期程度的何杰金氏病；</w:t>
      </w:r>
    </w:p>
    <w:p>
      <w:pPr>
        <w:pStyle w:val="BodyText"/>
        <w:spacing w:before="177"/>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610"/>
        <w:rPr>
          <w:rFonts w:ascii="黑体" w:eastAsia="黑体" w:hint="eastAsia"/>
        </w:rPr>
      </w:pPr>
      <w:r>
        <w:rPr>
          <w:rFonts w:ascii="Times New Roman" w:eastAsia="Times New Roman"/>
          <w:position w:val="1"/>
        </w:rPr>
        <w:t>5</w:t>
      </w:r>
      <w:r>
        <w:rPr>
          <w:rFonts w:ascii="黑体" w:eastAsia="黑体" w:hint="eastAsia"/>
          <w:position w:val="1"/>
        </w:rPr>
        <w:t>． TNM 分期为 T</w:t>
      </w:r>
      <w:r>
        <w:rPr>
          <w:rFonts w:ascii="黑体" w:eastAsia="黑体" w:hint="eastAsia"/>
          <w:sz w:val="11"/>
        </w:rPr>
        <w:t>1</w:t>
      </w:r>
      <w:r>
        <w:rPr>
          <w:rFonts w:ascii="黑体" w:eastAsia="黑体" w:hint="eastAsia"/>
          <w:position w:val="1"/>
        </w:rPr>
        <w:t>N</w:t>
      </w:r>
      <w:r>
        <w:rPr>
          <w:rFonts w:ascii="黑体" w:eastAsia="黑体" w:hint="eastAsia"/>
          <w:sz w:val="11"/>
        </w:rPr>
        <w:t>0</w:t>
      </w:r>
      <w:r>
        <w:rPr>
          <w:rFonts w:ascii="黑体" w:eastAsia="黑体" w:hint="eastAsia"/>
          <w:position w:val="1"/>
        </w:rPr>
        <w:t>M</w:t>
      </w:r>
      <w:r>
        <w:rPr>
          <w:rFonts w:ascii="黑体" w:eastAsia="黑体" w:hint="eastAsia"/>
          <w:sz w:val="11"/>
        </w:rPr>
        <w:t>0 </w:t>
      </w:r>
      <w:r>
        <w:rPr>
          <w:rFonts w:ascii="黑体" w:eastAsia="黑体" w:hint="eastAsia"/>
          <w:position w:val="1"/>
        </w:rPr>
        <w:t>期或更轻分期的前列腺癌；</w:t>
      </w:r>
    </w:p>
    <w:p>
      <w:pPr>
        <w:spacing w:before="177"/>
        <w:ind w:left="1610"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6"/>
        </w:numPr>
        <w:tabs>
          <w:tab w:pos="1398" w:val="left" w:leader="none"/>
          <w:tab w:pos="1399" w:val="left" w:leader="none"/>
        </w:tabs>
        <w:spacing w:line="240" w:lineRule="auto" w:before="176" w:after="0"/>
        <w:ind w:left="1398" w:right="0" w:hanging="720"/>
        <w:jc w:val="left"/>
      </w:pPr>
      <w:r>
        <w:rPr>
          <w:spacing w:val="-2"/>
        </w:rPr>
        <w:t>重大器官移植术或造血干细胞移植术</w:t>
      </w:r>
    </w:p>
    <w:p>
      <w:pPr>
        <w:pStyle w:val="BodyText"/>
        <w:spacing w:line="273" w:lineRule="auto" w:before="140"/>
        <w:ind w:left="1610" w:right="211"/>
      </w:pPr>
      <w:r>
        <w:rPr/>
        <w:t>重大器官移植术，指因相应器官功能衰竭，已经实施了肾脏、肝脏、心脏或肺脏的异体移植手术。</w:t>
      </w:r>
    </w:p>
    <w:p>
      <w:pPr>
        <w:pStyle w:val="BodyText"/>
        <w:spacing w:line="273" w:lineRule="auto" w:before="163"/>
        <w:ind w:left="1610" w:right="106"/>
      </w:pPr>
      <w:r>
        <w:rPr/>
        <w:t>造血干细胞移植术，指因造血功能损害或造血系统恶性肿瘤，已经实施了造血干细</w:t>
      </w:r>
      <w:r>
        <w:rPr>
          <w:spacing w:val="-22"/>
        </w:rPr>
        <w:t>胞</w:t>
      </w:r>
      <w:r>
        <w:rPr>
          <w:spacing w:val="-3"/>
        </w:rPr>
        <w:t>（</w:t>
      </w:r>
      <w:r>
        <w:rPr>
          <w:spacing w:val="-5"/>
        </w:rPr>
        <w:t>包括骨髓造血干细胞、外周血造血干细胞和脐血造血干细胞</w:t>
      </w:r>
      <w:r>
        <w:rPr>
          <w:spacing w:val="-25"/>
        </w:rPr>
        <w:t>）</w:t>
      </w:r>
      <w:r>
        <w:rPr>
          <w:spacing w:val="-3"/>
        </w:rPr>
        <w:t>的异体移植手术。</w:t>
      </w:r>
    </w:p>
    <w:p>
      <w:pPr>
        <w:pStyle w:val="Heading3"/>
        <w:numPr>
          <w:ilvl w:val="2"/>
          <w:numId w:val="6"/>
        </w:numPr>
        <w:tabs>
          <w:tab w:pos="1398" w:val="left" w:leader="none"/>
          <w:tab w:pos="1399" w:val="left" w:leader="none"/>
        </w:tabs>
        <w:spacing w:line="240" w:lineRule="auto" w:before="164" w:after="0"/>
        <w:ind w:left="1398" w:right="0" w:hanging="720"/>
        <w:jc w:val="left"/>
      </w:pPr>
      <w:r>
        <w:rPr/>
        <w:t>终末期肾病（</w:t>
      </w:r>
      <w:r>
        <w:rPr>
          <w:spacing w:val="-2"/>
        </w:rPr>
        <w:t>或称慢性肾功能衰竭尿毒症期</w:t>
      </w:r>
      <w:r>
        <w:rPr/>
        <w:t>）</w:t>
      </w:r>
    </w:p>
    <w:p>
      <w:pPr>
        <w:pStyle w:val="BodyText"/>
        <w:spacing w:line="273" w:lineRule="auto" w:before="141"/>
        <w:ind w:left="1610" w:right="209"/>
      </w:pPr>
      <w:r>
        <w:rPr>
          <w:spacing w:val="-9"/>
        </w:rPr>
        <w:t>指双肾功能慢性不可逆性衰竭，达到尿毒症期，经诊断后已经进行了至少 </w:t>
      </w:r>
      <w:r>
        <w:rPr/>
        <w:t>90</w:t>
      </w:r>
      <w:r>
        <w:rPr>
          <w:spacing w:val="-11"/>
        </w:rPr>
        <w:t> 天的规</w:t>
      </w:r>
      <w:r>
        <w:rPr>
          <w:spacing w:val="-6"/>
        </w:rPr>
        <w:t>律性透析治疗或实施了肾脏移植手术。</w:t>
      </w:r>
    </w:p>
    <w:p>
      <w:pPr>
        <w:pStyle w:val="Heading3"/>
        <w:numPr>
          <w:ilvl w:val="2"/>
          <w:numId w:val="6"/>
        </w:numPr>
        <w:tabs>
          <w:tab w:pos="1398" w:val="left" w:leader="none"/>
          <w:tab w:pos="1399" w:val="left" w:leader="none"/>
        </w:tabs>
        <w:spacing w:line="240" w:lineRule="auto" w:before="163" w:after="0"/>
        <w:ind w:left="1398" w:right="0" w:hanging="720"/>
        <w:jc w:val="left"/>
      </w:pPr>
      <w:r>
        <w:rPr/>
        <w:t>严重Ⅲ度烧伤</w:t>
      </w:r>
    </w:p>
    <w:p>
      <w:pPr>
        <w:pStyle w:val="BodyText"/>
        <w:spacing w:line="273" w:lineRule="auto" w:before="140"/>
        <w:ind w:left="1610" w:right="209"/>
      </w:pPr>
      <w:r>
        <w:rPr>
          <w:spacing w:val="-9"/>
        </w:rPr>
        <w:t>指烧伤程度为Ⅲ度，且Ⅲ度烧伤的面积达到全身体表面积的 </w:t>
      </w:r>
      <w:r>
        <w:rPr/>
        <w:t>20</w:t>
      </w:r>
      <w:r>
        <w:rPr>
          <w:spacing w:val="-13"/>
        </w:rPr>
        <w:t>%或 </w:t>
      </w:r>
      <w:r>
        <w:rPr/>
        <w:t>20</w:t>
      </w:r>
      <w:r>
        <w:rPr>
          <w:spacing w:val="-7"/>
        </w:rPr>
        <w:t>%以上。体表面</w:t>
      </w:r>
      <w:r>
        <w:rPr>
          <w:spacing w:val="-5"/>
        </w:rPr>
        <w:t>积根据《中国新九分法》计算。</w:t>
      </w:r>
    </w:p>
    <w:p>
      <w:pPr>
        <w:pStyle w:val="Heading3"/>
        <w:numPr>
          <w:ilvl w:val="1"/>
          <w:numId w:val="6"/>
        </w:numPr>
        <w:tabs>
          <w:tab w:pos="714" w:val="left" w:leader="none"/>
          <w:tab w:pos="715" w:val="left" w:leader="none"/>
        </w:tabs>
        <w:spacing w:line="240" w:lineRule="auto" w:before="163" w:after="0"/>
        <w:ind w:left="714" w:right="0" w:hanging="576"/>
        <w:jc w:val="left"/>
        <w:rPr>
          <w:rFonts w:ascii="Times New Roman" w:eastAsia="Times New Roman"/>
        </w:rPr>
      </w:pPr>
      <w:r>
        <w:rPr>
          <w:spacing w:val="-1"/>
        </w:rPr>
        <w:t>普通重大疾病</w:t>
      </w:r>
    </w:p>
    <w:p>
      <w:pPr>
        <w:pStyle w:val="ListParagraph"/>
        <w:numPr>
          <w:ilvl w:val="2"/>
          <w:numId w:val="6"/>
        </w:numPr>
        <w:tabs>
          <w:tab w:pos="1398" w:val="left" w:leader="none"/>
          <w:tab w:pos="1399" w:val="left" w:leader="none"/>
        </w:tabs>
        <w:spacing w:line="240" w:lineRule="auto" w:before="177" w:after="0"/>
        <w:ind w:left="1398" w:right="0" w:hanging="720"/>
        <w:jc w:val="left"/>
        <w:rPr>
          <w:b/>
          <w:sz w:val="21"/>
        </w:rPr>
      </w:pPr>
      <w:r>
        <w:rPr>
          <w:b/>
          <w:spacing w:val="-1"/>
          <w:sz w:val="21"/>
        </w:rPr>
        <w:t>急性或亚急性重症肝炎</w:t>
      </w:r>
    </w:p>
    <w:p>
      <w:pPr>
        <w:pStyle w:val="BodyText"/>
        <w:spacing w:line="273" w:lineRule="auto" w:before="141"/>
        <w:ind w:left="1610" w:right="210"/>
      </w:pPr>
      <w:r>
        <w:rPr/>
        <w:t>指因肝炎病毒感染引起肝脏组织弥漫性坏死，导致急性肝功能衰竭，且经血清学或病毒学检查证实，并须满足下列全部条件：</w:t>
      </w:r>
    </w:p>
    <w:p>
      <w:pPr>
        <w:pStyle w:val="BodyText"/>
        <w:spacing w:before="163"/>
        <w:ind w:left="1610"/>
      </w:pPr>
      <w:r>
        <w:rPr>
          <w:rFonts w:ascii="Times New Roman" w:eastAsia="Times New Roman"/>
        </w:rPr>
        <w:t>1</w:t>
      </w:r>
      <w:r>
        <w:rPr/>
        <w:t>． 重度黄疸或黄疸迅速加重；</w:t>
      </w:r>
    </w:p>
    <w:p>
      <w:pPr>
        <w:pStyle w:val="BodyText"/>
        <w:spacing w:before="176"/>
        <w:ind w:left="1610"/>
      </w:pPr>
      <w:r>
        <w:rPr>
          <w:rFonts w:ascii="Times New Roman" w:eastAsia="Times New Roman"/>
        </w:rPr>
        <w:t>2</w:t>
      </w:r>
      <w:r>
        <w:rPr/>
        <w:t>． 肝性脑病；</w:t>
      </w:r>
    </w:p>
    <w:p>
      <w:pPr>
        <w:pStyle w:val="BodyText"/>
        <w:spacing w:before="176"/>
        <w:ind w:left="1610"/>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6"/>
        <w:ind w:left="1610"/>
      </w:pPr>
      <w:r>
        <w:rPr>
          <w:rFonts w:ascii="Times New Roman" w:eastAsia="Times New Roman"/>
        </w:rPr>
        <w:t>4</w:t>
      </w:r>
      <w:r>
        <w:rPr/>
        <w:t>． 肝功能指标进行性恶化。</w:t>
      </w:r>
    </w:p>
    <w:p>
      <w:pPr>
        <w:spacing w:after="0"/>
        <w:sectPr>
          <w:pgSz w:w="11910" w:h="16840"/>
          <w:pgMar w:top="1380" w:bottom="280" w:left="1280" w:right="1200"/>
        </w:sectPr>
      </w:pPr>
    </w:p>
    <w:p>
      <w:pPr>
        <w:pStyle w:val="Heading3"/>
        <w:numPr>
          <w:ilvl w:val="2"/>
          <w:numId w:val="6"/>
        </w:numPr>
        <w:tabs>
          <w:tab w:pos="998" w:val="left" w:leader="none"/>
          <w:tab w:pos="999" w:val="left" w:leader="none"/>
        </w:tabs>
        <w:spacing w:line="240" w:lineRule="auto" w:before="29" w:after="0"/>
        <w:ind w:left="998" w:right="0" w:hanging="720"/>
        <w:jc w:val="left"/>
      </w:pPr>
      <w:r>
        <w:rPr/>
        <w:t>良性脑肿瘤</w:t>
      </w:r>
    </w:p>
    <w:p>
      <w:pPr>
        <w:pStyle w:val="BodyText"/>
        <w:spacing w:line="264" w:lineRule="auto" w:before="141"/>
        <w:ind w:left="1210" w:right="106"/>
      </w:pPr>
      <w:r>
        <w:rPr/>
        <w:t>指脑的良性肿瘤，已经引起颅内压增高，临床表现为视神经乳头水肿、精神症状、</w:t>
      </w:r>
      <w:r>
        <w:rPr>
          <w:spacing w:val="-19"/>
          <w:w w:val="100"/>
        </w:rPr>
        <w:t>癫痫及运动感觉障碍等，并危及生命。须由头颅断层扫描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89"/>
          <w:w w:val="100"/>
        </w:rPr>
        <w:t>）</w:t>
      </w:r>
      <w:r>
        <w:rPr>
          <w:spacing w:val="-2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3"/>
        <w:ind w:left="1210"/>
      </w:pPr>
      <w:r>
        <w:rPr>
          <w:rFonts w:ascii="Times New Roman" w:eastAsia="Times New Roman"/>
        </w:rPr>
        <w:t>1</w:t>
      </w:r>
      <w:r>
        <w:rPr/>
        <w:t>． 实际实施了开颅进行的脑肿瘤完全切除或部分切除的手术；</w:t>
      </w:r>
    </w:p>
    <w:p>
      <w:pPr>
        <w:pStyle w:val="BodyText"/>
        <w:spacing w:before="177"/>
        <w:ind w:left="1210"/>
      </w:pPr>
      <w:r>
        <w:rPr>
          <w:rFonts w:ascii="Times New Roman" w:eastAsia="Times New Roman"/>
        </w:rPr>
        <w:t>2</w:t>
      </w:r>
      <w:r>
        <w:rPr/>
        <w:t>． 实际实施了对脑肿瘤进行的放射治疗。</w:t>
      </w:r>
    </w:p>
    <w:p>
      <w:pPr>
        <w:pStyle w:val="BodyText"/>
        <w:spacing w:before="177"/>
        <w:ind w:left="1210"/>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0"/>
        <w:ind w:left="1210" w:right="211"/>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6"/>
        <w:ind w:left="1570" w:right="212"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998" w:val="left" w:leader="none"/>
          <w:tab w:pos="999" w:val="left" w:leader="none"/>
        </w:tabs>
        <w:spacing w:line="240" w:lineRule="auto" w:before="178" w:after="0"/>
        <w:ind w:left="998" w:right="0" w:hanging="720"/>
        <w:jc w:val="left"/>
      </w:pPr>
      <w:r>
        <w:rPr/>
        <w:t>深度昏迷</w:t>
      </w:r>
    </w:p>
    <w:p>
      <w:pPr>
        <w:pStyle w:val="BodyText"/>
        <w:spacing w:line="256" w:lineRule="auto" w:before="141"/>
        <w:ind w:left="1210" w:right="209"/>
        <w:jc w:val="both"/>
      </w:pPr>
      <w:r>
        <w:rPr/>
        <w:t>指因疾病或</w:t>
      </w:r>
      <w:r>
        <w:rPr>
          <w:b/>
          <w:spacing w:val="0"/>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3"/>
        </w:rPr>
        <w:t>格拉斯哥昏迷分级</w:t>
      </w:r>
      <w:r>
        <w:rPr/>
        <w:t>（</w:t>
      </w:r>
      <w:r>
        <w:rPr>
          <w:rFonts w:ascii="Times New Roman" w:eastAsia="Times New Roman"/>
        </w:rPr>
        <w:t>Glasgow coma scale</w:t>
      </w:r>
      <w:r>
        <w:rPr/>
        <w:t>）</w:t>
      </w:r>
      <w:r>
        <w:rPr>
          <w:spacing w:val="-14"/>
        </w:rPr>
        <w:t>结果为 </w:t>
      </w:r>
      <w:r>
        <w:rPr>
          <w:rFonts w:ascii="Times New Roman" w:eastAsia="Times New Roman"/>
        </w:rPr>
        <w:t>5 </w:t>
      </w:r>
      <w:r>
        <w:rPr>
          <w:spacing w:val="-17"/>
        </w:rPr>
        <w:t>分或 </w:t>
      </w:r>
      <w:r>
        <w:rPr>
          <w:rFonts w:ascii="Times New Roman" w:eastAsia="Times New Roman"/>
        </w:rPr>
        <w:t>5 </w:t>
      </w:r>
      <w:r>
        <w:rPr>
          <w:spacing w:val="-3"/>
        </w:rPr>
        <w:t>分以下，且已经持续使用</w:t>
      </w:r>
      <w:r>
        <w:rPr>
          <w:spacing w:val="-6"/>
        </w:rPr>
        <w:t>呼吸机及其它生命维持系统 </w:t>
      </w:r>
      <w:r>
        <w:rPr>
          <w:rFonts w:ascii="Times New Roman" w:eastAsia="Times New Roman"/>
        </w:rPr>
        <w:t>96 </w:t>
      </w:r>
      <w:r>
        <w:rPr>
          <w:spacing w:val="-3"/>
        </w:rPr>
        <w:t>小时以上。</w:t>
      </w:r>
    </w:p>
    <w:p>
      <w:pPr>
        <w:pStyle w:val="BodyText"/>
        <w:spacing w:before="160"/>
        <w:ind w:left="1210"/>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t>双耳失聪</w:t>
      </w:r>
    </w:p>
    <w:p>
      <w:pPr>
        <w:spacing w:before="140"/>
        <w:ind w:left="1210" w:right="0" w:firstLine="0"/>
        <w:jc w:val="left"/>
        <w:rPr>
          <w:rFonts w:ascii="Times New Roman" w:eastAsia="Times New Roman"/>
          <w:sz w:val="21"/>
        </w:rPr>
      </w:pPr>
      <w:r>
        <w:rPr>
          <w:sz w:val="21"/>
        </w:rPr>
        <w:t>指因疾病或</w:t>
      </w:r>
      <w:r>
        <w:rPr>
          <w:b/>
          <w:sz w:val="21"/>
        </w:rPr>
        <w:t>意外伤害</w:t>
      </w:r>
      <w:r>
        <w:rPr>
          <w:sz w:val="21"/>
        </w:rPr>
        <w:t>导致双耳听力</w:t>
      </w:r>
      <w:r>
        <w:rPr>
          <w:b/>
          <w:sz w:val="21"/>
        </w:rPr>
        <w:t>永久不可逆</w:t>
      </w:r>
      <w:r>
        <w:rPr>
          <w:sz w:val="21"/>
        </w:rPr>
        <w:t>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pStyle w:val="BodyText"/>
        <w:spacing w:line="256" w:lineRule="auto" w:before="20"/>
        <w:ind w:left="1210" w:right="209"/>
      </w:pPr>
      <w:r>
        <w:rPr>
          <w:spacing w:val="-8"/>
        </w:rPr>
        <w:t>赫兹语音频率下，平均听阈大于 </w:t>
      </w:r>
      <w:r>
        <w:rPr>
          <w:rFonts w:ascii="Times New Roman" w:eastAsia="Times New Roman"/>
        </w:rPr>
        <w:t>90 </w:t>
      </w:r>
      <w:r>
        <w:rPr>
          <w:spacing w:val="-9"/>
        </w:rPr>
        <w:t>分贝，且经纯音听力测试、声导抗检测或听觉诱</w:t>
      </w:r>
      <w:r>
        <w:rPr>
          <w:spacing w:val="-5"/>
        </w:rPr>
        <w:t>发电位检测等证实。</w:t>
      </w:r>
    </w:p>
    <w:p>
      <w:pPr>
        <w:pStyle w:val="BodyText"/>
        <w:spacing w:before="177"/>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t>双目失明</w:t>
      </w:r>
    </w:p>
    <w:p>
      <w:pPr>
        <w:spacing w:line="273" w:lineRule="auto" w:before="141"/>
        <w:ind w:left="1210" w:right="210"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10"/>
      </w:pPr>
      <w:r>
        <w:rPr>
          <w:rFonts w:ascii="Times New Roman" w:eastAsia="Times New Roman"/>
        </w:rPr>
        <w:t>1</w:t>
      </w:r>
      <w:r>
        <w:rPr/>
        <w:t>． 眼球缺失或摘除；</w:t>
      </w:r>
    </w:p>
    <w:p>
      <w:pPr>
        <w:pStyle w:val="BodyText"/>
        <w:spacing w:before="176"/>
        <w:ind w:left="1210"/>
      </w:pPr>
      <w:r>
        <w:rPr>
          <w:rFonts w:ascii="Times New Roman" w:eastAsia="Times New Roman"/>
        </w:rPr>
        <w:t>2</w:t>
      </w:r>
      <w:r>
        <w:rPr>
          <w:spacing w:val="-11"/>
        </w:rPr>
        <w:t>． 矫正视力低于 </w:t>
      </w:r>
      <w:r>
        <w:rPr>
          <w:rFonts w:ascii="Times New Roman" w:eastAsia="Times New Roman"/>
        </w:rPr>
        <w:t>0.02</w:t>
      </w:r>
      <w:r>
        <w:rPr/>
        <w:t>（</w:t>
      </w:r>
      <w:r>
        <w:rPr>
          <w:spacing w:val="-3"/>
        </w:rPr>
        <w:t>采用国际标准视力表，如果使用其它视力表应进行换算）；</w:t>
      </w:r>
    </w:p>
    <w:p>
      <w:pPr>
        <w:pStyle w:val="BodyText"/>
        <w:spacing w:before="177"/>
        <w:ind w:left="1210"/>
      </w:pPr>
      <w:r>
        <w:rPr>
          <w:rFonts w:ascii="Times New Roman" w:eastAsia="Times New Roman"/>
        </w:rPr>
        <w:t>3</w:t>
      </w:r>
      <w:r>
        <w:rPr/>
        <w:t>． 视野半径小于 </w:t>
      </w:r>
      <w:r>
        <w:rPr>
          <w:rFonts w:ascii="Times New Roman" w:eastAsia="Times New Roman"/>
        </w:rPr>
        <w:t>5 </w:t>
      </w:r>
      <w:r>
        <w:rPr/>
        <w:t>度。</w:t>
      </w:r>
    </w:p>
    <w:p>
      <w:pPr>
        <w:pStyle w:val="BodyText"/>
        <w:spacing w:before="177"/>
        <w:ind w:left="1210"/>
        <w:rPr>
          <w:rFonts w:ascii="黑体" w:eastAsia="黑体" w:hint="eastAsia"/>
        </w:rPr>
      </w:pPr>
      <w:r>
        <w:rPr>
          <w:rFonts w:ascii="黑体" w:eastAsia="黑体" w:hint="eastAsia"/>
        </w:rPr>
        <w:t>本附加合同仅对三周岁以上的被保险人予以理赔。</w:t>
      </w:r>
    </w:p>
    <w:p>
      <w:pPr>
        <w:pStyle w:val="BodyText"/>
        <w:spacing w:before="10"/>
        <w:rPr>
          <w:rFonts w:ascii="黑体"/>
          <w:sz w:val="14"/>
        </w:rPr>
      </w:pPr>
    </w:p>
    <w:p>
      <w:pPr>
        <w:pStyle w:val="Heading3"/>
        <w:numPr>
          <w:ilvl w:val="2"/>
          <w:numId w:val="6"/>
        </w:numPr>
        <w:tabs>
          <w:tab w:pos="998" w:val="left" w:leader="none"/>
          <w:tab w:pos="999" w:val="left" w:leader="none"/>
        </w:tabs>
        <w:spacing w:line="240" w:lineRule="auto" w:before="0" w:after="0"/>
        <w:ind w:left="998" w:right="0" w:hanging="720"/>
        <w:jc w:val="left"/>
      </w:pPr>
      <w:r>
        <w:rPr/>
        <w:t>瘫痪</w:t>
      </w:r>
    </w:p>
    <w:p>
      <w:pPr>
        <w:pStyle w:val="BodyText"/>
        <w:spacing w:before="141"/>
        <w:ind w:left="1210"/>
      </w:pPr>
      <w:r>
        <w:rPr/>
        <w:t>指因疾病或</w:t>
      </w:r>
      <w:r>
        <w:rPr>
          <w:b/>
        </w:rPr>
        <w:t>意外伤害</w:t>
      </w:r>
      <w:r>
        <w:rPr/>
        <w:t>导致两肢或两肢以上肢体机能永久完全丧失。肢体机能永久完</w:t>
      </w:r>
    </w:p>
    <w:p>
      <w:pPr>
        <w:spacing w:after="0"/>
        <w:sectPr>
          <w:pgSz w:w="11910" w:h="16840"/>
          <w:pgMar w:top="1380" w:bottom="280" w:left="1680" w:right="1200"/>
        </w:sectPr>
      </w:pPr>
    </w:p>
    <w:p>
      <w:pPr>
        <w:pStyle w:val="BodyText"/>
        <w:spacing w:line="256" w:lineRule="auto" w:before="29"/>
        <w:ind w:left="1210" w:right="140"/>
      </w:pPr>
      <w:r>
        <w:rPr/>
        <w:t>全丧失，指疾病确诊 </w:t>
      </w:r>
      <w:r>
        <w:rPr>
          <w:rFonts w:ascii="Times New Roman" w:eastAsia="Times New Roman"/>
        </w:rPr>
        <w:t>180 </w:t>
      </w:r>
      <w:r>
        <w:rPr/>
        <w:t>天后或</w:t>
      </w:r>
      <w:r>
        <w:rPr>
          <w:b/>
        </w:rPr>
        <w:t>意外伤害</w:t>
      </w:r>
      <w:r>
        <w:rPr/>
        <w:t>发生 </w:t>
      </w:r>
      <w:r>
        <w:rPr>
          <w:rFonts w:ascii="Times New Roman" w:eastAsia="Times New Roman"/>
        </w:rPr>
        <w:t>180 </w:t>
      </w:r>
      <w:r>
        <w:rPr/>
        <w:t>天后，每肢三大关节中的两大关节仍然完全僵硬，或不能随意识活动。</w:t>
      </w:r>
    </w:p>
    <w:p>
      <w:pPr>
        <w:pStyle w:val="Heading3"/>
        <w:numPr>
          <w:ilvl w:val="2"/>
          <w:numId w:val="6"/>
        </w:numPr>
        <w:tabs>
          <w:tab w:pos="998" w:val="left" w:leader="none"/>
          <w:tab w:pos="999" w:val="left" w:leader="none"/>
        </w:tabs>
        <w:spacing w:line="240" w:lineRule="auto" w:before="178" w:after="0"/>
        <w:ind w:left="998" w:right="0" w:hanging="720"/>
        <w:jc w:val="left"/>
      </w:pPr>
      <w:r>
        <w:rPr/>
        <w:t>严重脑损伤</w:t>
      </w:r>
    </w:p>
    <w:p>
      <w:pPr>
        <w:pStyle w:val="BodyText"/>
        <w:spacing w:line="261" w:lineRule="auto" w:before="141"/>
        <w:ind w:left="1210" w:right="104"/>
      </w:pPr>
      <w:r>
        <w:rPr>
          <w:spacing w:val="-8"/>
        </w:rPr>
        <w:t>指因头部遭受机械性外力，引起脑重要部位损伤，导致神经系统永久性的功能障碍。须由头颅断层扫描（</w:t>
      </w:r>
      <w:r>
        <w:rPr>
          <w:rFonts w:ascii="Times New Roman" w:eastAsia="Times New Roman"/>
          <w:spacing w:val="-8"/>
        </w:rPr>
        <w:t>CT</w:t>
      </w:r>
      <w:r>
        <w:rPr>
          <w:spacing w:val="-8"/>
        </w:rPr>
        <w:t>）、核磁共振检查（</w:t>
      </w:r>
      <w:r>
        <w:rPr>
          <w:rFonts w:ascii="Times New Roman" w:eastAsia="Times New Roman"/>
          <w:spacing w:val="-8"/>
        </w:rPr>
        <w:t>MRI</w:t>
      </w:r>
      <w:r>
        <w:rPr>
          <w:spacing w:val="-8"/>
        </w:rPr>
        <w:t>）或正电子发射断层扫描（</w:t>
      </w:r>
      <w:r>
        <w:rPr>
          <w:rFonts w:ascii="Times New Roman" w:eastAsia="Times New Roman"/>
          <w:spacing w:val="-8"/>
        </w:rPr>
        <w:t>PET</w:t>
      </w:r>
      <w:r>
        <w:rPr>
          <w:spacing w:val="-8"/>
        </w:rPr>
        <w:t>） </w:t>
      </w:r>
      <w:r>
        <w:rPr>
          <w:spacing w:val="-6"/>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2"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6"/>
        </w:numPr>
        <w:tabs>
          <w:tab w:pos="998" w:val="left" w:leader="none"/>
          <w:tab w:pos="999" w:val="left" w:leader="none"/>
        </w:tabs>
        <w:spacing w:line="240" w:lineRule="auto" w:before="178" w:after="0"/>
        <w:ind w:left="998" w:right="0" w:hanging="720"/>
        <w:jc w:val="left"/>
      </w:pPr>
      <w:r>
        <w:rPr/>
        <w:t>严重运动神经元病</w:t>
      </w:r>
    </w:p>
    <w:p>
      <w:pPr>
        <w:pStyle w:val="BodyText"/>
        <w:spacing w:line="273" w:lineRule="auto" w:before="140"/>
        <w:ind w:left="1210" w:right="211"/>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6"/>
        </w:numPr>
        <w:tabs>
          <w:tab w:pos="999" w:val="left" w:leader="none"/>
        </w:tabs>
        <w:spacing w:line="240" w:lineRule="auto" w:before="163" w:after="0"/>
        <w:ind w:left="998" w:right="0" w:hanging="720"/>
        <w:jc w:val="left"/>
      </w:pPr>
      <w:r>
        <w:rPr/>
        <w:t>重型再生障碍性贫血</w:t>
      </w:r>
    </w:p>
    <w:p>
      <w:pPr>
        <w:pStyle w:val="BodyText"/>
        <w:spacing w:line="273" w:lineRule="auto" w:before="141"/>
        <w:ind w:left="1210" w:right="211"/>
      </w:pPr>
      <w:r>
        <w:rPr/>
        <w:t>指因骨髓造血功能慢性持续性衰竭导致的贫血、中性粒细胞减少及血小板减少。须满足下列全部条件：</w:t>
      </w:r>
    </w:p>
    <w:p>
      <w:pPr>
        <w:pStyle w:val="BodyText"/>
        <w:spacing w:before="163"/>
        <w:ind w:left="1210"/>
      </w:pPr>
      <w:r>
        <w:rPr>
          <w:rFonts w:ascii="Times New Roman" w:eastAsia="Times New Roman"/>
        </w:rPr>
        <w:t>1</w:t>
      </w:r>
      <w:r>
        <w:rPr/>
        <w:t>． 骨髓穿刺检查或骨髓活检结果支持诊断；</w:t>
      </w:r>
    </w:p>
    <w:p>
      <w:pPr>
        <w:pStyle w:val="BodyText"/>
        <w:spacing w:before="176"/>
        <w:ind w:left="1210"/>
      </w:pPr>
      <w:r>
        <w:rPr>
          <w:rFonts w:ascii="Times New Roman" w:eastAsia="Times New Roman"/>
        </w:rPr>
        <w:t>2</w:t>
      </w:r>
      <w:r>
        <w:rPr/>
        <w:t>． 外周血象须具备以下三项条件：</w:t>
      </w:r>
    </w:p>
    <w:p>
      <w:pPr>
        <w:pStyle w:val="BodyText"/>
        <w:tabs>
          <w:tab w:pos="2078" w:val="left" w:leader="none"/>
        </w:tabs>
        <w:spacing w:before="177"/>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7"/>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7"/>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6"/>
        </w:numPr>
        <w:tabs>
          <w:tab w:pos="999" w:val="left" w:leader="none"/>
        </w:tabs>
        <w:spacing w:line="240" w:lineRule="auto" w:before="177" w:after="0"/>
        <w:ind w:left="998" w:right="0" w:hanging="720"/>
        <w:jc w:val="left"/>
      </w:pPr>
      <w:r>
        <w:rPr/>
        <w:t>胰岛素依赖型糖尿病</w:t>
      </w:r>
    </w:p>
    <w:p>
      <w:pPr>
        <w:pStyle w:val="BodyText"/>
        <w:spacing w:line="264" w:lineRule="auto" w:before="141"/>
        <w:ind w:left="1210" w:right="209"/>
        <w:jc w:val="both"/>
      </w:pPr>
      <w:r>
        <w:rPr/>
        <w:t>由于胰岛素分泌不足引起的慢性糖、脂肪、蛋白质代谢异常，须经专科医生明确诊</w:t>
      </w:r>
      <w:r>
        <w:rPr>
          <w:spacing w:val="-8"/>
        </w:rPr>
        <w:t>断，同时经血胰岛素测定、血 </w:t>
      </w:r>
      <w:r>
        <w:rPr>
          <w:rFonts w:ascii="Times New Roman" w:eastAsia="Times New Roman"/>
        </w:rPr>
        <w:t>C </w:t>
      </w:r>
      <w:r>
        <w:rPr>
          <w:spacing w:val="-10"/>
        </w:rPr>
        <w:t>肽测定或尿 </w:t>
      </w:r>
      <w:r>
        <w:rPr>
          <w:rFonts w:ascii="Times New Roman" w:eastAsia="Times New Roman"/>
        </w:rPr>
        <w:t>C </w:t>
      </w:r>
      <w:r>
        <w:rPr>
          <w:spacing w:val="-5"/>
        </w:rPr>
        <w:t>肽测定结果证实。</w:t>
      </w:r>
      <w:r>
        <w:rPr>
          <w:rFonts w:ascii="黑体" w:eastAsia="黑体" w:hint="eastAsia"/>
          <w:spacing w:val="-3"/>
        </w:rPr>
        <w:t>能以胰岛素注射治疗以外的其它方法治疗的糖尿病则不在本保障范围之内。</w:t>
      </w:r>
      <w:r>
        <w:rPr>
          <w:spacing w:val="-3"/>
        </w:rPr>
        <w:t>被保险人必须连续依赖使</w:t>
      </w:r>
      <w:r>
        <w:rPr>
          <w:spacing w:val="-8"/>
        </w:rPr>
        <w:t>用胰岛素至少 </w:t>
      </w:r>
      <w:r>
        <w:rPr>
          <w:rFonts w:ascii="Times New Roman" w:eastAsia="Times New Roman"/>
        </w:rPr>
        <w:t>6 </w:t>
      </w:r>
      <w:r>
        <w:rPr>
          <w:spacing w:val="-5"/>
        </w:rPr>
        <w:t>个月以上，连续依赖是指每天使用胰岛素注射并持续治疗 </w:t>
      </w:r>
      <w:r>
        <w:rPr>
          <w:rFonts w:ascii="Times New Roman" w:eastAsia="Times New Roman"/>
        </w:rPr>
        <w:t>6 </w:t>
      </w:r>
      <w:r>
        <w:rPr>
          <w:spacing w:val="-2"/>
        </w:rPr>
        <w:t>个月或以上。</w:t>
      </w:r>
    </w:p>
    <w:p>
      <w:pPr>
        <w:pStyle w:val="Heading3"/>
        <w:numPr>
          <w:ilvl w:val="2"/>
          <w:numId w:val="6"/>
        </w:numPr>
        <w:tabs>
          <w:tab w:pos="999" w:val="left" w:leader="none"/>
        </w:tabs>
        <w:spacing w:line="240" w:lineRule="auto" w:before="172" w:after="0"/>
        <w:ind w:left="998" w:right="0" w:hanging="720"/>
        <w:jc w:val="left"/>
      </w:pPr>
      <w:r>
        <w:rPr/>
        <w:t>川崎病伴心脏损害</w:t>
      </w:r>
    </w:p>
    <w:p>
      <w:pPr>
        <w:pStyle w:val="BodyText"/>
        <w:spacing w:line="273" w:lineRule="auto" w:before="140"/>
        <w:ind w:left="1210" w:right="209"/>
      </w:pPr>
      <w:r>
        <w:rPr/>
        <w:t>仅限于伴有冠状动脉扩张或冠状动脉瘤的川崎病，且此冠状动脉扩张或冠状动脉瘤</w:t>
      </w:r>
      <w:r>
        <w:rPr>
          <w:spacing w:val="-7"/>
        </w:rPr>
        <w:t>于最初急性发病后持续至少 </w:t>
      </w:r>
      <w:r>
        <w:rPr>
          <w:rFonts w:ascii="Times New Roman" w:eastAsia="Times New Roman"/>
        </w:rPr>
        <w:t>6</w:t>
      </w:r>
      <w:r>
        <w:rPr>
          <w:rFonts w:ascii="Times New Roman" w:eastAsia="Times New Roman"/>
          <w:spacing w:val="3"/>
        </w:rPr>
        <w:t>  </w:t>
      </w:r>
      <w:r>
        <w:rPr>
          <w:spacing w:val="-9"/>
        </w:rPr>
        <w:t>个月，持续指在明确诊断后 </w:t>
      </w:r>
      <w:r>
        <w:rPr>
          <w:rFonts w:ascii="Times New Roman" w:eastAsia="Times New Roman"/>
        </w:rPr>
        <w:t>6 </w:t>
      </w:r>
      <w:r>
        <w:rPr>
          <w:spacing w:val="-9"/>
        </w:rPr>
        <w:t>个月内至少发生 </w:t>
      </w:r>
      <w:r>
        <w:rPr>
          <w:rFonts w:ascii="Times New Roman" w:eastAsia="Times New Roman"/>
        </w:rPr>
        <w:t>3 </w:t>
      </w:r>
      <w:r>
        <w:rPr/>
        <w:t>次就</w:t>
      </w:r>
    </w:p>
    <w:p>
      <w:pPr>
        <w:pStyle w:val="BodyText"/>
        <w:spacing w:line="256" w:lineRule="auto"/>
        <w:ind w:left="1210" w:right="167"/>
      </w:pPr>
      <w:r>
        <w:rPr/>
        <w:t>诊或治疗并在 </w:t>
      </w:r>
      <w:r>
        <w:rPr>
          <w:rFonts w:ascii="Times New Roman" w:eastAsia="Times New Roman"/>
        </w:rPr>
        <w:t>6 </w:t>
      </w:r>
      <w:r>
        <w:rPr/>
        <w:t>个月或以后仍有至少一次针对本疾病的就诊或治疗。理赔时必须提供超声心动图显示其有冠状动脉扩张或冠状动脉瘤。</w:t>
      </w:r>
    </w:p>
    <w:p>
      <w:pPr>
        <w:spacing w:after="0" w:line="256" w:lineRule="auto"/>
        <w:sectPr>
          <w:pgSz w:w="11910" w:h="16840"/>
          <w:pgMar w:top="1380" w:bottom="280" w:left="1680" w:right="1200"/>
        </w:sectPr>
      </w:pPr>
    </w:p>
    <w:p>
      <w:pPr>
        <w:pStyle w:val="Heading3"/>
        <w:numPr>
          <w:ilvl w:val="2"/>
          <w:numId w:val="6"/>
        </w:numPr>
        <w:tabs>
          <w:tab w:pos="999" w:val="left" w:leader="none"/>
        </w:tabs>
        <w:spacing w:line="240" w:lineRule="auto" w:before="29" w:after="0"/>
        <w:ind w:left="998" w:right="0" w:hanging="720"/>
        <w:jc w:val="left"/>
      </w:pPr>
      <w:r>
        <w:rPr/>
        <w:t>急性脊髓灰质炎</w:t>
      </w:r>
    </w:p>
    <w:p>
      <w:pPr>
        <w:pStyle w:val="BodyText"/>
        <w:spacing w:line="268" w:lineRule="auto" w:before="141"/>
        <w:ind w:left="1210" w:right="210"/>
        <w:jc w:val="both"/>
      </w:pPr>
      <w:r>
        <w:rPr/>
        <w:t>是指由于急性脊髓灰质炎病毒感染所导致的运动功能障碍或呼吸功能减弱的瘫痪性疾病。诊断必须由我们认可的神经科专科医生确诊并提供相关的脊髓灰质炎病毒感染的证据（例如：脑脊液检查或血清学抗体检查报告）。未导致肢体瘫痪及其它病因所致的瘫痪，例如格林一巴利综合症</w:t>
      </w:r>
      <w:r>
        <w:rPr>
          <w:rFonts w:ascii="Times New Roman" w:eastAsia="Times New Roman"/>
        </w:rPr>
        <w:t>(</w:t>
      </w:r>
      <w:r>
        <w:rPr/>
        <w:t>急性感染性多神经炎</w:t>
      </w:r>
      <w:r>
        <w:rPr>
          <w:rFonts w:ascii="Times New Roman" w:eastAsia="Times New Roman"/>
        </w:rPr>
        <w:t>)</w:t>
      </w:r>
      <w:r>
        <w:rPr/>
        <w:t>则不在此保障范围以内。瘫痪指两肢或两肢以上肢体机能永久完全丧失。肢体机能永久完全丧失，指疾</w:t>
      </w:r>
      <w:r>
        <w:rPr>
          <w:spacing w:val="-10"/>
        </w:rPr>
        <w:t>病确诊 </w:t>
      </w:r>
      <w:r>
        <w:rPr>
          <w:rFonts w:ascii="Times New Roman" w:eastAsia="Times New Roman"/>
        </w:rPr>
        <w:t>180 </w:t>
      </w:r>
      <w:r>
        <w:rPr>
          <w:spacing w:val="-3"/>
        </w:rPr>
        <w:t>天后，每肢三大关节中的两大关节仍然完全僵硬，或不能随意识活动。</w:t>
      </w:r>
    </w:p>
    <w:p>
      <w:pPr>
        <w:pStyle w:val="Heading3"/>
        <w:numPr>
          <w:ilvl w:val="2"/>
          <w:numId w:val="6"/>
        </w:numPr>
        <w:tabs>
          <w:tab w:pos="999" w:val="left" w:leader="none"/>
        </w:tabs>
        <w:spacing w:line="240" w:lineRule="auto" w:before="149" w:after="0"/>
        <w:ind w:left="998" w:right="0" w:hanging="720"/>
        <w:jc w:val="left"/>
      </w:pPr>
      <w:r>
        <w:rPr>
          <w:spacing w:val="-2"/>
        </w:rPr>
        <w:t>全身型幼年类风湿性关节炎</w:t>
      </w:r>
      <w:r>
        <w:rPr/>
        <w:t>（斯蒂尔病）</w:t>
      </w:r>
    </w:p>
    <w:p>
      <w:pPr>
        <w:pStyle w:val="BodyText"/>
        <w:spacing w:line="273" w:lineRule="auto" w:before="141"/>
        <w:ind w:left="1210" w:right="209"/>
        <w:jc w:val="both"/>
        <w:rPr>
          <w:rFonts w:ascii="黑体" w:eastAsia="黑体" w:hint="eastAsia"/>
        </w:rPr>
      </w:pPr>
      <w:r>
        <w:rPr/>
        <w:t>是指小儿及青少年时期的一种全身结缔组织病。可表现为驰张热、皮疹、关节炎、脾肿大、淋巴结肿大、浆膜炎、体重减轻、中性粒细胞增多等，全身症状可以先于关节炎出现。本病须经我们认可的儿科类风湿病专家出具医学诊断证明，并因病情严重在医生的建议下已接受以治疗为目的的膝或髋关节的置换手术（含半髋关节置换）。</w:t>
      </w:r>
      <w:r>
        <w:rPr>
          <w:rFonts w:ascii="黑体" w:eastAsia="黑体" w:hint="eastAsia"/>
        </w:rPr>
        <w:t>其他类型的儿童类风湿性关节炎除外。</w:t>
      </w:r>
    </w:p>
    <w:p>
      <w:pPr>
        <w:pStyle w:val="Heading3"/>
        <w:numPr>
          <w:ilvl w:val="2"/>
          <w:numId w:val="6"/>
        </w:numPr>
        <w:tabs>
          <w:tab w:pos="999" w:val="left" w:leader="none"/>
        </w:tabs>
        <w:spacing w:line="240" w:lineRule="auto" w:before="163" w:after="0"/>
        <w:ind w:left="998" w:right="0" w:hanging="720"/>
        <w:jc w:val="left"/>
      </w:pPr>
      <w:r>
        <w:rPr/>
        <w:t>严重心肌病</w:t>
      </w:r>
    </w:p>
    <w:p>
      <w:pPr>
        <w:pStyle w:val="BodyText"/>
        <w:spacing w:line="264" w:lineRule="auto" w:before="141"/>
        <w:ind w:left="1210" w:right="209"/>
        <w:jc w:val="both"/>
      </w:pPr>
      <w:r>
        <w:rPr/>
        <w:t>指因原发性心肌病导致心室功能损害造成永久不可逆性的心功能衰竭，心功能衰竭</w:t>
      </w:r>
      <w:r>
        <w:rPr>
          <w:spacing w:val="-5"/>
        </w:rPr>
        <w:t>程度达到美国纽约心脏病学会心功能状态分级 </w:t>
      </w:r>
      <w:r>
        <w:rPr>
          <w:rFonts w:ascii="Times New Roman" w:eastAsia="Times New Roman"/>
        </w:rPr>
        <w:t>IV </w:t>
      </w:r>
      <w:r>
        <w:rPr>
          <w:spacing w:val="-11"/>
        </w:rPr>
        <w:t>级。必须由心脏专科医生确诊，并</w:t>
      </w:r>
      <w:r>
        <w:rPr>
          <w:spacing w:val="-6"/>
        </w:rPr>
        <w:t>有包括超声心动图在内的相关检查证实。</w:t>
      </w:r>
    </w:p>
    <w:p>
      <w:pPr>
        <w:pStyle w:val="BodyText"/>
        <w:spacing w:before="172"/>
        <w:ind w:left="1210"/>
        <w:rPr>
          <w:rFonts w:ascii="黑体" w:eastAsia="黑体" w:hint="eastAsia"/>
        </w:rPr>
      </w:pPr>
      <w:r>
        <w:rPr>
          <w:rFonts w:ascii="黑体" w:eastAsia="黑体" w:hint="eastAsia"/>
        </w:rPr>
        <w:t>因酗酒或滥用药物引起的心肌病不在保障范围内。</w:t>
      </w:r>
    </w:p>
    <w:p>
      <w:pPr>
        <w:pStyle w:val="BodyText"/>
        <w:spacing w:before="9"/>
        <w:rPr>
          <w:rFonts w:ascii="黑体"/>
          <w:sz w:val="14"/>
        </w:rPr>
      </w:pPr>
    </w:p>
    <w:p>
      <w:pPr>
        <w:pStyle w:val="Heading3"/>
        <w:numPr>
          <w:ilvl w:val="2"/>
          <w:numId w:val="6"/>
        </w:numPr>
        <w:tabs>
          <w:tab w:pos="999" w:val="left" w:leader="none"/>
        </w:tabs>
        <w:spacing w:line="240" w:lineRule="auto" w:before="0" w:after="0"/>
        <w:ind w:left="998" w:right="0" w:hanging="720"/>
        <w:jc w:val="left"/>
      </w:pPr>
      <w:r>
        <w:rPr/>
        <w:t>多个肢体缺失</w:t>
      </w:r>
    </w:p>
    <w:p>
      <w:pPr>
        <w:pStyle w:val="BodyText"/>
        <w:spacing w:line="273" w:lineRule="auto" w:before="140"/>
        <w:ind w:left="1210" w:right="35"/>
      </w:pPr>
      <w:r>
        <w:rPr/>
        <w:t>指因疾病或</w:t>
      </w:r>
      <w:r>
        <w:rPr>
          <w:b/>
        </w:rPr>
        <w:t>意外伤害</w:t>
      </w:r>
      <w:r>
        <w:rPr/>
        <w:t>导致两个或两个以上肢体自腕关节或踝关节近端（靠近躯干端） 以上完全性断离，</w:t>
      </w:r>
      <w:r>
        <w:rPr>
          <w:rFonts w:ascii="黑体" w:eastAsia="黑体" w:hint="eastAsia"/>
        </w:rPr>
        <w:t>但不包括断肢再植手术成功</w:t>
      </w:r>
      <w:r>
        <w:rPr/>
        <w:t>。</w:t>
      </w:r>
    </w:p>
    <w:p>
      <w:pPr>
        <w:pStyle w:val="Heading3"/>
        <w:numPr>
          <w:ilvl w:val="2"/>
          <w:numId w:val="6"/>
        </w:numPr>
        <w:tabs>
          <w:tab w:pos="999" w:val="left" w:leader="none"/>
        </w:tabs>
        <w:spacing w:line="240" w:lineRule="auto" w:before="163" w:after="0"/>
        <w:ind w:left="998" w:right="0" w:hanging="720"/>
        <w:jc w:val="left"/>
      </w:pPr>
      <w:r>
        <w:rPr>
          <w:spacing w:val="-1"/>
        </w:rPr>
        <w:t>慢性肝功能衰竭失代偿期</w:t>
      </w:r>
    </w:p>
    <w:p>
      <w:pPr>
        <w:pStyle w:val="BodyText"/>
        <w:spacing w:before="140"/>
        <w:ind w:left="1210"/>
        <w:jc w:val="both"/>
      </w:pPr>
      <w:r>
        <w:rPr/>
        <w:t>指因慢性肝脏疾病导致肝功能衰竭。须满足下列全部条件：</w:t>
      </w:r>
    </w:p>
    <w:p>
      <w:pPr>
        <w:pStyle w:val="BodyText"/>
        <w:spacing w:before="9"/>
        <w:rPr>
          <w:sz w:val="14"/>
        </w:rPr>
      </w:pPr>
    </w:p>
    <w:p>
      <w:pPr>
        <w:pStyle w:val="BodyText"/>
        <w:ind w:left="1210"/>
        <w:jc w:val="both"/>
      </w:pPr>
      <w:r>
        <w:rPr>
          <w:rFonts w:ascii="Times New Roman" w:eastAsia="Times New Roman"/>
        </w:rPr>
        <w:t>1</w:t>
      </w:r>
      <w:r>
        <w:rPr/>
        <w:t>． 黄疸；</w:t>
      </w:r>
    </w:p>
    <w:p>
      <w:pPr>
        <w:pStyle w:val="BodyText"/>
        <w:spacing w:before="177"/>
        <w:ind w:left="1210"/>
        <w:jc w:val="both"/>
      </w:pPr>
      <w:r>
        <w:rPr>
          <w:rFonts w:ascii="Times New Roman" w:eastAsia="Times New Roman"/>
        </w:rPr>
        <w:t>2</w:t>
      </w:r>
      <w:r>
        <w:rPr/>
        <w:t>． 腹水；</w:t>
      </w:r>
    </w:p>
    <w:p>
      <w:pPr>
        <w:pStyle w:val="BodyText"/>
        <w:spacing w:before="177"/>
        <w:ind w:left="1210"/>
        <w:jc w:val="both"/>
      </w:pPr>
      <w:r>
        <w:rPr>
          <w:rFonts w:ascii="Times New Roman" w:eastAsia="Times New Roman"/>
        </w:rPr>
        <w:t>3</w:t>
      </w:r>
      <w:r>
        <w:rPr/>
        <w:t>． 肝性脑病；</w:t>
      </w:r>
    </w:p>
    <w:p>
      <w:pPr>
        <w:pStyle w:val="BodyText"/>
        <w:spacing w:before="177"/>
        <w:ind w:left="1210"/>
        <w:jc w:val="both"/>
      </w:pPr>
      <w:r>
        <w:rPr>
          <w:rFonts w:ascii="Times New Roman" w:eastAsia="Times New Roman"/>
        </w:rPr>
        <w:t>4</w:t>
      </w:r>
      <w:r>
        <w:rPr/>
        <w:t>． 充血性脾肿大伴脾功能亢进或食管胃底静脉曲张。</w:t>
      </w:r>
    </w:p>
    <w:p>
      <w:pPr>
        <w:pStyle w:val="BodyText"/>
        <w:spacing w:before="177"/>
        <w:ind w:left="1210"/>
        <w:jc w:val="both"/>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6"/>
        </w:numPr>
        <w:tabs>
          <w:tab w:pos="999" w:val="left" w:leader="none"/>
        </w:tabs>
        <w:spacing w:line="240" w:lineRule="auto" w:before="0" w:after="0"/>
        <w:ind w:left="998" w:right="0" w:hanging="720"/>
        <w:jc w:val="left"/>
      </w:pPr>
      <w:r>
        <w:rPr>
          <w:spacing w:val="-1"/>
        </w:rPr>
        <w:t>严重原发性肺动脉高压</w:t>
      </w:r>
    </w:p>
    <w:p>
      <w:pPr>
        <w:pStyle w:val="BodyText"/>
        <w:spacing w:line="264" w:lineRule="auto" w:before="140"/>
        <w:ind w:left="1210" w:right="69"/>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6"/>
        </w:numPr>
        <w:tabs>
          <w:tab w:pos="999" w:val="left" w:leader="none"/>
        </w:tabs>
        <w:spacing w:line="240" w:lineRule="auto" w:before="153" w:after="0"/>
        <w:ind w:left="998" w:right="0" w:hanging="720"/>
        <w:jc w:val="left"/>
      </w:pPr>
      <w:r>
        <w:rPr/>
        <w:t>坏死性筋膜炎</w:t>
      </w:r>
    </w:p>
    <w:p>
      <w:pPr>
        <w:pStyle w:val="BodyText"/>
        <w:spacing w:line="273" w:lineRule="auto" w:before="141"/>
        <w:ind w:left="1210" w:right="104"/>
        <w:rPr>
          <w:rFonts w:ascii="黑体" w:eastAsia="黑体" w:hint="eastAsia"/>
        </w:rPr>
      </w:pPr>
      <w:r>
        <w:rPr/>
        <w:t>致死性的坏死性筋膜炎，其坏死过程必须为暴发性的（迅速传播），且需进行紧急</w:t>
      </w:r>
      <w:r>
        <w:rPr>
          <w:spacing w:val="-7"/>
        </w:rPr>
        <w:t>重要手术来清除坏死组织以及抗菌剂治疗。诊断必须由专科医生经重要手术后确诊。</w:t>
      </w:r>
      <w:r>
        <w:rPr>
          <w:rFonts w:ascii="黑体" w:eastAsia="黑体" w:hint="eastAsia"/>
          <w:spacing w:val="-5"/>
        </w:rPr>
        <w:t>冻疮不在保障范围内。</w:t>
      </w:r>
    </w:p>
    <w:p>
      <w:pPr>
        <w:spacing w:after="0" w:line="273" w:lineRule="auto"/>
        <w:rPr>
          <w:rFonts w:ascii="黑体" w:eastAsia="黑体" w:hint="eastAsia"/>
        </w:rPr>
        <w:sectPr>
          <w:pgSz w:w="11910" w:h="16840"/>
          <w:pgMar w:top="1380" w:bottom="280" w:left="1680" w:right="1200"/>
        </w:sectPr>
      </w:pPr>
    </w:p>
    <w:p>
      <w:pPr>
        <w:pStyle w:val="Heading3"/>
        <w:numPr>
          <w:ilvl w:val="2"/>
          <w:numId w:val="6"/>
        </w:numPr>
        <w:tabs>
          <w:tab w:pos="1379" w:val="left" w:leader="none"/>
        </w:tabs>
        <w:spacing w:line="240" w:lineRule="auto" w:before="29" w:after="0"/>
        <w:ind w:left="1378" w:right="0" w:hanging="720"/>
        <w:jc w:val="left"/>
      </w:pPr>
      <w:r>
        <w:rPr/>
        <w:t>成骨不全</w:t>
      </w:r>
    </w:p>
    <w:p>
      <w:pPr>
        <w:pStyle w:val="BodyText"/>
        <w:spacing w:before="141"/>
        <w:ind w:left="1590"/>
      </w:pPr>
      <w:r>
        <w:rPr/>
        <w:t>成骨不全，又称脆骨病，一种胶元病，特征为骨易碎、骨质疏松和易骨折。该病有</w:t>
      </w:r>
    </w:p>
    <w:p>
      <w:pPr>
        <w:pStyle w:val="BodyText"/>
        <w:spacing w:line="273" w:lineRule="auto" w:before="36"/>
        <w:ind w:left="1590" w:right="210"/>
      </w:pPr>
      <w:r>
        <w:rPr/>
        <w:t>4 种类型：Ⅰ型、Ⅱ型、Ⅲ型、Ⅳ型。本附加合同只对Ⅱ型和Ⅲ型成骨不全予以理赔。其主要临床特点有：发育迟缓、多发性骨折、进行性脊柱后侧凸及听力损害。</w:t>
      </w:r>
    </w:p>
    <w:p>
      <w:pPr>
        <w:pStyle w:val="BodyText"/>
        <w:spacing w:line="273" w:lineRule="auto" w:before="7"/>
        <w:ind w:left="1590" w:right="210"/>
      </w:pPr>
      <w:r>
        <w:rPr/>
        <w:t>Ⅲ型成骨不全的诊断必须根据身体检查、家族史、X 线检查和皮肤活检报告资料确诊。</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t>肢体机能完全丧失</w:t>
      </w:r>
    </w:p>
    <w:p>
      <w:pPr>
        <w:pStyle w:val="BodyText"/>
        <w:spacing w:line="273" w:lineRule="auto" w:before="176"/>
        <w:ind w:left="1590" w:right="211"/>
      </w:pPr>
      <w:r>
        <w:rPr/>
        <w:t>指肢体的三大关节中的两大关节僵硬，或不能随意识活动。肢体是指包括肩关节的整个上肢或包括髋关节的整个下肢。</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语言能力或咀嚼吞咽能力完全丧失</w:t>
      </w:r>
    </w:p>
    <w:p>
      <w:pPr>
        <w:pStyle w:val="BodyText"/>
        <w:spacing w:line="273" w:lineRule="auto" w:before="177"/>
        <w:ind w:left="1590" w:right="104"/>
      </w:pPr>
      <w:r>
        <w:rPr>
          <w:spacing w:val="-6"/>
        </w:rPr>
        <w:t>语言能力完全丧失，指无法发出四种语音</w:t>
      </w:r>
      <w:r>
        <w:rPr/>
        <w:t>（</w:t>
      </w:r>
      <w:r>
        <w:rPr>
          <w:spacing w:val="-8"/>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90" w:right="211"/>
      </w:pPr>
      <w:r>
        <w:rPr/>
        <w:t>咀嚼吞咽能力完全丧失，指因牙齿以外的原因导致器质障碍或机能障碍，以致不能作咀嚼吞咽运动，除流质食物外不能摄取或吞咽的状态。</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六项基本日常生活活动</w:t>
      </w:r>
    </w:p>
    <w:p>
      <w:pPr>
        <w:pStyle w:val="BodyText"/>
        <w:spacing w:before="177"/>
        <w:ind w:left="159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590" w:right="103"/>
      </w:pPr>
      <w:r>
        <w:rPr>
          <w:spacing w:val="-8"/>
        </w:rPr>
        <w:t>（</w:t>
      </w:r>
      <w:r>
        <w:rPr>
          <w:rFonts w:ascii="Times New Roman" w:eastAsia="Times New Roman"/>
          <w:spacing w:val="-8"/>
        </w:rPr>
        <w:t>3</w:t>
      </w:r>
      <w:r>
        <w:rPr>
          <w:spacing w:val="-8"/>
        </w:rPr>
        <w:t>）</w:t>
      </w:r>
      <w:r>
        <w:rPr>
          <w:spacing w:val="-6"/>
        </w:rPr>
        <w:t>行动：自己上下床或上下轮椅；</w:t>
      </w:r>
      <w:r>
        <w:rPr>
          <w:spacing w:val="-16"/>
        </w:rPr>
        <w:t>（</w:t>
      </w:r>
      <w:r>
        <w:rPr>
          <w:rFonts w:ascii="Times New Roman" w:eastAsia="Times New Roman"/>
          <w:spacing w:val="-16"/>
        </w:rPr>
        <w:t>4</w:t>
      </w:r>
      <w:r>
        <w:rPr>
          <w:spacing w:val="-16"/>
        </w:rPr>
        <w:t>）</w:t>
      </w:r>
      <w:r>
        <w:rPr>
          <w:spacing w:val="-6"/>
        </w:rPr>
        <w:t>如厕：自己控制进行大小便；</w:t>
      </w:r>
      <w:r>
        <w:rPr>
          <w:spacing w:val="-16"/>
        </w:rPr>
        <w:t>（</w:t>
      </w:r>
      <w:r>
        <w:rPr>
          <w:rFonts w:ascii="Times New Roman" w:eastAsia="Times New Roman"/>
          <w:spacing w:val="-16"/>
        </w:rPr>
        <w:t>5</w:t>
      </w:r>
      <w:r>
        <w:rPr>
          <w:spacing w:val="-16"/>
        </w:rPr>
        <w:t>）</w:t>
      </w:r>
      <w:r>
        <w:rPr>
          <w:spacing w:val="-2"/>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6"/>
        </w:numPr>
        <w:tabs>
          <w:tab w:pos="694" w:val="left" w:leader="none"/>
          <w:tab w:pos="695" w:val="left" w:leader="none"/>
        </w:tabs>
        <w:spacing w:line="240" w:lineRule="auto" w:before="161" w:after="0"/>
        <w:ind w:left="694" w:right="0" w:hanging="576"/>
        <w:jc w:val="left"/>
        <w:rPr>
          <w:rFonts w:ascii="Times New Roman" w:eastAsia="Times New Roman"/>
        </w:rPr>
      </w:pPr>
      <w:r>
        <w:rPr/>
        <w:t>永久不可逆</w:t>
      </w:r>
    </w:p>
    <w:p>
      <w:pPr>
        <w:pStyle w:val="BodyText"/>
        <w:spacing w:line="256" w:lineRule="auto" w:before="177"/>
        <w:ind w:left="1590" w:right="166"/>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6"/>
        </w:numPr>
        <w:tabs>
          <w:tab w:pos="694" w:val="left" w:leader="none"/>
          <w:tab w:pos="695" w:val="left" w:leader="none"/>
        </w:tabs>
        <w:spacing w:line="240" w:lineRule="auto" w:before="178" w:after="0"/>
        <w:ind w:left="694" w:right="0" w:hanging="576"/>
        <w:jc w:val="left"/>
        <w:rPr>
          <w:rFonts w:ascii="Times New Roman" w:eastAsia="Times New Roman"/>
        </w:rPr>
      </w:pPr>
      <w:r>
        <w:rPr/>
        <w:t>原位癌</w:t>
      </w:r>
    </w:p>
    <w:p>
      <w:pPr>
        <w:pStyle w:val="BodyText"/>
        <w:spacing w:line="273" w:lineRule="auto" w:before="177"/>
        <w:ind w:left="1590" w:right="211"/>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t>意外伤害</w:t>
      </w:r>
    </w:p>
    <w:p>
      <w:pPr>
        <w:pStyle w:val="BodyText"/>
        <w:spacing w:before="176"/>
        <w:ind w:left="1590"/>
        <w:jc w:val="both"/>
      </w:pPr>
      <w:r>
        <w:rPr/>
        <w:t>指遭受外来的、突发的、非本意的、非疾病的客观事件直接致使身体受到的伤害。</w:t>
      </w:r>
    </w:p>
    <w:p>
      <w:pPr>
        <w:pStyle w:val="BodyText"/>
        <w:spacing w:before="9"/>
        <w:rPr>
          <w:sz w:val="14"/>
        </w:rPr>
      </w:pPr>
    </w:p>
    <w:p>
      <w:pPr>
        <w:pStyle w:val="Heading3"/>
        <w:numPr>
          <w:ilvl w:val="1"/>
          <w:numId w:val="6"/>
        </w:numPr>
        <w:tabs>
          <w:tab w:pos="694" w:val="left" w:leader="none"/>
          <w:tab w:pos="695" w:val="left" w:leader="none"/>
        </w:tabs>
        <w:spacing w:line="240" w:lineRule="auto" w:before="0" w:after="0"/>
        <w:ind w:left="694" w:right="0" w:hanging="576"/>
        <w:jc w:val="left"/>
        <w:rPr>
          <w:rFonts w:ascii="Times New Roman" w:eastAsia="Times New Roman"/>
        </w:rPr>
      </w:pPr>
      <w:r>
        <w:rPr/>
        <w:t>发病</w:t>
      </w:r>
    </w:p>
    <w:p>
      <w:pPr>
        <w:pStyle w:val="BodyText"/>
        <w:spacing w:line="273" w:lineRule="auto" w:before="177"/>
        <w:ind w:left="1590" w:right="211"/>
      </w:pPr>
      <w:r>
        <w:rPr/>
        <w:t>指出现疾病的前兆或异常的身体状况，或已经显现足以促使一般普通谨慎人士引起注意、寻求诊断、治疗或护理的病症。</w:t>
      </w:r>
    </w:p>
    <w:p>
      <w:pPr>
        <w:pStyle w:val="Heading3"/>
        <w:numPr>
          <w:ilvl w:val="1"/>
          <w:numId w:val="6"/>
        </w:numPr>
        <w:tabs>
          <w:tab w:pos="694" w:val="left" w:leader="none"/>
          <w:tab w:pos="695" w:val="left" w:leader="none"/>
        </w:tabs>
        <w:spacing w:line="240" w:lineRule="auto" w:before="164" w:after="0"/>
        <w:ind w:left="694" w:right="0" w:hanging="576"/>
        <w:jc w:val="left"/>
        <w:rPr>
          <w:rFonts w:ascii="Times New Roman" w:eastAsia="Times New Roman"/>
        </w:rPr>
      </w:pPr>
      <w:r>
        <w:rPr/>
        <w:t>指定或认可的医院</w:t>
      </w:r>
    </w:p>
    <w:p>
      <w:pPr>
        <w:pStyle w:val="BodyText"/>
        <w:spacing w:line="273" w:lineRule="auto" w:before="177"/>
        <w:ind w:left="1590" w:right="209"/>
      </w:pPr>
      <w:r>
        <w:rPr/>
        <w:t>本附加合同所称的指定或认可的医院为中华人民共和国境内（港澳台除外）且符合下列所有条件：</w:t>
      </w:r>
    </w:p>
    <w:p>
      <w:pPr>
        <w:pStyle w:val="ListParagraph"/>
        <w:numPr>
          <w:ilvl w:val="0"/>
          <w:numId w:val="7"/>
        </w:numPr>
        <w:tabs>
          <w:tab w:pos="1876" w:val="left" w:leader="none"/>
        </w:tabs>
        <w:spacing w:line="240" w:lineRule="auto" w:before="163" w:after="0"/>
        <w:ind w:left="1875" w:right="0" w:hanging="317"/>
        <w:jc w:val="both"/>
        <w:rPr>
          <w:sz w:val="21"/>
        </w:rPr>
      </w:pPr>
      <w:r>
        <w:rPr>
          <w:spacing w:val="-3"/>
          <w:sz w:val="21"/>
        </w:rPr>
        <w:t>拥有合法经营执照；</w:t>
      </w:r>
    </w:p>
    <w:p>
      <w:pPr>
        <w:spacing w:after="0" w:line="240" w:lineRule="auto"/>
        <w:jc w:val="both"/>
        <w:rPr>
          <w:sz w:val="21"/>
        </w:rPr>
        <w:sectPr>
          <w:pgSz w:w="11910" w:h="16840"/>
          <w:pgMar w:top="1380" w:bottom="280" w:left="1300" w:right="1200"/>
        </w:sectPr>
      </w:pPr>
    </w:p>
    <w:p>
      <w:pPr>
        <w:pStyle w:val="ListParagraph"/>
        <w:numPr>
          <w:ilvl w:val="0"/>
          <w:numId w:val="7"/>
        </w:numPr>
        <w:tabs>
          <w:tab w:pos="1876" w:val="left" w:leader="none"/>
        </w:tabs>
        <w:spacing w:line="240" w:lineRule="auto" w:before="29" w:after="0"/>
        <w:ind w:left="1875" w:right="0" w:hanging="317"/>
        <w:jc w:val="left"/>
        <w:rPr>
          <w:sz w:val="21"/>
        </w:rPr>
      </w:pPr>
      <w:r>
        <w:rPr>
          <w:spacing w:val="-3"/>
          <w:sz w:val="21"/>
        </w:rPr>
        <w:t>设立的主要目的为向受伤者和患病者提供留院治疗和护理服务；</w:t>
      </w:r>
    </w:p>
    <w:p>
      <w:pPr>
        <w:pStyle w:val="ListParagraph"/>
        <w:numPr>
          <w:ilvl w:val="0"/>
          <w:numId w:val="7"/>
        </w:numPr>
        <w:tabs>
          <w:tab w:pos="1876" w:val="left" w:leader="none"/>
        </w:tabs>
        <w:spacing w:line="256" w:lineRule="auto" w:before="177" w:after="0"/>
        <w:ind w:left="1875" w:right="214" w:hanging="317"/>
        <w:jc w:val="left"/>
        <w:rPr>
          <w:sz w:val="21"/>
        </w:rPr>
      </w:pPr>
      <w:r>
        <w:rPr>
          <w:sz w:val="21"/>
        </w:rPr>
        <w:t>有合格的医生</w:t>
      </w:r>
      <w:r>
        <w:rPr>
          <w:rFonts w:ascii="Times New Roman" w:eastAsia="Times New Roman"/>
          <w:sz w:val="21"/>
        </w:rPr>
        <w:t>(</w:t>
      </w:r>
      <w:r>
        <w:rPr>
          <w:rFonts w:ascii="黑体" w:eastAsia="黑体" w:hint="eastAsia"/>
          <w:spacing w:val="-2"/>
          <w:sz w:val="21"/>
        </w:rPr>
        <w:t>被保险人本人、其配偶或其直系亲属除外</w:t>
      </w:r>
      <w:r>
        <w:rPr>
          <w:rFonts w:ascii="Times New Roman" w:eastAsia="Times New Roman"/>
          <w:sz w:val="21"/>
        </w:rPr>
        <w:t>)</w:t>
      </w:r>
      <w:r>
        <w:rPr>
          <w:spacing w:val="-1"/>
          <w:sz w:val="21"/>
        </w:rPr>
        <w:t>和护士提供全日二十四</w:t>
      </w:r>
      <w:r>
        <w:rPr>
          <w:spacing w:val="-3"/>
          <w:sz w:val="21"/>
        </w:rPr>
        <w:t>小时的医疗和护理服务；</w:t>
      </w:r>
    </w:p>
    <w:p>
      <w:pPr>
        <w:pStyle w:val="ListParagraph"/>
        <w:numPr>
          <w:ilvl w:val="0"/>
          <w:numId w:val="7"/>
        </w:numPr>
        <w:tabs>
          <w:tab w:pos="1876" w:val="left" w:leader="none"/>
        </w:tabs>
        <w:spacing w:line="256" w:lineRule="auto" w:before="178" w:after="0"/>
        <w:ind w:left="1875" w:right="209" w:hanging="317"/>
        <w:jc w:val="left"/>
        <w:rPr>
          <w:sz w:val="21"/>
        </w:rPr>
      </w:pPr>
      <w:r>
        <w:rPr>
          <w:spacing w:val="-5"/>
          <w:sz w:val="21"/>
        </w:rPr>
        <w:t>具有系统性诊疗等程序或手术设备的二级或以上综合性医院或专科医院，</w:t>
      </w:r>
      <w:r>
        <w:rPr>
          <w:rFonts w:ascii="黑体" w:eastAsia="黑体" w:hint="eastAsia"/>
          <w:spacing w:val="-2"/>
          <w:sz w:val="21"/>
        </w:rPr>
        <w:t>但不包</w:t>
      </w:r>
      <w:r>
        <w:rPr>
          <w:rFonts w:ascii="黑体" w:eastAsia="黑体" w:hint="eastAsia"/>
          <w:spacing w:val="-3"/>
          <w:sz w:val="21"/>
        </w:rPr>
        <w:t>括观察室、联合病房和康复病房</w:t>
      </w:r>
      <w:r>
        <w:rPr>
          <w:sz w:val="21"/>
        </w:rPr>
        <w:t>；</w:t>
      </w:r>
    </w:p>
    <w:p>
      <w:pPr>
        <w:pStyle w:val="ListParagraph"/>
        <w:numPr>
          <w:ilvl w:val="0"/>
          <w:numId w:val="7"/>
        </w:numPr>
        <w:tabs>
          <w:tab w:pos="1876" w:val="left" w:leader="none"/>
        </w:tabs>
        <w:spacing w:line="240" w:lineRule="auto" w:before="178" w:after="0"/>
        <w:ind w:left="1875" w:right="0" w:hanging="317"/>
        <w:jc w:val="left"/>
        <w:rPr>
          <w:sz w:val="21"/>
        </w:rPr>
      </w:pPr>
      <w:r>
        <w:rPr>
          <w:spacing w:val="-3"/>
          <w:sz w:val="21"/>
        </w:rPr>
        <w:t>非主要作为康复医院、诊所、护理、疗养、戒酒、戒毒或类似的医疗机构。</w:t>
      </w:r>
    </w:p>
    <w:p>
      <w:pPr>
        <w:pStyle w:val="BodyText"/>
        <w:spacing w:before="2"/>
        <w:rPr>
          <w:sz w:val="10"/>
        </w:rPr>
      </w:pPr>
    </w:p>
    <w:p>
      <w:pPr>
        <w:pStyle w:val="Heading3"/>
        <w:numPr>
          <w:ilvl w:val="1"/>
          <w:numId w:val="6"/>
        </w:numPr>
        <w:tabs>
          <w:tab w:pos="694" w:val="left" w:leader="none"/>
          <w:tab w:pos="695" w:val="left" w:leader="none"/>
        </w:tabs>
        <w:spacing w:line="240" w:lineRule="auto" w:before="44" w:after="0"/>
        <w:ind w:left="694" w:right="0" w:hanging="576"/>
        <w:jc w:val="left"/>
        <w:rPr>
          <w:rFonts w:ascii="Times New Roman" w:eastAsia="Times New Roman"/>
        </w:rPr>
      </w:pPr>
      <w:r>
        <w:rPr/>
        <w:t>专科医生</w:t>
      </w:r>
    </w:p>
    <w:p>
      <w:pPr>
        <w:pStyle w:val="BodyText"/>
        <w:spacing w:before="10"/>
        <w:rPr>
          <w:b/>
          <w:sz w:val="10"/>
        </w:rPr>
      </w:pPr>
    </w:p>
    <w:p>
      <w:pPr>
        <w:pStyle w:val="BodyText"/>
        <w:spacing w:before="36"/>
        <w:ind w:left="1590"/>
      </w:pPr>
      <w:r>
        <w:rPr/>
        <w:t>专科医生应当同时满足以下四项资格条件：</w:t>
      </w:r>
    </w:p>
    <w:p>
      <w:pPr>
        <w:pStyle w:val="BodyText"/>
        <w:spacing w:before="9"/>
        <w:rPr>
          <w:sz w:val="14"/>
        </w:rPr>
      </w:pPr>
    </w:p>
    <w:p>
      <w:pPr>
        <w:pStyle w:val="ListParagraph"/>
        <w:numPr>
          <w:ilvl w:val="0"/>
          <w:numId w:val="8"/>
        </w:numPr>
        <w:tabs>
          <w:tab w:pos="1876" w:val="left" w:leader="none"/>
        </w:tabs>
        <w:spacing w:line="240" w:lineRule="auto" w:before="0" w:after="0"/>
        <w:ind w:left="1875" w:right="0" w:hanging="317"/>
        <w:jc w:val="left"/>
        <w:rPr>
          <w:sz w:val="21"/>
        </w:rPr>
      </w:pPr>
      <w:r>
        <w:rPr>
          <w:spacing w:val="-9"/>
          <w:sz w:val="21"/>
        </w:rPr>
        <w:t>具有有效的中华人民共和国《医师资格证书》；</w:t>
      </w:r>
    </w:p>
    <w:p>
      <w:pPr>
        <w:pStyle w:val="ListParagraph"/>
        <w:numPr>
          <w:ilvl w:val="0"/>
          <w:numId w:val="8"/>
        </w:numPr>
        <w:tabs>
          <w:tab w:pos="1876" w:val="left" w:leader="none"/>
        </w:tabs>
        <w:spacing w:line="240" w:lineRule="auto" w:before="177" w:after="0"/>
        <w:ind w:left="1875" w:right="0" w:hanging="317"/>
        <w:jc w:val="left"/>
        <w:rPr>
          <w:sz w:val="21"/>
        </w:rPr>
      </w:pPr>
      <w:r>
        <w:rPr>
          <w:spacing w:val="-9"/>
          <w:sz w:val="21"/>
        </w:rPr>
        <w:t>具有有效的中华人民共和国《医师执业证书》，并按期到相关部门登记注册；</w:t>
      </w:r>
    </w:p>
    <w:p>
      <w:pPr>
        <w:pStyle w:val="ListParagraph"/>
        <w:numPr>
          <w:ilvl w:val="0"/>
          <w:numId w:val="8"/>
        </w:numPr>
        <w:tabs>
          <w:tab w:pos="1876" w:val="left" w:leader="none"/>
        </w:tabs>
        <w:spacing w:line="240" w:lineRule="auto" w:before="178" w:after="0"/>
        <w:ind w:left="1875" w:right="0" w:hanging="317"/>
        <w:jc w:val="left"/>
        <w:rPr>
          <w:sz w:val="21"/>
        </w:rPr>
      </w:pPr>
      <w:r>
        <w:rPr>
          <w:spacing w:val="-7"/>
          <w:sz w:val="21"/>
        </w:rPr>
        <w:t>具有有效的中华人民共和国主治医师或主治医师以上职称的《医师职称证书》；</w:t>
      </w:r>
    </w:p>
    <w:p>
      <w:pPr>
        <w:pStyle w:val="ListParagraph"/>
        <w:numPr>
          <w:ilvl w:val="0"/>
          <w:numId w:val="8"/>
        </w:numPr>
        <w:tabs>
          <w:tab w:pos="1876" w:val="left" w:leader="none"/>
        </w:tabs>
        <w:spacing w:line="240" w:lineRule="auto" w:before="177" w:after="0"/>
        <w:ind w:left="1875" w:right="0" w:hanging="317"/>
        <w:jc w:val="left"/>
        <w:rPr>
          <w:sz w:val="21"/>
        </w:rPr>
      </w:pPr>
      <w:r>
        <w:rPr>
          <w:spacing w:val="-3"/>
          <w:sz w:val="21"/>
        </w:rPr>
        <w:t>在二级或二级以上医院的相应科室从事临床工作三年以上。</w:t>
      </w:r>
    </w:p>
    <w:p>
      <w:pPr>
        <w:pStyle w:val="BodyText"/>
        <w:spacing w:before="3"/>
        <w:rPr>
          <w:sz w:val="10"/>
        </w:rPr>
      </w:pPr>
    </w:p>
    <w:p>
      <w:pPr>
        <w:pStyle w:val="Heading3"/>
        <w:numPr>
          <w:ilvl w:val="1"/>
          <w:numId w:val="6"/>
        </w:numPr>
        <w:tabs>
          <w:tab w:pos="694" w:val="left" w:leader="none"/>
          <w:tab w:pos="695" w:val="left" w:leader="none"/>
        </w:tabs>
        <w:spacing w:line="240" w:lineRule="auto" w:before="43" w:after="0"/>
        <w:ind w:left="694" w:right="0" w:hanging="576"/>
        <w:jc w:val="left"/>
        <w:rPr>
          <w:rFonts w:ascii="Times New Roman" w:eastAsia="Times New Roman"/>
        </w:rPr>
      </w:pPr>
      <w:r>
        <w:rPr/>
        <w:t>毒品</w:t>
      </w:r>
    </w:p>
    <w:p>
      <w:pPr>
        <w:pStyle w:val="BodyText"/>
        <w:spacing w:before="10"/>
        <w:rPr>
          <w:b/>
          <w:sz w:val="10"/>
        </w:rPr>
      </w:pPr>
    </w:p>
    <w:p>
      <w:pPr>
        <w:pStyle w:val="BodyText"/>
        <w:spacing w:line="273" w:lineRule="auto" w:before="36"/>
        <w:ind w:left="1590" w:right="210"/>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before="2"/>
        <w:rPr>
          <w:sz w:val="9"/>
        </w:rPr>
      </w:pPr>
    </w:p>
    <w:p>
      <w:pPr>
        <w:pStyle w:val="Heading3"/>
        <w:numPr>
          <w:ilvl w:val="1"/>
          <w:numId w:val="6"/>
        </w:numPr>
        <w:tabs>
          <w:tab w:pos="694" w:val="left" w:leader="none"/>
          <w:tab w:pos="695" w:val="left" w:leader="none"/>
        </w:tabs>
        <w:spacing w:line="240" w:lineRule="auto" w:before="43" w:after="0"/>
        <w:ind w:left="694" w:right="0" w:hanging="576"/>
        <w:jc w:val="left"/>
        <w:rPr>
          <w:rFonts w:ascii="Times New Roman" w:eastAsia="Times New Roman"/>
        </w:rPr>
      </w:pPr>
      <w:r>
        <w:rPr/>
        <w:t>酒后驾驶</w:t>
      </w:r>
    </w:p>
    <w:p>
      <w:pPr>
        <w:pStyle w:val="BodyText"/>
        <w:spacing w:before="9"/>
        <w:rPr>
          <w:b/>
          <w:sz w:val="10"/>
        </w:rPr>
      </w:pPr>
    </w:p>
    <w:p>
      <w:pPr>
        <w:pStyle w:val="BodyText"/>
        <w:spacing w:line="273" w:lineRule="auto" w:before="36"/>
        <w:ind w:left="1590" w:right="210"/>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无合法有效驾驶证驾驶</w:t>
      </w:r>
    </w:p>
    <w:p>
      <w:pPr>
        <w:pStyle w:val="BodyText"/>
        <w:spacing w:before="177"/>
        <w:ind w:left="1590"/>
        <w:jc w:val="both"/>
      </w:pPr>
      <w:r>
        <w:rPr/>
        <w:t>指下列情形之一：</w:t>
      </w:r>
    </w:p>
    <w:p>
      <w:pPr>
        <w:pStyle w:val="BodyText"/>
        <w:spacing w:before="9"/>
        <w:rPr>
          <w:sz w:val="14"/>
        </w:rPr>
      </w:pPr>
    </w:p>
    <w:p>
      <w:pPr>
        <w:pStyle w:val="ListParagraph"/>
        <w:numPr>
          <w:ilvl w:val="0"/>
          <w:numId w:val="9"/>
        </w:numPr>
        <w:tabs>
          <w:tab w:pos="1919" w:val="left" w:leader="none"/>
        </w:tabs>
        <w:spacing w:line="240" w:lineRule="auto" w:before="0" w:after="0"/>
        <w:ind w:left="1918" w:right="0" w:hanging="360"/>
        <w:jc w:val="both"/>
        <w:rPr>
          <w:sz w:val="21"/>
        </w:rPr>
      </w:pPr>
      <w:r>
        <w:rPr>
          <w:spacing w:val="-3"/>
          <w:sz w:val="21"/>
        </w:rPr>
        <w:t>没有取得驾驶资格；</w:t>
      </w:r>
    </w:p>
    <w:p>
      <w:pPr>
        <w:pStyle w:val="ListParagraph"/>
        <w:numPr>
          <w:ilvl w:val="0"/>
          <w:numId w:val="9"/>
        </w:numPr>
        <w:tabs>
          <w:tab w:pos="1919" w:val="left" w:leader="none"/>
        </w:tabs>
        <w:spacing w:line="240" w:lineRule="auto" w:before="176" w:after="0"/>
        <w:ind w:left="1918" w:right="0" w:hanging="360"/>
        <w:jc w:val="both"/>
        <w:rPr>
          <w:sz w:val="21"/>
        </w:rPr>
      </w:pPr>
      <w:r>
        <w:rPr>
          <w:spacing w:val="-3"/>
          <w:sz w:val="21"/>
        </w:rPr>
        <w:t>驾驶与驾驶证准驾车型不相符合的车辆；</w:t>
      </w:r>
    </w:p>
    <w:p>
      <w:pPr>
        <w:pStyle w:val="ListParagraph"/>
        <w:numPr>
          <w:ilvl w:val="0"/>
          <w:numId w:val="9"/>
        </w:numPr>
        <w:tabs>
          <w:tab w:pos="1919" w:val="left" w:leader="none"/>
        </w:tabs>
        <w:spacing w:line="240" w:lineRule="auto" w:before="176" w:after="0"/>
        <w:ind w:left="1918" w:right="0" w:hanging="360"/>
        <w:jc w:val="both"/>
        <w:rPr>
          <w:sz w:val="21"/>
        </w:rPr>
      </w:pPr>
      <w:r>
        <w:rPr>
          <w:spacing w:val="-3"/>
          <w:sz w:val="21"/>
        </w:rPr>
        <w:t>持审验不合格的驾驶证驾驶；</w:t>
      </w:r>
    </w:p>
    <w:p>
      <w:pPr>
        <w:pStyle w:val="ListParagraph"/>
        <w:numPr>
          <w:ilvl w:val="0"/>
          <w:numId w:val="9"/>
        </w:numPr>
        <w:tabs>
          <w:tab w:pos="1919" w:val="left" w:leader="none"/>
        </w:tabs>
        <w:spacing w:line="240" w:lineRule="auto" w:before="176" w:after="0"/>
        <w:ind w:left="1918" w:right="0" w:hanging="360"/>
        <w:jc w:val="both"/>
        <w:rPr>
          <w:sz w:val="21"/>
        </w:rPr>
      </w:pPr>
      <w:r>
        <w:rPr>
          <w:spacing w:val="-13"/>
          <w:sz w:val="21"/>
        </w:rPr>
        <w:t>持学习驾驶证学习驾车时，无教练员随车指导，或不按指定时间、路线学习驾车。</w:t>
      </w:r>
    </w:p>
    <w:p>
      <w:pPr>
        <w:pStyle w:val="Heading3"/>
        <w:numPr>
          <w:ilvl w:val="1"/>
          <w:numId w:val="6"/>
        </w:numPr>
        <w:tabs>
          <w:tab w:pos="694" w:val="left" w:leader="none"/>
          <w:tab w:pos="695" w:val="left" w:leader="none"/>
        </w:tabs>
        <w:spacing w:line="240" w:lineRule="auto" w:before="176" w:after="0"/>
        <w:ind w:left="694" w:right="0" w:hanging="576"/>
        <w:jc w:val="left"/>
        <w:rPr>
          <w:rFonts w:ascii="Times New Roman" w:eastAsia="Times New Roman"/>
        </w:rPr>
      </w:pPr>
      <w:r>
        <w:rPr/>
        <w:t>无有效行驶证</w:t>
      </w:r>
    </w:p>
    <w:p>
      <w:pPr>
        <w:pStyle w:val="BodyText"/>
        <w:spacing w:before="177"/>
        <w:ind w:left="1590"/>
        <w:jc w:val="both"/>
      </w:pPr>
      <w:r>
        <w:rPr/>
        <w:t>指下列情形之一：</w:t>
      </w:r>
    </w:p>
    <w:p>
      <w:pPr>
        <w:pStyle w:val="BodyText"/>
        <w:spacing w:before="9"/>
        <w:rPr>
          <w:sz w:val="14"/>
        </w:rPr>
      </w:pPr>
    </w:p>
    <w:p>
      <w:pPr>
        <w:pStyle w:val="ListParagraph"/>
        <w:numPr>
          <w:ilvl w:val="0"/>
          <w:numId w:val="10"/>
        </w:numPr>
        <w:tabs>
          <w:tab w:pos="1919" w:val="left" w:leader="none"/>
        </w:tabs>
        <w:spacing w:line="240" w:lineRule="auto" w:before="1" w:after="0"/>
        <w:ind w:left="1918" w:right="0" w:hanging="360"/>
        <w:jc w:val="both"/>
        <w:rPr>
          <w:sz w:val="21"/>
        </w:rPr>
      </w:pPr>
      <w:r>
        <w:rPr>
          <w:spacing w:val="-3"/>
          <w:sz w:val="21"/>
        </w:rPr>
        <w:t>机动车被依法注销登记的；</w:t>
      </w:r>
    </w:p>
    <w:p>
      <w:pPr>
        <w:pStyle w:val="ListParagraph"/>
        <w:numPr>
          <w:ilvl w:val="0"/>
          <w:numId w:val="10"/>
        </w:numPr>
        <w:tabs>
          <w:tab w:pos="1919" w:val="left" w:leader="none"/>
        </w:tabs>
        <w:spacing w:line="240" w:lineRule="auto" w:before="177" w:after="0"/>
        <w:ind w:left="1918" w:right="0" w:hanging="360"/>
        <w:jc w:val="both"/>
        <w:rPr>
          <w:sz w:val="21"/>
        </w:rPr>
      </w:pPr>
      <w:r>
        <w:rPr>
          <w:spacing w:val="-3"/>
          <w:sz w:val="21"/>
        </w:rPr>
        <w:t>未依法按时进行或通过机动车安全技术检验。</w:t>
      </w:r>
    </w:p>
    <w:p>
      <w:pPr>
        <w:pStyle w:val="Heading3"/>
        <w:numPr>
          <w:ilvl w:val="1"/>
          <w:numId w:val="6"/>
        </w:numPr>
        <w:tabs>
          <w:tab w:pos="694" w:val="left" w:leader="none"/>
          <w:tab w:pos="695" w:val="left" w:leader="none"/>
        </w:tabs>
        <w:spacing w:line="240" w:lineRule="auto" w:before="177" w:after="0"/>
        <w:ind w:left="694" w:right="0" w:hanging="576"/>
        <w:jc w:val="left"/>
        <w:rPr>
          <w:rFonts w:ascii="Times New Roman" w:eastAsia="Times New Roman"/>
        </w:rPr>
      </w:pPr>
      <w:r>
        <w:rPr>
          <w:spacing w:val="-2"/>
        </w:rPr>
        <w:t>感染艾滋病病毒或患艾滋病</w:t>
      </w:r>
    </w:p>
    <w:p>
      <w:pPr>
        <w:pStyle w:val="BodyText"/>
        <w:spacing w:before="177"/>
        <w:ind w:left="1590"/>
        <w:jc w:val="both"/>
      </w:pPr>
      <w:r>
        <w:rPr/>
        <w:t>艾滋病病毒指人类免疫缺陷病毒，英文缩写为 </w:t>
      </w:r>
      <w:r>
        <w:rPr>
          <w:rFonts w:ascii="Times New Roman" w:eastAsia="Times New Roman"/>
        </w:rPr>
        <w:t>HIV</w:t>
      </w:r>
      <w:r>
        <w:rPr/>
        <w:t>。艾滋病指人类免疫缺陷病毒引</w:t>
      </w:r>
    </w:p>
    <w:p>
      <w:pPr>
        <w:spacing w:after="0"/>
        <w:jc w:val="both"/>
        <w:sectPr>
          <w:pgSz w:w="11910" w:h="16840"/>
          <w:pgMar w:top="1380" w:bottom="280" w:left="1300" w:right="1200"/>
        </w:sectPr>
      </w:pPr>
    </w:p>
    <w:p>
      <w:pPr>
        <w:pStyle w:val="BodyText"/>
        <w:spacing w:before="29"/>
        <w:ind w:left="1590"/>
      </w:pPr>
      <w:r>
        <w:rPr/>
        <w:t>起的获得性免疫缺陷综合征，英文缩写为 </w:t>
      </w:r>
      <w:r>
        <w:rPr>
          <w:rFonts w:ascii="Times New Roman" w:eastAsia="Times New Roman"/>
        </w:rPr>
        <w:t>AIDS</w:t>
      </w:r>
      <w:r>
        <w:rPr/>
        <w:t>。</w:t>
      </w:r>
    </w:p>
    <w:p>
      <w:pPr>
        <w:pStyle w:val="BodyText"/>
        <w:spacing w:line="273" w:lineRule="auto" w:before="177"/>
        <w:ind w:left="1590" w:right="106"/>
      </w:pPr>
      <w:r>
        <w:rPr/>
        <w:t>在人体血液或其它样本中检测到艾滋病病毒或其抗体呈阳性，没有出现临床症状或</w:t>
      </w:r>
      <w:r>
        <w:rPr>
          <w:spacing w:val="-9"/>
        </w:rPr>
        <w:t>体征的，为感染艾滋病病毒；如果同时出现了明显临床症状或体征的，为患艾滋病。</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t>遗传性疾病</w:t>
      </w:r>
    </w:p>
    <w:p>
      <w:pPr>
        <w:pStyle w:val="BodyText"/>
        <w:spacing w:line="273" w:lineRule="auto" w:before="177"/>
        <w:ind w:left="1590" w:right="211"/>
      </w:pPr>
      <w:r>
        <w:rPr/>
        <w:t>指生殖细胞或受精卵的遗传物质（染色体和基因）发生突变或畸变所引起的疾病， 通常具有由亲代传至后代的垂直传递的特征。</w:t>
      </w:r>
    </w:p>
    <w:p>
      <w:pPr>
        <w:pStyle w:val="Heading3"/>
        <w:numPr>
          <w:ilvl w:val="1"/>
          <w:numId w:val="6"/>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先天性畸形、变形或染色体异常</w:t>
      </w:r>
    </w:p>
    <w:p>
      <w:pPr>
        <w:pStyle w:val="BodyText"/>
        <w:spacing w:line="273" w:lineRule="auto" w:before="176"/>
        <w:ind w:left="1590" w:right="211"/>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38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新宋体">
    <w:altName w:val="新宋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0"/>
      </w:pPr>
      <w:rPr>
        <w:rFonts w:hint="default"/>
      </w:rPr>
    </w:lvl>
    <w:lvl w:ilvl="2">
      <w:start w:val="0"/>
      <w:numFmt w:val="bullet"/>
      <w:lvlText w:val="•"/>
      <w:lvlJc w:val="left"/>
      <w:pPr>
        <w:ind w:left="3417" w:hanging="360"/>
      </w:pPr>
      <w:rPr>
        <w:rFonts w:hint="default"/>
      </w:rPr>
    </w:lvl>
    <w:lvl w:ilvl="3">
      <w:start w:val="0"/>
      <w:numFmt w:val="bullet"/>
      <w:lvlText w:val="•"/>
      <w:lvlJc w:val="left"/>
      <w:pPr>
        <w:ind w:left="4165" w:hanging="360"/>
      </w:pPr>
      <w:rPr>
        <w:rFonts w:hint="default"/>
      </w:rPr>
    </w:lvl>
    <w:lvl w:ilvl="4">
      <w:start w:val="0"/>
      <w:numFmt w:val="bullet"/>
      <w:lvlText w:val="•"/>
      <w:lvlJc w:val="left"/>
      <w:pPr>
        <w:ind w:left="4914" w:hanging="360"/>
      </w:pPr>
      <w:rPr>
        <w:rFonts w:hint="default"/>
      </w:rPr>
    </w:lvl>
    <w:lvl w:ilvl="5">
      <w:start w:val="0"/>
      <w:numFmt w:val="bullet"/>
      <w:lvlText w:val="•"/>
      <w:lvlJc w:val="left"/>
      <w:pPr>
        <w:ind w:left="5663" w:hanging="360"/>
      </w:pPr>
      <w:rPr>
        <w:rFonts w:hint="default"/>
      </w:rPr>
    </w:lvl>
    <w:lvl w:ilvl="6">
      <w:start w:val="0"/>
      <w:numFmt w:val="bullet"/>
      <w:lvlText w:val="•"/>
      <w:lvlJc w:val="left"/>
      <w:pPr>
        <w:ind w:left="6411" w:hanging="360"/>
      </w:pPr>
      <w:rPr>
        <w:rFonts w:hint="default"/>
      </w:rPr>
    </w:lvl>
    <w:lvl w:ilvl="7">
      <w:start w:val="0"/>
      <w:numFmt w:val="bullet"/>
      <w:lvlText w:val="•"/>
      <w:lvlJc w:val="left"/>
      <w:pPr>
        <w:ind w:left="7160" w:hanging="360"/>
      </w:pPr>
      <w:rPr>
        <w:rFonts w:hint="default"/>
      </w:rPr>
    </w:lvl>
    <w:lvl w:ilvl="8">
      <w:start w:val="0"/>
      <w:numFmt w:val="bullet"/>
      <w:lvlText w:val="•"/>
      <w:lvlJc w:val="left"/>
      <w:pPr>
        <w:ind w:left="7909" w:hanging="360"/>
      </w:pPr>
      <w:rPr>
        <w:rFonts w:hint="default"/>
      </w:rPr>
    </w:lvl>
  </w:abstractNum>
  <w:abstractNum w:abstractNumId="8">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0"/>
      </w:pPr>
      <w:rPr>
        <w:rFonts w:hint="default"/>
      </w:rPr>
    </w:lvl>
    <w:lvl w:ilvl="2">
      <w:start w:val="0"/>
      <w:numFmt w:val="bullet"/>
      <w:lvlText w:val="•"/>
      <w:lvlJc w:val="left"/>
      <w:pPr>
        <w:ind w:left="3417" w:hanging="360"/>
      </w:pPr>
      <w:rPr>
        <w:rFonts w:hint="default"/>
      </w:rPr>
    </w:lvl>
    <w:lvl w:ilvl="3">
      <w:start w:val="0"/>
      <w:numFmt w:val="bullet"/>
      <w:lvlText w:val="•"/>
      <w:lvlJc w:val="left"/>
      <w:pPr>
        <w:ind w:left="4165" w:hanging="360"/>
      </w:pPr>
      <w:rPr>
        <w:rFonts w:hint="default"/>
      </w:rPr>
    </w:lvl>
    <w:lvl w:ilvl="4">
      <w:start w:val="0"/>
      <w:numFmt w:val="bullet"/>
      <w:lvlText w:val="•"/>
      <w:lvlJc w:val="left"/>
      <w:pPr>
        <w:ind w:left="4914" w:hanging="360"/>
      </w:pPr>
      <w:rPr>
        <w:rFonts w:hint="default"/>
      </w:rPr>
    </w:lvl>
    <w:lvl w:ilvl="5">
      <w:start w:val="0"/>
      <w:numFmt w:val="bullet"/>
      <w:lvlText w:val="•"/>
      <w:lvlJc w:val="left"/>
      <w:pPr>
        <w:ind w:left="5663" w:hanging="360"/>
      </w:pPr>
      <w:rPr>
        <w:rFonts w:hint="default"/>
      </w:rPr>
    </w:lvl>
    <w:lvl w:ilvl="6">
      <w:start w:val="0"/>
      <w:numFmt w:val="bullet"/>
      <w:lvlText w:val="•"/>
      <w:lvlJc w:val="left"/>
      <w:pPr>
        <w:ind w:left="6411" w:hanging="360"/>
      </w:pPr>
      <w:rPr>
        <w:rFonts w:hint="default"/>
      </w:rPr>
    </w:lvl>
    <w:lvl w:ilvl="7">
      <w:start w:val="0"/>
      <w:numFmt w:val="bullet"/>
      <w:lvlText w:val="•"/>
      <w:lvlJc w:val="left"/>
      <w:pPr>
        <w:ind w:left="7160" w:hanging="360"/>
      </w:pPr>
      <w:rPr>
        <w:rFonts w:hint="default"/>
      </w:rPr>
    </w:lvl>
    <w:lvl w:ilvl="8">
      <w:start w:val="0"/>
      <w:numFmt w:val="bullet"/>
      <w:lvlText w:val="•"/>
      <w:lvlJc w:val="left"/>
      <w:pPr>
        <w:ind w:left="7909" w:hanging="360"/>
      </w:pPr>
      <w:rPr>
        <w:rFonts w:hint="default"/>
      </w:rPr>
    </w:lvl>
  </w:abstractNum>
  <w:abstractNum w:abstractNumId="7">
    <w:multiLevelType w:val="hybridMultilevel"/>
    <w:lvl w:ilvl="0">
      <w:start w:val="1"/>
      <w:numFmt w:val="decimal"/>
      <w:lvlText w:val="%1."/>
      <w:lvlJc w:val="left"/>
      <w:pPr>
        <w:ind w:left="187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32" w:hanging="317"/>
      </w:pPr>
      <w:rPr>
        <w:rFonts w:hint="default"/>
      </w:rPr>
    </w:lvl>
    <w:lvl w:ilvl="2">
      <w:start w:val="0"/>
      <w:numFmt w:val="bullet"/>
      <w:lvlText w:val="•"/>
      <w:lvlJc w:val="left"/>
      <w:pPr>
        <w:ind w:left="3385" w:hanging="317"/>
      </w:pPr>
      <w:rPr>
        <w:rFonts w:hint="default"/>
      </w:rPr>
    </w:lvl>
    <w:lvl w:ilvl="3">
      <w:start w:val="0"/>
      <w:numFmt w:val="bullet"/>
      <w:lvlText w:val="•"/>
      <w:lvlJc w:val="left"/>
      <w:pPr>
        <w:ind w:left="4137" w:hanging="317"/>
      </w:pPr>
      <w:rPr>
        <w:rFonts w:hint="default"/>
      </w:rPr>
    </w:lvl>
    <w:lvl w:ilvl="4">
      <w:start w:val="0"/>
      <w:numFmt w:val="bullet"/>
      <w:lvlText w:val="•"/>
      <w:lvlJc w:val="left"/>
      <w:pPr>
        <w:ind w:left="4890" w:hanging="317"/>
      </w:pPr>
      <w:rPr>
        <w:rFonts w:hint="default"/>
      </w:rPr>
    </w:lvl>
    <w:lvl w:ilvl="5">
      <w:start w:val="0"/>
      <w:numFmt w:val="bullet"/>
      <w:lvlText w:val="•"/>
      <w:lvlJc w:val="left"/>
      <w:pPr>
        <w:ind w:left="5643" w:hanging="317"/>
      </w:pPr>
      <w:rPr>
        <w:rFonts w:hint="default"/>
      </w:rPr>
    </w:lvl>
    <w:lvl w:ilvl="6">
      <w:start w:val="0"/>
      <w:numFmt w:val="bullet"/>
      <w:lvlText w:val="•"/>
      <w:lvlJc w:val="left"/>
      <w:pPr>
        <w:ind w:left="6395" w:hanging="317"/>
      </w:pPr>
      <w:rPr>
        <w:rFonts w:hint="default"/>
      </w:rPr>
    </w:lvl>
    <w:lvl w:ilvl="7">
      <w:start w:val="0"/>
      <w:numFmt w:val="bullet"/>
      <w:lvlText w:val="•"/>
      <w:lvlJc w:val="left"/>
      <w:pPr>
        <w:ind w:left="7148" w:hanging="317"/>
      </w:pPr>
      <w:rPr>
        <w:rFonts w:hint="default"/>
      </w:rPr>
    </w:lvl>
    <w:lvl w:ilvl="8">
      <w:start w:val="0"/>
      <w:numFmt w:val="bullet"/>
      <w:lvlText w:val="•"/>
      <w:lvlJc w:val="left"/>
      <w:pPr>
        <w:ind w:left="7901" w:hanging="317"/>
      </w:pPr>
      <w:rPr>
        <w:rFonts w:hint="default"/>
      </w:rPr>
    </w:lvl>
  </w:abstractNum>
  <w:abstractNum w:abstractNumId="6">
    <w:multiLevelType w:val="hybridMultilevel"/>
    <w:lvl w:ilvl="0">
      <w:start w:val="1"/>
      <w:numFmt w:val="decimal"/>
      <w:lvlText w:val="%1."/>
      <w:lvlJc w:val="left"/>
      <w:pPr>
        <w:ind w:left="187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32" w:hanging="317"/>
      </w:pPr>
      <w:rPr>
        <w:rFonts w:hint="default"/>
      </w:rPr>
    </w:lvl>
    <w:lvl w:ilvl="2">
      <w:start w:val="0"/>
      <w:numFmt w:val="bullet"/>
      <w:lvlText w:val="•"/>
      <w:lvlJc w:val="left"/>
      <w:pPr>
        <w:ind w:left="3385" w:hanging="317"/>
      </w:pPr>
      <w:rPr>
        <w:rFonts w:hint="default"/>
      </w:rPr>
    </w:lvl>
    <w:lvl w:ilvl="3">
      <w:start w:val="0"/>
      <w:numFmt w:val="bullet"/>
      <w:lvlText w:val="•"/>
      <w:lvlJc w:val="left"/>
      <w:pPr>
        <w:ind w:left="4137" w:hanging="317"/>
      </w:pPr>
      <w:rPr>
        <w:rFonts w:hint="default"/>
      </w:rPr>
    </w:lvl>
    <w:lvl w:ilvl="4">
      <w:start w:val="0"/>
      <w:numFmt w:val="bullet"/>
      <w:lvlText w:val="•"/>
      <w:lvlJc w:val="left"/>
      <w:pPr>
        <w:ind w:left="4890" w:hanging="317"/>
      </w:pPr>
      <w:rPr>
        <w:rFonts w:hint="default"/>
      </w:rPr>
    </w:lvl>
    <w:lvl w:ilvl="5">
      <w:start w:val="0"/>
      <w:numFmt w:val="bullet"/>
      <w:lvlText w:val="•"/>
      <w:lvlJc w:val="left"/>
      <w:pPr>
        <w:ind w:left="5643" w:hanging="317"/>
      </w:pPr>
      <w:rPr>
        <w:rFonts w:hint="default"/>
      </w:rPr>
    </w:lvl>
    <w:lvl w:ilvl="6">
      <w:start w:val="0"/>
      <w:numFmt w:val="bullet"/>
      <w:lvlText w:val="•"/>
      <w:lvlJc w:val="left"/>
      <w:pPr>
        <w:ind w:left="6395" w:hanging="317"/>
      </w:pPr>
      <w:rPr>
        <w:rFonts w:hint="default"/>
      </w:rPr>
    </w:lvl>
    <w:lvl w:ilvl="7">
      <w:start w:val="0"/>
      <w:numFmt w:val="bullet"/>
      <w:lvlText w:val="•"/>
      <w:lvlJc w:val="left"/>
      <w:pPr>
        <w:ind w:left="7148" w:hanging="317"/>
      </w:pPr>
      <w:rPr>
        <w:rFonts w:hint="default"/>
      </w:rPr>
    </w:lvl>
    <w:lvl w:ilvl="8">
      <w:start w:val="0"/>
      <w:numFmt w:val="bullet"/>
      <w:lvlText w:val="•"/>
      <w:lvlJc w:val="left"/>
      <w:pPr>
        <w:ind w:left="7901" w:hanging="317"/>
      </w:pPr>
      <w:rPr>
        <w:rFonts w:hint="default"/>
      </w:rPr>
    </w:lvl>
  </w:abstractNum>
  <w:abstractNum w:abstractNumId="5">
    <w:multiLevelType w:val="hybridMultilevel"/>
    <w:lvl w:ilvl="0">
      <w:start w:val="6"/>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left"/>
      </w:pPr>
      <w:rPr>
        <w:rFonts w:hint="default" w:ascii="Times New Roman" w:hAnsi="Times New Roman" w:eastAsia="Times New Roman" w:cs="Times New Roman"/>
        <w:b/>
        <w:bCs/>
        <w:w w:val="100"/>
        <w:sz w:val="21"/>
        <w:szCs w:val="21"/>
      </w:rPr>
    </w:lvl>
    <w:lvl w:ilvl="3">
      <w:start w:val="0"/>
      <w:numFmt w:val="bullet"/>
      <w:lvlText w:val="•"/>
      <w:lvlJc w:val="left"/>
      <w:pPr>
        <w:ind w:left="3807" w:hanging="720"/>
      </w:pPr>
      <w:rPr>
        <w:rFonts w:hint="default"/>
      </w:rPr>
    </w:lvl>
    <w:lvl w:ilvl="4">
      <w:start w:val="0"/>
      <w:numFmt w:val="bullet"/>
      <w:lvlText w:val="•"/>
      <w:lvlJc w:val="left"/>
      <w:pPr>
        <w:ind w:left="4610" w:hanging="720"/>
      </w:pPr>
      <w:rPr>
        <w:rFonts w:hint="default"/>
      </w:rPr>
    </w:lvl>
    <w:lvl w:ilvl="5">
      <w:start w:val="0"/>
      <w:numFmt w:val="bullet"/>
      <w:lvlText w:val="•"/>
      <w:lvlJc w:val="left"/>
      <w:pPr>
        <w:ind w:left="5413" w:hanging="720"/>
      </w:pPr>
      <w:rPr>
        <w:rFonts w:hint="default"/>
      </w:rPr>
    </w:lvl>
    <w:lvl w:ilvl="6">
      <w:start w:val="0"/>
      <w:numFmt w:val="bullet"/>
      <w:lvlText w:val="•"/>
      <w:lvlJc w:val="left"/>
      <w:pPr>
        <w:ind w:left="6215" w:hanging="720"/>
      </w:pPr>
      <w:rPr>
        <w:rFonts w:hint="default"/>
      </w:rPr>
    </w:lvl>
    <w:lvl w:ilvl="7">
      <w:start w:val="0"/>
      <w:numFmt w:val="bullet"/>
      <w:lvlText w:val="•"/>
      <w:lvlJc w:val="left"/>
      <w:pPr>
        <w:ind w:left="7018" w:hanging="720"/>
      </w:pPr>
      <w:rPr>
        <w:rFonts w:hint="default"/>
      </w:rPr>
    </w:lvl>
    <w:lvl w:ilvl="8">
      <w:start w:val="0"/>
      <w:numFmt w:val="bullet"/>
      <w:lvlText w:val="•"/>
      <w:lvlJc w:val="left"/>
      <w:pPr>
        <w:ind w:left="7821" w:hanging="720"/>
      </w:pPr>
      <w:rPr>
        <w:rFonts w:hint="default"/>
      </w:rPr>
    </w:lvl>
  </w:abstractNum>
  <w:abstractNum w:abstractNumId="4">
    <w:multiLevelType w:val="hybridMultilevel"/>
    <w:lvl w:ilvl="0">
      <w:start w:val="3"/>
      <w:numFmt w:val="decimal"/>
      <w:lvlText w:val="%1"/>
      <w:lvlJc w:val="left"/>
      <w:pPr>
        <w:ind w:left="714" w:hanging="576"/>
        <w:jc w:val="left"/>
      </w:pPr>
      <w:rPr>
        <w:rFonts w:hint="default"/>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3554" w:hanging="317"/>
      </w:pPr>
      <w:rPr>
        <w:rFonts w:hint="default"/>
      </w:rPr>
    </w:lvl>
    <w:lvl w:ilvl="4">
      <w:start w:val="0"/>
      <w:numFmt w:val="bullet"/>
      <w:lvlText w:val="•"/>
      <w:lvlJc w:val="left"/>
      <w:pPr>
        <w:ind w:left="4382" w:hanging="317"/>
      </w:pPr>
      <w:rPr>
        <w:rFonts w:hint="default"/>
      </w:rPr>
    </w:lvl>
    <w:lvl w:ilvl="5">
      <w:start w:val="0"/>
      <w:numFmt w:val="bullet"/>
      <w:lvlText w:val="•"/>
      <w:lvlJc w:val="left"/>
      <w:pPr>
        <w:ind w:left="5209" w:hanging="317"/>
      </w:pPr>
      <w:rPr>
        <w:rFonts w:hint="default"/>
      </w:rPr>
    </w:lvl>
    <w:lvl w:ilvl="6">
      <w:start w:val="0"/>
      <w:numFmt w:val="bullet"/>
      <w:lvlText w:val="•"/>
      <w:lvlJc w:val="left"/>
      <w:pPr>
        <w:ind w:left="6036" w:hanging="317"/>
      </w:pPr>
      <w:rPr>
        <w:rFonts w:hint="default"/>
      </w:rPr>
    </w:lvl>
    <w:lvl w:ilvl="7">
      <w:start w:val="0"/>
      <w:numFmt w:val="bullet"/>
      <w:lvlText w:val="•"/>
      <w:lvlJc w:val="left"/>
      <w:pPr>
        <w:ind w:left="6864" w:hanging="317"/>
      </w:pPr>
      <w:rPr>
        <w:rFonts w:hint="default"/>
      </w:rPr>
    </w:lvl>
    <w:lvl w:ilvl="8">
      <w:start w:val="0"/>
      <w:numFmt w:val="bullet"/>
      <w:lvlText w:val="•"/>
      <w:lvlJc w:val="left"/>
      <w:pPr>
        <w:ind w:left="7691" w:hanging="317"/>
      </w:pPr>
      <w:rPr>
        <w:rFonts w:hint="default"/>
      </w:rPr>
    </w:lvl>
  </w:abstractNum>
  <w:abstractNum w:abstractNumId="3">
    <w:multiLevelType w:val="hybridMultilevel"/>
    <w:lvl w:ilvl="0">
      <w:start w:val="1"/>
      <w:numFmt w:val="decimal"/>
      <w:lvlText w:val="%1."/>
      <w:lvlJc w:val="left"/>
      <w:pPr>
        <w:ind w:left="189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44" w:hanging="317"/>
      </w:pPr>
      <w:rPr>
        <w:rFonts w:hint="default"/>
      </w:rPr>
    </w:lvl>
    <w:lvl w:ilvl="2">
      <w:start w:val="0"/>
      <w:numFmt w:val="bullet"/>
      <w:lvlText w:val="•"/>
      <w:lvlJc w:val="left"/>
      <w:pPr>
        <w:ind w:left="3389" w:hanging="317"/>
      </w:pPr>
      <w:rPr>
        <w:rFonts w:hint="default"/>
      </w:rPr>
    </w:lvl>
    <w:lvl w:ilvl="3">
      <w:start w:val="0"/>
      <w:numFmt w:val="bullet"/>
      <w:lvlText w:val="•"/>
      <w:lvlJc w:val="left"/>
      <w:pPr>
        <w:ind w:left="4133" w:hanging="317"/>
      </w:pPr>
      <w:rPr>
        <w:rFonts w:hint="default"/>
      </w:rPr>
    </w:lvl>
    <w:lvl w:ilvl="4">
      <w:start w:val="0"/>
      <w:numFmt w:val="bullet"/>
      <w:lvlText w:val="•"/>
      <w:lvlJc w:val="left"/>
      <w:pPr>
        <w:ind w:left="4878" w:hanging="317"/>
      </w:pPr>
      <w:rPr>
        <w:rFonts w:hint="default"/>
      </w:rPr>
    </w:lvl>
    <w:lvl w:ilvl="5">
      <w:start w:val="0"/>
      <w:numFmt w:val="bullet"/>
      <w:lvlText w:val="•"/>
      <w:lvlJc w:val="left"/>
      <w:pPr>
        <w:ind w:left="5623" w:hanging="317"/>
      </w:pPr>
      <w:rPr>
        <w:rFonts w:hint="default"/>
      </w:rPr>
    </w:lvl>
    <w:lvl w:ilvl="6">
      <w:start w:val="0"/>
      <w:numFmt w:val="bullet"/>
      <w:lvlText w:val="•"/>
      <w:lvlJc w:val="left"/>
      <w:pPr>
        <w:ind w:left="6367" w:hanging="317"/>
      </w:pPr>
      <w:rPr>
        <w:rFonts w:hint="default"/>
      </w:rPr>
    </w:lvl>
    <w:lvl w:ilvl="7">
      <w:start w:val="0"/>
      <w:numFmt w:val="bullet"/>
      <w:lvlText w:val="•"/>
      <w:lvlJc w:val="left"/>
      <w:pPr>
        <w:ind w:left="7112" w:hanging="317"/>
      </w:pPr>
      <w:rPr>
        <w:rFonts w:hint="default"/>
      </w:rPr>
    </w:lvl>
    <w:lvl w:ilvl="8">
      <w:start w:val="0"/>
      <w:numFmt w:val="bullet"/>
      <w:lvlText w:val="•"/>
      <w:lvlJc w:val="left"/>
      <w:pPr>
        <w:ind w:left="7857" w:hanging="317"/>
      </w:pPr>
      <w:rPr>
        <w:rFonts w:hint="default"/>
      </w:rPr>
    </w:lvl>
  </w:abstractNum>
  <w:abstractNum w:abstractNumId="2">
    <w:multiLevelType w:val="hybridMultilevel"/>
    <w:lvl w:ilvl="0">
      <w:start w:val="2"/>
      <w:numFmt w:val="decimal"/>
      <w:lvlText w:val="%1"/>
      <w:lvlJc w:val="left"/>
      <w:pPr>
        <w:ind w:left="1398" w:hanging="720"/>
        <w:jc w:val="right"/>
      </w:pPr>
      <w:rPr>
        <w:rFonts w:hint="default"/>
      </w:rPr>
    </w:lvl>
    <w:lvl w:ilvl="1">
      <w:start w:val="3"/>
      <w:numFmt w:val="decimal"/>
      <w:lvlText w:val="%1.%2"/>
      <w:lvlJc w:val="left"/>
      <w:pPr>
        <w:ind w:left="1398" w:hanging="720"/>
        <w:jc w:val="right"/>
      </w:pPr>
      <w:rPr>
        <w:rFonts w:hint="default"/>
      </w:rPr>
    </w:lvl>
    <w:lvl w:ilvl="2">
      <w:start w:val="1"/>
      <w:numFmt w:val="decimal"/>
      <w:lvlText w:val="%1.%2.%3"/>
      <w:lvlJc w:val="left"/>
      <w:pPr>
        <w:ind w:left="1398" w:hanging="720"/>
        <w:jc w:val="left"/>
      </w:pPr>
      <w:rPr>
        <w:rFonts w:hint="default" w:ascii="Times New Roman" w:hAnsi="Times New Roman" w:eastAsia="Times New Roman" w:cs="Times New Roman"/>
        <w:b/>
        <w:bCs/>
        <w:w w:val="100"/>
        <w:sz w:val="21"/>
        <w:szCs w:val="21"/>
      </w:rPr>
    </w:lvl>
    <w:lvl w:ilvl="3">
      <w:start w:val="0"/>
      <w:numFmt w:val="bullet"/>
      <w:lvlText w:val="•"/>
      <w:lvlJc w:val="left"/>
      <w:pPr>
        <w:ind w:left="3783" w:hanging="720"/>
      </w:pPr>
      <w:rPr>
        <w:rFonts w:hint="default"/>
      </w:rPr>
    </w:lvl>
    <w:lvl w:ilvl="4">
      <w:start w:val="0"/>
      <w:numFmt w:val="bullet"/>
      <w:lvlText w:val="•"/>
      <w:lvlJc w:val="left"/>
      <w:pPr>
        <w:ind w:left="4578" w:hanging="720"/>
      </w:pPr>
      <w:rPr>
        <w:rFonts w:hint="default"/>
      </w:rPr>
    </w:lvl>
    <w:lvl w:ilvl="5">
      <w:start w:val="0"/>
      <w:numFmt w:val="bullet"/>
      <w:lvlText w:val="•"/>
      <w:lvlJc w:val="left"/>
      <w:pPr>
        <w:ind w:left="5373" w:hanging="720"/>
      </w:pPr>
      <w:rPr>
        <w:rFonts w:hint="default"/>
      </w:rPr>
    </w:lvl>
    <w:lvl w:ilvl="6">
      <w:start w:val="0"/>
      <w:numFmt w:val="bullet"/>
      <w:lvlText w:val="•"/>
      <w:lvlJc w:val="left"/>
      <w:pPr>
        <w:ind w:left="6167" w:hanging="720"/>
      </w:pPr>
      <w:rPr>
        <w:rFonts w:hint="default"/>
      </w:rPr>
    </w:lvl>
    <w:lvl w:ilvl="7">
      <w:start w:val="0"/>
      <w:numFmt w:val="bullet"/>
      <w:lvlText w:val="•"/>
      <w:lvlJc w:val="left"/>
      <w:pPr>
        <w:ind w:left="6962" w:hanging="720"/>
      </w:pPr>
      <w:rPr>
        <w:rFonts w:hint="default"/>
      </w:rPr>
    </w:lvl>
    <w:lvl w:ilvl="8">
      <w:start w:val="0"/>
      <w:numFmt w:val="bullet"/>
      <w:lvlText w:val="•"/>
      <w:lvlJc w:val="left"/>
      <w:pPr>
        <w:ind w:left="7757"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30" w:hanging="317"/>
      </w:pPr>
      <w:rPr>
        <w:rFonts w:hint="default"/>
      </w:rPr>
    </w:lvl>
    <w:lvl w:ilvl="4">
      <w:start w:val="0"/>
      <w:numFmt w:val="bullet"/>
      <w:lvlText w:val="•"/>
      <w:lvlJc w:val="left"/>
      <w:pPr>
        <w:ind w:left="3761" w:hanging="317"/>
      </w:pPr>
      <w:rPr>
        <w:rFonts w:hint="default"/>
      </w:rPr>
    </w:lvl>
    <w:lvl w:ilvl="5">
      <w:start w:val="0"/>
      <w:numFmt w:val="bullet"/>
      <w:lvlText w:val="•"/>
      <w:lvlJc w:val="left"/>
      <w:pPr>
        <w:ind w:left="4692" w:hanging="317"/>
      </w:pPr>
      <w:rPr>
        <w:rFonts w:hint="default"/>
      </w:rPr>
    </w:lvl>
    <w:lvl w:ilvl="6">
      <w:start w:val="0"/>
      <w:numFmt w:val="bullet"/>
      <w:lvlText w:val="•"/>
      <w:lvlJc w:val="left"/>
      <w:pPr>
        <w:ind w:left="5623" w:hanging="317"/>
      </w:pPr>
      <w:rPr>
        <w:rFonts w:hint="default"/>
      </w:rPr>
    </w:lvl>
    <w:lvl w:ilvl="7">
      <w:start w:val="0"/>
      <w:numFmt w:val="bullet"/>
      <w:lvlText w:val="•"/>
      <w:lvlJc w:val="left"/>
      <w:pPr>
        <w:ind w:left="6554" w:hanging="317"/>
      </w:pPr>
      <w:rPr>
        <w:rFonts w:hint="default"/>
      </w:rPr>
    </w:lvl>
    <w:lvl w:ilvl="8">
      <w:start w:val="0"/>
      <w:numFmt w:val="bullet"/>
      <w:lvlText w:val="•"/>
      <w:lvlJc w:val="left"/>
      <w:pPr>
        <w:ind w:left="748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560" w:hanging="420"/>
      </w:pPr>
      <w:rPr>
        <w:rFonts w:hint="default"/>
      </w:rPr>
    </w:lvl>
    <w:lvl w:ilvl="3">
      <w:start w:val="0"/>
      <w:numFmt w:val="bullet"/>
      <w:lvlText w:val="•"/>
      <w:lvlJc w:val="left"/>
      <w:pPr>
        <w:ind w:left="401" w:hanging="420"/>
      </w:pPr>
      <w:rPr>
        <w:rFonts w:hint="default"/>
      </w:rPr>
    </w:lvl>
    <w:lvl w:ilvl="4">
      <w:start w:val="0"/>
      <w:numFmt w:val="bullet"/>
      <w:lvlText w:val="•"/>
      <w:lvlJc w:val="left"/>
      <w:pPr>
        <w:ind w:left="241" w:hanging="420"/>
      </w:pPr>
      <w:rPr>
        <w:rFonts w:hint="default"/>
      </w:rPr>
    </w:lvl>
    <w:lvl w:ilvl="5">
      <w:start w:val="0"/>
      <w:numFmt w:val="bullet"/>
      <w:lvlText w:val="•"/>
      <w:lvlJc w:val="left"/>
      <w:pPr>
        <w:ind w:left="82" w:hanging="420"/>
      </w:pPr>
      <w:rPr>
        <w:rFonts w:hint="default"/>
      </w:rPr>
    </w:lvl>
    <w:lvl w:ilvl="6">
      <w:start w:val="0"/>
      <w:numFmt w:val="bullet"/>
      <w:lvlText w:val="•"/>
      <w:lvlJc w:val="left"/>
      <w:pPr>
        <w:ind w:left="-77" w:hanging="420"/>
      </w:pPr>
      <w:rPr>
        <w:rFonts w:hint="default"/>
      </w:rPr>
    </w:lvl>
    <w:lvl w:ilvl="7">
      <w:start w:val="0"/>
      <w:numFmt w:val="bullet"/>
      <w:lvlText w:val="•"/>
      <w:lvlJc w:val="left"/>
      <w:pPr>
        <w:ind w:left="-237" w:hanging="420"/>
      </w:pPr>
      <w:rPr>
        <w:rFonts w:hint="default"/>
      </w:rPr>
    </w:lvl>
    <w:lvl w:ilvl="8">
      <w:start w:val="0"/>
      <w:numFmt w:val="bullet"/>
      <w:lvlText w:val="•"/>
      <w:lvlJc w:val="left"/>
      <w:pPr>
        <w:ind w:left="-396"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108" w:hanging="3207"/>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998" w:hanging="576"/>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716" w:hanging="57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2018-10-20T05:07:34Z</dcterms:created>
  <dcterms:modified xsi:type="dcterms:W3CDTF">2018-10-20T05:07:34Z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2015-06-24T00:00:00Z</vt:filetime>
  </property>
  <property fmtid="{D5CDD505-2E9C-101B-9397-08002B2CF9AE}" pid="3" name="Creator">
    <vt:lpwstr>Microsoft® Office Word 2007</vt:lpwstr>
  </property>
  <property fmtid="{D5CDD505-2E9C-101B-9397-08002B2CF9AE}" pid="4" name="LastSaved">
    <vt:filetime>2018-10-19T00:00:00Z</vt:filetime>
  </property>
</Properties>
</file>