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7"/>
        </w:rPr>
      </w:pPr>
    </w:p>
    <w:p>
      <w:pPr>
        <w:pStyle w:val="Heading1"/>
        <w:spacing w:before="3"/>
      </w:pPr>
      <w:r>
        <w:rPr/>
        <w:pict>
          <v:group style="position:absolute;margin-left:465.375pt;margin-top:-44.842522pt;width:101.5pt;height:92.65pt;mso-position-horizontal-relative:page;mso-position-vertical-relative:paragraph;z-index:1072" coordorigin="9308,-897" coordsize="2030,1853">
            <v:shape style="position:absolute;left:9809;top:-897;width:1140;height:1140" type="#_x0000_t75" stroked="false">
              <v:imagedata r:id="rId5" o:title=""/>
            </v:shape>
            <v:shapetype id="_x0000_t202" o:spt="202" coordsize="21600,21600" path="m,l,21600r21600,l21600,xe">
              <v:stroke joinstyle="miter"/>
              <v:path gradientshapeok="t" o:connecttype="rect"/>
            </v:shapetype>
            <v:shape style="position:absolute;left:9315;top:243;width:2015;height:705" type="#_x0000_t202" filled="false" stroked="true" strokeweight=".75pt" strokecolor="#c9eacc">
              <v:textbox inset="0,0,0,0">
                <w:txbxContent>
                  <w:p>
                    <w:pPr>
                      <w:spacing w:line="408" w:lineRule="auto" w:before="116"/>
                      <w:ind w:left="146" w:right="85" w:firstLine="0"/>
                      <w:jc w:val="left"/>
                      <w:rPr>
                        <w:sz w:val="14"/>
                      </w:rPr>
                    </w:pPr>
                    <w:r>
                      <w:rPr>
                        <w:sz w:val="14"/>
                      </w:rPr>
                      <w:t>安邦养老[2016]疾病保险 46 </w:t>
                    </w:r>
                    <w:r>
                      <w:rPr>
                        <w:w w:val="95"/>
                        <w:sz w:val="14"/>
                      </w:rPr>
                      <w:t>号，请扫描以查询验证条款</w:t>
                    </w:r>
                  </w:p>
                </w:txbxContent>
              </v:textbox>
              <v:stroke dashstyle="solid"/>
              <w10:wrap type="none"/>
            </v:shape>
            <w10:wrap type="none"/>
          </v:group>
        </w:pict>
      </w:r>
      <w:r>
        <w:rPr/>
        <w:t>安邦养老 e 家安康团体重大疾病保险条款</w:t>
      </w:r>
      <w:r>
        <w:rPr>
          <w:w w:val="99"/>
        </w:rPr>
        <w:t> </w:t>
      </w:r>
    </w:p>
    <w:p>
      <w:pPr>
        <w:spacing w:before="146"/>
        <w:ind w:left="4321" w:right="0" w:firstLine="0"/>
        <w:jc w:val="left"/>
        <w:rPr>
          <w:b/>
          <w:sz w:val="28"/>
        </w:rPr>
      </w:pPr>
      <w:r>
        <w:rPr>
          <w:b/>
          <w:spacing w:val="-197"/>
          <w:sz w:val="28"/>
        </w:rPr>
        <w:t>阅</w:t>
      </w:r>
      <w:r>
        <w:rPr>
          <w:spacing w:val="-77"/>
          <w:position w:val="-10"/>
          <w:sz w:val="28"/>
        </w:rPr>
        <w:t>．</w:t>
      </w:r>
      <w:r>
        <w:rPr>
          <w:spacing w:val="-77"/>
          <w:sz w:val="28"/>
        </w:rPr>
        <w:t>  </w:t>
      </w:r>
      <w:r>
        <w:rPr>
          <w:b/>
          <w:spacing w:val="-197"/>
          <w:sz w:val="28"/>
        </w:rPr>
        <w:t>读</w:t>
      </w:r>
      <w:r>
        <w:rPr>
          <w:spacing w:val="-77"/>
          <w:position w:val="-10"/>
          <w:sz w:val="28"/>
        </w:rPr>
        <w:t>．</w:t>
      </w:r>
      <w:r>
        <w:rPr>
          <w:spacing w:val="-77"/>
          <w:sz w:val="28"/>
        </w:rPr>
        <w:t>  </w:t>
      </w:r>
      <w:r>
        <w:rPr>
          <w:b/>
          <w:spacing w:val="-197"/>
          <w:sz w:val="28"/>
        </w:rPr>
        <w:t>指</w:t>
      </w:r>
      <w:r>
        <w:rPr>
          <w:spacing w:val="-82"/>
          <w:position w:val="-10"/>
          <w:sz w:val="28"/>
        </w:rPr>
        <w:t>．</w:t>
      </w:r>
      <w:r>
        <w:rPr>
          <w:spacing w:val="-64"/>
          <w:sz w:val="28"/>
        </w:rPr>
        <w:t>  </w:t>
      </w:r>
      <w:r>
        <w:rPr>
          <w:b/>
          <w:spacing w:val="-197"/>
          <w:sz w:val="28"/>
        </w:rPr>
        <w:t>引</w:t>
      </w:r>
      <w:r>
        <w:rPr>
          <w:spacing w:val="-82"/>
          <w:position w:val="-10"/>
          <w:sz w:val="28"/>
        </w:rPr>
        <w:t>．</w:t>
      </w:r>
      <w:r>
        <w:rPr>
          <w:b/>
          <w:w w:val="98"/>
          <w:sz w:val="28"/>
        </w:rPr>
        <w:t> </w:t>
      </w:r>
    </w:p>
    <w:p>
      <w:pPr>
        <w:pStyle w:val="BodyText"/>
        <w:spacing w:line="261" w:lineRule="auto" w:before="143"/>
        <w:ind w:left="935" w:right="1267"/>
      </w:pPr>
      <w:r>
        <w:rPr/>
        <w:drawing>
          <wp:anchor distT="0" distB="0" distL="0" distR="0" allowOverlap="1" layoutInCell="1" locked="0" behindDoc="1" simplePos="0" relativeHeight="268380383">
            <wp:simplePos x="0" y="0"/>
            <wp:positionH relativeFrom="page">
              <wp:posOffset>609904</wp:posOffset>
            </wp:positionH>
            <wp:positionV relativeFrom="paragraph">
              <wp:posOffset>578785</wp:posOffset>
            </wp:positionV>
            <wp:extent cx="6339281" cy="7487996"/>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6339281" cy="748799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8"/>
          <w:w w:val="100"/>
        </w:rPr>
        <w:t>于</w:t>
      </w:r>
      <w:r>
        <w:rPr>
          <w:spacing w:val="-63"/>
          <w:w w:val="100"/>
          <w:position w:val="-7"/>
        </w:rPr>
        <w:t>．</w:t>
      </w:r>
      <w:r>
        <w:rPr>
          <w:spacing w:val="-154"/>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49"/>
          <w:w w:val="100"/>
        </w:rPr>
        <w:t>理</w:t>
      </w:r>
      <w:r>
        <w:rPr>
          <w:spacing w:val="-63"/>
          <w:w w:val="100"/>
          <w:position w:val="-7"/>
        </w:rPr>
        <w:t>．</w:t>
      </w:r>
      <w:r>
        <w:rPr>
          <w:spacing w:val="-154"/>
          <w:w w:val="100"/>
        </w:rPr>
        <w:t>解</w:t>
      </w:r>
      <w:r>
        <w:rPr>
          <w:spacing w:val="-63"/>
          <w:w w:val="100"/>
          <w:position w:val="-7"/>
        </w:rPr>
        <w:t>．</w:t>
      </w:r>
      <w:r>
        <w:rPr>
          <w:spacing w:val="-149"/>
          <w:w w:val="100"/>
        </w:rPr>
        <w:t>条</w:t>
      </w:r>
      <w:r>
        <w:rPr>
          <w:spacing w:val="-64"/>
          <w:w w:val="100"/>
          <w:position w:val="-7"/>
        </w:rPr>
        <w:t>．</w:t>
      </w:r>
      <w:r>
        <w:rPr>
          <w:spacing w:val="-153"/>
          <w:w w:val="100"/>
        </w:rPr>
        <w:t>款</w:t>
      </w:r>
      <w:r>
        <w:rPr>
          <w:spacing w:val="-64"/>
          <w:w w:val="100"/>
          <w:position w:val="-7"/>
        </w:rPr>
        <w:t>．</w:t>
      </w:r>
      <w:r>
        <w:rPr>
          <w:spacing w:val="-182"/>
          <w:w w:val="100"/>
        </w:rPr>
        <w:t>，</w:t>
      </w:r>
      <w:r>
        <w:rPr>
          <w:spacing w:val="-92"/>
          <w:w w:val="100"/>
          <w:position w:val="-7"/>
        </w:rPr>
        <w:t>．</w:t>
      </w:r>
      <w:r>
        <w:rPr>
          <w:spacing w:val="-149"/>
          <w:w w:val="100"/>
        </w:rPr>
        <w:t>对</w:t>
      </w:r>
      <w:r>
        <w:rPr>
          <w:spacing w:val="-64"/>
          <w:w w:val="100"/>
          <w:position w:val="-7"/>
        </w:rPr>
        <w:t>．</w:t>
      </w:r>
      <w:r>
        <w:rPr>
          <w:spacing w:val="-149"/>
          <w:w w:val="100"/>
        </w:rPr>
        <w:t>本</w:t>
      </w:r>
      <w:r>
        <w:rPr>
          <w:spacing w:val="-63"/>
          <w:w w:val="100"/>
          <w:position w:val="-7"/>
        </w:rPr>
        <w:t>．</w:t>
      </w:r>
      <w:r>
        <w:rPr>
          <w:spacing w:val="-154"/>
          <w:w w:val="100"/>
        </w:rPr>
        <w:t>主</w:t>
      </w:r>
      <w:r>
        <w:rPr>
          <w:spacing w:val="-63"/>
          <w:w w:val="100"/>
          <w:position w:val="-7"/>
        </w:rPr>
        <w:t>．</w:t>
      </w:r>
      <w:r>
        <w:rPr>
          <w:spacing w:val="-149"/>
          <w:w w:val="100"/>
        </w:rPr>
        <w:t>险</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54"/>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为</w:t>
      </w:r>
      <w:r>
        <w:rPr>
          <w:spacing w:val="-63"/>
          <w:w w:val="100"/>
          <w:position w:val="-7"/>
        </w:rPr>
        <w:t>．</w:t>
      </w:r>
      <w:r>
        <w:rPr>
          <w:spacing w:val="-153"/>
          <w:w w:val="100"/>
        </w:rPr>
        <w:t>准</w:t>
      </w:r>
      <w:r>
        <w:rPr>
          <w:spacing w:val="-63"/>
          <w:w w:val="100"/>
          <w:position w:val="-7"/>
        </w:rPr>
        <w:t>．</w:t>
      </w:r>
      <w:r>
        <w:rPr>
          <w:spacing w:val="-183"/>
          <w:w w:val="100"/>
        </w:rPr>
        <w:t>。</w:t>
      </w:r>
      <w:r>
        <w:rPr>
          <w:spacing w:val="-92"/>
          <w:w w:val="100"/>
          <w:position w:val="-7"/>
        </w:rPr>
        <w:t>．</w:t>
      </w:r>
      <w:r>
        <w:rPr>
          <w:spacing w:val="-149"/>
          <w:w w:val="100"/>
        </w:rPr>
        <w:t>在</w:t>
      </w:r>
      <w:r>
        <w:rPr>
          <w:spacing w:val="-63"/>
          <w:w w:val="100"/>
          <w:position w:val="-7"/>
        </w:rPr>
        <w:t>．</w:t>
      </w:r>
      <w:r>
        <w:rPr>
          <w:spacing w:val="-154"/>
          <w:w w:val="100"/>
        </w:rPr>
        <w:t>本</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中</w:t>
      </w:r>
      <w:r>
        <w:rPr>
          <w:spacing w:val="-63"/>
          <w:w w:val="100"/>
          <w:position w:val="-7"/>
        </w:rPr>
        <w:t>．</w:t>
      </w:r>
      <w:r>
        <w:rPr>
          <w:spacing w:val="-207"/>
          <w:w w:val="100"/>
        </w:rPr>
        <w:t>，</w:t>
      </w:r>
      <w:r>
        <w:rPr>
          <w:spacing w:val="-178"/>
          <w:w w:val="100"/>
          <w:position w:val="-7"/>
        </w:rPr>
        <w:t>．</w:t>
      </w:r>
      <w:r>
        <w:rPr>
          <w:spacing w:val="-120"/>
          <w:w w:val="100"/>
        </w:rPr>
        <w:t>“</w:t>
      </w:r>
      <w:r>
        <w:rPr>
          <w:spacing w:val="-92"/>
          <w:w w:val="100"/>
          <w:position w:val="-7"/>
        </w:rPr>
        <w:t>．</w:t>
      </w:r>
      <w:r>
        <w:rPr>
          <w:spacing w:val="-154"/>
          <w:w w:val="100"/>
        </w:rPr>
        <w:t>本</w:t>
      </w:r>
      <w:r>
        <w:rPr>
          <w:w w:val="100"/>
          <w:position w:val="-7"/>
        </w:rPr>
        <w:t>．</w:t>
      </w:r>
      <w:r>
        <w:rPr>
          <w:spacing w:val="-149"/>
          <w:w w:val="100"/>
        </w:rPr>
        <w:t>公</w:t>
      </w:r>
      <w:r>
        <w:rPr>
          <w:spacing w:val="-63"/>
          <w:w w:val="100"/>
          <w:position w:val="-7"/>
        </w:rPr>
        <w:t>．</w:t>
      </w:r>
      <w:r>
        <w:rPr>
          <w:spacing w:val="-149"/>
          <w:w w:val="100"/>
        </w:rPr>
        <w:t>司</w:t>
      </w:r>
      <w:r>
        <w:rPr>
          <w:spacing w:val="-63"/>
          <w:w w:val="100"/>
          <w:position w:val="-7"/>
        </w:rPr>
        <w:t>．</w:t>
      </w:r>
      <w:r>
        <w:rPr>
          <w:spacing w:val="-149"/>
          <w:w w:val="100"/>
        </w:rPr>
        <w:t>”</w:t>
      </w:r>
      <w:r>
        <w:rPr>
          <w:spacing w:val="-63"/>
          <w:w w:val="100"/>
          <w:position w:val="-7"/>
        </w:rPr>
        <w:t>．</w:t>
      </w:r>
      <w:r>
        <w:rPr>
          <w:spacing w:val="-149"/>
          <w:w w:val="100"/>
        </w:rPr>
        <w:t>指</w:t>
      </w:r>
      <w:r>
        <w:rPr>
          <w:spacing w:val="-63"/>
          <w:w w:val="100"/>
          <w:position w:val="-7"/>
        </w:rPr>
        <w:t>．</w:t>
      </w:r>
      <w:r>
        <w:rPr>
          <w:spacing w:val="-154"/>
          <w:w w:val="100"/>
        </w:rPr>
        <w:t>安</w:t>
      </w:r>
      <w:r>
        <w:rPr>
          <w:spacing w:val="-63"/>
          <w:w w:val="100"/>
          <w:position w:val="-7"/>
        </w:rPr>
        <w:t>．</w:t>
      </w:r>
      <w:r>
        <w:rPr>
          <w:spacing w:val="-149"/>
          <w:w w:val="100"/>
        </w:rPr>
        <w:t>邦</w:t>
      </w:r>
      <w:r>
        <w:rPr>
          <w:spacing w:val="-63"/>
          <w:w w:val="100"/>
          <w:position w:val="-7"/>
        </w:rPr>
        <w:t>．</w:t>
      </w:r>
      <w:r>
        <w:rPr>
          <w:spacing w:val="-149"/>
          <w:w w:val="100"/>
        </w:rPr>
        <w:t>养</w:t>
      </w:r>
      <w:r>
        <w:rPr>
          <w:spacing w:val="-63"/>
          <w:w w:val="100"/>
          <w:position w:val="-7"/>
        </w:rPr>
        <w:t>．</w:t>
      </w:r>
      <w:r>
        <w:rPr>
          <w:spacing w:val="-149"/>
          <w:w w:val="100"/>
        </w:rPr>
        <w:t>老</w:t>
      </w:r>
      <w:r>
        <w:rPr>
          <w:spacing w:val="-63"/>
          <w:w w:val="100"/>
          <w:position w:val="-7"/>
        </w:rPr>
        <w:t>．</w:t>
      </w:r>
      <w:r>
        <w:rPr>
          <w:spacing w:val="-154"/>
          <w:w w:val="100"/>
        </w:rPr>
        <w:t>保</w:t>
      </w:r>
      <w:r>
        <w:rPr>
          <w:spacing w:val="-63"/>
          <w:w w:val="100"/>
          <w:position w:val="-7"/>
        </w:rPr>
        <w:t>．</w:t>
      </w:r>
      <w:r>
        <w:rPr>
          <w:spacing w:val="-149"/>
          <w:w w:val="100"/>
        </w:rPr>
        <w:t>险</w:t>
      </w:r>
      <w:r>
        <w:rPr>
          <w:spacing w:val="-63"/>
          <w:w w:val="100"/>
          <w:position w:val="-7"/>
        </w:rPr>
        <w:t>．</w:t>
      </w:r>
      <w:r>
        <w:rPr>
          <w:spacing w:val="-149"/>
          <w:w w:val="100"/>
        </w:rPr>
        <w:t>股</w:t>
      </w:r>
      <w:r>
        <w:rPr>
          <w:spacing w:val="-63"/>
          <w:w w:val="100"/>
          <w:position w:val="-7"/>
        </w:rPr>
        <w:t>．</w:t>
      </w:r>
      <w:r>
        <w:rPr>
          <w:spacing w:val="-149"/>
          <w:w w:val="100"/>
        </w:rPr>
        <w:t>份</w:t>
      </w:r>
      <w:r>
        <w:rPr>
          <w:spacing w:val="-63"/>
          <w:w w:val="100"/>
          <w:position w:val="-7"/>
        </w:rPr>
        <w:t>．</w:t>
      </w:r>
      <w:r>
        <w:rPr>
          <w:spacing w:val="-154"/>
          <w:w w:val="100"/>
        </w:rPr>
        <w:t>有</w:t>
      </w:r>
      <w:r>
        <w:rPr>
          <w:spacing w:val="-63"/>
          <w:w w:val="100"/>
          <w:position w:val="-7"/>
        </w:rPr>
        <w:t>．</w:t>
      </w:r>
      <w:r>
        <w:rPr>
          <w:spacing w:val="-149"/>
          <w:w w:val="100"/>
        </w:rPr>
        <w:t>限</w:t>
      </w:r>
      <w:r>
        <w:rPr>
          <w:spacing w:val="-64"/>
          <w:w w:val="100"/>
          <w:position w:val="-7"/>
        </w:rPr>
        <w:t>．</w:t>
      </w:r>
      <w:r>
        <w:rPr>
          <w:spacing w:val="-149"/>
          <w:w w:val="100"/>
        </w:rPr>
        <w:t>公</w:t>
      </w:r>
      <w:r>
        <w:rPr>
          <w:spacing w:val="-64"/>
          <w:w w:val="100"/>
          <w:position w:val="-7"/>
        </w:rPr>
        <w:t>．</w:t>
      </w:r>
      <w:r>
        <w:rPr>
          <w:spacing w:val="-149"/>
          <w:w w:val="100"/>
        </w:rPr>
        <w:t>司</w:t>
      </w:r>
      <w:r>
        <w:rPr>
          <w:spacing w:val="-64"/>
          <w:w w:val="100"/>
          <w:position w:val="-7"/>
        </w:rPr>
        <w:t>．</w:t>
      </w:r>
      <w:r>
        <w:rPr>
          <w:spacing w:val="-153"/>
          <w:w w:val="100"/>
        </w:rPr>
        <w:t>。</w:t>
      </w:r>
      <w:r>
        <w:rPr>
          <w:spacing w:val="-63"/>
          <w:w w:val="100"/>
          <w:position w:val="-7"/>
        </w:rPr>
        <w:t>．</w:t>
      </w:r>
      <w:r>
        <w:rPr>
          <w:w w:val="100"/>
        </w:rPr>
        <w:t> </w:t>
      </w:r>
    </w:p>
    <w:p>
      <w:pPr>
        <w:tabs>
          <w:tab w:pos="1248" w:val="left" w:leader="none"/>
        </w:tabs>
        <w:spacing w:before="58"/>
        <w:ind w:left="239" w:right="0" w:firstLine="0"/>
        <w:jc w:val="left"/>
        <w:rPr>
          <w:b/>
          <w:sz w:val="21"/>
        </w:rPr>
      </w:pPr>
      <w:r>
        <w:rPr>
          <w:rFonts w:ascii="Arial" w:hAnsi="Arial" w:eastAsia="Arial"/>
          <w:b/>
          <w:w w:val="105"/>
          <w:position w:val="-11"/>
          <w:sz w:val="52"/>
        </w:rPr>
        <w:t></w:t>
        <w:tab/>
      </w:r>
      <w:r>
        <w:rPr>
          <w:b/>
          <w:spacing w:val="-1"/>
          <w:sz w:val="21"/>
        </w:rPr>
        <w:t>投保人拥有的重要权益</w:t>
      </w:r>
      <w:r>
        <w:rPr>
          <w:b/>
          <w:w w:val="99"/>
          <w:sz w:val="21"/>
        </w:rPr>
        <w:t> </w:t>
      </w:r>
    </w:p>
    <w:p>
      <w:pPr>
        <w:pStyle w:val="ListParagraph"/>
        <w:numPr>
          <w:ilvl w:val="0"/>
          <w:numId w:val="1"/>
        </w:numPr>
        <w:tabs>
          <w:tab w:pos="1063" w:val="left" w:leader="none"/>
        </w:tabs>
        <w:spacing w:line="240" w:lineRule="auto" w:before="57" w:after="0"/>
        <w:ind w:left="1062" w:right="0" w:hanging="189"/>
        <w:jc w:val="left"/>
        <w:rPr>
          <w:sz w:val="21"/>
        </w:rPr>
      </w:pPr>
      <w:r>
        <w:rPr>
          <w:spacing w:val="-3"/>
          <w:sz w:val="21"/>
        </w:rPr>
        <w:t>投保人有退保的权利.............................................................</w:t>
      </w:r>
      <w:r>
        <w:rPr>
          <w:spacing w:val="-1"/>
          <w:sz w:val="21"/>
        </w:rPr>
        <w:t>1.4</w:t>
      </w:r>
      <w:r>
        <w:rPr>
          <w:sz w:val="21"/>
        </w:rPr>
        <w:t> </w:t>
      </w:r>
    </w:p>
    <w:p>
      <w:pPr>
        <w:pStyle w:val="ListParagraph"/>
        <w:numPr>
          <w:ilvl w:val="0"/>
          <w:numId w:val="1"/>
        </w:numPr>
        <w:tabs>
          <w:tab w:pos="1058" w:val="left" w:leader="none"/>
        </w:tabs>
        <w:spacing w:line="240" w:lineRule="auto" w:before="85" w:after="0"/>
        <w:ind w:left="1057" w:right="0" w:hanging="189"/>
        <w:jc w:val="left"/>
        <w:rPr>
          <w:sz w:val="21"/>
        </w:rPr>
      </w:pPr>
      <w:r>
        <w:rPr>
          <w:spacing w:val="-4"/>
          <w:sz w:val="21"/>
        </w:rPr>
        <w:t>本主险合同提供的保障在保险责任条款中列明......................................</w:t>
      </w:r>
      <w:r>
        <w:rPr>
          <w:spacing w:val="-1"/>
          <w:sz w:val="21"/>
        </w:rPr>
        <w:t>.2.3</w:t>
      </w:r>
      <w:r>
        <w:rPr>
          <w:sz w:val="21"/>
        </w:rPr>
        <w:t> </w:t>
      </w:r>
    </w:p>
    <w:p>
      <w:pPr>
        <w:tabs>
          <w:tab w:pos="1248" w:val="left" w:leader="none"/>
        </w:tabs>
        <w:spacing w:before="53"/>
        <w:ind w:left="239" w:right="0" w:firstLine="0"/>
        <w:jc w:val="left"/>
        <w:rPr>
          <w:b/>
          <w:sz w:val="21"/>
        </w:rPr>
      </w:pPr>
      <w:r>
        <w:rPr>
          <w:rFonts w:ascii="Arial" w:hAnsi="Arial" w:eastAsia="Arial"/>
          <w:b/>
          <w:w w:val="105"/>
          <w:position w:val="-11"/>
          <w:sz w:val="52"/>
        </w:rPr>
        <w:t></w:t>
        <w:tab/>
      </w:r>
      <w:r>
        <w:rPr>
          <w:b/>
          <w:spacing w:val="-1"/>
          <w:sz w:val="21"/>
        </w:rPr>
        <w:t>投保人应当特别注意的事项</w:t>
      </w:r>
      <w:r>
        <w:rPr>
          <w:b/>
          <w:w w:val="99"/>
          <w:sz w:val="21"/>
        </w:rPr>
        <w:t> </w:t>
      </w:r>
    </w:p>
    <w:p>
      <w:pPr>
        <w:pStyle w:val="ListParagraph"/>
        <w:numPr>
          <w:ilvl w:val="0"/>
          <w:numId w:val="1"/>
        </w:numPr>
        <w:tabs>
          <w:tab w:pos="1262" w:val="left" w:leader="none"/>
          <w:tab w:pos="1263" w:val="left" w:leader="none"/>
        </w:tabs>
        <w:spacing w:line="240" w:lineRule="auto" w:before="56" w:after="0"/>
        <w:ind w:left="1262" w:right="0" w:hanging="394"/>
        <w:jc w:val="left"/>
        <w:rPr>
          <w:sz w:val="21"/>
        </w:rPr>
      </w:pPr>
      <w:r>
        <w:rPr>
          <w:spacing w:val="-4"/>
          <w:sz w:val="21"/>
        </w:rPr>
        <w:t>退保会给投保人造成一定的损失，请投保人慎重决策...........................</w:t>
      </w:r>
      <w:r>
        <w:rPr>
          <w:spacing w:val="-1"/>
          <w:sz w:val="21"/>
        </w:rPr>
        <w:t>......1.4</w:t>
      </w:r>
      <w:r>
        <w:rPr>
          <w:sz w:val="21"/>
        </w:rPr>
        <w:t> </w:t>
      </w:r>
    </w:p>
    <w:p>
      <w:pPr>
        <w:pStyle w:val="ListParagraph"/>
        <w:numPr>
          <w:ilvl w:val="0"/>
          <w:numId w:val="1"/>
        </w:numPr>
        <w:tabs>
          <w:tab w:pos="1262" w:val="left" w:leader="none"/>
          <w:tab w:pos="1263" w:val="left" w:leader="none"/>
        </w:tabs>
        <w:spacing w:line="240" w:lineRule="auto" w:before="84" w:after="0"/>
        <w:ind w:left="1262" w:right="0" w:hanging="394"/>
        <w:jc w:val="left"/>
        <w:rPr>
          <w:sz w:val="21"/>
        </w:rPr>
      </w:pPr>
      <w:r>
        <w:rPr>
          <w:spacing w:val="-9"/>
          <w:sz w:val="21"/>
        </w:rPr>
        <w:t>本主险合同有 </w:t>
      </w:r>
      <w:r>
        <w:rPr>
          <w:sz w:val="21"/>
        </w:rPr>
        <w:t>45</w:t>
      </w:r>
      <w:r>
        <w:rPr>
          <w:spacing w:val="-4"/>
          <w:sz w:val="21"/>
        </w:rPr>
        <w:t> 日的等待期............................................ ... </w:t>
      </w:r>
      <w:r>
        <w:rPr>
          <w:sz w:val="21"/>
        </w:rPr>
        <w:t>.....2.3 </w:t>
      </w:r>
    </w:p>
    <w:p>
      <w:pPr>
        <w:pStyle w:val="ListParagraph"/>
        <w:numPr>
          <w:ilvl w:val="0"/>
          <w:numId w:val="1"/>
        </w:numPr>
        <w:tabs>
          <w:tab w:pos="1058" w:val="left" w:leader="none"/>
        </w:tabs>
        <w:spacing w:line="240" w:lineRule="auto" w:before="85" w:after="0"/>
        <w:ind w:left="1057" w:right="0" w:hanging="189"/>
        <w:jc w:val="left"/>
        <w:rPr>
          <w:sz w:val="21"/>
        </w:rPr>
      </w:pPr>
      <w:r>
        <w:rPr>
          <w:spacing w:val="-4"/>
          <w:sz w:val="21"/>
        </w:rPr>
        <w:t>在某些情况下，本公司不承担保险责任............................................</w:t>
      </w:r>
      <w:r>
        <w:rPr>
          <w:spacing w:val="-1"/>
          <w:sz w:val="21"/>
        </w:rPr>
        <w:t>.2.4</w:t>
      </w:r>
      <w:r>
        <w:rPr>
          <w:sz w:val="21"/>
        </w:rPr>
        <w:t> </w:t>
      </w:r>
    </w:p>
    <w:p>
      <w:pPr>
        <w:pStyle w:val="ListParagraph"/>
        <w:numPr>
          <w:ilvl w:val="0"/>
          <w:numId w:val="1"/>
        </w:numPr>
        <w:tabs>
          <w:tab w:pos="1063" w:val="left" w:leader="none"/>
        </w:tabs>
        <w:spacing w:line="240" w:lineRule="auto" w:before="84" w:after="0"/>
        <w:ind w:left="1062" w:right="0" w:hanging="189"/>
        <w:jc w:val="left"/>
        <w:rPr>
          <w:sz w:val="21"/>
        </w:rPr>
      </w:pPr>
      <w:r>
        <w:rPr>
          <w:spacing w:val="-4"/>
          <w:sz w:val="21"/>
        </w:rPr>
        <w:t>保险事故发生后请投保人及时通知本公司...........................................</w:t>
      </w:r>
      <w:r>
        <w:rPr>
          <w:spacing w:val="-1"/>
          <w:sz w:val="21"/>
        </w:rPr>
        <w:t>4.2</w:t>
      </w:r>
      <w:r>
        <w:rPr>
          <w:sz w:val="21"/>
        </w:rPr>
        <w:t> </w:t>
      </w:r>
    </w:p>
    <w:p>
      <w:pPr>
        <w:pStyle w:val="ListParagraph"/>
        <w:numPr>
          <w:ilvl w:val="0"/>
          <w:numId w:val="1"/>
        </w:numPr>
        <w:tabs>
          <w:tab w:pos="1063" w:val="left" w:leader="none"/>
        </w:tabs>
        <w:spacing w:line="240" w:lineRule="auto" w:before="84" w:after="0"/>
        <w:ind w:left="1062" w:right="0" w:hanging="189"/>
        <w:jc w:val="left"/>
        <w:rPr>
          <w:sz w:val="21"/>
        </w:rPr>
      </w:pPr>
      <w:r>
        <w:rPr>
          <w:spacing w:val="-4"/>
          <w:sz w:val="21"/>
        </w:rPr>
        <w:t>投保人有如实告知的义务.........................................................</w:t>
      </w:r>
      <w:r>
        <w:rPr>
          <w:spacing w:val="-1"/>
          <w:sz w:val="21"/>
        </w:rPr>
        <w:t>5.1</w:t>
      </w:r>
      <w:r>
        <w:rPr>
          <w:sz w:val="21"/>
        </w:rPr>
        <w:t> </w:t>
      </w:r>
    </w:p>
    <w:p>
      <w:pPr>
        <w:pStyle w:val="ListParagraph"/>
        <w:numPr>
          <w:ilvl w:val="0"/>
          <w:numId w:val="1"/>
        </w:numPr>
        <w:tabs>
          <w:tab w:pos="1063" w:val="left" w:leader="none"/>
        </w:tabs>
        <w:spacing w:line="240" w:lineRule="auto" w:before="84" w:after="0"/>
        <w:ind w:left="1062" w:right="0" w:hanging="189"/>
        <w:jc w:val="left"/>
        <w:rPr>
          <w:sz w:val="21"/>
        </w:rPr>
      </w:pPr>
      <w:r>
        <w:rPr>
          <w:spacing w:val="-5"/>
          <w:sz w:val="21"/>
        </w:rPr>
        <w:t>本公司对一些重要术语进行了解释，并作了显著标识，请投保人注意...................</w:t>
      </w:r>
      <w:r>
        <w:rPr>
          <w:sz w:val="21"/>
        </w:rPr>
        <w:t>6 </w:t>
      </w:r>
    </w:p>
    <w:p>
      <w:pPr>
        <w:tabs>
          <w:tab w:pos="1248" w:val="left" w:leader="none"/>
        </w:tabs>
        <w:spacing w:before="53"/>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条款是保险合同的重要内容，为充分保障投保人的权益，请投保人仔细阅读本条款。</w:t>
      </w:r>
      <w:r>
        <w:rPr>
          <w:b/>
          <w:w w:val="99"/>
          <w:sz w:val="21"/>
        </w:rPr>
        <w:t> </w:t>
      </w:r>
    </w:p>
    <w:p>
      <w:pPr>
        <w:tabs>
          <w:tab w:pos="1248"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r>
        <w:rPr>
          <w:b/>
          <w:w w:val="99"/>
          <w:sz w:val="21"/>
        </w:rPr>
        <w:t> </w:t>
      </w:r>
    </w:p>
    <w:p>
      <w:pPr>
        <w:pStyle w:val="BodyText"/>
        <w:spacing w:before="1"/>
        <w:rPr>
          <w:b/>
          <w:sz w:val="8"/>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6"/>
        <w:gridCol w:w="3330"/>
        <w:gridCol w:w="3426"/>
      </w:tblGrid>
      <w:tr>
        <w:trPr>
          <w:trHeight w:val="6044" w:hRule="atLeast"/>
        </w:trPr>
        <w:tc>
          <w:tcPr>
            <w:tcW w:w="3246" w:type="dxa"/>
          </w:tcPr>
          <w:p>
            <w:pPr>
              <w:pStyle w:val="TableParagraph"/>
              <w:spacing w:line="211" w:lineRule="exact"/>
              <w:rPr>
                <w:b/>
                <w:sz w:val="21"/>
              </w:rPr>
            </w:pPr>
            <w:r>
              <w:rPr>
                <w:b/>
                <w:sz w:val="21"/>
              </w:rPr>
              <w:t>1. 投保人与本公司的合同</w:t>
            </w:r>
            <w:r>
              <w:rPr>
                <w:b/>
                <w:w w:val="99"/>
                <w:sz w:val="21"/>
              </w:rPr>
              <w:t> </w:t>
            </w:r>
          </w:p>
          <w:p>
            <w:pPr>
              <w:pStyle w:val="TableParagraph"/>
              <w:numPr>
                <w:ilvl w:val="1"/>
                <w:numId w:val="2"/>
              </w:numPr>
              <w:tabs>
                <w:tab w:pos="624" w:val="left" w:leader="none"/>
              </w:tabs>
              <w:spacing w:line="240" w:lineRule="auto" w:before="66" w:after="0"/>
              <w:ind w:left="723" w:right="0" w:hanging="418"/>
              <w:jc w:val="left"/>
              <w:rPr>
                <w:sz w:val="21"/>
              </w:rPr>
            </w:pPr>
            <w:r>
              <w:rPr>
                <w:spacing w:val="-3"/>
                <w:sz w:val="21"/>
              </w:rPr>
              <w:t>合同构成</w:t>
            </w:r>
            <w:r>
              <w:rPr>
                <w:sz w:val="21"/>
              </w:rPr>
              <w:t> </w:t>
            </w:r>
          </w:p>
          <w:p>
            <w:pPr>
              <w:pStyle w:val="TableParagraph"/>
              <w:numPr>
                <w:ilvl w:val="1"/>
                <w:numId w:val="2"/>
              </w:numPr>
              <w:tabs>
                <w:tab w:pos="624" w:val="left" w:leader="none"/>
              </w:tabs>
              <w:spacing w:line="240" w:lineRule="auto" w:before="71" w:after="0"/>
              <w:ind w:left="723" w:right="0" w:hanging="418"/>
              <w:jc w:val="left"/>
              <w:rPr>
                <w:sz w:val="21"/>
              </w:rPr>
            </w:pPr>
            <w:r>
              <w:rPr>
                <w:spacing w:val="-3"/>
                <w:sz w:val="21"/>
              </w:rPr>
              <w:t>投保范围</w:t>
            </w:r>
            <w:r>
              <w:rPr>
                <w:sz w:val="21"/>
              </w:rPr>
              <w:t> </w:t>
            </w:r>
          </w:p>
          <w:p>
            <w:pPr>
              <w:pStyle w:val="TableParagraph"/>
              <w:numPr>
                <w:ilvl w:val="1"/>
                <w:numId w:val="2"/>
              </w:numPr>
              <w:tabs>
                <w:tab w:pos="624" w:val="left" w:leader="none"/>
              </w:tabs>
              <w:spacing w:line="302" w:lineRule="auto" w:before="65" w:after="0"/>
              <w:ind w:left="723" w:right="106" w:hanging="418"/>
              <w:jc w:val="left"/>
              <w:rPr>
                <w:sz w:val="21"/>
              </w:rPr>
            </w:pPr>
            <w:r>
              <w:rPr>
                <w:spacing w:val="1"/>
                <w:sz w:val="21"/>
              </w:rPr>
              <w:t>合同成立与生效和保险责</w:t>
            </w:r>
            <w:r>
              <w:rPr>
                <w:spacing w:val="-1"/>
                <w:sz w:val="21"/>
              </w:rPr>
              <w:t>任开始</w:t>
            </w:r>
            <w:r>
              <w:rPr>
                <w:sz w:val="21"/>
              </w:rPr>
              <w:t> </w:t>
            </w:r>
          </w:p>
          <w:p>
            <w:pPr>
              <w:pStyle w:val="TableParagraph"/>
              <w:numPr>
                <w:ilvl w:val="1"/>
                <w:numId w:val="2"/>
              </w:numPr>
              <w:tabs>
                <w:tab w:pos="624" w:val="left" w:leader="none"/>
              </w:tabs>
              <w:spacing w:line="240" w:lineRule="auto" w:before="10" w:after="0"/>
              <w:ind w:left="723" w:right="0" w:hanging="418"/>
              <w:jc w:val="left"/>
              <w:rPr>
                <w:sz w:val="21"/>
              </w:rPr>
            </w:pPr>
            <w:r>
              <w:rPr>
                <w:spacing w:val="-4"/>
                <w:sz w:val="21"/>
              </w:rPr>
              <w:t>解除合同的手续及风险</w:t>
            </w:r>
            <w:r>
              <w:rPr>
                <w:sz w:val="21"/>
              </w:rPr>
              <w:t> </w:t>
            </w:r>
          </w:p>
          <w:p>
            <w:pPr>
              <w:pStyle w:val="TableParagraph"/>
              <w:spacing w:before="70"/>
              <w:rPr>
                <w:b/>
                <w:sz w:val="21"/>
              </w:rPr>
            </w:pPr>
            <w:r>
              <w:rPr>
                <w:b/>
                <w:sz w:val="21"/>
              </w:rPr>
              <w:t>2. 本公司提供的保障</w:t>
            </w:r>
            <w:r>
              <w:rPr>
                <w:b/>
                <w:w w:val="99"/>
                <w:sz w:val="21"/>
              </w:rPr>
              <w:t> </w:t>
            </w:r>
          </w:p>
          <w:p>
            <w:pPr>
              <w:pStyle w:val="TableParagraph"/>
              <w:numPr>
                <w:ilvl w:val="1"/>
                <w:numId w:val="3"/>
              </w:numPr>
              <w:tabs>
                <w:tab w:pos="624" w:val="left" w:leader="none"/>
              </w:tabs>
              <w:spacing w:line="240" w:lineRule="auto" w:before="66" w:after="0"/>
              <w:ind w:left="623" w:right="0" w:hanging="318"/>
              <w:jc w:val="left"/>
              <w:rPr>
                <w:sz w:val="21"/>
              </w:rPr>
            </w:pPr>
            <w:r>
              <w:rPr>
                <w:spacing w:val="-3"/>
                <w:sz w:val="21"/>
              </w:rPr>
              <w:t>保险金额</w:t>
            </w:r>
            <w:r>
              <w:rPr>
                <w:sz w:val="21"/>
              </w:rPr>
              <w:t> </w:t>
            </w:r>
          </w:p>
          <w:p>
            <w:pPr>
              <w:pStyle w:val="TableParagraph"/>
              <w:numPr>
                <w:ilvl w:val="1"/>
                <w:numId w:val="3"/>
              </w:numPr>
              <w:tabs>
                <w:tab w:pos="624" w:val="left" w:leader="none"/>
              </w:tabs>
              <w:spacing w:line="240" w:lineRule="auto" w:before="70" w:after="0"/>
              <w:ind w:left="623" w:right="0" w:hanging="318"/>
              <w:jc w:val="left"/>
              <w:rPr>
                <w:sz w:val="21"/>
              </w:rPr>
            </w:pPr>
            <w:r>
              <w:rPr>
                <w:spacing w:val="-3"/>
                <w:sz w:val="21"/>
              </w:rPr>
              <w:t>保险期间</w:t>
            </w:r>
            <w:r>
              <w:rPr>
                <w:sz w:val="21"/>
              </w:rPr>
              <w:t> </w:t>
            </w:r>
          </w:p>
          <w:p>
            <w:pPr>
              <w:pStyle w:val="TableParagraph"/>
              <w:numPr>
                <w:ilvl w:val="1"/>
                <w:numId w:val="3"/>
              </w:numPr>
              <w:tabs>
                <w:tab w:pos="624" w:val="left" w:leader="none"/>
              </w:tabs>
              <w:spacing w:line="240" w:lineRule="auto" w:before="65" w:after="0"/>
              <w:ind w:left="623" w:right="0" w:hanging="318"/>
              <w:jc w:val="left"/>
              <w:rPr>
                <w:sz w:val="21"/>
              </w:rPr>
            </w:pPr>
            <w:r>
              <w:rPr>
                <w:spacing w:val="-3"/>
                <w:sz w:val="21"/>
              </w:rPr>
              <w:t>保险责任</w:t>
            </w:r>
            <w:r>
              <w:rPr>
                <w:sz w:val="21"/>
              </w:rPr>
              <w:t> </w:t>
            </w:r>
          </w:p>
          <w:p>
            <w:pPr>
              <w:pStyle w:val="TableParagraph"/>
              <w:numPr>
                <w:ilvl w:val="1"/>
                <w:numId w:val="3"/>
              </w:numPr>
              <w:tabs>
                <w:tab w:pos="624" w:val="left" w:leader="none"/>
              </w:tabs>
              <w:spacing w:line="240" w:lineRule="auto" w:before="70" w:after="0"/>
              <w:ind w:left="623" w:right="0" w:hanging="318"/>
              <w:jc w:val="left"/>
              <w:rPr>
                <w:sz w:val="21"/>
              </w:rPr>
            </w:pPr>
            <w:r>
              <w:rPr>
                <w:spacing w:val="-3"/>
                <w:sz w:val="21"/>
              </w:rPr>
              <w:t>保险责任的免除</w:t>
            </w:r>
            <w:r>
              <w:rPr>
                <w:sz w:val="21"/>
              </w:rPr>
              <w:t> </w:t>
            </w:r>
          </w:p>
          <w:p>
            <w:pPr>
              <w:pStyle w:val="TableParagraph"/>
              <w:spacing w:before="66"/>
              <w:rPr>
                <w:b/>
                <w:sz w:val="21"/>
              </w:rPr>
            </w:pPr>
            <w:r>
              <w:rPr>
                <w:b/>
                <w:sz w:val="21"/>
              </w:rPr>
              <w:t>3. 保险费的交纳和续保</w:t>
            </w:r>
            <w:r>
              <w:rPr>
                <w:b/>
                <w:w w:val="99"/>
                <w:sz w:val="21"/>
              </w:rPr>
              <w:t> </w:t>
            </w:r>
          </w:p>
          <w:p>
            <w:pPr>
              <w:pStyle w:val="TableParagraph"/>
              <w:numPr>
                <w:ilvl w:val="1"/>
                <w:numId w:val="4"/>
              </w:numPr>
              <w:tabs>
                <w:tab w:pos="624" w:val="left" w:leader="none"/>
              </w:tabs>
              <w:spacing w:line="240" w:lineRule="auto" w:before="71" w:after="0"/>
              <w:ind w:left="623" w:right="0" w:hanging="318"/>
              <w:jc w:val="left"/>
              <w:rPr>
                <w:sz w:val="21"/>
              </w:rPr>
            </w:pPr>
            <w:r>
              <w:rPr>
                <w:spacing w:val="-3"/>
                <w:sz w:val="21"/>
              </w:rPr>
              <w:t>保险费的交纳</w:t>
            </w:r>
            <w:r>
              <w:rPr>
                <w:sz w:val="21"/>
              </w:rPr>
              <w:t> </w:t>
            </w:r>
          </w:p>
          <w:p>
            <w:pPr>
              <w:pStyle w:val="TableParagraph"/>
              <w:numPr>
                <w:ilvl w:val="1"/>
                <w:numId w:val="4"/>
              </w:numPr>
              <w:tabs>
                <w:tab w:pos="676" w:val="left" w:leader="none"/>
              </w:tabs>
              <w:spacing w:line="240" w:lineRule="auto" w:before="65" w:after="0"/>
              <w:ind w:left="675" w:right="0" w:hanging="370"/>
              <w:jc w:val="left"/>
              <w:rPr>
                <w:sz w:val="21"/>
              </w:rPr>
            </w:pPr>
            <w:r>
              <w:rPr>
                <w:spacing w:val="-3"/>
                <w:sz w:val="21"/>
              </w:rPr>
              <w:t>续保</w:t>
            </w:r>
            <w:r>
              <w:rPr>
                <w:sz w:val="21"/>
              </w:rPr>
              <w:t> </w:t>
            </w:r>
          </w:p>
          <w:p>
            <w:pPr>
              <w:pStyle w:val="TableParagraph"/>
              <w:spacing w:before="70"/>
              <w:rPr>
                <w:b/>
                <w:sz w:val="21"/>
              </w:rPr>
            </w:pPr>
            <w:r>
              <w:rPr>
                <w:b/>
                <w:sz w:val="21"/>
              </w:rPr>
              <w:t>4. 保险金的申请与给付</w:t>
            </w:r>
            <w:r>
              <w:rPr>
                <w:b/>
                <w:w w:val="99"/>
                <w:sz w:val="21"/>
              </w:rPr>
              <w:t> </w:t>
            </w:r>
          </w:p>
          <w:p>
            <w:pPr>
              <w:pStyle w:val="TableParagraph"/>
              <w:numPr>
                <w:ilvl w:val="1"/>
                <w:numId w:val="5"/>
              </w:numPr>
              <w:tabs>
                <w:tab w:pos="624" w:val="left" w:leader="none"/>
              </w:tabs>
              <w:spacing w:line="240" w:lineRule="auto" w:before="66" w:after="0"/>
              <w:ind w:left="623" w:right="0" w:hanging="318"/>
              <w:jc w:val="left"/>
              <w:rPr>
                <w:sz w:val="21"/>
              </w:rPr>
            </w:pPr>
            <w:r>
              <w:rPr>
                <w:spacing w:val="-3"/>
                <w:sz w:val="21"/>
              </w:rPr>
              <w:t>保险金受益人</w:t>
            </w:r>
            <w:r>
              <w:rPr>
                <w:sz w:val="21"/>
              </w:rPr>
              <w:t> </w:t>
            </w:r>
          </w:p>
          <w:p>
            <w:pPr>
              <w:pStyle w:val="TableParagraph"/>
              <w:numPr>
                <w:ilvl w:val="1"/>
                <w:numId w:val="5"/>
              </w:numPr>
              <w:tabs>
                <w:tab w:pos="624" w:val="left" w:leader="none"/>
              </w:tabs>
              <w:spacing w:line="240" w:lineRule="auto" w:before="71" w:after="0"/>
              <w:ind w:left="623" w:right="0" w:hanging="318"/>
              <w:jc w:val="left"/>
              <w:rPr>
                <w:sz w:val="21"/>
              </w:rPr>
            </w:pPr>
            <w:r>
              <w:rPr>
                <w:spacing w:val="-3"/>
                <w:sz w:val="21"/>
              </w:rPr>
              <w:t>保险事故通知</w:t>
            </w:r>
            <w:r>
              <w:rPr>
                <w:sz w:val="21"/>
              </w:rPr>
              <w:t> </w:t>
            </w:r>
          </w:p>
          <w:p>
            <w:pPr>
              <w:pStyle w:val="TableParagraph"/>
              <w:numPr>
                <w:ilvl w:val="1"/>
                <w:numId w:val="5"/>
              </w:numPr>
              <w:tabs>
                <w:tab w:pos="624" w:val="left" w:leader="none"/>
              </w:tabs>
              <w:spacing w:line="255" w:lineRule="exact" w:before="66" w:after="0"/>
              <w:ind w:left="623" w:right="0" w:hanging="318"/>
              <w:jc w:val="left"/>
              <w:rPr>
                <w:sz w:val="21"/>
              </w:rPr>
            </w:pPr>
            <w:r>
              <w:rPr>
                <w:spacing w:val="-3"/>
                <w:sz w:val="21"/>
              </w:rPr>
              <w:t>保险金申请</w:t>
            </w:r>
            <w:r>
              <w:rPr>
                <w:sz w:val="21"/>
              </w:rPr>
              <w:t> </w:t>
            </w:r>
          </w:p>
        </w:tc>
        <w:tc>
          <w:tcPr>
            <w:tcW w:w="3330" w:type="dxa"/>
          </w:tcPr>
          <w:p>
            <w:pPr>
              <w:pStyle w:val="TableParagraph"/>
              <w:numPr>
                <w:ilvl w:val="1"/>
                <w:numId w:val="6"/>
              </w:numPr>
              <w:tabs>
                <w:tab w:pos="533" w:val="left" w:leader="none"/>
              </w:tabs>
              <w:spacing w:line="211" w:lineRule="exact" w:before="0" w:after="0"/>
              <w:ind w:left="532" w:right="0" w:hanging="318"/>
              <w:jc w:val="left"/>
              <w:rPr>
                <w:sz w:val="21"/>
              </w:rPr>
            </w:pPr>
            <w:r>
              <w:rPr>
                <w:spacing w:val="-3"/>
                <w:sz w:val="21"/>
              </w:rPr>
              <w:t>保险金给付</w:t>
            </w:r>
            <w:r>
              <w:rPr>
                <w:sz w:val="21"/>
              </w:rPr>
              <w:t> </w:t>
            </w:r>
          </w:p>
          <w:p>
            <w:pPr>
              <w:pStyle w:val="TableParagraph"/>
              <w:numPr>
                <w:ilvl w:val="1"/>
                <w:numId w:val="6"/>
              </w:numPr>
              <w:tabs>
                <w:tab w:pos="533" w:val="left" w:leader="none"/>
              </w:tabs>
              <w:spacing w:line="240" w:lineRule="auto" w:before="66" w:after="0"/>
              <w:ind w:left="532" w:right="0" w:hanging="318"/>
              <w:jc w:val="left"/>
              <w:rPr>
                <w:sz w:val="21"/>
              </w:rPr>
            </w:pPr>
            <w:r>
              <w:rPr>
                <w:spacing w:val="-3"/>
                <w:sz w:val="21"/>
              </w:rPr>
              <w:t>诉讼时效</w:t>
            </w:r>
            <w:r>
              <w:rPr>
                <w:sz w:val="21"/>
              </w:rPr>
              <w:t> </w:t>
            </w:r>
          </w:p>
          <w:p>
            <w:pPr>
              <w:pStyle w:val="TableParagraph"/>
              <w:spacing w:before="71"/>
              <w:ind w:left="143" w:right="1986"/>
              <w:jc w:val="center"/>
              <w:rPr>
                <w:b/>
                <w:sz w:val="21"/>
              </w:rPr>
            </w:pPr>
            <w:r>
              <w:rPr>
                <w:b/>
                <w:sz w:val="21"/>
              </w:rPr>
              <w:t>5. 其他事项</w:t>
            </w:r>
            <w:r>
              <w:rPr>
                <w:b/>
                <w:w w:val="99"/>
                <w:sz w:val="21"/>
              </w:rPr>
              <w:t> </w:t>
            </w:r>
          </w:p>
          <w:p>
            <w:pPr>
              <w:pStyle w:val="TableParagraph"/>
              <w:numPr>
                <w:ilvl w:val="1"/>
                <w:numId w:val="7"/>
              </w:numPr>
              <w:tabs>
                <w:tab w:pos="533" w:val="left" w:leader="none"/>
              </w:tabs>
              <w:spacing w:line="240" w:lineRule="auto" w:before="65" w:after="0"/>
              <w:ind w:left="108" w:right="0" w:firstLine="106"/>
              <w:jc w:val="left"/>
              <w:rPr>
                <w:sz w:val="21"/>
              </w:rPr>
            </w:pPr>
            <w:r>
              <w:rPr>
                <w:spacing w:val="-4"/>
                <w:sz w:val="21"/>
              </w:rPr>
              <w:t>明确说明与如实告知</w:t>
            </w:r>
            <w:r>
              <w:rPr>
                <w:sz w:val="21"/>
              </w:rPr>
              <w:t> </w:t>
            </w:r>
          </w:p>
          <w:p>
            <w:pPr>
              <w:pStyle w:val="TableParagraph"/>
              <w:numPr>
                <w:ilvl w:val="1"/>
                <w:numId w:val="7"/>
              </w:numPr>
              <w:tabs>
                <w:tab w:pos="533" w:val="left" w:leader="none"/>
              </w:tabs>
              <w:spacing w:line="240" w:lineRule="auto" w:before="70" w:after="0"/>
              <w:ind w:left="108" w:right="0" w:firstLine="106"/>
              <w:jc w:val="left"/>
              <w:rPr>
                <w:sz w:val="21"/>
              </w:rPr>
            </w:pPr>
            <w:r>
              <w:rPr>
                <w:spacing w:val="-4"/>
                <w:sz w:val="21"/>
              </w:rPr>
              <w:t>本公司合同解除权的限制</w:t>
            </w:r>
            <w:r>
              <w:rPr>
                <w:sz w:val="21"/>
              </w:rPr>
              <w:t> </w:t>
            </w:r>
          </w:p>
          <w:p>
            <w:pPr>
              <w:pStyle w:val="TableParagraph"/>
              <w:numPr>
                <w:ilvl w:val="1"/>
                <w:numId w:val="7"/>
              </w:numPr>
              <w:tabs>
                <w:tab w:pos="533" w:val="left" w:leader="none"/>
              </w:tabs>
              <w:spacing w:line="240" w:lineRule="auto" w:before="66" w:after="0"/>
              <w:ind w:left="108" w:right="0" w:firstLine="106"/>
              <w:jc w:val="left"/>
              <w:rPr>
                <w:sz w:val="21"/>
              </w:rPr>
            </w:pPr>
            <w:r>
              <w:rPr>
                <w:spacing w:val="-3"/>
                <w:sz w:val="21"/>
              </w:rPr>
              <w:t>年龄性别错误</w:t>
            </w:r>
            <w:r>
              <w:rPr>
                <w:sz w:val="21"/>
              </w:rPr>
              <w:t> </w:t>
            </w:r>
          </w:p>
          <w:p>
            <w:pPr>
              <w:pStyle w:val="TableParagraph"/>
              <w:numPr>
                <w:ilvl w:val="1"/>
                <w:numId w:val="7"/>
              </w:numPr>
              <w:tabs>
                <w:tab w:pos="533" w:val="left" w:leader="none"/>
              </w:tabs>
              <w:spacing w:line="240" w:lineRule="auto" w:before="70" w:after="0"/>
              <w:ind w:left="108" w:right="0" w:firstLine="106"/>
              <w:jc w:val="left"/>
              <w:rPr>
                <w:sz w:val="21"/>
              </w:rPr>
            </w:pPr>
            <w:r>
              <w:rPr>
                <w:spacing w:val="-3"/>
                <w:sz w:val="21"/>
              </w:rPr>
              <w:t>被保险人变动</w:t>
            </w:r>
            <w:r>
              <w:rPr>
                <w:sz w:val="21"/>
              </w:rPr>
              <w:t> </w:t>
            </w:r>
          </w:p>
          <w:p>
            <w:pPr>
              <w:pStyle w:val="TableParagraph"/>
              <w:numPr>
                <w:ilvl w:val="1"/>
                <w:numId w:val="7"/>
              </w:numPr>
              <w:tabs>
                <w:tab w:pos="533" w:val="left" w:leader="none"/>
              </w:tabs>
              <w:spacing w:line="240" w:lineRule="auto" w:before="65" w:after="0"/>
              <w:ind w:left="108" w:right="0" w:firstLine="106"/>
              <w:jc w:val="left"/>
              <w:rPr>
                <w:sz w:val="21"/>
              </w:rPr>
            </w:pPr>
            <w:r>
              <w:rPr>
                <w:spacing w:val="-3"/>
                <w:sz w:val="21"/>
              </w:rPr>
              <w:t>身体检查</w:t>
            </w:r>
            <w:r>
              <w:rPr>
                <w:sz w:val="21"/>
              </w:rPr>
              <w:t> </w:t>
            </w:r>
          </w:p>
          <w:p>
            <w:pPr>
              <w:pStyle w:val="TableParagraph"/>
              <w:numPr>
                <w:ilvl w:val="1"/>
                <w:numId w:val="7"/>
              </w:numPr>
              <w:tabs>
                <w:tab w:pos="533" w:val="left" w:leader="none"/>
              </w:tabs>
              <w:spacing w:line="240" w:lineRule="auto" w:before="70" w:after="0"/>
              <w:ind w:left="108" w:right="0" w:firstLine="106"/>
              <w:jc w:val="left"/>
              <w:rPr>
                <w:sz w:val="21"/>
              </w:rPr>
            </w:pPr>
            <w:r>
              <w:rPr>
                <w:spacing w:val="-3"/>
                <w:sz w:val="21"/>
              </w:rPr>
              <w:t>合同内容变更</w:t>
            </w:r>
            <w:r>
              <w:rPr>
                <w:sz w:val="21"/>
              </w:rPr>
              <w:t> </w:t>
            </w:r>
          </w:p>
          <w:p>
            <w:pPr>
              <w:pStyle w:val="TableParagraph"/>
              <w:numPr>
                <w:ilvl w:val="1"/>
                <w:numId w:val="7"/>
              </w:numPr>
              <w:tabs>
                <w:tab w:pos="585" w:val="left" w:leader="none"/>
              </w:tabs>
              <w:spacing w:line="302" w:lineRule="auto" w:before="66" w:after="0"/>
              <w:ind w:left="108" w:right="1797" w:firstLine="106"/>
              <w:jc w:val="left"/>
              <w:rPr>
                <w:b/>
                <w:sz w:val="21"/>
              </w:rPr>
            </w:pPr>
            <w:r>
              <w:rPr>
                <w:spacing w:val="-2"/>
                <w:sz w:val="21"/>
              </w:rPr>
              <w:t>争议处理</w:t>
            </w:r>
            <w:r>
              <w:rPr>
                <w:b/>
                <w:sz w:val="21"/>
              </w:rPr>
              <w:t>6. 释义</w:t>
            </w:r>
            <w:r>
              <w:rPr>
                <w:b/>
                <w:w w:val="99"/>
                <w:sz w:val="21"/>
              </w:rPr>
              <w:t> </w:t>
            </w:r>
          </w:p>
          <w:p>
            <w:pPr>
              <w:pStyle w:val="TableParagraph"/>
              <w:numPr>
                <w:ilvl w:val="1"/>
                <w:numId w:val="8"/>
              </w:numPr>
              <w:tabs>
                <w:tab w:pos="533" w:val="left" w:leader="none"/>
              </w:tabs>
              <w:spacing w:line="240" w:lineRule="auto" w:before="11" w:after="0"/>
              <w:ind w:left="532" w:right="0" w:hanging="318"/>
              <w:jc w:val="left"/>
              <w:rPr>
                <w:sz w:val="21"/>
              </w:rPr>
            </w:pPr>
            <w:r>
              <w:rPr>
                <w:spacing w:val="-3"/>
                <w:sz w:val="21"/>
              </w:rPr>
              <w:t>周岁</w:t>
            </w:r>
            <w:r>
              <w:rPr>
                <w:sz w:val="21"/>
              </w:rPr>
              <w:t> </w:t>
            </w:r>
          </w:p>
          <w:p>
            <w:pPr>
              <w:pStyle w:val="TableParagraph"/>
              <w:numPr>
                <w:ilvl w:val="1"/>
                <w:numId w:val="8"/>
              </w:numPr>
              <w:tabs>
                <w:tab w:pos="533" w:val="left" w:leader="none"/>
              </w:tabs>
              <w:spacing w:line="240" w:lineRule="auto" w:before="70" w:after="0"/>
              <w:ind w:left="532" w:right="0" w:hanging="318"/>
              <w:jc w:val="left"/>
              <w:rPr>
                <w:sz w:val="21"/>
              </w:rPr>
            </w:pPr>
            <w:r>
              <w:rPr>
                <w:spacing w:val="-3"/>
                <w:sz w:val="21"/>
              </w:rPr>
              <w:t>现金价值</w:t>
            </w:r>
            <w:r>
              <w:rPr>
                <w:sz w:val="21"/>
              </w:rPr>
              <w:t> </w:t>
            </w:r>
          </w:p>
          <w:p>
            <w:pPr>
              <w:pStyle w:val="TableParagraph"/>
              <w:numPr>
                <w:ilvl w:val="1"/>
                <w:numId w:val="8"/>
              </w:numPr>
              <w:tabs>
                <w:tab w:pos="533" w:val="left" w:leader="none"/>
              </w:tabs>
              <w:spacing w:line="240" w:lineRule="auto" w:before="65" w:after="0"/>
              <w:ind w:left="532" w:right="0" w:hanging="318"/>
              <w:jc w:val="left"/>
              <w:rPr>
                <w:sz w:val="21"/>
              </w:rPr>
            </w:pPr>
            <w:r>
              <w:rPr>
                <w:spacing w:val="-3"/>
                <w:sz w:val="21"/>
              </w:rPr>
              <w:t>医院</w:t>
            </w:r>
            <w:r>
              <w:rPr>
                <w:sz w:val="21"/>
              </w:rPr>
              <w:t> </w:t>
            </w:r>
          </w:p>
          <w:p>
            <w:pPr>
              <w:pStyle w:val="TableParagraph"/>
              <w:numPr>
                <w:ilvl w:val="1"/>
                <w:numId w:val="8"/>
              </w:numPr>
              <w:tabs>
                <w:tab w:pos="533" w:val="left" w:leader="none"/>
              </w:tabs>
              <w:spacing w:line="240" w:lineRule="auto" w:before="70" w:after="0"/>
              <w:ind w:left="532" w:right="0" w:hanging="318"/>
              <w:jc w:val="left"/>
              <w:rPr>
                <w:sz w:val="21"/>
              </w:rPr>
            </w:pPr>
            <w:r>
              <w:rPr>
                <w:spacing w:val="-3"/>
                <w:sz w:val="21"/>
              </w:rPr>
              <w:t>重大疾病</w:t>
            </w:r>
            <w:r>
              <w:rPr>
                <w:sz w:val="21"/>
              </w:rPr>
              <w:t> </w:t>
            </w:r>
          </w:p>
          <w:p>
            <w:pPr>
              <w:pStyle w:val="TableParagraph"/>
              <w:numPr>
                <w:ilvl w:val="1"/>
                <w:numId w:val="8"/>
              </w:numPr>
              <w:tabs>
                <w:tab w:pos="585" w:val="left" w:leader="none"/>
              </w:tabs>
              <w:spacing w:line="240" w:lineRule="auto" w:before="65" w:after="0"/>
              <w:ind w:left="584" w:right="0" w:hanging="370"/>
              <w:jc w:val="left"/>
              <w:rPr>
                <w:sz w:val="21"/>
              </w:rPr>
            </w:pPr>
            <w:r>
              <w:rPr>
                <w:spacing w:val="-4"/>
                <w:sz w:val="21"/>
              </w:rPr>
              <w:t>本公司认可的其他医疗机构</w:t>
            </w:r>
            <w:r>
              <w:rPr>
                <w:sz w:val="21"/>
              </w:rPr>
              <w:t> </w:t>
            </w:r>
          </w:p>
          <w:p>
            <w:pPr>
              <w:pStyle w:val="TableParagraph"/>
              <w:numPr>
                <w:ilvl w:val="1"/>
                <w:numId w:val="8"/>
              </w:numPr>
              <w:tabs>
                <w:tab w:pos="585" w:val="left" w:leader="none"/>
              </w:tabs>
              <w:spacing w:line="240" w:lineRule="auto" w:before="70" w:after="0"/>
              <w:ind w:left="584" w:right="0" w:hanging="370"/>
              <w:jc w:val="left"/>
              <w:rPr>
                <w:sz w:val="21"/>
              </w:rPr>
            </w:pPr>
            <w:r>
              <w:rPr>
                <w:spacing w:val="-3"/>
                <w:sz w:val="21"/>
              </w:rPr>
              <w:t>毒品</w:t>
            </w:r>
            <w:r>
              <w:rPr>
                <w:sz w:val="21"/>
              </w:rPr>
              <w:t> </w:t>
            </w:r>
          </w:p>
          <w:p>
            <w:pPr>
              <w:pStyle w:val="TableParagraph"/>
              <w:numPr>
                <w:ilvl w:val="1"/>
                <w:numId w:val="8"/>
              </w:numPr>
              <w:tabs>
                <w:tab w:pos="585" w:val="left" w:leader="none"/>
              </w:tabs>
              <w:spacing w:line="255" w:lineRule="exact" w:before="65" w:after="0"/>
              <w:ind w:left="584" w:right="0" w:hanging="370"/>
              <w:jc w:val="left"/>
              <w:rPr>
                <w:sz w:val="21"/>
              </w:rPr>
            </w:pPr>
            <w:r>
              <w:rPr>
                <w:spacing w:val="-2"/>
                <w:sz w:val="21"/>
              </w:rPr>
              <w:t>酒后驾驶</w:t>
            </w:r>
            <w:r>
              <w:rPr>
                <w:sz w:val="21"/>
              </w:rPr>
              <w:t> </w:t>
            </w:r>
          </w:p>
        </w:tc>
        <w:tc>
          <w:tcPr>
            <w:tcW w:w="3426" w:type="dxa"/>
          </w:tcPr>
          <w:p>
            <w:pPr>
              <w:pStyle w:val="TableParagraph"/>
              <w:numPr>
                <w:ilvl w:val="1"/>
                <w:numId w:val="9"/>
              </w:numPr>
              <w:tabs>
                <w:tab w:pos="496" w:val="left" w:leader="none"/>
              </w:tabs>
              <w:spacing w:line="211" w:lineRule="exact" w:before="0" w:after="0"/>
              <w:ind w:left="125" w:right="0" w:firstLine="0"/>
              <w:jc w:val="left"/>
              <w:rPr>
                <w:sz w:val="21"/>
              </w:rPr>
            </w:pPr>
            <w:r>
              <w:rPr>
                <w:spacing w:val="-4"/>
                <w:sz w:val="21"/>
              </w:rPr>
              <w:t>无合法有效驾驶证驾驶</w:t>
            </w:r>
            <w:r>
              <w:rPr>
                <w:sz w:val="21"/>
              </w:rPr>
              <w:t> </w:t>
            </w:r>
          </w:p>
          <w:p>
            <w:pPr>
              <w:pStyle w:val="TableParagraph"/>
              <w:numPr>
                <w:ilvl w:val="1"/>
                <w:numId w:val="9"/>
              </w:numPr>
              <w:tabs>
                <w:tab w:pos="444" w:val="left" w:leader="none"/>
              </w:tabs>
              <w:spacing w:line="240" w:lineRule="auto" w:before="66" w:after="0"/>
              <w:ind w:left="443" w:right="0" w:hanging="318"/>
              <w:jc w:val="left"/>
              <w:rPr>
                <w:sz w:val="21"/>
              </w:rPr>
            </w:pPr>
            <w:r>
              <w:rPr>
                <w:spacing w:val="-3"/>
                <w:sz w:val="21"/>
              </w:rPr>
              <w:t>无有效行驶证</w:t>
            </w:r>
            <w:r>
              <w:rPr>
                <w:sz w:val="21"/>
              </w:rPr>
              <w:t> </w:t>
            </w:r>
          </w:p>
          <w:p>
            <w:pPr>
              <w:pStyle w:val="TableParagraph"/>
              <w:numPr>
                <w:ilvl w:val="1"/>
                <w:numId w:val="9"/>
              </w:numPr>
              <w:tabs>
                <w:tab w:pos="601" w:val="left" w:leader="none"/>
              </w:tabs>
              <w:spacing w:line="240" w:lineRule="auto" w:before="71" w:after="0"/>
              <w:ind w:left="600" w:right="0" w:hanging="475"/>
              <w:jc w:val="left"/>
              <w:rPr>
                <w:sz w:val="21"/>
              </w:rPr>
            </w:pPr>
            <w:r>
              <w:rPr>
                <w:spacing w:val="-4"/>
                <w:sz w:val="21"/>
              </w:rPr>
              <w:t>感染艾滋病病毒或患艾滋病 </w:t>
            </w:r>
          </w:p>
          <w:p>
            <w:pPr>
              <w:pStyle w:val="TableParagraph"/>
              <w:numPr>
                <w:ilvl w:val="1"/>
                <w:numId w:val="9"/>
              </w:numPr>
              <w:tabs>
                <w:tab w:pos="601" w:val="left" w:leader="none"/>
              </w:tabs>
              <w:spacing w:line="240" w:lineRule="auto" w:before="65" w:after="0"/>
              <w:ind w:left="600" w:right="0" w:hanging="475"/>
              <w:jc w:val="left"/>
              <w:rPr>
                <w:sz w:val="21"/>
              </w:rPr>
            </w:pPr>
            <w:r>
              <w:rPr>
                <w:spacing w:val="-3"/>
                <w:sz w:val="21"/>
              </w:rPr>
              <w:t>遗传性疾病</w:t>
            </w:r>
            <w:r>
              <w:rPr>
                <w:sz w:val="21"/>
              </w:rPr>
              <w:t> </w:t>
            </w:r>
          </w:p>
          <w:p>
            <w:pPr>
              <w:pStyle w:val="TableParagraph"/>
              <w:numPr>
                <w:ilvl w:val="1"/>
                <w:numId w:val="9"/>
              </w:numPr>
              <w:tabs>
                <w:tab w:pos="549" w:val="left" w:leader="none"/>
              </w:tabs>
              <w:spacing w:line="297" w:lineRule="auto" w:before="70" w:after="0"/>
              <w:ind w:left="125" w:right="254" w:firstLine="0"/>
              <w:jc w:val="left"/>
              <w:rPr>
                <w:sz w:val="21"/>
              </w:rPr>
            </w:pPr>
            <w:r>
              <w:rPr>
                <w:spacing w:val="-5"/>
                <w:sz w:val="21"/>
              </w:rPr>
              <w:t>先天性畸形、变形或染色体异常</w:t>
            </w:r>
            <w:r>
              <w:rPr>
                <w:sz w:val="21"/>
              </w:rPr>
              <w:t> </w:t>
            </w:r>
          </w:p>
          <w:p>
            <w:pPr>
              <w:pStyle w:val="TableParagraph"/>
              <w:numPr>
                <w:ilvl w:val="1"/>
                <w:numId w:val="9"/>
              </w:numPr>
              <w:tabs>
                <w:tab w:pos="601" w:val="left" w:leader="none"/>
              </w:tabs>
              <w:spacing w:line="240" w:lineRule="auto" w:before="20" w:after="0"/>
              <w:ind w:left="600" w:right="0" w:hanging="475"/>
              <w:jc w:val="left"/>
              <w:rPr>
                <w:sz w:val="21"/>
              </w:rPr>
            </w:pPr>
            <w:r>
              <w:rPr>
                <w:spacing w:val="-2"/>
                <w:sz w:val="21"/>
              </w:rPr>
              <w:t>既往症</w:t>
            </w:r>
            <w:r>
              <w:rPr>
                <w:sz w:val="21"/>
              </w:rPr>
              <w:t> </w:t>
            </w:r>
          </w:p>
          <w:p>
            <w:pPr>
              <w:pStyle w:val="TableParagraph"/>
              <w:numPr>
                <w:ilvl w:val="1"/>
                <w:numId w:val="9"/>
              </w:numPr>
              <w:tabs>
                <w:tab w:pos="549" w:val="left" w:leader="none"/>
              </w:tabs>
              <w:spacing w:line="240" w:lineRule="auto" w:before="66" w:after="0"/>
              <w:ind w:left="548" w:right="0" w:hanging="423"/>
              <w:jc w:val="left"/>
              <w:rPr>
                <w:sz w:val="21"/>
              </w:rPr>
            </w:pPr>
            <w:r>
              <w:rPr>
                <w:spacing w:val="-3"/>
                <w:sz w:val="21"/>
              </w:rPr>
              <w:t>有效身份证件</w:t>
            </w:r>
            <w:r>
              <w:rPr>
                <w:sz w:val="21"/>
              </w:rPr>
              <w:t> </w:t>
            </w:r>
          </w:p>
          <w:p>
            <w:pPr>
              <w:pStyle w:val="TableParagraph"/>
              <w:numPr>
                <w:ilvl w:val="1"/>
                <w:numId w:val="9"/>
              </w:numPr>
              <w:tabs>
                <w:tab w:pos="601" w:val="left" w:leader="none"/>
              </w:tabs>
              <w:spacing w:line="240" w:lineRule="auto" w:before="70" w:after="0"/>
              <w:ind w:left="600" w:right="0" w:hanging="475"/>
              <w:jc w:val="left"/>
              <w:rPr>
                <w:sz w:val="21"/>
              </w:rPr>
            </w:pPr>
            <w:r>
              <w:rPr>
                <w:spacing w:val="-3"/>
                <w:sz w:val="21"/>
              </w:rPr>
              <w:t>专科医生</w:t>
            </w:r>
            <w:r>
              <w:rPr>
                <w:sz w:val="21"/>
              </w:rPr>
              <w:t> </w:t>
            </w:r>
          </w:p>
          <w:p>
            <w:pPr>
              <w:pStyle w:val="TableParagraph"/>
              <w:numPr>
                <w:ilvl w:val="1"/>
                <w:numId w:val="9"/>
              </w:numPr>
              <w:tabs>
                <w:tab w:pos="549" w:val="left" w:leader="none"/>
              </w:tabs>
              <w:spacing w:line="240" w:lineRule="auto" w:before="65" w:after="0"/>
              <w:ind w:left="548" w:right="0" w:hanging="423"/>
              <w:jc w:val="left"/>
              <w:rPr>
                <w:sz w:val="21"/>
              </w:rPr>
            </w:pPr>
            <w:r>
              <w:rPr>
                <w:spacing w:val="-4"/>
                <w:sz w:val="21"/>
              </w:rPr>
              <w:t>肢体机能完全丧失</w:t>
            </w:r>
            <w:r>
              <w:rPr>
                <w:sz w:val="21"/>
              </w:rPr>
              <w:t> </w:t>
            </w:r>
          </w:p>
          <w:p>
            <w:pPr>
              <w:pStyle w:val="TableParagraph"/>
              <w:numPr>
                <w:ilvl w:val="1"/>
                <w:numId w:val="9"/>
              </w:numPr>
              <w:tabs>
                <w:tab w:pos="650" w:val="left" w:leader="none"/>
              </w:tabs>
              <w:spacing w:line="297" w:lineRule="auto" w:before="70" w:after="0"/>
              <w:ind w:left="125" w:right="254" w:firstLine="0"/>
              <w:jc w:val="left"/>
              <w:rPr>
                <w:sz w:val="21"/>
              </w:rPr>
            </w:pPr>
            <w:r>
              <w:rPr>
                <w:spacing w:val="-4"/>
                <w:sz w:val="21"/>
              </w:rPr>
              <w:t>语言能力或咀嚼吞咽能力完</w:t>
            </w:r>
            <w:r>
              <w:rPr>
                <w:spacing w:val="-5"/>
                <w:sz w:val="21"/>
              </w:rPr>
              <w:t>全丧失</w:t>
            </w:r>
            <w:r>
              <w:rPr>
                <w:sz w:val="21"/>
              </w:rPr>
              <w:t> </w:t>
            </w:r>
          </w:p>
          <w:p>
            <w:pPr>
              <w:pStyle w:val="TableParagraph"/>
              <w:numPr>
                <w:ilvl w:val="1"/>
                <w:numId w:val="9"/>
              </w:numPr>
              <w:tabs>
                <w:tab w:pos="549" w:val="left" w:leader="none"/>
              </w:tabs>
              <w:spacing w:line="240" w:lineRule="auto" w:before="20" w:after="0"/>
              <w:ind w:left="548" w:right="0" w:hanging="423"/>
              <w:jc w:val="left"/>
              <w:rPr>
                <w:sz w:val="21"/>
              </w:rPr>
            </w:pPr>
            <w:r>
              <w:rPr>
                <w:spacing w:val="-4"/>
                <w:sz w:val="21"/>
              </w:rPr>
              <w:t>六项基本日常生活活动</w:t>
            </w:r>
            <w:r>
              <w:rPr>
                <w:sz w:val="21"/>
              </w:rPr>
              <w:t> </w:t>
            </w:r>
          </w:p>
          <w:p>
            <w:pPr>
              <w:pStyle w:val="TableParagraph"/>
              <w:numPr>
                <w:ilvl w:val="1"/>
                <w:numId w:val="9"/>
              </w:numPr>
              <w:tabs>
                <w:tab w:pos="601" w:val="left" w:leader="none"/>
              </w:tabs>
              <w:spacing w:line="240" w:lineRule="auto" w:before="65" w:after="0"/>
              <w:ind w:left="600" w:right="0" w:hanging="475"/>
              <w:jc w:val="left"/>
              <w:rPr>
                <w:sz w:val="21"/>
              </w:rPr>
            </w:pPr>
            <w:r>
              <w:rPr>
                <w:spacing w:val="-3"/>
                <w:sz w:val="21"/>
              </w:rPr>
              <w:t>永久不可逆</w:t>
            </w:r>
            <w:r>
              <w:rPr>
                <w:sz w:val="21"/>
              </w:rPr>
              <w:t> </w:t>
            </w:r>
          </w:p>
          <w:p>
            <w:pPr>
              <w:pStyle w:val="TableParagraph"/>
              <w:numPr>
                <w:ilvl w:val="1"/>
                <w:numId w:val="9"/>
              </w:numPr>
              <w:tabs>
                <w:tab w:pos="601" w:val="left" w:leader="none"/>
              </w:tabs>
              <w:spacing w:line="240" w:lineRule="auto" w:before="70" w:after="0"/>
              <w:ind w:left="600" w:right="0" w:hanging="475"/>
              <w:jc w:val="left"/>
              <w:rPr>
                <w:sz w:val="21"/>
              </w:rPr>
            </w:pPr>
            <w:r>
              <w:rPr>
                <w:spacing w:val="-3"/>
                <w:sz w:val="21"/>
              </w:rPr>
              <w:t>持续的输氧治疗</w:t>
            </w:r>
            <w:r>
              <w:rPr>
                <w:sz w:val="21"/>
              </w:rPr>
              <w:t> </w:t>
            </w:r>
          </w:p>
          <w:p>
            <w:pPr>
              <w:pStyle w:val="TableParagraph"/>
              <w:numPr>
                <w:ilvl w:val="1"/>
                <w:numId w:val="9"/>
              </w:numPr>
              <w:tabs>
                <w:tab w:pos="650" w:val="left" w:leader="none"/>
              </w:tabs>
              <w:spacing w:line="302" w:lineRule="auto" w:before="65" w:after="0"/>
              <w:ind w:left="125" w:right="254" w:firstLine="0"/>
              <w:jc w:val="left"/>
              <w:rPr>
                <w:sz w:val="21"/>
              </w:rPr>
            </w:pPr>
            <w:r>
              <w:rPr>
                <w:spacing w:val="-2"/>
                <w:sz w:val="21"/>
              </w:rPr>
              <w:t>持续性蛋白尿</w:t>
            </w:r>
            <w:r>
              <w:rPr>
                <w:spacing w:val="-5"/>
                <w:sz w:val="21"/>
              </w:rPr>
              <w:t>（</w:t>
            </w:r>
            <w:r>
              <w:rPr>
                <w:spacing w:val="-2"/>
                <w:sz w:val="21"/>
              </w:rPr>
              <w:t>尿蛋白++以上</w:t>
            </w:r>
            <w:r>
              <w:rPr>
                <w:spacing w:val="-5"/>
                <w:sz w:val="21"/>
              </w:rPr>
              <w:t>）</w:t>
            </w:r>
            <w:r>
              <w:rPr>
                <w:sz w:val="21"/>
              </w:rPr>
              <w:t> </w:t>
            </w:r>
          </w:p>
        </w:tc>
      </w:tr>
    </w:tbl>
    <w:p>
      <w:pPr>
        <w:spacing w:before="55"/>
        <w:ind w:left="239" w:right="0" w:firstLine="0"/>
        <w:jc w:val="left"/>
        <w:rPr>
          <w:b/>
          <w:sz w:val="2"/>
        </w:rPr>
      </w:pPr>
      <w:r>
        <w:rPr>
          <w:b/>
          <w:w w:val="95"/>
          <w:sz w:val="2"/>
        </w:rPr>
        <w:t> </w:t>
      </w:r>
    </w:p>
    <w:p>
      <w:pPr>
        <w:spacing w:after="0"/>
        <w:jc w:val="left"/>
        <w:rPr>
          <w:sz w:val="2"/>
        </w:rPr>
        <w:sectPr>
          <w:type w:val="continuous"/>
          <w:pgSz w:w="11910" w:h="16840"/>
          <w:pgMar w:top="580" w:bottom="280" w:left="860" w:right="460"/>
        </w:sectPr>
      </w:pPr>
    </w:p>
    <w:p>
      <w:pPr>
        <w:pStyle w:val="Heading1"/>
        <w:spacing w:line="394" w:lineRule="exact"/>
        <w:ind w:left="2158"/>
      </w:pPr>
      <w:r>
        <w:rPr/>
        <w:t>安邦养老 e 家安康团体重大疾病保险条款</w:t>
      </w:r>
    </w:p>
    <w:p>
      <w:pPr>
        <w:pStyle w:val="BodyText"/>
        <w:spacing w:before="10"/>
        <w:rPr>
          <w:b/>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626"/>
        <w:gridCol w:w="7695"/>
      </w:tblGrid>
      <w:tr>
        <w:trPr>
          <w:trHeight w:val="261" w:hRule="atLeast"/>
        </w:trPr>
        <w:tc>
          <w:tcPr>
            <w:tcW w:w="831" w:type="dxa"/>
          </w:tcPr>
          <w:p>
            <w:pPr>
              <w:pStyle w:val="TableParagraph"/>
              <w:spacing w:line="211" w:lineRule="exact"/>
              <w:ind w:left="110"/>
              <w:rPr>
                <w:b/>
                <w:sz w:val="21"/>
              </w:rPr>
            </w:pPr>
            <w:r>
              <w:rPr>
                <w:b/>
                <w:w w:val="99"/>
                <w:sz w:val="21"/>
              </w:rPr>
              <w:t> </w:t>
            </w:r>
          </w:p>
        </w:tc>
        <w:tc>
          <w:tcPr>
            <w:tcW w:w="1626" w:type="dxa"/>
          </w:tcPr>
          <w:p>
            <w:pPr>
              <w:pStyle w:val="TableParagraph"/>
              <w:spacing w:line="211" w:lineRule="exact"/>
              <w:ind w:left="86"/>
              <w:rPr>
                <w:b/>
                <w:sz w:val="21"/>
              </w:rPr>
            </w:pPr>
            <w:r>
              <w:rPr>
                <w:b/>
                <w:w w:val="99"/>
                <w:sz w:val="21"/>
              </w:rPr>
              <w:t> </w:t>
            </w:r>
          </w:p>
        </w:tc>
        <w:tc>
          <w:tcPr>
            <w:tcW w:w="7695" w:type="dxa"/>
          </w:tcPr>
          <w:p>
            <w:pPr>
              <w:pStyle w:val="TableParagraph"/>
              <w:spacing w:line="211" w:lineRule="exact"/>
              <w:ind w:left="59"/>
              <w:rPr>
                <w:b/>
                <w:sz w:val="21"/>
              </w:rPr>
            </w:pPr>
            <w:r>
              <w:rPr>
                <w:b/>
                <w:w w:val="99"/>
                <w:sz w:val="21"/>
              </w:rPr>
              <w:t> </w:t>
            </w:r>
          </w:p>
        </w:tc>
      </w:tr>
      <w:tr>
        <w:trPr>
          <w:trHeight w:val="573" w:hRule="atLeast"/>
        </w:trPr>
        <w:tc>
          <w:tcPr>
            <w:tcW w:w="831" w:type="dxa"/>
            <w:tcBorders>
              <w:bottom w:val="single" w:sz="8" w:space="0" w:color="000000"/>
            </w:tcBorders>
          </w:tcPr>
          <w:p>
            <w:pPr>
              <w:pStyle w:val="TableParagraph"/>
              <w:spacing w:before="11"/>
              <w:ind w:left="110"/>
              <w:rPr>
                <w:rFonts w:ascii="Arial" w:hAnsi="Arial"/>
                <w:b/>
                <w:sz w:val="40"/>
              </w:rPr>
            </w:pPr>
            <w:r>
              <w:rPr>
                <w:rFonts w:ascii="Arial" w:hAnsi="Arial"/>
                <w:b/>
                <w:w w:val="118"/>
                <w:sz w:val="40"/>
              </w:rPr>
              <w:t></w:t>
            </w:r>
          </w:p>
        </w:tc>
        <w:tc>
          <w:tcPr>
            <w:tcW w:w="9321" w:type="dxa"/>
            <w:gridSpan w:val="2"/>
          </w:tcPr>
          <w:p>
            <w:pPr>
              <w:pStyle w:val="TableParagraph"/>
              <w:spacing w:before="67"/>
              <w:ind w:left="86"/>
              <w:rPr>
                <w:b/>
                <w:sz w:val="24"/>
              </w:rPr>
            </w:pPr>
            <w:r>
              <w:rPr>
                <w:b/>
                <w:w w:val="95"/>
                <w:sz w:val="24"/>
              </w:rPr>
              <w:t>投保人与本公司的合同</w:t>
            </w:r>
            <w:r>
              <w:rPr>
                <w:b/>
                <w:w w:val="99"/>
                <w:sz w:val="24"/>
              </w:rPr>
              <w:t>                                                       </w:t>
            </w:r>
          </w:p>
        </w:tc>
      </w:tr>
      <w:tr>
        <w:trPr>
          <w:trHeight w:val="276" w:hRule="atLeast"/>
        </w:trPr>
        <w:tc>
          <w:tcPr>
            <w:tcW w:w="831" w:type="dxa"/>
            <w:tcBorders>
              <w:top w:val="single" w:sz="8" w:space="0" w:color="000000"/>
            </w:tcBorders>
          </w:tcPr>
          <w:p>
            <w:pPr>
              <w:pStyle w:val="TableParagraph"/>
              <w:spacing w:line="253" w:lineRule="exact" w:before="4"/>
              <w:ind w:left="110"/>
              <w:rPr>
                <w:b/>
                <w:sz w:val="21"/>
              </w:rPr>
            </w:pPr>
            <w:r>
              <w:rPr>
                <w:b/>
                <w:w w:val="99"/>
                <w:sz w:val="21"/>
              </w:rPr>
              <w:t> </w:t>
            </w:r>
          </w:p>
        </w:tc>
        <w:tc>
          <w:tcPr>
            <w:tcW w:w="1626" w:type="dxa"/>
            <w:tcBorders>
              <w:top w:val="single" w:sz="8" w:space="0" w:color="000000"/>
            </w:tcBorders>
          </w:tcPr>
          <w:p>
            <w:pPr>
              <w:pStyle w:val="TableParagraph"/>
              <w:spacing w:line="253" w:lineRule="exact" w:before="4"/>
              <w:ind w:left="86"/>
              <w:rPr>
                <w:b/>
                <w:sz w:val="21"/>
              </w:rPr>
            </w:pPr>
            <w:r>
              <w:rPr>
                <w:b/>
                <w:w w:val="99"/>
                <w:sz w:val="21"/>
              </w:rPr>
              <w:t> </w:t>
            </w:r>
          </w:p>
        </w:tc>
        <w:tc>
          <w:tcPr>
            <w:tcW w:w="7695" w:type="dxa"/>
            <w:tcBorders>
              <w:top w:val="single" w:sz="8" w:space="0" w:color="000000"/>
            </w:tcBorders>
          </w:tcPr>
          <w:p>
            <w:pPr>
              <w:pStyle w:val="TableParagraph"/>
              <w:spacing w:line="253" w:lineRule="exact" w:before="4"/>
              <w:ind w:left="59"/>
              <w:rPr>
                <w:sz w:val="21"/>
              </w:rPr>
            </w:pPr>
            <w:r>
              <w:rPr>
                <w:w w:val="100"/>
                <w:sz w:val="21"/>
              </w:rPr>
              <w:t> </w:t>
            </w:r>
          </w:p>
        </w:tc>
      </w:tr>
      <w:tr>
        <w:trPr>
          <w:trHeight w:val="1306" w:hRule="atLeast"/>
        </w:trPr>
        <w:tc>
          <w:tcPr>
            <w:tcW w:w="831" w:type="dxa"/>
          </w:tcPr>
          <w:p>
            <w:pPr>
              <w:pStyle w:val="TableParagraph"/>
              <w:spacing w:line="209" w:lineRule="exact"/>
              <w:ind w:left="110"/>
              <w:rPr>
                <w:b/>
                <w:sz w:val="21"/>
              </w:rPr>
            </w:pPr>
            <w:r>
              <w:rPr>
                <w:b/>
                <w:sz w:val="21"/>
              </w:rPr>
              <w:t>1.1   </w:t>
            </w:r>
          </w:p>
        </w:tc>
        <w:tc>
          <w:tcPr>
            <w:tcW w:w="1626" w:type="dxa"/>
          </w:tcPr>
          <w:p>
            <w:pPr>
              <w:pStyle w:val="TableParagraph"/>
              <w:spacing w:line="209" w:lineRule="exact"/>
              <w:ind w:left="86"/>
              <w:rPr>
                <w:b/>
                <w:sz w:val="21"/>
              </w:rPr>
            </w:pPr>
            <w:r>
              <w:rPr>
                <w:b/>
                <w:sz w:val="21"/>
              </w:rPr>
              <w:t>合同构成</w:t>
            </w:r>
            <w:r>
              <w:rPr>
                <w:b/>
                <w:w w:val="99"/>
                <w:sz w:val="21"/>
              </w:rPr>
              <w:t>      </w:t>
            </w:r>
          </w:p>
        </w:tc>
        <w:tc>
          <w:tcPr>
            <w:tcW w:w="7695" w:type="dxa"/>
          </w:tcPr>
          <w:p>
            <w:pPr>
              <w:pStyle w:val="TableParagraph"/>
              <w:spacing w:line="209" w:lineRule="exact"/>
              <w:ind w:left="59"/>
              <w:rPr>
                <w:sz w:val="21"/>
              </w:rPr>
            </w:pPr>
            <w:r>
              <w:rPr>
                <w:sz w:val="21"/>
              </w:rPr>
              <w:t>安邦养老 e 家安康团体重大疾病保险合同（以下简称本主险合同）由以下几个部</w:t>
            </w:r>
          </w:p>
          <w:p>
            <w:pPr>
              <w:pStyle w:val="TableParagraph"/>
              <w:spacing w:line="297" w:lineRule="auto" w:before="70"/>
              <w:ind w:left="59" w:right="364"/>
              <w:rPr>
                <w:sz w:val="21"/>
              </w:rPr>
            </w:pPr>
            <w:r>
              <w:rPr>
                <w:spacing w:val="-9"/>
                <w:sz w:val="21"/>
              </w:rPr>
              <w:t>分构成：本保险条款、保险单或其他保险凭证、投保单</w:t>
            </w:r>
            <w:r>
              <w:rPr>
                <w:sz w:val="21"/>
              </w:rPr>
              <w:t>（</w:t>
            </w:r>
            <w:r>
              <w:rPr>
                <w:spacing w:val="-4"/>
                <w:sz w:val="21"/>
              </w:rPr>
              <w:t>经本公司核实的复印件</w:t>
            </w:r>
            <w:r>
              <w:rPr>
                <w:spacing w:val="-5"/>
                <w:sz w:val="21"/>
              </w:rPr>
              <w:t>或电子影像印刷件与正本具有同等效力</w:t>
            </w:r>
            <w:r>
              <w:rPr>
                <w:spacing w:val="-111"/>
                <w:sz w:val="21"/>
              </w:rPr>
              <w:t>）</w:t>
            </w:r>
            <w:r>
              <w:rPr>
                <w:spacing w:val="-5"/>
                <w:sz w:val="21"/>
              </w:rPr>
              <w:t>、合法有效的声明、批注、批单，及投</w:t>
            </w:r>
          </w:p>
          <w:p>
            <w:pPr>
              <w:pStyle w:val="TableParagraph"/>
              <w:spacing w:before="20"/>
              <w:ind w:left="59"/>
              <w:rPr>
                <w:sz w:val="21"/>
              </w:rPr>
            </w:pPr>
            <w:r>
              <w:rPr>
                <w:sz w:val="21"/>
              </w:rPr>
              <w:t>保人与本公司共同认可的、与本主险合同有关的其它书面文件。 </w:t>
            </w:r>
          </w:p>
        </w:tc>
      </w:tr>
      <w:tr>
        <w:trPr>
          <w:trHeight w:val="309" w:hRule="atLeast"/>
        </w:trPr>
        <w:tc>
          <w:tcPr>
            <w:tcW w:w="831" w:type="dxa"/>
          </w:tcPr>
          <w:p>
            <w:pPr>
              <w:pStyle w:val="TableParagraph"/>
              <w:spacing w:before="1"/>
              <w:ind w:left="110"/>
              <w:rPr>
                <w:b/>
                <w:sz w:val="21"/>
              </w:rPr>
            </w:pPr>
            <w:r>
              <w:rPr>
                <w:b/>
                <w:w w:val="99"/>
                <w:sz w:val="21"/>
              </w:rPr>
              <w:t> </w:t>
            </w:r>
          </w:p>
        </w:tc>
        <w:tc>
          <w:tcPr>
            <w:tcW w:w="1626" w:type="dxa"/>
          </w:tcPr>
          <w:p>
            <w:pPr>
              <w:pStyle w:val="TableParagraph"/>
              <w:spacing w:before="1"/>
              <w:ind w:left="86"/>
              <w:rPr>
                <w:b/>
                <w:sz w:val="21"/>
              </w:rPr>
            </w:pPr>
            <w:r>
              <w:rPr>
                <w:b/>
                <w:w w:val="99"/>
                <w:sz w:val="21"/>
              </w:rPr>
              <w:t> </w:t>
            </w:r>
          </w:p>
        </w:tc>
        <w:tc>
          <w:tcPr>
            <w:tcW w:w="7695" w:type="dxa"/>
          </w:tcPr>
          <w:p>
            <w:pPr>
              <w:pStyle w:val="TableParagraph"/>
              <w:spacing w:before="1"/>
              <w:ind w:left="59"/>
              <w:rPr>
                <w:sz w:val="21"/>
              </w:rPr>
            </w:pPr>
            <w:r>
              <w:rPr>
                <w:w w:val="100"/>
                <w:sz w:val="21"/>
              </w:rPr>
              <w:t> </w:t>
            </w:r>
          </w:p>
        </w:tc>
      </w:tr>
      <w:tr>
        <w:trPr>
          <w:trHeight w:val="1341" w:hRule="atLeast"/>
        </w:trPr>
        <w:tc>
          <w:tcPr>
            <w:tcW w:w="831" w:type="dxa"/>
          </w:tcPr>
          <w:p>
            <w:pPr>
              <w:pStyle w:val="TableParagraph"/>
              <w:spacing w:line="245" w:lineRule="exact"/>
              <w:ind w:left="110"/>
              <w:rPr>
                <w:b/>
                <w:sz w:val="21"/>
              </w:rPr>
            </w:pPr>
            <w:r>
              <w:rPr>
                <w:b/>
                <w:sz w:val="21"/>
              </w:rPr>
              <w:t>1.2 </w:t>
            </w:r>
          </w:p>
        </w:tc>
        <w:tc>
          <w:tcPr>
            <w:tcW w:w="1626" w:type="dxa"/>
          </w:tcPr>
          <w:p>
            <w:pPr>
              <w:pStyle w:val="TableParagraph"/>
              <w:spacing w:line="245" w:lineRule="exact"/>
              <w:ind w:left="86"/>
              <w:rPr>
                <w:b/>
                <w:sz w:val="21"/>
              </w:rPr>
            </w:pPr>
            <w:r>
              <w:rPr>
                <w:b/>
                <w:sz w:val="21"/>
              </w:rPr>
              <w:t>投保范围</w:t>
            </w:r>
            <w:r>
              <w:rPr>
                <w:b/>
                <w:w w:val="99"/>
                <w:sz w:val="21"/>
              </w:rPr>
              <w:t> </w:t>
            </w:r>
          </w:p>
        </w:tc>
        <w:tc>
          <w:tcPr>
            <w:tcW w:w="7695" w:type="dxa"/>
          </w:tcPr>
          <w:p>
            <w:pPr>
              <w:pStyle w:val="TableParagraph"/>
              <w:spacing w:line="245" w:lineRule="exact"/>
              <w:ind w:left="59"/>
              <w:rPr>
                <w:sz w:val="21"/>
              </w:rPr>
            </w:pPr>
            <w:r>
              <w:rPr>
                <w:spacing w:val="-1"/>
                <w:w w:val="100"/>
                <w:sz w:val="21"/>
              </w:rPr>
              <w:t>家庭内出生满</w:t>
            </w:r>
            <w:r>
              <w:rPr>
                <w:spacing w:val="-53"/>
                <w:sz w:val="21"/>
              </w:rPr>
              <w:t> </w:t>
            </w:r>
            <w:r>
              <w:rPr>
                <w:w w:val="100"/>
                <w:sz w:val="21"/>
              </w:rPr>
              <w:t>30</w:t>
            </w:r>
            <w:r>
              <w:rPr>
                <w:spacing w:val="-53"/>
                <w:sz w:val="21"/>
              </w:rPr>
              <w:t> </w:t>
            </w:r>
            <w:r>
              <w:rPr>
                <w:spacing w:val="-3"/>
                <w:w w:val="100"/>
                <w:sz w:val="21"/>
              </w:rPr>
              <w:t>天到</w:t>
            </w:r>
            <w:r>
              <w:rPr>
                <w:spacing w:val="-53"/>
                <w:sz w:val="21"/>
              </w:rPr>
              <w:t> </w:t>
            </w:r>
            <w:r>
              <w:rPr>
                <w:w w:val="100"/>
                <w:sz w:val="21"/>
              </w:rPr>
              <w:t>60</w:t>
            </w:r>
            <w:r>
              <w:rPr>
                <w:spacing w:val="-57"/>
                <w:sz w:val="21"/>
              </w:rPr>
              <w:t> </w:t>
            </w:r>
            <w:r>
              <w:rPr>
                <w:b/>
                <w:spacing w:val="0"/>
                <w:w w:val="100"/>
                <w:sz w:val="21"/>
              </w:rPr>
              <w:t>周岁</w:t>
            </w:r>
            <w:r>
              <w:rPr>
                <w:spacing w:val="-5"/>
                <w:w w:val="100"/>
                <w:sz w:val="21"/>
              </w:rPr>
              <w:t>（</w:t>
            </w:r>
            <w:r>
              <w:rPr>
                <w:w w:val="100"/>
                <w:sz w:val="21"/>
              </w:rPr>
              <w:t>见释义</w:t>
            </w:r>
            <w:r>
              <w:rPr>
                <w:spacing w:val="-52"/>
                <w:sz w:val="21"/>
              </w:rPr>
              <w:t> </w:t>
            </w:r>
            <w:r>
              <w:rPr>
                <w:w w:val="100"/>
                <w:sz w:val="21"/>
              </w:rPr>
              <w:t>6.</w:t>
            </w:r>
            <w:r>
              <w:rPr>
                <w:spacing w:val="-5"/>
                <w:w w:val="100"/>
                <w:sz w:val="21"/>
              </w:rPr>
              <w:t>1</w:t>
            </w:r>
            <w:r>
              <w:rPr>
                <w:spacing w:val="-106"/>
                <w:w w:val="100"/>
                <w:sz w:val="21"/>
              </w:rPr>
              <w:t>）</w:t>
            </w:r>
            <w:r>
              <w:rPr>
                <w:spacing w:val="-5"/>
                <w:w w:val="100"/>
                <w:sz w:val="21"/>
              </w:rPr>
              <w:t>、身体健康能正常工作和生活的家</w:t>
            </w:r>
          </w:p>
          <w:p>
            <w:pPr>
              <w:pStyle w:val="TableParagraph"/>
              <w:spacing w:before="70"/>
              <w:ind w:left="59"/>
              <w:rPr>
                <w:sz w:val="21"/>
              </w:rPr>
            </w:pPr>
            <w:r>
              <w:rPr>
                <w:sz w:val="21"/>
              </w:rPr>
              <w:t>庭成员，可作为被保险人参加本保险。 </w:t>
            </w:r>
          </w:p>
          <w:p>
            <w:pPr>
              <w:pStyle w:val="TableParagraph"/>
              <w:spacing w:line="346" w:lineRule="exact" w:before="33"/>
              <w:ind w:left="59" w:right="258"/>
              <w:rPr>
                <w:sz w:val="21"/>
              </w:rPr>
            </w:pPr>
            <w:r>
              <w:rPr>
                <w:spacing w:val="-12"/>
                <w:sz w:val="21"/>
              </w:rPr>
              <w:t>年满 </w:t>
            </w:r>
            <w:r>
              <w:rPr>
                <w:sz w:val="21"/>
              </w:rPr>
              <w:t>18</w:t>
            </w:r>
            <w:r>
              <w:rPr>
                <w:spacing w:val="-13"/>
                <w:sz w:val="21"/>
              </w:rPr>
              <w:t> 周岁的家庭成员，可以作为本主险合同的投保人；家庭作为团体投保时， </w:t>
            </w:r>
            <w:r>
              <w:rPr>
                <w:spacing w:val="-8"/>
                <w:sz w:val="21"/>
              </w:rPr>
              <w:t>需满足国务院保险监督管理机构关于团体投保的相关规定。</w:t>
            </w:r>
            <w:r>
              <w:rPr>
                <w:sz w:val="21"/>
              </w:rPr>
              <w:t> </w:t>
            </w:r>
          </w:p>
        </w:tc>
      </w:tr>
      <w:tr>
        <w:trPr>
          <w:trHeight w:val="309" w:hRule="atLeast"/>
        </w:trPr>
        <w:tc>
          <w:tcPr>
            <w:tcW w:w="831" w:type="dxa"/>
          </w:tcPr>
          <w:p>
            <w:pPr>
              <w:pStyle w:val="TableParagraph"/>
              <w:spacing w:before="1"/>
              <w:ind w:left="110"/>
              <w:rPr>
                <w:b/>
                <w:sz w:val="21"/>
              </w:rPr>
            </w:pPr>
            <w:r>
              <w:rPr>
                <w:b/>
                <w:w w:val="99"/>
                <w:sz w:val="21"/>
              </w:rPr>
              <w:t> </w:t>
            </w:r>
          </w:p>
        </w:tc>
        <w:tc>
          <w:tcPr>
            <w:tcW w:w="1626" w:type="dxa"/>
          </w:tcPr>
          <w:p>
            <w:pPr>
              <w:pStyle w:val="TableParagraph"/>
              <w:spacing w:before="1"/>
              <w:ind w:left="86"/>
              <w:rPr>
                <w:b/>
                <w:sz w:val="21"/>
              </w:rPr>
            </w:pPr>
            <w:r>
              <w:rPr>
                <w:b/>
                <w:w w:val="99"/>
                <w:sz w:val="21"/>
              </w:rPr>
              <w:t> </w:t>
            </w:r>
          </w:p>
        </w:tc>
        <w:tc>
          <w:tcPr>
            <w:tcW w:w="7695" w:type="dxa"/>
          </w:tcPr>
          <w:p>
            <w:pPr>
              <w:pStyle w:val="TableParagraph"/>
              <w:spacing w:before="1"/>
              <w:ind w:left="59"/>
              <w:rPr>
                <w:b/>
                <w:sz w:val="21"/>
              </w:rPr>
            </w:pPr>
            <w:r>
              <w:rPr>
                <w:b/>
                <w:w w:val="99"/>
                <w:sz w:val="21"/>
              </w:rPr>
              <w:t> </w:t>
            </w:r>
          </w:p>
        </w:tc>
      </w:tr>
      <w:tr>
        <w:trPr>
          <w:trHeight w:val="1685" w:hRule="atLeast"/>
        </w:trPr>
        <w:tc>
          <w:tcPr>
            <w:tcW w:w="831" w:type="dxa"/>
          </w:tcPr>
          <w:p>
            <w:pPr>
              <w:pStyle w:val="TableParagraph"/>
              <w:spacing w:line="245" w:lineRule="exact"/>
              <w:ind w:left="110"/>
              <w:rPr>
                <w:b/>
                <w:sz w:val="21"/>
              </w:rPr>
            </w:pPr>
            <w:r>
              <w:rPr>
                <w:b/>
                <w:sz w:val="21"/>
              </w:rPr>
              <w:t>1.3 </w:t>
            </w:r>
          </w:p>
        </w:tc>
        <w:tc>
          <w:tcPr>
            <w:tcW w:w="1626" w:type="dxa"/>
          </w:tcPr>
          <w:p>
            <w:pPr>
              <w:pStyle w:val="TableParagraph"/>
              <w:spacing w:line="245" w:lineRule="exact"/>
              <w:ind w:left="86"/>
              <w:rPr>
                <w:b/>
                <w:sz w:val="21"/>
              </w:rPr>
            </w:pPr>
            <w:r>
              <w:rPr>
                <w:b/>
                <w:sz w:val="21"/>
              </w:rPr>
              <w:t>合同的成立与</w:t>
            </w:r>
          </w:p>
          <w:p>
            <w:pPr>
              <w:pStyle w:val="TableParagraph"/>
              <w:spacing w:line="297" w:lineRule="auto" w:before="70"/>
              <w:ind w:left="86" w:right="59"/>
              <w:rPr>
                <w:b/>
                <w:sz w:val="21"/>
              </w:rPr>
            </w:pPr>
            <w:r>
              <w:rPr>
                <w:b/>
                <w:sz w:val="21"/>
              </w:rPr>
              <w:t>生效和保险责 任开始</w:t>
            </w:r>
            <w:r>
              <w:rPr>
                <w:b/>
                <w:w w:val="99"/>
                <w:sz w:val="21"/>
              </w:rPr>
              <w:t>        </w:t>
            </w:r>
          </w:p>
        </w:tc>
        <w:tc>
          <w:tcPr>
            <w:tcW w:w="7695" w:type="dxa"/>
          </w:tcPr>
          <w:p>
            <w:pPr>
              <w:pStyle w:val="TableParagraph"/>
              <w:spacing w:line="245" w:lineRule="exact"/>
              <w:ind w:left="59"/>
              <w:rPr>
                <w:sz w:val="21"/>
              </w:rPr>
            </w:pPr>
            <w:r>
              <w:rPr>
                <w:sz w:val="21"/>
              </w:rPr>
              <w:t>投保人提出保险申请、本公司同意承保，本主险合同成立，本主险合同成立日期</w:t>
            </w:r>
          </w:p>
          <w:p>
            <w:pPr>
              <w:pStyle w:val="TableParagraph"/>
              <w:spacing w:before="70"/>
              <w:ind w:left="59"/>
              <w:rPr>
                <w:sz w:val="21"/>
              </w:rPr>
            </w:pPr>
            <w:r>
              <w:rPr>
                <w:sz w:val="21"/>
              </w:rPr>
              <w:t>在保险单上载明。 </w:t>
            </w:r>
          </w:p>
          <w:p>
            <w:pPr>
              <w:pStyle w:val="TableParagraph"/>
              <w:spacing w:line="302" w:lineRule="auto" w:before="65"/>
              <w:ind w:left="59" w:right="364"/>
              <w:rPr>
                <w:sz w:val="21"/>
              </w:rPr>
            </w:pPr>
            <w:r>
              <w:rPr>
                <w:spacing w:val="-10"/>
                <w:sz w:val="21"/>
              </w:rPr>
              <w:t>自本主险合同成立、本公司收取保险费并签发保险单的次日零时起本主险合同生</w:t>
            </w:r>
            <w:r>
              <w:rPr>
                <w:spacing w:val="-7"/>
                <w:sz w:val="21"/>
              </w:rPr>
              <w:t>效，本主险合同生效日期在保险单上载明。</w:t>
            </w:r>
            <w:r>
              <w:rPr>
                <w:sz w:val="21"/>
              </w:rPr>
              <w:t> </w:t>
            </w:r>
          </w:p>
          <w:p>
            <w:pPr>
              <w:pStyle w:val="TableParagraph"/>
              <w:spacing w:before="11"/>
              <w:ind w:left="59"/>
              <w:rPr>
                <w:sz w:val="21"/>
              </w:rPr>
            </w:pPr>
            <w:r>
              <w:rPr>
                <w:sz w:val="21"/>
              </w:rPr>
              <w:t>除另有约定外，本主险合同生效的日期为本公司开始承担保险责任的日期。 </w:t>
            </w:r>
          </w:p>
        </w:tc>
      </w:tr>
      <w:tr>
        <w:trPr>
          <w:trHeight w:val="309" w:hRule="atLeast"/>
        </w:trPr>
        <w:tc>
          <w:tcPr>
            <w:tcW w:w="831" w:type="dxa"/>
          </w:tcPr>
          <w:p>
            <w:pPr>
              <w:pStyle w:val="TableParagraph"/>
              <w:spacing w:before="3"/>
              <w:ind w:left="110"/>
              <w:rPr>
                <w:b/>
                <w:sz w:val="21"/>
              </w:rPr>
            </w:pPr>
            <w:r>
              <w:rPr>
                <w:b/>
                <w:w w:val="99"/>
                <w:sz w:val="21"/>
              </w:rPr>
              <w:t> </w:t>
            </w:r>
          </w:p>
        </w:tc>
        <w:tc>
          <w:tcPr>
            <w:tcW w:w="1626" w:type="dxa"/>
          </w:tcPr>
          <w:p>
            <w:pPr>
              <w:pStyle w:val="TableParagraph"/>
              <w:spacing w:before="3"/>
              <w:ind w:left="86"/>
              <w:rPr>
                <w:b/>
                <w:sz w:val="21"/>
              </w:rPr>
            </w:pPr>
            <w:r>
              <w:rPr>
                <w:b/>
                <w:w w:val="99"/>
                <w:sz w:val="21"/>
              </w:rPr>
              <w:t> </w:t>
            </w:r>
          </w:p>
        </w:tc>
        <w:tc>
          <w:tcPr>
            <w:tcW w:w="7695" w:type="dxa"/>
          </w:tcPr>
          <w:p>
            <w:pPr>
              <w:pStyle w:val="TableParagraph"/>
              <w:spacing w:before="3"/>
              <w:ind w:left="59"/>
              <w:rPr>
                <w:b/>
                <w:sz w:val="21"/>
              </w:rPr>
            </w:pPr>
            <w:r>
              <w:rPr>
                <w:b/>
                <w:w w:val="99"/>
                <w:sz w:val="21"/>
              </w:rPr>
              <w:t> </w:t>
            </w:r>
          </w:p>
        </w:tc>
      </w:tr>
      <w:tr>
        <w:trPr>
          <w:trHeight w:val="3742" w:hRule="atLeast"/>
        </w:trPr>
        <w:tc>
          <w:tcPr>
            <w:tcW w:w="831" w:type="dxa"/>
          </w:tcPr>
          <w:p>
            <w:pPr>
              <w:pStyle w:val="TableParagraph"/>
              <w:spacing w:line="242" w:lineRule="exact"/>
              <w:ind w:left="110"/>
              <w:rPr>
                <w:b/>
                <w:sz w:val="21"/>
              </w:rPr>
            </w:pPr>
            <w:r>
              <w:rPr>
                <w:b/>
                <w:sz w:val="21"/>
              </w:rPr>
              <w:t>1.4 </w:t>
            </w:r>
          </w:p>
        </w:tc>
        <w:tc>
          <w:tcPr>
            <w:tcW w:w="1626" w:type="dxa"/>
          </w:tcPr>
          <w:p>
            <w:pPr>
              <w:pStyle w:val="TableParagraph"/>
              <w:spacing w:line="242" w:lineRule="exact"/>
              <w:ind w:left="86"/>
              <w:rPr>
                <w:b/>
                <w:sz w:val="21"/>
              </w:rPr>
            </w:pPr>
            <w:r>
              <w:rPr>
                <w:b/>
                <w:sz w:val="21"/>
              </w:rPr>
              <w:t>解除合同的手</w:t>
            </w:r>
          </w:p>
          <w:p>
            <w:pPr>
              <w:pStyle w:val="TableParagraph"/>
              <w:spacing w:before="70"/>
              <w:ind w:left="86"/>
              <w:rPr>
                <w:b/>
                <w:sz w:val="21"/>
              </w:rPr>
            </w:pPr>
            <w:r>
              <w:rPr>
                <w:b/>
                <w:sz w:val="21"/>
              </w:rPr>
              <w:t>续及风险</w:t>
            </w:r>
            <w:r>
              <w:rPr>
                <w:b/>
                <w:w w:val="99"/>
                <w:sz w:val="21"/>
              </w:rPr>
              <w:t>      </w:t>
            </w:r>
          </w:p>
        </w:tc>
        <w:tc>
          <w:tcPr>
            <w:tcW w:w="7695" w:type="dxa"/>
          </w:tcPr>
          <w:p>
            <w:pPr>
              <w:pStyle w:val="TableParagraph"/>
              <w:spacing w:line="242" w:lineRule="exact"/>
              <w:ind w:left="59"/>
              <w:jc w:val="both"/>
              <w:rPr>
                <w:sz w:val="21"/>
              </w:rPr>
            </w:pPr>
            <w:r>
              <w:rPr>
                <w:spacing w:val="-9"/>
                <w:sz w:val="21"/>
              </w:rPr>
              <w:t>一、投保人于本主险合同成立后，可以书面通知要求解除本主险合同</w:t>
            </w:r>
            <w:r>
              <w:rPr>
                <w:sz w:val="21"/>
              </w:rPr>
              <w:t>（</w:t>
            </w:r>
            <w:r>
              <w:rPr>
                <w:spacing w:val="-3"/>
                <w:sz w:val="21"/>
              </w:rPr>
              <w:t>即</w:t>
            </w:r>
            <w:r>
              <w:rPr>
                <w:b/>
                <w:sz w:val="21"/>
              </w:rPr>
              <w:t>退保</w:t>
            </w:r>
            <w:r>
              <w:rPr>
                <w:spacing w:val="-106"/>
                <w:sz w:val="21"/>
              </w:rPr>
              <w:t>）</w:t>
            </w:r>
            <w:r>
              <w:rPr>
                <w:spacing w:val="-110"/>
                <w:sz w:val="21"/>
              </w:rPr>
              <w:t>。</w:t>
            </w:r>
            <w:r>
              <w:rPr>
                <w:sz w:val="21"/>
              </w:rPr>
              <w:t> </w:t>
            </w:r>
          </w:p>
          <w:p>
            <w:pPr>
              <w:pStyle w:val="TableParagraph"/>
              <w:spacing w:before="70"/>
              <w:ind w:left="59"/>
              <w:jc w:val="both"/>
              <w:rPr>
                <w:sz w:val="21"/>
              </w:rPr>
            </w:pPr>
            <w:r>
              <w:rPr>
                <w:sz w:val="21"/>
              </w:rPr>
              <w:t>二、投保人要求解除本主险合同时，应提供下列证明和资料： </w:t>
            </w:r>
          </w:p>
          <w:p>
            <w:pPr>
              <w:pStyle w:val="TableParagraph"/>
              <w:spacing w:before="65"/>
              <w:ind w:left="59"/>
              <w:jc w:val="both"/>
              <w:rPr>
                <w:sz w:val="21"/>
              </w:rPr>
            </w:pPr>
            <w:r>
              <w:rPr>
                <w:sz w:val="21"/>
              </w:rPr>
              <w:t>（1）保险合同； </w:t>
            </w:r>
          </w:p>
          <w:p>
            <w:pPr>
              <w:pStyle w:val="TableParagraph"/>
              <w:spacing w:before="70"/>
              <w:ind w:left="59"/>
              <w:jc w:val="both"/>
              <w:rPr>
                <w:sz w:val="21"/>
              </w:rPr>
            </w:pPr>
            <w:r>
              <w:rPr>
                <w:sz w:val="21"/>
              </w:rPr>
              <w:t>（2）保险单或其他保险凭证； </w:t>
            </w:r>
          </w:p>
          <w:p>
            <w:pPr>
              <w:pStyle w:val="TableParagraph"/>
              <w:spacing w:before="66"/>
              <w:ind w:left="59"/>
              <w:jc w:val="both"/>
              <w:rPr>
                <w:sz w:val="21"/>
              </w:rPr>
            </w:pPr>
            <w:r>
              <w:rPr>
                <w:sz w:val="21"/>
              </w:rPr>
              <w:t>（3）解除合同申请书； </w:t>
            </w:r>
          </w:p>
          <w:p>
            <w:pPr>
              <w:pStyle w:val="TableParagraph"/>
              <w:spacing w:before="71"/>
              <w:ind w:left="59"/>
              <w:jc w:val="both"/>
              <w:rPr>
                <w:sz w:val="21"/>
              </w:rPr>
            </w:pPr>
            <w:r>
              <w:rPr>
                <w:sz w:val="21"/>
              </w:rPr>
              <w:t>（4）保险费收据。 </w:t>
            </w:r>
          </w:p>
          <w:p>
            <w:pPr>
              <w:pStyle w:val="TableParagraph"/>
              <w:spacing w:line="300" w:lineRule="auto" w:before="66"/>
              <w:ind w:left="59" w:right="364"/>
              <w:jc w:val="both"/>
              <w:rPr>
                <w:sz w:val="21"/>
              </w:rPr>
            </w:pPr>
            <w:r>
              <w:rPr>
                <w:spacing w:val="-11"/>
                <w:sz w:val="21"/>
              </w:rPr>
              <w:t>三、投保人要求解除本主险合同的，自本公司接到解除本主险合同申请书之日二</w:t>
            </w:r>
            <w:r>
              <w:rPr>
                <w:spacing w:val="-8"/>
                <w:sz w:val="21"/>
              </w:rPr>
              <w:t>十四时起，保险责任终止，并于接到上述证明和资料之日起 </w:t>
            </w:r>
            <w:r>
              <w:rPr>
                <w:sz w:val="21"/>
              </w:rPr>
              <w:t>30</w:t>
            </w:r>
            <w:r>
              <w:rPr>
                <w:spacing w:val="-7"/>
                <w:sz w:val="21"/>
              </w:rPr>
              <w:t> 日内向投保人退</w:t>
            </w:r>
            <w:r>
              <w:rPr>
                <w:spacing w:val="-6"/>
                <w:sz w:val="21"/>
              </w:rPr>
              <w:t>还本主险合同项下未发生保险事故的各被保险人对应的保险单的</w:t>
            </w:r>
            <w:r>
              <w:rPr>
                <w:b/>
                <w:spacing w:val="-22"/>
                <w:sz w:val="21"/>
              </w:rPr>
              <w:t>现金价值</w:t>
            </w:r>
            <w:r>
              <w:rPr>
                <w:spacing w:val="-5"/>
                <w:sz w:val="21"/>
              </w:rPr>
              <w:t>（</w:t>
            </w:r>
            <w:r>
              <w:rPr>
                <w:sz w:val="21"/>
              </w:rPr>
              <w:t>见释</w:t>
            </w:r>
            <w:r>
              <w:rPr>
                <w:w w:val="100"/>
                <w:sz w:val="21"/>
              </w:rPr>
              <w:t>义</w:t>
            </w:r>
            <w:r>
              <w:rPr>
                <w:spacing w:val="-53"/>
                <w:sz w:val="21"/>
              </w:rPr>
              <w:t> </w:t>
            </w:r>
            <w:r>
              <w:rPr>
                <w:w w:val="100"/>
                <w:sz w:val="21"/>
              </w:rPr>
              <w:t>6.2</w:t>
            </w:r>
            <w:r>
              <w:rPr>
                <w:spacing w:val="-106"/>
                <w:w w:val="100"/>
                <w:sz w:val="21"/>
              </w:rPr>
              <w:t>）</w:t>
            </w:r>
            <w:r>
              <w:rPr>
                <w:spacing w:val="-5"/>
                <w:w w:val="100"/>
                <w:sz w:val="21"/>
              </w:rPr>
              <w:t>。</w:t>
            </w:r>
            <w:r>
              <w:rPr>
                <w:w w:val="100"/>
                <w:sz w:val="21"/>
              </w:rPr>
              <w:t> </w:t>
            </w:r>
          </w:p>
          <w:p>
            <w:pPr>
              <w:pStyle w:val="TableParagraph"/>
              <w:spacing w:before="13"/>
              <w:ind w:left="59"/>
              <w:jc w:val="both"/>
              <w:rPr>
                <w:sz w:val="21"/>
              </w:rPr>
            </w:pPr>
            <w:r>
              <w:rPr>
                <w:rFonts w:ascii="黑体" w:eastAsia="黑体" w:hint="eastAsia"/>
                <w:sz w:val="21"/>
              </w:rPr>
              <w:t>投保人解除合同会遭受一定损失。</w:t>
            </w:r>
            <w:r>
              <w:rPr>
                <w:sz w:val="21"/>
              </w:rPr>
              <w:t> </w:t>
            </w:r>
          </w:p>
        </w:tc>
      </w:tr>
      <w:tr>
        <w:trPr>
          <w:trHeight w:val="328" w:hRule="atLeast"/>
        </w:trPr>
        <w:tc>
          <w:tcPr>
            <w:tcW w:w="831" w:type="dxa"/>
          </w:tcPr>
          <w:p>
            <w:pPr>
              <w:pStyle w:val="TableParagraph"/>
              <w:spacing w:before="3"/>
              <w:ind w:left="110"/>
              <w:rPr>
                <w:b/>
                <w:sz w:val="21"/>
              </w:rPr>
            </w:pPr>
            <w:r>
              <w:rPr>
                <w:b/>
                <w:w w:val="99"/>
                <w:sz w:val="21"/>
              </w:rPr>
              <w:t> </w:t>
            </w:r>
          </w:p>
        </w:tc>
        <w:tc>
          <w:tcPr>
            <w:tcW w:w="1626" w:type="dxa"/>
          </w:tcPr>
          <w:p>
            <w:pPr>
              <w:pStyle w:val="TableParagraph"/>
              <w:spacing w:before="3"/>
              <w:ind w:left="86"/>
              <w:rPr>
                <w:b/>
                <w:sz w:val="21"/>
              </w:rPr>
            </w:pPr>
            <w:r>
              <w:rPr>
                <w:b/>
                <w:w w:val="99"/>
                <w:sz w:val="21"/>
              </w:rPr>
              <w:t> </w:t>
            </w:r>
          </w:p>
        </w:tc>
        <w:tc>
          <w:tcPr>
            <w:tcW w:w="7695" w:type="dxa"/>
          </w:tcPr>
          <w:p>
            <w:pPr>
              <w:pStyle w:val="TableParagraph"/>
              <w:ind w:left="0"/>
              <w:rPr>
                <w:rFonts w:ascii="Times New Roman"/>
                <w:sz w:val="20"/>
              </w:rPr>
            </w:pPr>
          </w:p>
        </w:tc>
      </w:tr>
      <w:tr>
        <w:trPr>
          <w:trHeight w:val="572" w:hRule="atLeast"/>
        </w:trPr>
        <w:tc>
          <w:tcPr>
            <w:tcW w:w="831" w:type="dxa"/>
            <w:tcBorders>
              <w:bottom w:val="single" w:sz="8" w:space="0" w:color="000000"/>
            </w:tcBorders>
          </w:tcPr>
          <w:p>
            <w:pPr>
              <w:pStyle w:val="TableParagraph"/>
              <w:spacing w:before="10"/>
              <w:ind w:left="110"/>
              <w:rPr>
                <w:rFonts w:ascii="Arial" w:hAnsi="Arial"/>
                <w:b/>
                <w:sz w:val="40"/>
              </w:rPr>
            </w:pPr>
            <w:r>
              <w:rPr>
                <w:rFonts w:ascii="Arial" w:hAnsi="Arial"/>
                <w:b/>
                <w:w w:val="118"/>
                <w:sz w:val="40"/>
              </w:rPr>
              <w:t></w:t>
            </w:r>
          </w:p>
        </w:tc>
        <w:tc>
          <w:tcPr>
            <w:tcW w:w="9321" w:type="dxa"/>
            <w:gridSpan w:val="2"/>
          </w:tcPr>
          <w:p>
            <w:pPr>
              <w:pStyle w:val="TableParagraph"/>
              <w:spacing w:before="67"/>
              <w:ind w:left="86"/>
              <w:rPr>
                <w:b/>
                <w:sz w:val="24"/>
              </w:rPr>
            </w:pPr>
            <w:r>
              <w:rPr>
                <w:b/>
                <w:w w:val="95"/>
                <w:sz w:val="24"/>
              </w:rPr>
              <w:t>本公司提供的保障</w:t>
            </w:r>
            <w:r>
              <w:rPr>
                <w:b/>
                <w:w w:val="99"/>
                <w:sz w:val="24"/>
              </w:rPr>
              <w:t>                                                           </w:t>
            </w:r>
          </w:p>
        </w:tc>
      </w:tr>
      <w:tr>
        <w:trPr>
          <w:trHeight w:val="276" w:hRule="atLeast"/>
        </w:trPr>
        <w:tc>
          <w:tcPr>
            <w:tcW w:w="831" w:type="dxa"/>
            <w:tcBorders>
              <w:top w:val="single" w:sz="8" w:space="0" w:color="000000"/>
            </w:tcBorders>
          </w:tcPr>
          <w:p>
            <w:pPr>
              <w:pStyle w:val="TableParagraph"/>
              <w:spacing w:line="253" w:lineRule="exact" w:before="4"/>
              <w:ind w:left="110"/>
              <w:rPr>
                <w:sz w:val="21"/>
              </w:rPr>
            </w:pPr>
            <w:r>
              <w:rPr>
                <w:w w:val="100"/>
                <w:sz w:val="21"/>
              </w:rPr>
              <w:t> </w:t>
            </w:r>
          </w:p>
        </w:tc>
        <w:tc>
          <w:tcPr>
            <w:tcW w:w="1626" w:type="dxa"/>
            <w:tcBorders>
              <w:top w:val="single" w:sz="8" w:space="0" w:color="000000"/>
            </w:tcBorders>
          </w:tcPr>
          <w:p>
            <w:pPr>
              <w:pStyle w:val="TableParagraph"/>
              <w:spacing w:line="253" w:lineRule="exact" w:before="4"/>
              <w:ind w:left="86"/>
              <w:rPr>
                <w:sz w:val="21"/>
              </w:rPr>
            </w:pPr>
            <w:r>
              <w:rPr>
                <w:w w:val="100"/>
                <w:sz w:val="21"/>
              </w:rPr>
              <w:t> </w:t>
            </w:r>
          </w:p>
        </w:tc>
        <w:tc>
          <w:tcPr>
            <w:tcW w:w="7695" w:type="dxa"/>
            <w:tcBorders>
              <w:top w:val="single" w:sz="8" w:space="0" w:color="000000"/>
            </w:tcBorders>
          </w:tcPr>
          <w:p>
            <w:pPr>
              <w:pStyle w:val="TableParagraph"/>
              <w:spacing w:line="253" w:lineRule="exact" w:before="4"/>
              <w:ind w:left="59"/>
              <w:rPr>
                <w:sz w:val="21"/>
              </w:rPr>
            </w:pPr>
            <w:r>
              <w:rPr>
                <w:w w:val="100"/>
                <w:sz w:val="21"/>
              </w:rPr>
              <w:t> </w:t>
            </w:r>
          </w:p>
        </w:tc>
      </w:tr>
      <w:tr>
        <w:trPr>
          <w:trHeight w:val="275" w:hRule="atLeast"/>
        </w:trPr>
        <w:tc>
          <w:tcPr>
            <w:tcW w:w="831" w:type="dxa"/>
          </w:tcPr>
          <w:p>
            <w:pPr>
              <w:pStyle w:val="TableParagraph"/>
              <w:spacing w:line="209" w:lineRule="exact"/>
              <w:ind w:left="110"/>
              <w:rPr>
                <w:b/>
                <w:sz w:val="21"/>
              </w:rPr>
            </w:pPr>
            <w:r>
              <w:rPr>
                <w:b/>
                <w:sz w:val="21"/>
              </w:rPr>
              <w:t>2.1   </w:t>
            </w:r>
          </w:p>
        </w:tc>
        <w:tc>
          <w:tcPr>
            <w:tcW w:w="1626" w:type="dxa"/>
          </w:tcPr>
          <w:p>
            <w:pPr>
              <w:pStyle w:val="TableParagraph"/>
              <w:spacing w:line="209" w:lineRule="exact"/>
              <w:ind w:left="86"/>
              <w:rPr>
                <w:b/>
                <w:sz w:val="21"/>
              </w:rPr>
            </w:pPr>
            <w:r>
              <w:rPr>
                <w:b/>
                <w:sz w:val="21"/>
              </w:rPr>
              <w:t>保险金额</w:t>
            </w:r>
            <w:r>
              <w:rPr>
                <w:b/>
                <w:w w:val="99"/>
                <w:sz w:val="21"/>
              </w:rPr>
              <w:t>      </w:t>
            </w:r>
          </w:p>
        </w:tc>
        <w:tc>
          <w:tcPr>
            <w:tcW w:w="7695" w:type="dxa"/>
          </w:tcPr>
          <w:p>
            <w:pPr>
              <w:pStyle w:val="TableParagraph"/>
              <w:spacing w:line="209" w:lineRule="exact"/>
              <w:ind w:left="59"/>
              <w:rPr>
                <w:sz w:val="21"/>
              </w:rPr>
            </w:pPr>
            <w:r>
              <w:rPr>
                <w:sz w:val="21"/>
              </w:rPr>
              <w:t>保险金额由投保人和本公司双方约定，并在保险单中载明。 </w:t>
            </w:r>
          </w:p>
        </w:tc>
      </w:tr>
      <w:tr>
        <w:trPr>
          <w:trHeight w:val="312" w:hRule="atLeast"/>
        </w:trPr>
        <w:tc>
          <w:tcPr>
            <w:tcW w:w="831" w:type="dxa"/>
          </w:tcPr>
          <w:p>
            <w:pPr>
              <w:pStyle w:val="TableParagraph"/>
              <w:spacing w:before="3"/>
              <w:ind w:left="110"/>
              <w:rPr>
                <w:b/>
                <w:sz w:val="21"/>
              </w:rPr>
            </w:pPr>
            <w:r>
              <w:rPr>
                <w:b/>
                <w:w w:val="99"/>
                <w:sz w:val="21"/>
              </w:rPr>
              <w:t> </w:t>
            </w:r>
          </w:p>
        </w:tc>
        <w:tc>
          <w:tcPr>
            <w:tcW w:w="1626" w:type="dxa"/>
          </w:tcPr>
          <w:p>
            <w:pPr>
              <w:pStyle w:val="TableParagraph"/>
              <w:spacing w:before="3"/>
              <w:ind w:left="86"/>
              <w:rPr>
                <w:b/>
                <w:sz w:val="21"/>
              </w:rPr>
            </w:pPr>
            <w:r>
              <w:rPr>
                <w:b/>
                <w:w w:val="99"/>
                <w:sz w:val="21"/>
              </w:rPr>
              <w:t> </w:t>
            </w:r>
          </w:p>
        </w:tc>
        <w:tc>
          <w:tcPr>
            <w:tcW w:w="7695" w:type="dxa"/>
          </w:tcPr>
          <w:p>
            <w:pPr>
              <w:pStyle w:val="TableParagraph"/>
              <w:spacing w:before="3"/>
              <w:ind w:left="59"/>
              <w:rPr>
                <w:b/>
                <w:sz w:val="21"/>
              </w:rPr>
            </w:pPr>
            <w:r>
              <w:rPr>
                <w:b/>
                <w:w w:val="99"/>
                <w:sz w:val="21"/>
              </w:rPr>
              <w:t> </w:t>
            </w:r>
          </w:p>
        </w:tc>
      </w:tr>
      <w:tr>
        <w:trPr>
          <w:trHeight w:val="652" w:hRule="atLeast"/>
        </w:trPr>
        <w:tc>
          <w:tcPr>
            <w:tcW w:w="831" w:type="dxa"/>
          </w:tcPr>
          <w:p>
            <w:pPr>
              <w:pStyle w:val="TableParagraph"/>
              <w:spacing w:line="245" w:lineRule="exact"/>
              <w:ind w:left="110"/>
              <w:rPr>
                <w:b/>
                <w:sz w:val="21"/>
              </w:rPr>
            </w:pPr>
            <w:r>
              <w:rPr>
                <w:b/>
                <w:sz w:val="21"/>
              </w:rPr>
              <w:t>2.2 </w:t>
            </w:r>
          </w:p>
        </w:tc>
        <w:tc>
          <w:tcPr>
            <w:tcW w:w="1626" w:type="dxa"/>
          </w:tcPr>
          <w:p>
            <w:pPr>
              <w:pStyle w:val="TableParagraph"/>
              <w:spacing w:line="245" w:lineRule="exact"/>
              <w:ind w:left="86"/>
              <w:rPr>
                <w:b/>
                <w:sz w:val="21"/>
              </w:rPr>
            </w:pPr>
            <w:r>
              <w:rPr>
                <w:b/>
                <w:sz w:val="21"/>
              </w:rPr>
              <w:t>保险期间</w:t>
            </w:r>
            <w:r>
              <w:rPr>
                <w:b/>
                <w:w w:val="99"/>
                <w:sz w:val="21"/>
              </w:rPr>
              <w:t> </w:t>
            </w:r>
          </w:p>
        </w:tc>
        <w:tc>
          <w:tcPr>
            <w:tcW w:w="7695" w:type="dxa"/>
          </w:tcPr>
          <w:p>
            <w:pPr>
              <w:pStyle w:val="TableParagraph"/>
              <w:spacing w:line="245" w:lineRule="exact"/>
              <w:ind w:left="59"/>
              <w:rPr>
                <w:sz w:val="21"/>
              </w:rPr>
            </w:pPr>
            <w:r>
              <w:rPr>
                <w:sz w:val="21"/>
              </w:rPr>
              <w:t>本主险合同保险期间为一年。本公司所承担的保险责任自本主险合同生效次日零</w:t>
            </w:r>
          </w:p>
          <w:p>
            <w:pPr>
              <w:pStyle w:val="TableParagraph"/>
              <w:spacing w:before="66"/>
              <w:ind w:left="59"/>
              <w:rPr>
                <w:sz w:val="21"/>
              </w:rPr>
            </w:pPr>
            <w:r>
              <w:rPr>
                <w:sz w:val="21"/>
              </w:rPr>
              <w:t>时起至期满之日二十四时止。 </w:t>
            </w:r>
          </w:p>
        </w:tc>
      </w:tr>
      <w:tr>
        <w:trPr>
          <w:trHeight w:val="307" w:hRule="atLeast"/>
        </w:trPr>
        <w:tc>
          <w:tcPr>
            <w:tcW w:w="831" w:type="dxa"/>
          </w:tcPr>
          <w:p>
            <w:pPr>
              <w:pStyle w:val="TableParagraph"/>
              <w:spacing w:before="3"/>
              <w:ind w:left="110"/>
              <w:rPr>
                <w:b/>
                <w:sz w:val="21"/>
              </w:rPr>
            </w:pPr>
            <w:r>
              <w:rPr>
                <w:b/>
                <w:w w:val="99"/>
                <w:sz w:val="21"/>
              </w:rPr>
              <w:t> </w:t>
            </w:r>
          </w:p>
        </w:tc>
        <w:tc>
          <w:tcPr>
            <w:tcW w:w="1626" w:type="dxa"/>
          </w:tcPr>
          <w:p>
            <w:pPr>
              <w:pStyle w:val="TableParagraph"/>
              <w:spacing w:before="3"/>
              <w:ind w:left="86"/>
              <w:rPr>
                <w:b/>
                <w:sz w:val="21"/>
              </w:rPr>
            </w:pPr>
            <w:r>
              <w:rPr>
                <w:b/>
                <w:w w:val="99"/>
                <w:sz w:val="21"/>
              </w:rPr>
              <w:t> </w:t>
            </w:r>
          </w:p>
        </w:tc>
        <w:tc>
          <w:tcPr>
            <w:tcW w:w="7695" w:type="dxa"/>
          </w:tcPr>
          <w:p>
            <w:pPr>
              <w:pStyle w:val="TableParagraph"/>
              <w:spacing w:before="3"/>
              <w:ind w:left="59"/>
              <w:rPr>
                <w:sz w:val="21"/>
              </w:rPr>
            </w:pPr>
            <w:r>
              <w:rPr>
                <w:w w:val="100"/>
                <w:sz w:val="21"/>
              </w:rPr>
              <w:t> </w:t>
            </w:r>
          </w:p>
        </w:tc>
      </w:tr>
      <w:tr>
        <w:trPr>
          <w:trHeight w:val="240" w:hRule="atLeast"/>
        </w:trPr>
        <w:tc>
          <w:tcPr>
            <w:tcW w:w="831" w:type="dxa"/>
          </w:tcPr>
          <w:p>
            <w:pPr>
              <w:pStyle w:val="TableParagraph"/>
              <w:spacing w:line="220" w:lineRule="exact"/>
              <w:ind w:left="110"/>
              <w:rPr>
                <w:b/>
                <w:sz w:val="21"/>
              </w:rPr>
            </w:pPr>
            <w:r>
              <w:rPr>
                <w:b/>
                <w:sz w:val="21"/>
              </w:rPr>
              <w:t>2.3 </w:t>
            </w:r>
          </w:p>
        </w:tc>
        <w:tc>
          <w:tcPr>
            <w:tcW w:w="1626" w:type="dxa"/>
          </w:tcPr>
          <w:p>
            <w:pPr>
              <w:pStyle w:val="TableParagraph"/>
              <w:spacing w:line="220" w:lineRule="exact"/>
              <w:ind w:left="86"/>
              <w:rPr>
                <w:b/>
                <w:sz w:val="21"/>
              </w:rPr>
            </w:pPr>
            <w:r>
              <w:rPr>
                <w:b/>
                <w:sz w:val="21"/>
              </w:rPr>
              <w:t>保险责任</w:t>
            </w:r>
            <w:r>
              <w:rPr>
                <w:b/>
                <w:w w:val="99"/>
                <w:sz w:val="21"/>
              </w:rPr>
              <w:t> </w:t>
            </w:r>
          </w:p>
        </w:tc>
        <w:tc>
          <w:tcPr>
            <w:tcW w:w="7695" w:type="dxa"/>
          </w:tcPr>
          <w:p>
            <w:pPr>
              <w:pStyle w:val="TableParagraph"/>
              <w:spacing w:line="220" w:lineRule="exact"/>
              <w:ind w:left="59"/>
              <w:rPr>
                <w:sz w:val="21"/>
              </w:rPr>
            </w:pPr>
            <w:r>
              <w:rPr>
                <w:sz w:val="21"/>
              </w:rPr>
              <w:t>在本主险合同有效期内，本公司承担如下保险责任： </w:t>
            </w:r>
          </w:p>
        </w:tc>
      </w:tr>
    </w:tbl>
    <w:p>
      <w:pPr>
        <w:spacing w:after="0" w:line="220" w:lineRule="exact"/>
        <w:rPr>
          <w:sz w:val="21"/>
        </w:rPr>
        <w:sectPr>
          <w:footerReference w:type="default" r:id="rId7"/>
          <w:pgSz w:w="11910" w:h="16840"/>
          <w:pgMar w:footer="915" w:header="0" w:top="1500" w:bottom="1100" w:left="900" w:right="640"/>
          <w:pgNumType w:start="1"/>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731"/>
        <w:gridCol w:w="7436"/>
      </w:tblGrid>
      <w:tr>
        <w:trPr>
          <w:trHeight w:val="2678" w:hRule="atLeast"/>
        </w:trPr>
        <w:tc>
          <w:tcPr>
            <w:tcW w:w="725" w:type="dxa"/>
          </w:tcPr>
          <w:p>
            <w:pPr>
              <w:pStyle w:val="TableParagraph"/>
              <w:ind w:left="0"/>
              <w:rPr>
                <w:rFonts w:ascii="Times New Roman"/>
                <w:sz w:val="20"/>
              </w:rPr>
            </w:pPr>
          </w:p>
        </w:tc>
        <w:tc>
          <w:tcPr>
            <w:tcW w:w="1731" w:type="dxa"/>
          </w:tcPr>
          <w:p>
            <w:pPr>
              <w:pStyle w:val="TableParagraph"/>
              <w:spacing w:line="201" w:lineRule="exact"/>
              <w:ind w:left="192"/>
              <w:rPr>
                <w:b/>
                <w:sz w:val="21"/>
              </w:rPr>
            </w:pPr>
            <w:r>
              <w:rPr>
                <w:b/>
                <w:sz w:val="21"/>
              </w:rPr>
              <w:t>等待期</w:t>
            </w:r>
            <w:r>
              <w:rPr>
                <w:b/>
                <w:w w:val="99"/>
                <w:sz w:val="21"/>
              </w:rPr>
              <w:t> </w:t>
            </w:r>
          </w:p>
        </w:tc>
        <w:tc>
          <w:tcPr>
            <w:tcW w:w="7436" w:type="dxa"/>
          </w:tcPr>
          <w:p>
            <w:pPr>
              <w:pStyle w:val="TableParagraph"/>
              <w:spacing w:line="201" w:lineRule="exact"/>
              <w:ind w:left="60"/>
              <w:rPr>
                <w:sz w:val="21"/>
              </w:rPr>
            </w:pPr>
            <w:r>
              <w:rPr>
                <w:sz w:val="21"/>
              </w:rPr>
              <w:t>第一次投保本保险或非连续投保本保险时，从本主险合同保险责任生效日起 45</w:t>
            </w:r>
          </w:p>
          <w:p>
            <w:pPr>
              <w:pStyle w:val="TableParagraph"/>
              <w:spacing w:line="302" w:lineRule="auto" w:before="66"/>
              <w:ind w:left="60" w:right="104"/>
              <w:rPr>
                <w:sz w:val="21"/>
              </w:rPr>
            </w:pPr>
            <w:r>
              <w:rPr>
                <w:spacing w:val="-5"/>
                <w:sz w:val="21"/>
              </w:rPr>
              <w:t>日为等待期。对于等待期内被保险人因疾病被</w:t>
            </w:r>
            <w:r>
              <w:rPr>
                <w:b/>
                <w:spacing w:val="-5"/>
                <w:sz w:val="21"/>
              </w:rPr>
              <w:t>医院</w:t>
            </w:r>
            <w:r>
              <w:rPr>
                <w:spacing w:val="-5"/>
                <w:sz w:val="21"/>
              </w:rPr>
              <w:t>（见释义 </w:t>
            </w:r>
            <w:r>
              <w:rPr>
                <w:spacing w:val="-4"/>
                <w:sz w:val="21"/>
              </w:rPr>
              <w:t>6.3）</w:t>
            </w:r>
            <w:r>
              <w:rPr>
                <w:spacing w:val="-5"/>
                <w:sz w:val="21"/>
              </w:rPr>
              <w:t>或</w:t>
            </w:r>
            <w:r>
              <w:rPr>
                <w:b/>
                <w:sz w:val="21"/>
              </w:rPr>
              <w:t>本公司认可</w:t>
            </w:r>
            <w:r>
              <w:rPr>
                <w:b/>
                <w:spacing w:val="1"/>
                <w:sz w:val="21"/>
              </w:rPr>
              <w:t>的其他医疗机构</w:t>
            </w:r>
            <w:r>
              <w:rPr>
                <w:sz w:val="21"/>
              </w:rPr>
              <w:t>（</w:t>
            </w:r>
            <w:r>
              <w:rPr>
                <w:spacing w:val="12"/>
                <w:sz w:val="21"/>
              </w:rPr>
              <w:t>见释义 </w:t>
            </w:r>
            <w:r>
              <w:rPr>
                <w:sz w:val="21"/>
              </w:rPr>
              <w:t>6.4）确诊患本主险合同所定义的</w:t>
            </w:r>
            <w:r>
              <w:rPr>
                <w:b/>
                <w:spacing w:val="2"/>
                <w:sz w:val="21"/>
              </w:rPr>
              <w:t>重大疾病</w:t>
            </w:r>
            <w:r>
              <w:rPr>
                <w:sz w:val="21"/>
              </w:rPr>
              <w:t>（见释义</w:t>
            </w:r>
          </w:p>
          <w:p>
            <w:pPr>
              <w:pStyle w:val="TableParagraph"/>
              <w:spacing w:line="302" w:lineRule="auto" w:before="12"/>
              <w:ind w:left="60" w:right="107"/>
              <w:rPr>
                <w:sz w:val="21"/>
              </w:rPr>
            </w:pPr>
            <w:r>
              <w:rPr>
                <w:w w:val="100"/>
                <w:sz w:val="21"/>
              </w:rPr>
              <w:t>6.5</w:t>
            </w:r>
            <w:r>
              <w:rPr>
                <w:spacing w:val="-106"/>
                <w:w w:val="100"/>
                <w:sz w:val="21"/>
              </w:rPr>
              <w:t>）</w:t>
            </w:r>
            <w:r>
              <w:rPr>
                <w:spacing w:val="-10"/>
                <w:w w:val="100"/>
                <w:sz w:val="21"/>
              </w:rPr>
              <w:t>，本公司无息返还该被保险人对应的保险费，本主险合同对该被保险人的保</w:t>
            </w:r>
            <w:r>
              <w:rPr>
                <w:spacing w:val="-9"/>
                <w:sz w:val="21"/>
              </w:rPr>
              <w:t>险责任终止。</w:t>
            </w:r>
            <w:r>
              <w:rPr>
                <w:sz w:val="21"/>
              </w:rPr>
              <w:t> </w:t>
            </w:r>
          </w:p>
          <w:p>
            <w:pPr>
              <w:pStyle w:val="TableParagraph"/>
              <w:spacing w:before="11"/>
              <w:ind w:left="60"/>
              <w:rPr>
                <w:sz w:val="21"/>
              </w:rPr>
            </w:pPr>
            <w:r>
              <w:rPr>
                <w:sz w:val="21"/>
              </w:rPr>
              <w:t>被保险人因遭受意外伤害事故发生上述情形的，无等待期。 </w:t>
            </w:r>
          </w:p>
          <w:p>
            <w:pPr>
              <w:pStyle w:val="TableParagraph"/>
              <w:spacing w:line="297" w:lineRule="auto" w:before="70"/>
              <w:ind w:left="60" w:right="1073"/>
              <w:rPr>
                <w:b/>
                <w:sz w:val="21"/>
              </w:rPr>
            </w:pPr>
            <w:r>
              <w:rPr>
                <w:spacing w:val="-6"/>
                <w:sz w:val="21"/>
              </w:rPr>
              <w:t>投保人在本主险合同保险期间届满前 </w:t>
            </w:r>
            <w:r>
              <w:rPr>
                <w:sz w:val="21"/>
              </w:rPr>
              <w:t>30</w:t>
            </w:r>
            <w:r>
              <w:rPr>
                <w:spacing w:val="-8"/>
                <w:sz w:val="21"/>
              </w:rPr>
              <w:t> 日提出续保的，无等待期。</w:t>
            </w:r>
            <w:r>
              <w:rPr>
                <w:spacing w:val="-5"/>
                <w:sz w:val="21"/>
              </w:rPr>
              <w:t>如果在等待期后发生保险事故，本公司按照下列方式给付保险金：</w:t>
            </w:r>
            <w:r>
              <w:rPr>
                <w:b/>
                <w:w w:val="99"/>
                <w:sz w:val="21"/>
              </w:rPr>
              <w:t> </w:t>
            </w:r>
          </w:p>
        </w:tc>
      </w:tr>
      <w:tr>
        <w:trPr>
          <w:trHeight w:val="343" w:hRule="atLeast"/>
        </w:trPr>
        <w:tc>
          <w:tcPr>
            <w:tcW w:w="725" w:type="dxa"/>
          </w:tcPr>
          <w:p>
            <w:pPr>
              <w:pStyle w:val="TableParagraph"/>
              <w:spacing w:line="268" w:lineRule="exact"/>
              <w:ind w:left="110"/>
              <w:rPr>
                <w:b/>
                <w:sz w:val="21"/>
              </w:rPr>
            </w:pPr>
            <w:r>
              <w:rPr>
                <w:b/>
                <w:w w:val="99"/>
                <w:sz w:val="21"/>
              </w:rPr>
              <w:t> </w:t>
            </w:r>
          </w:p>
        </w:tc>
        <w:tc>
          <w:tcPr>
            <w:tcW w:w="1731" w:type="dxa"/>
          </w:tcPr>
          <w:p>
            <w:pPr>
              <w:pStyle w:val="TableParagraph"/>
              <w:spacing w:line="268" w:lineRule="exact"/>
              <w:ind w:left="192"/>
              <w:rPr>
                <w:b/>
                <w:sz w:val="21"/>
              </w:rPr>
            </w:pPr>
            <w:r>
              <w:rPr>
                <w:b/>
                <w:w w:val="99"/>
                <w:sz w:val="21"/>
              </w:rPr>
              <w:t> </w:t>
            </w:r>
          </w:p>
        </w:tc>
        <w:tc>
          <w:tcPr>
            <w:tcW w:w="7436" w:type="dxa"/>
          </w:tcPr>
          <w:p>
            <w:pPr>
              <w:pStyle w:val="TableParagraph"/>
              <w:ind w:left="0"/>
              <w:rPr>
                <w:rFonts w:ascii="Times New Roman"/>
                <w:sz w:val="20"/>
              </w:rPr>
            </w:pPr>
          </w:p>
        </w:tc>
      </w:tr>
      <w:tr>
        <w:trPr>
          <w:trHeight w:val="1029" w:hRule="atLeast"/>
        </w:trPr>
        <w:tc>
          <w:tcPr>
            <w:tcW w:w="725" w:type="dxa"/>
          </w:tcPr>
          <w:p>
            <w:pPr>
              <w:pStyle w:val="TableParagraph"/>
              <w:spacing w:line="266" w:lineRule="exact"/>
              <w:ind w:left="110"/>
              <w:rPr>
                <w:b/>
                <w:sz w:val="21"/>
              </w:rPr>
            </w:pPr>
            <w:r>
              <w:rPr>
                <w:b/>
                <w:w w:val="99"/>
                <w:sz w:val="21"/>
              </w:rPr>
              <w:t> </w:t>
            </w:r>
          </w:p>
        </w:tc>
        <w:tc>
          <w:tcPr>
            <w:tcW w:w="1731" w:type="dxa"/>
          </w:tcPr>
          <w:p>
            <w:pPr>
              <w:pStyle w:val="TableParagraph"/>
              <w:spacing w:line="302" w:lineRule="auto"/>
              <w:ind w:left="192" w:right="269"/>
              <w:rPr>
                <w:b/>
                <w:sz w:val="21"/>
              </w:rPr>
            </w:pPr>
            <w:r>
              <w:rPr>
                <w:b/>
                <w:sz w:val="21"/>
              </w:rPr>
              <w:t>重大疾病保险金</w:t>
            </w:r>
            <w:r>
              <w:rPr>
                <w:b/>
                <w:w w:val="99"/>
                <w:sz w:val="21"/>
              </w:rPr>
              <w:t> </w:t>
            </w:r>
          </w:p>
        </w:tc>
        <w:tc>
          <w:tcPr>
            <w:tcW w:w="7436" w:type="dxa"/>
          </w:tcPr>
          <w:p>
            <w:pPr>
              <w:pStyle w:val="TableParagraph"/>
              <w:spacing w:line="300" w:lineRule="auto"/>
              <w:ind w:left="60" w:right="106"/>
              <w:rPr>
                <w:sz w:val="21"/>
              </w:rPr>
            </w:pPr>
            <w:r>
              <w:rPr>
                <w:spacing w:val="-5"/>
                <w:sz w:val="21"/>
              </w:rPr>
              <w:t>家庭中任一被保险人在本主险合同有效期内初次发生且经医院或本公司认可的</w:t>
            </w:r>
            <w:r>
              <w:rPr>
                <w:spacing w:val="-9"/>
                <w:sz w:val="21"/>
              </w:rPr>
              <w:t>其他医疗机构确诊患本主险合同所定义的重大疾病的，本公司按照约定的保险金</w:t>
            </w:r>
            <w:r>
              <w:rPr>
                <w:spacing w:val="-7"/>
                <w:sz w:val="21"/>
              </w:rPr>
              <w:t>额给付重大疾病保险金，本主险合同终止。</w:t>
            </w:r>
          </w:p>
        </w:tc>
      </w:tr>
      <w:tr>
        <w:trPr>
          <w:trHeight w:val="309" w:hRule="atLeast"/>
        </w:trPr>
        <w:tc>
          <w:tcPr>
            <w:tcW w:w="725" w:type="dxa"/>
          </w:tcPr>
          <w:p>
            <w:pPr>
              <w:pStyle w:val="TableParagraph"/>
              <w:spacing w:line="268" w:lineRule="exact"/>
              <w:ind w:left="110"/>
              <w:rPr>
                <w:b/>
                <w:sz w:val="21"/>
              </w:rPr>
            </w:pPr>
            <w:r>
              <w:rPr>
                <w:b/>
                <w:w w:val="99"/>
                <w:sz w:val="21"/>
              </w:rPr>
              <w:t> </w:t>
            </w:r>
          </w:p>
        </w:tc>
        <w:tc>
          <w:tcPr>
            <w:tcW w:w="1731" w:type="dxa"/>
          </w:tcPr>
          <w:p>
            <w:pPr>
              <w:pStyle w:val="TableParagraph"/>
              <w:spacing w:line="268" w:lineRule="exact"/>
              <w:ind w:left="192"/>
              <w:rPr>
                <w:b/>
                <w:sz w:val="21"/>
              </w:rPr>
            </w:pPr>
            <w:r>
              <w:rPr>
                <w:b/>
                <w:w w:val="99"/>
                <w:sz w:val="21"/>
              </w:rPr>
              <w:t> </w:t>
            </w:r>
          </w:p>
        </w:tc>
        <w:tc>
          <w:tcPr>
            <w:tcW w:w="7436" w:type="dxa"/>
          </w:tcPr>
          <w:p>
            <w:pPr>
              <w:pStyle w:val="TableParagraph"/>
              <w:spacing w:line="268" w:lineRule="exact"/>
              <w:ind w:left="60"/>
              <w:rPr>
                <w:b/>
                <w:sz w:val="21"/>
              </w:rPr>
            </w:pPr>
            <w:r>
              <w:rPr>
                <w:b/>
                <w:w w:val="99"/>
                <w:sz w:val="21"/>
              </w:rPr>
              <w:t> </w:t>
            </w:r>
          </w:p>
        </w:tc>
      </w:tr>
      <w:tr>
        <w:trPr>
          <w:trHeight w:val="307" w:hRule="atLeast"/>
        </w:trPr>
        <w:tc>
          <w:tcPr>
            <w:tcW w:w="725" w:type="dxa"/>
          </w:tcPr>
          <w:p>
            <w:pPr>
              <w:pStyle w:val="TableParagraph"/>
              <w:spacing w:line="232" w:lineRule="exact"/>
              <w:ind w:left="110"/>
              <w:rPr>
                <w:b/>
                <w:sz w:val="21"/>
              </w:rPr>
            </w:pPr>
            <w:r>
              <w:rPr>
                <w:b/>
                <w:sz w:val="21"/>
              </w:rPr>
              <w:t>2.4 </w:t>
            </w:r>
          </w:p>
        </w:tc>
        <w:tc>
          <w:tcPr>
            <w:tcW w:w="1731" w:type="dxa"/>
            <w:vMerge w:val="restart"/>
          </w:tcPr>
          <w:p>
            <w:pPr>
              <w:pStyle w:val="TableParagraph"/>
              <w:spacing w:line="232" w:lineRule="exact"/>
              <w:ind w:left="192"/>
              <w:rPr>
                <w:b/>
                <w:sz w:val="21"/>
              </w:rPr>
            </w:pPr>
            <w:r>
              <w:rPr>
                <w:b/>
                <w:sz w:val="21"/>
              </w:rPr>
              <w:t>保险责任的免</w:t>
            </w:r>
          </w:p>
          <w:p>
            <w:pPr>
              <w:pStyle w:val="TableParagraph"/>
              <w:spacing w:before="66"/>
              <w:ind w:left="192"/>
              <w:rPr>
                <w:b/>
                <w:sz w:val="21"/>
              </w:rPr>
            </w:pPr>
            <w:r>
              <w:rPr>
                <w:b/>
                <w:sz w:val="21"/>
              </w:rPr>
              <w:t>除</w:t>
            </w:r>
            <w:r>
              <w:rPr>
                <w:b/>
                <w:w w:val="99"/>
                <w:sz w:val="21"/>
              </w:rPr>
              <w:t>            </w:t>
            </w:r>
          </w:p>
          <w:p>
            <w:pPr>
              <w:pStyle w:val="TableParagraph"/>
              <w:spacing w:before="70"/>
              <w:ind w:left="192"/>
              <w:rPr>
                <w:b/>
                <w:sz w:val="21"/>
              </w:rPr>
            </w:pPr>
            <w:r>
              <w:rPr>
                <w:b/>
                <w:w w:val="99"/>
                <w:sz w:val="21"/>
              </w:rPr>
              <w:t>              </w:t>
            </w:r>
          </w:p>
        </w:tc>
        <w:tc>
          <w:tcPr>
            <w:tcW w:w="7436" w:type="dxa"/>
            <w:vMerge w:val="restart"/>
          </w:tcPr>
          <w:p>
            <w:pPr>
              <w:pStyle w:val="TableParagraph"/>
              <w:spacing w:line="232" w:lineRule="exact"/>
              <w:ind w:left="60"/>
              <w:rPr>
                <w:rFonts w:ascii="黑体" w:eastAsia="黑体" w:hint="eastAsia"/>
                <w:sz w:val="21"/>
              </w:rPr>
            </w:pPr>
            <w:r>
              <w:rPr>
                <w:rFonts w:ascii="黑体" w:eastAsia="黑体" w:hint="eastAsia"/>
                <w:sz w:val="21"/>
              </w:rPr>
              <w:t>因下列情形之一造成被保险人患本主险合同所指的重大疾病的，本公司不承担给</w:t>
            </w:r>
          </w:p>
          <w:p>
            <w:pPr>
              <w:pStyle w:val="TableParagraph"/>
              <w:spacing w:before="66"/>
              <w:ind w:left="60"/>
              <w:rPr>
                <w:rFonts w:ascii="黑体" w:eastAsia="黑体" w:hint="eastAsia"/>
                <w:sz w:val="21"/>
              </w:rPr>
            </w:pPr>
            <w:r>
              <w:rPr>
                <w:rFonts w:ascii="黑体" w:eastAsia="黑体" w:hint="eastAsia"/>
                <w:sz w:val="21"/>
              </w:rPr>
              <w:t>付保险金的责任：</w:t>
            </w:r>
          </w:p>
          <w:p>
            <w:pPr>
              <w:pStyle w:val="TableParagraph"/>
              <w:spacing w:before="70"/>
              <w:ind w:left="60"/>
              <w:rPr>
                <w:rFonts w:ascii="黑体" w:eastAsia="黑体" w:hint="eastAsia"/>
                <w:sz w:val="21"/>
              </w:rPr>
            </w:pPr>
            <w:r>
              <w:rPr>
                <w:rFonts w:ascii="黑体" w:eastAsia="黑体" w:hint="eastAsia"/>
                <w:sz w:val="21"/>
              </w:rPr>
              <w:t>（1）  投保人对被保险人的故意杀害、故意伤害；</w:t>
            </w:r>
          </w:p>
          <w:p>
            <w:pPr>
              <w:pStyle w:val="TableParagraph"/>
              <w:spacing w:before="65"/>
              <w:ind w:left="60"/>
              <w:rPr>
                <w:rFonts w:ascii="黑体" w:eastAsia="黑体" w:hint="eastAsia"/>
                <w:sz w:val="21"/>
              </w:rPr>
            </w:pPr>
            <w:r>
              <w:rPr>
                <w:rFonts w:ascii="黑体" w:eastAsia="黑体" w:hint="eastAsia"/>
                <w:sz w:val="21"/>
              </w:rPr>
              <w:t>（2）  被保险人故意犯罪或者抗拒依法采取的刑事强制措施；</w:t>
            </w:r>
          </w:p>
          <w:p>
            <w:pPr>
              <w:pStyle w:val="TableParagraph"/>
              <w:spacing w:before="70"/>
              <w:ind w:left="60"/>
              <w:rPr>
                <w:rFonts w:ascii="黑体" w:eastAsia="黑体" w:hint="eastAsia"/>
                <w:sz w:val="21"/>
              </w:rPr>
            </w:pPr>
            <w:r>
              <w:rPr>
                <w:rFonts w:ascii="黑体" w:eastAsia="黑体" w:hint="eastAsia"/>
                <w:sz w:val="21"/>
              </w:rPr>
              <w:t>（3） 被保险人故意自伤；</w:t>
            </w:r>
          </w:p>
          <w:p>
            <w:pPr>
              <w:pStyle w:val="TableParagraph"/>
              <w:spacing w:before="66"/>
              <w:ind w:left="60"/>
              <w:rPr>
                <w:rFonts w:ascii="黑体" w:eastAsia="黑体" w:hint="eastAsia"/>
                <w:sz w:val="21"/>
              </w:rPr>
            </w:pPr>
            <w:r>
              <w:rPr>
                <w:rFonts w:ascii="黑体" w:eastAsia="黑体" w:hint="eastAsia"/>
                <w:w w:val="100"/>
                <w:sz w:val="21"/>
              </w:rPr>
              <w:t>（4</w:t>
            </w:r>
            <w:r>
              <w:rPr>
                <w:rFonts w:ascii="黑体" w:eastAsia="黑体" w:hint="eastAsia"/>
                <w:spacing w:val="-5"/>
                <w:w w:val="100"/>
                <w:sz w:val="21"/>
              </w:rPr>
              <w:t>）</w:t>
            </w:r>
            <w:r>
              <w:rPr>
                <w:w w:val="100"/>
                <w:sz w:val="21"/>
              </w:rPr>
              <w:t> </w:t>
            </w:r>
            <w:r>
              <w:rPr>
                <w:spacing w:val="-14"/>
                <w:sz w:val="21"/>
              </w:rPr>
              <w:t> </w:t>
            </w:r>
            <w:r>
              <w:rPr>
                <w:rFonts w:ascii="黑体" w:eastAsia="黑体" w:hint="eastAsia"/>
                <w:spacing w:val="-3"/>
                <w:w w:val="100"/>
                <w:sz w:val="21"/>
              </w:rPr>
              <w:t>被保险人服用、吸食或注射</w:t>
            </w:r>
            <w:r>
              <w:rPr>
                <w:rFonts w:ascii="黑体" w:eastAsia="黑体" w:hint="eastAsia"/>
                <w:b/>
                <w:w w:val="100"/>
                <w:sz w:val="21"/>
              </w:rPr>
              <w:t>毒品</w:t>
            </w:r>
            <w:r>
              <w:rPr>
                <w:rFonts w:ascii="黑体" w:eastAsia="黑体" w:hint="eastAsia"/>
                <w:w w:val="100"/>
                <w:sz w:val="21"/>
              </w:rPr>
              <w:t>（见释义</w:t>
            </w:r>
            <w:r>
              <w:rPr>
                <w:rFonts w:ascii="黑体" w:eastAsia="黑体" w:hint="eastAsia"/>
                <w:spacing w:val="-53"/>
                <w:sz w:val="21"/>
              </w:rPr>
              <w:t> </w:t>
            </w:r>
            <w:r>
              <w:rPr>
                <w:rFonts w:ascii="黑体" w:eastAsia="黑体" w:hint="eastAsia"/>
                <w:spacing w:val="-5"/>
                <w:w w:val="100"/>
                <w:sz w:val="21"/>
              </w:rPr>
              <w:t>6</w:t>
            </w:r>
            <w:r>
              <w:rPr>
                <w:rFonts w:ascii="黑体" w:eastAsia="黑体" w:hint="eastAsia"/>
                <w:w w:val="100"/>
                <w:sz w:val="21"/>
              </w:rPr>
              <w:t>.6</w:t>
            </w:r>
            <w:r>
              <w:rPr>
                <w:rFonts w:ascii="黑体" w:eastAsia="黑体" w:hint="eastAsia"/>
                <w:spacing w:val="-106"/>
                <w:w w:val="100"/>
                <w:sz w:val="21"/>
              </w:rPr>
              <w:t>）；</w:t>
            </w:r>
          </w:p>
          <w:p>
            <w:pPr>
              <w:pStyle w:val="TableParagraph"/>
              <w:spacing w:line="297" w:lineRule="auto" w:before="71"/>
              <w:ind w:left="60"/>
              <w:rPr>
                <w:rFonts w:ascii="黑体" w:eastAsia="黑体" w:hint="eastAsia"/>
                <w:sz w:val="21"/>
              </w:rPr>
            </w:pPr>
            <w:r>
              <w:rPr>
                <w:rFonts w:ascii="黑体" w:eastAsia="黑体" w:hint="eastAsia"/>
                <w:w w:val="100"/>
                <w:sz w:val="21"/>
              </w:rPr>
              <w:t>（5</w:t>
            </w:r>
            <w:r>
              <w:rPr>
                <w:rFonts w:ascii="黑体" w:eastAsia="黑体" w:hint="eastAsia"/>
                <w:spacing w:val="-5"/>
                <w:w w:val="100"/>
                <w:sz w:val="21"/>
              </w:rPr>
              <w:t>）</w:t>
            </w:r>
            <w:r>
              <w:rPr>
                <w:spacing w:val="-5"/>
                <w:w w:val="100"/>
                <w:sz w:val="21"/>
              </w:rPr>
              <w:t> </w:t>
            </w:r>
            <w:r>
              <w:rPr>
                <w:sz w:val="21"/>
              </w:rPr>
              <w:t> </w:t>
            </w:r>
            <w:r>
              <w:rPr>
                <w:rFonts w:ascii="黑体" w:eastAsia="黑体" w:hint="eastAsia"/>
                <w:spacing w:val="-2"/>
                <w:w w:val="100"/>
                <w:sz w:val="21"/>
              </w:rPr>
              <w:t>被保险人</w:t>
            </w:r>
            <w:r>
              <w:rPr>
                <w:rFonts w:ascii="黑体" w:eastAsia="黑体" w:hint="eastAsia"/>
                <w:b/>
                <w:spacing w:val="-6"/>
                <w:w w:val="100"/>
                <w:sz w:val="21"/>
              </w:rPr>
              <w:t>酒后驾驶</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5"/>
                <w:w w:val="100"/>
                <w:sz w:val="21"/>
              </w:rPr>
              <w:t>.</w:t>
            </w:r>
            <w:r>
              <w:rPr>
                <w:rFonts w:ascii="黑体" w:eastAsia="黑体" w:hint="eastAsia"/>
                <w:w w:val="100"/>
                <w:sz w:val="21"/>
              </w:rPr>
              <w:t>7</w:t>
            </w:r>
            <w:r>
              <w:rPr>
                <w:rFonts w:ascii="黑体" w:eastAsia="黑体" w:hint="eastAsia"/>
                <w:spacing w:val="-106"/>
                <w:w w:val="100"/>
                <w:sz w:val="21"/>
              </w:rPr>
              <w:t>）</w:t>
            </w:r>
            <w:r>
              <w:rPr>
                <w:rFonts w:ascii="黑体" w:eastAsia="黑体" w:hint="eastAsia"/>
                <w:spacing w:val="-34"/>
                <w:w w:val="100"/>
                <w:sz w:val="21"/>
              </w:rPr>
              <w:t>、</w:t>
            </w:r>
            <w:r>
              <w:rPr>
                <w:rFonts w:ascii="黑体" w:eastAsia="黑体" w:hint="eastAsia"/>
                <w:b/>
                <w:spacing w:val="-3"/>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5"/>
                <w:w w:val="100"/>
                <w:sz w:val="21"/>
              </w:rPr>
              <w:t>8</w:t>
            </w:r>
            <w:r>
              <w:rPr>
                <w:rFonts w:ascii="黑体" w:eastAsia="黑体" w:hint="eastAsia"/>
                <w:w w:val="100"/>
                <w:sz w:val="21"/>
              </w:rPr>
              <w:t>）</w:t>
            </w:r>
            <w:r>
              <w:rPr>
                <w:rFonts w:ascii="黑体" w:eastAsia="黑体" w:hint="eastAsia"/>
                <w:spacing w:val="-2"/>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0"/>
                <w:sz w:val="21"/>
              </w:rPr>
              <w:t>见释义 </w:t>
            </w:r>
            <w:r>
              <w:rPr>
                <w:rFonts w:ascii="黑体" w:eastAsia="黑体" w:hint="eastAsia"/>
                <w:sz w:val="21"/>
              </w:rPr>
              <w:t>6.9）</w:t>
            </w:r>
            <w:r>
              <w:rPr>
                <w:rFonts w:ascii="黑体" w:eastAsia="黑体" w:hint="eastAsia"/>
                <w:spacing w:val="-2"/>
                <w:sz w:val="21"/>
              </w:rPr>
              <w:t>的机动车；</w:t>
            </w:r>
          </w:p>
          <w:p>
            <w:pPr>
              <w:pStyle w:val="TableParagraph"/>
              <w:spacing w:before="20"/>
              <w:ind w:left="60"/>
              <w:rPr>
                <w:rFonts w:ascii="黑体" w:eastAsia="黑体" w:hint="eastAsia"/>
                <w:sz w:val="21"/>
              </w:rPr>
            </w:pPr>
            <w:r>
              <w:rPr>
                <w:rFonts w:ascii="黑体" w:eastAsia="黑体" w:hint="eastAsia"/>
                <w:w w:val="100"/>
                <w:sz w:val="21"/>
              </w:rPr>
              <w:t>（6</w:t>
            </w:r>
            <w:r>
              <w:rPr>
                <w:rFonts w:ascii="黑体" w:eastAsia="黑体" w:hint="eastAsia"/>
                <w:spacing w:val="-5"/>
                <w:w w:val="100"/>
                <w:sz w:val="21"/>
              </w:rPr>
              <w:t>）</w:t>
            </w:r>
            <w:r>
              <w:rPr>
                <w:w w:val="100"/>
                <w:sz w:val="21"/>
              </w:rPr>
              <w:t> </w:t>
            </w:r>
            <w:r>
              <w:rPr>
                <w:spacing w:val="-14"/>
                <w:sz w:val="21"/>
              </w:rPr>
              <w:t> </w:t>
            </w:r>
            <w:r>
              <w:rPr>
                <w:rFonts w:ascii="黑体" w:eastAsia="黑体" w:hint="eastAsia"/>
                <w:spacing w:val="-2"/>
                <w:w w:val="100"/>
                <w:sz w:val="21"/>
              </w:rPr>
              <w:t>被保险人</w:t>
            </w:r>
            <w:r>
              <w:rPr>
                <w:rFonts w:ascii="黑体" w:eastAsia="黑体" w:hint="eastAsia"/>
                <w:b/>
                <w:w w:val="100"/>
                <w:sz w:val="21"/>
              </w:rPr>
              <w:t>感染艾滋病病毒或患艾滋病</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w:t>
            </w:r>
            <w:r>
              <w:rPr>
                <w:rFonts w:ascii="黑体" w:eastAsia="黑体" w:hint="eastAsia"/>
                <w:w w:val="100"/>
                <w:sz w:val="21"/>
              </w:rPr>
              <w:t>10</w:t>
            </w:r>
            <w:r>
              <w:rPr>
                <w:rFonts w:ascii="黑体" w:eastAsia="黑体" w:hint="eastAsia"/>
                <w:spacing w:val="-111"/>
                <w:w w:val="100"/>
                <w:sz w:val="21"/>
              </w:rPr>
              <w:t>）</w:t>
            </w:r>
            <w:r>
              <w:rPr>
                <w:rFonts w:ascii="黑体" w:eastAsia="黑体" w:hint="eastAsia"/>
                <w:w w:val="100"/>
                <w:sz w:val="21"/>
              </w:rPr>
              <w:t>；</w:t>
            </w:r>
          </w:p>
          <w:p>
            <w:pPr>
              <w:pStyle w:val="TableParagraph"/>
              <w:spacing w:before="65"/>
              <w:ind w:left="60"/>
              <w:rPr>
                <w:rFonts w:ascii="黑体" w:eastAsia="黑体" w:hint="eastAsia"/>
                <w:sz w:val="21"/>
              </w:rPr>
            </w:pPr>
            <w:r>
              <w:rPr>
                <w:rFonts w:ascii="黑体" w:eastAsia="黑体" w:hint="eastAsia"/>
                <w:sz w:val="21"/>
              </w:rPr>
              <w:t>（7）  战争、军事冲突、暴乱或武装叛乱；</w:t>
            </w:r>
          </w:p>
          <w:p>
            <w:pPr>
              <w:pStyle w:val="TableParagraph"/>
              <w:spacing w:before="70"/>
              <w:ind w:left="60"/>
              <w:rPr>
                <w:rFonts w:ascii="黑体" w:eastAsia="黑体" w:hint="eastAsia"/>
                <w:sz w:val="21"/>
              </w:rPr>
            </w:pPr>
            <w:r>
              <w:rPr>
                <w:rFonts w:ascii="黑体" w:eastAsia="黑体" w:hint="eastAsia"/>
                <w:sz w:val="21"/>
              </w:rPr>
              <w:t>（8） 核爆炸、核辐射或核污染；</w:t>
            </w:r>
          </w:p>
          <w:p>
            <w:pPr>
              <w:pStyle w:val="TableParagraph"/>
              <w:spacing w:line="302" w:lineRule="auto" w:before="66"/>
              <w:ind w:left="60" w:right="99"/>
              <w:rPr>
                <w:rFonts w:ascii="黑体" w:eastAsia="黑体" w:hint="eastAsia"/>
                <w:sz w:val="21"/>
              </w:rPr>
            </w:pPr>
            <w:r>
              <w:rPr>
                <w:rFonts w:ascii="黑体" w:eastAsia="黑体" w:hint="eastAsia"/>
                <w:w w:val="100"/>
                <w:sz w:val="21"/>
              </w:rPr>
              <w:t>（9</w:t>
            </w:r>
            <w:r>
              <w:rPr>
                <w:rFonts w:ascii="黑体" w:eastAsia="黑体" w:hint="eastAsia"/>
                <w:spacing w:val="-5"/>
                <w:w w:val="100"/>
                <w:sz w:val="21"/>
              </w:rPr>
              <w:t>）</w:t>
            </w:r>
            <w:r>
              <w:rPr>
                <w:w w:val="100"/>
                <w:sz w:val="21"/>
              </w:rPr>
              <w:t> </w:t>
            </w:r>
            <w:r>
              <w:rPr>
                <w:spacing w:val="-14"/>
                <w:sz w:val="21"/>
              </w:rPr>
              <w:t> </w:t>
            </w:r>
            <w:r>
              <w:rPr>
                <w:rFonts w:ascii="黑体" w:eastAsia="黑体" w:hint="eastAsia"/>
                <w:b/>
                <w:spacing w:val="0"/>
                <w:w w:val="100"/>
                <w:sz w:val="21"/>
              </w:rPr>
              <w:t>遗传性疾病</w:t>
            </w:r>
            <w:r>
              <w:rPr>
                <w:rFonts w:ascii="黑体" w:eastAsia="黑体" w:hint="eastAsia"/>
                <w:w w:val="100"/>
                <w:sz w:val="21"/>
              </w:rPr>
              <w:t>（见释义</w:t>
            </w:r>
            <w:r>
              <w:rPr>
                <w:rFonts w:ascii="黑体" w:eastAsia="黑体" w:hint="eastAsia"/>
                <w:spacing w:val="-4"/>
                <w:sz w:val="21"/>
              </w:rPr>
              <w:t> </w:t>
            </w:r>
            <w:r>
              <w:rPr>
                <w:rFonts w:ascii="黑体" w:eastAsia="黑体" w:hint="eastAsia"/>
                <w:w w:val="100"/>
                <w:sz w:val="21"/>
              </w:rPr>
              <w:t>6.11</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先天性畸形、变形或染色体异常</w:t>
            </w:r>
            <w:r>
              <w:rPr>
                <w:rFonts w:ascii="黑体" w:eastAsia="黑体" w:hint="eastAsia"/>
                <w:w w:val="100"/>
                <w:sz w:val="21"/>
              </w:rPr>
              <w:t>（见释义 6.12</w:t>
            </w:r>
            <w:r>
              <w:rPr>
                <w:rFonts w:ascii="黑体" w:eastAsia="黑体" w:hint="eastAsia"/>
                <w:spacing w:val="-106"/>
                <w:w w:val="100"/>
                <w:sz w:val="21"/>
              </w:rPr>
              <w:t>）</w:t>
            </w:r>
            <w:r>
              <w:rPr>
                <w:rFonts w:ascii="黑体" w:eastAsia="黑体" w:hint="eastAsia"/>
                <w:w w:val="100"/>
                <w:sz w:val="21"/>
              </w:rPr>
              <w:t>；</w:t>
            </w:r>
          </w:p>
          <w:p>
            <w:pPr>
              <w:pStyle w:val="TableParagraph"/>
              <w:spacing w:before="11"/>
              <w:ind w:left="60"/>
              <w:rPr>
                <w:rFonts w:ascii="黑体" w:eastAsia="黑体" w:hint="eastAsia"/>
                <w:sz w:val="21"/>
              </w:rPr>
            </w:pPr>
            <w:r>
              <w:rPr>
                <w:rFonts w:ascii="黑体" w:eastAsia="黑体" w:hint="eastAsia"/>
                <w:w w:val="100"/>
                <w:sz w:val="21"/>
              </w:rPr>
              <w:t>（10</w:t>
            </w:r>
            <w:r>
              <w:rPr>
                <w:rFonts w:ascii="黑体" w:eastAsia="黑体" w:hint="eastAsia"/>
                <w:spacing w:val="-5"/>
                <w:w w:val="100"/>
                <w:sz w:val="21"/>
              </w:rPr>
              <w:t>）</w:t>
            </w:r>
            <w:r>
              <w:rPr>
                <w:spacing w:val="-15"/>
                <w:w w:val="100"/>
                <w:sz w:val="21"/>
              </w:rPr>
              <w:t> </w:t>
            </w:r>
            <w:r>
              <w:rPr>
                <w:rFonts w:ascii="黑体" w:eastAsia="黑体" w:hint="eastAsia"/>
                <w:b/>
                <w:w w:val="100"/>
                <w:sz w:val="21"/>
              </w:rPr>
              <w:t>既往症</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.13</w:t>
            </w:r>
            <w:r>
              <w:rPr>
                <w:rFonts w:ascii="黑体" w:eastAsia="黑体" w:hint="eastAsia"/>
                <w:spacing w:val="-106"/>
                <w:w w:val="100"/>
                <w:sz w:val="21"/>
              </w:rPr>
              <w:t>）</w:t>
            </w:r>
            <w:r>
              <w:rPr>
                <w:rFonts w:ascii="黑体" w:eastAsia="黑体" w:hint="eastAsia"/>
                <w:w w:val="100"/>
                <w:sz w:val="21"/>
              </w:rPr>
              <w:t>。</w:t>
            </w:r>
          </w:p>
          <w:p>
            <w:pPr>
              <w:pStyle w:val="TableParagraph"/>
              <w:ind w:left="0"/>
              <w:rPr>
                <w:b/>
                <w:sz w:val="20"/>
              </w:rPr>
            </w:pPr>
          </w:p>
          <w:p>
            <w:pPr>
              <w:pStyle w:val="TableParagraph"/>
              <w:spacing w:line="300" w:lineRule="auto" w:before="150"/>
              <w:ind w:left="60" w:right="14" w:firstLine="422"/>
              <w:rPr>
                <w:rFonts w:ascii="黑体" w:eastAsia="黑体" w:hint="eastAsia"/>
                <w:sz w:val="21"/>
              </w:rPr>
            </w:pPr>
            <w:r>
              <w:rPr>
                <w:rFonts w:ascii="黑体" w:eastAsia="黑体" w:hint="eastAsia"/>
                <w:w w:val="100"/>
                <w:sz w:val="21"/>
              </w:rPr>
              <w:t>发Th</w:t>
            </w:r>
            <w:r>
              <w:rPr>
                <w:rFonts w:ascii="黑体" w:eastAsia="黑体" w:hint="eastAsia"/>
                <w:spacing w:val="-2"/>
                <w:w w:val="100"/>
                <w:sz w:val="21"/>
              </w:rPr>
              <w:t>上述第</w:t>
            </w:r>
            <w:r>
              <w:rPr>
                <w:rFonts w:ascii="黑体" w:eastAsia="黑体" w:hint="eastAsia"/>
                <w:w w:val="100"/>
                <w:sz w:val="21"/>
              </w:rPr>
              <w:t>（1</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5"/>
                <w:w w:val="100"/>
                <w:sz w:val="21"/>
              </w:rPr>
              <w:t>2</w:t>
            </w:r>
            <w:r>
              <w:rPr>
                <w:rFonts w:ascii="黑体" w:eastAsia="黑体" w:hint="eastAsia"/>
                <w:w w:val="100"/>
                <w:sz w:val="21"/>
              </w:rPr>
              <w:t>）</w:t>
            </w:r>
            <w:r>
              <w:rPr>
                <w:rFonts w:ascii="黑体" w:eastAsia="黑体" w:hint="eastAsia"/>
                <w:spacing w:val="-5"/>
                <w:w w:val="100"/>
                <w:sz w:val="21"/>
              </w:rPr>
              <w:t>项情形导致被保险人患本主险合同所指重大疾病的，</w:t>
            </w:r>
            <w:r>
              <w:rPr>
                <w:rFonts w:ascii="黑体" w:eastAsia="黑体" w:hint="eastAsia"/>
                <w:spacing w:val="-8"/>
                <w:sz w:val="21"/>
              </w:rPr>
              <w:t>本公司对该被保险人的保险责任终止。发</w:t>
            </w:r>
            <w:r>
              <w:rPr>
                <w:rFonts w:ascii="黑体" w:eastAsia="黑体" w:hint="eastAsia"/>
                <w:sz w:val="21"/>
              </w:rPr>
              <w:t>Th</w:t>
            </w:r>
            <w:r>
              <w:rPr>
                <w:rFonts w:ascii="黑体" w:eastAsia="黑体" w:hint="eastAsia"/>
                <w:spacing w:val="-8"/>
                <w:sz w:val="21"/>
              </w:rPr>
              <w:t>上述其他情形的，导致被保险人患本</w:t>
            </w:r>
            <w:r>
              <w:rPr>
                <w:rFonts w:ascii="黑体" w:eastAsia="黑体" w:hint="eastAsia"/>
                <w:spacing w:val="-12"/>
                <w:sz w:val="21"/>
              </w:rPr>
              <w:t>主险合同所指重大疾病的，本公司对该被保险人的保险责任终止，本公司向投保</w:t>
            </w:r>
            <w:r>
              <w:rPr>
                <w:rFonts w:ascii="黑体" w:eastAsia="黑体" w:hint="eastAsia"/>
                <w:spacing w:val="-8"/>
                <w:sz w:val="21"/>
              </w:rPr>
              <w:t>人退还该被保险人对应的现金价值。</w:t>
            </w:r>
          </w:p>
        </w:tc>
      </w:tr>
      <w:tr>
        <w:trPr>
          <w:trHeight w:val="6179" w:hRule="atLeast"/>
        </w:trPr>
        <w:tc>
          <w:tcPr>
            <w:tcW w:w="725" w:type="dxa"/>
          </w:tcPr>
          <w:p>
            <w:pPr>
              <w:pStyle w:val="TableParagraph"/>
              <w:spacing w:line="266" w:lineRule="exact"/>
              <w:ind w:left="110"/>
              <w:rPr>
                <w:sz w:val="21"/>
              </w:rPr>
            </w:pPr>
            <w:r>
              <w:rPr>
                <w:b/>
                <w:w w:val="99"/>
                <w:sz w:val="21"/>
              </w:rPr>
              <w:t>  </w:t>
            </w:r>
            <w:r>
              <w:rPr>
                <w:w w:val="100"/>
                <w:sz w:val="21"/>
              </w:rPr>
              <w:t> </w:t>
            </w:r>
          </w:p>
        </w:tc>
        <w:tc>
          <w:tcPr>
            <w:tcW w:w="1731" w:type="dxa"/>
            <w:vMerge/>
            <w:tcBorders>
              <w:top w:val="nil"/>
            </w:tcBorders>
          </w:tcPr>
          <w:p>
            <w:pPr>
              <w:rPr>
                <w:sz w:val="2"/>
                <w:szCs w:val="2"/>
              </w:rPr>
            </w:pPr>
          </w:p>
        </w:tc>
        <w:tc>
          <w:tcPr>
            <w:tcW w:w="7436" w:type="dxa"/>
            <w:vMerge/>
            <w:tcBorders>
              <w:top w:val="nil"/>
            </w:tcBorders>
          </w:tcPr>
          <w:p>
            <w:pPr>
              <w:rPr>
                <w:sz w:val="2"/>
                <w:szCs w:val="2"/>
              </w:rPr>
            </w:pPr>
          </w:p>
        </w:tc>
      </w:tr>
      <w:tr>
        <w:trPr>
          <w:trHeight w:val="325" w:hRule="atLeast"/>
        </w:trPr>
        <w:tc>
          <w:tcPr>
            <w:tcW w:w="725" w:type="dxa"/>
          </w:tcPr>
          <w:p>
            <w:pPr>
              <w:pStyle w:val="TableParagraph"/>
              <w:spacing w:line="266" w:lineRule="exact"/>
              <w:ind w:left="110"/>
              <w:rPr>
                <w:b/>
                <w:sz w:val="21"/>
              </w:rPr>
            </w:pPr>
            <w:r>
              <w:rPr>
                <w:b/>
                <w:w w:val="99"/>
                <w:sz w:val="21"/>
              </w:rPr>
              <w:t> </w:t>
            </w:r>
          </w:p>
        </w:tc>
        <w:tc>
          <w:tcPr>
            <w:tcW w:w="1731" w:type="dxa"/>
          </w:tcPr>
          <w:p>
            <w:pPr>
              <w:pStyle w:val="TableParagraph"/>
              <w:spacing w:line="266" w:lineRule="exact"/>
              <w:ind w:left="192"/>
              <w:rPr>
                <w:b/>
                <w:sz w:val="21"/>
              </w:rPr>
            </w:pPr>
            <w:r>
              <w:rPr>
                <w:b/>
                <w:w w:val="99"/>
                <w:sz w:val="21"/>
              </w:rPr>
              <w:t> </w:t>
            </w:r>
          </w:p>
        </w:tc>
        <w:tc>
          <w:tcPr>
            <w:tcW w:w="7436" w:type="dxa"/>
          </w:tcPr>
          <w:p>
            <w:pPr>
              <w:pStyle w:val="TableParagraph"/>
              <w:spacing w:line="266" w:lineRule="exact"/>
              <w:ind w:left="60"/>
              <w:rPr>
                <w:b/>
                <w:sz w:val="21"/>
              </w:rPr>
            </w:pPr>
            <w:r>
              <w:rPr>
                <w:b/>
                <w:w w:val="99"/>
                <w:sz w:val="21"/>
              </w:rPr>
              <w:t> </w:t>
            </w:r>
          </w:p>
        </w:tc>
      </w:tr>
      <w:tr>
        <w:trPr>
          <w:trHeight w:val="572" w:hRule="atLeast"/>
        </w:trPr>
        <w:tc>
          <w:tcPr>
            <w:tcW w:w="725" w:type="dxa"/>
            <w:tcBorders>
              <w:bottom w:val="single" w:sz="8" w:space="0" w:color="000000"/>
            </w:tcBorders>
          </w:tcPr>
          <w:p>
            <w:pPr>
              <w:pStyle w:val="TableParagraph"/>
              <w:spacing w:before="1"/>
              <w:ind w:left="110"/>
              <w:rPr>
                <w:rFonts w:ascii="Arial" w:hAnsi="Arial"/>
                <w:b/>
                <w:sz w:val="40"/>
              </w:rPr>
            </w:pPr>
            <w:r>
              <w:rPr>
                <w:rFonts w:ascii="Arial" w:hAnsi="Arial"/>
                <w:b/>
                <w:w w:val="118"/>
                <w:sz w:val="40"/>
              </w:rPr>
              <w:t></w:t>
            </w:r>
          </w:p>
        </w:tc>
        <w:tc>
          <w:tcPr>
            <w:tcW w:w="9167" w:type="dxa"/>
            <w:gridSpan w:val="2"/>
            <w:tcBorders>
              <w:bottom w:val="single" w:sz="8" w:space="0" w:color="000000"/>
            </w:tcBorders>
          </w:tcPr>
          <w:p>
            <w:pPr>
              <w:pStyle w:val="TableParagraph"/>
              <w:spacing w:before="57"/>
              <w:ind w:left="192"/>
              <w:rPr>
                <w:b/>
                <w:sz w:val="24"/>
              </w:rPr>
            </w:pPr>
            <w:r>
              <w:rPr>
                <w:b/>
                <w:w w:val="95"/>
                <w:sz w:val="24"/>
              </w:rPr>
              <w:t>保险费的交纳和续保</w:t>
            </w:r>
            <w:r>
              <w:rPr>
                <w:b/>
                <w:w w:val="99"/>
                <w:sz w:val="24"/>
              </w:rPr>
              <w:t>                                                        </w:t>
            </w:r>
          </w:p>
        </w:tc>
      </w:tr>
      <w:tr>
        <w:trPr>
          <w:trHeight w:val="276" w:hRule="atLeast"/>
        </w:trPr>
        <w:tc>
          <w:tcPr>
            <w:tcW w:w="725" w:type="dxa"/>
            <w:tcBorders>
              <w:top w:val="single" w:sz="8" w:space="0" w:color="000000"/>
            </w:tcBorders>
          </w:tcPr>
          <w:p>
            <w:pPr>
              <w:pStyle w:val="TableParagraph"/>
              <w:spacing w:line="257" w:lineRule="exact"/>
              <w:ind w:left="110"/>
              <w:rPr>
                <w:sz w:val="21"/>
              </w:rPr>
            </w:pPr>
            <w:r>
              <w:rPr>
                <w:w w:val="100"/>
                <w:sz w:val="21"/>
              </w:rPr>
              <w:t> </w:t>
            </w:r>
          </w:p>
        </w:tc>
        <w:tc>
          <w:tcPr>
            <w:tcW w:w="1731" w:type="dxa"/>
            <w:tcBorders>
              <w:top w:val="single" w:sz="8" w:space="0" w:color="000000"/>
            </w:tcBorders>
          </w:tcPr>
          <w:p>
            <w:pPr>
              <w:pStyle w:val="TableParagraph"/>
              <w:spacing w:line="257" w:lineRule="exact"/>
              <w:ind w:left="192"/>
              <w:rPr>
                <w:sz w:val="21"/>
              </w:rPr>
            </w:pPr>
            <w:r>
              <w:rPr>
                <w:w w:val="100"/>
                <w:sz w:val="21"/>
              </w:rPr>
              <w:t> </w:t>
            </w:r>
          </w:p>
        </w:tc>
        <w:tc>
          <w:tcPr>
            <w:tcW w:w="7436" w:type="dxa"/>
            <w:tcBorders>
              <w:top w:val="single" w:sz="8" w:space="0" w:color="000000"/>
            </w:tcBorders>
          </w:tcPr>
          <w:p>
            <w:pPr>
              <w:pStyle w:val="TableParagraph"/>
              <w:spacing w:line="257" w:lineRule="exact"/>
              <w:ind w:left="60"/>
              <w:rPr>
                <w:sz w:val="21"/>
              </w:rPr>
            </w:pPr>
            <w:r>
              <w:rPr>
                <w:w w:val="100"/>
                <w:sz w:val="21"/>
              </w:rPr>
              <w:t> </w:t>
            </w:r>
          </w:p>
        </w:tc>
      </w:tr>
      <w:tr>
        <w:trPr>
          <w:trHeight w:val="275" w:hRule="atLeast"/>
        </w:trPr>
        <w:tc>
          <w:tcPr>
            <w:tcW w:w="725" w:type="dxa"/>
          </w:tcPr>
          <w:p>
            <w:pPr>
              <w:pStyle w:val="TableParagraph"/>
              <w:spacing w:line="199" w:lineRule="exact"/>
              <w:ind w:left="110"/>
              <w:rPr>
                <w:b/>
                <w:sz w:val="21"/>
              </w:rPr>
            </w:pPr>
            <w:r>
              <w:rPr>
                <w:b/>
                <w:sz w:val="21"/>
              </w:rPr>
              <w:t>3.1 </w:t>
            </w:r>
          </w:p>
        </w:tc>
        <w:tc>
          <w:tcPr>
            <w:tcW w:w="1731" w:type="dxa"/>
          </w:tcPr>
          <w:p>
            <w:pPr>
              <w:pStyle w:val="TableParagraph"/>
              <w:spacing w:line="199" w:lineRule="exact"/>
              <w:ind w:left="192"/>
              <w:rPr>
                <w:b/>
                <w:sz w:val="21"/>
              </w:rPr>
            </w:pPr>
            <w:r>
              <w:rPr>
                <w:b/>
                <w:sz w:val="21"/>
              </w:rPr>
              <w:t>保险费的交纳</w:t>
            </w:r>
            <w:r>
              <w:rPr>
                <w:b/>
                <w:w w:val="99"/>
                <w:sz w:val="21"/>
              </w:rPr>
              <w:t> </w:t>
            </w:r>
          </w:p>
        </w:tc>
        <w:tc>
          <w:tcPr>
            <w:tcW w:w="7436" w:type="dxa"/>
          </w:tcPr>
          <w:p>
            <w:pPr>
              <w:pStyle w:val="TableParagraph"/>
              <w:spacing w:line="199" w:lineRule="exact"/>
              <w:ind w:left="60"/>
              <w:rPr>
                <w:sz w:val="21"/>
              </w:rPr>
            </w:pPr>
            <w:r>
              <w:rPr>
                <w:sz w:val="21"/>
              </w:rPr>
              <w:t>本主险合同的保险费须于投保时一次性交清。</w:t>
            </w:r>
          </w:p>
        </w:tc>
      </w:tr>
      <w:tr>
        <w:trPr>
          <w:trHeight w:val="381" w:hRule="atLeast"/>
        </w:trPr>
        <w:tc>
          <w:tcPr>
            <w:tcW w:w="725" w:type="dxa"/>
          </w:tcPr>
          <w:p>
            <w:pPr>
              <w:pStyle w:val="TableParagraph"/>
              <w:spacing w:line="268" w:lineRule="exact"/>
              <w:ind w:left="110"/>
              <w:rPr>
                <w:b/>
                <w:sz w:val="21"/>
              </w:rPr>
            </w:pPr>
            <w:r>
              <w:rPr>
                <w:b/>
                <w:w w:val="99"/>
                <w:sz w:val="21"/>
              </w:rPr>
              <w:t> </w:t>
            </w:r>
          </w:p>
        </w:tc>
        <w:tc>
          <w:tcPr>
            <w:tcW w:w="1731" w:type="dxa"/>
          </w:tcPr>
          <w:p>
            <w:pPr>
              <w:pStyle w:val="TableParagraph"/>
              <w:spacing w:line="268" w:lineRule="exact"/>
              <w:ind w:left="192"/>
              <w:rPr>
                <w:b/>
                <w:sz w:val="21"/>
              </w:rPr>
            </w:pPr>
            <w:r>
              <w:rPr>
                <w:b/>
                <w:w w:val="99"/>
                <w:sz w:val="21"/>
              </w:rPr>
              <w:t> </w:t>
            </w:r>
          </w:p>
        </w:tc>
        <w:tc>
          <w:tcPr>
            <w:tcW w:w="7436" w:type="dxa"/>
          </w:tcPr>
          <w:p>
            <w:pPr>
              <w:pStyle w:val="TableParagraph"/>
              <w:ind w:left="0"/>
              <w:rPr>
                <w:rFonts w:ascii="Times New Roman"/>
                <w:sz w:val="20"/>
              </w:rPr>
            </w:pPr>
          </w:p>
        </w:tc>
      </w:tr>
      <w:tr>
        <w:trPr>
          <w:trHeight w:val="1001" w:hRule="atLeast"/>
        </w:trPr>
        <w:tc>
          <w:tcPr>
            <w:tcW w:w="725" w:type="dxa"/>
          </w:tcPr>
          <w:p>
            <w:pPr>
              <w:pStyle w:val="TableParagraph"/>
              <w:spacing w:before="29"/>
              <w:ind w:left="110"/>
              <w:rPr>
                <w:b/>
                <w:sz w:val="21"/>
              </w:rPr>
            </w:pPr>
            <w:r>
              <w:rPr>
                <w:b/>
                <w:sz w:val="21"/>
              </w:rPr>
              <w:t>3.2 </w:t>
            </w:r>
          </w:p>
        </w:tc>
        <w:tc>
          <w:tcPr>
            <w:tcW w:w="1731" w:type="dxa"/>
          </w:tcPr>
          <w:p>
            <w:pPr>
              <w:pStyle w:val="TableParagraph"/>
              <w:spacing w:before="29"/>
              <w:ind w:left="192"/>
              <w:rPr>
                <w:b/>
                <w:sz w:val="21"/>
              </w:rPr>
            </w:pPr>
            <w:r>
              <w:rPr>
                <w:b/>
                <w:sz w:val="21"/>
              </w:rPr>
              <w:t>续保</w:t>
            </w:r>
            <w:r>
              <w:rPr>
                <w:b/>
                <w:w w:val="99"/>
                <w:sz w:val="21"/>
              </w:rPr>
              <w:t> </w:t>
            </w:r>
          </w:p>
        </w:tc>
        <w:tc>
          <w:tcPr>
            <w:tcW w:w="7436" w:type="dxa"/>
          </w:tcPr>
          <w:p>
            <w:pPr>
              <w:pStyle w:val="TableParagraph"/>
              <w:spacing w:line="297" w:lineRule="auto" w:before="29"/>
              <w:ind w:left="60" w:right="24"/>
              <w:rPr>
                <w:sz w:val="21"/>
              </w:rPr>
            </w:pPr>
            <w:r>
              <w:rPr>
                <w:spacing w:val="-5"/>
                <w:sz w:val="21"/>
              </w:rPr>
              <w:t>保险期间届满前 </w:t>
            </w:r>
            <w:r>
              <w:rPr>
                <w:sz w:val="21"/>
              </w:rPr>
              <w:t>30</w:t>
            </w:r>
            <w:r>
              <w:rPr>
                <w:spacing w:val="-14"/>
                <w:sz w:val="21"/>
              </w:rPr>
              <w:t> 日内，投保人提出申请，经本公司同意后可续保本主险合同， </w:t>
            </w:r>
            <w:r>
              <w:rPr>
                <w:spacing w:val="-9"/>
                <w:sz w:val="21"/>
              </w:rPr>
              <w:t>本公司将按照续保当时被保险人的年龄收取保险费。</w:t>
            </w:r>
            <w:r>
              <w:rPr>
                <w:sz w:val="21"/>
              </w:rPr>
              <w:t>          </w:t>
            </w:r>
            <w:r>
              <w:rPr>
                <w:spacing w:val="-5"/>
                <w:sz w:val="21"/>
              </w:rPr>
              <w:t>  </w:t>
            </w:r>
            <w:r>
              <w:rPr>
                <w:sz w:val="21"/>
              </w:rPr>
              <w:t> </w:t>
            </w:r>
          </w:p>
          <w:p>
            <w:pPr>
              <w:pStyle w:val="TableParagraph"/>
              <w:spacing w:line="265" w:lineRule="exact" w:before="20"/>
              <w:ind w:left="60"/>
              <w:rPr>
                <w:sz w:val="21"/>
              </w:rPr>
            </w:pPr>
            <w:r>
              <w:rPr>
                <w:sz w:val="21"/>
              </w:rPr>
              <w:t>本公司有权调整本主险合同的保险费率，经调整的保险费率将通知投保人，自续</w:t>
            </w:r>
          </w:p>
        </w:tc>
      </w:tr>
    </w:tbl>
    <w:p>
      <w:pPr>
        <w:spacing w:after="0" w:line="265" w:lineRule="exact"/>
        <w:rPr>
          <w:sz w:val="21"/>
        </w:rPr>
        <w:sectPr>
          <w:pgSz w:w="11910" w:h="16840"/>
          <w:pgMar w:header="0" w:footer="915" w:top="1500" w:bottom="1100" w:left="900" w:right="9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626"/>
        <w:gridCol w:w="7695"/>
      </w:tblGrid>
      <w:tr>
        <w:trPr>
          <w:trHeight w:val="431" w:hRule="atLeast"/>
        </w:trPr>
        <w:tc>
          <w:tcPr>
            <w:tcW w:w="831" w:type="dxa"/>
          </w:tcPr>
          <w:p>
            <w:pPr>
              <w:pStyle w:val="TableParagraph"/>
              <w:ind w:left="0"/>
              <w:rPr>
                <w:rFonts w:ascii="Times New Roman"/>
                <w:sz w:val="20"/>
              </w:rPr>
            </w:pPr>
          </w:p>
        </w:tc>
        <w:tc>
          <w:tcPr>
            <w:tcW w:w="1626" w:type="dxa"/>
          </w:tcPr>
          <w:p>
            <w:pPr>
              <w:pStyle w:val="TableParagraph"/>
              <w:ind w:left="0"/>
              <w:rPr>
                <w:rFonts w:ascii="Times New Roman"/>
                <w:sz w:val="20"/>
              </w:rPr>
            </w:pPr>
          </w:p>
        </w:tc>
        <w:tc>
          <w:tcPr>
            <w:tcW w:w="7695" w:type="dxa"/>
          </w:tcPr>
          <w:p>
            <w:pPr>
              <w:pStyle w:val="TableParagraph"/>
              <w:spacing w:line="201" w:lineRule="exact"/>
              <w:ind w:left="59"/>
              <w:rPr>
                <w:sz w:val="21"/>
              </w:rPr>
            </w:pPr>
            <w:r>
              <w:rPr>
                <w:sz w:val="21"/>
              </w:rPr>
              <w:t>保之日起适用。</w:t>
            </w:r>
          </w:p>
        </w:tc>
      </w:tr>
      <w:tr>
        <w:trPr>
          <w:trHeight w:val="743" w:hRule="atLeast"/>
        </w:trPr>
        <w:tc>
          <w:tcPr>
            <w:tcW w:w="831" w:type="dxa"/>
            <w:tcBorders>
              <w:bottom w:val="single" w:sz="8" w:space="0" w:color="000000"/>
            </w:tcBorders>
          </w:tcPr>
          <w:p>
            <w:pPr>
              <w:pStyle w:val="TableParagraph"/>
              <w:spacing w:before="171"/>
              <w:ind w:left="110"/>
              <w:rPr>
                <w:rFonts w:ascii="Arial" w:hAnsi="Arial"/>
                <w:b/>
                <w:sz w:val="40"/>
              </w:rPr>
            </w:pPr>
            <w:r>
              <w:rPr>
                <w:rFonts w:ascii="Arial" w:hAnsi="Arial"/>
                <w:b/>
                <w:w w:val="118"/>
                <w:sz w:val="40"/>
              </w:rPr>
              <w:t></w:t>
            </w:r>
          </w:p>
        </w:tc>
        <w:tc>
          <w:tcPr>
            <w:tcW w:w="9321" w:type="dxa"/>
            <w:gridSpan w:val="2"/>
          </w:tcPr>
          <w:p>
            <w:pPr>
              <w:pStyle w:val="TableParagraph"/>
              <w:spacing w:before="5"/>
              <w:ind w:left="0"/>
              <w:rPr>
                <w:b/>
                <w:sz w:val="17"/>
              </w:rPr>
            </w:pPr>
          </w:p>
          <w:p>
            <w:pPr>
              <w:pStyle w:val="TableParagraph"/>
              <w:ind w:left="86"/>
              <w:rPr>
                <w:b/>
                <w:sz w:val="24"/>
              </w:rPr>
            </w:pPr>
            <w:r>
              <w:rPr>
                <w:b/>
                <w:w w:val="95"/>
                <w:sz w:val="24"/>
              </w:rPr>
              <w:t>保险金的申请与给付</w:t>
            </w:r>
            <w:r>
              <w:rPr>
                <w:b/>
                <w:w w:val="99"/>
                <w:sz w:val="24"/>
              </w:rPr>
              <w:t>                                                         </w:t>
            </w:r>
          </w:p>
        </w:tc>
      </w:tr>
      <w:tr>
        <w:trPr>
          <w:trHeight w:val="276" w:hRule="atLeast"/>
        </w:trPr>
        <w:tc>
          <w:tcPr>
            <w:tcW w:w="831" w:type="dxa"/>
            <w:tcBorders>
              <w:top w:val="single" w:sz="8" w:space="0" w:color="000000"/>
            </w:tcBorders>
          </w:tcPr>
          <w:p>
            <w:pPr>
              <w:pStyle w:val="TableParagraph"/>
              <w:spacing w:line="256" w:lineRule="exact"/>
              <w:ind w:left="110"/>
              <w:rPr>
                <w:sz w:val="21"/>
              </w:rPr>
            </w:pPr>
            <w:r>
              <w:rPr>
                <w:w w:val="100"/>
                <w:sz w:val="21"/>
              </w:rPr>
              <w:t> </w:t>
            </w:r>
          </w:p>
        </w:tc>
        <w:tc>
          <w:tcPr>
            <w:tcW w:w="1626" w:type="dxa"/>
            <w:tcBorders>
              <w:top w:val="single" w:sz="8" w:space="0" w:color="000000"/>
            </w:tcBorders>
          </w:tcPr>
          <w:p>
            <w:pPr>
              <w:pStyle w:val="TableParagraph"/>
              <w:spacing w:line="256" w:lineRule="exact"/>
              <w:ind w:left="86"/>
              <w:rPr>
                <w:sz w:val="21"/>
              </w:rPr>
            </w:pPr>
            <w:r>
              <w:rPr>
                <w:w w:val="100"/>
                <w:sz w:val="21"/>
              </w:rPr>
              <w:t> </w:t>
            </w:r>
          </w:p>
        </w:tc>
        <w:tc>
          <w:tcPr>
            <w:tcW w:w="7695" w:type="dxa"/>
            <w:tcBorders>
              <w:top w:val="single" w:sz="8" w:space="0" w:color="000000"/>
            </w:tcBorders>
          </w:tcPr>
          <w:p>
            <w:pPr>
              <w:pStyle w:val="TableParagraph"/>
              <w:spacing w:line="256" w:lineRule="exact"/>
              <w:ind w:left="59"/>
              <w:rPr>
                <w:sz w:val="21"/>
              </w:rPr>
            </w:pPr>
            <w:r>
              <w:rPr>
                <w:w w:val="100"/>
                <w:sz w:val="21"/>
              </w:rPr>
              <w:t> </w:t>
            </w:r>
          </w:p>
        </w:tc>
      </w:tr>
      <w:tr>
        <w:trPr>
          <w:trHeight w:val="1646" w:hRule="atLeast"/>
        </w:trPr>
        <w:tc>
          <w:tcPr>
            <w:tcW w:w="831" w:type="dxa"/>
          </w:tcPr>
          <w:p>
            <w:pPr>
              <w:pStyle w:val="TableParagraph"/>
              <w:spacing w:line="199" w:lineRule="exact"/>
              <w:ind w:left="110"/>
              <w:rPr>
                <w:b/>
                <w:sz w:val="21"/>
              </w:rPr>
            </w:pPr>
            <w:r>
              <w:rPr>
                <w:b/>
                <w:sz w:val="21"/>
              </w:rPr>
              <w:t>4.1   </w:t>
            </w:r>
          </w:p>
        </w:tc>
        <w:tc>
          <w:tcPr>
            <w:tcW w:w="1626" w:type="dxa"/>
          </w:tcPr>
          <w:p>
            <w:pPr>
              <w:pStyle w:val="TableParagraph"/>
              <w:spacing w:line="199" w:lineRule="exact"/>
              <w:ind w:left="86"/>
              <w:rPr>
                <w:b/>
                <w:sz w:val="21"/>
              </w:rPr>
            </w:pPr>
            <w:r>
              <w:rPr>
                <w:b/>
                <w:sz w:val="21"/>
              </w:rPr>
              <w:t>保险金受益人</w:t>
            </w:r>
            <w:r>
              <w:rPr>
                <w:b/>
                <w:w w:val="99"/>
                <w:sz w:val="21"/>
              </w:rPr>
              <w:t>  </w:t>
            </w:r>
          </w:p>
        </w:tc>
        <w:tc>
          <w:tcPr>
            <w:tcW w:w="7695" w:type="dxa"/>
          </w:tcPr>
          <w:p>
            <w:pPr>
              <w:pStyle w:val="TableParagraph"/>
              <w:spacing w:line="199" w:lineRule="exact"/>
              <w:ind w:left="59"/>
              <w:rPr>
                <w:rFonts w:ascii="黑体" w:eastAsia="黑体" w:hint="eastAsia"/>
                <w:sz w:val="21"/>
              </w:rPr>
            </w:pPr>
            <w:r>
              <w:rPr>
                <w:sz w:val="21"/>
              </w:rPr>
              <w:t>除另有约定，</w:t>
            </w:r>
            <w:r>
              <w:rPr>
                <w:rFonts w:ascii="黑体" w:eastAsia="黑体" w:hint="eastAsia"/>
                <w:sz w:val="21"/>
              </w:rPr>
              <w:t>重大疾病保险金的受益人为被保险人本人。不得指定被保险人及其</w:t>
            </w:r>
          </w:p>
          <w:p>
            <w:pPr>
              <w:pStyle w:val="TableParagraph"/>
              <w:spacing w:before="66"/>
              <w:ind w:left="59"/>
              <w:rPr>
                <w:rFonts w:ascii="黑体" w:eastAsia="黑体" w:hint="eastAsia"/>
                <w:sz w:val="21"/>
              </w:rPr>
            </w:pPr>
            <w:r>
              <w:rPr>
                <w:rFonts w:ascii="黑体" w:eastAsia="黑体" w:hint="eastAsia"/>
                <w:sz w:val="21"/>
              </w:rPr>
              <w:t>近亲属以外的人为重大疾病保险金受益人。</w:t>
            </w:r>
          </w:p>
          <w:p>
            <w:pPr>
              <w:pStyle w:val="TableParagraph"/>
              <w:spacing w:line="300" w:lineRule="auto" w:before="70"/>
              <w:ind w:left="59" w:right="364"/>
              <w:jc w:val="both"/>
              <w:rPr>
                <w:sz w:val="21"/>
              </w:rPr>
            </w:pPr>
            <w:r>
              <w:rPr>
                <w:spacing w:val="-11"/>
                <w:sz w:val="21"/>
              </w:rPr>
              <w:t>等待期后，被保险人初次发生且经医院或本公司认可的其他医疗机构确诊患本主</w:t>
            </w:r>
            <w:r>
              <w:rPr>
                <w:spacing w:val="-13"/>
                <w:sz w:val="21"/>
              </w:rPr>
              <w:t>险合同所定义的重大疾病，但未及领取保险金而身故时，保险金作为被保险人的</w:t>
            </w:r>
            <w:r>
              <w:rPr>
                <w:spacing w:val="-12"/>
                <w:sz w:val="21"/>
              </w:rPr>
              <w:t>遗产处理。</w:t>
            </w:r>
            <w:r>
              <w:rPr>
                <w:sz w:val="21"/>
              </w:rPr>
              <w:t> </w:t>
            </w:r>
          </w:p>
        </w:tc>
      </w:tr>
      <w:tr>
        <w:trPr>
          <w:trHeight w:val="309" w:hRule="atLeast"/>
        </w:trPr>
        <w:tc>
          <w:tcPr>
            <w:tcW w:w="831" w:type="dxa"/>
          </w:tcPr>
          <w:p>
            <w:pPr>
              <w:pStyle w:val="TableParagraph"/>
              <w:spacing w:line="266" w:lineRule="exact"/>
              <w:ind w:left="110"/>
              <w:rPr>
                <w:b/>
                <w:sz w:val="21"/>
              </w:rPr>
            </w:pPr>
            <w:r>
              <w:rPr>
                <w:b/>
                <w:w w:val="99"/>
                <w:sz w:val="21"/>
              </w:rPr>
              <w:t> </w:t>
            </w:r>
          </w:p>
        </w:tc>
        <w:tc>
          <w:tcPr>
            <w:tcW w:w="1626" w:type="dxa"/>
          </w:tcPr>
          <w:p>
            <w:pPr>
              <w:pStyle w:val="TableParagraph"/>
              <w:spacing w:line="266" w:lineRule="exact"/>
              <w:ind w:left="86"/>
              <w:rPr>
                <w:b/>
                <w:sz w:val="21"/>
              </w:rPr>
            </w:pPr>
            <w:r>
              <w:rPr>
                <w:b/>
                <w:w w:val="99"/>
                <w:sz w:val="21"/>
              </w:rPr>
              <w:t> </w:t>
            </w:r>
          </w:p>
        </w:tc>
        <w:tc>
          <w:tcPr>
            <w:tcW w:w="7695" w:type="dxa"/>
          </w:tcPr>
          <w:p>
            <w:pPr>
              <w:pStyle w:val="TableParagraph"/>
              <w:spacing w:line="266" w:lineRule="exact"/>
              <w:ind w:left="59"/>
              <w:rPr>
                <w:b/>
                <w:sz w:val="21"/>
              </w:rPr>
            </w:pPr>
            <w:r>
              <w:rPr>
                <w:b/>
                <w:w w:val="99"/>
                <w:sz w:val="21"/>
              </w:rPr>
              <w:t> </w:t>
            </w:r>
          </w:p>
        </w:tc>
      </w:tr>
      <w:tr>
        <w:trPr>
          <w:trHeight w:val="312" w:hRule="atLeast"/>
        </w:trPr>
        <w:tc>
          <w:tcPr>
            <w:tcW w:w="831" w:type="dxa"/>
          </w:tcPr>
          <w:p>
            <w:pPr>
              <w:pStyle w:val="TableParagraph"/>
              <w:spacing w:line="235" w:lineRule="exact"/>
              <w:ind w:left="110"/>
              <w:rPr>
                <w:b/>
                <w:sz w:val="21"/>
              </w:rPr>
            </w:pPr>
            <w:r>
              <w:rPr>
                <w:b/>
                <w:sz w:val="21"/>
              </w:rPr>
              <w:t>4.2   </w:t>
            </w:r>
          </w:p>
        </w:tc>
        <w:tc>
          <w:tcPr>
            <w:tcW w:w="1626" w:type="dxa"/>
          </w:tcPr>
          <w:p>
            <w:pPr>
              <w:pStyle w:val="TableParagraph"/>
              <w:spacing w:line="235" w:lineRule="exact"/>
              <w:ind w:left="86"/>
              <w:rPr>
                <w:b/>
                <w:sz w:val="21"/>
              </w:rPr>
            </w:pPr>
            <w:r>
              <w:rPr>
                <w:b/>
                <w:sz w:val="21"/>
              </w:rPr>
              <w:t>保险事故通知</w:t>
            </w:r>
            <w:r>
              <w:rPr>
                <w:b/>
                <w:w w:val="99"/>
                <w:sz w:val="21"/>
              </w:rPr>
              <w:t>  </w:t>
            </w:r>
          </w:p>
        </w:tc>
        <w:tc>
          <w:tcPr>
            <w:tcW w:w="7695" w:type="dxa"/>
          </w:tcPr>
          <w:p>
            <w:pPr>
              <w:pStyle w:val="TableParagraph"/>
              <w:spacing w:line="235" w:lineRule="exact"/>
              <w:ind w:left="59"/>
              <w:rPr>
                <w:sz w:val="21"/>
              </w:rPr>
            </w:pPr>
            <w:r>
              <w:rPr>
                <w:sz w:val="21"/>
              </w:rPr>
              <w:t>投保人或受益人应当在知道保险事故发生后 10 日内通知本公司。 </w:t>
            </w:r>
          </w:p>
        </w:tc>
      </w:tr>
      <w:tr>
        <w:trPr>
          <w:trHeight w:val="1373" w:hRule="atLeast"/>
        </w:trPr>
        <w:tc>
          <w:tcPr>
            <w:tcW w:w="831" w:type="dxa"/>
          </w:tcPr>
          <w:p>
            <w:pPr>
              <w:pStyle w:val="TableParagraph"/>
              <w:spacing w:line="268" w:lineRule="exact"/>
              <w:ind w:left="110"/>
              <w:rPr>
                <w:b/>
                <w:sz w:val="21"/>
              </w:rPr>
            </w:pPr>
            <w:r>
              <w:rPr>
                <w:b/>
                <w:w w:val="99"/>
                <w:sz w:val="21"/>
              </w:rPr>
              <w:t> </w:t>
            </w:r>
          </w:p>
        </w:tc>
        <w:tc>
          <w:tcPr>
            <w:tcW w:w="1626" w:type="dxa"/>
          </w:tcPr>
          <w:p>
            <w:pPr>
              <w:pStyle w:val="TableParagraph"/>
              <w:spacing w:line="268" w:lineRule="exact"/>
              <w:ind w:left="86"/>
              <w:rPr>
                <w:b/>
                <w:sz w:val="21"/>
              </w:rPr>
            </w:pPr>
            <w:r>
              <w:rPr>
                <w:b/>
                <w:w w:val="99"/>
                <w:sz w:val="21"/>
              </w:rPr>
              <w:t> </w:t>
            </w:r>
          </w:p>
        </w:tc>
        <w:tc>
          <w:tcPr>
            <w:tcW w:w="7695" w:type="dxa"/>
          </w:tcPr>
          <w:p>
            <w:pPr>
              <w:pStyle w:val="TableParagraph"/>
              <w:spacing w:line="300" w:lineRule="auto"/>
              <w:ind w:left="59" w:right="261"/>
              <w:rPr>
                <w:sz w:val="21"/>
              </w:rPr>
            </w:pPr>
            <w:r>
              <w:rPr>
                <w:rFonts w:ascii="黑体" w:eastAsia="黑体" w:hint="eastAsia"/>
                <w:spacing w:val="-9"/>
                <w:sz w:val="21"/>
              </w:rPr>
              <w:t>如果投保人或受益人故意或者因重大过失未及时通知，致使保险事故的性质、原</w:t>
            </w:r>
            <w:r>
              <w:rPr>
                <w:rFonts w:ascii="黑体" w:eastAsia="黑体" w:hint="eastAsia"/>
                <w:spacing w:val="-16"/>
                <w:sz w:val="21"/>
              </w:rPr>
              <w:t>因、损失程度等难以确定的，本公司对无法确定的部分不承担给付保险金的责任， </w:t>
            </w:r>
            <w:r>
              <w:rPr>
                <w:spacing w:val="-9"/>
                <w:sz w:val="21"/>
              </w:rPr>
              <w:t>但本公司通过其他途径已经及时知道或者应当及时知道保险事故发生或者虽然 </w:t>
            </w:r>
            <w:r>
              <w:rPr>
                <w:spacing w:val="-5"/>
                <w:sz w:val="21"/>
              </w:rPr>
              <w:t>未及时通知但不影响本公司确定保险事故的性质、原因、损失程度的除外。 </w:t>
            </w:r>
          </w:p>
        </w:tc>
      </w:tr>
      <w:tr>
        <w:trPr>
          <w:trHeight w:val="307" w:hRule="atLeast"/>
        </w:trPr>
        <w:tc>
          <w:tcPr>
            <w:tcW w:w="831" w:type="dxa"/>
          </w:tcPr>
          <w:p>
            <w:pPr>
              <w:pStyle w:val="TableParagraph"/>
              <w:spacing w:line="268" w:lineRule="exact"/>
              <w:ind w:left="110"/>
              <w:rPr>
                <w:b/>
                <w:sz w:val="21"/>
              </w:rPr>
            </w:pPr>
            <w:r>
              <w:rPr>
                <w:b/>
                <w:w w:val="99"/>
                <w:sz w:val="21"/>
              </w:rPr>
              <w:t> </w:t>
            </w:r>
          </w:p>
        </w:tc>
        <w:tc>
          <w:tcPr>
            <w:tcW w:w="1626" w:type="dxa"/>
          </w:tcPr>
          <w:p>
            <w:pPr>
              <w:pStyle w:val="TableParagraph"/>
              <w:spacing w:line="268" w:lineRule="exact"/>
              <w:ind w:left="86"/>
              <w:rPr>
                <w:b/>
                <w:sz w:val="21"/>
              </w:rPr>
            </w:pPr>
            <w:r>
              <w:rPr>
                <w:b/>
                <w:w w:val="99"/>
                <w:sz w:val="21"/>
              </w:rPr>
              <w:t> </w:t>
            </w:r>
          </w:p>
        </w:tc>
        <w:tc>
          <w:tcPr>
            <w:tcW w:w="7695" w:type="dxa"/>
          </w:tcPr>
          <w:p>
            <w:pPr>
              <w:pStyle w:val="TableParagraph"/>
              <w:spacing w:line="268" w:lineRule="exact"/>
              <w:ind w:left="59"/>
              <w:rPr>
                <w:b/>
                <w:sz w:val="21"/>
              </w:rPr>
            </w:pPr>
            <w:r>
              <w:rPr>
                <w:b/>
                <w:w w:val="99"/>
                <w:sz w:val="21"/>
              </w:rPr>
              <w:t> </w:t>
            </w:r>
          </w:p>
        </w:tc>
      </w:tr>
      <w:tr>
        <w:trPr>
          <w:trHeight w:val="3742" w:hRule="atLeast"/>
        </w:trPr>
        <w:tc>
          <w:tcPr>
            <w:tcW w:w="831" w:type="dxa"/>
          </w:tcPr>
          <w:p>
            <w:pPr>
              <w:pStyle w:val="TableParagraph"/>
              <w:spacing w:line="240" w:lineRule="exact"/>
              <w:ind w:left="110"/>
              <w:rPr>
                <w:sz w:val="21"/>
              </w:rPr>
            </w:pPr>
            <w:r>
              <w:rPr>
                <w:b/>
                <w:sz w:val="21"/>
              </w:rPr>
              <w:t>4.3</w:t>
            </w:r>
            <w:r>
              <w:rPr>
                <w:w w:val="100"/>
                <w:sz w:val="21"/>
              </w:rPr>
              <w:t> </w:t>
            </w:r>
          </w:p>
        </w:tc>
        <w:tc>
          <w:tcPr>
            <w:tcW w:w="1626" w:type="dxa"/>
          </w:tcPr>
          <w:p>
            <w:pPr>
              <w:pStyle w:val="TableParagraph"/>
              <w:spacing w:line="240" w:lineRule="exact"/>
              <w:ind w:left="86"/>
              <w:rPr>
                <w:i/>
                <w:sz w:val="22"/>
              </w:rPr>
            </w:pPr>
            <w:r>
              <w:rPr>
                <w:b/>
                <w:sz w:val="21"/>
              </w:rPr>
              <w:t>保险金申请</w:t>
            </w:r>
            <w:r>
              <w:rPr>
                <w:i/>
                <w:w w:val="96"/>
                <w:sz w:val="22"/>
              </w:rPr>
              <w:t> </w:t>
            </w:r>
          </w:p>
        </w:tc>
        <w:tc>
          <w:tcPr>
            <w:tcW w:w="7695" w:type="dxa"/>
          </w:tcPr>
          <w:p>
            <w:pPr>
              <w:pStyle w:val="TableParagraph"/>
              <w:spacing w:line="240" w:lineRule="exact"/>
              <w:ind w:left="59"/>
              <w:jc w:val="both"/>
              <w:rPr>
                <w:sz w:val="21"/>
              </w:rPr>
            </w:pPr>
            <w:r>
              <w:rPr>
                <w:sz w:val="21"/>
              </w:rPr>
              <w:t>由受益人作为申请人填写保险金给付申请书，并凭下列证明和资料向本公司申请</w:t>
            </w:r>
          </w:p>
          <w:p>
            <w:pPr>
              <w:pStyle w:val="TableParagraph"/>
              <w:spacing w:before="66"/>
              <w:ind w:left="59"/>
              <w:jc w:val="both"/>
              <w:rPr>
                <w:sz w:val="21"/>
              </w:rPr>
            </w:pPr>
            <w:r>
              <w:rPr>
                <w:sz w:val="21"/>
              </w:rPr>
              <w:t>给付保险金： </w:t>
            </w:r>
          </w:p>
          <w:p>
            <w:pPr>
              <w:pStyle w:val="TableParagraph"/>
              <w:spacing w:before="71"/>
              <w:ind w:left="59"/>
              <w:jc w:val="both"/>
              <w:rPr>
                <w:sz w:val="21"/>
              </w:rPr>
            </w:pPr>
            <w:r>
              <w:rPr>
                <w:sz w:val="21"/>
              </w:rPr>
              <w:t>（1）保险单； </w:t>
            </w:r>
          </w:p>
          <w:p>
            <w:pPr>
              <w:pStyle w:val="TableParagraph"/>
              <w:spacing w:before="66"/>
              <w:ind w:left="59"/>
              <w:jc w:val="both"/>
              <w:rPr>
                <w:sz w:val="21"/>
              </w:rPr>
            </w:pPr>
            <w:r>
              <w:rPr>
                <w:w w:val="100"/>
                <w:sz w:val="21"/>
              </w:rPr>
              <w:t>（2）</w:t>
            </w:r>
            <w:r>
              <w:rPr>
                <w:spacing w:val="-3"/>
                <w:w w:val="100"/>
                <w:sz w:val="21"/>
              </w:rPr>
              <w:t>受益人的</w:t>
            </w:r>
            <w:r>
              <w:rPr>
                <w:b/>
                <w:w w:val="100"/>
                <w:sz w:val="21"/>
              </w:rPr>
              <w:t>有效身份证件</w:t>
            </w:r>
            <w:r>
              <w:rPr>
                <w:spacing w:val="-5"/>
                <w:w w:val="100"/>
                <w:sz w:val="21"/>
              </w:rPr>
              <w:t>（</w:t>
            </w:r>
            <w:r>
              <w:rPr>
                <w:w w:val="100"/>
                <w:sz w:val="21"/>
              </w:rPr>
              <w:t>见释义</w:t>
            </w:r>
            <w:r>
              <w:rPr>
                <w:spacing w:val="-52"/>
                <w:sz w:val="21"/>
              </w:rPr>
              <w:t> </w:t>
            </w:r>
            <w:r>
              <w:rPr>
                <w:spacing w:val="-5"/>
                <w:w w:val="100"/>
                <w:sz w:val="21"/>
              </w:rPr>
              <w:t>6</w:t>
            </w:r>
            <w:r>
              <w:rPr>
                <w:w w:val="100"/>
                <w:sz w:val="21"/>
              </w:rPr>
              <w:t>.14</w:t>
            </w:r>
            <w:r>
              <w:rPr>
                <w:spacing w:val="-106"/>
                <w:w w:val="100"/>
                <w:sz w:val="21"/>
              </w:rPr>
              <w:t>）</w:t>
            </w:r>
            <w:r>
              <w:rPr>
                <w:spacing w:val="-5"/>
                <w:w w:val="100"/>
                <w:sz w:val="21"/>
              </w:rPr>
              <w:t>；</w:t>
            </w:r>
            <w:r>
              <w:rPr>
                <w:w w:val="100"/>
                <w:sz w:val="21"/>
              </w:rPr>
              <w:t> </w:t>
            </w:r>
          </w:p>
          <w:p>
            <w:pPr>
              <w:pStyle w:val="TableParagraph"/>
              <w:spacing w:line="300" w:lineRule="auto" w:before="70"/>
              <w:ind w:left="59" w:right="364"/>
              <w:jc w:val="both"/>
              <w:rPr>
                <w:sz w:val="21"/>
              </w:rPr>
            </w:pPr>
            <w:r>
              <w:rPr>
                <w:spacing w:val="-10"/>
                <w:sz w:val="21"/>
              </w:rPr>
              <w:t>（3）</w:t>
            </w:r>
            <w:r>
              <w:rPr>
                <w:spacing w:val="-8"/>
                <w:sz w:val="21"/>
              </w:rPr>
              <w:t>医院或本公司认可的其他医疗机构出具的诊断证明书(包括：完整病历、出</w:t>
            </w:r>
            <w:r>
              <w:rPr>
                <w:spacing w:val="-13"/>
                <w:sz w:val="21"/>
              </w:rPr>
              <w:t>院小结、病理组织检查报告、血液检查及其它科学方法检验报告的病史资料及疾</w:t>
            </w:r>
            <w:r>
              <w:rPr>
                <w:spacing w:val="-9"/>
                <w:sz w:val="21"/>
              </w:rPr>
              <w:t>病诊断报告书)；</w:t>
            </w:r>
            <w:r>
              <w:rPr>
                <w:sz w:val="21"/>
              </w:rPr>
              <w:t> </w:t>
            </w:r>
          </w:p>
          <w:p>
            <w:pPr>
              <w:pStyle w:val="TableParagraph"/>
              <w:spacing w:line="302" w:lineRule="auto" w:before="13"/>
              <w:ind w:left="59" w:right="386"/>
              <w:rPr>
                <w:sz w:val="21"/>
              </w:rPr>
            </w:pPr>
            <w:r>
              <w:rPr>
                <w:sz w:val="21"/>
              </w:rPr>
              <w:t>（4）所能提供的与确认保险事故的性质、原因、伤害程度等有关的其它证明和资料等。 </w:t>
            </w:r>
          </w:p>
          <w:p>
            <w:pPr>
              <w:pStyle w:val="TableParagraph"/>
              <w:spacing w:line="302" w:lineRule="auto" w:before="11"/>
              <w:ind w:left="59" w:right="599"/>
              <w:rPr>
                <w:sz w:val="21"/>
              </w:rPr>
            </w:pPr>
            <w:r>
              <w:rPr>
                <w:spacing w:val="-5"/>
                <w:sz w:val="21"/>
              </w:rPr>
              <w:t>如委托他人代为申请，应提供授权委托书、受托人的有效身份证件等文件。保险金作为被保险人遗产时，必须提供可证明合法继承权的相关权利文件。 </w:t>
            </w:r>
          </w:p>
        </w:tc>
      </w:tr>
      <w:tr>
        <w:trPr>
          <w:trHeight w:val="691" w:hRule="atLeast"/>
        </w:trPr>
        <w:tc>
          <w:tcPr>
            <w:tcW w:w="831" w:type="dxa"/>
          </w:tcPr>
          <w:p>
            <w:pPr>
              <w:pStyle w:val="TableParagraph"/>
              <w:spacing w:line="271" w:lineRule="exact"/>
              <w:ind w:left="110"/>
              <w:rPr>
                <w:sz w:val="21"/>
              </w:rPr>
            </w:pPr>
            <w:r>
              <w:rPr>
                <w:w w:val="100"/>
                <w:sz w:val="21"/>
              </w:rPr>
              <w:t> </w:t>
            </w:r>
          </w:p>
        </w:tc>
        <w:tc>
          <w:tcPr>
            <w:tcW w:w="1626" w:type="dxa"/>
          </w:tcPr>
          <w:p>
            <w:pPr>
              <w:pStyle w:val="TableParagraph"/>
              <w:spacing w:line="272" w:lineRule="exact"/>
              <w:ind w:left="86"/>
              <w:rPr>
                <w:i/>
                <w:sz w:val="22"/>
              </w:rPr>
            </w:pPr>
            <w:r>
              <w:rPr>
                <w:i/>
                <w:w w:val="96"/>
                <w:sz w:val="22"/>
              </w:rPr>
              <w:t> </w:t>
            </w:r>
          </w:p>
        </w:tc>
        <w:tc>
          <w:tcPr>
            <w:tcW w:w="7695" w:type="dxa"/>
          </w:tcPr>
          <w:p>
            <w:pPr>
              <w:pStyle w:val="TableParagraph"/>
              <w:spacing w:line="302" w:lineRule="auto"/>
              <w:ind w:left="59" w:right="365"/>
              <w:rPr>
                <w:sz w:val="21"/>
              </w:rPr>
            </w:pPr>
            <w:r>
              <w:rPr>
                <w:spacing w:val="-10"/>
                <w:sz w:val="21"/>
              </w:rPr>
              <w:t>以上证明和资料不完整的，本公司将及时一次性通知申请人补充提供有关证明和</w:t>
            </w:r>
            <w:r>
              <w:rPr>
                <w:spacing w:val="-9"/>
                <w:sz w:val="21"/>
              </w:rPr>
              <w:t>资料。</w:t>
            </w:r>
            <w:r>
              <w:rPr>
                <w:sz w:val="21"/>
              </w:rPr>
              <w:t> </w:t>
            </w:r>
          </w:p>
        </w:tc>
      </w:tr>
      <w:tr>
        <w:trPr>
          <w:trHeight w:val="309" w:hRule="atLeast"/>
        </w:trPr>
        <w:tc>
          <w:tcPr>
            <w:tcW w:w="831" w:type="dxa"/>
          </w:tcPr>
          <w:p>
            <w:pPr>
              <w:pStyle w:val="TableParagraph"/>
              <w:spacing w:line="266" w:lineRule="exact"/>
              <w:ind w:left="110"/>
              <w:rPr>
                <w:b/>
                <w:sz w:val="21"/>
              </w:rPr>
            </w:pPr>
            <w:r>
              <w:rPr>
                <w:b/>
                <w:w w:val="99"/>
                <w:sz w:val="21"/>
              </w:rPr>
              <w:t> </w:t>
            </w:r>
          </w:p>
        </w:tc>
        <w:tc>
          <w:tcPr>
            <w:tcW w:w="1626" w:type="dxa"/>
          </w:tcPr>
          <w:p>
            <w:pPr>
              <w:pStyle w:val="TableParagraph"/>
              <w:spacing w:line="266" w:lineRule="exact"/>
              <w:ind w:left="86"/>
              <w:rPr>
                <w:b/>
                <w:sz w:val="21"/>
              </w:rPr>
            </w:pPr>
            <w:r>
              <w:rPr>
                <w:b/>
                <w:w w:val="99"/>
                <w:sz w:val="21"/>
              </w:rPr>
              <w:t> </w:t>
            </w:r>
          </w:p>
        </w:tc>
        <w:tc>
          <w:tcPr>
            <w:tcW w:w="7695" w:type="dxa"/>
          </w:tcPr>
          <w:p>
            <w:pPr>
              <w:pStyle w:val="TableParagraph"/>
              <w:spacing w:line="266" w:lineRule="exact"/>
              <w:ind w:left="59"/>
              <w:rPr>
                <w:b/>
                <w:sz w:val="21"/>
              </w:rPr>
            </w:pPr>
            <w:r>
              <w:rPr>
                <w:b/>
                <w:w w:val="99"/>
                <w:sz w:val="21"/>
              </w:rPr>
              <w:t> </w:t>
            </w:r>
          </w:p>
        </w:tc>
      </w:tr>
      <w:tr>
        <w:trPr>
          <w:trHeight w:val="3401" w:hRule="atLeast"/>
        </w:trPr>
        <w:tc>
          <w:tcPr>
            <w:tcW w:w="831" w:type="dxa"/>
          </w:tcPr>
          <w:p>
            <w:pPr>
              <w:pStyle w:val="TableParagraph"/>
              <w:spacing w:line="235" w:lineRule="exact"/>
              <w:ind w:left="110"/>
              <w:rPr>
                <w:b/>
                <w:sz w:val="21"/>
              </w:rPr>
            </w:pPr>
            <w:r>
              <w:rPr>
                <w:b/>
                <w:sz w:val="21"/>
              </w:rPr>
              <w:t>4.4   </w:t>
            </w:r>
          </w:p>
        </w:tc>
        <w:tc>
          <w:tcPr>
            <w:tcW w:w="1626" w:type="dxa"/>
          </w:tcPr>
          <w:p>
            <w:pPr>
              <w:pStyle w:val="TableParagraph"/>
              <w:spacing w:line="235" w:lineRule="exact"/>
              <w:ind w:left="86"/>
              <w:rPr>
                <w:b/>
                <w:sz w:val="21"/>
              </w:rPr>
            </w:pPr>
            <w:r>
              <w:rPr>
                <w:b/>
                <w:sz w:val="21"/>
              </w:rPr>
              <w:t>保险金给付</w:t>
            </w:r>
            <w:r>
              <w:rPr>
                <w:b/>
                <w:w w:val="99"/>
                <w:sz w:val="21"/>
              </w:rPr>
              <w:t>    </w:t>
            </w:r>
          </w:p>
        </w:tc>
        <w:tc>
          <w:tcPr>
            <w:tcW w:w="7695" w:type="dxa"/>
          </w:tcPr>
          <w:p>
            <w:pPr>
              <w:pStyle w:val="TableParagraph"/>
              <w:spacing w:line="235" w:lineRule="exact"/>
              <w:ind w:left="59"/>
              <w:rPr>
                <w:sz w:val="21"/>
              </w:rPr>
            </w:pPr>
            <w:r>
              <w:rPr>
                <w:sz w:val="21"/>
              </w:rPr>
              <w:t>本公司收到申请人的保险金给付申请书及合同约定的证明和资料后，将在 5 日内</w:t>
            </w:r>
          </w:p>
          <w:p>
            <w:pPr>
              <w:pStyle w:val="TableParagraph"/>
              <w:spacing w:before="70"/>
              <w:ind w:left="59"/>
              <w:rPr>
                <w:sz w:val="21"/>
              </w:rPr>
            </w:pPr>
            <w:r>
              <w:rPr>
                <w:sz w:val="21"/>
              </w:rPr>
              <w:t>作出核定；情形复杂的，在 30 日内作出核定，本主险合同另有约定的除外。 </w:t>
            </w:r>
          </w:p>
          <w:p>
            <w:pPr>
              <w:pStyle w:val="TableParagraph"/>
              <w:spacing w:line="300" w:lineRule="auto" w:before="65"/>
              <w:ind w:left="59" w:right="364"/>
              <w:jc w:val="both"/>
              <w:rPr>
                <w:sz w:val="21"/>
              </w:rPr>
            </w:pPr>
            <w:r>
              <w:rPr>
                <w:spacing w:val="-6"/>
                <w:sz w:val="21"/>
              </w:rPr>
              <w:t>对属于保险责任的，在与申请人达成有关给付保险金的协议后 </w:t>
            </w:r>
            <w:r>
              <w:rPr>
                <w:sz w:val="21"/>
              </w:rPr>
              <w:t>10</w:t>
            </w:r>
            <w:r>
              <w:rPr>
                <w:spacing w:val="-8"/>
                <w:sz w:val="21"/>
              </w:rPr>
              <w:t> 日内，履行给</w:t>
            </w:r>
            <w:r>
              <w:rPr>
                <w:spacing w:val="-12"/>
                <w:sz w:val="21"/>
              </w:rPr>
              <w:t>付保险金义务。本公司未及时履行前款规定义务的，除支付保险金外，应当赔偿</w:t>
            </w:r>
            <w:r>
              <w:rPr>
                <w:spacing w:val="-8"/>
                <w:sz w:val="21"/>
              </w:rPr>
              <w:t>受益人因此受到的损失。</w:t>
            </w:r>
            <w:r>
              <w:rPr>
                <w:sz w:val="21"/>
              </w:rPr>
              <w:t> </w:t>
            </w:r>
          </w:p>
          <w:p>
            <w:pPr>
              <w:pStyle w:val="TableParagraph"/>
              <w:spacing w:line="297" w:lineRule="auto" w:before="18"/>
              <w:ind w:left="59" w:right="365"/>
              <w:jc w:val="both"/>
              <w:rPr>
                <w:sz w:val="21"/>
              </w:rPr>
            </w:pPr>
            <w:r>
              <w:rPr>
                <w:spacing w:val="-12"/>
                <w:sz w:val="21"/>
              </w:rPr>
              <w:t>对不属于保险责任的，本公司自作出核定之日起 </w:t>
            </w:r>
            <w:r>
              <w:rPr>
                <w:sz w:val="21"/>
              </w:rPr>
              <w:t>3</w:t>
            </w:r>
            <w:r>
              <w:rPr>
                <w:spacing w:val="-7"/>
                <w:sz w:val="21"/>
              </w:rPr>
              <w:t> 日内向申请人发出拒绝给付保</w:t>
            </w:r>
            <w:r>
              <w:rPr>
                <w:spacing w:val="-6"/>
                <w:sz w:val="21"/>
              </w:rPr>
              <w:t>险金通知书并说明理由。</w:t>
            </w:r>
            <w:r>
              <w:rPr>
                <w:sz w:val="21"/>
              </w:rPr>
              <w:t> </w:t>
            </w:r>
          </w:p>
          <w:p>
            <w:pPr>
              <w:pStyle w:val="TableParagraph"/>
              <w:spacing w:line="300" w:lineRule="auto" w:before="20"/>
              <w:ind w:left="59" w:right="367"/>
              <w:jc w:val="both"/>
              <w:rPr>
                <w:sz w:val="21"/>
              </w:rPr>
            </w:pPr>
            <w:r>
              <w:rPr>
                <w:spacing w:val="-7"/>
                <w:sz w:val="21"/>
              </w:rPr>
              <w:t>本公司在收到保险金给付申请书及有关证明和资料之日起 </w:t>
            </w:r>
            <w:r>
              <w:rPr>
                <w:sz w:val="21"/>
              </w:rPr>
              <w:t>60</w:t>
            </w:r>
            <w:r>
              <w:rPr>
                <w:spacing w:val="-8"/>
                <w:sz w:val="21"/>
              </w:rPr>
              <w:t> 日内，对给付保险</w:t>
            </w:r>
            <w:r>
              <w:rPr>
                <w:spacing w:val="-12"/>
                <w:sz w:val="21"/>
              </w:rPr>
              <w:t>金的数额不能确定的，根据已有证明和资料可以确定的数额先予支付；本公司最</w:t>
            </w:r>
            <w:r>
              <w:rPr>
                <w:spacing w:val="-8"/>
                <w:sz w:val="21"/>
              </w:rPr>
              <w:t>终确定给付保险金的数额后，将支付相应的差额。</w:t>
            </w:r>
            <w:r>
              <w:rPr>
                <w:sz w:val="21"/>
              </w:rPr>
              <w:t> </w:t>
            </w:r>
          </w:p>
        </w:tc>
      </w:tr>
      <w:tr>
        <w:trPr>
          <w:trHeight w:val="276" w:hRule="atLeast"/>
        </w:trPr>
        <w:tc>
          <w:tcPr>
            <w:tcW w:w="831" w:type="dxa"/>
          </w:tcPr>
          <w:p>
            <w:pPr>
              <w:pStyle w:val="TableParagraph"/>
              <w:spacing w:line="256" w:lineRule="exact"/>
              <w:ind w:left="110"/>
              <w:rPr>
                <w:b/>
                <w:sz w:val="21"/>
              </w:rPr>
            </w:pPr>
            <w:r>
              <w:rPr>
                <w:b/>
                <w:w w:val="99"/>
                <w:sz w:val="21"/>
              </w:rPr>
              <w:t> </w:t>
            </w:r>
          </w:p>
        </w:tc>
        <w:tc>
          <w:tcPr>
            <w:tcW w:w="1626" w:type="dxa"/>
          </w:tcPr>
          <w:p>
            <w:pPr>
              <w:pStyle w:val="TableParagraph"/>
              <w:spacing w:line="256" w:lineRule="exact"/>
              <w:ind w:left="86"/>
              <w:rPr>
                <w:b/>
                <w:sz w:val="21"/>
              </w:rPr>
            </w:pPr>
            <w:r>
              <w:rPr>
                <w:b/>
                <w:w w:val="99"/>
                <w:sz w:val="21"/>
              </w:rPr>
              <w:t> </w:t>
            </w:r>
          </w:p>
        </w:tc>
        <w:tc>
          <w:tcPr>
            <w:tcW w:w="7695" w:type="dxa"/>
          </w:tcPr>
          <w:p>
            <w:pPr>
              <w:pStyle w:val="TableParagraph"/>
              <w:spacing w:line="256" w:lineRule="exact"/>
              <w:ind w:left="59"/>
              <w:rPr>
                <w:b/>
                <w:sz w:val="21"/>
              </w:rPr>
            </w:pPr>
            <w:r>
              <w:rPr>
                <w:b/>
                <w:w w:val="99"/>
                <w:sz w:val="21"/>
              </w:rPr>
              <w:t> </w:t>
            </w:r>
          </w:p>
        </w:tc>
      </w:tr>
    </w:tbl>
    <w:p>
      <w:pPr>
        <w:spacing w:after="0" w:line="256" w:lineRule="exact"/>
        <w:rPr>
          <w:sz w:val="21"/>
        </w:rPr>
        <w:sectPr>
          <w:pgSz w:w="11910" w:h="16840"/>
          <w:pgMar w:header="0" w:footer="915" w:top="1500" w:bottom="1100" w:left="900" w:right="6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626"/>
        <w:gridCol w:w="7437"/>
      </w:tblGrid>
      <w:tr>
        <w:trPr>
          <w:trHeight w:val="619" w:hRule="atLeast"/>
        </w:trPr>
        <w:tc>
          <w:tcPr>
            <w:tcW w:w="831" w:type="dxa"/>
          </w:tcPr>
          <w:p>
            <w:pPr>
              <w:pStyle w:val="TableParagraph"/>
              <w:spacing w:line="201" w:lineRule="exact"/>
              <w:ind w:left="110"/>
              <w:rPr>
                <w:b/>
                <w:sz w:val="21"/>
              </w:rPr>
            </w:pPr>
            <w:r>
              <w:rPr>
                <w:b/>
                <w:sz w:val="21"/>
              </w:rPr>
              <w:t>4.5   </w:t>
            </w:r>
          </w:p>
        </w:tc>
        <w:tc>
          <w:tcPr>
            <w:tcW w:w="1626" w:type="dxa"/>
          </w:tcPr>
          <w:p>
            <w:pPr>
              <w:pStyle w:val="TableParagraph"/>
              <w:spacing w:line="201" w:lineRule="exact"/>
              <w:ind w:left="86"/>
              <w:rPr>
                <w:b/>
                <w:sz w:val="21"/>
              </w:rPr>
            </w:pPr>
            <w:r>
              <w:rPr>
                <w:b/>
                <w:sz w:val="21"/>
              </w:rPr>
              <w:t>诉讼时效</w:t>
            </w:r>
            <w:r>
              <w:rPr>
                <w:b/>
                <w:w w:val="99"/>
                <w:sz w:val="21"/>
              </w:rPr>
              <w:t>      </w:t>
            </w:r>
          </w:p>
        </w:tc>
        <w:tc>
          <w:tcPr>
            <w:tcW w:w="7437" w:type="dxa"/>
          </w:tcPr>
          <w:p>
            <w:pPr>
              <w:pStyle w:val="TableParagraph"/>
              <w:spacing w:line="201" w:lineRule="exact"/>
              <w:ind w:left="59"/>
              <w:rPr>
                <w:sz w:val="21"/>
              </w:rPr>
            </w:pPr>
            <w:r>
              <w:rPr>
                <w:spacing w:val="-7"/>
                <w:sz w:val="21"/>
              </w:rPr>
              <w:t>受益人向本公司请求给付保险金的诉讼时效期间为 </w:t>
            </w:r>
            <w:r>
              <w:rPr>
                <w:sz w:val="21"/>
              </w:rPr>
              <w:t>2</w:t>
            </w:r>
            <w:r>
              <w:rPr>
                <w:spacing w:val="-13"/>
                <w:sz w:val="21"/>
              </w:rPr>
              <w:t> 年，自其知道或应当知道保</w:t>
            </w:r>
          </w:p>
          <w:p>
            <w:pPr>
              <w:pStyle w:val="TableParagraph"/>
              <w:spacing w:before="66"/>
              <w:ind w:left="59"/>
              <w:rPr>
                <w:sz w:val="21"/>
              </w:rPr>
            </w:pPr>
            <w:r>
              <w:rPr>
                <w:sz w:val="21"/>
              </w:rPr>
              <w:t>险事故发生之日起计算。 </w:t>
            </w:r>
          </w:p>
        </w:tc>
      </w:tr>
      <w:tr>
        <w:trPr>
          <w:trHeight w:val="328" w:hRule="atLeast"/>
        </w:trPr>
        <w:tc>
          <w:tcPr>
            <w:tcW w:w="831" w:type="dxa"/>
          </w:tcPr>
          <w:p>
            <w:pPr>
              <w:pStyle w:val="TableParagraph"/>
              <w:spacing w:line="268" w:lineRule="exact"/>
              <w:ind w:left="110"/>
              <w:rPr>
                <w:b/>
                <w:sz w:val="21"/>
              </w:rPr>
            </w:pPr>
            <w:r>
              <w:rPr>
                <w:b/>
                <w:w w:val="99"/>
                <w:sz w:val="21"/>
              </w:rPr>
              <w:t> </w:t>
            </w:r>
          </w:p>
        </w:tc>
        <w:tc>
          <w:tcPr>
            <w:tcW w:w="1626" w:type="dxa"/>
          </w:tcPr>
          <w:p>
            <w:pPr>
              <w:pStyle w:val="TableParagraph"/>
              <w:spacing w:line="268" w:lineRule="exact"/>
              <w:ind w:left="86"/>
              <w:rPr>
                <w:b/>
                <w:sz w:val="21"/>
              </w:rPr>
            </w:pPr>
            <w:r>
              <w:rPr>
                <w:b/>
                <w:w w:val="99"/>
                <w:sz w:val="21"/>
              </w:rPr>
              <w:t> </w:t>
            </w:r>
          </w:p>
        </w:tc>
        <w:tc>
          <w:tcPr>
            <w:tcW w:w="7437" w:type="dxa"/>
          </w:tcPr>
          <w:p>
            <w:pPr>
              <w:pStyle w:val="TableParagraph"/>
              <w:spacing w:line="268" w:lineRule="exact"/>
              <w:ind w:left="59"/>
              <w:rPr>
                <w:b/>
                <w:sz w:val="21"/>
              </w:rPr>
            </w:pPr>
            <w:r>
              <w:rPr>
                <w:b/>
                <w:w w:val="99"/>
                <w:sz w:val="21"/>
              </w:rPr>
              <w:t> </w:t>
            </w:r>
          </w:p>
        </w:tc>
      </w:tr>
      <w:tr>
        <w:trPr>
          <w:trHeight w:val="573" w:hRule="atLeast"/>
        </w:trPr>
        <w:tc>
          <w:tcPr>
            <w:tcW w:w="831" w:type="dxa"/>
            <w:tcBorders>
              <w:bottom w:val="single" w:sz="8" w:space="0" w:color="000000"/>
            </w:tcBorders>
          </w:tcPr>
          <w:p>
            <w:pPr>
              <w:pStyle w:val="TableParagraph"/>
              <w:spacing w:before="1"/>
              <w:ind w:left="110"/>
              <w:rPr>
                <w:rFonts w:ascii="Arial" w:hAnsi="Arial"/>
                <w:b/>
                <w:sz w:val="40"/>
              </w:rPr>
            </w:pPr>
            <w:r>
              <w:rPr>
                <w:rFonts w:ascii="Arial" w:hAnsi="Arial"/>
                <w:b/>
                <w:w w:val="118"/>
                <w:sz w:val="40"/>
              </w:rPr>
              <w:t></w:t>
            </w:r>
          </w:p>
        </w:tc>
        <w:tc>
          <w:tcPr>
            <w:tcW w:w="9063" w:type="dxa"/>
            <w:gridSpan w:val="2"/>
            <w:tcBorders>
              <w:bottom w:val="single" w:sz="8" w:space="0" w:color="000000"/>
            </w:tcBorders>
          </w:tcPr>
          <w:p>
            <w:pPr>
              <w:pStyle w:val="TableParagraph"/>
              <w:spacing w:before="57"/>
              <w:ind w:left="86"/>
              <w:rPr>
                <w:sz w:val="21"/>
              </w:rPr>
            </w:pPr>
            <w:r>
              <w:rPr>
                <w:b/>
                <w:w w:val="95"/>
                <w:sz w:val="24"/>
              </w:rPr>
              <w:t>其他事项</w:t>
            </w:r>
            <w:r>
              <w:rPr>
                <w:b/>
                <w:w w:val="99"/>
                <w:sz w:val="24"/>
              </w:rPr>
              <w:t>                                                              </w:t>
            </w:r>
            <w:r>
              <w:rPr>
                <w:w w:val="100"/>
                <w:sz w:val="21"/>
              </w:rPr>
              <w:t> </w:t>
            </w:r>
          </w:p>
        </w:tc>
      </w:tr>
      <w:tr>
        <w:trPr>
          <w:trHeight w:val="276" w:hRule="atLeast"/>
        </w:trPr>
        <w:tc>
          <w:tcPr>
            <w:tcW w:w="831" w:type="dxa"/>
            <w:tcBorders>
              <w:top w:val="single" w:sz="8" w:space="0" w:color="000000"/>
            </w:tcBorders>
          </w:tcPr>
          <w:p>
            <w:pPr>
              <w:pStyle w:val="TableParagraph"/>
              <w:spacing w:line="256" w:lineRule="exact"/>
              <w:ind w:left="110"/>
              <w:rPr>
                <w:sz w:val="21"/>
              </w:rPr>
            </w:pPr>
            <w:r>
              <w:rPr>
                <w:w w:val="100"/>
                <w:sz w:val="21"/>
              </w:rPr>
              <w:t> </w:t>
            </w:r>
          </w:p>
        </w:tc>
        <w:tc>
          <w:tcPr>
            <w:tcW w:w="1626" w:type="dxa"/>
            <w:tcBorders>
              <w:top w:val="single" w:sz="8" w:space="0" w:color="000000"/>
            </w:tcBorders>
          </w:tcPr>
          <w:p>
            <w:pPr>
              <w:pStyle w:val="TableParagraph"/>
              <w:spacing w:line="256" w:lineRule="exact"/>
              <w:ind w:left="86"/>
              <w:rPr>
                <w:sz w:val="21"/>
              </w:rPr>
            </w:pPr>
            <w:r>
              <w:rPr>
                <w:w w:val="100"/>
                <w:sz w:val="21"/>
              </w:rPr>
              <w:t> </w:t>
            </w:r>
          </w:p>
        </w:tc>
        <w:tc>
          <w:tcPr>
            <w:tcW w:w="7437" w:type="dxa"/>
            <w:tcBorders>
              <w:top w:val="single" w:sz="8" w:space="0" w:color="000000"/>
            </w:tcBorders>
          </w:tcPr>
          <w:p>
            <w:pPr>
              <w:pStyle w:val="TableParagraph"/>
              <w:spacing w:line="256" w:lineRule="exact"/>
              <w:ind w:left="59"/>
              <w:rPr>
                <w:sz w:val="21"/>
              </w:rPr>
            </w:pPr>
            <w:r>
              <w:rPr>
                <w:w w:val="100"/>
                <w:sz w:val="21"/>
              </w:rPr>
              <w:t> </w:t>
            </w:r>
          </w:p>
        </w:tc>
      </w:tr>
      <w:tr>
        <w:trPr>
          <w:trHeight w:val="5082" w:hRule="atLeast"/>
        </w:trPr>
        <w:tc>
          <w:tcPr>
            <w:tcW w:w="831" w:type="dxa"/>
          </w:tcPr>
          <w:p>
            <w:pPr>
              <w:pStyle w:val="TableParagraph"/>
              <w:spacing w:line="199" w:lineRule="exact"/>
              <w:ind w:left="110"/>
              <w:rPr>
                <w:b/>
                <w:sz w:val="21"/>
              </w:rPr>
            </w:pPr>
            <w:r>
              <w:rPr>
                <w:b/>
                <w:sz w:val="21"/>
              </w:rPr>
              <w:t>5.1  </w:t>
            </w:r>
          </w:p>
        </w:tc>
        <w:tc>
          <w:tcPr>
            <w:tcW w:w="1626" w:type="dxa"/>
          </w:tcPr>
          <w:p>
            <w:pPr>
              <w:pStyle w:val="TableParagraph"/>
              <w:spacing w:line="199" w:lineRule="exact"/>
              <w:ind w:left="86"/>
              <w:rPr>
                <w:b/>
                <w:sz w:val="21"/>
              </w:rPr>
            </w:pPr>
            <w:r>
              <w:rPr>
                <w:b/>
                <w:sz w:val="21"/>
              </w:rPr>
              <w:t>明确说明与如</w:t>
            </w:r>
          </w:p>
          <w:p>
            <w:pPr>
              <w:pStyle w:val="TableParagraph"/>
              <w:spacing w:before="70"/>
              <w:ind w:left="86"/>
              <w:rPr>
                <w:b/>
                <w:sz w:val="21"/>
              </w:rPr>
            </w:pPr>
            <w:r>
              <w:rPr>
                <w:b/>
                <w:sz w:val="21"/>
              </w:rPr>
              <w:t>实告知</w:t>
            </w:r>
            <w:r>
              <w:rPr>
                <w:b/>
                <w:w w:val="99"/>
                <w:sz w:val="21"/>
              </w:rPr>
              <w:t> </w:t>
            </w:r>
          </w:p>
          <w:p>
            <w:pPr>
              <w:pStyle w:val="TableParagraph"/>
              <w:spacing w:before="65"/>
              <w:ind w:left="86"/>
              <w:rPr>
                <w:b/>
                <w:sz w:val="21"/>
              </w:rPr>
            </w:pPr>
            <w:r>
              <w:rPr>
                <w:b/>
                <w:w w:val="99"/>
                <w:sz w:val="21"/>
              </w:rPr>
              <w:t>              </w:t>
            </w:r>
          </w:p>
        </w:tc>
        <w:tc>
          <w:tcPr>
            <w:tcW w:w="7437" w:type="dxa"/>
          </w:tcPr>
          <w:p>
            <w:pPr>
              <w:pStyle w:val="TableParagraph"/>
              <w:spacing w:line="199" w:lineRule="exact"/>
              <w:ind w:left="59"/>
              <w:rPr>
                <w:sz w:val="21"/>
              </w:rPr>
            </w:pPr>
            <w:r>
              <w:rPr>
                <w:sz w:val="21"/>
              </w:rPr>
              <w:t>订立本主险合同时，本公司应向投保人明确说明本主险合同的内容。 </w:t>
            </w:r>
          </w:p>
          <w:p>
            <w:pPr>
              <w:pStyle w:val="TableParagraph"/>
              <w:spacing w:line="300" w:lineRule="auto" w:before="70"/>
              <w:ind w:left="59" w:right="106"/>
              <w:jc w:val="both"/>
              <w:rPr>
                <w:sz w:val="21"/>
              </w:rPr>
            </w:pPr>
            <w:r>
              <w:rPr>
                <w:spacing w:val="-8"/>
                <w:sz w:val="21"/>
              </w:rPr>
              <w:t>对保险条款中免除本公司责任的条款，本公司在订立合同时应当在投保单、保险</w:t>
            </w:r>
            <w:r>
              <w:rPr>
                <w:spacing w:val="-10"/>
                <w:sz w:val="21"/>
              </w:rPr>
              <w:t>单或者其他保险凭证上作出足以引起投保人注意的提示，并对该条款的内容以书</w:t>
            </w:r>
            <w:r>
              <w:rPr>
                <w:spacing w:val="-12"/>
                <w:sz w:val="21"/>
              </w:rPr>
              <w:t>面或者口头形式向投保人作出明确说明，未作提示或者明确说明的，该条款不产</w:t>
            </w:r>
            <w:r>
              <w:rPr>
                <w:spacing w:val="-11"/>
                <w:sz w:val="21"/>
              </w:rPr>
              <w:t>生效力。</w:t>
            </w:r>
            <w:r>
              <w:rPr>
                <w:sz w:val="21"/>
              </w:rPr>
              <w:t> </w:t>
            </w:r>
          </w:p>
          <w:p>
            <w:pPr>
              <w:pStyle w:val="TableParagraph"/>
              <w:spacing w:line="300" w:lineRule="auto" w:before="17"/>
              <w:ind w:left="59" w:right="107"/>
              <w:jc w:val="both"/>
              <w:rPr>
                <w:rFonts w:ascii="黑体" w:eastAsia="黑体" w:hint="eastAsia"/>
                <w:sz w:val="21"/>
              </w:rPr>
            </w:pPr>
            <w:r>
              <w:rPr>
                <w:spacing w:val="-5"/>
                <w:sz w:val="21"/>
              </w:rPr>
              <w:t>本公司就投保人、被保险人的有关情况提出书面询问，投保人应当如实告知。</w:t>
            </w:r>
            <w:r>
              <w:rPr>
                <w:rFonts w:ascii="黑体" w:eastAsia="黑体" w:hint="eastAsia"/>
                <w:spacing w:val="-9"/>
                <w:sz w:val="21"/>
              </w:rPr>
              <w:t>如果投保人故意或因重大过失不履行如实告知义务，足以影响本公司决定是否同</w:t>
            </w:r>
            <w:r>
              <w:rPr>
                <w:rFonts w:ascii="黑体" w:eastAsia="黑体" w:hint="eastAsia"/>
                <w:spacing w:val="-7"/>
                <w:sz w:val="21"/>
              </w:rPr>
              <w:t>意承保或者提高保险费率的，本公司有权解除本主险合同。</w:t>
            </w:r>
          </w:p>
          <w:p>
            <w:pPr>
              <w:pStyle w:val="TableParagraph"/>
              <w:spacing w:line="302" w:lineRule="auto" w:before="13"/>
              <w:ind w:left="59" w:right="107"/>
              <w:jc w:val="both"/>
              <w:rPr>
                <w:rFonts w:ascii="黑体" w:eastAsia="黑体" w:hint="eastAsia"/>
                <w:sz w:val="21"/>
              </w:rPr>
            </w:pPr>
            <w:r>
              <w:rPr>
                <w:rFonts w:ascii="黑体" w:eastAsia="黑体" w:hint="eastAsia"/>
                <w:spacing w:val="-9"/>
                <w:sz w:val="21"/>
              </w:rPr>
              <w:t>如果投保人故意不履行前款规定的如实告知义务，并对于本主险合同解除前发</w:t>
            </w:r>
            <w:r>
              <w:rPr>
                <w:rFonts w:ascii="黑体" w:eastAsia="黑体" w:hint="eastAsia"/>
                <w:sz w:val="21"/>
              </w:rPr>
              <w:t>Th </w:t>
            </w:r>
            <w:r>
              <w:rPr>
                <w:rFonts w:ascii="黑体" w:eastAsia="黑体" w:hint="eastAsia"/>
                <w:spacing w:val="-5"/>
                <w:sz w:val="21"/>
              </w:rPr>
              <w:t>的保险事故，本公司不承担给付保险金的责任，并不退还保险费。</w:t>
            </w:r>
          </w:p>
          <w:p>
            <w:pPr>
              <w:pStyle w:val="TableParagraph"/>
              <w:spacing w:line="300" w:lineRule="auto" w:before="11"/>
              <w:ind w:left="59" w:right="107"/>
              <w:jc w:val="both"/>
              <w:rPr>
                <w:rFonts w:ascii="黑体" w:eastAsia="黑体" w:hint="eastAsia"/>
                <w:sz w:val="21"/>
              </w:rPr>
            </w:pPr>
            <w:r>
              <w:rPr>
                <w:rFonts w:ascii="黑体" w:eastAsia="黑体" w:hint="eastAsia"/>
                <w:spacing w:val="-9"/>
                <w:sz w:val="21"/>
              </w:rPr>
              <w:t>如果投保人因重大过失未履行前款规定的如实告知义务，对保险事故的发</w:t>
            </w:r>
            <w:r>
              <w:rPr>
                <w:rFonts w:ascii="黑体" w:eastAsia="黑体" w:hint="eastAsia"/>
                <w:spacing w:val="-3"/>
                <w:sz w:val="21"/>
              </w:rPr>
              <w:t>Th</w:t>
            </w:r>
            <w:r>
              <w:rPr>
                <w:rFonts w:ascii="黑体" w:eastAsia="黑体" w:hint="eastAsia"/>
                <w:sz w:val="21"/>
              </w:rPr>
              <w:t>有严</w:t>
            </w:r>
            <w:r>
              <w:rPr>
                <w:rFonts w:ascii="黑体" w:eastAsia="黑体" w:hint="eastAsia"/>
                <w:spacing w:val="-7"/>
                <w:sz w:val="21"/>
              </w:rPr>
              <w:t>重影响的，对于本主险合同解除前发</w:t>
            </w:r>
            <w:r>
              <w:rPr>
                <w:rFonts w:ascii="黑体" w:eastAsia="黑体" w:hint="eastAsia"/>
                <w:spacing w:val="-3"/>
                <w:sz w:val="21"/>
              </w:rPr>
              <w:t>Th</w:t>
            </w:r>
            <w:r>
              <w:rPr>
                <w:rFonts w:ascii="黑体" w:eastAsia="黑体" w:hint="eastAsia"/>
                <w:spacing w:val="-8"/>
                <w:sz w:val="21"/>
              </w:rPr>
              <w:t>的保险事故，本公司不承担给付保险金的</w:t>
            </w:r>
            <w:r>
              <w:rPr>
                <w:rFonts w:ascii="黑体" w:eastAsia="黑体" w:hint="eastAsia"/>
                <w:spacing w:val="-6"/>
                <w:sz w:val="21"/>
              </w:rPr>
              <w:t>责任，但应当按约定退还保险费。</w:t>
            </w:r>
          </w:p>
          <w:p>
            <w:pPr>
              <w:pStyle w:val="TableParagraph"/>
              <w:spacing w:line="297" w:lineRule="auto" w:before="18"/>
              <w:ind w:left="59" w:right="109"/>
              <w:jc w:val="both"/>
              <w:rPr>
                <w:sz w:val="21"/>
              </w:rPr>
            </w:pPr>
            <w:r>
              <w:rPr>
                <w:spacing w:val="-9"/>
                <w:sz w:val="21"/>
              </w:rPr>
              <w:t>本公司在合同订立时已经知道投保人未如实告知的情况的，本公司不得解除本主</w:t>
            </w:r>
            <w:r>
              <w:rPr>
                <w:spacing w:val="-7"/>
                <w:sz w:val="21"/>
              </w:rPr>
              <w:t>险合同；发生保险事故，本公司承担给付保险金的责任。</w:t>
            </w:r>
            <w:r>
              <w:rPr>
                <w:sz w:val="21"/>
              </w:rPr>
              <w:t> </w:t>
            </w:r>
          </w:p>
        </w:tc>
      </w:tr>
      <w:tr>
        <w:trPr>
          <w:trHeight w:val="307" w:hRule="atLeast"/>
        </w:trPr>
        <w:tc>
          <w:tcPr>
            <w:tcW w:w="831" w:type="dxa"/>
          </w:tcPr>
          <w:p>
            <w:pPr>
              <w:pStyle w:val="TableParagraph"/>
              <w:spacing w:line="268" w:lineRule="exact"/>
              <w:ind w:left="110"/>
              <w:rPr>
                <w:b/>
                <w:sz w:val="21"/>
              </w:rPr>
            </w:pPr>
            <w:r>
              <w:rPr>
                <w:b/>
                <w:w w:val="99"/>
                <w:sz w:val="21"/>
              </w:rPr>
              <w:t> </w:t>
            </w:r>
          </w:p>
        </w:tc>
        <w:tc>
          <w:tcPr>
            <w:tcW w:w="1626" w:type="dxa"/>
          </w:tcPr>
          <w:p>
            <w:pPr>
              <w:pStyle w:val="TableParagraph"/>
              <w:spacing w:line="268" w:lineRule="exact"/>
              <w:ind w:left="86"/>
              <w:rPr>
                <w:b/>
                <w:sz w:val="21"/>
              </w:rPr>
            </w:pPr>
            <w:r>
              <w:rPr>
                <w:b/>
                <w:w w:val="99"/>
                <w:sz w:val="21"/>
              </w:rPr>
              <w:t> </w:t>
            </w:r>
          </w:p>
        </w:tc>
        <w:tc>
          <w:tcPr>
            <w:tcW w:w="7437" w:type="dxa"/>
          </w:tcPr>
          <w:p>
            <w:pPr>
              <w:pStyle w:val="TableParagraph"/>
              <w:spacing w:line="268" w:lineRule="exact"/>
              <w:ind w:left="59"/>
              <w:rPr>
                <w:sz w:val="21"/>
              </w:rPr>
            </w:pPr>
            <w:r>
              <w:rPr>
                <w:w w:val="100"/>
                <w:sz w:val="21"/>
              </w:rPr>
              <w:t> </w:t>
            </w:r>
          </w:p>
        </w:tc>
      </w:tr>
      <w:tr>
        <w:trPr>
          <w:trHeight w:val="650" w:hRule="atLeast"/>
        </w:trPr>
        <w:tc>
          <w:tcPr>
            <w:tcW w:w="831" w:type="dxa"/>
          </w:tcPr>
          <w:p>
            <w:pPr>
              <w:pStyle w:val="TableParagraph"/>
              <w:spacing w:line="230" w:lineRule="exact"/>
              <w:ind w:left="110"/>
              <w:rPr>
                <w:b/>
                <w:sz w:val="21"/>
              </w:rPr>
            </w:pPr>
            <w:r>
              <w:rPr>
                <w:b/>
                <w:sz w:val="21"/>
              </w:rPr>
              <w:t>5.2 </w:t>
            </w:r>
          </w:p>
        </w:tc>
        <w:tc>
          <w:tcPr>
            <w:tcW w:w="1626" w:type="dxa"/>
          </w:tcPr>
          <w:p>
            <w:pPr>
              <w:pStyle w:val="TableParagraph"/>
              <w:spacing w:line="230" w:lineRule="exact"/>
              <w:ind w:left="86"/>
              <w:rPr>
                <w:b/>
                <w:sz w:val="21"/>
              </w:rPr>
            </w:pPr>
            <w:r>
              <w:rPr>
                <w:b/>
                <w:sz w:val="21"/>
              </w:rPr>
              <w:t>本公司合同解</w:t>
            </w:r>
          </w:p>
          <w:p>
            <w:pPr>
              <w:pStyle w:val="TableParagraph"/>
              <w:spacing w:before="70"/>
              <w:ind w:left="86"/>
              <w:rPr>
                <w:b/>
                <w:sz w:val="21"/>
              </w:rPr>
            </w:pPr>
            <w:r>
              <w:rPr>
                <w:b/>
                <w:sz w:val="21"/>
              </w:rPr>
              <w:t>除权的限制</w:t>
            </w:r>
            <w:r>
              <w:rPr>
                <w:b/>
                <w:w w:val="99"/>
                <w:sz w:val="21"/>
              </w:rPr>
              <w:t>   </w:t>
            </w:r>
          </w:p>
        </w:tc>
        <w:tc>
          <w:tcPr>
            <w:tcW w:w="7437" w:type="dxa"/>
          </w:tcPr>
          <w:p>
            <w:pPr>
              <w:pStyle w:val="TableParagraph"/>
              <w:spacing w:line="230" w:lineRule="exact"/>
              <w:ind w:left="59"/>
              <w:rPr>
                <w:sz w:val="21"/>
              </w:rPr>
            </w:pPr>
            <w:r>
              <w:rPr>
                <w:sz w:val="21"/>
              </w:rPr>
              <w:t>以上规定的合同解除权，自本公司知道有解除事由之日起，超过 30 日不行使而</w:t>
            </w:r>
          </w:p>
          <w:p>
            <w:pPr>
              <w:pStyle w:val="TableParagraph"/>
              <w:spacing w:before="70"/>
              <w:ind w:left="59"/>
              <w:rPr>
                <w:sz w:val="21"/>
              </w:rPr>
            </w:pPr>
            <w:r>
              <w:rPr>
                <w:sz w:val="21"/>
              </w:rPr>
              <w:t>消灭。 </w:t>
            </w:r>
          </w:p>
        </w:tc>
      </w:tr>
      <w:tr>
        <w:trPr>
          <w:trHeight w:val="297" w:hRule="atLeast"/>
        </w:trPr>
        <w:tc>
          <w:tcPr>
            <w:tcW w:w="831" w:type="dxa"/>
          </w:tcPr>
          <w:p>
            <w:pPr>
              <w:pStyle w:val="TableParagraph"/>
              <w:spacing w:line="266" w:lineRule="exact"/>
              <w:ind w:left="110"/>
              <w:rPr>
                <w:b/>
                <w:sz w:val="21"/>
              </w:rPr>
            </w:pPr>
            <w:r>
              <w:rPr>
                <w:b/>
                <w:w w:val="99"/>
                <w:sz w:val="21"/>
              </w:rPr>
              <w:t> </w:t>
            </w:r>
          </w:p>
        </w:tc>
        <w:tc>
          <w:tcPr>
            <w:tcW w:w="1626" w:type="dxa"/>
          </w:tcPr>
          <w:p>
            <w:pPr>
              <w:pStyle w:val="TableParagraph"/>
              <w:spacing w:line="266" w:lineRule="exact"/>
              <w:ind w:left="86"/>
              <w:rPr>
                <w:b/>
                <w:sz w:val="21"/>
              </w:rPr>
            </w:pPr>
            <w:r>
              <w:rPr>
                <w:b/>
                <w:w w:val="99"/>
                <w:sz w:val="21"/>
              </w:rPr>
              <w:t> </w:t>
            </w:r>
          </w:p>
        </w:tc>
        <w:tc>
          <w:tcPr>
            <w:tcW w:w="7437" w:type="dxa"/>
          </w:tcPr>
          <w:p>
            <w:pPr>
              <w:pStyle w:val="TableParagraph"/>
              <w:spacing w:line="266" w:lineRule="exact"/>
              <w:ind w:left="59"/>
              <w:rPr>
                <w:sz w:val="21"/>
              </w:rPr>
            </w:pPr>
            <w:r>
              <w:rPr>
                <w:w w:val="100"/>
                <w:sz w:val="21"/>
              </w:rPr>
              <w:t> </w:t>
            </w:r>
          </w:p>
        </w:tc>
      </w:tr>
      <w:tr>
        <w:trPr>
          <w:trHeight w:val="3725" w:hRule="atLeast"/>
        </w:trPr>
        <w:tc>
          <w:tcPr>
            <w:tcW w:w="831" w:type="dxa"/>
          </w:tcPr>
          <w:p>
            <w:pPr>
              <w:pStyle w:val="TableParagraph"/>
              <w:spacing w:line="223" w:lineRule="exact"/>
              <w:ind w:left="110"/>
              <w:rPr>
                <w:b/>
                <w:sz w:val="21"/>
              </w:rPr>
            </w:pPr>
            <w:r>
              <w:rPr>
                <w:b/>
                <w:sz w:val="21"/>
              </w:rPr>
              <w:t>5.3 </w:t>
            </w:r>
          </w:p>
        </w:tc>
        <w:tc>
          <w:tcPr>
            <w:tcW w:w="1626" w:type="dxa"/>
          </w:tcPr>
          <w:p>
            <w:pPr>
              <w:pStyle w:val="TableParagraph"/>
              <w:spacing w:line="223" w:lineRule="exact"/>
              <w:ind w:left="86"/>
              <w:rPr>
                <w:b/>
                <w:sz w:val="21"/>
              </w:rPr>
            </w:pPr>
            <w:r>
              <w:rPr>
                <w:b/>
                <w:sz w:val="21"/>
              </w:rPr>
              <w:t>年龄性别错误</w:t>
            </w:r>
            <w:r>
              <w:rPr>
                <w:b/>
                <w:w w:val="99"/>
                <w:sz w:val="21"/>
              </w:rPr>
              <w:t> </w:t>
            </w:r>
          </w:p>
        </w:tc>
        <w:tc>
          <w:tcPr>
            <w:tcW w:w="7437" w:type="dxa"/>
          </w:tcPr>
          <w:p>
            <w:pPr>
              <w:pStyle w:val="TableParagraph"/>
              <w:spacing w:line="223" w:lineRule="exact"/>
              <w:ind w:left="59"/>
              <w:rPr>
                <w:sz w:val="21"/>
              </w:rPr>
            </w:pPr>
            <w:r>
              <w:rPr>
                <w:sz w:val="21"/>
              </w:rPr>
              <w:t>一、被保险人的年龄以周岁计算。 </w:t>
            </w:r>
          </w:p>
          <w:p>
            <w:pPr>
              <w:pStyle w:val="TableParagraph"/>
              <w:spacing w:line="273" w:lineRule="auto" w:before="37"/>
              <w:ind w:left="59" w:right="106"/>
              <w:rPr>
                <w:sz w:val="21"/>
              </w:rPr>
            </w:pPr>
            <w:r>
              <w:rPr>
                <w:spacing w:val="-11"/>
                <w:sz w:val="21"/>
              </w:rPr>
              <w:t>二、投保人在申请投保时，应将与有效身份证件相符的被保险人的出生日期和性</w:t>
            </w:r>
            <w:r>
              <w:rPr>
                <w:spacing w:val="-5"/>
                <w:sz w:val="21"/>
              </w:rPr>
              <w:t>别在投保单上填明，如果发生错误则对该被保险人按照下列规定办理： </w:t>
            </w:r>
          </w:p>
          <w:p>
            <w:pPr>
              <w:pStyle w:val="TableParagraph"/>
              <w:spacing w:line="273" w:lineRule="auto" w:before="7"/>
              <w:ind w:left="59" w:right="108"/>
              <w:jc w:val="both"/>
              <w:rPr>
                <w:sz w:val="21"/>
              </w:rPr>
            </w:pPr>
            <w:r>
              <w:rPr>
                <w:sz w:val="21"/>
              </w:rPr>
              <w:t>（1）</w:t>
            </w:r>
            <w:r>
              <w:rPr>
                <w:rFonts w:ascii="黑体" w:hAnsi="黑体" w:eastAsia="黑体" w:hint="eastAsia"/>
                <w:spacing w:val="-5"/>
                <w:sz w:val="21"/>
              </w:rPr>
              <w:t>投保人申报的被保险人年龄不真实，并且其真实年龄不符合本主险合同约</w:t>
            </w:r>
            <w:r>
              <w:rPr>
                <w:rFonts w:ascii="黑体" w:hAnsi="黑体" w:eastAsia="黑体" w:hint="eastAsia"/>
                <w:spacing w:val="-9"/>
                <w:sz w:val="21"/>
              </w:rPr>
              <w:t>定的投保年龄限制的，在保险事故发</w:t>
            </w:r>
            <w:r>
              <w:rPr>
                <w:rFonts w:ascii="黑体" w:hAnsi="黑体" w:eastAsia="黑体" w:hint="eastAsia"/>
                <w:spacing w:val="-3"/>
                <w:sz w:val="21"/>
              </w:rPr>
              <w:t>Th</w:t>
            </w:r>
            <w:r>
              <w:rPr>
                <w:rFonts w:ascii="黑体" w:hAnsi="黑体" w:eastAsia="黑体" w:hint="eastAsia"/>
                <w:spacing w:val="-7"/>
                <w:sz w:val="21"/>
              </w:rPr>
              <w:t>之前本公司有权解除本主险合同，并向投</w:t>
            </w:r>
            <w:r>
              <w:rPr>
                <w:rFonts w:ascii="黑体" w:hAnsi="黑体" w:eastAsia="黑体" w:hint="eastAsia"/>
                <w:spacing w:val="-6"/>
                <w:sz w:val="21"/>
              </w:rPr>
              <w:t>保人退还保险单的现金价值</w:t>
            </w:r>
            <w:r>
              <w:rPr>
                <w:spacing w:val="-11"/>
                <w:sz w:val="21"/>
              </w:rPr>
              <w:t>。本公司行使合同解除权适用“本公司合同解除权的</w:t>
            </w:r>
            <w:r>
              <w:rPr>
                <w:spacing w:val="-9"/>
                <w:sz w:val="21"/>
              </w:rPr>
              <w:t>限制”的规定。</w:t>
            </w:r>
            <w:r>
              <w:rPr>
                <w:sz w:val="21"/>
              </w:rPr>
              <w:t> </w:t>
            </w:r>
          </w:p>
          <w:p>
            <w:pPr>
              <w:pStyle w:val="TableParagraph"/>
              <w:spacing w:line="273" w:lineRule="auto" w:before="7"/>
              <w:ind w:left="59" w:right="22"/>
              <w:rPr>
                <w:sz w:val="21"/>
              </w:rPr>
            </w:pPr>
            <w:r>
              <w:rPr>
                <w:sz w:val="21"/>
              </w:rPr>
              <w:t>（2）</w:t>
            </w:r>
            <w:r>
              <w:rPr>
                <w:spacing w:val="-5"/>
                <w:sz w:val="21"/>
              </w:rPr>
              <w:t>投保人申报的被保险人年龄或性别不真实，致使投保人的实付保险费少于应付保险费的，本公司有权更正并要求投保人补交保险费；若已发生保险事故， 本公司在给付保险金时按实交保险费和应交保险费的比例给付。</w:t>
            </w:r>
            <w:r>
              <w:rPr>
                <w:sz w:val="21"/>
              </w:rPr>
              <w:t> </w:t>
            </w:r>
          </w:p>
          <w:p>
            <w:pPr>
              <w:pStyle w:val="TableParagraph"/>
              <w:spacing w:line="273" w:lineRule="auto" w:before="7"/>
              <w:ind w:left="59" w:right="108"/>
              <w:rPr>
                <w:sz w:val="21"/>
              </w:rPr>
            </w:pPr>
            <w:r>
              <w:rPr>
                <w:sz w:val="21"/>
              </w:rPr>
              <w:t>（3）投保人申报的被保险人年龄或性别不真实，致使投保人实付保险费多于应付保险费的，本公司将多收的保险费退还给投保人。 </w:t>
            </w:r>
          </w:p>
        </w:tc>
      </w:tr>
      <w:tr>
        <w:trPr>
          <w:trHeight w:val="305" w:hRule="atLeast"/>
        </w:trPr>
        <w:tc>
          <w:tcPr>
            <w:tcW w:w="831" w:type="dxa"/>
          </w:tcPr>
          <w:p>
            <w:pPr>
              <w:pStyle w:val="TableParagraph"/>
              <w:spacing w:line="261" w:lineRule="exact"/>
              <w:ind w:left="110"/>
              <w:rPr>
                <w:sz w:val="21"/>
              </w:rPr>
            </w:pPr>
            <w:r>
              <w:rPr>
                <w:w w:val="100"/>
                <w:sz w:val="21"/>
              </w:rPr>
              <w:t> </w:t>
            </w:r>
          </w:p>
        </w:tc>
        <w:tc>
          <w:tcPr>
            <w:tcW w:w="1626" w:type="dxa"/>
          </w:tcPr>
          <w:p>
            <w:pPr>
              <w:pStyle w:val="TableParagraph"/>
              <w:spacing w:line="261" w:lineRule="exact"/>
              <w:ind w:left="86"/>
              <w:rPr>
                <w:sz w:val="21"/>
              </w:rPr>
            </w:pPr>
            <w:r>
              <w:rPr>
                <w:w w:val="100"/>
                <w:sz w:val="21"/>
              </w:rPr>
              <w:t> </w:t>
            </w:r>
          </w:p>
        </w:tc>
        <w:tc>
          <w:tcPr>
            <w:tcW w:w="7437" w:type="dxa"/>
          </w:tcPr>
          <w:p>
            <w:pPr>
              <w:pStyle w:val="TableParagraph"/>
              <w:spacing w:line="261" w:lineRule="exact"/>
              <w:ind w:left="59"/>
              <w:rPr>
                <w:sz w:val="21"/>
              </w:rPr>
            </w:pPr>
            <w:r>
              <w:rPr>
                <w:w w:val="100"/>
                <w:sz w:val="21"/>
              </w:rPr>
              <w:t> </w:t>
            </w:r>
          </w:p>
        </w:tc>
      </w:tr>
      <w:tr>
        <w:trPr>
          <w:trHeight w:val="1618" w:hRule="atLeast"/>
        </w:trPr>
        <w:tc>
          <w:tcPr>
            <w:tcW w:w="831" w:type="dxa"/>
          </w:tcPr>
          <w:p>
            <w:pPr>
              <w:pStyle w:val="TableParagraph"/>
              <w:spacing w:line="235" w:lineRule="exact"/>
              <w:ind w:left="110"/>
              <w:rPr>
                <w:sz w:val="21"/>
              </w:rPr>
            </w:pPr>
            <w:r>
              <w:rPr>
                <w:b/>
                <w:sz w:val="21"/>
              </w:rPr>
              <w:t>5.4</w:t>
            </w:r>
            <w:r>
              <w:rPr>
                <w:w w:val="100"/>
                <w:sz w:val="21"/>
              </w:rPr>
              <w:t> </w:t>
            </w:r>
          </w:p>
        </w:tc>
        <w:tc>
          <w:tcPr>
            <w:tcW w:w="1626" w:type="dxa"/>
          </w:tcPr>
          <w:p>
            <w:pPr>
              <w:pStyle w:val="TableParagraph"/>
              <w:spacing w:line="235" w:lineRule="exact"/>
              <w:ind w:left="86"/>
              <w:rPr>
                <w:sz w:val="21"/>
              </w:rPr>
            </w:pPr>
            <w:r>
              <w:rPr>
                <w:b/>
                <w:sz w:val="21"/>
              </w:rPr>
              <w:t>被保险人变动</w:t>
            </w:r>
            <w:r>
              <w:rPr>
                <w:w w:val="100"/>
                <w:sz w:val="21"/>
              </w:rPr>
              <w:t> </w:t>
            </w:r>
          </w:p>
        </w:tc>
        <w:tc>
          <w:tcPr>
            <w:tcW w:w="7437" w:type="dxa"/>
          </w:tcPr>
          <w:p>
            <w:pPr>
              <w:pStyle w:val="TableParagraph"/>
              <w:spacing w:line="235" w:lineRule="exact"/>
              <w:ind w:left="59"/>
              <w:rPr>
                <w:sz w:val="21"/>
              </w:rPr>
            </w:pPr>
            <w:r>
              <w:rPr>
                <w:sz w:val="21"/>
              </w:rPr>
              <w:t>一、投保人因其团体成员变动需要增加被保险人的，应书面通知本公司，本公司</w:t>
            </w:r>
          </w:p>
          <w:p>
            <w:pPr>
              <w:pStyle w:val="TableParagraph"/>
              <w:spacing w:line="300" w:lineRule="auto" w:before="66"/>
              <w:ind w:left="59" w:right="4"/>
              <w:jc w:val="both"/>
              <w:rPr>
                <w:sz w:val="21"/>
              </w:rPr>
            </w:pPr>
            <w:r>
              <w:rPr>
                <w:spacing w:val="-9"/>
                <w:sz w:val="21"/>
              </w:rPr>
              <w:t>审核同意并按照附表一《安邦养老保险股份有限公司极短期收费比例表》中规定</w:t>
            </w:r>
            <w:r>
              <w:rPr>
                <w:spacing w:val="-13"/>
                <w:sz w:val="21"/>
              </w:rPr>
              <w:t>的比例收取相应的保险费后，对新增加的被保险人依本主险合同约定承担保险责</w:t>
            </w:r>
            <w:r>
              <w:rPr>
                <w:spacing w:val="-11"/>
                <w:sz w:val="21"/>
              </w:rPr>
              <w:t>任。本公司对该新增加的被保险人承担的保险责任的起始时间在保险单上载明。</w:t>
            </w:r>
            <w:r>
              <w:rPr>
                <w:sz w:val="21"/>
              </w:rPr>
              <w:t> </w:t>
            </w:r>
          </w:p>
          <w:p>
            <w:pPr>
              <w:pStyle w:val="TableParagraph"/>
              <w:spacing w:line="265" w:lineRule="exact" w:before="18"/>
              <w:ind w:left="59"/>
              <w:jc w:val="both"/>
              <w:rPr>
                <w:sz w:val="21"/>
              </w:rPr>
            </w:pPr>
            <w:r>
              <w:rPr>
                <w:sz w:val="21"/>
              </w:rPr>
              <w:t>二、投保人因其团体成员变动需要减少被保险人的，应书面通知本公司，本公司</w:t>
            </w:r>
          </w:p>
        </w:tc>
      </w:tr>
    </w:tbl>
    <w:p>
      <w:pPr>
        <w:spacing w:after="0" w:line="265" w:lineRule="exact"/>
        <w:jc w:val="both"/>
        <w:rPr>
          <w:sz w:val="21"/>
        </w:rPr>
        <w:sectPr>
          <w:pgSz w:w="11910" w:h="16840"/>
          <w:pgMar w:header="0" w:footer="915" w:top="1500" w:bottom="1100" w:left="900" w:right="9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731"/>
        <w:gridCol w:w="7436"/>
      </w:tblGrid>
      <w:tr>
        <w:trPr>
          <w:trHeight w:val="2335" w:hRule="atLeast"/>
        </w:trPr>
        <w:tc>
          <w:tcPr>
            <w:tcW w:w="725"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7436" w:type="dxa"/>
          </w:tcPr>
          <w:p>
            <w:pPr>
              <w:pStyle w:val="TableParagraph"/>
              <w:spacing w:line="201" w:lineRule="exact"/>
              <w:ind w:left="60"/>
              <w:rPr>
                <w:sz w:val="21"/>
              </w:rPr>
            </w:pPr>
            <w:r>
              <w:rPr>
                <w:sz w:val="21"/>
              </w:rPr>
              <w:t>对该被保险人的保险责任自本公司收到通知之日的二十四时终止，投保人在通知</w:t>
            </w:r>
          </w:p>
          <w:p>
            <w:pPr>
              <w:pStyle w:val="TableParagraph"/>
              <w:spacing w:line="300" w:lineRule="auto" w:before="66"/>
              <w:ind w:left="60" w:right="107"/>
              <w:jc w:val="both"/>
              <w:rPr>
                <w:sz w:val="21"/>
              </w:rPr>
            </w:pPr>
            <w:r>
              <w:rPr>
                <w:spacing w:val="-8"/>
                <w:sz w:val="21"/>
              </w:rPr>
              <w:t>书中载明的变更被保险人日期如果晚于通知书送达本公司的日期，则本公司对该</w:t>
            </w:r>
            <w:r>
              <w:rPr>
                <w:spacing w:val="-9"/>
                <w:sz w:val="21"/>
              </w:rPr>
              <w:t>被保险人的保险责任自通知书中载明的变更被保险人日期的零时终止。本公司向</w:t>
            </w:r>
            <w:r>
              <w:rPr>
                <w:spacing w:val="-7"/>
                <w:sz w:val="21"/>
              </w:rPr>
              <w:t>投保人退还保险单项下该减少被保险人对应的现金价值。</w:t>
            </w:r>
            <w:r>
              <w:rPr>
                <w:sz w:val="21"/>
              </w:rPr>
              <w:t> </w:t>
            </w:r>
          </w:p>
          <w:p>
            <w:pPr>
              <w:pStyle w:val="TableParagraph"/>
              <w:spacing w:line="297" w:lineRule="auto" w:before="18"/>
              <w:ind w:left="60" w:right="231"/>
              <w:rPr>
                <w:sz w:val="21"/>
              </w:rPr>
            </w:pPr>
            <w:r>
              <w:rPr>
                <w:rFonts w:ascii="黑体" w:eastAsia="黑体" w:hint="eastAsia"/>
                <w:sz w:val="21"/>
              </w:rPr>
              <w:t>本主险合同的被保险人减少导致团体不能满足国务院保险监督管理机构的相关规定的，本公司有权解除本主险合同，并对投保人退还保险单的现金价值</w:t>
            </w:r>
            <w:r>
              <w:rPr>
                <w:sz w:val="21"/>
              </w:rPr>
              <w:t>。 </w:t>
            </w:r>
          </w:p>
          <w:p>
            <w:pPr>
              <w:pStyle w:val="TableParagraph"/>
              <w:spacing w:before="20"/>
              <w:ind w:left="60"/>
              <w:jc w:val="both"/>
              <w:rPr>
                <w:sz w:val="21"/>
              </w:rPr>
            </w:pPr>
            <w:r>
              <w:rPr>
                <w:w w:val="100"/>
                <w:sz w:val="21"/>
              </w:rPr>
              <w:t> </w:t>
            </w:r>
          </w:p>
        </w:tc>
      </w:tr>
      <w:tr>
        <w:trPr>
          <w:trHeight w:val="686" w:hRule="atLeast"/>
        </w:trPr>
        <w:tc>
          <w:tcPr>
            <w:tcW w:w="725" w:type="dxa"/>
          </w:tcPr>
          <w:p>
            <w:pPr>
              <w:pStyle w:val="TableParagraph"/>
              <w:spacing w:line="266" w:lineRule="exact"/>
              <w:ind w:left="110"/>
              <w:rPr>
                <w:b/>
                <w:sz w:val="21"/>
              </w:rPr>
            </w:pPr>
            <w:r>
              <w:rPr>
                <w:b/>
                <w:sz w:val="21"/>
              </w:rPr>
              <w:t>5.5 </w:t>
            </w:r>
          </w:p>
        </w:tc>
        <w:tc>
          <w:tcPr>
            <w:tcW w:w="1731" w:type="dxa"/>
          </w:tcPr>
          <w:p>
            <w:pPr>
              <w:pStyle w:val="TableParagraph"/>
              <w:spacing w:line="266" w:lineRule="exact"/>
              <w:ind w:left="192"/>
              <w:rPr>
                <w:b/>
                <w:sz w:val="21"/>
              </w:rPr>
            </w:pPr>
            <w:r>
              <w:rPr>
                <w:b/>
                <w:sz w:val="21"/>
              </w:rPr>
              <w:t>身体检查</w:t>
            </w:r>
            <w:r>
              <w:rPr>
                <w:b/>
                <w:w w:val="99"/>
                <w:sz w:val="21"/>
              </w:rPr>
              <w:t> </w:t>
            </w:r>
          </w:p>
        </w:tc>
        <w:tc>
          <w:tcPr>
            <w:tcW w:w="7436" w:type="dxa"/>
          </w:tcPr>
          <w:p>
            <w:pPr>
              <w:pStyle w:val="TableParagraph"/>
              <w:spacing w:line="302" w:lineRule="auto"/>
              <w:ind w:left="60" w:right="105"/>
              <w:rPr>
                <w:sz w:val="21"/>
              </w:rPr>
            </w:pPr>
            <w:r>
              <w:rPr>
                <w:spacing w:val="-9"/>
                <w:sz w:val="21"/>
              </w:rPr>
              <w:t>被保险人申请领取重大疾病保险金时，本公司有权要求被保险人在医院或本公司</w:t>
            </w:r>
            <w:r>
              <w:rPr>
                <w:spacing w:val="-7"/>
                <w:sz w:val="21"/>
              </w:rPr>
              <w:t>认可的其他医疗机构进行身体检查或到法定鉴定部门进行伤残鉴定。</w:t>
            </w:r>
            <w:r>
              <w:rPr>
                <w:sz w:val="21"/>
              </w:rPr>
              <w:t> </w:t>
            </w:r>
          </w:p>
        </w:tc>
      </w:tr>
      <w:tr>
        <w:trPr>
          <w:trHeight w:val="309" w:hRule="atLeast"/>
        </w:trPr>
        <w:tc>
          <w:tcPr>
            <w:tcW w:w="725" w:type="dxa"/>
          </w:tcPr>
          <w:p>
            <w:pPr>
              <w:pStyle w:val="TableParagraph"/>
              <w:spacing w:line="266" w:lineRule="exact"/>
              <w:ind w:left="110"/>
              <w:rPr>
                <w:b/>
                <w:sz w:val="21"/>
              </w:rPr>
            </w:pPr>
            <w:r>
              <w:rPr>
                <w:b/>
                <w:w w:val="99"/>
                <w:sz w:val="21"/>
              </w:rPr>
              <w:t> </w:t>
            </w:r>
          </w:p>
        </w:tc>
        <w:tc>
          <w:tcPr>
            <w:tcW w:w="1731" w:type="dxa"/>
          </w:tcPr>
          <w:p>
            <w:pPr>
              <w:pStyle w:val="TableParagraph"/>
              <w:spacing w:line="266" w:lineRule="exact"/>
              <w:ind w:left="192"/>
              <w:rPr>
                <w:b/>
                <w:sz w:val="21"/>
              </w:rPr>
            </w:pPr>
            <w:r>
              <w:rPr>
                <w:b/>
                <w:w w:val="99"/>
                <w:sz w:val="21"/>
              </w:rPr>
              <w:t> </w:t>
            </w:r>
          </w:p>
        </w:tc>
        <w:tc>
          <w:tcPr>
            <w:tcW w:w="7436" w:type="dxa"/>
          </w:tcPr>
          <w:p>
            <w:pPr>
              <w:pStyle w:val="TableParagraph"/>
              <w:spacing w:line="266" w:lineRule="exact"/>
              <w:ind w:left="60"/>
              <w:rPr>
                <w:sz w:val="21"/>
              </w:rPr>
            </w:pPr>
            <w:r>
              <w:rPr>
                <w:w w:val="100"/>
                <w:sz w:val="21"/>
              </w:rPr>
              <w:t> </w:t>
            </w:r>
          </w:p>
        </w:tc>
      </w:tr>
      <w:tr>
        <w:trPr>
          <w:trHeight w:val="2028" w:hRule="atLeast"/>
        </w:trPr>
        <w:tc>
          <w:tcPr>
            <w:tcW w:w="725" w:type="dxa"/>
          </w:tcPr>
          <w:p>
            <w:pPr>
              <w:pStyle w:val="TableParagraph"/>
              <w:spacing w:line="235" w:lineRule="exact"/>
              <w:ind w:left="110"/>
              <w:rPr>
                <w:b/>
                <w:sz w:val="21"/>
              </w:rPr>
            </w:pPr>
            <w:r>
              <w:rPr>
                <w:b/>
                <w:sz w:val="21"/>
              </w:rPr>
              <w:t>5.6 </w:t>
            </w:r>
          </w:p>
        </w:tc>
        <w:tc>
          <w:tcPr>
            <w:tcW w:w="1731" w:type="dxa"/>
          </w:tcPr>
          <w:p>
            <w:pPr>
              <w:pStyle w:val="TableParagraph"/>
              <w:spacing w:line="235" w:lineRule="exact"/>
              <w:ind w:left="192"/>
              <w:rPr>
                <w:b/>
                <w:sz w:val="21"/>
              </w:rPr>
            </w:pPr>
            <w:r>
              <w:rPr>
                <w:b/>
                <w:sz w:val="21"/>
              </w:rPr>
              <w:t>合同内容变更</w:t>
            </w:r>
            <w:r>
              <w:rPr>
                <w:b/>
                <w:w w:val="99"/>
                <w:sz w:val="21"/>
              </w:rPr>
              <w:t>  </w:t>
            </w:r>
          </w:p>
        </w:tc>
        <w:tc>
          <w:tcPr>
            <w:tcW w:w="7436" w:type="dxa"/>
          </w:tcPr>
          <w:p>
            <w:pPr>
              <w:pStyle w:val="TableParagraph"/>
              <w:spacing w:line="235" w:lineRule="exact"/>
              <w:ind w:left="60"/>
              <w:rPr>
                <w:sz w:val="21"/>
              </w:rPr>
            </w:pPr>
            <w:r>
              <w:rPr>
                <w:sz w:val="21"/>
              </w:rPr>
              <w:t>在本主险合同有效期内，经投保人与本公司协商一致，可以变更本主险合同的有</w:t>
            </w:r>
          </w:p>
          <w:p>
            <w:pPr>
              <w:pStyle w:val="TableParagraph"/>
              <w:spacing w:line="297" w:lineRule="auto" w:before="70"/>
              <w:ind w:left="60" w:right="107"/>
              <w:jc w:val="both"/>
              <w:rPr>
                <w:sz w:val="21"/>
              </w:rPr>
            </w:pPr>
            <w:r>
              <w:rPr>
                <w:spacing w:val="-11"/>
                <w:sz w:val="21"/>
              </w:rPr>
              <w:t>关内容。变更本主险合同的，应当由本公司在保险单或者其他保险凭证上批注或</w:t>
            </w:r>
            <w:r>
              <w:rPr>
                <w:spacing w:val="-7"/>
                <w:sz w:val="21"/>
              </w:rPr>
              <w:t>者附贴批单，或者由投保人与本公司订立书面的变更协议。</w:t>
            </w:r>
            <w:r>
              <w:rPr>
                <w:sz w:val="21"/>
              </w:rPr>
              <w:t> </w:t>
            </w:r>
          </w:p>
          <w:p>
            <w:pPr>
              <w:pStyle w:val="TableParagraph"/>
              <w:spacing w:line="300" w:lineRule="auto" w:before="19"/>
              <w:ind w:left="60" w:right="104"/>
              <w:jc w:val="both"/>
              <w:rPr>
                <w:sz w:val="21"/>
              </w:rPr>
            </w:pPr>
            <w:r>
              <w:rPr>
                <w:spacing w:val="-8"/>
                <w:sz w:val="21"/>
              </w:rPr>
              <w:t>投保人住所或通讯地址变更时，应及时以书面形式通知本公司，投保人未以书面</w:t>
            </w:r>
            <w:r>
              <w:rPr>
                <w:spacing w:val="-13"/>
                <w:sz w:val="21"/>
              </w:rPr>
              <w:t>形式通知的，本公司按本主险合同注明的最后住所或通讯地址发送有关通知视为</w:t>
            </w:r>
            <w:r>
              <w:rPr>
                <w:spacing w:val="-11"/>
                <w:sz w:val="21"/>
              </w:rPr>
              <w:t>已送达。</w:t>
            </w:r>
            <w:r>
              <w:rPr>
                <w:sz w:val="21"/>
              </w:rPr>
              <w:t> </w:t>
            </w:r>
          </w:p>
        </w:tc>
      </w:tr>
      <w:tr>
        <w:trPr>
          <w:trHeight w:val="307" w:hRule="atLeast"/>
        </w:trPr>
        <w:tc>
          <w:tcPr>
            <w:tcW w:w="725" w:type="dxa"/>
          </w:tcPr>
          <w:p>
            <w:pPr>
              <w:pStyle w:val="TableParagraph"/>
              <w:spacing w:line="266" w:lineRule="exact"/>
              <w:ind w:left="110"/>
              <w:rPr>
                <w:b/>
                <w:sz w:val="21"/>
              </w:rPr>
            </w:pPr>
            <w:r>
              <w:rPr>
                <w:b/>
                <w:w w:val="99"/>
                <w:sz w:val="21"/>
              </w:rPr>
              <w:t> </w:t>
            </w:r>
          </w:p>
        </w:tc>
        <w:tc>
          <w:tcPr>
            <w:tcW w:w="1731" w:type="dxa"/>
          </w:tcPr>
          <w:p>
            <w:pPr>
              <w:pStyle w:val="TableParagraph"/>
              <w:spacing w:line="266" w:lineRule="exact"/>
              <w:ind w:left="192"/>
              <w:rPr>
                <w:b/>
                <w:sz w:val="21"/>
              </w:rPr>
            </w:pPr>
            <w:r>
              <w:rPr>
                <w:b/>
                <w:w w:val="99"/>
                <w:sz w:val="21"/>
              </w:rPr>
              <w:t> </w:t>
            </w:r>
          </w:p>
        </w:tc>
        <w:tc>
          <w:tcPr>
            <w:tcW w:w="7436" w:type="dxa"/>
          </w:tcPr>
          <w:p>
            <w:pPr>
              <w:pStyle w:val="TableParagraph"/>
              <w:spacing w:line="266" w:lineRule="exact"/>
              <w:ind w:left="60"/>
              <w:rPr>
                <w:sz w:val="21"/>
              </w:rPr>
            </w:pPr>
            <w:r>
              <w:rPr>
                <w:w w:val="100"/>
                <w:sz w:val="21"/>
              </w:rPr>
              <w:t> </w:t>
            </w:r>
          </w:p>
        </w:tc>
      </w:tr>
      <w:tr>
        <w:trPr>
          <w:trHeight w:val="2026" w:hRule="atLeast"/>
        </w:trPr>
        <w:tc>
          <w:tcPr>
            <w:tcW w:w="725" w:type="dxa"/>
          </w:tcPr>
          <w:p>
            <w:pPr>
              <w:pStyle w:val="TableParagraph"/>
              <w:spacing w:line="232" w:lineRule="exact"/>
              <w:ind w:left="110"/>
              <w:rPr>
                <w:sz w:val="21"/>
              </w:rPr>
            </w:pPr>
            <w:r>
              <w:rPr>
                <w:b/>
                <w:sz w:val="21"/>
              </w:rPr>
              <w:t>5.7</w:t>
            </w:r>
            <w:r>
              <w:rPr>
                <w:w w:val="100"/>
                <w:sz w:val="21"/>
              </w:rPr>
              <w:t> </w:t>
            </w:r>
          </w:p>
        </w:tc>
        <w:tc>
          <w:tcPr>
            <w:tcW w:w="1731" w:type="dxa"/>
          </w:tcPr>
          <w:p>
            <w:pPr>
              <w:pStyle w:val="TableParagraph"/>
              <w:spacing w:line="232" w:lineRule="exact"/>
              <w:ind w:left="192"/>
              <w:rPr>
                <w:sz w:val="21"/>
              </w:rPr>
            </w:pPr>
            <w:r>
              <w:rPr>
                <w:b/>
                <w:sz w:val="21"/>
              </w:rPr>
              <w:t>争议处理</w:t>
            </w:r>
            <w:r>
              <w:rPr>
                <w:w w:val="100"/>
                <w:sz w:val="21"/>
              </w:rPr>
              <w:t> </w:t>
            </w:r>
          </w:p>
        </w:tc>
        <w:tc>
          <w:tcPr>
            <w:tcW w:w="7436" w:type="dxa"/>
          </w:tcPr>
          <w:p>
            <w:pPr>
              <w:pStyle w:val="TableParagraph"/>
              <w:spacing w:line="232" w:lineRule="exact"/>
              <w:ind w:left="60"/>
              <w:rPr>
                <w:sz w:val="21"/>
              </w:rPr>
            </w:pPr>
            <w:r>
              <w:rPr>
                <w:sz w:val="21"/>
              </w:rPr>
              <w:t>投保人和本公司协商一致选择下列第（   ）种方式为本主险合同项下的争议解</w:t>
            </w:r>
          </w:p>
          <w:p>
            <w:pPr>
              <w:pStyle w:val="TableParagraph"/>
              <w:spacing w:before="70"/>
              <w:ind w:left="60"/>
              <w:rPr>
                <w:sz w:val="21"/>
              </w:rPr>
            </w:pPr>
            <w:r>
              <w:rPr>
                <w:sz w:val="21"/>
              </w:rPr>
              <w:t>决方式： </w:t>
            </w:r>
          </w:p>
          <w:p>
            <w:pPr>
              <w:pStyle w:val="TableParagraph"/>
              <w:spacing w:line="302" w:lineRule="auto" w:before="65"/>
              <w:ind w:left="60" w:right="1"/>
              <w:rPr>
                <w:sz w:val="21"/>
              </w:rPr>
            </w:pPr>
            <w:r>
              <w:rPr>
                <w:spacing w:val="-10"/>
                <w:sz w:val="21"/>
              </w:rPr>
              <w:t>（1）</w:t>
            </w:r>
            <w:r>
              <w:rPr>
                <w:spacing w:val="-7"/>
                <w:sz w:val="21"/>
              </w:rPr>
              <w:t>因履行本主险合同发生的争议，由投保人和本公司协商解决，协商不成的， </w:t>
            </w:r>
            <w:r>
              <w:rPr>
                <w:spacing w:val="-6"/>
                <w:sz w:val="21"/>
              </w:rPr>
              <w:t>任何一方均可提交</w:t>
            </w:r>
            <w:r>
              <w:rPr>
                <w:spacing w:val="1"/>
                <w:sz w:val="21"/>
                <w:u w:val="single"/>
              </w:rPr>
              <w:t>      </w:t>
            </w:r>
            <w:r>
              <w:rPr>
                <w:spacing w:val="-4"/>
                <w:sz w:val="21"/>
              </w:rPr>
              <w:t>仲裁委员会仲裁；</w:t>
            </w:r>
            <w:r>
              <w:rPr>
                <w:sz w:val="21"/>
              </w:rPr>
              <w:t> </w:t>
            </w:r>
          </w:p>
          <w:p>
            <w:pPr>
              <w:pStyle w:val="TableParagraph"/>
              <w:spacing w:line="302" w:lineRule="auto" w:before="10"/>
              <w:ind w:left="60" w:right="1"/>
              <w:rPr>
                <w:sz w:val="21"/>
              </w:rPr>
            </w:pPr>
            <w:r>
              <w:rPr>
                <w:spacing w:val="-10"/>
                <w:sz w:val="21"/>
              </w:rPr>
              <w:t>（2）</w:t>
            </w:r>
            <w:r>
              <w:rPr>
                <w:spacing w:val="-7"/>
                <w:sz w:val="21"/>
              </w:rPr>
              <w:t>因履行本主险合同发生的争议，由投保人和本公司协商解决，协商不成的， </w:t>
            </w:r>
            <w:r>
              <w:rPr>
                <w:spacing w:val="-6"/>
                <w:sz w:val="21"/>
              </w:rPr>
              <w:t>任何一方均有权依法向有管辖权的人民法院起诉。</w:t>
            </w:r>
            <w:r>
              <w:rPr>
                <w:sz w:val="21"/>
              </w:rPr>
              <w:t> </w:t>
            </w:r>
          </w:p>
        </w:tc>
      </w:tr>
      <w:tr>
        <w:trPr>
          <w:trHeight w:val="340" w:hRule="atLeast"/>
        </w:trPr>
        <w:tc>
          <w:tcPr>
            <w:tcW w:w="725" w:type="dxa"/>
          </w:tcPr>
          <w:p>
            <w:pPr>
              <w:pStyle w:val="TableParagraph"/>
              <w:spacing w:line="266" w:lineRule="exact"/>
              <w:ind w:left="110"/>
              <w:rPr>
                <w:sz w:val="21"/>
              </w:rPr>
            </w:pPr>
            <w:r>
              <w:rPr>
                <w:w w:val="100"/>
                <w:sz w:val="21"/>
              </w:rPr>
              <w:t> </w:t>
            </w:r>
          </w:p>
        </w:tc>
        <w:tc>
          <w:tcPr>
            <w:tcW w:w="1731" w:type="dxa"/>
          </w:tcPr>
          <w:p>
            <w:pPr>
              <w:pStyle w:val="TableParagraph"/>
              <w:spacing w:line="266" w:lineRule="exact"/>
              <w:ind w:left="192"/>
              <w:rPr>
                <w:sz w:val="21"/>
              </w:rPr>
            </w:pPr>
            <w:r>
              <w:rPr>
                <w:w w:val="100"/>
                <w:sz w:val="21"/>
              </w:rPr>
              <w:t> </w:t>
            </w:r>
          </w:p>
        </w:tc>
        <w:tc>
          <w:tcPr>
            <w:tcW w:w="7436" w:type="dxa"/>
          </w:tcPr>
          <w:p>
            <w:pPr>
              <w:pStyle w:val="TableParagraph"/>
              <w:spacing w:line="266" w:lineRule="exact"/>
              <w:ind w:left="60"/>
              <w:rPr>
                <w:sz w:val="21"/>
              </w:rPr>
            </w:pPr>
            <w:r>
              <w:rPr>
                <w:w w:val="100"/>
                <w:sz w:val="21"/>
              </w:rPr>
              <w:t> </w:t>
            </w:r>
          </w:p>
        </w:tc>
      </w:tr>
      <w:tr>
        <w:trPr>
          <w:trHeight w:val="616" w:hRule="atLeast"/>
        </w:trPr>
        <w:tc>
          <w:tcPr>
            <w:tcW w:w="725" w:type="dxa"/>
            <w:tcBorders>
              <w:bottom w:val="single" w:sz="8" w:space="0" w:color="000000"/>
            </w:tcBorders>
          </w:tcPr>
          <w:p>
            <w:pPr>
              <w:pStyle w:val="TableParagraph"/>
              <w:spacing w:before="15"/>
              <w:ind w:left="110"/>
              <w:rPr>
                <w:rFonts w:ascii="Arial" w:hAnsi="Arial"/>
                <w:b/>
                <w:sz w:val="40"/>
              </w:rPr>
            </w:pPr>
            <w:r>
              <w:rPr>
                <w:rFonts w:ascii="Arial" w:hAnsi="Arial"/>
                <w:b/>
                <w:w w:val="118"/>
                <w:sz w:val="40"/>
              </w:rPr>
              <w:t></w:t>
            </w:r>
          </w:p>
        </w:tc>
        <w:tc>
          <w:tcPr>
            <w:tcW w:w="9167" w:type="dxa"/>
            <w:gridSpan w:val="2"/>
            <w:tcBorders>
              <w:bottom w:val="single" w:sz="8" w:space="0" w:color="000000"/>
            </w:tcBorders>
          </w:tcPr>
          <w:p>
            <w:pPr>
              <w:pStyle w:val="TableParagraph"/>
              <w:spacing w:before="72"/>
              <w:ind w:left="192"/>
              <w:rPr>
                <w:b/>
                <w:sz w:val="24"/>
              </w:rPr>
            </w:pPr>
            <w:r>
              <w:rPr>
                <w:b/>
                <w:w w:val="95"/>
                <w:sz w:val="24"/>
              </w:rPr>
              <w:t>释义</w:t>
            </w:r>
            <w:r>
              <w:rPr>
                <w:b/>
                <w:w w:val="99"/>
                <w:sz w:val="24"/>
              </w:rPr>
              <w:t>                                                                      </w:t>
            </w:r>
          </w:p>
        </w:tc>
      </w:tr>
      <w:tr>
        <w:trPr>
          <w:trHeight w:val="288" w:hRule="atLeast"/>
        </w:trPr>
        <w:tc>
          <w:tcPr>
            <w:tcW w:w="725" w:type="dxa"/>
            <w:tcBorders>
              <w:top w:val="single" w:sz="8" w:space="0" w:color="000000"/>
            </w:tcBorders>
          </w:tcPr>
          <w:p>
            <w:pPr>
              <w:pStyle w:val="TableParagraph"/>
              <w:ind w:left="0"/>
              <w:rPr>
                <w:rFonts w:ascii="Times New Roman"/>
                <w:sz w:val="20"/>
              </w:rPr>
            </w:pPr>
          </w:p>
        </w:tc>
        <w:tc>
          <w:tcPr>
            <w:tcW w:w="1731" w:type="dxa"/>
            <w:tcBorders>
              <w:top w:val="single" w:sz="8" w:space="0" w:color="000000"/>
            </w:tcBorders>
          </w:tcPr>
          <w:p>
            <w:pPr>
              <w:pStyle w:val="TableParagraph"/>
              <w:spacing w:line="268" w:lineRule="exact"/>
              <w:ind w:left="192"/>
              <w:rPr>
                <w:b/>
                <w:sz w:val="24"/>
              </w:rPr>
            </w:pPr>
            <w:r>
              <w:rPr>
                <w:b/>
                <w:w w:val="99"/>
                <w:sz w:val="24"/>
              </w:rPr>
              <w:t> </w:t>
            </w:r>
          </w:p>
        </w:tc>
        <w:tc>
          <w:tcPr>
            <w:tcW w:w="7436" w:type="dxa"/>
            <w:tcBorders>
              <w:top w:val="single" w:sz="8" w:space="0" w:color="000000"/>
            </w:tcBorders>
          </w:tcPr>
          <w:p>
            <w:pPr>
              <w:pStyle w:val="TableParagraph"/>
              <w:ind w:left="0"/>
              <w:rPr>
                <w:rFonts w:ascii="Times New Roman"/>
                <w:sz w:val="20"/>
              </w:rPr>
            </w:pPr>
          </w:p>
        </w:tc>
      </w:tr>
      <w:tr>
        <w:trPr>
          <w:trHeight w:val="669" w:hRule="atLeast"/>
        </w:trPr>
        <w:tc>
          <w:tcPr>
            <w:tcW w:w="725" w:type="dxa"/>
          </w:tcPr>
          <w:p>
            <w:pPr>
              <w:pStyle w:val="TableParagraph"/>
              <w:spacing w:line="192" w:lineRule="exact"/>
              <w:ind w:left="110"/>
              <w:rPr>
                <w:b/>
                <w:sz w:val="21"/>
              </w:rPr>
            </w:pPr>
            <w:r>
              <w:rPr>
                <w:b/>
                <w:sz w:val="21"/>
              </w:rPr>
              <w:t>6.1 </w:t>
            </w:r>
          </w:p>
        </w:tc>
        <w:tc>
          <w:tcPr>
            <w:tcW w:w="1731" w:type="dxa"/>
          </w:tcPr>
          <w:p>
            <w:pPr>
              <w:pStyle w:val="TableParagraph"/>
              <w:spacing w:line="192" w:lineRule="exact"/>
              <w:ind w:left="192"/>
              <w:rPr>
                <w:b/>
                <w:sz w:val="21"/>
              </w:rPr>
            </w:pPr>
            <w:r>
              <w:rPr>
                <w:b/>
                <w:sz w:val="21"/>
              </w:rPr>
              <w:t>周岁</w:t>
            </w:r>
            <w:r>
              <w:rPr>
                <w:b/>
                <w:w w:val="99"/>
                <w:sz w:val="21"/>
              </w:rPr>
              <w:t> </w:t>
            </w:r>
          </w:p>
        </w:tc>
        <w:tc>
          <w:tcPr>
            <w:tcW w:w="7436" w:type="dxa"/>
          </w:tcPr>
          <w:p>
            <w:pPr>
              <w:pStyle w:val="TableParagraph"/>
              <w:spacing w:line="192" w:lineRule="exact"/>
              <w:ind w:left="60"/>
              <w:rPr>
                <w:sz w:val="21"/>
              </w:rPr>
            </w:pPr>
            <w:r>
              <w:rPr>
                <w:sz w:val="21"/>
              </w:rPr>
              <w:t>周岁年龄是指按法定有效身份证件文件中记载的出生日期计算的年龄，自出生之</w:t>
            </w:r>
          </w:p>
          <w:p>
            <w:pPr>
              <w:pStyle w:val="TableParagraph"/>
              <w:spacing w:before="66"/>
              <w:ind w:left="60"/>
              <w:rPr>
                <w:sz w:val="21"/>
              </w:rPr>
            </w:pPr>
            <w:r>
              <w:rPr>
                <w:sz w:val="21"/>
              </w:rPr>
              <w:t>日起为零周岁，每经过一年增加一岁，不足一年的不计。</w:t>
            </w:r>
          </w:p>
        </w:tc>
      </w:tr>
      <w:tr>
        <w:trPr>
          <w:trHeight w:val="367" w:hRule="atLeast"/>
        </w:trPr>
        <w:tc>
          <w:tcPr>
            <w:tcW w:w="725" w:type="dxa"/>
          </w:tcPr>
          <w:p>
            <w:pPr>
              <w:pStyle w:val="TableParagraph"/>
              <w:spacing w:before="53"/>
              <w:ind w:left="110"/>
              <w:rPr>
                <w:b/>
                <w:sz w:val="21"/>
              </w:rPr>
            </w:pPr>
            <w:r>
              <w:rPr>
                <w:b/>
                <w:w w:val="99"/>
                <w:sz w:val="21"/>
              </w:rPr>
              <w:t> </w:t>
            </w:r>
          </w:p>
        </w:tc>
        <w:tc>
          <w:tcPr>
            <w:tcW w:w="1731" w:type="dxa"/>
          </w:tcPr>
          <w:p>
            <w:pPr>
              <w:pStyle w:val="TableParagraph"/>
              <w:spacing w:before="53"/>
              <w:ind w:left="192"/>
              <w:rPr>
                <w:b/>
                <w:sz w:val="21"/>
              </w:rPr>
            </w:pPr>
            <w:r>
              <w:rPr>
                <w:b/>
                <w:w w:val="99"/>
                <w:sz w:val="21"/>
              </w:rPr>
              <w:t> </w:t>
            </w:r>
          </w:p>
        </w:tc>
        <w:tc>
          <w:tcPr>
            <w:tcW w:w="7436" w:type="dxa"/>
          </w:tcPr>
          <w:p>
            <w:pPr>
              <w:pStyle w:val="TableParagraph"/>
              <w:spacing w:before="53"/>
              <w:ind w:left="60"/>
              <w:rPr>
                <w:sz w:val="21"/>
              </w:rPr>
            </w:pPr>
            <w:r>
              <w:rPr>
                <w:w w:val="100"/>
                <w:sz w:val="21"/>
              </w:rPr>
              <w:t> </w:t>
            </w:r>
          </w:p>
        </w:tc>
      </w:tr>
      <w:tr>
        <w:trPr>
          <w:trHeight w:val="993" w:hRule="atLeast"/>
        </w:trPr>
        <w:tc>
          <w:tcPr>
            <w:tcW w:w="725" w:type="dxa"/>
          </w:tcPr>
          <w:p>
            <w:pPr>
              <w:pStyle w:val="TableParagraph"/>
              <w:spacing w:line="230" w:lineRule="exact"/>
              <w:ind w:left="110"/>
              <w:rPr>
                <w:b/>
                <w:sz w:val="21"/>
              </w:rPr>
            </w:pPr>
            <w:r>
              <w:rPr>
                <w:b/>
                <w:sz w:val="21"/>
              </w:rPr>
              <w:t>6.2 </w:t>
            </w:r>
          </w:p>
        </w:tc>
        <w:tc>
          <w:tcPr>
            <w:tcW w:w="1731" w:type="dxa"/>
          </w:tcPr>
          <w:p>
            <w:pPr>
              <w:pStyle w:val="TableParagraph"/>
              <w:spacing w:line="230" w:lineRule="exact"/>
              <w:ind w:left="192"/>
              <w:rPr>
                <w:b/>
                <w:sz w:val="21"/>
              </w:rPr>
            </w:pPr>
            <w:r>
              <w:rPr>
                <w:b/>
                <w:sz w:val="21"/>
              </w:rPr>
              <w:t>现金价值</w:t>
            </w:r>
            <w:r>
              <w:rPr>
                <w:b/>
                <w:w w:val="99"/>
                <w:sz w:val="21"/>
              </w:rPr>
              <w:t>      </w:t>
            </w:r>
          </w:p>
        </w:tc>
        <w:tc>
          <w:tcPr>
            <w:tcW w:w="7436" w:type="dxa"/>
          </w:tcPr>
          <w:p>
            <w:pPr>
              <w:pStyle w:val="TableParagraph"/>
              <w:spacing w:line="230" w:lineRule="exact"/>
              <w:ind w:left="60"/>
              <w:rPr>
                <w:sz w:val="21"/>
              </w:rPr>
            </w:pPr>
            <w:r>
              <w:rPr>
                <w:sz w:val="21"/>
              </w:rPr>
              <w:t>指保险单所具有的价值，通常体现为解除合同时，根据精算原理计算的，由本公</w:t>
            </w:r>
          </w:p>
          <w:p>
            <w:pPr>
              <w:pStyle w:val="TableParagraph"/>
              <w:spacing w:line="280" w:lineRule="auto" w:before="70"/>
              <w:ind w:left="60" w:right="157"/>
              <w:rPr>
                <w:sz w:val="21"/>
              </w:rPr>
            </w:pPr>
            <w:r>
              <w:rPr>
                <w:sz w:val="21"/>
              </w:rPr>
              <w:t>司退还的那部分金额，具体等于保险费×（</w:t>
            </w:r>
            <w:r>
              <w:rPr>
                <w:rFonts w:ascii="Times New Roman" w:hAnsi="Times New Roman" w:eastAsia="Times New Roman"/>
                <w:sz w:val="21"/>
              </w:rPr>
              <w:t>1</w:t>
            </w:r>
            <w:r>
              <w:rPr>
                <w:sz w:val="21"/>
              </w:rPr>
              <w:t>－</w:t>
            </w:r>
            <w:r>
              <w:rPr>
                <w:rFonts w:ascii="Times New Roman" w:hAnsi="Times New Roman" w:eastAsia="Times New Roman"/>
                <w:sz w:val="21"/>
              </w:rPr>
              <w:t>10%</w:t>
            </w:r>
            <w:r>
              <w:rPr>
                <w:sz w:val="21"/>
              </w:rPr>
              <w:t>）×（保险期间月数－本主险合同已经过月数）÷保险期间月数，不足月的按一个月计算。</w:t>
            </w:r>
          </w:p>
        </w:tc>
      </w:tr>
      <w:tr>
        <w:trPr>
          <w:trHeight w:val="309" w:hRule="atLeast"/>
        </w:trPr>
        <w:tc>
          <w:tcPr>
            <w:tcW w:w="725" w:type="dxa"/>
          </w:tcPr>
          <w:p>
            <w:pPr>
              <w:pStyle w:val="TableParagraph"/>
              <w:spacing w:line="268" w:lineRule="exact"/>
              <w:ind w:left="110"/>
              <w:rPr>
                <w:b/>
                <w:sz w:val="21"/>
              </w:rPr>
            </w:pPr>
            <w:r>
              <w:rPr>
                <w:b/>
                <w:w w:val="99"/>
                <w:sz w:val="21"/>
              </w:rPr>
              <w:t> </w:t>
            </w:r>
          </w:p>
        </w:tc>
        <w:tc>
          <w:tcPr>
            <w:tcW w:w="1731" w:type="dxa"/>
          </w:tcPr>
          <w:p>
            <w:pPr>
              <w:pStyle w:val="TableParagraph"/>
              <w:spacing w:line="268" w:lineRule="exact"/>
              <w:ind w:left="192"/>
              <w:rPr>
                <w:b/>
                <w:sz w:val="21"/>
              </w:rPr>
            </w:pPr>
            <w:r>
              <w:rPr>
                <w:b/>
                <w:w w:val="99"/>
                <w:sz w:val="21"/>
              </w:rPr>
              <w:t> </w:t>
            </w:r>
          </w:p>
        </w:tc>
        <w:tc>
          <w:tcPr>
            <w:tcW w:w="7436" w:type="dxa"/>
          </w:tcPr>
          <w:p>
            <w:pPr>
              <w:pStyle w:val="TableParagraph"/>
              <w:ind w:left="0"/>
              <w:rPr>
                <w:rFonts w:ascii="Times New Roman"/>
                <w:sz w:val="20"/>
              </w:rPr>
            </w:pPr>
          </w:p>
        </w:tc>
      </w:tr>
      <w:tr>
        <w:trPr>
          <w:trHeight w:val="1337" w:hRule="atLeast"/>
        </w:trPr>
        <w:tc>
          <w:tcPr>
            <w:tcW w:w="725" w:type="dxa"/>
          </w:tcPr>
          <w:p>
            <w:pPr>
              <w:pStyle w:val="TableParagraph"/>
              <w:spacing w:line="232" w:lineRule="exact"/>
              <w:ind w:left="110"/>
              <w:rPr>
                <w:b/>
                <w:sz w:val="21"/>
              </w:rPr>
            </w:pPr>
            <w:r>
              <w:rPr>
                <w:b/>
                <w:sz w:val="21"/>
              </w:rPr>
              <w:t>6.3 </w:t>
            </w:r>
          </w:p>
        </w:tc>
        <w:tc>
          <w:tcPr>
            <w:tcW w:w="1731" w:type="dxa"/>
          </w:tcPr>
          <w:p>
            <w:pPr>
              <w:pStyle w:val="TableParagraph"/>
              <w:spacing w:line="232" w:lineRule="exact"/>
              <w:ind w:left="192"/>
              <w:rPr>
                <w:sz w:val="21"/>
              </w:rPr>
            </w:pPr>
            <w:r>
              <w:rPr>
                <w:b/>
                <w:sz w:val="21"/>
              </w:rPr>
              <w:t>医院</w:t>
            </w:r>
            <w:r>
              <w:rPr>
                <w:w w:val="100"/>
                <w:sz w:val="21"/>
              </w:rPr>
              <w:t> </w:t>
            </w:r>
          </w:p>
        </w:tc>
        <w:tc>
          <w:tcPr>
            <w:tcW w:w="7436" w:type="dxa"/>
          </w:tcPr>
          <w:p>
            <w:pPr>
              <w:pStyle w:val="TableParagraph"/>
              <w:spacing w:line="232" w:lineRule="exact"/>
              <w:ind w:left="60"/>
              <w:rPr>
                <w:sz w:val="21"/>
              </w:rPr>
            </w:pPr>
            <w:r>
              <w:rPr>
                <w:sz w:val="21"/>
              </w:rPr>
              <w:t>指经国家卫生部门审核的二级或二级以上的综合性医院和专科医院，但不包括作</w:t>
            </w:r>
          </w:p>
          <w:p>
            <w:pPr>
              <w:pStyle w:val="TableParagraph"/>
              <w:spacing w:line="290" w:lineRule="auto" w:before="66"/>
              <w:ind w:left="60" w:right="106"/>
              <w:jc w:val="both"/>
              <w:rPr>
                <w:sz w:val="21"/>
              </w:rPr>
            </w:pPr>
            <w:r>
              <w:rPr>
                <w:spacing w:val="-11"/>
                <w:sz w:val="21"/>
              </w:rPr>
              <w:t>为诊所、康复、联合病房、家庭病床、护理、修养或戒酒、戒毒等医疗机构。该</w:t>
            </w:r>
            <w:r>
              <w:rPr>
                <w:spacing w:val="-8"/>
                <w:sz w:val="21"/>
              </w:rPr>
              <w:t>医院必须具有系统的、充分的诊断设备，全套外科手术设备并提供 </w:t>
            </w:r>
            <w:r>
              <w:rPr>
                <w:rFonts w:ascii="Times New Roman" w:eastAsia="Times New Roman"/>
                <w:sz w:val="21"/>
              </w:rPr>
              <w:t>24 </w:t>
            </w:r>
            <w:r>
              <w:rPr>
                <w:spacing w:val="-2"/>
                <w:sz w:val="21"/>
              </w:rPr>
              <w:t>小时的医</w:t>
            </w:r>
            <w:r>
              <w:rPr>
                <w:spacing w:val="-3"/>
                <w:sz w:val="21"/>
              </w:rPr>
              <w:t>疗与护理服务。</w:t>
            </w:r>
          </w:p>
        </w:tc>
      </w:tr>
      <w:tr>
        <w:trPr>
          <w:trHeight w:val="343" w:hRule="atLeast"/>
        </w:trPr>
        <w:tc>
          <w:tcPr>
            <w:tcW w:w="725" w:type="dxa"/>
          </w:tcPr>
          <w:p>
            <w:pPr>
              <w:pStyle w:val="TableParagraph"/>
              <w:spacing w:line="268" w:lineRule="exact"/>
              <w:ind w:left="110"/>
              <w:rPr>
                <w:b/>
                <w:sz w:val="21"/>
              </w:rPr>
            </w:pPr>
            <w:r>
              <w:rPr>
                <w:b/>
                <w:w w:val="99"/>
                <w:sz w:val="21"/>
              </w:rPr>
              <w:t> </w:t>
            </w:r>
          </w:p>
        </w:tc>
        <w:tc>
          <w:tcPr>
            <w:tcW w:w="1731" w:type="dxa"/>
          </w:tcPr>
          <w:p>
            <w:pPr>
              <w:pStyle w:val="TableParagraph"/>
              <w:spacing w:line="268" w:lineRule="exact"/>
              <w:ind w:left="192"/>
              <w:rPr>
                <w:b/>
                <w:sz w:val="21"/>
              </w:rPr>
            </w:pPr>
            <w:r>
              <w:rPr>
                <w:b/>
                <w:w w:val="99"/>
                <w:sz w:val="21"/>
              </w:rPr>
              <w:t> </w:t>
            </w:r>
          </w:p>
        </w:tc>
        <w:tc>
          <w:tcPr>
            <w:tcW w:w="7436" w:type="dxa"/>
          </w:tcPr>
          <w:p>
            <w:pPr>
              <w:pStyle w:val="TableParagraph"/>
              <w:ind w:left="0"/>
              <w:rPr>
                <w:rFonts w:ascii="Times New Roman"/>
                <w:sz w:val="20"/>
              </w:rPr>
            </w:pPr>
          </w:p>
        </w:tc>
      </w:tr>
      <w:tr>
        <w:trPr>
          <w:trHeight w:val="621" w:hRule="atLeast"/>
        </w:trPr>
        <w:tc>
          <w:tcPr>
            <w:tcW w:w="725" w:type="dxa"/>
          </w:tcPr>
          <w:p>
            <w:pPr>
              <w:pStyle w:val="TableParagraph"/>
              <w:spacing w:line="266" w:lineRule="exact"/>
              <w:ind w:left="110"/>
              <w:rPr>
                <w:b/>
                <w:sz w:val="21"/>
              </w:rPr>
            </w:pPr>
            <w:r>
              <w:rPr>
                <w:b/>
                <w:sz w:val="21"/>
              </w:rPr>
              <w:t>6.4 </w:t>
            </w:r>
          </w:p>
        </w:tc>
        <w:tc>
          <w:tcPr>
            <w:tcW w:w="1731" w:type="dxa"/>
          </w:tcPr>
          <w:p>
            <w:pPr>
              <w:pStyle w:val="TableParagraph"/>
              <w:spacing w:line="266" w:lineRule="exact"/>
              <w:ind w:left="192"/>
              <w:rPr>
                <w:b/>
                <w:sz w:val="21"/>
              </w:rPr>
            </w:pPr>
            <w:r>
              <w:rPr>
                <w:b/>
                <w:sz w:val="21"/>
              </w:rPr>
              <w:t>本公司认可的</w:t>
            </w:r>
          </w:p>
          <w:p>
            <w:pPr>
              <w:pStyle w:val="TableParagraph"/>
              <w:spacing w:line="265" w:lineRule="exact" w:before="71"/>
              <w:ind w:left="192"/>
              <w:rPr>
                <w:b/>
                <w:sz w:val="21"/>
              </w:rPr>
            </w:pPr>
            <w:r>
              <w:rPr>
                <w:b/>
                <w:sz w:val="21"/>
              </w:rPr>
              <w:t>其他医疗机构</w:t>
            </w:r>
            <w:r>
              <w:rPr>
                <w:b/>
                <w:w w:val="99"/>
                <w:sz w:val="21"/>
              </w:rPr>
              <w:t> </w:t>
            </w:r>
          </w:p>
        </w:tc>
        <w:tc>
          <w:tcPr>
            <w:tcW w:w="7436" w:type="dxa"/>
          </w:tcPr>
          <w:p>
            <w:pPr>
              <w:pStyle w:val="TableParagraph"/>
              <w:spacing w:line="266" w:lineRule="exact"/>
              <w:ind w:left="60"/>
              <w:rPr>
                <w:sz w:val="21"/>
              </w:rPr>
            </w:pPr>
            <w:r>
              <w:rPr>
                <w:spacing w:val="-1"/>
                <w:sz w:val="21"/>
              </w:rPr>
              <w:t>本公司有关保险单</w:t>
            </w:r>
            <w:r>
              <w:rPr>
                <w:spacing w:val="-5"/>
                <w:sz w:val="21"/>
              </w:rPr>
              <w:t>（</w:t>
            </w:r>
            <w:r>
              <w:rPr>
                <w:sz w:val="21"/>
              </w:rPr>
              <w:t>保险凭证</w:t>
            </w:r>
            <w:r>
              <w:rPr>
                <w:spacing w:val="-111"/>
                <w:sz w:val="21"/>
              </w:rPr>
              <w:t>）</w:t>
            </w:r>
            <w:r>
              <w:rPr>
                <w:spacing w:val="-5"/>
                <w:sz w:val="21"/>
              </w:rPr>
              <w:t>、批单或批注中列明的医疗卫生机构。</w:t>
            </w:r>
          </w:p>
        </w:tc>
      </w:tr>
    </w:tbl>
    <w:p>
      <w:pPr>
        <w:spacing w:after="0" w:line="266" w:lineRule="exact"/>
        <w:rPr>
          <w:sz w:val="21"/>
        </w:rPr>
        <w:sectPr>
          <w:pgSz w:w="11910" w:h="16840"/>
          <w:pgMar w:header="0" w:footer="915" w:top="1500" w:bottom="1100" w:left="90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678"/>
        <w:gridCol w:w="7688"/>
      </w:tblGrid>
      <w:tr>
        <w:trPr>
          <w:trHeight w:val="239" w:hRule="atLeast"/>
        </w:trPr>
        <w:tc>
          <w:tcPr>
            <w:tcW w:w="815" w:type="dxa"/>
          </w:tcPr>
          <w:p>
            <w:pPr>
              <w:pStyle w:val="TableParagraph"/>
              <w:spacing w:line="201" w:lineRule="exact"/>
              <w:rPr>
                <w:b/>
                <w:sz w:val="21"/>
              </w:rPr>
            </w:pPr>
            <w:r>
              <w:rPr>
                <w:b/>
                <w:w w:val="99"/>
                <w:sz w:val="21"/>
              </w:rPr>
              <w:t> </w:t>
            </w:r>
          </w:p>
        </w:tc>
        <w:tc>
          <w:tcPr>
            <w:tcW w:w="1678" w:type="dxa"/>
          </w:tcPr>
          <w:p>
            <w:pPr>
              <w:pStyle w:val="TableParagraph"/>
              <w:spacing w:line="201" w:lineRule="exact"/>
              <w:ind w:left="191"/>
              <w:rPr>
                <w:b/>
                <w:sz w:val="21"/>
              </w:rPr>
            </w:pPr>
            <w:r>
              <w:rPr>
                <w:b/>
                <w:w w:val="99"/>
                <w:sz w:val="21"/>
              </w:rPr>
              <w:t> </w:t>
            </w:r>
          </w:p>
        </w:tc>
        <w:tc>
          <w:tcPr>
            <w:tcW w:w="7688" w:type="dxa"/>
          </w:tcPr>
          <w:p>
            <w:pPr>
              <w:pStyle w:val="TableParagraph"/>
              <w:ind w:left="0"/>
              <w:rPr>
                <w:rFonts w:ascii="Times New Roman"/>
                <w:sz w:val="16"/>
              </w:rPr>
            </w:pPr>
          </w:p>
        </w:tc>
      </w:tr>
      <w:tr>
        <w:trPr>
          <w:trHeight w:val="653" w:hRule="atLeast"/>
        </w:trPr>
        <w:tc>
          <w:tcPr>
            <w:tcW w:w="815" w:type="dxa"/>
          </w:tcPr>
          <w:p>
            <w:pPr>
              <w:pStyle w:val="TableParagraph"/>
              <w:spacing w:line="236" w:lineRule="exact"/>
              <w:rPr>
                <w:b/>
                <w:sz w:val="21"/>
              </w:rPr>
            </w:pPr>
            <w:r>
              <w:rPr>
                <w:b/>
                <w:sz w:val="21"/>
              </w:rPr>
              <w:t>6.5 </w:t>
            </w:r>
          </w:p>
        </w:tc>
        <w:tc>
          <w:tcPr>
            <w:tcW w:w="1678" w:type="dxa"/>
          </w:tcPr>
          <w:p>
            <w:pPr>
              <w:pStyle w:val="TableParagraph"/>
              <w:spacing w:line="236" w:lineRule="exact"/>
              <w:ind w:left="191"/>
              <w:rPr>
                <w:b/>
                <w:sz w:val="21"/>
              </w:rPr>
            </w:pPr>
            <w:r>
              <w:rPr>
                <w:b/>
                <w:sz w:val="21"/>
              </w:rPr>
              <w:t>重大疾病</w:t>
            </w:r>
            <w:r>
              <w:rPr>
                <w:b/>
                <w:w w:val="99"/>
                <w:sz w:val="21"/>
              </w:rPr>
              <w:t> </w:t>
            </w:r>
          </w:p>
        </w:tc>
        <w:tc>
          <w:tcPr>
            <w:tcW w:w="7688" w:type="dxa"/>
          </w:tcPr>
          <w:p>
            <w:pPr>
              <w:pStyle w:val="TableParagraph"/>
              <w:spacing w:line="252" w:lineRule="exact"/>
              <w:ind w:left="112"/>
              <w:rPr>
                <w:sz w:val="21"/>
              </w:rPr>
            </w:pPr>
            <w:r>
              <w:rPr>
                <w:sz w:val="21"/>
              </w:rPr>
              <w:t>指保险责任生效后，经</w:t>
            </w:r>
            <w:r>
              <w:rPr>
                <w:b/>
                <w:sz w:val="21"/>
              </w:rPr>
              <w:t>专科医生</w:t>
            </w:r>
            <w:r>
              <w:rPr>
                <w:sz w:val="21"/>
              </w:rPr>
              <w:t>（见释义 </w:t>
            </w:r>
            <w:r>
              <w:rPr>
                <w:rFonts w:ascii="Times New Roman" w:eastAsia="Times New Roman"/>
                <w:sz w:val="21"/>
              </w:rPr>
              <w:t>6.15</w:t>
            </w:r>
            <w:r>
              <w:rPr>
                <w:sz w:val="21"/>
              </w:rPr>
              <w:t>）明确诊断，被保险人初次发生的</w:t>
            </w:r>
          </w:p>
          <w:p>
            <w:pPr>
              <w:pStyle w:val="TableParagraph"/>
              <w:spacing w:before="50"/>
              <w:ind w:left="112"/>
              <w:rPr>
                <w:sz w:val="21"/>
              </w:rPr>
            </w:pPr>
            <w:r>
              <w:rPr>
                <w:sz w:val="21"/>
              </w:rPr>
              <w:t>符合以下疾病定义所述条件的疾病：</w:t>
            </w:r>
          </w:p>
        </w:tc>
      </w:tr>
      <w:tr>
        <w:trPr>
          <w:trHeight w:val="4055" w:hRule="atLeast"/>
        </w:trPr>
        <w:tc>
          <w:tcPr>
            <w:tcW w:w="815" w:type="dxa"/>
          </w:tcPr>
          <w:p>
            <w:pPr>
              <w:pStyle w:val="TableParagraph"/>
              <w:spacing w:line="268" w:lineRule="exact"/>
              <w:rPr>
                <w:b/>
                <w:sz w:val="21"/>
              </w:rPr>
            </w:pPr>
            <w:r>
              <w:rPr>
                <w:b/>
                <w:w w:val="99"/>
                <w:sz w:val="21"/>
              </w:rPr>
              <w:t> </w:t>
            </w:r>
          </w:p>
        </w:tc>
        <w:tc>
          <w:tcPr>
            <w:tcW w:w="1678" w:type="dxa"/>
          </w:tcPr>
          <w:p>
            <w:pPr>
              <w:pStyle w:val="TableParagraph"/>
              <w:spacing w:line="268" w:lineRule="exact"/>
              <w:ind w:left="191"/>
              <w:rPr>
                <w:b/>
                <w:sz w:val="21"/>
              </w:rPr>
            </w:pPr>
            <w:r>
              <w:rPr>
                <w:b/>
                <w:sz w:val="21"/>
              </w:rPr>
              <w:t>1.恶性肿瘤</w:t>
            </w:r>
            <w:r>
              <w:rPr>
                <w:b/>
                <w:w w:val="99"/>
                <w:sz w:val="21"/>
              </w:rPr>
              <w:t> </w:t>
            </w:r>
          </w:p>
        </w:tc>
        <w:tc>
          <w:tcPr>
            <w:tcW w:w="7688" w:type="dxa"/>
          </w:tcPr>
          <w:p>
            <w:pPr>
              <w:pStyle w:val="TableParagraph"/>
              <w:spacing w:line="300" w:lineRule="auto"/>
              <w:ind w:left="112" w:right="198"/>
              <w:rPr>
                <w:sz w:val="21"/>
              </w:rPr>
            </w:pPr>
            <w:r>
              <w:rPr>
                <w:spacing w:val="-9"/>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3"/>
                <w:sz w:val="21"/>
              </w:rPr>
              <w:t>临床诊断属于世界卫生组织《疾病和有关健康问题的国际统计分类》</w:t>
            </w:r>
            <w:r>
              <w:rPr>
                <w:sz w:val="21"/>
              </w:rPr>
              <w:t>（ICD-10） </w:t>
            </w:r>
            <w:r>
              <w:rPr>
                <w:spacing w:val="-1"/>
                <w:sz w:val="21"/>
              </w:rPr>
              <w:t>的恶性肿瘤范畴。  </w:t>
            </w:r>
            <w:r>
              <w:rPr>
                <w:spacing w:val="-5"/>
                <w:sz w:val="21"/>
              </w:rPr>
              <w:t> </w:t>
            </w:r>
            <w:r>
              <w:rPr>
                <w:sz w:val="21"/>
              </w:rPr>
              <w:t>       </w:t>
            </w:r>
            <w:r>
              <w:rPr>
                <w:spacing w:val="-5"/>
                <w:sz w:val="21"/>
              </w:rPr>
              <w:t> </w:t>
            </w:r>
            <w:r>
              <w:rPr>
                <w:sz w:val="21"/>
              </w:rPr>
              <w:t>       </w:t>
            </w:r>
            <w:r>
              <w:rPr>
                <w:spacing w:val="-5"/>
                <w:sz w:val="21"/>
              </w:rPr>
              <w:t> </w:t>
            </w:r>
            <w:r>
              <w:rPr>
                <w:sz w:val="21"/>
              </w:rPr>
              <w:t>      </w:t>
            </w:r>
            <w:r>
              <w:rPr>
                <w:spacing w:val="-5"/>
                <w:sz w:val="21"/>
              </w:rPr>
              <w:t> </w:t>
            </w:r>
            <w:r>
              <w:rPr>
                <w:sz w:val="21"/>
              </w:rPr>
              <w:t>   </w:t>
            </w:r>
            <w:r>
              <w:rPr>
                <w:spacing w:val="-5"/>
                <w:sz w:val="21"/>
              </w:rPr>
              <w:t> </w:t>
            </w:r>
            <w:r>
              <w:rPr>
                <w:sz w:val="21"/>
              </w:rPr>
              <w:t>          </w:t>
            </w:r>
            <w:r>
              <w:rPr>
                <w:spacing w:val="-5"/>
                <w:sz w:val="21"/>
              </w:rPr>
              <w:t> </w:t>
            </w:r>
            <w:r>
              <w:rPr>
                <w:sz w:val="21"/>
              </w:rPr>
              <w:t>       </w:t>
            </w:r>
            <w:r>
              <w:rPr>
                <w:spacing w:val="-5"/>
                <w:sz w:val="21"/>
              </w:rPr>
              <w:t> </w:t>
            </w:r>
            <w:r>
              <w:rPr>
                <w:sz w:val="21"/>
              </w:rPr>
              <w:t>     </w:t>
            </w:r>
          </w:p>
          <w:p>
            <w:pPr>
              <w:pStyle w:val="TableParagraph"/>
              <w:spacing w:before="2"/>
              <w:ind w:left="0"/>
              <w:rPr>
                <w:b/>
                <w:sz w:val="23"/>
              </w:rPr>
            </w:pPr>
          </w:p>
          <w:p>
            <w:pPr>
              <w:pStyle w:val="TableParagraph"/>
              <w:ind w:left="112"/>
              <w:rPr>
                <w:rFonts w:ascii="黑体" w:eastAsia="黑体" w:hint="eastAsia"/>
                <w:sz w:val="21"/>
              </w:rPr>
            </w:pPr>
            <w:r>
              <w:rPr>
                <w:rFonts w:ascii="黑体" w:eastAsia="黑体" w:hint="eastAsia"/>
                <w:sz w:val="21"/>
              </w:rPr>
              <w:t>下列疾病不在保障范围内：</w:t>
            </w:r>
          </w:p>
          <w:p>
            <w:pPr>
              <w:pStyle w:val="TableParagraph"/>
              <w:spacing w:before="66"/>
              <w:ind w:left="112"/>
              <w:rPr>
                <w:rFonts w:ascii="黑体" w:eastAsia="黑体" w:hint="eastAsia"/>
                <w:sz w:val="21"/>
              </w:rPr>
            </w:pPr>
            <w:r>
              <w:rPr>
                <w:rFonts w:ascii="黑体" w:eastAsia="黑体" w:hint="eastAsia"/>
                <w:sz w:val="21"/>
              </w:rPr>
              <w:t>（1）原位癌；</w:t>
            </w:r>
          </w:p>
          <w:p>
            <w:pPr>
              <w:pStyle w:val="TableParagraph"/>
              <w:spacing w:before="70"/>
              <w:ind w:left="112"/>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65"/>
              <w:ind w:left="112"/>
              <w:rPr>
                <w:rFonts w:ascii="黑体" w:eastAsia="黑体" w:hint="eastAsia"/>
                <w:sz w:val="21"/>
              </w:rPr>
            </w:pPr>
            <w:r>
              <w:rPr>
                <w:rFonts w:ascii="黑体" w:eastAsia="黑体" w:hint="eastAsia"/>
                <w:sz w:val="21"/>
              </w:rPr>
              <w:t>（3）相当于 Ann Arbor 分期方案 I 期程度的何杰金氏病；</w:t>
            </w:r>
          </w:p>
          <w:p>
            <w:pPr>
              <w:pStyle w:val="TableParagraph"/>
              <w:spacing w:before="70"/>
              <w:ind w:left="112"/>
              <w:rPr>
                <w:rFonts w:ascii="黑体" w:eastAsia="黑体" w:hint="eastAsia"/>
                <w:sz w:val="21"/>
              </w:rPr>
            </w:pPr>
            <w:r>
              <w:rPr>
                <w:rFonts w:ascii="黑体" w:eastAsia="黑体" w:hint="eastAsia"/>
                <w:w w:val="100"/>
                <w:sz w:val="21"/>
              </w:rPr>
              <w:t>（4）</w:t>
            </w:r>
            <w:r>
              <w:rPr>
                <w:rFonts w:ascii="黑体" w:eastAsia="黑体" w:hint="eastAsia"/>
                <w:spacing w:val="-2"/>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65"/>
              <w:ind w:left="112"/>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71"/>
              <w:ind w:left="112"/>
              <w:rPr>
                <w:rFonts w:ascii="黑体" w:eastAsia="黑体" w:hint="eastAsia"/>
                <w:sz w:val="21"/>
              </w:rPr>
            </w:pPr>
            <w:r>
              <w:rPr>
                <w:rFonts w:ascii="黑体" w:eastAsia="黑体" w:hint="eastAsia"/>
                <w:sz w:val="21"/>
              </w:rPr>
              <w:t>（6）感染艾滋病病毒或患艾滋病期间所患恶性肿瘤。</w:t>
            </w:r>
          </w:p>
        </w:tc>
      </w:tr>
      <w:tr>
        <w:trPr>
          <w:trHeight w:val="343" w:hRule="atLeast"/>
        </w:trPr>
        <w:tc>
          <w:tcPr>
            <w:tcW w:w="815" w:type="dxa"/>
          </w:tcPr>
          <w:p>
            <w:pPr>
              <w:pStyle w:val="TableParagraph"/>
              <w:spacing w:line="266" w:lineRule="exact"/>
              <w:rPr>
                <w:b/>
                <w:sz w:val="21"/>
              </w:rPr>
            </w:pPr>
            <w:r>
              <w:rPr>
                <w:b/>
                <w:w w:val="99"/>
                <w:sz w:val="21"/>
              </w:rPr>
              <w:t> </w:t>
            </w:r>
          </w:p>
        </w:tc>
        <w:tc>
          <w:tcPr>
            <w:tcW w:w="1678" w:type="dxa"/>
          </w:tcPr>
          <w:p>
            <w:pPr>
              <w:pStyle w:val="TableParagraph"/>
              <w:spacing w:line="266" w:lineRule="exact"/>
              <w:ind w:left="191"/>
              <w:rPr>
                <w:b/>
                <w:sz w:val="21"/>
              </w:rPr>
            </w:pPr>
            <w:r>
              <w:rPr>
                <w:b/>
                <w:w w:val="99"/>
                <w:sz w:val="21"/>
              </w:rPr>
              <w:t> </w:t>
            </w:r>
          </w:p>
        </w:tc>
        <w:tc>
          <w:tcPr>
            <w:tcW w:w="7688" w:type="dxa"/>
          </w:tcPr>
          <w:p>
            <w:pPr>
              <w:pStyle w:val="TableParagraph"/>
              <w:spacing w:line="266" w:lineRule="exact"/>
              <w:ind w:left="112"/>
              <w:rPr>
                <w:sz w:val="21"/>
              </w:rPr>
            </w:pPr>
            <w:r>
              <w:rPr>
                <w:w w:val="100"/>
                <w:sz w:val="21"/>
              </w:rPr>
              <w:t> </w:t>
            </w:r>
          </w:p>
        </w:tc>
      </w:tr>
      <w:tr>
        <w:trPr>
          <w:trHeight w:val="2402" w:hRule="atLeast"/>
        </w:trPr>
        <w:tc>
          <w:tcPr>
            <w:tcW w:w="815" w:type="dxa"/>
          </w:tcPr>
          <w:p>
            <w:pPr>
              <w:pStyle w:val="TableParagraph"/>
              <w:spacing w:line="268" w:lineRule="exact"/>
              <w:rPr>
                <w:b/>
                <w:sz w:val="21"/>
              </w:rPr>
            </w:pPr>
            <w:r>
              <w:rPr>
                <w:b/>
                <w:w w:val="99"/>
                <w:sz w:val="21"/>
              </w:rPr>
              <w:t> </w:t>
            </w:r>
          </w:p>
        </w:tc>
        <w:tc>
          <w:tcPr>
            <w:tcW w:w="1678" w:type="dxa"/>
          </w:tcPr>
          <w:p>
            <w:pPr>
              <w:pStyle w:val="TableParagraph"/>
              <w:spacing w:line="297" w:lineRule="auto"/>
              <w:ind w:left="191" w:right="111"/>
              <w:rPr>
                <w:b/>
                <w:sz w:val="21"/>
              </w:rPr>
            </w:pPr>
            <w:r>
              <w:rPr>
                <w:b/>
                <w:sz w:val="21"/>
              </w:rPr>
              <w:t>2. 急性心肌梗塞</w:t>
            </w:r>
            <w:r>
              <w:rPr>
                <w:b/>
                <w:w w:val="99"/>
                <w:sz w:val="21"/>
              </w:rPr>
              <w:t> </w:t>
            </w:r>
          </w:p>
        </w:tc>
        <w:tc>
          <w:tcPr>
            <w:tcW w:w="7688" w:type="dxa"/>
          </w:tcPr>
          <w:p>
            <w:pPr>
              <w:pStyle w:val="TableParagraph"/>
              <w:spacing w:line="297" w:lineRule="auto"/>
              <w:ind w:left="112" w:right="305"/>
              <w:rPr>
                <w:sz w:val="21"/>
              </w:rPr>
            </w:pPr>
            <w:r>
              <w:rPr>
                <w:spacing w:val="-8"/>
                <w:sz w:val="21"/>
              </w:rPr>
              <w:t>指因冠状动脉阻塞导致的相应区域供血不足造成部分心肌坏死。须满足下列至少三项条件：</w:t>
            </w:r>
            <w:r>
              <w:rPr>
                <w:sz w:val="21"/>
              </w:rPr>
              <w:t> </w:t>
            </w:r>
          </w:p>
          <w:p>
            <w:pPr>
              <w:pStyle w:val="TableParagraph"/>
              <w:spacing w:before="27"/>
              <w:ind w:left="112"/>
              <w:rPr>
                <w:sz w:val="21"/>
              </w:rPr>
            </w:pPr>
            <w:r>
              <w:rPr>
                <w:sz w:val="21"/>
              </w:rPr>
              <w:t>（1）典型临床表现，例如急性胸痛等； </w:t>
            </w:r>
          </w:p>
          <w:p>
            <w:pPr>
              <w:pStyle w:val="TableParagraph"/>
              <w:spacing w:before="66"/>
              <w:ind w:left="112"/>
              <w:rPr>
                <w:sz w:val="21"/>
              </w:rPr>
            </w:pPr>
            <w:r>
              <w:rPr>
                <w:sz w:val="21"/>
              </w:rPr>
              <w:t>（2）新近的心电图改变提示急性心肌梗塞； </w:t>
            </w:r>
          </w:p>
          <w:p>
            <w:pPr>
              <w:pStyle w:val="TableParagraph"/>
              <w:spacing w:line="297" w:lineRule="auto" w:before="70"/>
              <w:ind w:left="112" w:right="304"/>
              <w:rPr>
                <w:sz w:val="21"/>
              </w:rPr>
            </w:pPr>
            <w:r>
              <w:rPr>
                <w:sz w:val="21"/>
              </w:rPr>
              <w:t>（3）心肌酶或肌钙蛋白有诊断意义的升高，或呈符合急性心肌梗塞的动态性变化； </w:t>
            </w:r>
          </w:p>
          <w:p>
            <w:pPr>
              <w:pStyle w:val="TableParagraph"/>
              <w:spacing w:before="20"/>
              <w:ind w:left="112"/>
              <w:rPr>
                <w:sz w:val="21"/>
              </w:rPr>
            </w:pPr>
            <w:r>
              <w:rPr>
                <w:sz w:val="21"/>
              </w:rPr>
              <w:t>（4）发病 90 天后，经检查证实左心室功能降低，如左心室射血分数低于 50%。 </w:t>
            </w:r>
          </w:p>
        </w:tc>
      </w:tr>
      <w:tr>
        <w:trPr>
          <w:trHeight w:val="343" w:hRule="atLeast"/>
        </w:trPr>
        <w:tc>
          <w:tcPr>
            <w:tcW w:w="815" w:type="dxa"/>
          </w:tcPr>
          <w:p>
            <w:pPr>
              <w:pStyle w:val="TableParagraph"/>
              <w:spacing w:line="266" w:lineRule="exact"/>
              <w:rPr>
                <w:b/>
                <w:sz w:val="21"/>
              </w:rPr>
            </w:pPr>
            <w:r>
              <w:rPr>
                <w:b/>
                <w:w w:val="99"/>
                <w:sz w:val="21"/>
              </w:rPr>
              <w:t> </w:t>
            </w:r>
          </w:p>
        </w:tc>
        <w:tc>
          <w:tcPr>
            <w:tcW w:w="1678" w:type="dxa"/>
          </w:tcPr>
          <w:p>
            <w:pPr>
              <w:pStyle w:val="TableParagraph"/>
              <w:spacing w:line="266" w:lineRule="exact"/>
              <w:ind w:left="191"/>
              <w:rPr>
                <w:b/>
                <w:sz w:val="21"/>
              </w:rPr>
            </w:pPr>
            <w:r>
              <w:rPr>
                <w:b/>
                <w:w w:val="99"/>
                <w:sz w:val="21"/>
              </w:rPr>
              <w:t> </w:t>
            </w:r>
          </w:p>
        </w:tc>
        <w:tc>
          <w:tcPr>
            <w:tcW w:w="7688" w:type="dxa"/>
          </w:tcPr>
          <w:p>
            <w:pPr>
              <w:pStyle w:val="TableParagraph"/>
              <w:spacing w:line="266" w:lineRule="exact"/>
              <w:ind w:left="112"/>
              <w:rPr>
                <w:sz w:val="21"/>
              </w:rPr>
            </w:pPr>
            <w:r>
              <w:rPr>
                <w:w w:val="100"/>
                <w:sz w:val="21"/>
              </w:rPr>
              <w:t> </w:t>
            </w:r>
          </w:p>
        </w:tc>
      </w:tr>
      <w:tr>
        <w:trPr>
          <w:trHeight w:val="2403" w:hRule="atLeast"/>
        </w:trPr>
        <w:tc>
          <w:tcPr>
            <w:tcW w:w="815" w:type="dxa"/>
          </w:tcPr>
          <w:p>
            <w:pPr>
              <w:pStyle w:val="TableParagraph"/>
              <w:spacing w:line="268" w:lineRule="exact"/>
              <w:rPr>
                <w:b/>
                <w:sz w:val="21"/>
              </w:rPr>
            </w:pPr>
            <w:r>
              <w:rPr>
                <w:b/>
                <w:w w:val="99"/>
                <w:sz w:val="21"/>
              </w:rPr>
              <w:t> </w:t>
            </w:r>
          </w:p>
        </w:tc>
        <w:tc>
          <w:tcPr>
            <w:tcW w:w="1678" w:type="dxa"/>
          </w:tcPr>
          <w:p>
            <w:pPr>
              <w:pStyle w:val="TableParagraph"/>
              <w:spacing w:line="297" w:lineRule="auto"/>
              <w:ind w:left="191" w:right="111"/>
              <w:rPr>
                <w:b/>
                <w:sz w:val="21"/>
              </w:rPr>
            </w:pPr>
            <w:r>
              <w:rPr>
                <w:b/>
                <w:sz w:val="21"/>
              </w:rPr>
              <w:t>3. 脑中风后遗症</w:t>
            </w:r>
            <w:r>
              <w:rPr>
                <w:b/>
                <w:w w:val="99"/>
                <w:sz w:val="21"/>
              </w:rPr>
              <w:t> </w:t>
            </w:r>
          </w:p>
        </w:tc>
        <w:tc>
          <w:tcPr>
            <w:tcW w:w="7688" w:type="dxa"/>
          </w:tcPr>
          <w:p>
            <w:pPr>
              <w:pStyle w:val="TableParagraph"/>
              <w:spacing w:line="300" w:lineRule="auto"/>
              <w:ind w:left="112" w:right="304"/>
              <w:jc w:val="both"/>
              <w:rPr>
                <w:sz w:val="21"/>
              </w:rPr>
            </w:pPr>
            <w:r>
              <w:rPr>
                <w:spacing w:val="-9"/>
                <w:sz w:val="21"/>
              </w:rPr>
              <w:t>指因脑血管的突发病变引起脑血管出血、栓塞或梗塞，并导致神经系统永久性功</w:t>
            </w:r>
            <w:r>
              <w:rPr>
                <w:spacing w:val="-12"/>
                <w:sz w:val="21"/>
              </w:rPr>
              <w:t>能障碍。神经系统永久性的功能障碍，指疾病确诊 </w:t>
            </w:r>
            <w:r>
              <w:rPr>
                <w:sz w:val="21"/>
              </w:rPr>
              <w:t>180</w:t>
            </w:r>
            <w:r>
              <w:rPr>
                <w:spacing w:val="-10"/>
                <w:sz w:val="21"/>
              </w:rPr>
              <w:t> 天后，仍遗留下列一种或</w:t>
            </w:r>
            <w:r>
              <w:rPr>
                <w:spacing w:val="-8"/>
                <w:sz w:val="21"/>
              </w:rPr>
              <w:t>一种以上障碍：</w:t>
            </w:r>
            <w:r>
              <w:rPr>
                <w:sz w:val="21"/>
              </w:rPr>
              <w:t> </w:t>
            </w:r>
          </w:p>
          <w:p>
            <w:pPr>
              <w:pStyle w:val="TableParagraph"/>
              <w:spacing w:before="20"/>
              <w:ind w:left="112"/>
              <w:rPr>
                <w:sz w:val="21"/>
              </w:rPr>
            </w:pPr>
            <w:r>
              <w:rPr>
                <w:w w:val="100"/>
                <w:sz w:val="21"/>
              </w:rPr>
              <w:t>（1）</w:t>
            </w:r>
            <w:r>
              <w:rPr>
                <w:spacing w:val="-3"/>
                <w:w w:val="100"/>
                <w:sz w:val="21"/>
              </w:rPr>
              <w:t>一肢或一肢以上</w:t>
            </w:r>
            <w:r>
              <w:rPr>
                <w:b/>
                <w:w w:val="100"/>
                <w:sz w:val="21"/>
              </w:rPr>
              <w:t>肢体机能完全丧失</w:t>
            </w:r>
            <w:r>
              <w:rPr>
                <w:spacing w:val="-5"/>
                <w:w w:val="100"/>
                <w:sz w:val="21"/>
              </w:rPr>
              <w:t>（</w:t>
            </w:r>
            <w:r>
              <w:rPr>
                <w:w w:val="100"/>
                <w:sz w:val="21"/>
              </w:rPr>
              <w:t>见释义</w:t>
            </w:r>
            <w:r>
              <w:rPr>
                <w:spacing w:val="-53"/>
                <w:sz w:val="21"/>
              </w:rPr>
              <w:t> </w:t>
            </w:r>
            <w:r>
              <w:rPr>
                <w:w w:val="100"/>
                <w:sz w:val="21"/>
              </w:rPr>
              <w:t>6</w:t>
            </w:r>
            <w:r>
              <w:rPr>
                <w:spacing w:val="-5"/>
                <w:w w:val="100"/>
                <w:sz w:val="21"/>
              </w:rPr>
              <w:t>.1</w:t>
            </w:r>
            <w:r>
              <w:rPr>
                <w:w w:val="100"/>
                <w:sz w:val="21"/>
              </w:rPr>
              <w:t>6</w:t>
            </w:r>
            <w:r>
              <w:rPr>
                <w:spacing w:val="-106"/>
                <w:w w:val="100"/>
                <w:sz w:val="21"/>
              </w:rPr>
              <w:t>）</w:t>
            </w:r>
            <w:r>
              <w:rPr>
                <w:spacing w:val="-5"/>
                <w:w w:val="100"/>
                <w:sz w:val="21"/>
              </w:rPr>
              <w:t>；</w:t>
            </w:r>
            <w:r>
              <w:rPr>
                <w:w w:val="100"/>
                <w:sz w:val="21"/>
              </w:rPr>
              <w:t> </w:t>
            </w:r>
          </w:p>
          <w:p>
            <w:pPr>
              <w:pStyle w:val="TableParagraph"/>
              <w:spacing w:before="71"/>
              <w:ind w:left="112"/>
              <w:rPr>
                <w:sz w:val="21"/>
              </w:rPr>
            </w:pPr>
            <w:r>
              <w:rPr>
                <w:w w:val="100"/>
                <w:sz w:val="21"/>
              </w:rPr>
              <w:t>（2</w:t>
            </w:r>
            <w:r>
              <w:rPr>
                <w:spacing w:val="-5"/>
                <w:w w:val="100"/>
                <w:sz w:val="21"/>
              </w:rPr>
              <w:t>）</w:t>
            </w:r>
            <w:r>
              <w:rPr>
                <w:b/>
                <w:w w:val="100"/>
                <w:sz w:val="21"/>
              </w:rPr>
              <w:t>语言能力或咀嚼吞咽能力完全丧失</w:t>
            </w:r>
            <w:r>
              <w:rPr>
                <w:w w:val="100"/>
                <w:sz w:val="21"/>
              </w:rPr>
              <w:t>（</w:t>
            </w:r>
            <w:r>
              <w:rPr>
                <w:spacing w:val="-2"/>
                <w:w w:val="100"/>
                <w:sz w:val="21"/>
              </w:rPr>
              <w:t>见释义</w:t>
            </w:r>
            <w:r>
              <w:rPr>
                <w:spacing w:val="-53"/>
                <w:sz w:val="21"/>
              </w:rPr>
              <w:t> </w:t>
            </w:r>
            <w:r>
              <w:rPr>
                <w:w w:val="100"/>
                <w:sz w:val="21"/>
              </w:rPr>
              <w:t>6.</w:t>
            </w:r>
            <w:r>
              <w:rPr>
                <w:spacing w:val="-5"/>
                <w:w w:val="100"/>
                <w:sz w:val="21"/>
              </w:rPr>
              <w:t>1</w:t>
            </w:r>
            <w:r>
              <w:rPr>
                <w:w w:val="100"/>
                <w:sz w:val="21"/>
              </w:rPr>
              <w:t>7</w:t>
            </w:r>
            <w:r>
              <w:rPr>
                <w:spacing w:val="-106"/>
                <w:w w:val="100"/>
                <w:sz w:val="21"/>
              </w:rPr>
              <w:t>）</w:t>
            </w:r>
            <w:r>
              <w:rPr>
                <w:spacing w:val="-5"/>
                <w:w w:val="100"/>
                <w:sz w:val="21"/>
              </w:rPr>
              <w:t>；</w:t>
            </w:r>
            <w:r>
              <w:rPr>
                <w:w w:val="100"/>
                <w:sz w:val="21"/>
              </w:rPr>
              <w:t> </w:t>
            </w:r>
          </w:p>
          <w:p>
            <w:pPr>
              <w:pStyle w:val="TableParagraph"/>
              <w:spacing w:line="302" w:lineRule="auto" w:before="66"/>
              <w:ind w:left="112" w:right="303"/>
              <w:rPr>
                <w:sz w:val="21"/>
              </w:rPr>
            </w:pPr>
            <w:r>
              <w:rPr>
                <w:sz w:val="21"/>
              </w:rPr>
              <w:t>自主生活能力完全丧失，无法独立完成</w:t>
            </w:r>
            <w:r>
              <w:rPr>
                <w:b/>
                <w:sz w:val="21"/>
              </w:rPr>
              <w:t>六项基本日常生活活动</w:t>
            </w:r>
            <w:r>
              <w:rPr>
                <w:sz w:val="21"/>
              </w:rPr>
              <w:t>（见释义 6.18） 中的三项或三项以上。 </w:t>
            </w:r>
          </w:p>
        </w:tc>
      </w:tr>
      <w:tr>
        <w:trPr>
          <w:trHeight w:val="343" w:hRule="atLeast"/>
        </w:trPr>
        <w:tc>
          <w:tcPr>
            <w:tcW w:w="815" w:type="dxa"/>
          </w:tcPr>
          <w:p>
            <w:pPr>
              <w:pStyle w:val="TableParagraph"/>
              <w:spacing w:line="266" w:lineRule="exact"/>
              <w:rPr>
                <w:b/>
                <w:sz w:val="21"/>
              </w:rPr>
            </w:pPr>
            <w:r>
              <w:rPr>
                <w:b/>
                <w:w w:val="99"/>
                <w:sz w:val="21"/>
              </w:rPr>
              <w:t> </w:t>
            </w:r>
          </w:p>
        </w:tc>
        <w:tc>
          <w:tcPr>
            <w:tcW w:w="1678" w:type="dxa"/>
          </w:tcPr>
          <w:p>
            <w:pPr>
              <w:pStyle w:val="TableParagraph"/>
              <w:spacing w:line="266" w:lineRule="exact"/>
              <w:ind w:left="191"/>
              <w:rPr>
                <w:b/>
                <w:sz w:val="21"/>
              </w:rPr>
            </w:pPr>
            <w:r>
              <w:rPr>
                <w:b/>
                <w:w w:val="99"/>
                <w:sz w:val="21"/>
              </w:rPr>
              <w:t> </w:t>
            </w:r>
          </w:p>
        </w:tc>
        <w:tc>
          <w:tcPr>
            <w:tcW w:w="7688" w:type="dxa"/>
          </w:tcPr>
          <w:p>
            <w:pPr>
              <w:pStyle w:val="TableParagraph"/>
              <w:spacing w:line="266" w:lineRule="exact"/>
              <w:ind w:left="112"/>
              <w:rPr>
                <w:sz w:val="21"/>
              </w:rPr>
            </w:pPr>
            <w:r>
              <w:rPr>
                <w:w w:val="100"/>
                <w:sz w:val="21"/>
              </w:rPr>
              <w:t> </w:t>
            </w:r>
          </w:p>
        </w:tc>
      </w:tr>
      <w:tr>
        <w:trPr>
          <w:trHeight w:val="1716" w:hRule="atLeast"/>
        </w:trPr>
        <w:tc>
          <w:tcPr>
            <w:tcW w:w="815" w:type="dxa"/>
          </w:tcPr>
          <w:p>
            <w:pPr>
              <w:pStyle w:val="TableParagraph"/>
              <w:spacing w:line="268" w:lineRule="exact"/>
              <w:rPr>
                <w:b/>
                <w:sz w:val="21"/>
              </w:rPr>
            </w:pPr>
            <w:r>
              <w:rPr>
                <w:b/>
                <w:w w:val="99"/>
                <w:sz w:val="21"/>
              </w:rPr>
              <w:t> </w:t>
            </w:r>
          </w:p>
        </w:tc>
        <w:tc>
          <w:tcPr>
            <w:tcW w:w="1678" w:type="dxa"/>
          </w:tcPr>
          <w:p>
            <w:pPr>
              <w:pStyle w:val="TableParagraph"/>
              <w:spacing w:line="300" w:lineRule="auto"/>
              <w:ind w:left="191" w:right="111"/>
              <w:jc w:val="both"/>
              <w:rPr>
                <w:b/>
                <w:sz w:val="21"/>
              </w:rPr>
            </w:pPr>
            <w:r>
              <w:rPr>
                <w:b/>
                <w:sz w:val="21"/>
              </w:rPr>
              <w:t>4. 重大器官移植术/造血干细胞移植术</w:t>
            </w:r>
            <w:r>
              <w:rPr>
                <w:b/>
                <w:w w:val="99"/>
                <w:sz w:val="21"/>
              </w:rPr>
              <w:t> </w:t>
            </w:r>
          </w:p>
        </w:tc>
        <w:tc>
          <w:tcPr>
            <w:tcW w:w="7688" w:type="dxa"/>
          </w:tcPr>
          <w:p>
            <w:pPr>
              <w:pStyle w:val="TableParagraph"/>
              <w:spacing w:line="297" w:lineRule="auto"/>
              <w:ind w:left="112" w:right="306"/>
              <w:jc w:val="both"/>
              <w:rPr>
                <w:sz w:val="21"/>
              </w:rPr>
            </w:pPr>
            <w:r>
              <w:rPr>
                <w:spacing w:val="-8"/>
                <w:sz w:val="21"/>
              </w:rPr>
              <w:t>重大器官移植术，指因相应器官功能衰竭，已经实施了肾脏、肝脏、心脏或肺脏</w:t>
            </w:r>
            <w:r>
              <w:rPr>
                <w:spacing w:val="-6"/>
                <w:sz w:val="21"/>
              </w:rPr>
              <w:t>的异体移植手术。</w:t>
            </w:r>
            <w:r>
              <w:rPr>
                <w:spacing w:val="-5"/>
                <w:sz w:val="21"/>
              </w:rPr>
              <w:t> </w:t>
            </w:r>
            <w:r>
              <w:rPr>
                <w:sz w:val="21"/>
              </w:rPr>
              <w:t> </w:t>
            </w:r>
          </w:p>
          <w:p>
            <w:pPr>
              <w:pStyle w:val="TableParagraph"/>
              <w:spacing w:line="300" w:lineRule="auto" w:before="27"/>
              <w:ind w:left="112" w:right="306"/>
              <w:jc w:val="both"/>
              <w:rPr>
                <w:sz w:val="21"/>
              </w:rPr>
            </w:pPr>
            <w:r>
              <w:rPr>
                <w:spacing w:val="-9"/>
                <w:sz w:val="21"/>
              </w:rPr>
              <w:t>造血干细胞移植术，指因造血功能损害或造血系统恶性肿瘤，已经实施了造血干</w:t>
            </w:r>
            <w:r>
              <w:rPr>
                <w:spacing w:val="-19"/>
                <w:sz w:val="21"/>
              </w:rPr>
              <w:t>细胞</w:t>
            </w:r>
            <w:r>
              <w:rPr>
                <w:sz w:val="21"/>
              </w:rPr>
              <w:t>（</w:t>
            </w:r>
            <w:r>
              <w:rPr>
                <w:spacing w:val="-7"/>
                <w:sz w:val="21"/>
              </w:rPr>
              <w:t>包括骨髓造血干细胞、外周血造血干细胞和脐血造血干细胞</w:t>
            </w:r>
            <w:r>
              <w:rPr>
                <w:spacing w:val="-29"/>
                <w:sz w:val="21"/>
              </w:rPr>
              <w:t>）</w:t>
            </w:r>
            <w:r>
              <w:rPr>
                <w:spacing w:val="-2"/>
                <w:sz w:val="21"/>
              </w:rPr>
              <w:t>的异体移植</w:t>
            </w:r>
            <w:r>
              <w:rPr>
                <w:spacing w:val="-3"/>
                <w:sz w:val="21"/>
              </w:rPr>
              <w:t>手术。</w:t>
            </w:r>
            <w:r>
              <w:rPr>
                <w:sz w:val="21"/>
              </w:rPr>
              <w:t> </w:t>
            </w:r>
          </w:p>
        </w:tc>
      </w:tr>
      <w:tr>
        <w:trPr>
          <w:trHeight w:val="343" w:hRule="atLeast"/>
        </w:trPr>
        <w:tc>
          <w:tcPr>
            <w:tcW w:w="815" w:type="dxa"/>
          </w:tcPr>
          <w:p>
            <w:pPr>
              <w:pStyle w:val="TableParagraph"/>
              <w:spacing w:line="266" w:lineRule="exact"/>
              <w:rPr>
                <w:b/>
                <w:sz w:val="21"/>
              </w:rPr>
            </w:pPr>
            <w:r>
              <w:rPr>
                <w:b/>
                <w:w w:val="99"/>
                <w:sz w:val="21"/>
              </w:rPr>
              <w:t> </w:t>
            </w:r>
          </w:p>
        </w:tc>
        <w:tc>
          <w:tcPr>
            <w:tcW w:w="1678" w:type="dxa"/>
          </w:tcPr>
          <w:p>
            <w:pPr>
              <w:pStyle w:val="TableParagraph"/>
              <w:spacing w:line="266" w:lineRule="exact"/>
              <w:ind w:left="191"/>
              <w:rPr>
                <w:b/>
                <w:sz w:val="21"/>
              </w:rPr>
            </w:pPr>
            <w:r>
              <w:rPr>
                <w:b/>
                <w:w w:val="99"/>
                <w:sz w:val="21"/>
              </w:rPr>
              <w:t> </w:t>
            </w:r>
          </w:p>
        </w:tc>
        <w:tc>
          <w:tcPr>
            <w:tcW w:w="7688" w:type="dxa"/>
          </w:tcPr>
          <w:p>
            <w:pPr>
              <w:pStyle w:val="TableParagraph"/>
              <w:spacing w:line="266" w:lineRule="exact"/>
              <w:ind w:left="112"/>
              <w:rPr>
                <w:sz w:val="21"/>
              </w:rPr>
            </w:pPr>
            <w:r>
              <w:rPr>
                <w:w w:val="100"/>
                <w:sz w:val="21"/>
              </w:rPr>
              <w:t> </w:t>
            </w:r>
          </w:p>
        </w:tc>
      </w:tr>
      <w:tr>
        <w:trPr>
          <w:trHeight w:val="965" w:hRule="atLeast"/>
        </w:trPr>
        <w:tc>
          <w:tcPr>
            <w:tcW w:w="815" w:type="dxa"/>
          </w:tcPr>
          <w:p>
            <w:pPr>
              <w:pStyle w:val="TableParagraph"/>
              <w:spacing w:line="268" w:lineRule="exact"/>
              <w:rPr>
                <w:b/>
                <w:sz w:val="21"/>
              </w:rPr>
            </w:pPr>
            <w:r>
              <w:rPr>
                <w:b/>
                <w:w w:val="99"/>
                <w:sz w:val="21"/>
              </w:rPr>
              <w:t> </w:t>
            </w:r>
          </w:p>
        </w:tc>
        <w:tc>
          <w:tcPr>
            <w:tcW w:w="1678" w:type="dxa"/>
          </w:tcPr>
          <w:p>
            <w:pPr>
              <w:pStyle w:val="TableParagraph"/>
              <w:spacing w:line="297" w:lineRule="auto"/>
              <w:ind w:left="191" w:right="111"/>
              <w:rPr>
                <w:b/>
                <w:sz w:val="21"/>
              </w:rPr>
            </w:pPr>
            <w:r>
              <w:rPr>
                <w:b/>
                <w:sz w:val="21"/>
              </w:rPr>
              <w:t>5. 冠状动脉搭桥术</w:t>
            </w:r>
            <w:r>
              <w:rPr>
                <w:b/>
                <w:w w:val="99"/>
                <w:sz w:val="21"/>
              </w:rPr>
              <w:t> </w:t>
            </w:r>
          </w:p>
        </w:tc>
        <w:tc>
          <w:tcPr>
            <w:tcW w:w="7688" w:type="dxa"/>
          </w:tcPr>
          <w:p>
            <w:pPr>
              <w:pStyle w:val="TableParagraph"/>
              <w:spacing w:line="268" w:lineRule="exact"/>
              <w:ind w:left="112"/>
              <w:rPr>
                <w:sz w:val="21"/>
              </w:rPr>
            </w:pPr>
            <w:r>
              <w:rPr>
                <w:sz w:val="21"/>
              </w:rPr>
              <w:t>指为治疗严重的冠心病，实际实施了开胸进行的冠状动脉血管旁路移植的手术。 </w:t>
            </w:r>
          </w:p>
          <w:p>
            <w:pPr>
              <w:pStyle w:val="TableParagraph"/>
              <w:spacing w:line="346" w:lineRule="exact" w:before="34"/>
              <w:ind w:left="112" w:right="306"/>
              <w:rPr>
                <w:sz w:val="21"/>
              </w:rPr>
            </w:pPr>
            <w:r>
              <w:rPr>
                <w:rFonts w:ascii="黑体" w:eastAsia="黑体" w:hint="eastAsia"/>
                <w:spacing w:val="-9"/>
                <w:sz w:val="21"/>
              </w:rPr>
              <w:t>冠状动脉支架植入术、心导管球囊扩张术、激光射频技术及其它非开胸的介入手</w:t>
            </w:r>
            <w:r>
              <w:rPr>
                <w:rFonts w:ascii="黑体" w:eastAsia="黑体" w:hint="eastAsia"/>
                <w:spacing w:val="-7"/>
                <w:sz w:val="21"/>
              </w:rPr>
              <w:t>术、腔镜手术不在保障范围内。</w:t>
            </w:r>
            <w:r>
              <w:rPr>
                <w:sz w:val="21"/>
              </w:rPr>
              <w:t> </w:t>
            </w:r>
          </w:p>
        </w:tc>
      </w:tr>
    </w:tbl>
    <w:p>
      <w:pPr>
        <w:spacing w:after="0" w:line="346" w:lineRule="exact"/>
        <w:rPr>
          <w:sz w:val="21"/>
        </w:rPr>
        <w:sectPr>
          <w:pgSz w:w="11910" w:h="16840"/>
          <w:pgMar w:header="0" w:footer="915" w:top="1500" w:bottom="1100" w:left="80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889"/>
        <w:gridCol w:w="7632"/>
      </w:tblGrid>
      <w:tr>
        <w:trPr>
          <w:trHeight w:val="276" w:hRule="atLeast"/>
        </w:trPr>
        <w:tc>
          <w:tcPr>
            <w:tcW w:w="656" w:type="dxa"/>
          </w:tcPr>
          <w:p>
            <w:pPr>
              <w:pStyle w:val="TableParagraph"/>
              <w:spacing w:line="201" w:lineRule="exact"/>
              <w:rPr>
                <w:b/>
                <w:sz w:val="21"/>
              </w:rPr>
            </w:pPr>
            <w:r>
              <w:rPr>
                <w:b/>
                <w:w w:val="99"/>
                <w:sz w:val="21"/>
              </w:rPr>
              <w:t> </w:t>
            </w:r>
          </w:p>
        </w:tc>
        <w:tc>
          <w:tcPr>
            <w:tcW w:w="1889" w:type="dxa"/>
          </w:tcPr>
          <w:p>
            <w:pPr>
              <w:pStyle w:val="TableParagraph"/>
              <w:spacing w:line="201" w:lineRule="exact"/>
              <w:ind w:left="350"/>
              <w:rPr>
                <w:b/>
                <w:sz w:val="21"/>
              </w:rPr>
            </w:pPr>
            <w:r>
              <w:rPr>
                <w:b/>
                <w:w w:val="99"/>
                <w:sz w:val="21"/>
              </w:rPr>
              <w:t> </w:t>
            </w:r>
          </w:p>
        </w:tc>
        <w:tc>
          <w:tcPr>
            <w:tcW w:w="7632" w:type="dxa"/>
          </w:tcPr>
          <w:p>
            <w:pPr>
              <w:pStyle w:val="TableParagraph"/>
              <w:spacing w:line="201" w:lineRule="exact"/>
              <w:ind w:left="60"/>
              <w:rPr>
                <w:sz w:val="21"/>
              </w:rPr>
            </w:pPr>
            <w:r>
              <w:rPr>
                <w:w w:val="100"/>
                <w:sz w:val="21"/>
              </w:rPr>
              <w:t> </w:t>
            </w:r>
          </w:p>
        </w:tc>
      </w:tr>
      <w:tr>
        <w:trPr>
          <w:trHeight w:val="686"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266" w:lineRule="exact"/>
              <w:ind w:left="350"/>
              <w:rPr>
                <w:b/>
                <w:sz w:val="21"/>
              </w:rPr>
            </w:pPr>
            <w:r>
              <w:rPr>
                <w:b/>
                <w:sz w:val="21"/>
              </w:rPr>
              <w:t>6. 终末期肾病</w:t>
            </w:r>
            <w:r>
              <w:rPr>
                <w:b/>
                <w:w w:val="99"/>
                <w:sz w:val="21"/>
              </w:rPr>
              <w:t> </w:t>
            </w:r>
          </w:p>
        </w:tc>
        <w:tc>
          <w:tcPr>
            <w:tcW w:w="7632" w:type="dxa"/>
          </w:tcPr>
          <w:p>
            <w:pPr>
              <w:pStyle w:val="TableParagraph"/>
              <w:spacing w:line="302" w:lineRule="auto"/>
              <w:ind w:left="60" w:right="299"/>
              <w:rPr>
                <w:sz w:val="21"/>
              </w:rPr>
            </w:pPr>
            <w:r>
              <w:rPr>
                <w:spacing w:val="-6"/>
                <w:sz w:val="21"/>
              </w:rPr>
              <w:t>指双肾功能慢性不可逆性衰竭，达到尿毒症期，经诊断后已经进行了至少 </w:t>
            </w:r>
            <w:r>
              <w:rPr>
                <w:sz w:val="21"/>
              </w:rPr>
              <w:t>90</w:t>
            </w:r>
            <w:r>
              <w:rPr>
                <w:spacing w:val="-12"/>
                <w:sz w:val="21"/>
              </w:rPr>
              <w:t> 天</w:t>
            </w:r>
            <w:r>
              <w:rPr>
                <w:spacing w:val="-8"/>
                <w:sz w:val="21"/>
              </w:rPr>
              <w:t>的规律性透析治疗或实施了肾脏移植手术。</w:t>
            </w:r>
            <w:r>
              <w:rPr>
                <w:sz w:val="21"/>
              </w:rPr>
              <w:t> </w:t>
            </w:r>
          </w:p>
        </w:tc>
      </w:tr>
      <w:tr>
        <w:trPr>
          <w:trHeight w:val="343"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266" w:lineRule="exact"/>
              <w:ind w:left="350"/>
              <w:rPr>
                <w:b/>
                <w:sz w:val="21"/>
              </w:rPr>
            </w:pPr>
            <w:r>
              <w:rPr>
                <w:b/>
                <w:w w:val="99"/>
                <w:sz w:val="21"/>
              </w:rPr>
              <w:t> </w:t>
            </w:r>
          </w:p>
        </w:tc>
        <w:tc>
          <w:tcPr>
            <w:tcW w:w="7632" w:type="dxa"/>
          </w:tcPr>
          <w:p>
            <w:pPr>
              <w:pStyle w:val="TableParagraph"/>
              <w:spacing w:line="266" w:lineRule="exact"/>
              <w:ind w:left="60"/>
              <w:rPr>
                <w:sz w:val="21"/>
              </w:rPr>
            </w:pPr>
            <w:r>
              <w:rPr>
                <w:w w:val="100"/>
                <w:sz w:val="21"/>
              </w:rPr>
              <w:t> </w:t>
            </w:r>
          </w:p>
        </w:tc>
      </w:tr>
      <w:tr>
        <w:trPr>
          <w:trHeight w:val="686"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297" w:lineRule="auto"/>
              <w:ind w:left="350" w:right="163"/>
              <w:rPr>
                <w:b/>
                <w:sz w:val="21"/>
              </w:rPr>
            </w:pPr>
            <w:r>
              <w:rPr>
                <w:b/>
                <w:sz w:val="21"/>
              </w:rPr>
              <w:t>7. 多个肢体缺失</w:t>
            </w:r>
            <w:r>
              <w:rPr>
                <w:b/>
                <w:w w:val="99"/>
                <w:sz w:val="21"/>
              </w:rPr>
              <w:t> </w:t>
            </w:r>
          </w:p>
        </w:tc>
        <w:tc>
          <w:tcPr>
            <w:tcW w:w="7632" w:type="dxa"/>
          </w:tcPr>
          <w:p>
            <w:pPr>
              <w:pStyle w:val="TableParagraph"/>
              <w:spacing w:line="297" w:lineRule="auto"/>
              <w:ind w:left="60" w:right="302"/>
              <w:rPr>
                <w:sz w:val="21"/>
              </w:rPr>
            </w:pPr>
            <w:r>
              <w:rPr>
                <w:spacing w:val="-8"/>
                <w:sz w:val="21"/>
              </w:rPr>
              <w:t>指因疾病或意外伤害导致两个或两个以上肢体自腕关节或踝关节近端</w:t>
            </w:r>
            <w:r>
              <w:rPr>
                <w:sz w:val="21"/>
              </w:rPr>
              <w:t>（</w:t>
            </w:r>
            <w:r>
              <w:rPr>
                <w:spacing w:val="-2"/>
                <w:sz w:val="21"/>
              </w:rPr>
              <w:t>靠近躯干端）</w:t>
            </w:r>
            <w:r>
              <w:rPr>
                <w:spacing w:val="-5"/>
                <w:sz w:val="21"/>
              </w:rPr>
              <w:t>以上完全性断离。</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268" w:lineRule="exact"/>
              <w:ind w:left="350"/>
              <w:rPr>
                <w:b/>
                <w:sz w:val="21"/>
              </w:rPr>
            </w:pPr>
            <w:r>
              <w:rPr>
                <w:b/>
                <w:w w:val="99"/>
                <w:sz w:val="21"/>
              </w:rPr>
              <w:t> </w:t>
            </w:r>
          </w:p>
        </w:tc>
        <w:tc>
          <w:tcPr>
            <w:tcW w:w="7632" w:type="dxa"/>
          </w:tcPr>
          <w:p>
            <w:pPr>
              <w:pStyle w:val="TableParagraph"/>
              <w:spacing w:line="268" w:lineRule="exact"/>
              <w:ind w:left="60"/>
              <w:rPr>
                <w:sz w:val="21"/>
              </w:rPr>
            </w:pPr>
            <w:r>
              <w:rPr>
                <w:w w:val="100"/>
                <w:sz w:val="21"/>
              </w:rPr>
              <w:t> </w:t>
            </w:r>
          </w:p>
        </w:tc>
      </w:tr>
      <w:tr>
        <w:trPr>
          <w:trHeight w:val="2059"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302" w:lineRule="auto"/>
              <w:ind w:left="350" w:right="163"/>
              <w:rPr>
                <w:b/>
                <w:sz w:val="21"/>
              </w:rPr>
            </w:pPr>
            <w:r>
              <w:rPr>
                <w:b/>
                <w:sz w:val="21"/>
              </w:rPr>
              <w:t>8. 急性或亚急性重症肝炎</w:t>
            </w:r>
            <w:r>
              <w:rPr>
                <w:b/>
                <w:w w:val="99"/>
                <w:sz w:val="21"/>
              </w:rPr>
              <w:t> </w:t>
            </w:r>
          </w:p>
        </w:tc>
        <w:tc>
          <w:tcPr>
            <w:tcW w:w="7632" w:type="dxa"/>
          </w:tcPr>
          <w:p>
            <w:pPr>
              <w:pStyle w:val="TableParagraph"/>
              <w:spacing w:line="302" w:lineRule="auto"/>
              <w:ind w:left="60" w:right="301"/>
              <w:rPr>
                <w:sz w:val="21"/>
              </w:rPr>
            </w:pPr>
            <w:r>
              <w:rPr>
                <w:spacing w:val="-9"/>
                <w:sz w:val="21"/>
              </w:rPr>
              <w:t>指因肝炎病毒感染引起肝组织弥漫性坏死，导致急性肝功能衰竭，且经血清学或</w:t>
            </w:r>
            <w:r>
              <w:rPr>
                <w:spacing w:val="-7"/>
                <w:sz w:val="21"/>
              </w:rPr>
              <w:t>病毒学检查证实，并须满足下列全部条件：</w:t>
            </w:r>
            <w:r>
              <w:rPr>
                <w:sz w:val="21"/>
              </w:rPr>
              <w:t> </w:t>
            </w:r>
          </w:p>
          <w:p>
            <w:pPr>
              <w:pStyle w:val="TableParagraph"/>
              <w:spacing w:before="20"/>
              <w:ind w:left="60"/>
              <w:rPr>
                <w:sz w:val="21"/>
              </w:rPr>
            </w:pPr>
            <w:r>
              <w:rPr>
                <w:sz w:val="21"/>
              </w:rPr>
              <w:t>（1）重度黄疸或黄疸迅速加重； </w:t>
            </w:r>
          </w:p>
          <w:p>
            <w:pPr>
              <w:pStyle w:val="TableParagraph"/>
              <w:spacing w:before="70"/>
              <w:ind w:left="60"/>
              <w:rPr>
                <w:sz w:val="21"/>
              </w:rPr>
            </w:pPr>
            <w:r>
              <w:rPr>
                <w:sz w:val="21"/>
              </w:rPr>
              <w:t>（2）肝性脑病；  </w:t>
            </w:r>
          </w:p>
          <w:p>
            <w:pPr>
              <w:pStyle w:val="TableParagraph"/>
              <w:spacing w:before="66"/>
              <w:ind w:left="60"/>
              <w:rPr>
                <w:sz w:val="21"/>
              </w:rPr>
            </w:pPr>
            <w:r>
              <w:rPr>
                <w:sz w:val="21"/>
              </w:rPr>
              <w:t>（3）B 超或其他影像学检查显示肝脏体积急速萎缩； </w:t>
            </w:r>
          </w:p>
          <w:p>
            <w:pPr>
              <w:pStyle w:val="TableParagraph"/>
              <w:spacing w:before="71"/>
              <w:ind w:left="60"/>
              <w:rPr>
                <w:sz w:val="21"/>
              </w:rPr>
            </w:pPr>
            <w:r>
              <w:rPr>
                <w:sz w:val="21"/>
              </w:rPr>
              <w:t>（4）肝功能指标进行性恶化。 </w:t>
            </w:r>
          </w:p>
        </w:tc>
      </w:tr>
      <w:tr>
        <w:trPr>
          <w:trHeight w:val="343"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266" w:lineRule="exact"/>
              <w:ind w:left="350"/>
              <w:rPr>
                <w:b/>
                <w:sz w:val="21"/>
              </w:rPr>
            </w:pPr>
            <w:r>
              <w:rPr>
                <w:b/>
                <w:w w:val="99"/>
                <w:sz w:val="21"/>
              </w:rPr>
              <w:t> </w:t>
            </w:r>
          </w:p>
        </w:tc>
        <w:tc>
          <w:tcPr>
            <w:tcW w:w="7632" w:type="dxa"/>
          </w:tcPr>
          <w:p>
            <w:pPr>
              <w:pStyle w:val="TableParagraph"/>
              <w:spacing w:line="266" w:lineRule="exact"/>
              <w:ind w:left="60"/>
              <w:rPr>
                <w:sz w:val="21"/>
              </w:rPr>
            </w:pPr>
            <w:r>
              <w:rPr>
                <w:w w:val="100"/>
                <w:sz w:val="21"/>
              </w:rPr>
              <w:t> </w:t>
            </w:r>
          </w:p>
        </w:tc>
      </w:tr>
      <w:tr>
        <w:trPr>
          <w:trHeight w:val="2403" w:hRule="atLeast"/>
        </w:trPr>
        <w:tc>
          <w:tcPr>
            <w:tcW w:w="656" w:type="dxa"/>
          </w:tcPr>
          <w:p>
            <w:pPr>
              <w:pStyle w:val="TableParagraph"/>
              <w:spacing w:line="269" w:lineRule="exact"/>
              <w:rPr>
                <w:b/>
                <w:sz w:val="21"/>
              </w:rPr>
            </w:pPr>
            <w:r>
              <w:rPr>
                <w:b/>
                <w:w w:val="99"/>
                <w:sz w:val="21"/>
              </w:rPr>
              <w:t> </w:t>
            </w:r>
          </w:p>
        </w:tc>
        <w:tc>
          <w:tcPr>
            <w:tcW w:w="1889" w:type="dxa"/>
          </w:tcPr>
          <w:p>
            <w:pPr>
              <w:pStyle w:val="TableParagraph"/>
              <w:spacing w:line="269" w:lineRule="exact"/>
              <w:ind w:left="350"/>
              <w:rPr>
                <w:b/>
                <w:sz w:val="21"/>
              </w:rPr>
            </w:pPr>
            <w:r>
              <w:rPr>
                <w:b/>
                <w:sz w:val="21"/>
              </w:rPr>
              <w:t>9. 良性脑肿瘤</w:t>
            </w:r>
            <w:r>
              <w:rPr>
                <w:b/>
                <w:w w:val="99"/>
                <w:sz w:val="21"/>
              </w:rPr>
              <w:t> </w:t>
            </w:r>
          </w:p>
        </w:tc>
        <w:tc>
          <w:tcPr>
            <w:tcW w:w="7632" w:type="dxa"/>
          </w:tcPr>
          <w:p>
            <w:pPr>
              <w:pStyle w:val="TableParagraph"/>
              <w:spacing w:line="297" w:lineRule="auto"/>
              <w:ind w:left="60" w:right="196"/>
              <w:rPr>
                <w:sz w:val="21"/>
              </w:rPr>
            </w:pPr>
            <w:r>
              <w:rPr>
                <w:spacing w:val="-14"/>
                <w:sz w:val="21"/>
              </w:rPr>
              <w:t>指脑的良性肿瘤，已经引起颅内压增高，临床表现为视神经乳头水肿、精神症状、</w:t>
            </w:r>
            <w:r>
              <w:rPr>
                <w:spacing w:val="-12"/>
                <w:w w:val="100"/>
                <w:sz w:val="21"/>
              </w:rPr>
              <w:t>癫痫及运动感觉障碍等，并危及生命。须由头颅断层扫描</w:t>
            </w:r>
            <w:r>
              <w:rPr>
                <w:spacing w:val="1"/>
                <w:w w:val="100"/>
                <w:sz w:val="21"/>
              </w:rPr>
              <w:t>（</w:t>
            </w:r>
            <w:r>
              <w:rPr>
                <w:w w:val="100"/>
                <w:sz w:val="21"/>
              </w:rPr>
              <w:t>CT</w:t>
            </w:r>
            <w:r>
              <w:rPr>
                <w:spacing w:val="-106"/>
                <w:w w:val="100"/>
                <w:sz w:val="21"/>
              </w:rPr>
              <w:t>）</w:t>
            </w:r>
            <w:r>
              <w:rPr>
                <w:spacing w:val="-1"/>
                <w:w w:val="100"/>
                <w:sz w:val="21"/>
              </w:rPr>
              <w:t>、核磁共振检查</w:t>
            </w:r>
          </w:p>
          <w:p>
            <w:pPr>
              <w:pStyle w:val="TableParagraph"/>
              <w:spacing w:line="297" w:lineRule="auto" w:before="26"/>
              <w:ind w:left="60" w:right="301"/>
              <w:rPr>
                <w:sz w:val="21"/>
              </w:rPr>
            </w:pPr>
            <w:r>
              <w:rPr>
                <w:spacing w:val="-5"/>
                <w:sz w:val="21"/>
              </w:rPr>
              <w:t>（MRI）</w:t>
            </w:r>
            <w:r>
              <w:rPr>
                <w:spacing w:val="-6"/>
                <w:sz w:val="21"/>
              </w:rPr>
              <w:t>或正电子发射断层扫描</w:t>
            </w:r>
            <w:r>
              <w:rPr>
                <w:spacing w:val="-5"/>
                <w:sz w:val="21"/>
              </w:rPr>
              <w:t>（PET）</w:t>
            </w:r>
            <w:r>
              <w:rPr>
                <w:spacing w:val="-6"/>
                <w:sz w:val="21"/>
              </w:rPr>
              <w:t>等影像学检查证实，并须满足下列至少一项条件：</w:t>
            </w:r>
            <w:r>
              <w:rPr>
                <w:sz w:val="21"/>
              </w:rPr>
              <w:t> </w:t>
            </w:r>
          </w:p>
          <w:p>
            <w:pPr>
              <w:pStyle w:val="TableParagraph"/>
              <w:spacing w:before="20"/>
              <w:ind w:left="60"/>
              <w:rPr>
                <w:sz w:val="21"/>
              </w:rPr>
            </w:pPr>
            <w:r>
              <w:rPr>
                <w:sz w:val="21"/>
              </w:rPr>
              <w:t>（1）实际实施了开颅进行的脑肿瘤完全切除或部分切除的手术； </w:t>
            </w:r>
          </w:p>
          <w:p>
            <w:pPr>
              <w:pStyle w:val="TableParagraph"/>
              <w:spacing w:before="66"/>
              <w:ind w:left="60"/>
              <w:rPr>
                <w:sz w:val="21"/>
              </w:rPr>
            </w:pPr>
            <w:r>
              <w:rPr>
                <w:sz w:val="21"/>
              </w:rPr>
              <w:t>（2）实际实施了对脑肿瘤进行的放射治疗。 </w:t>
            </w:r>
          </w:p>
          <w:p>
            <w:pPr>
              <w:pStyle w:val="TableParagraph"/>
              <w:spacing w:before="70"/>
              <w:ind w:left="60"/>
              <w:rPr>
                <w:sz w:val="21"/>
              </w:rPr>
            </w:pPr>
            <w:r>
              <w:rPr>
                <w:rFonts w:ascii="黑体" w:eastAsia="黑体" w:hint="eastAsia"/>
                <w:sz w:val="21"/>
              </w:rPr>
              <w:t>脑垂体瘤、脑囊肿、脑血管性疾病不在保障范围内。</w:t>
            </w:r>
            <w:r>
              <w:rPr>
                <w:sz w:val="21"/>
              </w:rPr>
              <w:t> </w:t>
            </w:r>
          </w:p>
        </w:tc>
      </w:tr>
      <w:tr>
        <w:trPr>
          <w:trHeight w:val="343"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266" w:lineRule="exact"/>
              <w:ind w:left="350"/>
              <w:rPr>
                <w:b/>
                <w:sz w:val="21"/>
              </w:rPr>
            </w:pPr>
            <w:r>
              <w:rPr>
                <w:b/>
                <w:w w:val="99"/>
                <w:sz w:val="21"/>
              </w:rPr>
              <w:t> </w:t>
            </w:r>
          </w:p>
        </w:tc>
        <w:tc>
          <w:tcPr>
            <w:tcW w:w="7632" w:type="dxa"/>
          </w:tcPr>
          <w:p>
            <w:pPr>
              <w:pStyle w:val="TableParagraph"/>
              <w:spacing w:line="266" w:lineRule="exact"/>
              <w:ind w:left="60"/>
              <w:rPr>
                <w:sz w:val="21"/>
              </w:rPr>
            </w:pPr>
            <w:r>
              <w:rPr>
                <w:w w:val="100"/>
                <w:sz w:val="21"/>
              </w:rPr>
              <w:t> </w:t>
            </w:r>
          </w:p>
        </w:tc>
      </w:tr>
      <w:tr>
        <w:trPr>
          <w:trHeight w:val="2059"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300" w:lineRule="auto"/>
              <w:ind w:left="350" w:right="268"/>
              <w:jc w:val="both"/>
              <w:rPr>
                <w:b/>
                <w:sz w:val="21"/>
              </w:rPr>
            </w:pPr>
            <w:r>
              <w:rPr>
                <w:b/>
                <w:sz w:val="21"/>
              </w:rPr>
              <w:t>10. 慢性肝功能衰竭失代偿期</w:t>
            </w:r>
            <w:r>
              <w:rPr>
                <w:b/>
                <w:w w:val="99"/>
                <w:sz w:val="21"/>
              </w:rPr>
              <w:t> </w:t>
            </w:r>
          </w:p>
        </w:tc>
        <w:tc>
          <w:tcPr>
            <w:tcW w:w="7632" w:type="dxa"/>
          </w:tcPr>
          <w:p>
            <w:pPr>
              <w:pStyle w:val="TableParagraph"/>
              <w:spacing w:line="268" w:lineRule="exact"/>
              <w:ind w:left="60"/>
              <w:rPr>
                <w:sz w:val="21"/>
              </w:rPr>
            </w:pPr>
            <w:r>
              <w:rPr>
                <w:sz w:val="21"/>
              </w:rPr>
              <w:t>指因慢性肝脏疾病导致肝功能衰竭。须满足下列全部条件： </w:t>
            </w:r>
          </w:p>
          <w:p>
            <w:pPr>
              <w:pStyle w:val="TableParagraph"/>
              <w:spacing w:before="66"/>
              <w:ind w:left="60"/>
              <w:rPr>
                <w:sz w:val="21"/>
              </w:rPr>
            </w:pPr>
            <w:r>
              <w:rPr>
                <w:sz w:val="21"/>
              </w:rPr>
              <w:t>（1）持续性黄疸； </w:t>
            </w:r>
          </w:p>
          <w:p>
            <w:pPr>
              <w:pStyle w:val="TableParagraph"/>
              <w:spacing w:before="71"/>
              <w:ind w:left="60"/>
              <w:rPr>
                <w:sz w:val="21"/>
              </w:rPr>
            </w:pPr>
            <w:r>
              <w:rPr>
                <w:sz w:val="21"/>
              </w:rPr>
              <w:t>（2）腹水； </w:t>
            </w:r>
          </w:p>
          <w:p>
            <w:pPr>
              <w:pStyle w:val="TableParagraph"/>
              <w:spacing w:before="65"/>
              <w:ind w:left="60"/>
              <w:rPr>
                <w:sz w:val="21"/>
              </w:rPr>
            </w:pPr>
            <w:r>
              <w:rPr>
                <w:sz w:val="21"/>
              </w:rPr>
              <w:t>（3）肝性脑病；  </w:t>
            </w:r>
          </w:p>
          <w:p>
            <w:pPr>
              <w:pStyle w:val="TableParagraph"/>
              <w:spacing w:before="70"/>
              <w:ind w:left="60"/>
              <w:rPr>
                <w:sz w:val="21"/>
              </w:rPr>
            </w:pPr>
            <w:r>
              <w:rPr>
                <w:sz w:val="21"/>
              </w:rPr>
              <w:t>（4）充血性脾肿大伴脾功能亢进或食管胃底静脉曲张。 </w:t>
            </w:r>
          </w:p>
          <w:p>
            <w:pPr>
              <w:pStyle w:val="TableParagraph"/>
              <w:spacing w:before="66"/>
              <w:ind w:left="60"/>
              <w:rPr>
                <w:sz w:val="21"/>
              </w:rPr>
            </w:pPr>
            <w:r>
              <w:rPr>
                <w:rFonts w:ascii="黑体" w:eastAsia="黑体" w:hint="eastAsia"/>
                <w:sz w:val="21"/>
              </w:rPr>
              <w:t>因酗酒或药物滥用导致的肝功能衰竭不在保障范围内。</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268" w:lineRule="exact"/>
              <w:ind w:left="350"/>
              <w:rPr>
                <w:b/>
                <w:sz w:val="21"/>
              </w:rPr>
            </w:pPr>
            <w:r>
              <w:rPr>
                <w:b/>
                <w:w w:val="99"/>
                <w:sz w:val="21"/>
              </w:rPr>
              <w:t> </w:t>
            </w:r>
          </w:p>
        </w:tc>
        <w:tc>
          <w:tcPr>
            <w:tcW w:w="7632" w:type="dxa"/>
          </w:tcPr>
          <w:p>
            <w:pPr>
              <w:pStyle w:val="TableParagraph"/>
              <w:spacing w:line="268" w:lineRule="exact"/>
              <w:ind w:left="60"/>
              <w:rPr>
                <w:sz w:val="21"/>
              </w:rPr>
            </w:pPr>
            <w:r>
              <w:rPr>
                <w:w w:val="100"/>
                <w:sz w:val="21"/>
              </w:rPr>
              <w:t> </w:t>
            </w:r>
          </w:p>
        </w:tc>
      </w:tr>
      <w:tr>
        <w:trPr>
          <w:trHeight w:val="2059"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300" w:lineRule="auto"/>
              <w:ind w:left="350" w:right="268"/>
              <w:jc w:val="both"/>
              <w:rPr>
                <w:b/>
                <w:sz w:val="21"/>
              </w:rPr>
            </w:pPr>
            <w:r>
              <w:rPr>
                <w:b/>
                <w:sz w:val="21"/>
              </w:rPr>
              <w:t>11. 脑炎后遗症或脑膜炎后遗症</w:t>
            </w:r>
            <w:r>
              <w:rPr>
                <w:b/>
                <w:w w:val="99"/>
                <w:sz w:val="21"/>
              </w:rPr>
              <w:t> </w:t>
            </w:r>
          </w:p>
        </w:tc>
        <w:tc>
          <w:tcPr>
            <w:tcW w:w="7632" w:type="dxa"/>
          </w:tcPr>
          <w:p>
            <w:pPr>
              <w:pStyle w:val="TableParagraph"/>
              <w:spacing w:line="302" w:lineRule="auto"/>
              <w:ind w:left="60" w:right="302"/>
              <w:rPr>
                <w:sz w:val="21"/>
              </w:rPr>
            </w:pPr>
            <w:r>
              <w:rPr>
                <w:spacing w:val="-9"/>
                <w:sz w:val="21"/>
              </w:rPr>
              <w:t>指因患脑炎或脑膜炎导致的神经系统永久性的功能障碍。神经系统永久性的功能</w:t>
            </w:r>
            <w:r>
              <w:rPr>
                <w:spacing w:val="-11"/>
                <w:sz w:val="21"/>
              </w:rPr>
              <w:t>障碍，指疾病确诊 </w:t>
            </w:r>
            <w:r>
              <w:rPr>
                <w:sz w:val="21"/>
              </w:rPr>
              <w:t>180</w:t>
            </w:r>
            <w:r>
              <w:rPr>
                <w:spacing w:val="-8"/>
                <w:sz w:val="21"/>
              </w:rPr>
              <w:t> 天后，仍遗留下列一种或一种以上障碍：</w:t>
            </w:r>
            <w:r>
              <w:rPr>
                <w:sz w:val="21"/>
              </w:rPr>
              <w:t> </w:t>
            </w:r>
          </w:p>
          <w:p>
            <w:pPr>
              <w:pStyle w:val="TableParagraph"/>
              <w:spacing w:before="20"/>
              <w:ind w:left="60"/>
              <w:rPr>
                <w:sz w:val="21"/>
              </w:rPr>
            </w:pPr>
            <w:r>
              <w:rPr>
                <w:sz w:val="21"/>
              </w:rPr>
              <w:t>（1）一肢或一肢以上肢体机能完全丧失； </w:t>
            </w:r>
          </w:p>
          <w:p>
            <w:pPr>
              <w:pStyle w:val="TableParagraph"/>
              <w:spacing w:before="71"/>
              <w:ind w:left="60"/>
              <w:rPr>
                <w:sz w:val="21"/>
              </w:rPr>
            </w:pPr>
            <w:r>
              <w:rPr>
                <w:sz w:val="21"/>
              </w:rPr>
              <w:t>（2）语言能力或咀嚼吞咽能力完全丧失； </w:t>
            </w:r>
          </w:p>
          <w:p>
            <w:pPr>
              <w:pStyle w:val="TableParagraph"/>
              <w:spacing w:line="302" w:lineRule="auto" w:before="66"/>
              <w:ind w:left="60" w:right="302"/>
              <w:rPr>
                <w:sz w:val="21"/>
              </w:rPr>
            </w:pPr>
            <w:r>
              <w:rPr>
                <w:sz w:val="21"/>
              </w:rPr>
              <w:t>（3）自主生活能力完全丧失，无法独立完成六项基本日常生活活动中的三项或三项以上。 </w:t>
            </w:r>
          </w:p>
        </w:tc>
      </w:tr>
      <w:tr>
        <w:trPr>
          <w:trHeight w:val="343"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266" w:lineRule="exact"/>
              <w:ind w:left="350"/>
              <w:rPr>
                <w:b/>
                <w:sz w:val="21"/>
              </w:rPr>
            </w:pPr>
            <w:r>
              <w:rPr>
                <w:b/>
                <w:w w:val="99"/>
                <w:sz w:val="21"/>
              </w:rPr>
              <w:t> </w:t>
            </w:r>
          </w:p>
        </w:tc>
        <w:tc>
          <w:tcPr>
            <w:tcW w:w="7632" w:type="dxa"/>
          </w:tcPr>
          <w:p>
            <w:pPr>
              <w:pStyle w:val="TableParagraph"/>
              <w:spacing w:line="266" w:lineRule="exact"/>
              <w:ind w:left="60"/>
              <w:rPr>
                <w:sz w:val="21"/>
              </w:rPr>
            </w:pPr>
            <w:r>
              <w:rPr>
                <w:w w:val="100"/>
                <w:sz w:val="21"/>
              </w:rPr>
              <w:t> </w:t>
            </w:r>
          </w:p>
        </w:tc>
      </w:tr>
      <w:tr>
        <w:trPr>
          <w:trHeight w:val="1305"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268" w:lineRule="exact"/>
              <w:ind w:left="350"/>
              <w:rPr>
                <w:b/>
                <w:sz w:val="21"/>
              </w:rPr>
            </w:pPr>
            <w:r>
              <w:rPr>
                <w:b/>
                <w:sz w:val="21"/>
              </w:rPr>
              <w:t>12. 深度昏迷</w:t>
            </w:r>
            <w:r>
              <w:rPr>
                <w:b/>
                <w:w w:val="99"/>
                <w:sz w:val="21"/>
              </w:rPr>
              <w:t> </w:t>
            </w:r>
          </w:p>
        </w:tc>
        <w:tc>
          <w:tcPr>
            <w:tcW w:w="7632" w:type="dxa"/>
          </w:tcPr>
          <w:p>
            <w:pPr>
              <w:pStyle w:val="TableParagraph"/>
              <w:spacing w:line="297" w:lineRule="auto"/>
              <w:ind w:left="60" w:right="220"/>
              <w:rPr>
                <w:sz w:val="21"/>
              </w:rPr>
            </w:pPr>
            <w:r>
              <w:rPr>
                <w:sz w:val="21"/>
              </w:rPr>
              <w:t>指因疾病或意外伤害导致意识丧失,对外界刺激和体内需求均无反应,昏迷程度按照格拉斯哥昏迷分级（Glasgow coma scale）结果为 5 分或 5 分以下，且已经</w:t>
            </w:r>
          </w:p>
          <w:p>
            <w:pPr>
              <w:pStyle w:val="TableParagraph"/>
              <w:spacing w:before="27"/>
              <w:ind w:left="60"/>
              <w:rPr>
                <w:sz w:val="21"/>
              </w:rPr>
            </w:pPr>
            <w:r>
              <w:rPr>
                <w:sz w:val="21"/>
              </w:rPr>
              <w:t>持续使用呼吸机及其它生命维持系统 96 小时以上。  </w:t>
            </w:r>
          </w:p>
          <w:p>
            <w:pPr>
              <w:pStyle w:val="TableParagraph"/>
              <w:spacing w:line="265" w:lineRule="exact" w:before="66"/>
              <w:ind w:left="60"/>
              <w:rPr>
                <w:sz w:val="21"/>
              </w:rPr>
            </w:pPr>
            <w:r>
              <w:rPr>
                <w:rFonts w:ascii="黑体" w:eastAsia="黑体" w:hint="eastAsia"/>
                <w:sz w:val="21"/>
              </w:rPr>
              <w:t>因酗酒或药物滥用导致的深度昏迷不在保障范围内。</w:t>
            </w:r>
            <w:r>
              <w:rPr>
                <w:sz w:val="21"/>
              </w:rPr>
              <w:t> </w:t>
            </w:r>
          </w:p>
        </w:tc>
      </w:tr>
    </w:tbl>
    <w:p>
      <w:pPr>
        <w:spacing w:after="0" w:line="265" w:lineRule="exact"/>
        <w:rPr>
          <w:sz w:val="21"/>
        </w:rPr>
        <w:sectPr>
          <w:pgSz w:w="11910" w:h="16840"/>
          <w:pgMar w:header="0" w:footer="915" w:top="1500" w:bottom="1100" w:left="80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836"/>
        <w:gridCol w:w="7687"/>
      </w:tblGrid>
      <w:tr>
        <w:trPr>
          <w:trHeight w:val="276" w:hRule="atLeast"/>
        </w:trPr>
        <w:tc>
          <w:tcPr>
            <w:tcW w:w="656" w:type="dxa"/>
          </w:tcPr>
          <w:p>
            <w:pPr>
              <w:pStyle w:val="TableParagraph"/>
              <w:spacing w:line="201" w:lineRule="exact"/>
              <w:rPr>
                <w:b/>
                <w:sz w:val="21"/>
              </w:rPr>
            </w:pPr>
            <w:r>
              <w:rPr>
                <w:b/>
                <w:w w:val="99"/>
                <w:sz w:val="21"/>
              </w:rPr>
              <w:t> </w:t>
            </w:r>
          </w:p>
        </w:tc>
        <w:tc>
          <w:tcPr>
            <w:tcW w:w="1836" w:type="dxa"/>
          </w:tcPr>
          <w:p>
            <w:pPr>
              <w:pStyle w:val="TableParagraph"/>
              <w:spacing w:line="201" w:lineRule="exact"/>
              <w:ind w:left="350"/>
              <w:rPr>
                <w:b/>
                <w:sz w:val="21"/>
              </w:rPr>
            </w:pPr>
            <w:r>
              <w:rPr>
                <w:b/>
                <w:w w:val="99"/>
                <w:sz w:val="21"/>
              </w:rPr>
              <w:t> </w:t>
            </w:r>
          </w:p>
        </w:tc>
        <w:tc>
          <w:tcPr>
            <w:tcW w:w="7687" w:type="dxa"/>
          </w:tcPr>
          <w:p>
            <w:pPr>
              <w:pStyle w:val="TableParagraph"/>
              <w:spacing w:line="201" w:lineRule="exact"/>
              <w:ind w:left="113"/>
              <w:rPr>
                <w:sz w:val="21"/>
              </w:rPr>
            </w:pPr>
            <w:r>
              <w:rPr>
                <w:w w:val="100"/>
                <w:sz w:val="21"/>
              </w:rPr>
              <w:t> </w:t>
            </w:r>
          </w:p>
        </w:tc>
      </w:tr>
      <w:tr>
        <w:trPr>
          <w:trHeight w:val="1030" w:hRule="atLeast"/>
        </w:trPr>
        <w:tc>
          <w:tcPr>
            <w:tcW w:w="656" w:type="dxa"/>
          </w:tcPr>
          <w:p>
            <w:pPr>
              <w:pStyle w:val="TableParagraph"/>
              <w:spacing w:line="266" w:lineRule="exact"/>
              <w:rPr>
                <w:b/>
                <w:sz w:val="21"/>
              </w:rPr>
            </w:pPr>
            <w:r>
              <w:rPr>
                <w:b/>
                <w:w w:val="99"/>
                <w:sz w:val="21"/>
              </w:rPr>
              <w:t> </w:t>
            </w:r>
          </w:p>
        </w:tc>
        <w:tc>
          <w:tcPr>
            <w:tcW w:w="1836" w:type="dxa"/>
          </w:tcPr>
          <w:p>
            <w:pPr>
              <w:pStyle w:val="TableParagraph"/>
              <w:spacing w:line="266" w:lineRule="exact"/>
              <w:ind w:left="350"/>
              <w:rPr>
                <w:b/>
                <w:sz w:val="21"/>
              </w:rPr>
            </w:pPr>
            <w:r>
              <w:rPr>
                <w:b/>
                <w:sz w:val="21"/>
              </w:rPr>
              <w:t>13. 双耳失聪</w:t>
            </w:r>
            <w:r>
              <w:rPr>
                <w:b/>
                <w:w w:val="99"/>
                <w:sz w:val="21"/>
              </w:rPr>
              <w:t> </w:t>
            </w:r>
          </w:p>
        </w:tc>
        <w:tc>
          <w:tcPr>
            <w:tcW w:w="7687" w:type="dxa"/>
          </w:tcPr>
          <w:p>
            <w:pPr>
              <w:pStyle w:val="TableParagraph"/>
              <w:spacing w:line="266" w:lineRule="exact"/>
              <w:ind w:left="113"/>
              <w:rPr>
                <w:sz w:val="21"/>
              </w:rPr>
            </w:pPr>
            <w:r>
              <w:rPr>
                <w:sz w:val="21"/>
              </w:rPr>
              <w:t>指因疾病或意外伤害导致双耳听力</w:t>
            </w:r>
            <w:r>
              <w:rPr>
                <w:b/>
                <w:sz w:val="21"/>
              </w:rPr>
              <w:t>永久不可逆</w:t>
            </w:r>
            <w:r>
              <w:rPr>
                <w:sz w:val="21"/>
              </w:rPr>
              <w:t>（见释义 6.19）性丧失，在 500</w:t>
            </w:r>
          </w:p>
          <w:p>
            <w:pPr>
              <w:pStyle w:val="TableParagraph"/>
              <w:spacing w:line="297" w:lineRule="auto" w:before="70"/>
              <w:ind w:left="113" w:right="302"/>
              <w:rPr>
                <w:sz w:val="21"/>
              </w:rPr>
            </w:pPr>
            <w:r>
              <w:rPr>
                <w:sz w:val="21"/>
              </w:rPr>
              <w:t>赫兹、1000</w:t>
            </w:r>
            <w:r>
              <w:rPr>
                <w:spacing w:val="-14"/>
                <w:sz w:val="21"/>
              </w:rPr>
              <w:t> 赫兹和 </w:t>
            </w:r>
            <w:r>
              <w:rPr>
                <w:sz w:val="21"/>
              </w:rPr>
              <w:t>2000</w:t>
            </w:r>
            <w:r>
              <w:rPr>
                <w:spacing w:val="-9"/>
                <w:sz w:val="21"/>
              </w:rPr>
              <w:t> 赫兹语音频率下，平均听阈大于 </w:t>
            </w:r>
            <w:r>
              <w:rPr>
                <w:sz w:val="21"/>
              </w:rPr>
              <w:t>90</w:t>
            </w:r>
            <w:r>
              <w:rPr>
                <w:spacing w:val="-7"/>
                <w:sz w:val="21"/>
              </w:rPr>
              <w:t> 分贝，且经纯音听</w:t>
            </w:r>
            <w:r>
              <w:rPr>
                <w:spacing w:val="-6"/>
                <w:sz w:val="21"/>
              </w:rPr>
              <w:t>力测试、声导抗检测或听觉诱发电位检测等证实。</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836" w:type="dxa"/>
          </w:tcPr>
          <w:p>
            <w:pPr>
              <w:pStyle w:val="TableParagraph"/>
              <w:spacing w:line="268" w:lineRule="exact"/>
              <w:ind w:left="350"/>
              <w:rPr>
                <w:b/>
                <w:sz w:val="21"/>
              </w:rPr>
            </w:pPr>
            <w:r>
              <w:rPr>
                <w:b/>
                <w:w w:val="99"/>
                <w:sz w:val="21"/>
              </w:rPr>
              <w:t> </w:t>
            </w:r>
          </w:p>
        </w:tc>
        <w:tc>
          <w:tcPr>
            <w:tcW w:w="7687" w:type="dxa"/>
          </w:tcPr>
          <w:p>
            <w:pPr>
              <w:pStyle w:val="TableParagraph"/>
              <w:spacing w:line="268" w:lineRule="exact"/>
              <w:ind w:left="113"/>
              <w:rPr>
                <w:sz w:val="21"/>
              </w:rPr>
            </w:pPr>
            <w:r>
              <w:rPr>
                <w:w w:val="100"/>
                <w:sz w:val="21"/>
              </w:rPr>
              <w:t> </w:t>
            </w:r>
          </w:p>
        </w:tc>
      </w:tr>
      <w:tr>
        <w:trPr>
          <w:trHeight w:val="2059" w:hRule="atLeast"/>
        </w:trPr>
        <w:tc>
          <w:tcPr>
            <w:tcW w:w="656" w:type="dxa"/>
          </w:tcPr>
          <w:p>
            <w:pPr>
              <w:pStyle w:val="TableParagraph"/>
              <w:spacing w:line="266" w:lineRule="exact"/>
              <w:rPr>
                <w:b/>
                <w:sz w:val="21"/>
              </w:rPr>
            </w:pPr>
            <w:r>
              <w:rPr>
                <w:b/>
                <w:w w:val="99"/>
                <w:sz w:val="21"/>
              </w:rPr>
              <w:t> </w:t>
            </w:r>
          </w:p>
        </w:tc>
        <w:tc>
          <w:tcPr>
            <w:tcW w:w="1836" w:type="dxa"/>
          </w:tcPr>
          <w:p>
            <w:pPr>
              <w:pStyle w:val="TableParagraph"/>
              <w:spacing w:line="266" w:lineRule="exact"/>
              <w:ind w:left="350"/>
              <w:rPr>
                <w:b/>
                <w:sz w:val="21"/>
              </w:rPr>
            </w:pPr>
            <w:r>
              <w:rPr>
                <w:b/>
                <w:sz w:val="21"/>
              </w:rPr>
              <w:t>14. 双目失明</w:t>
            </w:r>
            <w:r>
              <w:rPr>
                <w:b/>
                <w:w w:val="99"/>
                <w:sz w:val="21"/>
              </w:rPr>
              <w:t> </w:t>
            </w:r>
          </w:p>
        </w:tc>
        <w:tc>
          <w:tcPr>
            <w:tcW w:w="7687" w:type="dxa"/>
          </w:tcPr>
          <w:p>
            <w:pPr>
              <w:pStyle w:val="TableParagraph"/>
              <w:spacing w:line="302" w:lineRule="auto"/>
              <w:ind w:left="113" w:right="304"/>
              <w:rPr>
                <w:sz w:val="21"/>
              </w:rPr>
            </w:pPr>
            <w:r>
              <w:rPr>
                <w:spacing w:val="-9"/>
                <w:sz w:val="21"/>
              </w:rPr>
              <w:t>指因疾病或意外伤害导致双眼视力永久不可逆性丧失，双眼中较好眼须满足下列</w:t>
            </w:r>
            <w:r>
              <w:rPr>
                <w:spacing w:val="-7"/>
                <w:sz w:val="21"/>
              </w:rPr>
              <w:t>至少一项条件：</w:t>
            </w:r>
            <w:r>
              <w:rPr>
                <w:spacing w:val="-5"/>
                <w:sz w:val="21"/>
              </w:rPr>
              <w:t> </w:t>
            </w:r>
            <w:r>
              <w:rPr>
                <w:sz w:val="21"/>
              </w:rPr>
              <w:t> </w:t>
            </w:r>
          </w:p>
          <w:p>
            <w:pPr>
              <w:pStyle w:val="TableParagraph"/>
              <w:spacing w:before="20"/>
              <w:ind w:left="113"/>
              <w:rPr>
                <w:sz w:val="21"/>
              </w:rPr>
            </w:pPr>
            <w:r>
              <w:rPr>
                <w:sz w:val="21"/>
              </w:rPr>
              <w:t>（1）眼球缺失或摘除； </w:t>
            </w:r>
          </w:p>
          <w:p>
            <w:pPr>
              <w:pStyle w:val="TableParagraph"/>
              <w:spacing w:line="297" w:lineRule="auto" w:before="70"/>
              <w:ind w:left="113" w:right="303"/>
              <w:rPr>
                <w:sz w:val="21"/>
              </w:rPr>
            </w:pPr>
            <w:r>
              <w:rPr>
                <w:spacing w:val="-4"/>
                <w:sz w:val="21"/>
              </w:rPr>
              <w:t>（2）</w:t>
            </w:r>
            <w:r>
              <w:rPr>
                <w:spacing w:val="-5"/>
                <w:sz w:val="21"/>
              </w:rPr>
              <w:t>矫正视力低于 </w:t>
            </w:r>
            <w:r>
              <w:rPr>
                <w:spacing w:val="-3"/>
                <w:sz w:val="21"/>
              </w:rPr>
              <w:t>0.02（</w:t>
            </w:r>
            <w:r>
              <w:rPr>
                <w:spacing w:val="-5"/>
                <w:sz w:val="21"/>
              </w:rPr>
              <w:t>采用国际标准视力表，如果使用其它视力表应进行换</w:t>
            </w:r>
            <w:r>
              <w:rPr>
                <w:spacing w:val="-5"/>
                <w:w w:val="100"/>
                <w:sz w:val="21"/>
              </w:rPr>
              <w:t>算</w:t>
            </w:r>
            <w:r>
              <w:rPr>
                <w:spacing w:val="-106"/>
                <w:w w:val="100"/>
                <w:sz w:val="21"/>
              </w:rPr>
              <w:t>）</w:t>
            </w:r>
            <w:r>
              <w:rPr>
                <w:spacing w:val="-5"/>
                <w:w w:val="100"/>
                <w:sz w:val="21"/>
              </w:rPr>
              <w:t>；</w:t>
            </w:r>
            <w:r>
              <w:rPr>
                <w:w w:val="100"/>
                <w:sz w:val="21"/>
              </w:rPr>
              <w:t> </w:t>
            </w:r>
          </w:p>
          <w:p>
            <w:pPr>
              <w:pStyle w:val="TableParagraph"/>
              <w:spacing w:before="20"/>
              <w:ind w:left="113"/>
              <w:rPr>
                <w:sz w:val="21"/>
              </w:rPr>
            </w:pPr>
            <w:r>
              <w:rPr>
                <w:sz w:val="21"/>
              </w:rPr>
              <w:t>（3）视野半径小于 5 度。 </w:t>
            </w:r>
          </w:p>
        </w:tc>
      </w:tr>
      <w:tr>
        <w:trPr>
          <w:trHeight w:val="343" w:hRule="atLeast"/>
        </w:trPr>
        <w:tc>
          <w:tcPr>
            <w:tcW w:w="656" w:type="dxa"/>
          </w:tcPr>
          <w:p>
            <w:pPr>
              <w:pStyle w:val="TableParagraph"/>
              <w:spacing w:line="266" w:lineRule="exact"/>
              <w:rPr>
                <w:b/>
                <w:sz w:val="21"/>
              </w:rPr>
            </w:pPr>
            <w:r>
              <w:rPr>
                <w:b/>
                <w:w w:val="99"/>
                <w:sz w:val="21"/>
              </w:rPr>
              <w:t> </w:t>
            </w:r>
          </w:p>
        </w:tc>
        <w:tc>
          <w:tcPr>
            <w:tcW w:w="1836" w:type="dxa"/>
          </w:tcPr>
          <w:p>
            <w:pPr>
              <w:pStyle w:val="TableParagraph"/>
              <w:spacing w:line="266" w:lineRule="exact"/>
              <w:ind w:left="350"/>
              <w:rPr>
                <w:b/>
                <w:sz w:val="21"/>
              </w:rPr>
            </w:pPr>
            <w:r>
              <w:rPr>
                <w:b/>
                <w:w w:val="99"/>
                <w:sz w:val="21"/>
              </w:rPr>
              <w:t> </w:t>
            </w:r>
          </w:p>
        </w:tc>
        <w:tc>
          <w:tcPr>
            <w:tcW w:w="7687" w:type="dxa"/>
          </w:tcPr>
          <w:p>
            <w:pPr>
              <w:pStyle w:val="TableParagraph"/>
              <w:spacing w:line="266" w:lineRule="exact"/>
              <w:ind w:left="113"/>
              <w:rPr>
                <w:sz w:val="21"/>
              </w:rPr>
            </w:pPr>
            <w:r>
              <w:rPr>
                <w:w w:val="100"/>
                <w:sz w:val="21"/>
              </w:rPr>
              <w:t> </w:t>
            </w:r>
          </w:p>
        </w:tc>
      </w:tr>
      <w:tr>
        <w:trPr>
          <w:trHeight w:val="1030" w:hRule="atLeast"/>
        </w:trPr>
        <w:tc>
          <w:tcPr>
            <w:tcW w:w="656" w:type="dxa"/>
          </w:tcPr>
          <w:p>
            <w:pPr>
              <w:pStyle w:val="TableParagraph"/>
              <w:spacing w:line="268" w:lineRule="exact"/>
              <w:rPr>
                <w:b/>
                <w:sz w:val="21"/>
              </w:rPr>
            </w:pPr>
            <w:r>
              <w:rPr>
                <w:b/>
                <w:w w:val="99"/>
                <w:sz w:val="21"/>
              </w:rPr>
              <w:t> </w:t>
            </w:r>
          </w:p>
        </w:tc>
        <w:tc>
          <w:tcPr>
            <w:tcW w:w="1836" w:type="dxa"/>
          </w:tcPr>
          <w:p>
            <w:pPr>
              <w:pStyle w:val="TableParagraph"/>
              <w:spacing w:line="268" w:lineRule="exact"/>
              <w:ind w:left="350"/>
              <w:rPr>
                <w:b/>
                <w:sz w:val="21"/>
              </w:rPr>
            </w:pPr>
            <w:r>
              <w:rPr>
                <w:b/>
                <w:sz w:val="21"/>
              </w:rPr>
              <w:t>15. 瘫痪</w:t>
            </w:r>
            <w:r>
              <w:rPr>
                <w:b/>
                <w:w w:val="99"/>
                <w:sz w:val="21"/>
              </w:rPr>
              <w:t> </w:t>
            </w:r>
          </w:p>
        </w:tc>
        <w:tc>
          <w:tcPr>
            <w:tcW w:w="7687" w:type="dxa"/>
          </w:tcPr>
          <w:p>
            <w:pPr>
              <w:pStyle w:val="TableParagraph"/>
              <w:spacing w:line="300" w:lineRule="auto"/>
              <w:ind w:left="113" w:right="302"/>
              <w:jc w:val="both"/>
              <w:rPr>
                <w:sz w:val="21"/>
              </w:rPr>
            </w:pPr>
            <w:r>
              <w:rPr>
                <w:spacing w:val="-8"/>
                <w:sz w:val="21"/>
              </w:rPr>
              <w:t>指因疾病或意外伤害导致两肢或两肢以上肢体机能永久完全丧失。肢体机能永久</w:t>
            </w:r>
            <w:r>
              <w:rPr>
                <w:spacing w:val="-14"/>
                <w:sz w:val="21"/>
              </w:rPr>
              <w:t>完全丧失，指疾病确诊 </w:t>
            </w:r>
            <w:r>
              <w:rPr>
                <w:sz w:val="21"/>
              </w:rPr>
              <w:t>180</w:t>
            </w:r>
            <w:r>
              <w:rPr>
                <w:spacing w:val="-12"/>
                <w:sz w:val="21"/>
              </w:rPr>
              <w:t> 天后或意外伤害发生 </w:t>
            </w:r>
            <w:r>
              <w:rPr>
                <w:sz w:val="21"/>
              </w:rPr>
              <w:t>180</w:t>
            </w:r>
            <w:r>
              <w:rPr>
                <w:spacing w:val="-11"/>
                <w:sz w:val="21"/>
              </w:rPr>
              <w:t> 天后，每肢三大关节中的两</w:t>
            </w:r>
            <w:r>
              <w:rPr>
                <w:spacing w:val="-7"/>
                <w:sz w:val="21"/>
              </w:rPr>
              <w:t>大关节仍然完全僵硬，或不能随意识活动。</w:t>
            </w:r>
            <w:r>
              <w:rPr>
                <w:sz w:val="21"/>
              </w:rPr>
              <w:t> </w:t>
            </w:r>
          </w:p>
        </w:tc>
      </w:tr>
      <w:tr>
        <w:trPr>
          <w:trHeight w:val="343" w:hRule="atLeast"/>
        </w:trPr>
        <w:tc>
          <w:tcPr>
            <w:tcW w:w="656" w:type="dxa"/>
          </w:tcPr>
          <w:p>
            <w:pPr>
              <w:pStyle w:val="TableParagraph"/>
              <w:spacing w:line="266" w:lineRule="exact"/>
              <w:rPr>
                <w:b/>
                <w:sz w:val="21"/>
              </w:rPr>
            </w:pPr>
            <w:r>
              <w:rPr>
                <w:b/>
                <w:w w:val="99"/>
                <w:sz w:val="21"/>
              </w:rPr>
              <w:t> </w:t>
            </w:r>
          </w:p>
        </w:tc>
        <w:tc>
          <w:tcPr>
            <w:tcW w:w="1836" w:type="dxa"/>
          </w:tcPr>
          <w:p>
            <w:pPr>
              <w:pStyle w:val="TableParagraph"/>
              <w:spacing w:line="266" w:lineRule="exact"/>
              <w:ind w:left="350"/>
              <w:rPr>
                <w:b/>
                <w:sz w:val="21"/>
              </w:rPr>
            </w:pPr>
            <w:r>
              <w:rPr>
                <w:b/>
                <w:w w:val="99"/>
                <w:sz w:val="21"/>
              </w:rPr>
              <w:t> </w:t>
            </w:r>
          </w:p>
        </w:tc>
        <w:tc>
          <w:tcPr>
            <w:tcW w:w="7687" w:type="dxa"/>
          </w:tcPr>
          <w:p>
            <w:pPr>
              <w:pStyle w:val="TableParagraph"/>
              <w:spacing w:line="266" w:lineRule="exact"/>
              <w:ind w:left="113"/>
              <w:rPr>
                <w:sz w:val="21"/>
              </w:rPr>
            </w:pPr>
            <w:r>
              <w:rPr>
                <w:w w:val="100"/>
                <w:sz w:val="21"/>
              </w:rPr>
              <w:t> </w:t>
            </w:r>
          </w:p>
        </w:tc>
      </w:tr>
      <w:tr>
        <w:trPr>
          <w:trHeight w:val="686" w:hRule="atLeast"/>
        </w:trPr>
        <w:tc>
          <w:tcPr>
            <w:tcW w:w="656" w:type="dxa"/>
          </w:tcPr>
          <w:p>
            <w:pPr>
              <w:pStyle w:val="TableParagraph"/>
              <w:spacing w:line="268" w:lineRule="exact"/>
              <w:rPr>
                <w:b/>
                <w:sz w:val="21"/>
              </w:rPr>
            </w:pPr>
            <w:r>
              <w:rPr>
                <w:b/>
                <w:w w:val="99"/>
                <w:sz w:val="21"/>
              </w:rPr>
              <w:t> </w:t>
            </w:r>
          </w:p>
        </w:tc>
        <w:tc>
          <w:tcPr>
            <w:tcW w:w="1836" w:type="dxa"/>
          </w:tcPr>
          <w:p>
            <w:pPr>
              <w:pStyle w:val="TableParagraph"/>
              <w:spacing w:line="297" w:lineRule="auto"/>
              <w:ind w:left="350" w:right="110"/>
              <w:rPr>
                <w:b/>
                <w:sz w:val="21"/>
              </w:rPr>
            </w:pPr>
            <w:r>
              <w:rPr>
                <w:b/>
                <w:sz w:val="21"/>
              </w:rPr>
              <w:t>16.心脏瓣膜手术</w:t>
            </w:r>
            <w:r>
              <w:rPr>
                <w:b/>
                <w:w w:val="99"/>
                <w:sz w:val="21"/>
              </w:rPr>
              <w:t> </w:t>
            </w:r>
          </w:p>
        </w:tc>
        <w:tc>
          <w:tcPr>
            <w:tcW w:w="7687" w:type="dxa"/>
          </w:tcPr>
          <w:p>
            <w:pPr>
              <w:pStyle w:val="TableParagraph"/>
              <w:spacing w:line="268" w:lineRule="exact"/>
              <w:ind w:left="113"/>
              <w:rPr>
                <w:sz w:val="21"/>
              </w:rPr>
            </w:pPr>
            <w:r>
              <w:rPr>
                <w:sz w:val="21"/>
              </w:rPr>
              <w:t>指为治疗心脏瓣膜疾病，实际实施了开胸进行的心脏瓣膜置换或修复的手术。 </w:t>
            </w:r>
          </w:p>
        </w:tc>
      </w:tr>
      <w:tr>
        <w:trPr>
          <w:trHeight w:val="343" w:hRule="atLeast"/>
        </w:trPr>
        <w:tc>
          <w:tcPr>
            <w:tcW w:w="656" w:type="dxa"/>
          </w:tcPr>
          <w:p>
            <w:pPr>
              <w:pStyle w:val="TableParagraph"/>
              <w:spacing w:line="268" w:lineRule="exact"/>
              <w:rPr>
                <w:b/>
                <w:sz w:val="21"/>
              </w:rPr>
            </w:pPr>
            <w:r>
              <w:rPr>
                <w:b/>
                <w:w w:val="99"/>
                <w:sz w:val="21"/>
              </w:rPr>
              <w:t> </w:t>
            </w:r>
          </w:p>
        </w:tc>
        <w:tc>
          <w:tcPr>
            <w:tcW w:w="1836" w:type="dxa"/>
          </w:tcPr>
          <w:p>
            <w:pPr>
              <w:pStyle w:val="TableParagraph"/>
              <w:spacing w:line="268" w:lineRule="exact"/>
              <w:ind w:left="350"/>
              <w:rPr>
                <w:b/>
                <w:sz w:val="21"/>
              </w:rPr>
            </w:pPr>
            <w:r>
              <w:rPr>
                <w:b/>
                <w:w w:val="99"/>
                <w:sz w:val="21"/>
              </w:rPr>
              <w:t> </w:t>
            </w:r>
          </w:p>
        </w:tc>
        <w:tc>
          <w:tcPr>
            <w:tcW w:w="7687" w:type="dxa"/>
          </w:tcPr>
          <w:p>
            <w:pPr>
              <w:pStyle w:val="TableParagraph"/>
              <w:spacing w:line="268" w:lineRule="exact"/>
              <w:ind w:left="113"/>
              <w:rPr>
                <w:sz w:val="21"/>
              </w:rPr>
            </w:pPr>
            <w:r>
              <w:rPr>
                <w:w w:val="100"/>
                <w:sz w:val="21"/>
              </w:rPr>
              <w:t> </w:t>
            </w:r>
          </w:p>
        </w:tc>
      </w:tr>
      <w:tr>
        <w:trPr>
          <w:trHeight w:val="1716" w:hRule="atLeast"/>
        </w:trPr>
        <w:tc>
          <w:tcPr>
            <w:tcW w:w="656" w:type="dxa"/>
          </w:tcPr>
          <w:p>
            <w:pPr>
              <w:pStyle w:val="TableParagraph"/>
              <w:spacing w:line="266" w:lineRule="exact"/>
              <w:rPr>
                <w:b/>
                <w:sz w:val="21"/>
              </w:rPr>
            </w:pPr>
            <w:r>
              <w:rPr>
                <w:b/>
                <w:w w:val="99"/>
                <w:sz w:val="21"/>
              </w:rPr>
              <w:t> </w:t>
            </w:r>
          </w:p>
        </w:tc>
        <w:tc>
          <w:tcPr>
            <w:tcW w:w="1836" w:type="dxa"/>
          </w:tcPr>
          <w:p>
            <w:pPr>
              <w:pStyle w:val="TableParagraph"/>
              <w:spacing w:line="302" w:lineRule="auto"/>
              <w:ind w:left="350" w:right="215"/>
              <w:rPr>
                <w:b/>
                <w:sz w:val="21"/>
              </w:rPr>
            </w:pPr>
            <w:r>
              <w:rPr>
                <w:b/>
                <w:sz w:val="21"/>
              </w:rPr>
              <w:t>17. 严重阿尔茨海默病</w:t>
            </w:r>
            <w:r>
              <w:rPr>
                <w:b/>
                <w:w w:val="99"/>
                <w:sz w:val="21"/>
              </w:rPr>
              <w:t> </w:t>
            </w:r>
          </w:p>
        </w:tc>
        <w:tc>
          <w:tcPr>
            <w:tcW w:w="7687" w:type="dxa"/>
          </w:tcPr>
          <w:p>
            <w:pPr>
              <w:pStyle w:val="TableParagraph"/>
              <w:spacing w:line="300" w:lineRule="auto"/>
              <w:ind w:left="113" w:right="303"/>
              <w:jc w:val="both"/>
              <w:rPr>
                <w:sz w:val="21"/>
              </w:rPr>
            </w:pPr>
            <w:r>
              <w:rPr>
                <w:spacing w:val="-9"/>
                <w:sz w:val="21"/>
              </w:rPr>
              <w:t>指因大脑进行性、不可逆性改变导致智能严重衰退或丧失，临床表现为明显的认</w:t>
            </w:r>
            <w:r>
              <w:rPr>
                <w:spacing w:val="-13"/>
                <w:sz w:val="21"/>
              </w:rPr>
              <w:t>知能力障碍、行为异常和社交能力减退，其日常生活必须持续受到他人监护。须</w:t>
            </w:r>
            <w:r>
              <w:rPr>
                <w:spacing w:val="-13"/>
                <w:w w:val="100"/>
                <w:sz w:val="21"/>
              </w:rPr>
              <w:t>由头颅断层扫描（CT</w:t>
            </w:r>
            <w:r>
              <w:rPr>
                <w:spacing w:val="-106"/>
                <w:w w:val="100"/>
                <w:sz w:val="21"/>
              </w:rPr>
              <w:t>）</w:t>
            </w:r>
            <w:r>
              <w:rPr>
                <w:spacing w:val="-2"/>
                <w:w w:val="100"/>
                <w:sz w:val="21"/>
              </w:rPr>
              <w:t>、核磁共振检查</w:t>
            </w:r>
            <w:r>
              <w:rPr>
                <w:w w:val="100"/>
                <w:sz w:val="21"/>
              </w:rPr>
              <w:t>（</w:t>
            </w:r>
            <w:r>
              <w:rPr>
                <w:spacing w:val="-5"/>
                <w:w w:val="100"/>
                <w:sz w:val="21"/>
              </w:rPr>
              <w:t>M</w:t>
            </w:r>
            <w:r>
              <w:rPr>
                <w:w w:val="100"/>
                <w:sz w:val="21"/>
              </w:rPr>
              <w:t>RI）</w:t>
            </w:r>
            <w:r>
              <w:rPr>
                <w:spacing w:val="-2"/>
                <w:w w:val="100"/>
                <w:sz w:val="21"/>
              </w:rPr>
              <w:t>或正电子发射断层扫描</w:t>
            </w:r>
            <w:r>
              <w:rPr>
                <w:spacing w:val="0"/>
                <w:w w:val="100"/>
                <w:sz w:val="21"/>
              </w:rPr>
              <w:t>（</w:t>
            </w:r>
            <w:r>
              <w:rPr>
                <w:w w:val="100"/>
                <w:sz w:val="21"/>
              </w:rPr>
              <w:t>PET</w:t>
            </w:r>
            <w:r>
              <w:rPr>
                <w:spacing w:val="-5"/>
                <w:w w:val="100"/>
                <w:sz w:val="21"/>
              </w:rPr>
              <w:t>）等</w:t>
            </w:r>
            <w:r>
              <w:rPr>
                <w:spacing w:val="-9"/>
                <w:sz w:val="21"/>
              </w:rPr>
              <w:t>影像学检查证实，且自主生活能力完全丧失，无法独立完成六项基本日常生活活</w:t>
            </w:r>
            <w:r>
              <w:rPr>
                <w:spacing w:val="-4"/>
                <w:sz w:val="21"/>
              </w:rPr>
              <w:t>动中的三项或三项以上。 </w:t>
            </w:r>
            <w:r>
              <w:rPr>
                <w:rFonts w:ascii="黑体" w:eastAsia="黑体" w:hint="eastAsia"/>
                <w:spacing w:val="-5"/>
                <w:sz w:val="21"/>
              </w:rPr>
              <w:t>神经官能症和精神疾病不在保障范围内。</w:t>
            </w:r>
            <w:r>
              <w:rPr>
                <w:sz w:val="21"/>
              </w:rPr>
              <w:t> </w:t>
            </w:r>
          </w:p>
        </w:tc>
      </w:tr>
      <w:tr>
        <w:trPr>
          <w:trHeight w:val="343" w:hRule="atLeast"/>
        </w:trPr>
        <w:tc>
          <w:tcPr>
            <w:tcW w:w="656" w:type="dxa"/>
          </w:tcPr>
          <w:p>
            <w:pPr>
              <w:pStyle w:val="TableParagraph"/>
              <w:spacing w:line="269" w:lineRule="exact"/>
              <w:rPr>
                <w:b/>
                <w:sz w:val="21"/>
              </w:rPr>
            </w:pPr>
            <w:r>
              <w:rPr>
                <w:b/>
                <w:w w:val="99"/>
                <w:sz w:val="21"/>
              </w:rPr>
              <w:t> </w:t>
            </w:r>
          </w:p>
        </w:tc>
        <w:tc>
          <w:tcPr>
            <w:tcW w:w="1836" w:type="dxa"/>
          </w:tcPr>
          <w:p>
            <w:pPr>
              <w:pStyle w:val="TableParagraph"/>
              <w:spacing w:line="269" w:lineRule="exact"/>
              <w:ind w:left="350"/>
              <w:rPr>
                <w:b/>
                <w:sz w:val="21"/>
              </w:rPr>
            </w:pPr>
            <w:r>
              <w:rPr>
                <w:b/>
                <w:w w:val="99"/>
                <w:sz w:val="21"/>
              </w:rPr>
              <w:t> </w:t>
            </w:r>
          </w:p>
        </w:tc>
        <w:tc>
          <w:tcPr>
            <w:tcW w:w="7687" w:type="dxa"/>
          </w:tcPr>
          <w:p>
            <w:pPr>
              <w:pStyle w:val="TableParagraph"/>
              <w:spacing w:line="269" w:lineRule="exact"/>
              <w:ind w:left="113"/>
              <w:rPr>
                <w:sz w:val="21"/>
              </w:rPr>
            </w:pPr>
            <w:r>
              <w:rPr>
                <w:w w:val="100"/>
                <w:sz w:val="21"/>
              </w:rPr>
              <w:t> </w:t>
            </w:r>
          </w:p>
        </w:tc>
      </w:tr>
      <w:tr>
        <w:trPr>
          <w:trHeight w:val="2746" w:hRule="atLeast"/>
        </w:trPr>
        <w:tc>
          <w:tcPr>
            <w:tcW w:w="656" w:type="dxa"/>
          </w:tcPr>
          <w:p>
            <w:pPr>
              <w:pStyle w:val="TableParagraph"/>
              <w:spacing w:line="266" w:lineRule="exact"/>
              <w:rPr>
                <w:b/>
                <w:sz w:val="21"/>
              </w:rPr>
            </w:pPr>
            <w:r>
              <w:rPr>
                <w:b/>
                <w:w w:val="99"/>
                <w:sz w:val="21"/>
              </w:rPr>
              <w:t> </w:t>
            </w:r>
          </w:p>
        </w:tc>
        <w:tc>
          <w:tcPr>
            <w:tcW w:w="1836" w:type="dxa"/>
          </w:tcPr>
          <w:p>
            <w:pPr>
              <w:pStyle w:val="TableParagraph"/>
              <w:spacing w:line="302" w:lineRule="auto"/>
              <w:ind w:left="350" w:right="215"/>
              <w:rPr>
                <w:b/>
                <w:sz w:val="21"/>
              </w:rPr>
            </w:pPr>
            <w:r>
              <w:rPr>
                <w:b/>
                <w:sz w:val="21"/>
              </w:rPr>
              <w:t>18. 严重脑损伤</w:t>
            </w:r>
            <w:r>
              <w:rPr>
                <w:b/>
                <w:w w:val="99"/>
                <w:sz w:val="21"/>
              </w:rPr>
              <w:t> </w:t>
            </w:r>
          </w:p>
        </w:tc>
        <w:tc>
          <w:tcPr>
            <w:tcW w:w="7687" w:type="dxa"/>
          </w:tcPr>
          <w:p>
            <w:pPr>
              <w:pStyle w:val="TableParagraph"/>
              <w:spacing w:line="300" w:lineRule="auto"/>
              <w:ind w:left="113" w:right="196"/>
              <w:rPr>
                <w:sz w:val="21"/>
              </w:rPr>
            </w:pPr>
            <w:r>
              <w:rPr>
                <w:spacing w:val="-8"/>
                <w:sz w:val="21"/>
              </w:rPr>
              <w:t>指因头部遭受机械性外力，引起脑重要部位损伤，导致神经系统永久性的功能障</w:t>
            </w:r>
            <w:r>
              <w:rPr>
                <w:spacing w:val="-13"/>
                <w:w w:val="100"/>
                <w:sz w:val="21"/>
              </w:rPr>
              <w:t>碍。须由头颅断层扫描</w:t>
            </w:r>
            <w:r>
              <w:rPr>
                <w:spacing w:val="-4"/>
                <w:w w:val="100"/>
                <w:sz w:val="21"/>
              </w:rPr>
              <w:t>（</w:t>
            </w:r>
            <w:r>
              <w:rPr>
                <w:w w:val="100"/>
                <w:sz w:val="21"/>
              </w:rPr>
              <w:t>CT</w:t>
            </w:r>
            <w:r>
              <w:rPr>
                <w:spacing w:val="-106"/>
                <w:w w:val="100"/>
                <w:sz w:val="21"/>
              </w:rPr>
              <w:t>）</w:t>
            </w:r>
            <w:r>
              <w:rPr>
                <w:spacing w:val="-17"/>
                <w:w w:val="100"/>
                <w:sz w:val="21"/>
              </w:rPr>
              <w:t>、核磁共振检查</w:t>
            </w:r>
            <w:r>
              <w:rPr>
                <w:w w:val="100"/>
                <w:sz w:val="21"/>
              </w:rPr>
              <w:t>（</w:t>
            </w:r>
            <w:r>
              <w:rPr>
                <w:spacing w:val="-5"/>
                <w:w w:val="100"/>
                <w:sz w:val="21"/>
              </w:rPr>
              <w:t>M</w:t>
            </w:r>
            <w:r>
              <w:rPr>
                <w:w w:val="100"/>
                <w:sz w:val="21"/>
              </w:rPr>
              <w:t>RI</w:t>
            </w:r>
            <w:r>
              <w:rPr>
                <w:spacing w:val="-53"/>
                <w:w w:val="100"/>
                <w:sz w:val="21"/>
              </w:rPr>
              <w:t>）</w:t>
            </w:r>
            <w:r>
              <w:rPr>
                <w:spacing w:val="-8"/>
                <w:w w:val="100"/>
                <w:sz w:val="21"/>
              </w:rPr>
              <w:t>或正电子发射断层扫描</w:t>
            </w:r>
            <w:r>
              <w:rPr>
                <w:spacing w:val="0"/>
                <w:w w:val="100"/>
                <w:sz w:val="21"/>
              </w:rPr>
              <w:t>（</w:t>
            </w:r>
            <w:r>
              <w:rPr>
                <w:w w:val="100"/>
                <w:sz w:val="21"/>
              </w:rPr>
              <w:t>PET）</w:t>
            </w:r>
            <w:r>
              <w:rPr>
                <w:spacing w:val="-9"/>
                <w:sz w:val="21"/>
              </w:rPr>
              <w:t>等影像学检查证实。神经系统永久性的功能障碍，指脑损伤 </w:t>
            </w:r>
            <w:r>
              <w:rPr>
                <w:sz w:val="21"/>
              </w:rPr>
              <w:t>180</w:t>
            </w:r>
            <w:r>
              <w:rPr>
                <w:spacing w:val="-12"/>
                <w:sz w:val="21"/>
              </w:rPr>
              <w:t> 天后，仍遗留下</w:t>
            </w:r>
            <w:r>
              <w:rPr>
                <w:spacing w:val="-8"/>
                <w:sz w:val="21"/>
              </w:rPr>
              <w:t>列一种或一种以上障碍：</w:t>
            </w:r>
            <w:r>
              <w:rPr>
                <w:sz w:val="21"/>
              </w:rPr>
              <w:t> </w:t>
            </w:r>
          </w:p>
          <w:p>
            <w:pPr>
              <w:pStyle w:val="TableParagraph"/>
              <w:spacing w:before="23"/>
              <w:ind w:left="113"/>
              <w:rPr>
                <w:sz w:val="21"/>
              </w:rPr>
            </w:pPr>
            <w:r>
              <w:rPr>
                <w:sz w:val="21"/>
              </w:rPr>
              <w:t>（1）一肢或一肢以上肢体机能完全丧失； </w:t>
            </w:r>
          </w:p>
          <w:p>
            <w:pPr>
              <w:pStyle w:val="TableParagraph"/>
              <w:spacing w:before="71"/>
              <w:ind w:left="113"/>
              <w:rPr>
                <w:sz w:val="21"/>
              </w:rPr>
            </w:pPr>
            <w:r>
              <w:rPr>
                <w:sz w:val="21"/>
              </w:rPr>
              <w:t>（2）语言能力或咀嚼吞咽能力完全丧失； </w:t>
            </w:r>
          </w:p>
          <w:p>
            <w:pPr>
              <w:pStyle w:val="TableParagraph"/>
              <w:spacing w:line="302" w:lineRule="auto" w:before="66"/>
              <w:ind w:left="113" w:right="302"/>
              <w:rPr>
                <w:sz w:val="21"/>
              </w:rPr>
            </w:pPr>
            <w:r>
              <w:rPr>
                <w:sz w:val="21"/>
              </w:rPr>
              <w:t>（3）自主生活能力完全丧失，无法独立完成六项基本日常生活活动中的三项或三项以上。 </w:t>
            </w:r>
          </w:p>
        </w:tc>
      </w:tr>
      <w:tr>
        <w:trPr>
          <w:trHeight w:val="343" w:hRule="atLeast"/>
        </w:trPr>
        <w:tc>
          <w:tcPr>
            <w:tcW w:w="656" w:type="dxa"/>
          </w:tcPr>
          <w:p>
            <w:pPr>
              <w:pStyle w:val="TableParagraph"/>
              <w:spacing w:line="266" w:lineRule="exact"/>
              <w:rPr>
                <w:b/>
                <w:sz w:val="21"/>
              </w:rPr>
            </w:pPr>
            <w:r>
              <w:rPr>
                <w:b/>
                <w:w w:val="99"/>
                <w:sz w:val="21"/>
              </w:rPr>
              <w:t> </w:t>
            </w:r>
          </w:p>
        </w:tc>
        <w:tc>
          <w:tcPr>
            <w:tcW w:w="1836" w:type="dxa"/>
          </w:tcPr>
          <w:p>
            <w:pPr>
              <w:pStyle w:val="TableParagraph"/>
              <w:spacing w:line="266" w:lineRule="exact"/>
              <w:ind w:left="350"/>
              <w:rPr>
                <w:b/>
                <w:sz w:val="21"/>
              </w:rPr>
            </w:pPr>
            <w:r>
              <w:rPr>
                <w:b/>
                <w:w w:val="99"/>
                <w:sz w:val="21"/>
              </w:rPr>
              <w:t> </w:t>
            </w:r>
          </w:p>
        </w:tc>
        <w:tc>
          <w:tcPr>
            <w:tcW w:w="7687" w:type="dxa"/>
          </w:tcPr>
          <w:p>
            <w:pPr>
              <w:pStyle w:val="TableParagraph"/>
              <w:spacing w:line="266" w:lineRule="exact"/>
              <w:ind w:left="113"/>
              <w:rPr>
                <w:sz w:val="21"/>
              </w:rPr>
            </w:pPr>
            <w:r>
              <w:rPr>
                <w:w w:val="100"/>
                <w:sz w:val="21"/>
              </w:rPr>
              <w:t> </w:t>
            </w:r>
          </w:p>
        </w:tc>
      </w:tr>
      <w:tr>
        <w:trPr>
          <w:trHeight w:val="1992" w:hRule="atLeast"/>
        </w:trPr>
        <w:tc>
          <w:tcPr>
            <w:tcW w:w="656" w:type="dxa"/>
          </w:tcPr>
          <w:p>
            <w:pPr>
              <w:pStyle w:val="TableParagraph"/>
              <w:spacing w:line="268" w:lineRule="exact"/>
              <w:rPr>
                <w:b/>
                <w:sz w:val="21"/>
              </w:rPr>
            </w:pPr>
            <w:r>
              <w:rPr>
                <w:b/>
                <w:w w:val="99"/>
                <w:sz w:val="21"/>
              </w:rPr>
              <w:t> </w:t>
            </w:r>
          </w:p>
        </w:tc>
        <w:tc>
          <w:tcPr>
            <w:tcW w:w="1836" w:type="dxa"/>
          </w:tcPr>
          <w:p>
            <w:pPr>
              <w:pStyle w:val="TableParagraph"/>
              <w:spacing w:line="297" w:lineRule="auto"/>
              <w:ind w:left="350" w:right="215"/>
              <w:rPr>
                <w:b/>
                <w:sz w:val="21"/>
              </w:rPr>
            </w:pPr>
            <w:r>
              <w:rPr>
                <w:b/>
                <w:sz w:val="21"/>
              </w:rPr>
              <w:t>19. 严重帕金森病</w:t>
            </w:r>
            <w:r>
              <w:rPr>
                <w:b/>
                <w:w w:val="99"/>
                <w:sz w:val="21"/>
              </w:rPr>
              <w:t> </w:t>
            </w:r>
          </w:p>
        </w:tc>
        <w:tc>
          <w:tcPr>
            <w:tcW w:w="7687" w:type="dxa"/>
          </w:tcPr>
          <w:p>
            <w:pPr>
              <w:pStyle w:val="TableParagraph"/>
              <w:spacing w:line="297" w:lineRule="auto"/>
              <w:ind w:left="113" w:right="304"/>
              <w:rPr>
                <w:sz w:val="21"/>
              </w:rPr>
            </w:pPr>
            <w:r>
              <w:rPr>
                <w:spacing w:val="-7"/>
                <w:sz w:val="21"/>
              </w:rPr>
              <w:t>是一种中枢神经系统的退行性疾病，临床表现为震颤麻痹、共济失调等。须满足</w:t>
            </w:r>
            <w:r>
              <w:rPr>
                <w:spacing w:val="-6"/>
                <w:sz w:val="21"/>
              </w:rPr>
              <w:t>下列全部条件：</w:t>
            </w:r>
            <w:r>
              <w:rPr>
                <w:sz w:val="21"/>
              </w:rPr>
              <w:t> </w:t>
            </w:r>
          </w:p>
          <w:p>
            <w:pPr>
              <w:pStyle w:val="TableParagraph"/>
              <w:spacing w:before="27"/>
              <w:ind w:left="113"/>
              <w:rPr>
                <w:sz w:val="21"/>
              </w:rPr>
            </w:pPr>
            <w:r>
              <w:rPr>
                <w:sz w:val="21"/>
              </w:rPr>
              <w:t>（1）药物治疗无法控制病情； </w:t>
            </w:r>
          </w:p>
          <w:p>
            <w:pPr>
              <w:pStyle w:val="TableParagraph"/>
              <w:spacing w:line="302" w:lineRule="auto" w:before="66"/>
              <w:ind w:left="113" w:right="323"/>
              <w:rPr>
                <w:sz w:val="21"/>
              </w:rPr>
            </w:pPr>
            <w:r>
              <w:rPr>
                <w:sz w:val="21"/>
              </w:rPr>
              <w:t>（2）自主生活能力完全丧失，无法独立完成六项基本日常生活活动中的三项或三项以上。 </w:t>
            </w:r>
          </w:p>
          <w:p>
            <w:pPr>
              <w:pStyle w:val="TableParagraph"/>
              <w:spacing w:line="265" w:lineRule="exact" w:before="11"/>
              <w:ind w:left="113"/>
              <w:rPr>
                <w:sz w:val="21"/>
              </w:rPr>
            </w:pPr>
            <w:r>
              <w:rPr>
                <w:rFonts w:ascii="黑体" w:eastAsia="黑体" w:hint="eastAsia"/>
                <w:sz w:val="21"/>
              </w:rPr>
              <w:t>继发性帕金森综合征不在保障范围内。</w:t>
            </w:r>
            <w:r>
              <w:rPr>
                <w:sz w:val="21"/>
              </w:rPr>
              <w:t> </w:t>
            </w:r>
          </w:p>
        </w:tc>
      </w:tr>
    </w:tbl>
    <w:p>
      <w:pPr>
        <w:spacing w:after="0" w:line="265" w:lineRule="exact"/>
        <w:rPr>
          <w:sz w:val="21"/>
        </w:rPr>
        <w:sectPr>
          <w:pgSz w:w="11910" w:h="16840"/>
          <w:pgMar w:header="0" w:footer="915" w:top="1500" w:bottom="1100" w:left="80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834"/>
        <w:gridCol w:w="7690"/>
      </w:tblGrid>
      <w:tr>
        <w:trPr>
          <w:trHeight w:val="276" w:hRule="atLeast"/>
        </w:trPr>
        <w:tc>
          <w:tcPr>
            <w:tcW w:w="656" w:type="dxa"/>
          </w:tcPr>
          <w:p>
            <w:pPr>
              <w:pStyle w:val="TableParagraph"/>
              <w:spacing w:line="201" w:lineRule="exact"/>
              <w:rPr>
                <w:b/>
                <w:sz w:val="21"/>
              </w:rPr>
            </w:pPr>
            <w:r>
              <w:rPr>
                <w:b/>
                <w:w w:val="99"/>
                <w:sz w:val="21"/>
              </w:rPr>
              <w:t> </w:t>
            </w:r>
          </w:p>
        </w:tc>
        <w:tc>
          <w:tcPr>
            <w:tcW w:w="1834" w:type="dxa"/>
          </w:tcPr>
          <w:p>
            <w:pPr>
              <w:pStyle w:val="TableParagraph"/>
              <w:spacing w:line="201" w:lineRule="exact"/>
              <w:ind w:left="350"/>
              <w:rPr>
                <w:b/>
                <w:sz w:val="21"/>
              </w:rPr>
            </w:pPr>
            <w:r>
              <w:rPr>
                <w:b/>
                <w:w w:val="99"/>
                <w:sz w:val="21"/>
              </w:rPr>
              <w:t> </w:t>
            </w:r>
          </w:p>
        </w:tc>
        <w:tc>
          <w:tcPr>
            <w:tcW w:w="7690" w:type="dxa"/>
          </w:tcPr>
          <w:p>
            <w:pPr>
              <w:pStyle w:val="TableParagraph"/>
              <w:spacing w:line="201" w:lineRule="exact"/>
              <w:ind w:left="115"/>
              <w:rPr>
                <w:sz w:val="21"/>
              </w:rPr>
            </w:pPr>
            <w:r>
              <w:rPr>
                <w:w w:val="100"/>
                <w:sz w:val="21"/>
              </w:rPr>
              <w:t> </w:t>
            </w:r>
          </w:p>
        </w:tc>
      </w:tr>
      <w:tr>
        <w:trPr>
          <w:trHeight w:val="686" w:hRule="atLeast"/>
        </w:trPr>
        <w:tc>
          <w:tcPr>
            <w:tcW w:w="656" w:type="dxa"/>
          </w:tcPr>
          <w:p>
            <w:pPr>
              <w:pStyle w:val="TableParagraph"/>
              <w:spacing w:line="266" w:lineRule="exact"/>
              <w:rPr>
                <w:b/>
                <w:sz w:val="21"/>
              </w:rPr>
            </w:pPr>
            <w:r>
              <w:rPr>
                <w:b/>
                <w:w w:val="99"/>
                <w:sz w:val="21"/>
              </w:rPr>
              <w:t> </w:t>
            </w:r>
          </w:p>
        </w:tc>
        <w:tc>
          <w:tcPr>
            <w:tcW w:w="1834" w:type="dxa"/>
          </w:tcPr>
          <w:p>
            <w:pPr>
              <w:pStyle w:val="TableParagraph"/>
              <w:spacing w:line="302" w:lineRule="auto"/>
              <w:ind w:left="350" w:right="213"/>
              <w:rPr>
                <w:b/>
                <w:sz w:val="21"/>
              </w:rPr>
            </w:pPr>
            <w:r>
              <w:rPr>
                <w:b/>
                <w:sz w:val="21"/>
              </w:rPr>
              <w:t>20. 严重Ⅲ度烧伤</w:t>
            </w:r>
            <w:r>
              <w:rPr>
                <w:b/>
                <w:w w:val="99"/>
                <w:sz w:val="21"/>
              </w:rPr>
              <w:t> </w:t>
            </w:r>
          </w:p>
        </w:tc>
        <w:tc>
          <w:tcPr>
            <w:tcW w:w="7690" w:type="dxa"/>
          </w:tcPr>
          <w:p>
            <w:pPr>
              <w:pStyle w:val="TableParagraph"/>
              <w:spacing w:line="302" w:lineRule="auto"/>
              <w:ind w:left="115" w:right="321"/>
              <w:rPr>
                <w:sz w:val="21"/>
              </w:rPr>
            </w:pPr>
            <w:r>
              <w:rPr>
                <w:spacing w:val="-6"/>
                <w:sz w:val="21"/>
              </w:rPr>
              <w:t>指烧伤程度为Ⅲ度，且Ⅲ度烧伤面积达到全身体表面积的 </w:t>
            </w:r>
            <w:r>
              <w:rPr>
                <w:sz w:val="21"/>
              </w:rPr>
              <w:t>20％</w:t>
            </w:r>
            <w:r>
              <w:rPr>
                <w:spacing w:val="-20"/>
                <w:sz w:val="21"/>
              </w:rPr>
              <w:t>或 </w:t>
            </w:r>
            <w:r>
              <w:rPr>
                <w:sz w:val="21"/>
              </w:rPr>
              <w:t>20％</w:t>
            </w:r>
            <w:r>
              <w:rPr>
                <w:spacing w:val="-2"/>
                <w:sz w:val="21"/>
              </w:rPr>
              <w:t>以上。体</w:t>
            </w:r>
            <w:r>
              <w:rPr>
                <w:spacing w:val="-3"/>
                <w:sz w:val="21"/>
              </w:rPr>
              <w:t>表面积根据 《中国新九分法》计算。</w:t>
            </w:r>
            <w:r>
              <w:rPr>
                <w:sz w:val="21"/>
              </w:rPr>
              <w:t> </w:t>
            </w:r>
          </w:p>
        </w:tc>
      </w:tr>
      <w:tr>
        <w:trPr>
          <w:trHeight w:val="343" w:hRule="atLeast"/>
        </w:trPr>
        <w:tc>
          <w:tcPr>
            <w:tcW w:w="656" w:type="dxa"/>
          </w:tcPr>
          <w:p>
            <w:pPr>
              <w:pStyle w:val="TableParagraph"/>
              <w:spacing w:line="266" w:lineRule="exact"/>
              <w:rPr>
                <w:b/>
                <w:sz w:val="21"/>
              </w:rPr>
            </w:pPr>
            <w:r>
              <w:rPr>
                <w:b/>
                <w:w w:val="99"/>
                <w:sz w:val="21"/>
              </w:rPr>
              <w:t> </w:t>
            </w:r>
          </w:p>
        </w:tc>
        <w:tc>
          <w:tcPr>
            <w:tcW w:w="1834" w:type="dxa"/>
          </w:tcPr>
          <w:p>
            <w:pPr>
              <w:pStyle w:val="TableParagraph"/>
              <w:spacing w:line="266" w:lineRule="exact"/>
              <w:ind w:left="350"/>
              <w:rPr>
                <w:b/>
                <w:sz w:val="21"/>
              </w:rPr>
            </w:pPr>
            <w:r>
              <w:rPr>
                <w:b/>
                <w:w w:val="99"/>
                <w:sz w:val="21"/>
              </w:rPr>
              <w:t> </w:t>
            </w:r>
          </w:p>
        </w:tc>
        <w:tc>
          <w:tcPr>
            <w:tcW w:w="7690" w:type="dxa"/>
          </w:tcPr>
          <w:p>
            <w:pPr>
              <w:pStyle w:val="TableParagraph"/>
              <w:spacing w:line="266" w:lineRule="exact"/>
              <w:ind w:left="115"/>
              <w:rPr>
                <w:sz w:val="21"/>
              </w:rPr>
            </w:pPr>
            <w:r>
              <w:rPr>
                <w:w w:val="100"/>
                <w:sz w:val="21"/>
              </w:rPr>
              <w:t> </w:t>
            </w:r>
          </w:p>
        </w:tc>
      </w:tr>
      <w:tr>
        <w:trPr>
          <w:trHeight w:val="1029" w:hRule="atLeast"/>
        </w:trPr>
        <w:tc>
          <w:tcPr>
            <w:tcW w:w="656" w:type="dxa"/>
          </w:tcPr>
          <w:p>
            <w:pPr>
              <w:pStyle w:val="TableParagraph"/>
              <w:spacing w:line="268" w:lineRule="exact"/>
              <w:rPr>
                <w:b/>
                <w:sz w:val="21"/>
              </w:rPr>
            </w:pPr>
            <w:r>
              <w:rPr>
                <w:b/>
                <w:w w:val="99"/>
                <w:sz w:val="21"/>
              </w:rPr>
              <w:t> </w:t>
            </w:r>
          </w:p>
        </w:tc>
        <w:tc>
          <w:tcPr>
            <w:tcW w:w="1834" w:type="dxa"/>
          </w:tcPr>
          <w:p>
            <w:pPr>
              <w:pStyle w:val="TableParagraph"/>
              <w:spacing w:line="297" w:lineRule="auto"/>
              <w:ind w:left="350" w:right="112"/>
              <w:rPr>
                <w:b/>
                <w:sz w:val="21"/>
              </w:rPr>
            </w:pPr>
            <w:r>
              <w:rPr>
                <w:b/>
                <w:sz w:val="21"/>
              </w:rPr>
              <w:t>21. 严重原发性肺动脉高压</w:t>
            </w:r>
            <w:r>
              <w:rPr>
                <w:b/>
                <w:w w:val="99"/>
                <w:sz w:val="21"/>
              </w:rPr>
              <w:t> </w:t>
            </w:r>
          </w:p>
        </w:tc>
        <w:tc>
          <w:tcPr>
            <w:tcW w:w="7690" w:type="dxa"/>
          </w:tcPr>
          <w:p>
            <w:pPr>
              <w:pStyle w:val="TableParagraph"/>
              <w:spacing w:line="297" w:lineRule="auto"/>
              <w:ind w:left="115" w:right="304"/>
              <w:rPr>
                <w:sz w:val="21"/>
              </w:rPr>
            </w:pPr>
            <w:r>
              <w:rPr>
                <w:spacing w:val="-8"/>
                <w:sz w:val="21"/>
              </w:rPr>
              <w:t>指不明原因的肺动脉压力持续性增高，进行性发展而导致的慢性疾病，已经造成</w:t>
            </w:r>
            <w:r>
              <w:rPr>
                <w:spacing w:val="-6"/>
                <w:sz w:val="21"/>
              </w:rPr>
              <w:t>永久不可逆性的体力活动能力受限，达到美国纽约心脏病学会心功能状态分级</w:t>
            </w:r>
          </w:p>
          <w:p>
            <w:pPr>
              <w:pStyle w:val="TableParagraph"/>
              <w:spacing w:before="27"/>
              <w:ind w:left="115"/>
              <w:rPr>
                <w:sz w:val="21"/>
              </w:rPr>
            </w:pPr>
            <w:r>
              <w:rPr>
                <w:sz w:val="21"/>
              </w:rPr>
              <w:t>IV 级，且静息状态下肺动脉平均压超过 30mmHg。 </w:t>
            </w:r>
          </w:p>
        </w:tc>
      </w:tr>
      <w:tr>
        <w:trPr>
          <w:trHeight w:val="343" w:hRule="atLeast"/>
        </w:trPr>
        <w:tc>
          <w:tcPr>
            <w:tcW w:w="656" w:type="dxa"/>
          </w:tcPr>
          <w:p>
            <w:pPr>
              <w:pStyle w:val="TableParagraph"/>
              <w:spacing w:line="266" w:lineRule="exact"/>
              <w:rPr>
                <w:b/>
                <w:sz w:val="21"/>
              </w:rPr>
            </w:pPr>
            <w:r>
              <w:rPr>
                <w:b/>
                <w:w w:val="99"/>
                <w:sz w:val="21"/>
              </w:rPr>
              <w:t> </w:t>
            </w:r>
          </w:p>
        </w:tc>
        <w:tc>
          <w:tcPr>
            <w:tcW w:w="1834" w:type="dxa"/>
          </w:tcPr>
          <w:p>
            <w:pPr>
              <w:pStyle w:val="TableParagraph"/>
              <w:spacing w:line="266" w:lineRule="exact"/>
              <w:ind w:left="350"/>
              <w:rPr>
                <w:b/>
                <w:sz w:val="21"/>
              </w:rPr>
            </w:pPr>
            <w:r>
              <w:rPr>
                <w:b/>
                <w:w w:val="99"/>
                <w:sz w:val="21"/>
              </w:rPr>
              <w:t> </w:t>
            </w:r>
          </w:p>
        </w:tc>
        <w:tc>
          <w:tcPr>
            <w:tcW w:w="7690" w:type="dxa"/>
          </w:tcPr>
          <w:p>
            <w:pPr>
              <w:pStyle w:val="TableParagraph"/>
              <w:spacing w:line="266" w:lineRule="exact"/>
              <w:ind w:left="115"/>
              <w:rPr>
                <w:sz w:val="21"/>
              </w:rPr>
            </w:pPr>
            <w:r>
              <w:rPr>
                <w:w w:val="100"/>
                <w:sz w:val="21"/>
              </w:rPr>
              <w:t> </w:t>
            </w:r>
          </w:p>
        </w:tc>
      </w:tr>
      <w:tr>
        <w:trPr>
          <w:trHeight w:val="1030" w:hRule="atLeast"/>
        </w:trPr>
        <w:tc>
          <w:tcPr>
            <w:tcW w:w="656" w:type="dxa"/>
          </w:tcPr>
          <w:p>
            <w:pPr>
              <w:pStyle w:val="TableParagraph"/>
              <w:spacing w:line="268" w:lineRule="exact"/>
              <w:rPr>
                <w:b/>
                <w:sz w:val="21"/>
              </w:rPr>
            </w:pPr>
            <w:r>
              <w:rPr>
                <w:b/>
                <w:w w:val="99"/>
                <w:sz w:val="21"/>
              </w:rPr>
              <w:t> </w:t>
            </w:r>
          </w:p>
        </w:tc>
        <w:tc>
          <w:tcPr>
            <w:tcW w:w="1834" w:type="dxa"/>
          </w:tcPr>
          <w:p>
            <w:pPr>
              <w:pStyle w:val="TableParagraph"/>
              <w:spacing w:line="297" w:lineRule="auto"/>
              <w:ind w:left="350" w:right="213"/>
              <w:rPr>
                <w:b/>
                <w:sz w:val="21"/>
              </w:rPr>
            </w:pPr>
            <w:r>
              <w:rPr>
                <w:b/>
                <w:sz w:val="21"/>
              </w:rPr>
              <w:t>22. 严重运动神经元病</w:t>
            </w:r>
            <w:r>
              <w:rPr>
                <w:b/>
                <w:w w:val="99"/>
                <w:sz w:val="21"/>
              </w:rPr>
              <w:t> </w:t>
            </w:r>
          </w:p>
        </w:tc>
        <w:tc>
          <w:tcPr>
            <w:tcW w:w="7690" w:type="dxa"/>
          </w:tcPr>
          <w:p>
            <w:pPr>
              <w:pStyle w:val="TableParagraph"/>
              <w:spacing w:line="300" w:lineRule="auto"/>
              <w:ind w:left="115" w:right="201"/>
              <w:jc w:val="both"/>
              <w:rPr>
                <w:sz w:val="21"/>
              </w:rPr>
            </w:pPr>
            <w:r>
              <w:rPr>
                <w:spacing w:val="-9"/>
                <w:sz w:val="21"/>
              </w:rPr>
              <w:t>是一组中枢神经系统运动神经元的进行性变性疾病，包括进行性脊肌萎缩症、进</w:t>
            </w:r>
            <w:r>
              <w:rPr>
                <w:spacing w:val="-12"/>
                <w:sz w:val="21"/>
              </w:rPr>
              <w:t>行性延髓麻痹症、原发性侧索硬化症、肌萎缩性侧索硬化症。须满足自主生活能</w:t>
            </w:r>
            <w:r>
              <w:rPr>
                <w:spacing w:val="-11"/>
                <w:sz w:val="21"/>
              </w:rPr>
              <w:t>力完全丧失，无法独立完成六项基本日常生活活动中的三项或三项以上的条件。</w:t>
            </w:r>
            <w:r>
              <w:rPr>
                <w:sz w:val="21"/>
              </w:rPr>
              <w:t> </w:t>
            </w:r>
          </w:p>
        </w:tc>
      </w:tr>
      <w:tr>
        <w:trPr>
          <w:trHeight w:val="343" w:hRule="atLeast"/>
        </w:trPr>
        <w:tc>
          <w:tcPr>
            <w:tcW w:w="656" w:type="dxa"/>
          </w:tcPr>
          <w:p>
            <w:pPr>
              <w:pStyle w:val="TableParagraph"/>
              <w:spacing w:line="266" w:lineRule="exact"/>
              <w:rPr>
                <w:b/>
                <w:sz w:val="21"/>
              </w:rPr>
            </w:pPr>
            <w:r>
              <w:rPr>
                <w:b/>
                <w:w w:val="99"/>
                <w:sz w:val="21"/>
              </w:rPr>
              <w:t> </w:t>
            </w:r>
          </w:p>
        </w:tc>
        <w:tc>
          <w:tcPr>
            <w:tcW w:w="1834" w:type="dxa"/>
          </w:tcPr>
          <w:p>
            <w:pPr>
              <w:pStyle w:val="TableParagraph"/>
              <w:spacing w:line="266" w:lineRule="exact"/>
              <w:ind w:left="350"/>
              <w:rPr>
                <w:b/>
                <w:sz w:val="21"/>
              </w:rPr>
            </w:pPr>
            <w:r>
              <w:rPr>
                <w:b/>
                <w:w w:val="99"/>
                <w:sz w:val="21"/>
              </w:rPr>
              <w:t> </w:t>
            </w:r>
          </w:p>
        </w:tc>
        <w:tc>
          <w:tcPr>
            <w:tcW w:w="7690" w:type="dxa"/>
          </w:tcPr>
          <w:p>
            <w:pPr>
              <w:pStyle w:val="TableParagraph"/>
              <w:spacing w:line="266" w:lineRule="exact"/>
              <w:ind w:left="115"/>
              <w:rPr>
                <w:sz w:val="21"/>
              </w:rPr>
            </w:pPr>
            <w:r>
              <w:rPr>
                <w:w w:val="100"/>
                <w:sz w:val="21"/>
              </w:rPr>
              <w:t> </w:t>
            </w:r>
          </w:p>
        </w:tc>
      </w:tr>
      <w:tr>
        <w:trPr>
          <w:trHeight w:val="1030" w:hRule="atLeast"/>
        </w:trPr>
        <w:tc>
          <w:tcPr>
            <w:tcW w:w="656" w:type="dxa"/>
          </w:tcPr>
          <w:p>
            <w:pPr>
              <w:pStyle w:val="TableParagraph"/>
              <w:spacing w:line="268" w:lineRule="exact"/>
              <w:rPr>
                <w:b/>
                <w:sz w:val="21"/>
              </w:rPr>
            </w:pPr>
            <w:r>
              <w:rPr>
                <w:b/>
                <w:w w:val="99"/>
                <w:sz w:val="21"/>
              </w:rPr>
              <w:t> </w:t>
            </w:r>
          </w:p>
        </w:tc>
        <w:tc>
          <w:tcPr>
            <w:tcW w:w="1834" w:type="dxa"/>
          </w:tcPr>
          <w:p>
            <w:pPr>
              <w:pStyle w:val="TableParagraph"/>
              <w:spacing w:line="297" w:lineRule="auto"/>
              <w:ind w:left="350" w:right="213"/>
              <w:rPr>
                <w:b/>
                <w:sz w:val="21"/>
              </w:rPr>
            </w:pPr>
            <w:r>
              <w:rPr>
                <w:b/>
                <w:sz w:val="21"/>
              </w:rPr>
              <w:t>23. 语言能力丧失</w:t>
            </w:r>
            <w:r>
              <w:rPr>
                <w:b/>
                <w:w w:val="99"/>
                <w:sz w:val="21"/>
              </w:rPr>
              <w:t> </w:t>
            </w:r>
          </w:p>
        </w:tc>
        <w:tc>
          <w:tcPr>
            <w:tcW w:w="7690" w:type="dxa"/>
          </w:tcPr>
          <w:p>
            <w:pPr>
              <w:pStyle w:val="TableParagraph"/>
              <w:spacing w:line="297" w:lineRule="auto"/>
              <w:ind w:left="115" w:right="321"/>
              <w:rPr>
                <w:sz w:val="21"/>
              </w:rPr>
            </w:pPr>
            <w:r>
              <w:rPr>
                <w:spacing w:val="-6"/>
                <w:sz w:val="21"/>
              </w:rPr>
              <w:t>指因疾病或意外伤害导致完全丧失语言能力，经过积极治疗至少 </w:t>
            </w:r>
            <w:r>
              <w:rPr>
                <w:spacing w:val="-3"/>
                <w:sz w:val="21"/>
              </w:rPr>
              <w:t>12</w:t>
            </w:r>
            <w:r>
              <w:rPr>
                <w:spacing w:val="-12"/>
                <w:sz w:val="21"/>
              </w:rPr>
              <w:t> 个月</w:t>
            </w:r>
            <w:r>
              <w:rPr>
                <w:spacing w:val="-5"/>
                <w:sz w:val="21"/>
              </w:rPr>
              <w:t>（</w:t>
            </w:r>
            <w:r>
              <w:rPr>
                <w:sz w:val="21"/>
              </w:rPr>
              <w:t>声带</w:t>
            </w:r>
            <w:r>
              <w:rPr>
                <w:spacing w:val="-2"/>
                <w:w w:val="100"/>
                <w:sz w:val="21"/>
              </w:rPr>
              <w:t>完全切除不受此时间限制</w:t>
            </w:r>
            <w:r>
              <w:rPr>
                <w:spacing w:val="-106"/>
                <w:w w:val="100"/>
                <w:sz w:val="21"/>
              </w:rPr>
              <w:t>）</w:t>
            </w:r>
            <w:r>
              <w:rPr>
                <w:spacing w:val="-5"/>
                <w:w w:val="100"/>
                <w:sz w:val="21"/>
              </w:rPr>
              <w:t>，仍无法通过现有医疗手段恢复。</w:t>
            </w:r>
            <w:r>
              <w:rPr>
                <w:w w:val="100"/>
                <w:sz w:val="21"/>
              </w:rPr>
              <w:t> </w:t>
            </w:r>
          </w:p>
          <w:p>
            <w:pPr>
              <w:pStyle w:val="TableParagraph"/>
              <w:spacing w:before="27"/>
              <w:ind w:left="115"/>
              <w:rPr>
                <w:sz w:val="21"/>
              </w:rPr>
            </w:pPr>
            <w:r>
              <w:rPr>
                <w:rFonts w:ascii="黑体" w:eastAsia="黑体" w:hint="eastAsia"/>
                <w:sz w:val="21"/>
              </w:rPr>
              <w:t>精神心理因素所致的语言能力丧失不在保障范围内。</w:t>
            </w:r>
            <w:r>
              <w:rPr>
                <w:sz w:val="21"/>
              </w:rPr>
              <w:t> </w:t>
            </w:r>
          </w:p>
        </w:tc>
      </w:tr>
      <w:tr>
        <w:trPr>
          <w:trHeight w:val="343" w:hRule="atLeast"/>
        </w:trPr>
        <w:tc>
          <w:tcPr>
            <w:tcW w:w="656" w:type="dxa"/>
          </w:tcPr>
          <w:p>
            <w:pPr>
              <w:pStyle w:val="TableParagraph"/>
              <w:spacing w:line="266" w:lineRule="exact"/>
              <w:rPr>
                <w:b/>
                <w:sz w:val="21"/>
              </w:rPr>
            </w:pPr>
            <w:r>
              <w:rPr>
                <w:b/>
                <w:w w:val="99"/>
                <w:sz w:val="21"/>
              </w:rPr>
              <w:t> </w:t>
            </w:r>
          </w:p>
        </w:tc>
        <w:tc>
          <w:tcPr>
            <w:tcW w:w="1834" w:type="dxa"/>
          </w:tcPr>
          <w:p>
            <w:pPr>
              <w:pStyle w:val="TableParagraph"/>
              <w:spacing w:line="266" w:lineRule="exact"/>
              <w:ind w:left="350"/>
              <w:rPr>
                <w:b/>
                <w:sz w:val="21"/>
              </w:rPr>
            </w:pPr>
            <w:r>
              <w:rPr>
                <w:b/>
                <w:w w:val="99"/>
                <w:sz w:val="21"/>
              </w:rPr>
              <w:t> </w:t>
            </w:r>
          </w:p>
        </w:tc>
        <w:tc>
          <w:tcPr>
            <w:tcW w:w="7690" w:type="dxa"/>
          </w:tcPr>
          <w:p>
            <w:pPr>
              <w:pStyle w:val="TableParagraph"/>
              <w:spacing w:line="266" w:lineRule="exact"/>
              <w:ind w:left="115"/>
              <w:rPr>
                <w:sz w:val="21"/>
              </w:rPr>
            </w:pPr>
            <w:r>
              <w:rPr>
                <w:w w:val="100"/>
                <w:sz w:val="21"/>
              </w:rPr>
              <w:t> </w:t>
            </w:r>
          </w:p>
        </w:tc>
      </w:tr>
      <w:tr>
        <w:trPr>
          <w:trHeight w:val="2402" w:hRule="atLeast"/>
        </w:trPr>
        <w:tc>
          <w:tcPr>
            <w:tcW w:w="656" w:type="dxa"/>
          </w:tcPr>
          <w:p>
            <w:pPr>
              <w:pStyle w:val="TableParagraph"/>
              <w:spacing w:line="268" w:lineRule="exact"/>
              <w:rPr>
                <w:b/>
                <w:sz w:val="21"/>
              </w:rPr>
            </w:pPr>
            <w:r>
              <w:rPr>
                <w:b/>
                <w:w w:val="99"/>
                <w:sz w:val="21"/>
              </w:rPr>
              <w:t> </w:t>
            </w:r>
          </w:p>
        </w:tc>
        <w:tc>
          <w:tcPr>
            <w:tcW w:w="1834" w:type="dxa"/>
          </w:tcPr>
          <w:p>
            <w:pPr>
              <w:pStyle w:val="TableParagraph"/>
              <w:spacing w:line="297" w:lineRule="auto"/>
              <w:ind w:left="350" w:right="213"/>
              <w:rPr>
                <w:b/>
                <w:sz w:val="21"/>
              </w:rPr>
            </w:pPr>
            <w:r>
              <w:rPr>
                <w:b/>
                <w:sz w:val="21"/>
              </w:rPr>
              <w:t>24. 重型再生障碍性贫血</w:t>
            </w:r>
            <w:r>
              <w:rPr>
                <w:b/>
                <w:w w:val="99"/>
                <w:sz w:val="21"/>
              </w:rPr>
              <w:t> </w:t>
            </w:r>
          </w:p>
        </w:tc>
        <w:tc>
          <w:tcPr>
            <w:tcW w:w="7690" w:type="dxa"/>
          </w:tcPr>
          <w:p>
            <w:pPr>
              <w:pStyle w:val="TableParagraph"/>
              <w:spacing w:line="297" w:lineRule="auto"/>
              <w:ind w:left="115" w:right="219"/>
              <w:rPr>
                <w:sz w:val="21"/>
              </w:rPr>
            </w:pPr>
            <w:r>
              <w:rPr>
                <w:sz w:val="21"/>
              </w:rPr>
              <w:t>指因骨髓造血功能慢性持续性衰竭导致的贫血、中性粒细胞减少及血小板减少， 须满足以下全部条件： </w:t>
            </w:r>
          </w:p>
          <w:p>
            <w:pPr>
              <w:pStyle w:val="TableParagraph"/>
              <w:spacing w:before="27"/>
              <w:ind w:left="115"/>
              <w:rPr>
                <w:sz w:val="21"/>
              </w:rPr>
            </w:pPr>
            <w:r>
              <w:rPr>
                <w:sz w:val="21"/>
              </w:rPr>
              <w:t>（1）骨髓穿刺检查或骨髓活检结果支持诊断； </w:t>
            </w:r>
          </w:p>
          <w:p>
            <w:pPr>
              <w:pStyle w:val="TableParagraph"/>
              <w:spacing w:before="66"/>
              <w:ind w:left="115"/>
              <w:rPr>
                <w:sz w:val="21"/>
              </w:rPr>
            </w:pPr>
            <w:r>
              <w:rPr>
                <w:sz w:val="21"/>
              </w:rPr>
              <w:t>（2）外周血象必须具备以下三项条件： </w:t>
            </w:r>
          </w:p>
          <w:p>
            <w:pPr>
              <w:pStyle w:val="TableParagraph"/>
              <w:spacing w:before="70"/>
              <w:ind w:left="538"/>
              <w:rPr>
                <w:sz w:val="21"/>
              </w:rPr>
            </w:pPr>
            <w:r>
              <w:rPr>
                <w:sz w:val="21"/>
              </w:rPr>
              <w:t>① 中性粒细胞绝对值≤0.5×10</w:t>
            </w:r>
            <w:r>
              <w:rPr>
                <w:b/>
                <w:position w:val="11"/>
                <w:sz w:val="11"/>
              </w:rPr>
              <w:t>9</w:t>
            </w:r>
            <w:r>
              <w:rPr>
                <w:sz w:val="21"/>
              </w:rPr>
              <w:t>/L ； </w:t>
            </w:r>
          </w:p>
          <w:p>
            <w:pPr>
              <w:pStyle w:val="TableParagraph"/>
              <w:spacing w:before="65"/>
              <w:ind w:left="538"/>
              <w:rPr>
                <w:sz w:val="21"/>
              </w:rPr>
            </w:pPr>
            <w:r>
              <w:rPr>
                <w:sz w:val="21"/>
              </w:rPr>
              <w:t>② 网织红细胞＜1%； </w:t>
            </w:r>
          </w:p>
          <w:p>
            <w:pPr>
              <w:pStyle w:val="TableParagraph"/>
              <w:spacing w:before="70"/>
              <w:ind w:left="538"/>
              <w:rPr>
                <w:sz w:val="21"/>
              </w:rPr>
            </w:pPr>
            <w:r>
              <w:rPr>
                <w:sz w:val="21"/>
              </w:rPr>
              <w:t>③ 血小板绝对值≤20×10</w:t>
            </w:r>
            <w:r>
              <w:rPr>
                <w:b/>
                <w:position w:val="11"/>
                <w:sz w:val="11"/>
              </w:rPr>
              <w:t>9</w:t>
            </w:r>
            <w:r>
              <w:rPr>
                <w:sz w:val="21"/>
              </w:rPr>
              <w:t>/L。 </w:t>
            </w:r>
          </w:p>
        </w:tc>
      </w:tr>
      <w:tr>
        <w:trPr>
          <w:trHeight w:val="343" w:hRule="atLeast"/>
        </w:trPr>
        <w:tc>
          <w:tcPr>
            <w:tcW w:w="656" w:type="dxa"/>
          </w:tcPr>
          <w:p>
            <w:pPr>
              <w:pStyle w:val="TableParagraph"/>
              <w:spacing w:line="266" w:lineRule="exact"/>
              <w:rPr>
                <w:b/>
                <w:sz w:val="21"/>
              </w:rPr>
            </w:pPr>
            <w:r>
              <w:rPr>
                <w:b/>
                <w:w w:val="99"/>
                <w:sz w:val="21"/>
              </w:rPr>
              <w:t> </w:t>
            </w:r>
          </w:p>
        </w:tc>
        <w:tc>
          <w:tcPr>
            <w:tcW w:w="1834" w:type="dxa"/>
          </w:tcPr>
          <w:p>
            <w:pPr>
              <w:pStyle w:val="TableParagraph"/>
              <w:spacing w:line="266" w:lineRule="exact"/>
              <w:ind w:left="350"/>
              <w:rPr>
                <w:b/>
                <w:sz w:val="21"/>
              </w:rPr>
            </w:pPr>
            <w:r>
              <w:rPr>
                <w:b/>
                <w:w w:val="99"/>
                <w:sz w:val="21"/>
              </w:rPr>
              <w:t> </w:t>
            </w:r>
          </w:p>
        </w:tc>
        <w:tc>
          <w:tcPr>
            <w:tcW w:w="7690" w:type="dxa"/>
          </w:tcPr>
          <w:p>
            <w:pPr>
              <w:pStyle w:val="TableParagraph"/>
              <w:spacing w:line="266" w:lineRule="exact"/>
              <w:ind w:left="115"/>
              <w:rPr>
                <w:sz w:val="21"/>
              </w:rPr>
            </w:pPr>
            <w:r>
              <w:rPr>
                <w:w w:val="100"/>
                <w:sz w:val="21"/>
              </w:rPr>
              <w:t> </w:t>
            </w:r>
          </w:p>
        </w:tc>
      </w:tr>
      <w:tr>
        <w:trPr>
          <w:trHeight w:val="1372" w:hRule="atLeast"/>
        </w:trPr>
        <w:tc>
          <w:tcPr>
            <w:tcW w:w="656" w:type="dxa"/>
          </w:tcPr>
          <w:p>
            <w:pPr>
              <w:pStyle w:val="TableParagraph"/>
              <w:spacing w:line="269" w:lineRule="exact"/>
              <w:rPr>
                <w:b/>
                <w:sz w:val="21"/>
              </w:rPr>
            </w:pPr>
            <w:r>
              <w:rPr>
                <w:b/>
                <w:w w:val="99"/>
                <w:sz w:val="21"/>
              </w:rPr>
              <w:t> </w:t>
            </w:r>
          </w:p>
        </w:tc>
        <w:tc>
          <w:tcPr>
            <w:tcW w:w="1834" w:type="dxa"/>
          </w:tcPr>
          <w:p>
            <w:pPr>
              <w:pStyle w:val="TableParagraph"/>
              <w:spacing w:line="297" w:lineRule="auto"/>
              <w:ind w:left="350" w:right="213"/>
              <w:rPr>
                <w:b/>
                <w:sz w:val="21"/>
              </w:rPr>
            </w:pPr>
            <w:r>
              <w:rPr>
                <w:b/>
                <w:sz w:val="21"/>
              </w:rPr>
              <w:t>25. 主动脉手术</w:t>
            </w:r>
            <w:r>
              <w:rPr>
                <w:b/>
                <w:w w:val="99"/>
                <w:sz w:val="21"/>
              </w:rPr>
              <w:t> </w:t>
            </w:r>
          </w:p>
        </w:tc>
        <w:tc>
          <w:tcPr>
            <w:tcW w:w="7690" w:type="dxa"/>
          </w:tcPr>
          <w:p>
            <w:pPr>
              <w:pStyle w:val="TableParagraph"/>
              <w:spacing w:line="300" w:lineRule="auto"/>
              <w:ind w:left="115" w:right="303"/>
              <w:jc w:val="both"/>
              <w:rPr>
                <w:sz w:val="21"/>
              </w:rPr>
            </w:pPr>
            <w:r>
              <w:rPr>
                <w:spacing w:val="-7"/>
                <w:sz w:val="21"/>
              </w:rPr>
              <w:t>指为治疗主动脉疾病，实际实施了开胸或开腹进行的切除、置换、修补病损主动</w:t>
            </w:r>
            <w:r>
              <w:rPr>
                <w:spacing w:val="-12"/>
                <w:sz w:val="21"/>
              </w:rPr>
              <w:t>脉血管的手术。主动脉指胸主动脉和腹主动脉，不包括胸主动脉和腹主动脉的分</w:t>
            </w:r>
            <w:r>
              <w:rPr>
                <w:spacing w:val="-11"/>
                <w:sz w:val="21"/>
              </w:rPr>
              <w:t>支血管。</w:t>
            </w:r>
            <w:r>
              <w:rPr>
                <w:sz w:val="21"/>
              </w:rPr>
              <w:t> </w:t>
            </w:r>
          </w:p>
          <w:p>
            <w:pPr>
              <w:pStyle w:val="TableParagraph"/>
              <w:spacing w:before="19"/>
              <w:ind w:left="115"/>
              <w:jc w:val="both"/>
              <w:rPr>
                <w:sz w:val="21"/>
              </w:rPr>
            </w:pPr>
            <w:r>
              <w:rPr>
                <w:rFonts w:ascii="黑体" w:eastAsia="黑体" w:hint="eastAsia"/>
                <w:sz w:val="21"/>
              </w:rPr>
              <w:t>动脉内血管成形术不在保障范围内。</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834" w:type="dxa"/>
          </w:tcPr>
          <w:p>
            <w:pPr>
              <w:pStyle w:val="TableParagraph"/>
              <w:spacing w:line="268" w:lineRule="exact"/>
              <w:ind w:left="350"/>
              <w:rPr>
                <w:b/>
                <w:sz w:val="21"/>
              </w:rPr>
            </w:pPr>
            <w:r>
              <w:rPr>
                <w:b/>
                <w:w w:val="99"/>
                <w:sz w:val="21"/>
              </w:rPr>
              <w:t> </w:t>
            </w:r>
          </w:p>
        </w:tc>
        <w:tc>
          <w:tcPr>
            <w:tcW w:w="7690" w:type="dxa"/>
          </w:tcPr>
          <w:p>
            <w:pPr>
              <w:pStyle w:val="TableParagraph"/>
              <w:spacing w:line="268" w:lineRule="exact"/>
              <w:ind w:left="115"/>
              <w:rPr>
                <w:sz w:val="21"/>
              </w:rPr>
            </w:pPr>
            <w:r>
              <w:rPr>
                <w:w w:val="100"/>
                <w:sz w:val="21"/>
              </w:rPr>
              <w:t> </w:t>
            </w:r>
          </w:p>
        </w:tc>
      </w:tr>
      <w:tr>
        <w:trPr>
          <w:trHeight w:val="1029" w:hRule="atLeast"/>
        </w:trPr>
        <w:tc>
          <w:tcPr>
            <w:tcW w:w="656" w:type="dxa"/>
          </w:tcPr>
          <w:p>
            <w:pPr>
              <w:pStyle w:val="TableParagraph"/>
              <w:spacing w:line="266" w:lineRule="exact"/>
              <w:rPr>
                <w:b/>
                <w:sz w:val="21"/>
              </w:rPr>
            </w:pPr>
            <w:r>
              <w:rPr>
                <w:b/>
                <w:w w:val="99"/>
                <w:sz w:val="21"/>
              </w:rPr>
              <w:t> </w:t>
            </w:r>
          </w:p>
        </w:tc>
        <w:tc>
          <w:tcPr>
            <w:tcW w:w="1834" w:type="dxa"/>
          </w:tcPr>
          <w:p>
            <w:pPr>
              <w:pStyle w:val="TableParagraph"/>
              <w:spacing w:line="302" w:lineRule="auto"/>
              <w:ind w:left="350" w:right="213"/>
              <w:rPr>
                <w:b/>
                <w:sz w:val="21"/>
              </w:rPr>
            </w:pPr>
            <w:r>
              <w:rPr>
                <w:b/>
                <w:sz w:val="21"/>
              </w:rPr>
              <w:t>26. 严重克隆病</w:t>
            </w:r>
            <w:r>
              <w:rPr>
                <w:b/>
                <w:w w:val="99"/>
                <w:sz w:val="21"/>
              </w:rPr>
              <w:t> </w:t>
            </w:r>
          </w:p>
        </w:tc>
        <w:tc>
          <w:tcPr>
            <w:tcW w:w="7690" w:type="dxa"/>
          </w:tcPr>
          <w:p>
            <w:pPr>
              <w:pStyle w:val="TableParagraph"/>
              <w:spacing w:line="300" w:lineRule="auto"/>
              <w:ind w:left="115" w:right="305"/>
              <w:jc w:val="both"/>
              <w:rPr>
                <w:sz w:val="21"/>
              </w:rPr>
            </w:pPr>
            <w:r>
              <w:rPr>
                <w:spacing w:val="-8"/>
                <w:sz w:val="21"/>
              </w:rPr>
              <w:t>克隆病是一种慢性肉芽肿性肠炎，具有特征性的克隆病病理组织学变化。诊断必</w:t>
            </w:r>
            <w:r>
              <w:rPr>
                <w:spacing w:val="-13"/>
                <w:sz w:val="21"/>
              </w:rPr>
              <w:t>须由病理检查结果证实。被保险人所患的克隆病必须已经造成瘘管形成并伴有肠</w:t>
            </w:r>
            <w:r>
              <w:rPr>
                <w:spacing w:val="-10"/>
                <w:sz w:val="21"/>
              </w:rPr>
              <w:t>梗阻或肠穿孔。</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834" w:type="dxa"/>
          </w:tcPr>
          <w:p>
            <w:pPr>
              <w:pStyle w:val="TableParagraph"/>
              <w:spacing w:line="268" w:lineRule="exact"/>
              <w:ind w:left="350"/>
              <w:rPr>
                <w:b/>
                <w:sz w:val="21"/>
              </w:rPr>
            </w:pPr>
            <w:r>
              <w:rPr>
                <w:b/>
                <w:w w:val="99"/>
                <w:sz w:val="21"/>
              </w:rPr>
              <w:t> </w:t>
            </w:r>
          </w:p>
        </w:tc>
        <w:tc>
          <w:tcPr>
            <w:tcW w:w="7690" w:type="dxa"/>
          </w:tcPr>
          <w:p>
            <w:pPr>
              <w:pStyle w:val="TableParagraph"/>
              <w:spacing w:line="268" w:lineRule="exact"/>
              <w:ind w:left="115"/>
              <w:rPr>
                <w:sz w:val="21"/>
              </w:rPr>
            </w:pPr>
            <w:r>
              <w:rPr>
                <w:w w:val="100"/>
                <w:sz w:val="21"/>
              </w:rPr>
              <w:t> </w:t>
            </w:r>
          </w:p>
        </w:tc>
      </w:tr>
      <w:tr>
        <w:trPr>
          <w:trHeight w:val="1716" w:hRule="atLeast"/>
        </w:trPr>
        <w:tc>
          <w:tcPr>
            <w:tcW w:w="656" w:type="dxa"/>
          </w:tcPr>
          <w:p>
            <w:pPr>
              <w:pStyle w:val="TableParagraph"/>
              <w:spacing w:line="266" w:lineRule="exact"/>
              <w:rPr>
                <w:b/>
                <w:sz w:val="21"/>
              </w:rPr>
            </w:pPr>
            <w:r>
              <w:rPr>
                <w:b/>
                <w:w w:val="99"/>
                <w:sz w:val="21"/>
              </w:rPr>
              <w:t> </w:t>
            </w:r>
          </w:p>
        </w:tc>
        <w:tc>
          <w:tcPr>
            <w:tcW w:w="1834" w:type="dxa"/>
          </w:tcPr>
          <w:p>
            <w:pPr>
              <w:pStyle w:val="TableParagraph"/>
              <w:spacing w:line="302" w:lineRule="auto"/>
              <w:ind w:left="350" w:right="213"/>
              <w:rPr>
                <w:b/>
                <w:sz w:val="21"/>
              </w:rPr>
            </w:pPr>
            <w:r>
              <w:rPr>
                <w:b/>
                <w:sz w:val="21"/>
              </w:rPr>
              <w:t>27. 多发性硬化</w:t>
            </w:r>
            <w:r>
              <w:rPr>
                <w:b/>
                <w:w w:val="99"/>
                <w:sz w:val="21"/>
              </w:rPr>
              <w:t> </w:t>
            </w:r>
          </w:p>
        </w:tc>
        <w:tc>
          <w:tcPr>
            <w:tcW w:w="7690" w:type="dxa"/>
          </w:tcPr>
          <w:p>
            <w:pPr>
              <w:pStyle w:val="TableParagraph"/>
              <w:spacing w:line="302" w:lineRule="auto"/>
              <w:ind w:left="115" w:right="305"/>
              <w:rPr>
                <w:sz w:val="21"/>
              </w:rPr>
            </w:pPr>
            <w:r>
              <w:rPr>
                <w:spacing w:val="-9"/>
                <w:sz w:val="21"/>
              </w:rPr>
              <w:t>被保险人因脑及脊髓内的脱髓鞘病变而出现神经系统多灶性</w:t>
            </w:r>
            <w:r>
              <w:rPr>
                <w:sz w:val="21"/>
              </w:rPr>
              <w:t>（多发性</w:t>
            </w:r>
            <w:r>
              <w:rPr>
                <w:spacing w:val="-101"/>
                <w:sz w:val="21"/>
              </w:rPr>
              <w:t>）</w:t>
            </w:r>
            <w:r>
              <w:rPr>
                <w:spacing w:val="-36"/>
                <w:sz w:val="21"/>
              </w:rPr>
              <w:t>多时相</w:t>
            </w:r>
            <w:r>
              <w:rPr>
                <w:sz w:val="21"/>
              </w:rPr>
              <w:t>（至</w:t>
            </w:r>
            <w:r>
              <w:rPr>
                <w:spacing w:val="-17"/>
                <w:sz w:val="21"/>
              </w:rPr>
              <w:t>少 </w:t>
            </w:r>
            <w:r>
              <w:rPr>
                <w:sz w:val="21"/>
              </w:rPr>
              <w:t>6</w:t>
            </w:r>
            <w:r>
              <w:rPr>
                <w:spacing w:val="-9"/>
                <w:sz w:val="21"/>
              </w:rPr>
              <w:t> 个月以内有一次以上</w:t>
            </w:r>
            <w:r>
              <w:rPr>
                <w:sz w:val="21"/>
              </w:rPr>
              <w:t>（</w:t>
            </w:r>
            <w:r>
              <w:rPr>
                <w:spacing w:val="-3"/>
                <w:sz w:val="21"/>
              </w:rPr>
              <w:t>不包含一次</w:t>
            </w:r>
            <w:r>
              <w:rPr>
                <w:spacing w:val="-20"/>
                <w:sz w:val="21"/>
              </w:rPr>
              <w:t>）</w:t>
            </w:r>
            <w:r>
              <w:rPr>
                <w:spacing w:val="-2"/>
                <w:sz w:val="21"/>
              </w:rPr>
              <w:t>的发作</w:t>
            </w:r>
            <w:r>
              <w:rPr>
                <w:spacing w:val="-20"/>
                <w:sz w:val="21"/>
              </w:rPr>
              <w:t>）</w:t>
            </w:r>
            <w:r>
              <w:rPr>
                <w:spacing w:val="-6"/>
                <w:sz w:val="21"/>
              </w:rPr>
              <w:t>的病变，须由计算机断层扫描</w:t>
            </w:r>
          </w:p>
          <w:p>
            <w:pPr>
              <w:pStyle w:val="TableParagraph"/>
              <w:spacing w:line="300" w:lineRule="auto" w:before="20"/>
              <w:ind w:left="115" w:right="197"/>
              <w:rPr>
                <w:sz w:val="21"/>
              </w:rPr>
            </w:pPr>
            <w:r>
              <w:rPr>
                <w:w w:val="100"/>
                <w:sz w:val="21"/>
              </w:rPr>
              <w:t>（CT</w:t>
            </w:r>
            <w:r>
              <w:rPr>
                <w:spacing w:val="-106"/>
                <w:w w:val="100"/>
                <w:sz w:val="21"/>
              </w:rPr>
              <w:t>）</w:t>
            </w:r>
            <w:r>
              <w:rPr>
                <w:spacing w:val="-8"/>
                <w:w w:val="100"/>
                <w:sz w:val="21"/>
              </w:rPr>
              <w:t>、核磁共振检查</w:t>
            </w:r>
            <w:r>
              <w:rPr>
                <w:spacing w:val="0"/>
                <w:w w:val="100"/>
                <w:sz w:val="21"/>
              </w:rPr>
              <w:t>（</w:t>
            </w:r>
            <w:r>
              <w:rPr>
                <w:w w:val="100"/>
                <w:sz w:val="21"/>
              </w:rPr>
              <w:t>MRI</w:t>
            </w:r>
            <w:r>
              <w:rPr>
                <w:spacing w:val="-20"/>
                <w:w w:val="100"/>
                <w:sz w:val="21"/>
              </w:rPr>
              <w:t>）</w:t>
            </w:r>
            <w:r>
              <w:rPr>
                <w:spacing w:val="-7"/>
                <w:w w:val="100"/>
                <w:sz w:val="21"/>
              </w:rPr>
              <w:t>或正电子发射断层扫描</w:t>
            </w:r>
            <w:r>
              <w:rPr>
                <w:spacing w:val="0"/>
                <w:w w:val="100"/>
                <w:sz w:val="21"/>
              </w:rPr>
              <w:t>（</w:t>
            </w:r>
            <w:r>
              <w:rPr>
                <w:w w:val="100"/>
                <w:sz w:val="21"/>
              </w:rPr>
              <w:t>PET</w:t>
            </w:r>
            <w:r>
              <w:rPr>
                <w:spacing w:val="-20"/>
                <w:w w:val="100"/>
                <w:sz w:val="21"/>
              </w:rPr>
              <w:t>）</w:t>
            </w:r>
            <w:r>
              <w:rPr>
                <w:spacing w:val="-1"/>
                <w:w w:val="100"/>
                <w:sz w:val="21"/>
              </w:rPr>
              <w:t>等影像学检查证实，</w:t>
            </w:r>
            <w:r>
              <w:rPr>
                <w:spacing w:val="-10"/>
                <w:sz w:val="21"/>
              </w:rPr>
              <w:t>且已经造成自主生活能力完全丧失，无法独立完成六项基本日常生活活动中的三项或三项以上，持续至少 </w:t>
            </w:r>
            <w:r>
              <w:rPr>
                <w:sz w:val="21"/>
              </w:rPr>
              <w:t>180</w:t>
            </w:r>
            <w:r>
              <w:rPr>
                <w:spacing w:val="-19"/>
                <w:sz w:val="21"/>
              </w:rPr>
              <w:t> 天。</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834" w:type="dxa"/>
          </w:tcPr>
          <w:p>
            <w:pPr>
              <w:pStyle w:val="TableParagraph"/>
              <w:spacing w:line="268" w:lineRule="exact"/>
              <w:ind w:left="350"/>
              <w:rPr>
                <w:b/>
                <w:sz w:val="21"/>
              </w:rPr>
            </w:pPr>
            <w:r>
              <w:rPr>
                <w:b/>
                <w:w w:val="99"/>
                <w:sz w:val="21"/>
              </w:rPr>
              <w:t> </w:t>
            </w:r>
          </w:p>
        </w:tc>
        <w:tc>
          <w:tcPr>
            <w:tcW w:w="7690" w:type="dxa"/>
          </w:tcPr>
          <w:p>
            <w:pPr>
              <w:pStyle w:val="TableParagraph"/>
              <w:spacing w:line="268" w:lineRule="exact"/>
              <w:ind w:left="115"/>
              <w:rPr>
                <w:sz w:val="21"/>
              </w:rPr>
            </w:pPr>
            <w:r>
              <w:rPr>
                <w:w w:val="100"/>
                <w:sz w:val="21"/>
              </w:rPr>
              <w:t> </w:t>
            </w:r>
          </w:p>
        </w:tc>
      </w:tr>
      <w:tr>
        <w:trPr>
          <w:trHeight w:val="276" w:hRule="atLeast"/>
        </w:trPr>
        <w:tc>
          <w:tcPr>
            <w:tcW w:w="656" w:type="dxa"/>
          </w:tcPr>
          <w:p>
            <w:pPr>
              <w:pStyle w:val="TableParagraph"/>
              <w:spacing w:line="256" w:lineRule="exact"/>
              <w:rPr>
                <w:b/>
                <w:sz w:val="21"/>
              </w:rPr>
            </w:pPr>
            <w:r>
              <w:rPr>
                <w:b/>
                <w:w w:val="99"/>
                <w:sz w:val="21"/>
              </w:rPr>
              <w:t> </w:t>
            </w:r>
          </w:p>
        </w:tc>
        <w:tc>
          <w:tcPr>
            <w:tcW w:w="1834" w:type="dxa"/>
          </w:tcPr>
          <w:p>
            <w:pPr>
              <w:pStyle w:val="TableParagraph"/>
              <w:spacing w:line="256" w:lineRule="exact"/>
              <w:ind w:left="350"/>
              <w:rPr>
                <w:b/>
                <w:sz w:val="21"/>
              </w:rPr>
            </w:pPr>
            <w:r>
              <w:rPr>
                <w:b/>
                <w:sz w:val="21"/>
              </w:rPr>
              <w:t>28. 重症肌无</w:t>
            </w:r>
          </w:p>
        </w:tc>
        <w:tc>
          <w:tcPr>
            <w:tcW w:w="7690" w:type="dxa"/>
          </w:tcPr>
          <w:p>
            <w:pPr>
              <w:pStyle w:val="TableParagraph"/>
              <w:spacing w:line="256" w:lineRule="exact"/>
              <w:ind w:left="115"/>
              <w:rPr>
                <w:sz w:val="21"/>
              </w:rPr>
            </w:pPr>
            <w:r>
              <w:rPr>
                <w:sz w:val="21"/>
              </w:rPr>
              <w:t>是指一种神经与肌肉接头部位传递障碍的自身免疫性疾病，临床特征是局部或全</w:t>
            </w:r>
          </w:p>
        </w:tc>
      </w:tr>
    </w:tbl>
    <w:p>
      <w:pPr>
        <w:spacing w:after="0" w:line="256" w:lineRule="exact"/>
        <w:rPr>
          <w:sz w:val="21"/>
        </w:rPr>
        <w:sectPr>
          <w:pgSz w:w="11910" w:h="16840"/>
          <w:pgMar w:header="0" w:footer="915" w:top="1500" w:bottom="1100" w:left="80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889"/>
        <w:gridCol w:w="7613"/>
      </w:tblGrid>
      <w:tr>
        <w:trPr>
          <w:trHeight w:val="2678" w:hRule="atLeast"/>
        </w:trPr>
        <w:tc>
          <w:tcPr>
            <w:tcW w:w="656" w:type="dxa"/>
          </w:tcPr>
          <w:p>
            <w:pPr>
              <w:pStyle w:val="TableParagraph"/>
              <w:ind w:left="0"/>
              <w:rPr>
                <w:rFonts w:ascii="Times New Roman"/>
                <w:sz w:val="20"/>
              </w:rPr>
            </w:pPr>
          </w:p>
        </w:tc>
        <w:tc>
          <w:tcPr>
            <w:tcW w:w="1889" w:type="dxa"/>
          </w:tcPr>
          <w:p>
            <w:pPr>
              <w:pStyle w:val="TableParagraph"/>
              <w:spacing w:line="201" w:lineRule="exact"/>
              <w:ind w:left="350"/>
              <w:rPr>
                <w:b/>
                <w:sz w:val="21"/>
              </w:rPr>
            </w:pPr>
            <w:r>
              <w:rPr>
                <w:b/>
                <w:sz w:val="21"/>
              </w:rPr>
              <w:t>力</w:t>
            </w:r>
            <w:r>
              <w:rPr>
                <w:b/>
                <w:w w:val="99"/>
                <w:sz w:val="21"/>
              </w:rPr>
              <w:t> </w:t>
            </w:r>
          </w:p>
        </w:tc>
        <w:tc>
          <w:tcPr>
            <w:tcW w:w="7613" w:type="dxa"/>
          </w:tcPr>
          <w:p>
            <w:pPr>
              <w:pStyle w:val="TableParagraph"/>
              <w:spacing w:line="201" w:lineRule="exact"/>
              <w:ind w:left="60"/>
              <w:rPr>
                <w:sz w:val="21"/>
              </w:rPr>
            </w:pPr>
            <w:r>
              <w:rPr>
                <w:sz w:val="21"/>
              </w:rPr>
              <w:t>身横纹肌于活动时易于疲劳无力，颅神经眼外肌最易累及，也可涉及呼吸肌、下</w:t>
            </w:r>
          </w:p>
          <w:p>
            <w:pPr>
              <w:pStyle w:val="TableParagraph"/>
              <w:spacing w:line="302" w:lineRule="auto" w:before="66"/>
              <w:ind w:left="60" w:right="283"/>
              <w:rPr>
                <w:sz w:val="21"/>
              </w:rPr>
            </w:pPr>
            <w:r>
              <w:rPr>
                <w:spacing w:val="-8"/>
                <w:sz w:val="21"/>
              </w:rPr>
              <w:t>肢近端肌群以至全身肌肉，须经本公司认可的神经科医师确诊。其诊断必须同时</w:t>
            </w:r>
            <w:r>
              <w:rPr>
                <w:spacing w:val="-7"/>
                <w:sz w:val="21"/>
              </w:rPr>
              <w:t>具有下列情况：</w:t>
            </w:r>
            <w:r>
              <w:rPr>
                <w:sz w:val="21"/>
              </w:rPr>
              <w:t> </w:t>
            </w:r>
          </w:p>
          <w:p>
            <w:pPr>
              <w:pStyle w:val="TableParagraph"/>
              <w:spacing w:before="12"/>
              <w:ind w:left="60"/>
              <w:rPr>
                <w:sz w:val="21"/>
              </w:rPr>
            </w:pPr>
            <w:r>
              <w:rPr>
                <w:sz w:val="21"/>
              </w:rPr>
              <w:t>（1）经药物、胸腺手术治疗一年以上无法控制病情，丧失正常工作能力； </w:t>
            </w:r>
          </w:p>
          <w:p>
            <w:pPr>
              <w:pStyle w:val="TableParagraph"/>
              <w:spacing w:line="297" w:lineRule="auto" w:before="70"/>
              <w:ind w:left="60" w:right="281"/>
              <w:rPr>
                <w:sz w:val="21"/>
              </w:rPr>
            </w:pPr>
            <w:r>
              <w:rPr>
                <w:spacing w:val="-10"/>
                <w:sz w:val="21"/>
              </w:rPr>
              <w:t>（2）</w:t>
            </w:r>
            <w:r>
              <w:rPr>
                <w:spacing w:val="-9"/>
                <w:sz w:val="21"/>
              </w:rPr>
              <w:t>出现眼睑下垂，或延髓肌受累引起的构音困难、进食呛咳,或由于肌无力累</w:t>
            </w:r>
            <w:r>
              <w:rPr>
                <w:spacing w:val="-5"/>
                <w:sz w:val="21"/>
              </w:rPr>
              <w:t>及延髓肌、呼吸肌而致机体呼吸功能不正常的危急状态即肌无力危象； </w:t>
            </w:r>
          </w:p>
          <w:p>
            <w:pPr>
              <w:pStyle w:val="TableParagraph"/>
              <w:spacing w:line="297" w:lineRule="auto" w:before="19"/>
              <w:ind w:left="60" w:right="302"/>
              <w:rPr>
                <w:sz w:val="21"/>
              </w:rPr>
            </w:pPr>
            <w:r>
              <w:rPr>
                <w:sz w:val="21"/>
              </w:rPr>
              <w:t>（3）症状缓解、复发及恶化交替出现，临床接受新斯的明等抗胆碱酯酶药物治疗的病史。 </w:t>
            </w:r>
          </w:p>
        </w:tc>
      </w:tr>
      <w:tr>
        <w:trPr>
          <w:trHeight w:val="343"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268" w:lineRule="exact"/>
              <w:ind w:left="350"/>
              <w:rPr>
                <w:b/>
                <w:sz w:val="21"/>
              </w:rPr>
            </w:pPr>
            <w:r>
              <w:rPr>
                <w:b/>
                <w:w w:val="99"/>
                <w:sz w:val="21"/>
              </w:rPr>
              <w:t> </w:t>
            </w:r>
          </w:p>
        </w:tc>
        <w:tc>
          <w:tcPr>
            <w:tcW w:w="7613" w:type="dxa"/>
          </w:tcPr>
          <w:p>
            <w:pPr>
              <w:pStyle w:val="TableParagraph"/>
              <w:spacing w:line="268" w:lineRule="exact"/>
              <w:ind w:left="60"/>
              <w:rPr>
                <w:sz w:val="21"/>
              </w:rPr>
            </w:pPr>
            <w:r>
              <w:rPr>
                <w:w w:val="100"/>
                <w:sz w:val="21"/>
              </w:rPr>
              <w:t> </w:t>
            </w:r>
          </w:p>
        </w:tc>
      </w:tr>
      <w:tr>
        <w:trPr>
          <w:trHeight w:val="1372"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302" w:lineRule="auto"/>
              <w:ind w:left="350" w:right="268"/>
              <w:rPr>
                <w:b/>
                <w:sz w:val="21"/>
              </w:rPr>
            </w:pPr>
            <w:r>
              <w:rPr>
                <w:b/>
                <w:sz w:val="21"/>
              </w:rPr>
              <w:t>29. 严重心肌病</w:t>
            </w:r>
            <w:r>
              <w:rPr>
                <w:b/>
                <w:w w:val="99"/>
                <w:sz w:val="21"/>
              </w:rPr>
              <w:t> </w:t>
            </w:r>
          </w:p>
        </w:tc>
        <w:tc>
          <w:tcPr>
            <w:tcW w:w="7613" w:type="dxa"/>
          </w:tcPr>
          <w:p>
            <w:pPr>
              <w:pStyle w:val="TableParagraph"/>
              <w:spacing w:line="300" w:lineRule="auto"/>
              <w:ind w:left="60" w:right="282"/>
              <w:jc w:val="both"/>
              <w:rPr>
                <w:sz w:val="21"/>
              </w:rPr>
            </w:pPr>
            <w:r>
              <w:rPr>
                <w:spacing w:val="-9"/>
                <w:sz w:val="21"/>
              </w:rPr>
              <w:t>心室功能损伤，导致被保险人身体永久及不可逆地受损，达到美国纽约心脏病学</w:t>
            </w:r>
            <w:r>
              <w:rPr>
                <w:spacing w:val="-7"/>
                <w:sz w:val="21"/>
              </w:rPr>
              <w:t>会心功能状态分级</w:t>
            </w:r>
            <w:r>
              <w:rPr>
                <w:spacing w:val="-3"/>
                <w:sz w:val="21"/>
              </w:rPr>
              <w:t>IV</w:t>
            </w:r>
            <w:r>
              <w:rPr>
                <w:spacing w:val="-11"/>
                <w:sz w:val="21"/>
              </w:rPr>
              <w:t>级。必须由心脏专科医生确诊，并有包括超声心动图在内的</w:t>
            </w:r>
            <w:r>
              <w:rPr>
                <w:spacing w:val="-9"/>
                <w:sz w:val="21"/>
              </w:rPr>
              <w:t>相关检查证实。</w:t>
            </w:r>
            <w:r>
              <w:rPr>
                <w:sz w:val="21"/>
              </w:rPr>
              <w:t> </w:t>
            </w:r>
          </w:p>
          <w:p>
            <w:pPr>
              <w:pStyle w:val="TableParagraph"/>
              <w:spacing w:before="27"/>
              <w:ind w:left="60"/>
              <w:jc w:val="both"/>
              <w:rPr>
                <w:sz w:val="21"/>
              </w:rPr>
            </w:pPr>
            <w:r>
              <w:rPr>
                <w:rFonts w:ascii="黑体" w:eastAsia="黑体" w:hint="eastAsia"/>
                <w:sz w:val="21"/>
              </w:rPr>
              <w:t>酗酒或滥用药物引起的心肌病不在保险责任范围内。</w:t>
            </w:r>
            <w:r>
              <w:rPr>
                <w:sz w:val="21"/>
              </w:rPr>
              <w:t> </w:t>
            </w:r>
          </w:p>
        </w:tc>
      </w:tr>
      <w:tr>
        <w:trPr>
          <w:trHeight w:val="343"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266" w:lineRule="exact"/>
              <w:ind w:left="350"/>
              <w:rPr>
                <w:b/>
                <w:sz w:val="21"/>
              </w:rPr>
            </w:pPr>
            <w:r>
              <w:rPr>
                <w:b/>
                <w:w w:val="99"/>
                <w:sz w:val="21"/>
              </w:rPr>
              <w:t> </w:t>
            </w:r>
          </w:p>
        </w:tc>
        <w:tc>
          <w:tcPr>
            <w:tcW w:w="7613" w:type="dxa"/>
          </w:tcPr>
          <w:p>
            <w:pPr>
              <w:pStyle w:val="TableParagraph"/>
              <w:spacing w:line="266" w:lineRule="exact"/>
              <w:ind w:left="60"/>
              <w:rPr>
                <w:sz w:val="21"/>
              </w:rPr>
            </w:pPr>
            <w:r>
              <w:rPr>
                <w:w w:val="100"/>
                <w:sz w:val="21"/>
              </w:rPr>
              <w:t> </w:t>
            </w:r>
          </w:p>
        </w:tc>
      </w:tr>
      <w:tr>
        <w:trPr>
          <w:trHeight w:val="1029" w:hRule="atLeast"/>
        </w:trPr>
        <w:tc>
          <w:tcPr>
            <w:tcW w:w="656" w:type="dxa"/>
          </w:tcPr>
          <w:p>
            <w:pPr>
              <w:pStyle w:val="TableParagraph"/>
              <w:spacing w:line="269" w:lineRule="exact"/>
              <w:rPr>
                <w:b/>
                <w:sz w:val="21"/>
              </w:rPr>
            </w:pPr>
            <w:r>
              <w:rPr>
                <w:b/>
                <w:w w:val="99"/>
                <w:sz w:val="21"/>
              </w:rPr>
              <w:t> </w:t>
            </w:r>
          </w:p>
        </w:tc>
        <w:tc>
          <w:tcPr>
            <w:tcW w:w="1889" w:type="dxa"/>
          </w:tcPr>
          <w:p>
            <w:pPr>
              <w:pStyle w:val="TableParagraph"/>
              <w:spacing w:line="297" w:lineRule="auto"/>
              <w:ind w:left="350" w:right="167"/>
              <w:rPr>
                <w:b/>
                <w:sz w:val="21"/>
              </w:rPr>
            </w:pPr>
            <w:r>
              <w:rPr>
                <w:b/>
                <w:sz w:val="21"/>
              </w:rPr>
              <w:t>30. 急性出血坏死性胰腺炎</w:t>
            </w:r>
            <w:r>
              <w:rPr>
                <w:b/>
                <w:w w:val="99"/>
                <w:sz w:val="21"/>
              </w:rPr>
              <w:t> </w:t>
            </w:r>
          </w:p>
        </w:tc>
        <w:tc>
          <w:tcPr>
            <w:tcW w:w="7613" w:type="dxa"/>
          </w:tcPr>
          <w:p>
            <w:pPr>
              <w:pStyle w:val="TableParagraph"/>
              <w:spacing w:line="300" w:lineRule="auto"/>
              <w:ind w:left="60" w:right="281"/>
              <w:jc w:val="both"/>
              <w:rPr>
                <w:sz w:val="21"/>
              </w:rPr>
            </w:pPr>
            <w:r>
              <w:rPr>
                <w:spacing w:val="-8"/>
                <w:sz w:val="21"/>
              </w:rPr>
              <w:t>指被保险人因为急性出血坏死性胰腺炎已经接受了外科开腹手术治疗，以进行坏</w:t>
            </w:r>
            <w:r>
              <w:rPr>
                <w:spacing w:val="-12"/>
                <w:sz w:val="21"/>
              </w:rPr>
              <w:t>死组织清除、坏死病灶切除或胰腺切除。</w:t>
            </w:r>
            <w:r>
              <w:rPr>
                <w:rFonts w:ascii="黑体" w:eastAsia="黑体" w:hint="eastAsia"/>
                <w:spacing w:val="-5"/>
                <w:sz w:val="21"/>
              </w:rPr>
              <w:t>因饮酒所致的急性出血坏死性胰腺炎或经腹腔镜手术进行的治疗不在保障范围内。</w:t>
            </w:r>
            <w:r>
              <w:rPr>
                <w:sz w:val="21"/>
              </w:rPr>
              <w:t> </w:t>
            </w:r>
          </w:p>
        </w:tc>
      </w:tr>
      <w:tr>
        <w:trPr>
          <w:trHeight w:val="343"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266" w:lineRule="exact"/>
              <w:ind w:left="350"/>
              <w:rPr>
                <w:b/>
                <w:sz w:val="21"/>
              </w:rPr>
            </w:pPr>
            <w:r>
              <w:rPr>
                <w:b/>
                <w:w w:val="99"/>
                <w:sz w:val="21"/>
              </w:rPr>
              <w:t> </w:t>
            </w:r>
          </w:p>
        </w:tc>
        <w:tc>
          <w:tcPr>
            <w:tcW w:w="7613" w:type="dxa"/>
          </w:tcPr>
          <w:p>
            <w:pPr>
              <w:pStyle w:val="TableParagraph"/>
              <w:spacing w:line="266" w:lineRule="exact"/>
              <w:ind w:left="60"/>
              <w:rPr>
                <w:sz w:val="21"/>
              </w:rPr>
            </w:pPr>
            <w:r>
              <w:rPr>
                <w:w w:val="100"/>
                <w:sz w:val="21"/>
              </w:rPr>
              <w:t> </w:t>
            </w:r>
          </w:p>
        </w:tc>
      </w:tr>
      <w:tr>
        <w:trPr>
          <w:trHeight w:val="1373"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268" w:lineRule="exact"/>
              <w:ind w:left="350"/>
              <w:rPr>
                <w:b/>
                <w:sz w:val="21"/>
              </w:rPr>
            </w:pPr>
            <w:r>
              <w:rPr>
                <w:b/>
                <w:sz w:val="21"/>
              </w:rPr>
              <w:t>31.植物人状态</w:t>
            </w:r>
            <w:r>
              <w:rPr>
                <w:b/>
                <w:w w:val="99"/>
                <w:sz w:val="21"/>
              </w:rPr>
              <w:t> </w:t>
            </w:r>
          </w:p>
        </w:tc>
        <w:tc>
          <w:tcPr>
            <w:tcW w:w="7613" w:type="dxa"/>
          </w:tcPr>
          <w:p>
            <w:pPr>
              <w:pStyle w:val="TableParagraph"/>
              <w:spacing w:line="300" w:lineRule="auto"/>
              <w:ind w:left="60" w:right="197"/>
              <w:rPr>
                <w:sz w:val="21"/>
              </w:rPr>
            </w:pPr>
            <w:r>
              <w:rPr>
                <w:spacing w:val="-5"/>
                <w:sz w:val="21"/>
              </w:rPr>
              <w:t>系指由于意外事故或疾病引起的大脑和脑干严重损害导致完全永久性的对自身 和环境的意识丧失和中枢神经系统功能丧失，仅残存植物神经功能的疾病状态。</w:t>
            </w:r>
            <w:r>
              <w:rPr>
                <w:spacing w:val="-11"/>
                <w:sz w:val="21"/>
              </w:rPr>
              <w:t>诊断必须明确诊断并且具有严重脑损害的证据。植物人状态必须持续 </w:t>
            </w:r>
            <w:r>
              <w:rPr>
                <w:sz w:val="21"/>
              </w:rPr>
              <w:t>180</w:t>
            </w:r>
            <w:r>
              <w:rPr>
                <w:spacing w:val="-12"/>
                <w:sz w:val="21"/>
              </w:rPr>
              <w:t> 天以上</w:t>
            </w:r>
            <w:r>
              <w:rPr>
                <w:spacing w:val="-10"/>
                <w:sz w:val="21"/>
              </w:rPr>
              <w:t>方可申请理赔。</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268" w:lineRule="exact"/>
              <w:ind w:left="350"/>
              <w:rPr>
                <w:b/>
                <w:sz w:val="21"/>
              </w:rPr>
            </w:pPr>
            <w:r>
              <w:rPr>
                <w:b/>
                <w:w w:val="99"/>
                <w:sz w:val="21"/>
              </w:rPr>
              <w:t> </w:t>
            </w:r>
          </w:p>
        </w:tc>
        <w:tc>
          <w:tcPr>
            <w:tcW w:w="7613" w:type="dxa"/>
          </w:tcPr>
          <w:p>
            <w:pPr>
              <w:pStyle w:val="TableParagraph"/>
              <w:spacing w:line="268" w:lineRule="exact"/>
              <w:ind w:left="60"/>
              <w:rPr>
                <w:sz w:val="21"/>
              </w:rPr>
            </w:pPr>
            <w:r>
              <w:rPr>
                <w:w w:val="100"/>
                <w:sz w:val="21"/>
              </w:rPr>
              <w:t> </w:t>
            </w:r>
          </w:p>
        </w:tc>
      </w:tr>
      <w:tr>
        <w:trPr>
          <w:trHeight w:val="2403"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302" w:lineRule="auto"/>
              <w:ind w:left="350" w:right="268"/>
              <w:rPr>
                <w:b/>
                <w:sz w:val="21"/>
              </w:rPr>
            </w:pPr>
            <w:r>
              <w:rPr>
                <w:b/>
                <w:sz w:val="21"/>
              </w:rPr>
              <w:t>32. 原发性硬化性胆管炎</w:t>
            </w:r>
            <w:r>
              <w:rPr>
                <w:b/>
                <w:w w:val="99"/>
                <w:sz w:val="21"/>
              </w:rPr>
              <w:t> </w:t>
            </w:r>
          </w:p>
        </w:tc>
        <w:tc>
          <w:tcPr>
            <w:tcW w:w="7613" w:type="dxa"/>
          </w:tcPr>
          <w:p>
            <w:pPr>
              <w:pStyle w:val="TableParagraph"/>
              <w:spacing w:line="300" w:lineRule="auto"/>
              <w:ind w:left="60" w:right="281"/>
              <w:jc w:val="both"/>
              <w:rPr>
                <w:sz w:val="21"/>
              </w:rPr>
            </w:pPr>
            <w:r>
              <w:rPr>
                <w:spacing w:val="-8"/>
                <w:sz w:val="21"/>
              </w:rPr>
              <w:t>指一种胆汁淤积综合征，其特征是肝内、肝外胆道因纤维化性炎症逐渐狭窄，并</w:t>
            </w:r>
            <w:r>
              <w:rPr>
                <w:spacing w:val="-12"/>
                <w:sz w:val="21"/>
              </w:rPr>
              <w:t>最终导致完全阻塞而发展为肝硬化。本病须经内镜逆行胰胆管造影等影像学检查</w:t>
            </w:r>
            <w:r>
              <w:rPr>
                <w:spacing w:val="-8"/>
                <w:sz w:val="21"/>
              </w:rPr>
              <w:t>证实，并须满足下列全部条件：</w:t>
            </w:r>
            <w:r>
              <w:rPr>
                <w:spacing w:val="-5"/>
                <w:sz w:val="21"/>
              </w:rPr>
              <w:t> </w:t>
            </w:r>
            <w:r>
              <w:rPr>
                <w:sz w:val="21"/>
              </w:rPr>
              <w:t> </w:t>
            </w:r>
          </w:p>
          <w:p>
            <w:pPr>
              <w:pStyle w:val="TableParagraph"/>
              <w:spacing w:before="27"/>
              <w:ind w:left="60"/>
              <w:jc w:val="both"/>
              <w:rPr>
                <w:sz w:val="21"/>
              </w:rPr>
            </w:pPr>
            <w:r>
              <w:rPr>
                <w:sz w:val="21"/>
              </w:rPr>
              <w:t>（1） 总胆红素和直接胆红素同时升高，血清 ALP&gt;200U/L；  </w:t>
            </w:r>
          </w:p>
          <w:p>
            <w:pPr>
              <w:pStyle w:val="TableParagraph"/>
              <w:spacing w:before="66"/>
              <w:ind w:left="60"/>
              <w:jc w:val="both"/>
              <w:rPr>
                <w:sz w:val="21"/>
              </w:rPr>
            </w:pPr>
            <w:r>
              <w:rPr>
                <w:sz w:val="21"/>
              </w:rPr>
              <w:t>（2） 持续性黄疸病史；  </w:t>
            </w:r>
          </w:p>
          <w:p>
            <w:pPr>
              <w:pStyle w:val="TableParagraph"/>
              <w:spacing w:before="71"/>
              <w:ind w:left="60"/>
              <w:jc w:val="both"/>
              <w:rPr>
                <w:sz w:val="21"/>
              </w:rPr>
            </w:pPr>
            <w:r>
              <w:rPr>
                <w:sz w:val="21"/>
              </w:rPr>
              <w:t>（3） 出现胆汁性肝硬化或门脉高压。  </w:t>
            </w:r>
          </w:p>
          <w:p>
            <w:pPr>
              <w:pStyle w:val="TableParagraph"/>
              <w:spacing w:before="66"/>
              <w:ind w:left="60"/>
              <w:jc w:val="both"/>
              <w:rPr>
                <w:sz w:val="21"/>
              </w:rPr>
            </w:pPr>
            <w:r>
              <w:rPr>
                <w:sz w:val="21"/>
              </w:rPr>
              <w:t>因肿瘤或胆管损伤等继发性的硬化性胆管炎不在保障范围内。 </w:t>
            </w:r>
          </w:p>
        </w:tc>
      </w:tr>
      <w:tr>
        <w:trPr>
          <w:trHeight w:val="343"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268" w:lineRule="exact"/>
              <w:ind w:left="350"/>
              <w:rPr>
                <w:b/>
                <w:sz w:val="21"/>
              </w:rPr>
            </w:pPr>
            <w:r>
              <w:rPr>
                <w:b/>
                <w:w w:val="99"/>
                <w:sz w:val="21"/>
              </w:rPr>
              <w:t> </w:t>
            </w:r>
          </w:p>
        </w:tc>
        <w:tc>
          <w:tcPr>
            <w:tcW w:w="7613" w:type="dxa"/>
          </w:tcPr>
          <w:p>
            <w:pPr>
              <w:pStyle w:val="TableParagraph"/>
              <w:spacing w:line="268" w:lineRule="exact"/>
              <w:ind w:left="60"/>
              <w:rPr>
                <w:sz w:val="21"/>
              </w:rPr>
            </w:pPr>
            <w:r>
              <w:rPr>
                <w:w w:val="100"/>
                <w:sz w:val="21"/>
              </w:rPr>
              <w:t> </w:t>
            </w:r>
          </w:p>
        </w:tc>
      </w:tr>
      <w:tr>
        <w:trPr>
          <w:trHeight w:val="1029"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302" w:lineRule="auto"/>
              <w:ind w:left="350" w:right="268"/>
              <w:rPr>
                <w:b/>
                <w:sz w:val="21"/>
              </w:rPr>
            </w:pPr>
            <w:r>
              <w:rPr>
                <w:b/>
                <w:sz w:val="21"/>
              </w:rPr>
              <w:t>33. 埃博拉病毒感染</w:t>
            </w:r>
            <w:r>
              <w:rPr>
                <w:b/>
                <w:w w:val="99"/>
                <w:sz w:val="21"/>
              </w:rPr>
              <w:t> </w:t>
            </w:r>
          </w:p>
        </w:tc>
        <w:tc>
          <w:tcPr>
            <w:tcW w:w="7613" w:type="dxa"/>
          </w:tcPr>
          <w:p>
            <w:pPr>
              <w:pStyle w:val="TableParagraph"/>
              <w:spacing w:line="266" w:lineRule="exact"/>
              <w:ind w:left="60"/>
              <w:rPr>
                <w:sz w:val="21"/>
              </w:rPr>
            </w:pPr>
            <w:r>
              <w:rPr>
                <w:sz w:val="21"/>
              </w:rPr>
              <w:t>指埃博拉病毒感染导致的烈性传染病，并须满足下列全部条件：  </w:t>
            </w:r>
          </w:p>
          <w:p>
            <w:pPr>
              <w:pStyle w:val="TableParagraph"/>
              <w:spacing w:before="70"/>
              <w:ind w:left="60"/>
              <w:rPr>
                <w:sz w:val="21"/>
              </w:rPr>
            </w:pPr>
            <w:r>
              <w:rPr>
                <w:sz w:val="21"/>
              </w:rPr>
              <w:t>（1）实验室检查证实埃博拉病毒的存在；  </w:t>
            </w:r>
          </w:p>
          <w:p>
            <w:pPr>
              <w:pStyle w:val="TableParagraph"/>
              <w:spacing w:before="65"/>
              <w:ind w:left="60"/>
              <w:rPr>
                <w:sz w:val="21"/>
              </w:rPr>
            </w:pPr>
            <w:r>
              <w:rPr>
                <w:sz w:val="21"/>
              </w:rPr>
              <w:t>（2）从发病开始有超过 30 天的进行性感染症状。 </w:t>
            </w:r>
          </w:p>
        </w:tc>
      </w:tr>
      <w:tr>
        <w:trPr>
          <w:trHeight w:val="343" w:hRule="atLeast"/>
        </w:trPr>
        <w:tc>
          <w:tcPr>
            <w:tcW w:w="656" w:type="dxa"/>
          </w:tcPr>
          <w:p>
            <w:pPr>
              <w:pStyle w:val="TableParagraph"/>
              <w:spacing w:line="268" w:lineRule="exact"/>
              <w:rPr>
                <w:b/>
                <w:sz w:val="21"/>
              </w:rPr>
            </w:pPr>
            <w:r>
              <w:rPr>
                <w:b/>
                <w:w w:val="99"/>
                <w:sz w:val="21"/>
              </w:rPr>
              <w:t> </w:t>
            </w:r>
          </w:p>
        </w:tc>
        <w:tc>
          <w:tcPr>
            <w:tcW w:w="1889" w:type="dxa"/>
          </w:tcPr>
          <w:p>
            <w:pPr>
              <w:pStyle w:val="TableParagraph"/>
              <w:spacing w:line="268" w:lineRule="exact"/>
              <w:ind w:left="350"/>
              <w:rPr>
                <w:b/>
                <w:sz w:val="21"/>
              </w:rPr>
            </w:pPr>
            <w:r>
              <w:rPr>
                <w:b/>
                <w:w w:val="99"/>
                <w:sz w:val="21"/>
              </w:rPr>
              <w:t> </w:t>
            </w:r>
          </w:p>
        </w:tc>
        <w:tc>
          <w:tcPr>
            <w:tcW w:w="7613" w:type="dxa"/>
          </w:tcPr>
          <w:p>
            <w:pPr>
              <w:pStyle w:val="TableParagraph"/>
              <w:spacing w:line="268" w:lineRule="exact"/>
              <w:ind w:left="60"/>
              <w:rPr>
                <w:sz w:val="21"/>
              </w:rPr>
            </w:pPr>
            <w:r>
              <w:rPr>
                <w:w w:val="100"/>
                <w:sz w:val="21"/>
              </w:rPr>
              <w:t> </w:t>
            </w:r>
          </w:p>
        </w:tc>
      </w:tr>
      <w:tr>
        <w:trPr>
          <w:trHeight w:val="1649"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302" w:lineRule="auto"/>
              <w:ind w:left="350" w:right="268"/>
              <w:rPr>
                <w:b/>
                <w:sz w:val="21"/>
              </w:rPr>
            </w:pPr>
            <w:r>
              <w:rPr>
                <w:b/>
                <w:sz w:val="21"/>
              </w:rPr>
              <w:t>34. 系统性硬皮病</w:t>
            </w:r>
            <w:r>
              <w:rPr>
                <w:b/>
                <w:w w:val="99"/>
                <w:sz w:val="21"/>
              </w:rPr>
              <w:t> </w:t>
            </w:r>
          </w:p>
        </w:tc>
        <w:tc>
          <w:tcPr>
            <w:tcW w:w="7613" w:type="dxa"/>
          </w:tcPr>
          <w:p>
            <w:pPr>
              <w:pStyle w:val="TableParagraph"/>
              <w:spacing w:line="302" w:lineRule="auto"/>
              <w:ind w:left="60" w:right="283"/>
              <w:rPr>
                <w:sz w:val="21"/>
              </w:rPr>
            </w:pPr>
            <w:r>
              <w:rPr>
                <w:spacing w:val="-9"/>
                <w:sz w:val="21"/>
              </w:rPr>
              <w:t>指一种以局限性或弥漫性皮肤增厚和皮肤、血管、内脏器官异常纤维化为特征的</w:t>
            </w:r>
            <w:r>
              <w:rPr>
                <w:spacing w:val="-7"/>
                <w:sz w:val="21"/>
              </w:rPr>
              <w:t>结缔组织病。本病须经专科医师明确诊断，并须满足下列至少一项条件：</w:t>
            </w:r>
            <w:r>
              <w:rPr>
                <w:spacing w:val="-5"/>
                <w:sz w:val="21"/>
              </w:rPr>
              <w:t> </w:t>
            </w:r>
            <w:r>
              <w:rPr>
                <w:sz w:val="21"/>
              </w:rPr>
              <w:t> </w:t>
            </w:r>
          </w:p>
          <w:p>
            <w:pPr>
              <w:pStyle w:val="TableParagraph"/>
              <w:spacing w:before="20"/>
              <w:ind w:left="60"/>
              <w:rPr>
                <w:sz w:val="21"/>
              </w:rPr>
            </w:pPr>
            <w:r>
              <w:rPr>
                <w:sz w:val="21"/>
              </w:rPr>
              <w:t>（1）肺脏：肺部病变进而发展为肺间质纤维化和肺动脉高压；  </w:t>
            </w:r>
          </w:p>
          <w:p>
            <w:pPr>
              <w:pStyle w:val="TableParagraph"/>
              <w:spacing w:before="70"/>
              <w:ind w:left="60"/>
              <w:rPr>
                <w:sz w:val="21"/>
              </w:rPr>
            </w:pPr>
            <w:r>
              <w:rPr>
                <w:sz w:val="21"/>
              </w:rPr>
              <w:t>（2）心脏：心功能受损达到美国纽约心脏病学会心功能状态分级 IV 级；  </w:t>
            </w:r>
          </w:p>
          <w:p>
            <w:pPr>
              <w:pStyle w:val="TableParagraph"/>
              <w:spacing w:line="265" w:lineRule="exact" w:before="65"/>
              <w:ind w:left="60"/>
              <w:rPr>
                <w:sz w:val="21"/>
              </w:rPr>
            </w:pPr>
            <w:r>
              <w:rPr>
                <w:sz w:val="21"/>
              </w:rPr>
              <w:t>（3）肾脏：肾脏受损导致双肾功能慢性不可逆衰竭，达到尿毒症期。  </w:t>
            </w:r>
          </w:p>
        </w:tc>
      </w:tr>
    </w:tbl>
    <w:p>
      <w:pPr>
        <w:spacing w:after="0" w:line="265" w:lineRule="exact"/>
        <w:rPr>
          <w:sz w:val="21"/>
        </w:rPr>
        <w:sectPr>
          <w:pgSz w:w="11910" w:h="16840"/>
          <w:pgMar w:header="0" w:footer="915" w:top="1500" w:bottom="1100" w:left="800" w:right="7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783"/>
        <w:gridCol w:w="7736"/>
      </w:tblGrid>
      <w:tr>
        <w:trPr>
          <w:trHeight w:val="1306" w:hRule="atLeast"/>
        </w:trPr>
        <w:tc>
          <w:tcPr>
            <w:tcW w:w="656" w:type="dxa"/>
          </w:tcPr>
          <w:p>
            <w:pPr>
              <w:pStyle w:val="TableParagraph"/>
              <w:ind w:left="0"/>
              <w:rPr>
                <w:rFonts w:ascii="Times New Roman"/>
                <w:sz w:val="20"/>
              </w:rPr>
            </w:pPr>
          </w:p>
        </w:tc>
        <w:tc>
          <w:tcPr>
            <w:tcW w:w="1783" w:type="dxa"/>
          </w:tcPr>
          <w:p>
            <w:pPr>
              <w:pStyle w:val="TableParagraph"/>
              <w:ind w:left="0"/>
              <w:rPr>
                <w:rFonts w:ascii="Times New Roman"/>
                <w:sz w:val="20"/>
              </w:rPr>
            </w:pPr>
          </w:p>
        </w:tc>
        <w:tc>
          <w:tcPr>
            <w:tcW w:w="7736" w:type="dxa"/>
          </w:tcPr>
          <w:p>
            <w:pPr>
              <w:pStyle w:val="TableParagraph"/>
              <w:spacing w:line="201" w:lineRule="exact"/>
              <w:ind w:left="166"/>
              <w:rPr>
                <w:rFonts w:ascii="黑体" w:eastAsia="黑体" w:hint="eastAsia"/>
                <w:sz w:val="21"/>
              </w:rPr>
            </w:pPr>
            <w:r>
              <w:rPr>
                <w:rFonts w:ascii="黑体" w:eastAsia="黑体" w:hint="eastAsia"/>
                <w:sz w:val="21"/>
              </w:rPr>
              <w:t>下列疾病不在保障范围内：</w:t>
            </w:r>
          </w:p>
          <w:p>
            <w:pPr>
              <w:pStyle w:val="TableParagraph"/>
              <w:spacing w:before="66"/>
              <w:ind w:left="166"/>
              <w:rPr>
                <w:rFonts w:ascii="黑体" w:eastAsia="黑体" w:hint="eastAsia"/>
                <w:sz w:val="21"/>
              </w:rPr>
            </w:pPr>
            <w:r>
              <w:rPr>
                <w:rFonts w:ascii="黑体" w:eastAsia="黑体" w:hint="eastAsia"/>
                <w:w w:val="100"/>
                <w:sz w:val="21"/>
              </w:rPr>
              <w:t>（1）</w:t>
            </w:r>
            <w:r>
              <w:rPr>
                <w:rFonts w:ascii="黑体" w:eastAsia="黑体" w:hint="eastAsia"/>
                <w:spacing w:val="-2"/>
                <w:w w:val="100"/>
                <w:sz w:val="21"/>
              </w:rPr>
              <w:t>局部性硬皮病</w:t>
            </w:r>
            <w:r>
              <w:rPr>
                <w:rFonts w:ascii="黑体" w:eastAsia="黑体" w:hint="eastAsia"/>
                <w:spacing w:val="-5"/>
                <w:w w:val="100"/>
                <w:sz w:val="21"/>
              </w:rPr>
              <w:t>（</w:t>
            </w:r>
            <w:r>
              <w:rPr>
                <w:rFonts w:ascii="黑体" w:eastAsia="黑体" w:hint="eastAsia"/>
                <w:spacing w:val="-3"/>
                <w:w w:val="100"/>
                <w:sz w:val="21"/>
              </w:rPr>
              <w:t>如：带状硬皮病、硬斑病</w:t>
            </w:r>
            <w:r>
              <w:rPr>
                <w:rFonts w:ascii="黑体" w:eastAsia="黑体" w:hint="eastAsia"/>
                <w:spacing w:val="-111"/>
                <w:w w:val="100"/>
                <w:sz w:val="21"/>
              </w:rPr>
              <w:t>）</w:t>
            </w:r>
            <w:r>
              <w:rPr>
                <w:rFonts w:ascii="黑体" w:eastAsia="黑体" w:hint="eastAsia"/>
                <w:w w:val="100"/>
                <w:sz w:val="21"/>
              </w:rPr>
              <w:t>；</w:t>
            </w:r>
          </w:p>
          <w:p>
            <w:pPr>
              <w:pStyle w:val="TableParagraph"/>
              <w:spacing w:before="71"/>
              <w:ind w:left="166"/>
              <w:rPr>
                <w:rFonts w:ascii="黑体" w:eastAsia="黑体" w:hint="eastAsia"/>
                <w:sz w:val="21"/>
              </w:rPr>
            </w:pPr>
            <w:r>
              <w:rPr>
                <w:rFonts w:ascii="黑体" w:eastAsia="黑体" w:hint="eastAsia"/>
                <w:sz w:val="21"/>
              </w:rPr>
              <w:t>（2）嗜酸性粒细胞性筋膜炎；</w:t>
            </w:r>
          </w:p>
          <w:p>
            <w:pPr>
              <w:pStyle w:val="TableParagraph"/>
              <w:spacing w:before="66"/>
              <w:ind w:left="166"/>
              <w:rPr>
                <w:sz w:val="21"/>
              </w:rPr>
            </w:pPr>
            <w:r>
              <w:rPr>
                <w:rFonts w:ascii="黑体" w:eastAsia="黑体" w:hint="eastAsia"/>
                <w:sz w:val="21"/>
              </w:rPr>
              <w:t>（3）CREST 综合征。</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783" w:type="dxa"/>
          </w:tcPr>
          <w:p>
            <w:pPr>
              <w:pStyle w:val="TableParagraph"/>
              <w:spacing w:line="268" w:lineRule="exact"/>
              <w:ind w:left="350"/>
              <w:rPr>
                <w:b/>
                <w:sz w:val="21"/>
              </w:rPr>
            </w:pPr>
            <w:r>
              <w:rPr>
                <w:b/>
                <w:w w:val="99"/>
                <w:sz w:val="21"/>
              </w:rPr>
              <w:t> </w:t>
            </w:r>
          </w:p>
        </w:tc>
        <w:tc>
          <w:tcPr>
            <w:tcW w:w="7736" w:type="dxa"/>
          </w:tcPr>
          <w:p>
            <w:pPr>
              <w:pStyle w:val="TableParagraph"/>
              <w:spacing w:line="268" w:lineRule="exact"/>
              <w:ind w:left="166"/>
              <w:rPr>
                <w:sz w:val="21"/>
              </w:rPr>
            </w:pPr>
            <w:r>
              <w:rPr>
                <w:w w:val="100"/>
                <w:sz w:val="21"/>
              </w:rPr>
              <w:t> </w:t>
            </w:r>
          </w:p>
        </w:tc>
      </w:tr>
      <w:tr>
        <w:trPr>
          <w:trHeight w:val="1029" w:hRule="atLeast"/>
        </w:trPr>
        <w:tc>
          <w:tcPr>
            <w:tcW w:w="656" w:type="dxa"/>
          </w:tcPr>
          <w:p>
            <w:pPr>
              <w:pStyle w:val="TableParagraph"/>
              <w:spacing w:line="266" w:lineRule="exact"/>
              <w:rPr>
                <w:b/>
                <w:sz w:val="21"/>
              </w:rPr>
            </w:pPr>
            <w:r>
              <w:rPr>
                <w:b/>
                <w:w w:val="99"/>
                <w:sz w:val="21"/>
              </w:rPr>
              <w:t> </w:t>
            </w:r>
          </w:p>
        </w:tc>
        <w:tc>
          <w:tcPr>
            <w:tcW w:w="1783" w:type="dxa"/>
          </w:tcPr>
          <w:p>
            <w:pPr>
              <w:pStyle w:val="TableParagraph"/>
              <w:spacing w:line="266" w:lineRule="exact"/>
              <w:ind w:left="350"/>
              <w:rPr>
                <w:b/>
                <w:sz w:val="21"/>
              </w:rPr>
            </w:pPr>
            <w:r>
              <w:rPr>
                <w:b/>
                <w:sz w:val="21"/>
              </w:rPr>
              <w:t>35.象皮病</w:t>
            </w:r>
            <w:r>
              <w:rPr>
                <w:b/>
                <w:w w:val="99"/>
                <w:sz w:val="21"/>
              </w:rPr>
              <w:t> </w:t>
            </w:r>
          </w:p>
        </w:tc>
        <w:tc>
          <w:tcPr>
            <w:tcW w:w="7736" w:type="dxa"/>
          </w:tcPr>
          <w:p>
            <w:pPr>
              <w:pStyle w:val="TableParagraph"/>
              <w:spacing w:line="300" w:lineRule="auto"/>
              <w:ind w:left="166" w:right="300"/>
              <w:jc w:val="both"/>
              <w:rPr>
                <w:sz w:val="21"/>
              </w:rPr>
            </w:pPr>
            <w:r>
              <w:rPr>
                <w:spacing w:val="-9"/>
                <w:sz w:val="21"/>
              </w:rPr>
              <w:t>指末期丝虫病，按国际淋巴学会分级为三度淋巴液肿，其临床表现为肢体非凹陷</w:t>
            </w:r>
            <w:r>
              <w:rPr>
                <w:spacing w:val="-12"/>
                <w:sz w:val="21"/>
              </w:rPr>
              <w:t>性水肿伴畸形增大、硬皮症和疣状增生。此病症须经认可的专科医生根据临床表</w:t>
            </w:r>
            <w:r>
              <w:rPr>
                <w:spacing w:val="-8"/>
                <w:sz w:val="21"/>
              </w:rPr>
              <w:t>现和微丝蚴的化验结果确诊。</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783" w:type="dxa"/>
          </w:tcPr>
          <w:p>
            <w:pPr>
              <w:pStyle w:val="TableParagraph"/>
              <w:spacing w:line="268" w:lineRule="exact"/>
              <w:ind w:left="350"/>
              <w:rPr>
                <w:b/>
                <w:sz w:val="21"/>
              </w:rPr>
            </w:pPr>
            <w:r>
              <w:rPr>
                <w:b/>
                <w:w w:val="99"/>
                <w:sz w:val="21"/>
              </w:rPr>
              <w:t> </w:t>
            </w:r>
          </w:p>
        </w:tc>
        <w:tc>
          <w:tcPr>
            <w:tcW w:w="7736" w:type="dxa"/>
          </w:tcPr>
          <w:p>
            <w:pPr>
              <w:pStyle w:val="TableParagraph"/>
              <w:spacing w:line="268" w:lineRule="exact"/>
              <w:ind w:left="166"/>
              <w:rPr>
                <w:sz w:val="21"/>
              </w:rPr>
            </w:pPr>
            <w:r>
              <w:rPr>
                <w:w w:val="100"/>
                <w:sz w:val="21"/>
              </w:rPr>
              <w:t> </w:t>
            </w:r>
          </w:p>
        </w:tc>
      </w:tr>
      <w:tr>
        <w:trPr>
          <w:trHeight w:val="3089" w:hRule="atLeast"/>
        </w:trPr>
        <w:tc>
          <w:tcPr>
            <w:tcW w:w="656" w:type="dxa"/>
          </w:tcPr>
          <w:p>
            <w:pPr>
              <w:pStyle w:val="TableParagraph"/>
              <w:spacing w:line="266" w:lineRule="exact"/>
              <w:rPr>
                <w:b/>
                <w:sz w:val="21"/>
              </w:rPr>
            </w:pPr>
            <w:r>
              <w:rPr>
                <w:b/>
                <w:w w:val="99"/>
                <w:sz w:val="21"/>
              </w:rPr>
              <w:t> </w:t>
            </w:r>
          </w:p>
        </w:tc>
        <w:tc>
          <w:tcPr>
            <w:tcW w:w="1783" w:type="dxa"/>
          </w:tcPr>
          <w:p>
            <w:pPr>
              <w:pStyle w:val="TableParagraph"/>
              <w:spacing w:line="300" w:lineRule="auto"/>
              <w:ind w:left="350" w:right="162"/>
              <w:jc w:val="both"/>
              <w:rPr>
                <w:b/>
                <w:sz w:val="21"/>
              </w:rPr>
            </w:pPr>
            <w:r>
              <w:rPr>
                <w:b/>
                <w:sz w:val="21"/>
              </w:rPr>
              <w:t>36. 慢性肾上腺皮质功能衰竭</w:t>
            </w:r>
            <w:r>
              <w:rPr>
                <w:b/>
                <w:w w:val="99"/>
                <w:sz w:val="21"/>
              </w:rPr>
              <w:t> </w:t>
            </w:r>
          </w:p>
        </w:tc>
        <w:tc>
          <w:tcPr>
            <w:tcW w:w="7736" w:type="dxa"/>
          </w:tcPr>
          <w:p>
            <w:pPr>
              <w:pStyle w:val="TableParagraph"/>
              <w:spacing w:line="300" w:lineRule="auto"/>
              <w:ind w:left="166" w:right="300"/>
              <w:jc w:val="both"/>
              <w:rPr>
                <w:sz w:val="21"/>
              </w:rPr>
            </w:pPr>
            <w:r>
              <w:rPr>
                <w:spacing w:val="-8"/>
                <w:sz w:val="21"/>
              </w:rPr>
              <w:t>因为自身免疫功能紊乱，使肾上腺组织逐渐受损，而需要长期接受糖皮质激素及</w:t>
            </w:r>
            <w:r>
              <w:rPr>
                <w:spacing w:val="-13"/>
                <w:sz w:val="21"/>
              </w:rPr>
              <w:t>肾上腺皮质激素替代疗法。该病必须经国家机关认可的有合法资质的内分泌专科</w:t>
            </w:r>
            <w:r>
              <w:rPr>
                <w:spacing w:val="-8"/>
                <w:sz w:val="21"/>
              </w:rPr>
              <w:t>医生确诊，并有以下报告作为证据：</w:t>
            </w:r>
            <w:r>
              <w:rPr>
                <w:spacing w:val="-5"/>
                <w:sz w:val="21"/>
              </w:rPr>
              <w:t> </w:t>
            </w:r>
            <w:r>
              <w:rPr>
                <w:sz w:val="21"/>
              </w:rPr>
              <w:t> </w:t>
            </w:r>
          </w:p>
          <w:p>
            <w:pPr>
              <w:pStyle w:val="TableParagraph"/>
              <w:spacing w:before="27"/>
              <w:ind w:left="166"/>
              <w:jc w:val="both"/>
              <w:rPr>
                <w:sz w:val="21"/>
              </w:rPr>
            </w:pPr>
            <w:r>
              <w:rPr>
                <w:sz w:val="21"/>
              </w:rPr>
              <w:t>（1）促肾上腺皮质激素(ACTH)刺激试验；  </w:t>
            </w:r>
          </w:p>
          <w:p>
            <w:pPr>
              <w:pStyle w:val="TableParagraph"/>
              <w:spacing w:before="66"/>
              <w:ind w:left="166"/>
              <w:jc w:val="both"/>
              <w:rPr>
                <w:sz w:val="21"/>
              </w:rPr>
            </w:pPr>
            <w:r>
              <w:rPr>
                <w:sz w:val="21"/>
              </w:rPr>
              <w:t>（2）胰岛素血糖减少测试；  </w:t>
            </w:r>
          </w:p>
          <w:p>
            <w:pPr>
              <w:pStyle w:val="TableParagraph"/>
              <w:spacing w:before="71"/>
              <w:ind w:left="166"/>
              <w:jc w:val="both"/>
              <w:rPr>
                <w:sz w:val="21"/>
              </w:rPr>
            </w:pPr>
            <w:r>
              <w:rPr>
                <w:sz w:val="21"/>
              </w:rPr>
              <w:t>（3）血浆促肾上腺皮质激素(ACTH)水平测定；  </w:t>
            </w:r>
          </w:p>
          <w:p>
            <w:pPr>
              <w:pStyle w:val="TableParagraph"/>
              <w:spacing w:before="65"/>
              <w:ind w:left="166"/>
              <w:jc w:val="both"/>
              <w:rPr>
                <w:sz w:val="21"/>
              </w:rPr>
            </w:pPr>
            <w:r>
              <w:rPr>
                <w:sz w:val="21"/>
              </w:rPr>
              <w:t>（4）血浆肾素活性(PRA)测定。  </w:t>
            </w:r>
          </w:p>
          <w:p>
            <w:pPr>
              <w:pStyle w:val="TableParagraph"/>
              <w:spacing w:line="297" w:lineRule="auto" w:before="70"/>
              <w:ind w:left="166" w:right="300"/>
              <w:rPr>
                <w:sz w:val="21"/>
              </w:rPr>
            </w:pPr>
            <w:r>
              <w:rPr>
                <w:spacing w:val="-8"/>
                <w:sz w:val="21"/>
              </w:rPr>
              <w:t>慢性肾上腺皮质功能衰竭只对由自身免疫功能紊乱引起的承担保险责任，其他原</w:t>
            </w:r>
            <w:r>
              <w:rPr>
                <w:spacing w:val="-7"/>
                <w:sz w:val="21"/>
              </w:rPr>
              <w:t>因引起的除外。</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783" w:type="dxa"/>
          </w:tcPr>
          <w:p>
            <w:pPr>
              <w:pStyle w:val="TableParagraph"/>
              <w:spacing w:line="268" w:lineRule="exact"/>
              <w:ind w:left="350"/>
              <w:rPr>
                <w:b/>
                <w:sz w:val="21"/>
              </w:rPr>
            </w:pPr>
            <w:r>
              <w:rPr>
                <w:b/>
                <w:w w:val="99"/>
                <w:sz w:val="21"/>
              </w:rPr>
              <w:t> </w:t>
            </w:r>
          </w:p>
        </w:tc>
        <w:tc>
          <w:tcPr>
            <w:tcW w:w="7736" w:type="dxa"/>
          </w:tcPr>
          <w:p>
            <w:pPr>
              <w:pStyle w:val="TableParagraph"/>
              <w:spacing w:line="268" w:lineRule="exact"/>
              <w:ind w:left="166"/>
              <w:rPr>
                <w:sz w:val="21"/>
              </w:rPr>
            </w:pPr>
            <w:r>
              <w:rPr>
                <w:w w:val="100"/>
                <w:sz w:val="21"/>
              </w:rPr>
              <w:t> </w:t>
            </w:r>
          </w:p>
        </w:tc>
      </w:tr>
      <w:tr>
        <w:trPr>
          <w:trHeight w:val="1029" w:hRule="atLeast"/>
        </w:trPr>
        <w:tc>
          <w:tcPr>
            <w:tcW w:w="656" w:type="dxa"/>
          </w:tcPr>
          <w:p>
            <w:pPr>
              <w:pStyle w:val="TableParagraph"/>
              <w:spacing w:line="266" w:lineRule="exact"/>
              <w:rPr>
                <w:b/>
                <w:sz w:val="21"/>
              </w:rPr>
            </w:pPr>
            <w:r>
              <w:rPr>
                <w:b/>
                <w:w w:val="99"/>
                <w:sz w:val="21"/>
              </w:rPr>
              <w:t> </w:t>
            </w:r>
          </w:p>
        </w:tc>
        <w:tc>
          <w:tcPr>
            <w:tcW w:w="1783" w:type="dxa"/>
          </w:tcPr>
          <w:p>
            <w:pPr>
              <w:pStyle w:val="TableParagraph"/>
              <w:spacing w:line="302" w:lineRule="auto"/>
              <w:ind w:left="350" w:right="162"/>
              <w:rPr>
                <w:b/>
                <w:sz w:val="21"/>
              </w:rPr>
            </w:pPr>
            <w:r>
              <w:rPr>
                <w:b/>
                <w:sz w:val="21"/>
              </w:rPr>
              <w:t>37. 严重溃疡性结肠炎</w:t>
            </w:r>
            <w:r>
              <w:rPr>
                <w:b/>
                <w:w w:val="99"/>
                <w:sz w:val="21"/>
              </w:rPr>
              <w:t> </w:t>
            </w:r>
          </w:p>
        </w:tc>
        <w:tc>
          <w:tcPr>
            <w:tcW w:w="7736" w:type="dxa"/>
          </w:tcPr>
          <w:p>
            <w:pPr>
              <w:pStyle w:val="TableParagraph"/>
              <w:spacing w:line="300" w:lineRule="auto"/>
              <w:ind w:left="166" w:right="300"/>
              <w:jc w:val="both"/>
              <w:rPr>
                <w:sz w:val="21"/>
              </w:rPr>
            </w:pPr>
            <w:r>
              <w:rPr>
                <w:spacing w:val="-9"/>
                <w:sz w:val="21"/>
              </w:rPr>
              <w:t>指伴有致命性电解质紊乱的急性暴发性溃疡性结肠炎，病变已经累及全结肠，表</w:t>
            </w:r>
            <w:r>
              <w:rPr>
                <w:spacing w:val="-12"/>
                <w:sz w:val="21"/>
              </w:rPr>
              <w:t>现为严重的血便和系统性症状体征，须由病理学检查结果证实，且已经实施了结</w:t>
            </w:r>
            <w:r>
              <w:rPr>
                <w:spacing w:val="-8"/>
                <w:sz w:val="21"/>
              </w:rPr>
              <w:t>肠切除或回肠造瘘术。</w:t>
            </w:r>
            <w:r>
              <w:rPr>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783" w:type="dxa"/>
          </w:tcPr>
          <w:p>
            <w:pPr>
              <w:pStyle w:val="TableParagraph"/>
              <w:spacing w:line="268" w:lineRule="exact"/>
              <w:ind w:left="350"/>
              <w:rPr>
                <w:b/>
                <w:sz w:val="21"/>
              </w:rPr>
            </w:pPr>
            <w:r>
              <w:rPr>
                <w:b/>
                <w:w w:val="99"/>
                <w:sz w:val="21"/>
              </w:rPr>
              <w:t> </w:t>
            </w:r>
          </w:p>
        </w:tc>
        <w:tc>
          <w:tcPr>
            <w:tcW w:w="7736" w:type="dxa"/>
          </w:tcPr>
          <w:p>
            <w:pPr>
              <w:pStyle w:val="TableParagraph"/>
              <w:spacing w:line="268" w:lineRule="exact"/>
              <w:ind w:left="166"/>
              <w:rPr>
                <w:sz w:val="21"/>
              </w:rPr>
            </w:pPr>
            <w:r>
              <w:rPr>
                <w:w w:val="100"/>
                <w:sz w:val="21"/>
              </w:rPr>
              <w:t> </w:t>
            </w:r>
          </w:p>
        </w:tc>
      </w:tr>
      <w:tr>
        <w:trPr>
          <w:trHeight w:val="2403" w:hRule="atLeast"/>
        </w:trPr>
        <w:tc>
          <w:tcPr>
            <w:tcW w:w="656" w:type="dxa"/>
          </w:tcPr>
          <w:p>
            <w:pPr>
              <w:pStyle w:val="TableParagraph"/>
              <w:spacing w:line="266" w:lineRule="exact"/>
              <w:rPr>
                <w:b/>
                <w:sz w:val="21"/>
              </w:rPr>
            </w:pPr>
            <w:r>
              <w:rPr>
                <w:b/>
                <w:w w:val="99"/>
                <w:sz w:val="21"/>
              </w:rPr>
              <w:t> </w:t>
            </w:r>
          </w:p>
        </w:tc>
        <w:tc>
          <w:tcPr>
            <w:tcW w:w="1783" w:type="dxa"/>
          </w:tcPr>
          <w:p>
            <w:pPr>
              <w:pStyle w:val="TableParagraph"/>
              <w:spacing w:line="266" w:lineRule="exact"/>
              <w:ind w:left="350"/>
              <w:rPr>
                <w:b/>
                <w:sz w:val="21"/>
              </w:rPr>
            </w:pPr>
            <w:r>
              <w:rPr>
                <w:b/>
                <w:sz w:val="21"/>
              </w:rPr>
              <w:t>38.疯牛病</w:t>
            </w:r>
            <w:r>
              <w:rPr>
                <w:b/>
                <w:w w:val="99"/>
                <w:sz w:val="21"/>
              </w:rPr>
              <w:t> </w:t>
            </w:r>
          </w:p>
        </w:tc>
        <w:tc>
          <w:tcPr>
            <w:tcW w:w="7736" w:type="dxa"/>
          </w:tcPr>
          <w:p>
            <w:pPr>
              <w:pStyle w:val="TableParagraph"/>
              <w:spacing w:line="266" w:lineRule="exact"/>
              <w:ind w:left="166"/>
              <w:rPr>
                <w:sz w:val="21"/>
              </w:rPr>
            </w:pPr>
            <w:r>
              <w:rPr>
                <w:sz w:val="21"/>
              </w:rPr>
              <w:t>神经系统疾病及致命的成胶质状脑病，并有以下症状：  </w:t>
            </w:r>
          </w:p>
          <w:p>
            <w:pPr>
              <w:pStyle w:val="TableParagraph"/>
              <w:spacing w:before="71"/>
              <w:ind w:left="166"/>
              <w:rPr>
                <w:sz w:val="21"/>
              </w:rPr>
            </w:pPr>
            <w:r>
              <w:rPr>
                <w:sz w:val="21"/>
              </w:rPr>
              <w:t>（1）不能控制的肌肉痉挛及震颤；  </w:t>
            </w:r>
          </w:p>
          <w:p>
            <w:pPr>
              <w:pStyle w:val="TableParagraph"/>
              <w:spacing w:before="65"/>
              <w:ind w:left="166"/>
              <w:rPr>
                <w:sz w:val="21"/>
              </w:rPr>
            </w:pPr>
            <w:r>
              <w:rPr>
                <w:sz w:val="21"/>
              </w:rPr>
              <w:t>（2）逐渐痴呆；  </w:t>
            </w:r>
          </w:p>
          <w:p>
            <w:pPr>
              <w:pStyle w:val="TableParagraph"/>
              <w:spacing w:before="70"/>
              <w:ind w:left="166"/>
              <w:rPr>
                <w:sz w:val="21"/>
              </w:rPr>
            </w:pPr>
            <w:r>
              <w:rPr>
                <w:sz w:val="21"/>
              </w:rPr>
              <w:t>（3）小脑功能不良，共济失调；  </w:t>
            </w:r>
          </w:p>
          <w:p>
            <w:pPr>
              <w:pStyle w:val="TableParagraph"/>
              <w:spacing w:before="66"/>
              <w:ind w:left="166"/>
              <w:rPr>
                <w:sz w:val="21"/>
              </w:rPr>
            </w:pPr>
            <w:r>
              <w:rPr>
                <w:sz w:val="21"/>
              </w:rPr>
              <w:t>（4）手足徐动症；  </w:t>
            </w:r>
          </w:p>
          <w:p>
            <w:pPr>
              <w:pStyle w:val="TableParagraph"/>
              <w:spacing w:line="297" w:lineRule="auto" w:before="70"/>
              <w:ind w:left="166" w:right="425"/>
              <w:rPr>
                <w:sz w:val="21"/>
              </w:rPr>
            </w:pPr>
            <w:r>
              <w:rPr>
                <w:sz w:val="21"/>
              </w:rPr>
              <w:t>诊断必须经国家机关认可的有合法资质的神经科专科医生基于以下检查报告作出：脑电图、脑脊液报告、电脑断层扫描(CT)及核磁共振(MRI)。 </w:t>
            </w:r>
          </w:p>
        </w:tc>
      </w:tr>
      <w:tr>
        <w:trPr>
          <w:trHeight w:val="343" w:hRule="atLeast"/>
        </w:trPr>
        <w:tc>
          <w:tcPr>
            <w:tcW w:w="656" w:type="dxa"/>
          </w:tcPr>
          <w:p>
            <w:pPr>
              <w:pStyle w:val="TableParagraph"/>
              <w:spacing w:line="268" w:lineRule="exact"/>
              <w:rPr>
                <w:b/>
                <w:sz w:val="21"/>
              </w:rPr>
            </w:pPr>
            <w:r>
              <w:rPr>
                <w:b/>
                <w:w w:val="99"/>
                <w:sz w:val="21"/>
              </w:rPr>
              <w:t> </w:t>
            </w:r>
          </w:p>
        </w:tc>
        <w:tc>
          <w:tcPr>
            <w:tcW w:w="1783" w:type="dxa"/>
          </w:tcPr>
          <w:p>
            <w:pPr>
              <w:pStyle w:val="TableParagraph"/>
              <w:spacing w:line="268" w:lineRule="exact"/>
              <w:ind w:left="350"/>
              <w:rPr>
                <w:b/>
                <w:sz w:val="21"/>
              </w:rPr>
            </w:pPr>
            <w:r>
              <w:rPr>
                <w:b/>
                <w:w w:val="99"/>
                <w:sz w:val="21"/>
              </w:rPr>
              <w:t> </w:t>
            </w:r>
          </w:p>
        </w:tc>
        <w:tc>
          <w:tcPr>
            <w:tcW w:w="7736" w:type="dxa"/>
          </w:tcPr>
          <w:p>
            <w:pPr>
              <w:pStyle w:val="TableParagraph"/>
              <w:spacing w:line="268" w:lineRule="exact"/>
              <w:ind w:left="166"/>
              <w:rPr>
                <w:sz w:val="21"/>
              </w:rPr>
            </w:pPr>
            <w:r>
              <w:rPr>
                <w:w w:val="100"/>
                <w:sz w:val="21"/>
              </w:rPr>
              <w:t> </w:t>
            </w:r>
          </w:p>
        </w:tc>
      </w:tr>
      <w:tr>
        <w:trPr>
          <w:trHeight w:val="1716" w:hRule="atLeast"/>
        </w:trPr>
        <w:tc>
          <w:tcPr>
            <w:tcW w:w="656" w:type="dxa"/>
          </w:tcPr>
          <w:p>
            <w:pPr>
              <w:pStyle w:val="TableParagraph"/>
              <w:spacing w:line="266" w:lineRule="exact"/>
              <w:rPr>
                <w:b/>
                <w:sz w:val="21"/>
              </w:rPr>
            </w:pPr>
            <w:r>
              <w:rPr>
                <w:b/>
                <w:w w:val="99"/>
                <w:sz w:val="21"/>
              </w:rPr>
              <w:t> </w:t>
            </w:r>
          </w:p>
        </w:tc>
        <w:tc>
          <w:tcPr>
            <w:tcW w:w="1783" w:type="dxa"/>
          </w:tcPr>
          <w:p>
            <w:pPr>
              <w:pStyle w:val="TableParagraph"/>
              <w:spacing w:line="302" w:lineRule="auto"/>
              <w:ind w:left="350" w:right="162"/>
              <w:rPr>
                <w:b/>
                <w:sz w:val="21"/>
              </w:rPr>
            </w:pPr>
            <w:r>
              <w:rPr>
                <w:b/>
                <w:sz w:val="21"/>
              </w:rPr>
              <w:t>39. 慢性呼吸功能衰竭</w:t>
            </w:r>
            <w:r>
              <w:rPr>
                <w:b/>
                <w:w w:val="99"/>
                <w:sz w:val="21"/>
              </w:rPr>
              <w:t> </w:t>
            </w:r>
          </w:p>
        </w:tc>
        <w:tc>
          <w:tcPr>
            <w:tcW w:w="7736" w:type="dxa"/>
          </w:tcPr>
          <w:p>
            <w:pPr>
              <w:pStyle w:val="TableParagraph"/>
              <w:spacing w:line="266" w:lineRule="exact"/>
              <w:ind w:left="166"/>
              <w:rPr>
                <w:sz w:val="21"/>
              </w:rPr>
            </w:pPr>
            <w:r>
              <w:rPr>
                <w:sz w:val="21"/>
              </w:rPr>
              <w:t>慢性肺部疾病导致永久不可逆性的慢性呼吸功能衰竭，必须符合下列所有条件： </w:t>
            </w:r>
          </w:p>
          <w:p>
            <w:pPr>
              <w:pStyle w:val="TableParagraph"/>
              <w:spacing w:before="70"/>
              <w:ind w:left="166"/>
              <w:rPr>
                <w:sz w:val="21"/>
              </w:rPr>
            </w:pPr>
            <w:r>
              <w:rPr>
                <w:sz w:val="21"/>
              </w:rPr>
              <w:t>（1）休息时出现呼吸困难；  </w:t>
            </w:r>
          </w:p>
          <w:p>
            <w:pPr>
              <w:pStyle w:val="TableParagraph"/>
              <w:spacing w:before="65"/>
              <w:ind w:left="166"/>
              <w:rPr>
                <w:sz w:val="21"/>
              </w:rPr>
            </w:pPr>
            <w:r>
              <w:rPr>
                <w:sz w:val="21"/>
              </w:rPr>
              <w:t>（2）动脉血氧分压（PaO2）&lt; 50mmHg；  </w:t>
            </w:r>
          </w:p>
          <w:p>
            <w:pPr>
              <w:pStyle w:val="TableParagraph"/>
              <w:spacing w:before="70"/>
              <w:ind w:left="166"/>
              <w:rPr>
                <w:sz w:val="21"/>
              </w:rPr>
            </w:pPr>
            <w:r>
              <w:rPr>
                <w:sz w:val="21"/>
              </w:rPr>
              <w:t>（3）动脉血氧饱和度（SaO2）&lt; 80％；  </w:t>
            </w:r>
          </w:p>
          <w:p>
            <w:pPr>
              <w:pStyle w:val="TableParagraph"/>
              <w:spacing w:before="65"/>
              <w:ind w:left="166"/>
              <w:rPr>
                <w:sz w:val="21"/>
              </w:rPr>
            </w:pPr>
            <w:r>
              <w:rPr>
                <w:w w:val="100"/>
                <w:sz w:val="21"/>
              </w:rPr>
              <w:t>（4）</w:t>
            </w:r>
            <w:r>
              <w:rPr>
                <w:spacing w:val="-3"/>
                <w:w w:val="100"/>
                <w:sz w:val="21"/>
              </w:rPr>
              <w:t>因缺氧必须接受</w:t>
            </w:r>
            <w:r>
              <w:rPr>
                <w:b/>
                <w:w w:val="100"/>
                <w:sz w:val="21"/>
              </w:rPr>
              <w:t>持续的输氧治疗</w:t>
            </w:r>
            <w:r>
              <w:rPr>
                <w:spacing w:val="-5"/>
                <w:w w:val="100"/>
                <w:sz w:val="21"/>
              </w:rPr>
              <w:t>（</w:t>
            </w:r>
            <w:r>
              <w:rPr>
                <w:w w:val="100"/>
                <w:sz w:val="21"/>
              </w:rPr>
              <w:t>见释义</w:t>
            </w:r>
            <w:r>
              <w:rPr>
                <w:spacing w:val="-53"/>
                <w:sz w:val="21"/>
              </w:rPr>
              <w:t> </w:t>
            </w:r>
            <w:r>
              <w:rPr>
                <w:w w:val="100"/>
                <w:sz w:val="21"/>
              </w:rPr>
              <w:t>6</w:t>
            </w:r>
            <w:r>
              <w:rPr>
                <w:spacing w:val="-5"/>
                <w:w w:val="100"/>
                <w:sz w:val="21"/>
              </w:rPr>
              <w:t>.</w:t>
            </w:r>
            <w:r>
              <w:rPr>
                <w:w w:val="100"/>
                <w:sz w:val="21"/>
              </w:rPr>
              <w:t>20</w:t>
            </w:r>
            <w:r>
              <w:rPr>
                <w:spacing w:val="-111"/>
                <w:w w:val="100"/>
                <w:sz w:val="21"/>
              </w:rPr>
              <w:t>）</w:t>
            </w:r>
            <w:r>
              <w:rPr>
                <w:w w:val="100"/>
                <w:sz w:val="21"/>
              </w:rPr>
              <w:t>。 </w:t>
            </w:r>
          </w:p>
        </w:tc>
      </w:tr>
      <w:tr>
        <w:trPr>
          <w:trHeight w:val="343" w:hRule="atLeast"/>
        </w:trPr>
        <w:tc>
          <w:tcPr>
            <w:tcW w:w="656" w:type="dxa"/>
          </w:tcPr>
          <w:p>
            <w:pPr>
              <w:pStyle w:val="TableParagraph"/>
              <w:spacing w:line="268" w:lineRule="exact"/>
              <w:rPr>
                <w:b/>
                <w:sz w:val="21"/>
              </w:rPr>
            </w:pPr>
            <w:r>
              <w:rPr>
                <w:b/>
                <w:w w:val="99"/>
                <w:sz w:val="21"/>
              </w:rPr>
              <w:t> </w:t>
            </w:r>
          </w:p>
        </w:tc>
        <w:tc>
          <w:tcPr>
            <w:tcW w:w="1783" w:type="dxa"/>
          </w:tcPr>
          <w:p>
            <w:pPr>
              <w:pStyle w:val="TableParagraph"/>
              <w:spacing w:line="268" w:lineRule="exact"/>
              <w:ind w:left="350"/>
              <w:rPr>
                <w:b/>
                <w:sz w:val="21"/>
              </w:rPr>
            </w:pPr>
            <w:r>
              <w:rPr>
                <w:b/>
                <w:w w:val="99"/>
                <w:sz w:val="21"/>
              </w:rPr>
              <w:t> </w:t>
            </w:r>
          </w:p>
        </w:tc>
        <w:tc>
          <w:tcPr>
            <w:tcW w:w="7736" w:type="dxa"/>
          </w:tcPr>
          <w:p>
            <w:pPr>
              <w:pStyle w:val="TableParagraph"/>
              <w:spacing w:line="268" w:lineRule="exact"/>
              <w:ind w:left="166"/>
              <w:rPr>
                <w:sz w:val="21"/>
              </w:rPr>
            </w:pPr>
            <w:r>
              <w:rPr>
                <w:w w:val="100"/>
                <w:sz w:val="21"/>
              </w:rPr>
              <w:t> </w:t>
            </w:r>
          </w:p>
        </w:tc>
      </w:tr>
      <w:tr>
        <w:trPr>
          <w:trHeight w:val="962" w:hRule="atLeast"/>
        </w:trPr>
        <w:tc>
          <w:tcPr>
            <w:tcW w:w="656" w:type="dxa"/>
          </w:tcPr>
          <w:p>
            <w:pPr>
              <w:pStyle w:val="TableParagraph"/>
              <w:spacing w:line="266" w:lineRule="exact"/>
              <w:rPr>
                <w:b/>
                <w:sz w:val="21"/>
              </w:rPr>
            </w:pPr>
            <w:r>
              <w:rPr>
                <w:b/>
                <w:w w:val="99"/>
                <w:sz w:val="21"/>
              </w:rPr>
              <w:t> </w:t>
            </w:r>
          </w:p>
        </w:tc>
        <w:tc>
          <w:tcPr>
            <w:tcW w:w="1783" w:type="dxa"/>
          </w:tcPr>
          <w:p>
            <w:pPr>
              <w:pStyle w:val="TableParagraph"/>
              <w:spacing w:line="302" w:lineRule="auto"/>
              <w:ind w:left="350" w:right="162"/>
              <w:rPr>
                <w:b/>
                <w:sz w:val="21"/>
              </w:rPr>
            </w:pPr>
            <w:r>
              <w:rPr>
                <w:b/>
                <w:sz w:val="21"/>
              </w:rPr>
              <w:t>40. 终末期肺病</w:t>
            </w:r>
            <w:r>
              <w:rPr>
                <w:b/>
                <w:w w:val="99"/>
                <w:sz w:val="21"/>
              </w:rPr>
              <w:t> </w:t>
            </w:r>
          </w:p>
        </w:tc>
        <w:tc>
          <w:tcPr>
            <w:tcW w:w="7736" w:type="dxa"/>
          </w:tcPr>
          <w:p>
            <w:pPr>
              <w:pStyle w:val="TableParagraph"/>
              <w:spacing w:line="302" w:lineRule="auto"/>
              <w:ind w:left="166" w:right="298"/>
              <w:rPr>
                <w:sz w:val="21"/>
              </w:rPr>
            </w:pPr>
            <w:r>
              <w:rPr>
                <w:spacing w:val="-9"/>
                <w:sz w:val="21"/>
              </w:rPr>
              <w:t>被保险人患有终末期肺病而出现的慢性呼吸衰竭。该病必须由医院的呼吸科专科</w:t>
            </w:r>
            <w:r>
              <w:rPr>
                <w:spacing w:val="-7"/>
                <w:sz w:val="21"/>
              </w:rPr>
              <w:t>医生确诊并符合以下各项：</w:t>
            </w:r>
            <w:r>
              <w:rPr>
                <w:spacing w:val="-5"/>
                <w:sz w:val="21"/>
              </w:rPr>
              <w:t> </w:t>
            </w:r>
            <w:r>
              <w:rPr>
                <w:sz w:val="21"/>
              </w:rPr>
              <w:t> </w:t>
            </w:r>
          </w:p>
          <w:p>
            <w:pPr>
              <w:pStyle w:val="TableParagraph"/>
              <w:spacing w:line="265" w:lineRule="exact" w:before="20"/>
              <w:ind w:left="166"/>
              <w:rPr>
                <w:sz w:val="21"/>
              </w:rPr>
            </w:pPr>
            <w:r>
              <w:rPr>
                <w:sz w:val="21"/>
              </w:rPr>
              <w:t>（1）肺功能测试其 FEV1 持续低于 1 升；  </w:t>
            </w:r>
          </w:p>
        </w:tc>
      </w:tr>
    </w:tbl>
    <w:p>
      <w:pPr>
        <w:spacing w:after="0" w:line="265" w:lineRule="exact"/>
        <w:rPr>
          <w:sz w:val="21"/>
        </w:rPr>
        <w:sectPr>
          <w:pgSz w:w="11910" w:h="16840"/>
          <w:pgMar w:header="0" w:footer="915" w:top="1500" w:bottom="1100" w:left="80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889"/>
        <w:gridCol w:w="7633"/>
      </w:tblGrid>
      <w:tr>
        <w:trPr>
          <w:trHeight w:val="962" w:hRule="atLeast"/>
        </w:trPr>
        <w:tc>
          <w:tcPr>
            <w:tcW w:w="656" w:type="dxa"/>
          </w:tcPr>
          <w:p>
            <w:pPr>
              <w:pStyle w:val="TableParagraph"/>
              <w:ind w:left="0"/>
              <w:rPr>
                <w:rFonts w:ascii="Times New Roman"/>
                <w:sz w:val="20"/>
              </w:rPr>
            </w:pPr>
          </w:p>
        </w:tc>
        <w:tc>
          <w:tcPr>
            <w:tcW w:w="1889" w:type="dxa"/>
          </w:tcPr>
          <w:p>
            <w:pPr>
              <w:pStyle w:val="TableParagraph"/>
              <w:ind w:left="0"/>
              <w:rPr>
                <w:rFonts w:ascii="Times New Roman"/>
                <w:sz w:val="20"/>
              </w:rPr>
            </w:pPr>
          </w:p>
        </w:tc>
        <w:tc>
          <w:tcPr>
            <w:tcW w:w="7633" w:type="dxa"/>
          </w:tcPr>
          <w:p>
            <w:pPr>
              <w:pStyle w:val="TableParagraph"/>
              <w:spacing w:line="201" w:lineRule="exact"/>
              <w:ind w:left="60"/>
              <w:rPr>
                <w:sz w:val="21"/>
              </w:rPr>
            </w:pPr>
            <w:r>
              <w:rPr>
                <w:sz w:val="21"/>
              </w:rPr>
              <w:t>（2）动脉血气分析氧分压（PaO2）&lt; 55mmHg；  </w:t>
            </w:r>
          </w:p>
          <w:p>
            <w:pPr>
              <w:pStyle w:val="TableParagraph"/>
              <w:spacing w:before="66"/>
              <w:ind w:left="60"/>
              <w:rPr>
                <w:sz w:val="21"/>
              </w:rPr>
            </w:pPr>
            <w:r>
              <w:rPr>
                <w:sz w:val="21"/>
              </w:rPr>
              <w:t>（3）休息时出现呼吸困难；  </w:t>
            </w:r>
          </w:p>
          <w:p>
            <w:pPr>
              <w:pStyle w:val="TableParagraph"/>
              <w:spacing w:before="71"/>
              <w:ind w:left="60"/>
              <w:rPr>
                <w:sz w:val="21"/>
              </w:rPr>
            </w:pPr>
            <w:r>
              <w:rPr>
                <w:sz w:val="21"/>
              </w:rPr>
              <w:t>（4）必须接受持续的输氧治疗。 </w:t>
            </w:r>
          </w:p>
        </w:tc>
      </w:tr>
      <w:tr>
        <w:trPr>
          <w:trHeight w:val="340" w:hRule="atLeast"/>
        </w:trPr>
        <w:tc>
          <w:tcPr>
            <w:tcW w:w="656" w:type="dxa"/>
          </w:tcPr>
          <w:p>
            <w:pPr>
              <w:pStyle w:val="TableParagraph"/>
              <w:spacing w:line="266" w:lineRule="exact"/>
              <w:rPr>
                <w:b/>
                <w:sz w:val="21"/>
              </w:rPr>
            </w:pPr>
            <w:r>
              <w:rPr>
                <w:b/>
                <w:w w:val="99"/>
                <w:sz w:val="21"/>
              </w:rPr>
              <w:t> </w:t>
            </w:r>
          </w:p>
        </w:tc>
        <w:tc>
          <w:tcPr>
            <w:tcW w:w="1889" w:type="dxa"/>
          </w:tcPr>
          <w:p>
            <w:pPr>
              <w:pStyle w:val="TableParagraph"/>
              <w:spacing w:line="266" w:lineRule="exact"/>
              <w:ind w:left="350"/>
              <w:rPr>
                <w:b/>
                <w:sz w:val="21"/>
              </w:rPr>
            </w:pPr>
            <w:r>
              <w:rPr>
                <w:b/>
                <w:w w:val="99"/>
                <w:sz w:val="21"/>
              </w:rPr>
              <w:t> </w:t>
            </w:r>
          </w:p>
        </w:tc>
        <w:tc>
          <w:tcPr>
            <w:tcW w:w="7633" w:type="dxa"/>
          </w:tcPr>
          <w:p>
            <w:pPr>
              <w:pStyle w:val="TableParagraph"/>
              <w:spacing w:line="266" w:lineRule="exact"/>
              <w:ind w:left="60"/>
              <w:rPr>
                <w:sz w:val="21"/>
              </w:rPr>
            </w:pPr>
            <w:r>
              <w:rPr>
                <w:w w:val="100"/>
                <w:sz w:val="21"/>
              </w:rPr>
              <w:t> </w:t>
            </w:r>
          </w:p>
        </w:tc>
      </w:tr>
      <w:tr>
        <w:trPr>
          <w:trHeight w:val="1482" w:hRule="atLeast"/>
        </w:trPr>
        <w:tc>
          <w:tcPr>
            <w:tcW w:w="656" w:type="dxa"/>
          </w:tcPr>
          <w:p>
            <w:pPr>
              <w:pStyle w:val="TableParagraph"/>
              <w:spacing w:line="272" w:lineRule="exact"/>
              <w:rPr>
                <w:b/>
                <w:sz w:val="21"/>
              </w:rPr>
            </w:pPr>
            <w:r>
              <w:rPr>
                <w:b/>
                <w:w w:val="99"/>
                <w:sz w:val="21"/>
              </w:rPr>
              <w:t> </w:t>
            </w:r>
          </w:p>
        </w:tc>
        <w:tc>
          <w:tcPr>
            <w:tcW w:w="1889" w:type="dxa"/>
          </w:tcPr>
          <w:p>
            <w:pPr>
              <w:pStyle w:val="TableParagraph"/>
              <w:spacing w:line="297" w:lineRule="auto"/>
              <w:ind w:left="350" w:right="268"/>
              <w:rPr>
                <w:b/>
                <w:sz w:val="21"/>
              </w:rPr>
            </w:pPr>
            <w:r>
              <w:rPr>
                <w:b/>
                <w:sz w:val="21"/>
              </w:rPr>
              <w:t>41. 严重类风湿性关节炎</w:t>
            </w:r>
            <w:r>
              <w:rPr>
                <w:b/>
                <w:w w:val="99"/>
                <w:sz w:val="21"/>
              </w:rPr>
              <w:t> </w:t>
            </w:r>
          </w:p>
        </w:tc>
        <w:tc>
          <w:tcPr>
            <w:tcW w:w="7633" w:type="dxa"/>
          </w:tcPr>
          <w:p>
            <w:pPr>
              <w:pStyle w:val="TableParagraph"/>
              <w:spacing w:line="292" w:lineRule="auto"/>
              <w:ind w:left="60" w:right="303"/>
              <w:jc w:val="both"/>
              <w:rPr>
                <w:sz w:val="21"/>
              </w:rPr>
            </w:pPr>
            <w:r>
              <w:rPr>
                <w:spacing w:val="-5"/>
                <w:sz w:val="21"/>
              </w:rPr>
              <w:t>广泛的关节损坏，临床上存在三个或三个以上下列关节的畸形</w:t>
            </w:r>
            <w:r>
              <w:rPr>
                <w:rFonts w:ascii="Times New Roman" w:eastAsia="Times New Roman"/>
                <w:sz w:val="21"/>
              </w:rPr>
              <w:t>:</w:t>
            </w:r>
            <w:r>
              <w:rPr>
                <w:spacing w:val="-3"/>
                <w:sz w:val="21"/>
              </w:rPr>
              <w:t>手、腕、肘、颈</w:t>
            </w:r>
            <w:r>
              <w:rPr>
                <w:spacing w:val="-11"/>
                <w:sz w:val="21"/>
              </w:rPr>
              <w:t>椎、膝、踝、或足部跖趾关节。并且由本公司认可医院的专科医生确认被保险人</w:t>
            </w:r>
            <w:r>
              <w:rPr>
                <w:spacing w:val="-10"/>
                <w:sz w:val="21"/>
              </w:rPr>
              <w:t>在无他人协助下无法独立完成六项基本日常生活活动中的三项或三项以上。上述畸形及功能异常须持续至少达 </w:t>
            </w:r>
            <w:r>
              <w:rPr>
                <w:rFonts w:ascii="Times New Roman" w:eastAsia="Times New Roman"/>
                <w:sz w:val="21"/>
              </w:rPr>
              <w:t>180 </w:t>
            </w:r>
            <w:r>
              <w:rPr>
                <w:sz w:val="21"/>
              </w:rPr>
              <w:t>天。</w:t>
            </w:r>
          </w:p>
        </w:tc>
      </w:tr>
      <w:tr>
        <w:trPr>
          <w:trHeight w:val="400" w:hRule="atLeast"/>
        </w:trPr>
        <w:tc>
          <w:tcPr>
            <w:tcW w:w="656" w:type="dxa"/>
          </w:tcPr>
          <w:p>
            <w:pPr>
              <w:pStyle w:val="TableParagraph"/>
              <w:spacing w:before="84"/>
              <w:rPr>
                <w:b/>
                <w:sz w:val="21"/>
              </w:rPr>
            </w:pPr>
            <w:r>
              <w:rPr>
                <w:b/>
                <w:w w:val="99"/>
                <w:sz w:val="21"/>
              </w:rPr>
              <w:t> </w:t>
            </w:r>
          </w:p>
        </w:tc>
        <w:tc>
          <w:tcPr>
            <w:tcW w:w="1889" w:type="dxa"/>
          </w:tcPr>
          <w:p>
            <w:pPr>
              <w:pStyle w:val="TableParagraph"/>
              <w:spacing w:before="84"/>
              <w:ind w:left="350"/>
              <w:rPr>
                <w:b/>
                <w:sz w:val="21"/>
              </w:rPr>
            </w:pPr>
            <w:r>
              <w:rPr>
                <w:b/>
                <w:w w:val="99"/>
                <w:sz w:val="21"/>
              </w:rPr>
              <w:t> </w:t>
            </w:r>
          </w:p>
        </w:tc>
        <w:tc>
          <w:tcPr>
            <w:tcW w:w="7633" w:type="dxa"/>
          </w:tcPr>
          <w:p>
            <w:pPr>
              <w:pStyle w:val="TableParagraph"/>
              <w:ind w:left="0"/>
              <w:rPr>
                <w:rFonts w:ascii="Times New Roman"/>
                <w:sz w:val="20"/>
              </w:rPr>
            </w:pPr>
          </w:p>
        </w:tc>
      </w:tr>
      <w:tr>
        <w:trPr>
          <w:trHeight w:val="4160" w:hRule="atLeast"/>
        </w:trPr>
        <w:tc>
          <w:tcPr>
            <w:tcW w:w="656" w:type="dxa"/>
          </w:tcPr>
          <w:p>
            <w:pPr>
              <w:pStyle w:val="TableParagraph"/>
              <w:spacing w:line="232" w:lineRule="exact"/>
              <w:rPr>
                <w:b/>
                <w:sz w:val="21"/>
              </w:rPr>
            </w:pPr>
            <w:r>
              <w:rPr>
                <w:b/>
                <w:w w:val="99"/>
                <w:sz w:val="21"/>
              </w:rPr>
              <w:t> </w:t>
            </w:r>
          </w:p>
        </w:tc>
        <w:tc>
          <w:tcPr>
            <w:tcW w:w="1889" w:type="dxa"/>
          </w:tcPr>
          <w:p>
            <w:pPr>
              <w:pStyle w:val="TableParagraph"/>
              <w:spacing w:line="232" w:lineRule="exact"/>
              <w:ind w:left="350"/>
              <w:rPr>
                <w:b/>
                <w:sz w:val="21"/>
              </w:rPr>
            </w:pPr>
            <w:r>
              <w:rPr>
                <w:b/>
                <w:sz w:val="21"/>
              </w:rPr>
              <w:t>42. 系统性红</w:t>
            </w:r>
          </w:p>
          <w:p>
            <w:pPr>
              <w:pStyle w:val="TableParagraph"/>
              <w:spacing w:before="66"/>
              <w:ind w:left="350"/>
              <w:rPr>
                <w:b/>
                <w:sz w:val="21"/>
              </w:rPr>
            </w:pPr>
            <w:r>
              <w:rPr>
                <w:b/>
                <w:sz w:val="21"/>
              </w:rPr>
              <w:t>斑狼疮</w:t>
            </w:r>
            <w:r>
              <w:rPr>
                <w:b/>
                <w:w w:val="99"/>
                <w:sz w:val="21"/>
              </w:rPr>
              <w:t> </w:t>
            </w:r>
          </w:p>
        </w:tc>
        <w:tc>
          <w:tcPr>
            <w:tcW w:w="7633" w:type="dxa"/>
          </w:tcPr>
          <w:p>
            <w:pPr>
              <w:pStyle w:val="TableParagraph"/>
              <w:spacing w:line="232" w:lineRule="exact"/>
              <w:ind w:left="60"/>
              <w:rPr>
                <w:sz w:val="21"/>
              </w:rPr>
            </w:pPr>
            <w:r>
              <w:rPr>
                <w:sz w:val="21"/>
              </w:rPr>
              <w:t>系统性红斑狼疮是一种累及多脏器的自身免疫性的炎症性结缔组织病，多发于青</w:t>
            </w:r>
          </w:p>
          <w:p>
            <w:pPr>
              <w:pStyle w:val="TableParagraph"/>
              <w:spacing w:line="290" w:lineRule="auto" w:before="66"/>
              <w:ind w:left="60" w:right="300"/>
              <w:jc w:val="both"/>
              <w:rPr>
                <w:sz w:val="21"/>
              </w:rPr>
            </w:pPr>
            <w:r>
              <w:rPr>
                <w:spacing w:val="-9"/>
                <w:sz w:val="21"/>
              </w:rPr>
              <w:t>年女性。该病必须由医院的风湿科专科医生确诊。本合同所指的系统性红斑狼疮仅限于累及肾脏的情况，即经肾脏活检确认的，符合 </w:t>
            </w:r>
            <w:r>
              <w:rPr>
                <w:rFonts w:ascii="Times New Roman" w:eastAsia="Times New Roman"/>
                <w:sz w:val="21"/>
              </w:rPr>
              <w:t>WHO </w:t>
            </w:r>
            <w:r>
              <w:rPr>
                <w:spacing w:val="-9"/>
                <w:sz w:val="21"/>
              </w:rPr>
              <w:t>诊断标准定义 </w:t>
            </w:r>
            <w:r>
              <w:rPr>
                <w:rFonts w:ascii="Times New Roman" w:eastAsia="Times New Roman"/>
                <w:spacing w:val="-3"/>
                <w:sz w:val="21"/>
              </w:rPr>
              <w:t>III </w:t>
            </w:r>
            <w:r>
              <w:rPr>
                <w:sz w:val="21"/>
              </w:rPr>
              <w:t>型</w:t>
            </w:r>
            <w:r>
              <w:rPr>
                <w:w w:val="100"/>
                <w:sz w:val="21"/>
              </w:rPr>
              <w:t>至</w:t>
            </w:r>
            <w:r>
              <w:rPr>
                <w:spacing w:val="-53"/>
                <w:sz w:val="21"/>
              </w:rPr>
              <w:t> </w:t>
            </w:r>
            <w:r>
              <w:rPr>
                <w:rFonts w:ascii="Times New Roman" w:eastAsia="Times New Roman"/>
                <w:w w:val="100"/>
                <w:sz w:val="21"/>
              </w:rPr>
              <w:t>V</w:t>
            </w:r>
            <w:r>
              <w:rPr>
                <w:rFonts w:ascii="Times New Roman" w:eastAsia="Times New Roman"/>
                <w:spacing w:val="-4"/>
                <w:sz w:val="21"/>
              </w:rPr>
              <w:t> </w:t>
            </w:r>
            <w:r>
              <w:rPr>
                <w:spacing w:val="-5"/>
                <w:w w:val="100"/>
                <w:sz w:val="21"/>
              </w:rPr>
              <w:t>型狼疮性肾炎的诊断标准，并伴有</w:t>
            </w:r>
            <w:r>
              <w:rPr>
                <w:b/>
                <w:spacing w:val="-4"/>
                <w:w w:val="100"/>
                <w:sz w:val="21"/>
              </w:rPr>
              <w:t>持续性蛋白尿</w:t>
            </w:r>
            <w:r>
              <w:rPr>
                <w:b/>
                <w:w w:val="100"/>
                <w:sz w:val="21"/>
              </w:rPr>
              <w:t>（尿蛋白</w:t>
            </w:r>
            <w:r>
              <w:rPr>
                <w:b/>
                <w:w w:val="99"/>
                <w:sz w:val="21"/>
              </w:rPr>
              <w:t>++</w:t>
            </w:r>
            <w:r>
              <w:rPr>
                <w:b/>
                <w:w w:val="100"/>
                <w:sz w:val="21"/>
              </w:rPr>
              <w:t>以上</w:t>
            </w:r>
            <w:r>
              <w:rPr>
                <w:b/>
                <w:spacing w:val="-115"/>
                <w:w w:val="100"/>
                <w:sz w:val="21"/>
              </w:rPr>
              <w:t>）</w:t>
            </w:r>
            <w:r>
              <w:rPr>
                <w:spacing w:val="-5"/>
                <w:w w:val="100"/>
                <w:sz w:val="21"/>
              </w:rPr>
              <w:t>（</w:t>
            </w:r>
            <w:r>
              <w:rPr>
                <w:w w:val="100"/>
                <w:sz w:val="21"/>
              </w:rPr>
              <w:t>见释义</w:t>
            </w:r>
          </w:p>
          <w:p>
            <w:pPr>
              <w:pStyle w:val="TableParagraph"/>
              <w:spacing w:line="297" w:lineRule="auto" w:before="6"/>
              <w:ind w:left="60" w:right="303"/>
              <w:rPr>
                <w:sz w:val="21"/>
              </w:rPr>
            </w:pPr>
            <w:r>
              <w:rPr>
                <w:spacing w:val="-5"/>
                <w:sz w:val="21"/>
              </w:rPr>
              <w:t>6.21）</w:t>
            </w:r>
            <w:r>
              <w:rPr>
                <w:spacing w:val="-7"/>
                <w:sz w:val="21"/>
              </w:rPr>
              <w:t>的系统性红斑狼疮。其他类型的红斑性狼疮，如盘状狼疮、仅累及血液及</w:t>
            </w:r>
            <w:r>
              <w:rPr>
                <w:spacing w:val="-6"/>
                <w:sz w:val="21"/>
              </w:rPr>
              <w:t>关节的狼疮不在保障范围内。</w:t>
            </w:r>
          </w:p>
          <w:p>
            <w:pPr>
              <w:pStyle w:val="TableParagraph"/>
              <w:spacing w:before="19"/>
              <w:ind w:left="60"/>
              <w:jc w:val="both"/>
              <w:rPr>
                <w:sz w:val="21"/>
              </w:rPr>
            </w:pPr>
            <w:r>
              <w:rPr>
                <w:sz w:val="21"/>
              </w:rPr>
              <w:t>世界卫生组织（</w:t>
            </w:r>
            <w:r>
              <w:rPr>
                <w:rFonts w:ascii="Times New Roman" w:eastAsia="Times New Roman"/>
                <w:sz w:val="21"/>
              </w:rPr>
              <w:t>WHO</w:t>
            </w:r>
            <w:r>
              <w:rPr>
                <w:sz w:val="21"/>
              </w:rPr>
              <w:t>）狼疮性肾炎分型：</w:t>
            </w:r>
          </w:p>
          <w:p>
            <w:pPr>
              <w:pStyle w:val="TableParagraph"/>
              <w:numPr>
                <w:ilvl w:val="0"/>
                <w:numId w:val="10"/>
              </w:numPr>
              <w:tabs>
                <w:tab w:pos="181" w:val="left" w:leader="none"/>
              </w:tabs>
              <w:spacing w:line="240" w:lineRule="auto" w:before="49" w:after="0"/>
              <w:ind w:left="180" w:right="0" w:hanging="120"/>
              <w:jc w:val="both"/>
              <w:rPr>
                <w:sz w:val="21"/>
              </w:rPr>
            </w:pPr>
            <w:r>
              <w:rPr>
                <w:sz w:val="21"/>
              </w:rPr>
              <w:t>型（</w:t>
            </w:r>
            <w:r>
              <w:rPr>
                <w:spacing w:val="-1"/>
                <w:sz w:val="21"/>
              </w:rPr>
              <w:t>微小病变型</w:t>
            </w:r>
            <w:r>
              <w:rPr>
                <w:sz w:val="21"/>
              </w:rPr>
              <w:t>）</w:t>
            </w:r>
          </w:p>
          <w:p>
            <w:pPr>
              <w:pStyle w:val="TableParagraph"/>
              <w:numPr>
                <w:ilvl w:val="0"/>
                <w:numId w:val="10"/>
              </w:numPr>
              <w:tabs>
                <w:tab w:pos="248" w:val="left" w:leader="none"/>
              </w:tabs>
              <w:spacing w:line="240" w:lineRule="auto" w:before="54" w:after="0"/>
              <w:ind w:left="247" w:right="0" w:hanging="187"/>
              <w:jc w:val="both"/>
              <w:rPr>
                <w:sz w:val="21"/>
              </w:rPr>
            </w:pPr>
            <w:r>
              <w:rPr>
                <w:sz w:val="21"/>
              </w:rPr>
              <w:t>型（系膜病变型）</w:t>
            </w:r>
          </w:p>
          <w:p>
            <w:pPr>
              <w:pStyle w:val="TableParagraph"/>
              <w:numPr>
                <w:ilvl w:val="0"/>
                <w:numId w:val="10"/>
              </w:numPr>
              <w:tabs>
                <w:tab w:pos="320" w:val="left" w:leader="none"/>
              </w:tabs>
              <w:spacing w:line="240" w:lineRule="auto" w:before="49" w:after="0"/>
              <w:ind w:left="319" w:right="0" w:hanging="259"/>
              <w:jc w:val="both"/>
              <w:rPr>
                <w:sz w:val="21"/>
              </w:rPr>
            </w:pPr>
            <w:r>
              <w:rPr>
                <w:sz w:val="21"/>
              </w:rPr>
              <w:t>型（</w:t>
            </w:r>
            <w:r>
              <w:rPr>
                <w:spacing w:val="-1"/>
                <w:sz w:val="21"/>
              </w:rPr>
              <w:t>局灶及节段增生型</w:t>
            </w:r>
            <w:r>
              <w:rPr>
                <w:sz w:val="21"/>
              </w:rPr>
              <w:t>）</w:t>
            </w:r>
          </w:p>
          <w:p>
            <w:pPr>
              <w:pStyle w:val="TableParagraph"/>
              <w:numPr>
                <w:ilvl w:val="0"/>
                <w:numId w:val="10"/>
              </w:numPr>
              <w:tabs>
                <w:tab w:pos="330" w:val="left" w:leader="none"/>
              </w:tabs>
              <w:spacing w:line="240" w:lineRule="auto" w:before="54" w:after="0"/>
              <w:ind w:left="329" w:right="0" w:hanging="269"/>
              <w:jc w:val="both"/>
              <w:rPr>
                <w:sz w:val="21"/>
              </w:rPr>
            </w:pPr>
            <w:r>
              <w:rPr>
                <w:sz w:val="21"/>
              </w:rPr>
              <w:t>型（弥漫增生型）</w:t>
            </w:r>
          </w:p>
          <w:p>
            <w:pPr>
              <w:pStyle w:val="TableParagraph"/>
              <w:numPr>
                <w:ilvl w:val="0"/>
                <w:numId w:val="10"/>
              </w:numPr>
              <w:tabs>
                <w:tab w:pos="263" w:val="left" w:leader="none"/>
              </w:tabs>
              <w:spacing w:line="240" w:lineRule="auto" w:before="49" w:after="0"/>
              <w:ind w:left="262" w:right="0" w:hanging="202"/>
              <w:jc w:val="both"/>
              <w:rPr>
                <w:sz w:val="21"/>
              </w:rPr>
            </w:pPr>
            <w:r>
              <w:rPr>
                <w:sz w:val="21"/>
              </w:rPr>
              <w:t>型（膜型）</w:t>
            </w:r>
          </w:p>
        </w:tc>
      </w:tr>
      <w:tr>
        <w:trPr>
          <w:trHeight w:val="457" w:hRule="atLeast"/>
        </w:trPr>
        <w:tc>
          <w:tcPr>
            <w:tcW w:w="656" w:type="dxa"/>
          </w:tcPr>
          <w:p>
            <w:pPr>
              <w:pStyle w:val="TableParagraph"/>
              <w:spacing w:before="55"/>
              <w:rPr>
                <w:b/>
                <w:sz w:val="21"/>
              </w:rPr>
            </w:pPr>
            <w:r>
              <w:rPr>
                <w:b/>
                <w:w w:val="99"/>
                <w:sz w:val="21"/>
              </w:rPr>
              <w:t> </w:t>
            </w:r>
          </w:p>
        </w:tc>
        <w:tc>
          <w:tcPr>
            <w:tcW w:w="1889" w:type="dxa"/>
          </w:tcPr>
          <w:p>
            <w:pPr>
              <w:pStyle w:val="TableParagraph"/>
              <w:spacing w:before="55"/>
              <w:ind w:left="350"/>
              <w:rPr>
                <w:b/>
                <w:sz w:val="21"/>
              </w:rPr>
            </w:pPr>
            <w:r>
              <w:rPr>
                <w:b/>
                <w:w w:val="99"/>
                <w:sz w:val="21"/>
              </w:rPr>
              <w:t> </w:t>
            </w:r>
          </w:p>
        </w:tc>
        <w:tc>
          <w:tcPr>
            <w:tcW w:w="7633" w:type="dxa"/>
          </w:tcPr>
          <w:p>
            <w:pPr>
              <w:pStyle w:val="TableParagraph"/>
              <w:ind w:left="0"/>
              <w:rPr>
                <w:rFonts w:ascii="Times New Roman"/>
                <w:sz w:val="20"/>
              </w:rPr>
            </w:pPr>
          </w:p>
        </w:tc>
      </w:tr>
      <w:tr>
        <w:trPr>
          <w:trHeight w:val="1973" w:hRule="atLeast"/>
        </w:trPr>
        <w:tc>
          <w:tcPr>
            <w:tcW w:w="656" w:type="dxa"/>
          </w:tcPr>
          <w:p>
            <w:pPr>
              <w:pStyle w:val="TableParagraph"/>
              <w:spacing w:before="44"/>
              <w:rPr>
                <w:b/>
                <w:sz w:val="21"/>
              </w:rPr>
            </w:pPr>
            <w:r>
              <w:rPr>
                <w:b/>
                <w:w w:val="99"/>
                <w:sz w:val="21"/>
              </w:rPr>
              <w:t> </w:t>
            </w:r>
          </w:p>
        </w:tc>
        <w:tc>
          <w:tcPr>
            <w:tcW w:w="1889" w:type="dxa"/>
          </w:tcPr>
          <w:p>
            <w:pPr>
              <w:pStyle w:val="TableParagraph"/>
              <w:spacing w:line="300" w:lineRule="auto" w:before="44"/>
              <w:ind w:left="350" w:right="153"/>
              <w:rPr>
                <w:b/>
                <w:sz w:val="21"/>
              </w:rPr>
            </w:pPr>
            <w:r>
              <w:rPr>
                <w:b/>
                <w:sz w:val="21"/>
              </w:rPr>
              <w:t>43.严重肠道疾</w:t>
            </w:r>
            <w:r>
              <w:rPr>
                <w:b/>
                <w:spacing w:val="-25"/>
                <w:sz w:val="21"/>
              </w:rPr>
              <w:t>病并发症</w:t>
            </w:r>
            <w:r>
              <w:rPr>
                <w:b/>
                <w:sz w:val="21"/>
              </w:rPr>
              <w:t>（本项保险责任仅在</w:t>
            </w:r>
            <w:r>
              <w:rPr>
                <w:b/>
                <w:spacing w:val="-11"/>
                <w:sz w:val="21"/>
              </w:rPr>
              <w:t>被保险人 </w:t>
            </w:r>
            <w:r>
              <w:rPr>
                <w:b/>
                <w:sz w:val="21"/>
              </w:rPr>
              <w:t>18</w:t>
            </w:r>
            <w:r>
              <w:rPr>
                <w:b/>
                <w:spacing w:val="-27"/>
                <w:sz w:val="21"/>
              </w:rPr>
              <w:t> 周岁以前提供</w:t>
            </w:r>
            <w:r>
              <w:rPr>
                <w:b/>
                <w:spacing w:val="-5"/>
                <w:sz w:val="21"/>
              </w:rPr>
              <w:t>）</w:t>
            </w:r>
            <w:r>
              <w:rPr>
                <w:b/>
                <w:w w:val="99"/>
                <w:sz w:val="21"/>
              </w:rPr>
              <w:t> </w:t>
            </w:r>
          </w:p>
        </w:tc>
        <w:tc>
          <w:tcPr>
            <w:tcW w:w="7633" w:type="dxa"/>
          </w:tcPr>
          <w:p>
            <w:pPr>
              <w:pStyle w:val="TableParagraph"/>
              <w:spacing w:before="44"/>
              <w:ind w:left="60"/>
              <w:rPr>
                <w:sz w:val="21"/>
              </w:rPr>
            </w:pPr>
            <w:r>
              <w:rPr>
                <w:sz w:val="21"/>
              </w:rPr>
              <w:t>严重肠道疾病或外伤导致小肠损害并发症，必须满足以下所有条件：</w:t>
            </w:r>
          </w:p>
          <w:p>
            <w:pPr>
              <w:pStyle w:val="TableParagraph"/>
              <w:spacing w:before="71"/>
              <w:ind w:left="60"/>
              <w:rPr>
                <w:sz w:val="21"/>
              </w:rPr>
            </w:pPr>
            <w:r>
              <w:rPr>
                <w:sz w:val="21"/>
              </w:rPr>
              <w:t>（</w:t>
            </w:r>
            <w:r>
              <w:rPr>
                <w:rFonts w:ascii="Times New Roman" w:eastAsia="Times New Roman"/>
                <w:sz w:val="21"/>
              </w:rPr>
              <w:t>1</w:t>
            </w:r>
            <w:r>
              <w:rPr>
                <w:sz w:val="21"/>
              </w:rPr>
              <w:t>） 至少切除了三分之二小肠；</w:t>
            </w:r>
          </w:p>
          <w:p>
            <w:pPr>
              <w:pStyle w:val="TableParagraph"/>
              <w:spacing w:before="50"/>
              <w:ind w:left="60"/>
              <w:rPr>
                <w:sz w:val="21"/>
              </w:rPr>
            </w:pPr>
            <w:r>
              <w:rPr>
                <w:sz w:val="21"/>
              </w:rPr>
              <w:t>（</w:t>
            </w:r>
            <w:r>
              <w:rPr>
                <w:rFonts w:ascii="Times New Roman" w:eastAsia="Times New Roman"/>
                <w:sz w:val="21"/>
              </w:rPr>
              <w:t>2</w:t>
            </w:r>
            <w:r>
              <w:rPr>
                <w:sz w:val="21"/>
              </w:rPr>
              <w:t>） 完全肠外营养支持 </w:t>
            </w:r>
            <w:r>
              <w:rPr>
                <w:rFonts w:ascii="Times New Roman" w:eastAsia="Times New Roman"/>
                <w:sz w:val="21"/>
              </w:rPr>
              <w:t>3 </w:t>
            </w:r>
            <w:r>
              <w:rPr>
                <w:sz w:val="21"/>
              </w:rPr>
              <w:t>个月以上。</w:t>
            </w:r>
          </w:p>
        </w:tc>
      </w:tr>
      <w:tr>
        <w:trPr>
          <w:trHeight w:val="1673" w:hRule="atLeast"/>
        </w:trPr>
        <w:tc>
          <w:tcPr>
            <w:tcW w:w="656" w:type="dxa"/>
          </w:tcPr>
          <w:p>
            <w:pPr>
              <w:pStyle w:val="TableParagraph"/>
              <w:spacing w:before="1"/>
              <w:ind w:left="0"/>
              <w:rPr>
                <w:b/>
                <w:sz w:val="15"/>
              </w:rPr>
            </w:pPr>
          </w:p>
          <w:p>
            <w:pPr>
              <w:pStyle w:val="TableParagraph"/>
              <w:rPr>
                <w:b/>
                <w:sz w:val="21"/>
              </w:rPr>
            </w:pPr>
            <w:r>
              <w:rPr>
                <w:b/>
                <w:w w:val="99"/>
                <w:sz w:val="21"/>
              </w:rPr>
              <w:t> </w:t>
            </w:r>
          </w:p>
        </w:tc>
        <w:tc>
          <w:tcPr>
            <w:tcW w:w="1889" w:type="dxa"/>
          </w:tcPr>
          <w:p>
            <w:pPr>
              <w:pStyle w:val="TableParagraph"/>
              <w:spacing w:before="1"/>
              <w:ind w:left="0"/>
              <w:rPr>
                <w:b/>
                <w:sz w:val="15"/>
              </w:rPr>
            </w:pPr>
          </w:p>
          <w:p>
            <w:pPr>
              <w:pStyle w:val="TableParagraph"/>
              <w:spacing w:line="300" w:lineRule="auto"/>
              <w:ind w:left="350" w:right="163"/>
              <w:rPr>
                <w:b/>
                <w:sz w:val="21"/>
              </w:rPr>
            </w:pPr>
            <w:r>
              <w:rPr>
                <w:b/>
                <w:sz w:val="21"/>
              </w:rPr>
              <w:t>44.严重幼年型类风湿性关节炎</w:t>
            </w:r>
            <w:r>
              <w:rPr>
                <w:b/>
                <w:w w:val="99"/>
                <w:sz w:val="21"/>
              </w:rPr>
              <w:t> </w:t>
            </w:r>
          </w:p>
        </w:tc>
        <w:tc>
          <w:tcPr>
            <w:tcW w:w="7633" w:type="dxa"/>
          </w:tcPr>
          <w:p>
            <w:pPr>
              <w:pStyle w:val="TableParagraph"/>
              <w:spacing w:before="1"/>
              <w:ind w:left="0"/>
              <w:rPr>
                <w:b/>
                <w:sz w:val="15"/>
              </w:rPr>
            </w:pPr>
          </w:p>
          <w:p>
            <w:pPr>
              <w:pStyle w:val="TableParagraph"/>
              <w:spacing w:line="302" w:lineRule="auto"/>
              <w:ind w:left="60" w:right="301"/>
              <w:rPr>
                <w:sz w:val="21"/>
              </w:rPr>
            </w:pPr>
            <w:r>
              <w:rPr>
                <w:spacing w:val="-9"/>
                <w:sz w:val="21"/>
              </w:rPr>
              <w:t>幼年型类风湿关节炎是一种儿童期发病的慢性关节炎，其特点为在高热和系统性</w:t>
            </w:r>
            <w:r>
              <w:rPr>
                <w:spacing w:val="-7"/>
                <w:sz w:val="21"/>
              </w:rPr>
              <w:t>病征出现数月后发生关节炎。</w:t>
            </w:r>
          </w:p>
          <w:p>
            <w:pPr>
              <w:pStyle w:val="TableParagraph"/>
              <w:spacing w:line="302" w:lineRule="auto" w:before="11"/>
              <w:ind w:left="60" w:right="428"/>
              <w:rPr>
                <w:rFonts w:ascii="黑体" w:eastAsia="黑体" w:hint="eastAsia"/>
                <w:sz w:val="21"/>
              </w:rPr>
            </w:pPr>
            <w:r>
              <w:rPr>
                <w:rFonts w:ascii="黑体" w:eastAsia="黑体" w:hint="eastAsia"/>
                <w:sz w:val="21"/>
              </w:rPr>
              <w:t>本主险合同仅对实际接受了膝关节或髋关节置换手术治疗的严重的幼年型类风湿关节炎予以理赔。</w:t>
            </w:r>
          </w:p>
        </w:tc>
      </w:tr>
      <w:tr>
        <w:trPr>
          <w:trHeight w:val="1072" w:hRule="atLeast"/>
        </w:trPr>
        <w:tc>
          <w:tcPr>
            <w:tcW w:w="656" w:type="dxa"/>
          </w:tcPr>
          <w:p>
            <w:pPr>
              <w:pStyle w:val="TableParagraph"/>
              <w:spacing w:before="84"/>
              <w:rPr>
                <w:b/>
                <w:sz w:val="21"/>
              </w:rPr>
            </w:pPr>
            <w:r>
              <w:rPr>
                <w:b/>
                <w:w w:val="99"/>
                <w:sz w:val="21"/>
              </w:rPr>
              <w:t> </w:t>
            </w:r>
          </w:p>
        </w:tc>
        <w:tc>
          <w:tcPr>
            <w:tcW w:w="1889" w:type="dxa"/>
          </w:tcPr>
          <w:p>
            <w:pPr>
              <w:pStyle w:val="TableParagraph"/>
              <w:spacing w:before="84"/>
              <w:ind w:left="350"/>
              <w:rPr>
                <w:b/>
                <w:sz w:val="21"/>
              </w:rPr>
            </w:pPr>
            <w:r>
              <w:rPr>
                <w:b/>
                <w:sz w:val="21"/>
              </w:rPr>
              <w:t>45.严重川崎病</w:t>
            </w:r>
            <w:r>
              <w:rPr>
                <w:b/>
                <w:w w:val="99"/>
                <w:sz w:val="21"/>
              </w:rPr>
              <w:t> </w:t>
            </w:r>
          </w:p>
        </w:tc>
        <w:tc>
          <w:tcPr>
            <w:tcW w:w="7633" w:type="dxa"/>
          </w:tcPr>
          <w:p>
            <w:pPr>
              <w:pStyle w:val="TableParagraph"/>
              <w:spacing w:before="84"/>
              <w:ind w:left="60"/>
              <w:rPr>
                <w:sz w:val="21"/>
              </w:rPr>
            </w:pPr>
            <w:r>
              <w:rPr>
                <w:sz w:val="21"/>
              </w:rPr>
              <w:t>指原因不明的系统性血管炎，并须满足下列全部条件：</w:t>
            </w:r>
          </w:p>
          <w:p>
            <w:pPr>
              <w:pStyle w:val="TableParagraph"/>
              <w:spacing w:before="70"/>
              <w:ind w:left="60"/>
              <w:rPr>
                <w:sz w:val="21"/>
              </w:rPr>
            </w:pPr>
            <w:r>
              <w:rPr>
                <w:sz w:val="21"/>
              </w:rPr>
              <w:t>（</w:t>
            </w:r>
            <w:r>
              <w:rPr>
                <w:rFonts w:ascii="Times New Roman" w:eastAsia="Times New Roman"/>
                <w:sz w:val="21"/>
              </w:rPr>
              <w:t>1</w:t>
            </w:r>
            <w:r>
              <w:rPr>
                <w:sz w:val="21"/>
              </w:rPr>
              <w:t>）超声心动图显示川崎病并发冠状动脉瘤或其他心血管异常；</w:t>
            </w:r>
          </w:p>
          <w:p>
            <w:pPr>
              <w:pStyle w:val="TableParagraph"/>
              <w:spacing w:line="281" w:lineRule="exact" w:before="49"/>
              <w:ind w:left="60"/>
              <w:rPr>
                <w:sz w:val="21"/>
              </w:rPr>
            </w:pPr>
            <w:r>
              <w:rPr>
                <w:w w:val="100"/>
                <w:sz w:val="21"/>
              </w:rPr>
              <w:t>（</w:t>
            </w:r>
            <w:r>
              <w:rPr>
                <w:rFonts w:ascii="Times New Roman" w:eastAsia="Times New Roman"/>
                <w:w w:val="100"/>
                <w:sz w:val="21"/>
              </w:rPr>
              <w:t>2</w:t>
            </w:r>
            <w:r>
              <w:rPr>
                <w:spacing w:val="-87"/>
                <w:w w:val="100"/>
                <w:sz w:val="21"/>
              </w:rPr>
              <w:t>）</w:t>
            </w:r>
            <w:r>
              <w:rPr>
                <w:spacing w:val="-5"/>
                <w:w w:val="100"/>
                <w:sz w:val="21"/>
              </w:rPr>
              <w:t>已接受了针对川崎病并发冠状动脉瘤或其他心血管异常所进行的手术治疗。</w:t>
            </w:r>
          </w:p>
        </w:tc>
      </w:tr>
    </w:tbl>
    <w:p>
      <w:pPr>
        <w:spacing w:after="0" w:line="281" w:lineRule="exact"/>
        <w:rPr>
          <w:sz w:val="21"/>
        </w:rPr>
        <w:sectPr>
          <w:pgSz w:w="11910" w:h="16840"/>
          <w:pgMar w:header="0" w:footer="915" w:top="1500" w:bottom="1100" w:left="80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1577"/>
        <w:gridCol w:w="7680"/>
      </w:tblGrid>
      <w:tr>
        <w:trPr>
          <w:trHeight w:val="2724" w:hRule="atLeast"/>
        </w:trPr>
        <w:tc>
          <w:tcPr>
            <w:tcW w:w="920" w:type="dxa"/>
          </w:tcPr>
          <w:p>
            <w:pPr>
              <w:pStyle w:val="TableParagraph"/>
              <w:spacing w:line="201" w:lineRule="exact"/>
              <w:rPr>
                <w:b/>
                <w:sz w:val="21"/>
              </w:rPr>
            </w:pPr>
            <w:r>
              <w:rPr>
                <w:b/>
                <w:w w:val="99"/>
                <w:sz w:val="21"/>
              </w:rPr>
              <w:t> </w:t>
            </w:r>
          </w:p>
        </w:tc>
        <w:tc>
          <w:tcPr>
            <w:tcW w:w="1577" w:type="dxa"/>
          </w:tcPr>
          <w:p>
            <w:pPr>
              <w:pStyle w:val="TableParagraph"/>
              <w:spacing w:line="201" w:lineRule="exact"/>
              <w:ind w:left="86"/>
              <w:rPr>
                <w:b/>
                <w:sz w:val="21"/>
              </w:rPr>
            </w:pPr>
            <w:r>
              <w:rPr>
                <w:b/>
                <w:sz w:val="21"/>
              </w:rPr>
              <w:t>46.重症手足口</w:t>
            </w:r>
          </w:p>
          <w:p>
            <w:pPr>
              <w:pStyle w:val="TableParagraph"/>
              <w:spacing w:before="66"/>
              <w:ind w:left="86"/>
              <w:rPr>
                <w:b/>
                <w:sz w:val="21"/>
              </w:rPr>
            </w:pPr>
            <w:r>
              <w:rPr>
                <w:b/>
                <w:sz w:val="21"/>
              </w:rPr>
              <w:t>病</w:t>
            </w:r>
            <w:r>
              <w:rPr>
                <w:b/>
                <w:w w:val="99"/>
                <w:sz w:val="21"/>
              </w:rPr>
              <w:t> </w:t>
            </w:r>
          </w:p>
        </w:tc>
        <w:tc>
          <w:tcPr>
            <w:tcW w:w="7680" w:type="dxa"/>
          </w:tcPr>
          <w:p>
            <w:pPr>
              <w:pStyle w:val="TableParagraph"/>
              <w:spacing w:line="201" w:lineRule="exact"/>
              <w:ind w:left="108"/>
              <w:rPr>
                <w:sz w:val="21"/>
              </w:rPr>
            </w:pPr>
            <w:r>
              <w:rPr>
                <w:sz w:val="21"/>
              </w:rPr>
              <w:t>由肠道病毒引起的急性传染病，主要症状表现为手、足、口腔等部位的斑丘疹、</w:t>
            </w:r>
          </w:p>
          <w:p>
            <w:pPr>
              <w:pStyle w:val="TableParagraph"/>
              <w:spacing w:line="302" w:lineRule="auto" w:before="66"/>
              <w:ind w:left="108" w:right="299"/>
              <w:rPr>
                <w:sz w:val="21"/>
              </w:rPr>
            </w:pPr>
            <w:r>
              <w:rPr>
                <w:spacing w:val="-10"/>
                <w:sz w:val="21"/>
              </w:rPr>
              <w:t>疱疹。经本公司认可的医疗机构的专科医生确诊为患有手足口病，并伴有下列三</w:t>
            </w:r>
            <w:r>
              <w:rPr>
                <w:spacing w:val="-7"/>
                <w:sz w:val="21"/>
              </w:rPr>
              <w:t>项中的任意一项并发症：</w:t>
            </w:r>
          </w:p>
          <w:p>
            <w:pPr>
              <w:pStyle w:val="TableParagraph"/>
              <w:spacing w:line="285" w:lineRule="auto" w:before="12"/>
              <w:ind w:left="180" w:right="301"/>
              <w:rPr>
                <w:sz w:val="21"/>
              </w:rPr>
            </w:pPr>
            <w:r>
              <w:rPr>
                <w:spacing w:val="-10"/>
                <w:sz w:val="21"/>
              </w:rPr>
              <w:t>（</w:t>
            </w:r>
            <w:r>
              <w:rPr>
                <w:rFonts w:ascii="Times New Roman" w:eastAsia="Times New Roman"/>
                <w:spacing w:val="-10"/>
                <w:sz w:val="21"/>
              </w:rPr>
              <w:t>1</w:t>
            </w:r>
            <w:r>
              <w:rPr>
                <w:spacing w:val="-10"/>
                <w:sz w:val="21"/>
              </w:rPr>
              <w:t>）</w:t>
            </w:r>
            <w:r>
              <w:rPr>
                <w:spacing w:val="-6"/>
                <w:sz w:val="21"/>
              </w:rPr>
              <w:t>有脑膜炎或脑炎并发症，且导致意识障碍或瘫痪的临床表现及实验室检查证据；</w:t>
            </w:r>
          </w:p>
          <w:p>
            <w:pPr>
              <w:pStyle w:val="TableParagraph"/>
              <w:spacing w:before="26"/>
              <w:ind w:left="108"/>
              <w:rPr>
                <w:sz w:val="21"/>
              </w:rPr>
            </w:pPr>
            <w:r>
              <w:rPr>
                <w:sz w:val="21"/>
              </w:rPr>
              <w:t>（</w:t>
            </w:r>
            <w:r>
              <w:rPr>
                <w:rFonts w:ascii="Times New Roman" w:eastAsia="Times New Roman"/>
                <w:sz w:val="21"/>
              </w:rPr>
              <w:t>2</w:t>
            </w:r>
            <w:r>
              <w:rPr>
                <w:sz w:val="21"/>
              </w:rPr>
              <w:t>）有肺炎或肺水肿并发症，且导致呼吸衰竭的临床表现及实验室检查证据；</w:t>
            </w:r>
          </w:p>
          <w:p>
            <w:pPr>
              <w:pStyle w:val="TableParagraph"/>
              <w:spacing w:line="280" w:lineRule="auto" w:before="55"/>
              <w:ind w:left="108" w:right="321"/>
              <w:rPr>
                <w:sz w:val="21"/>
              </w:rPr>
            </w:pPr>
            <w:r>
              <w:rPr>
                <w:sz w:val="21"/>
              </w:rPr>
              <w:t>（</w:t>
            </w:r>
            <w:r>
              <w:rPr>
                <w:rFonts w:ascii="Times New Roman" w:eastAsia="Times New Roman"/>
                <w:sz w:val="21"/>
              </w:rPr>
              <w:t>3</w:t>
            </w:r>
            <w:r>
              <w:rPr>
                <w:sz w:val="21"/>
              </w:rPr>
              <w:t>）有心肌炎并发症，且导致心脏扩大或心力衰竭的临床表现及实验室检查证据。</w:t>
            </w:r>
          </w:p>
        </w:tc>
      </w:tr>
      <w:tr>
        <w:trPr>
          <w:trHeight w:val="357" w:hRule="atLeast"/>
        </w:trPr>
        <w:tc>
          <w:tcPr>
            <w:tcW w:w="920" w:type="dxa"/>
          </w:tcPr>
          <w:p>
            <w:pPr>
              <w:pStyle w:val="TableParagraph"/>
              <w:spacing w:before="39"/>
              <w:rPr>
                <w:b/>
                <w:sz w:val="21"/>
              </w:rPr>
            </w:pPr>
            <w:r>
              <w:rPr>
                <w:b/>
                <w:w w:val="99"/>
                <w:sz w:val="21"/>
              </w:rPr>
              <w:t> </w:t>
            </w:r>
          </w:p>
        </w:tc>
        <w:tc>
          <w:tcPr>
            <w:tcW w:w="1577" w:type="dxa"/>
          </w:tcPr>
          <w:p>
            <w:pPr>
              <w:pStyle w:val="TableParagraph"/>
              <w:spacing w:before="39"/>
              <w:ind w:left="86"/>
              <w:rPr>
                <w:b/>
                <w:sz w:val="21"/>
              </w:rPr>
            </w:pPr>
            <w:r>
              <w:rPr>
                <w:b/>
                <w:w w:val="99"/>
                <w:sz w:val="21"/>
              </w:rPr>
              <w:t> </w:t>
            </w:r>
          </w:p>
        </w:tc>
        <w:tc>
          <w:tcPr>
            <w:tcW w:w="7680" w:type="dxa"/>
          </w:tcPr>
          <w:p>
            <w:pPr>
              <w:pStyle w:val="TableParagraph"/>
              <w:spacing w:before="39"/>
              <w:ind w:left="108"/>
              <w:rPr>
                <w:sz w:val="21"/>
              </w:rPr>
            </w:pPr>
            <w:r>
              <w:rPr>
                <w:w w:val="100"/>
                <w:sz w:val="21"/>
              </w:rPr>
              <w:t> </w:t>
            </w:r>
          </w:p>
        </w:tc>
      </w:tr>
      <w:tr>
        <w:trPr>
          <w:trHeight w:val="1341" w:hRule="atLeast"/>
        </w:trPr>
        <w:tc>
          <w:tcPr>
            <w:tcW w:w="920" w:type="dxa"/>
          </w:tcPr>
          <w:p>
            <w:pPr>
              <w:pStyle w:val="TableParagraph"/>
              <w:spacing w:line="235" w:lineRule="exact"/>
              <w:rPr>
                <w:b/>
                <w:sz w:val="21"/>
              </w:rPr>
            </w:pPr>
            <w:r>
              <w:rPr>
                <w:b/>
                <w:sz w:val="21"/>
              </w:rPr>
              <w:t>6.6 </w:t>
            </w:r>
          </w:p>
        </w:tc>
        <w:tc>
          <w:tcPr>
            <w:tcW w:w="1577" w:type="dxa"/>
          </w:tcPr>
          <w:p>
            <w:pPr>
              <w:pStyle w:val="TableParagraph"/>
              <w:spacing w:line="235" w:lineRule="exact"/>
              <w:ind w:left="86"/>
              <w:rPr>
                <w:b/>
                <w:sz w:val="21"/>
              </w:rPr>
            </w:pPr>
            <w:r>
              <w:rPr>
                <w:b/>
                <w:sz w:val="21"/>
              </w:rPr>
              <w:t>毒品</w:t>
            </w:r>
            <w:r>
              <w:rPr>
                <w:b/>
                <w:w w:val="99"/>
                <w:sz w:val="21"/>
              </w:rPr>
              <w:t> </w:t>
            </w:r>
          </w:p>
          <w:p>
            <w:pPr>
              <w:pStyle w:val="TableParagraph"/>
              <w:spacing w:before="70"/>
              <w:ind w:left="86"/>
              <w:rPr>
                <w:b/>
                <w:sz w:val="21"/>
              </w:rPr>
            </w:pPr>
            <w:r>
              <w:rPr>
                <w:b/>
                <w:w w:val="99"/>
                <w:sz w:val="21"/>
              </w:rPr>
              <w:t> </w:t>
            </w:r>
          </w:p>
        </w:tc>
        <w:tc>
          <w:tcPr>
            <w:tcW w:w="7680" w:type="dxa"/>
          </w:tcPr>
          <w:p>
            <w:pPr>
              <w:pStyle w:val="TableParagraph"/>
              <w:spacing w:line="235" w:lineRule="exact"/>
              <w:ind w:left="108"/>
              <w:rPr>
                <w:sz w:val="21"/>
              </w:rPr>
            </w:pPr>
            <w:r>
              <w:rPr>
                <w:spacing w:val="-5"/>
                <w:sz w:val="21"/>
              </w:rPr>
              <w:t>指《中华人民共和国刑法》规定的鸦片、海洛因、甲基苯丙胺（</w:t>
            </w:r>
            <w:r>
              <w:rPr>
                <w:sz w:val="21"/>
              </w:rPr>
              <w:t>冰毒</w:t>
            </w:r>
            <w:r>
              <w:rPr>
                <w:spacing w:val="-106"/>
                <w:sz w:val="21"/>
              </w:rPr>
              <w:t>）</w:t>
            </w:r>
            <w:r>
              <w:rPr>
                <w:spacing w:val="-2"/>
                <w:sz w:val="21"/>
              </w:rPr>
              <w:t>、吗啡、</w:t>
            </w:r>
          </w:p>
          <w:p>
            <w:pPr>
              <w:pStyle w:val="TableParagraph"/>
              <w:spacing w:line="300" w:lineRule="auto" w:before="70"/>
              <w:ind w:left="108" w:right="302"/>
              <w:rPr>
                <w:sz w:val="21"/>
              </w:rPr>
            </w:pPr>
            <w:r>
              <w:rPr>
                <w:spacing w:val="-5"/>
                <w:sz w:val="21"/>
              </w:rPr>
              <w:t>大麻、可卡因以及国家规定管制的其他能够使人形成瘾癖的麻醉药品和精神药</w:t>
            </w:r>
            <w:r>
              <w:rPr>
                <w:spacing w:val="-11"/>
                <w:sz w:val="21"/>
              </w:rPr>
              <w:t>品，但不包括由医生开具并遵医嘱使用的用于治疗疾病但含有毒品成分的处方药</w:t>
            </w:r>
            <w:r>
              <w:rPr>
                <w:spacing w:val="-8"/>
                <w:sz w:val="21"/>
              </w:rPr>
              <w:t>品。</w:t>
            </w:r>
            <w:r>
              <w:rPr>
                <w:sz w:val="21"/>
              </w:rPr>
              <w:t> </w:t>
            </w:r>
          </w:p>
        </w:tc>
      </w:tr>
      <w:tr>
        <w:trPr>
          <w:trHeight w:val="307" w:hRule="atLeast"/>
        </w:trPr>
        <w:tc>
          <w:tcPr>
            <w:tcW w:w="920" w:type="dxa"/>
          </w:tcPr>
          <w:p>
            <w:pPr>
              <w:pStyle w:val="TableParagraph"/>
              <w:spacing w:line="266" w:lineRule="exact"/>
              <w:rPr>
                <w:b/>
                <w:sz w:val="21"/>
              </w:rPr>
            </w:pPr>
            <w:r>
              <w:rPr>
                <w:b/>
                <w:w w:val="99"/>
                <w:sz w:val="21"/>
              </w:rPr>
              <w:t> </w:t>
            </w:r>
          </w:p>
        </w:tc>
        <w:tc>
          <w:tcPr>
            <w:tcW w:w="1577" w:type="dxa"/>
          </w:tcPr>
          <w:p>
            <w:pPr>
              <w:pStyle w:val="TableParagraph"/>
              <w:spacing w:line="266" w:lineRule="exact"/>
              <w:ind w:left="86"/>
              <w:rPr>
                <w:b/>
                <w:sz w:val="21"/>
              </w:rPr>
            </w:pPr>
            <w:r>
              <w:rPr>
                <w:b/>
                <w:w w:val="99"/>
                <w:sz w:val="21"/>
              </w:rPr>
              <w:t> </w:t>
            </w:r>
          </w:p>
        </w:tc>
        <w:tc>
          <w:tcPr>
            <w:tcW w:w="7680" w:type="dxa"/>
          </w:tcPr>
          <w:p>
            <w:pPr>
              <w:pStyle w:val="TableParagraph"/>
              <w:spacing w:line="266" w:lineRule="exact"/>
              <w:ind w:left="108"/>
              <w:rPr>
                <w:sz w:val="21"/>
              </w:rPr>
            </w:pPr>
            <w:r>
              <w:rPr>
                <w:w w:val="100"/>
                <w:sz w:val="21"/>
              </w:rPr>
              <w:t> </w:t>
            </w:r>
          </w:p>
        </w:tc>
      </w:tr>
      <w:tr>
        <w:trPr>
          <w:trHeight w:val="993" w:hRule="atLeast"/>
        </w:trPr>
        <w:tc>
          <w:tcPr>
            <w:tcW w:w="920" w:type="dxa"/>
          </w:tcPr>
          <w:p>
            <w:pPr>
              <w:pStyle w:val="TableParagraph"/>
              <w:spacing w:line="233" w:lineRule="exact"/>
              <w:rPr>
                <w:b/>
                <w:sz w:val="21"/>
              </w:rPr>
            </w:pPr>
            <w:r>
              <w:rPr>
                <w:b/>
                <w:sz w:val="21"/>
              </w:rPr>
              <w:t>6.7 </w:t>
            </w:r>
          </w:p>
          <w:p>
            <w:pPr>
              <w:pStyle w:val="TableParagraph"/>
              <w:spacing w:before="66"/>
              <w:rPr>
                <w:b/>
                <w:sz w:val="21"/>
              </w:rPr>
            </w:pPr>
            <w:r>
              <w:rPr>
                <w:b/>
                <w:w w:val="99"/>
                <w:sz w:val="21"/>
              </w:rPr>
              <w:t> </w:t>
            </w:r>
          </w:p>
        </w:tc>
        <w:tc>
          <w:tcPr>
            <w:tcW w:w="1577" w:type="dxa"/>
          </w:tcPr>
          <w:p>
            <w:pPr>
              <w:pStyle w:val="TableParagraph"/>
              <w:spacing w:line="233" w:lineRule="exact"/>
              <w:ind w:left="86"/>
              <w:rPr>
                <w:b/>
                <w:sz w:val="21"/>
              </w:rPr>
            </w:pPr>
            <w:r>
              <w:rPr>
                <w:b/>
                <w:sz w:val="21"/>
              </w:rPr>
              <w:t>酒后驾驶</w:t>
            </w:r>
            <w:r>
              <w:rPr>
                <w:b/>
                <w:w w:val="99"/>
                <w:sz w:val="21"/>
              </w:rPr>
              <w:t> </w:t>
            </w:r>
          </w:p>
          <w:p>
            <w:pPr>
              <w:pStyle w:val="TableParagraph"/>
              <w:spacing w:before="66"/>
              <w:ind w:left="86"/>
              <w:rPr>
                <w:b/>
                <w:sz w:val="21"/>
              </w:rPr>
            </w:pPr>
            <w:r>
              <w:rPr>
                <w:b/>
                <w:w w:val="99"/>
                <w:sz w:val="21"/>
              </w:rPr>
              <w:t> </w:t>
            </w:r>
          </w:p>
        </w:tc>
        <w:tc>
          <w:tcPr>
            <w:tcW w:w="7680" w:type="dxa"/>
          </w:tcPr>
          <w:p>
            <w:pPr>
              <w:pStyle w:val="TableParagraph"/>
              <w:spacing w:line="233" w:lineRule="exact"/>
              <w:ind w:left="108"/>
              <w:rPr>
                <w:sz w:val="21"/>
              </w:rPr>
            </w:pPr>
            <w:r>
              <w:rPr>
                <w:sz w:val="21"/>
              </w:rPr>
              <w:t>指经检测或鉴定，发生事故时车辆驾驶人员每百毫升血液中的酒精含量达到或超</w:t>
            </w:r>
          </w:p>
          <w:p>
            <w:pPr>
              <w:pStyle w:val="TableParagraph"/>
              <w:spacing w:line="302" w:lineRule="auto" w:before="66"/>
              <w:ind w:left="108" w:right="301"/>
              <w:rPr>
                <w:sz w:val="21"/>
              </w:rPr>
            </w:pPr>
            <w:r>
              <w:rPr>
                <w:spacing w:val="-8"/>
                <w:sz w:val="21"/>
              </w:rPr>
              <w:t>过一定的标准，公安机关交通管理部门依据《道路交通安全法》的规定认定为饮</w:t>
            </w:r>
            <w:r>
              <w:rPr>
                <w:spacing w:val="-6"/>
                <w:sz w:val="21"/>
              </w:rPr>
              <w:t>酒后驾驶或醉酒后驾驶。</w:t>
            </w:r>
            <w:r>
              <w:rPr>
                <w:sz w:val="21"/>
              </w:rPr>
              <w:t> </w:t>
            </w:r>
          </w:p>
        </w:tc>
      </w:tr>
      <w:tr>
        <w:trPr>
          <w:trHeight w:val="307" w:hRule="atLeast"/>
        </w:trPr>
        <w:tc>
          <w:tcPr>
            <w:tcW w:w="920" w:type="dxa"/>
          </w:tcPr>
          <w:p>
            <w:pPr>
              <w:pStyle w:val="TableParagraph"/>
              <w:spacing w:line="266" w:lineRule="exact"/>
              <w:rPr>
                <w:b/>
                <w:sz w:val="21"/>
              </w:rPr>
            </w:pPr>
            <w:r>
              <w:rPr>
                <w:b/>
                <w:w w:val="99"/>
                <w:sz w:val="21"/>
              </w:rPr>
              <w:t> </w:t>
            </w:r>
          </w:p>
        </w:tc>
        <w:tc>
          <w:tcPr>
            <w:tcW w:w="1577" w:type="dxa"/>
          </w:tcPr>
          <w:p>
            <w:pPr>
              <w:pStyle w:val="TableParagraph"/>
              <w:spacing w:line="266" w:lineRule="exact"/>
              <w:ind w:left="86"/>
              <w:rPr>
                <w:b/>
                <w:sz w:val="21"/>
              </w:rPr>
            </w:pPr>
            <w:r>
              <w:rPr>
                <w:b/>
                <w:w w:val="99"/>
                <w:sz w:val="21"/>
              </w:rPr>
              <w:t> </w:t>
            </w:r>
          </w:p>
        </w:tc>
        <w:tc>
          <w:tcPr>
            <w:tcW w:w="7680" w:type="dxa"/>
          </w:tcPr>
          <w:p>
            <w:pPr>
              <w:pStyle w:val="TableParagraph"/>
              <w:spacing w:line="266" w:lineRule="exact"/>
              <w:ind w:left="180"/>
              <w:rPr>
                <w:sz w:val="21"/>
              </w:rPr>
            </w:pPr>
            <w:r>
              <w:rPr>
                <w:w w:val="100"/>
                <w:sz w:val="21"/>
              </w:rPr>
              <w:t> </w:t>
            </w:r>
          </w:p>
        </w:tc>
      </w:tr>
      <w:tr>
        <w:trPr>
          <w:trHeight w:val="2023" w:hRule="atLeast"/>
        </w:trPr>
        <w:tc>
          <w:tcPr>
            <w:tcW w:w="920" w:type="dxa"/>
          </w:tcPr>
          <w:p>
            <w:pPr>
              <w:pStyle w:val="TableParagraph"/>
              <w:spacing w:line="232" w:lineRule="exact"/>
              <w:rPr>
                <w:b/>
                <w:sz w:val="21"/>
              </w:rPr>
            </w:pPr>
            <w:r>
              <w:rPr>
                <w:b/>
                <w:sz w:val="21"/>
              </w:rPr>
              <w:t>6.8 </w:t>
            </w:r>
          </w:p>
          <w:p>
            <w:pPr>
              <w:pStyle w:val="TableParagraph"/>
              <w:spacing w:before="66"/>
              <w:rPr>
                <w:b/>
                <w:sz w:val="21"/>
              </w:rPr>
            </w:pPr>
            <w:r>
              <w:rPr>
                <w:b/>
                <w:w w:val="99"/>
                <w:sz w:val="21"/>
              </w:rPr>
              <w:t> </w:t>
            </w:r>
          </w:p>
        </w:tc>
        <w:tc>
          <w:tcPr>
            <w:tcW w:w="1577" w:type="dxa"/>
          </w:tcPr>
          <w:p>
            <w:pPr>
              <w:pStyle w:val="TableParagraph"/>
              <w:spacing w:line="232" w:lineRule="exact"/>
              <w:ind w:left="86"/>
              <w:rPr>
                <w:b/>
                <w:sz w:val="21"/>
              </w:rPr>
            </w:pPr>
            <w:r>
              <w:rPr>
                <w:b/>
                <w:sz w:val="21"/>
              </w:rPr>
              <w:t>无合法有效驾</w:t>
            </w:r>
          </w:p>
          <w:p>
            <w:pPr>
              <w:pStyle w:val="TableParagraph"/>
              <w:spacing w:before="66"/>
              <w:ind w:left="86"/>
              <w:rPr>
                <w:b/>
                <w:sz w:val="21"/>
              </w:rPr>
            </w:pPr>
            <w:r>
              <w:rPr>
                <w:b/>
                <w:sz w:val="21"/>
              </w:rPr>
              <w:t>驶证驾驶</w:t>
            </w:r>
            <w:r>
              <w:rPr>
                <w:b/>
                <w:w w:val="99"/>
                <w:sz w:val="21"/>
              </w:rPr>
              <w:t> </w:t>
            </w:r>
          </w:p>
          <w:p>
            <w:pPr>
              <w:pStyle w:val="TableParagraph"/>
              <w:spacing w:before="70"/>
              <w:ind w:left="86"/>
              <w:rPr>
                <w:b/>
                <w:sz w:val="21"/>
              </w:rPr>
            </w:pPr>
            <w:r>
              <w:rPr>
                <w:b/>
                <w:w w:val="99"/>
                <w:sz w:val="21"/>
              </w:rPr>
              <w:t> </w:t>
            </w:r>
          </w:p>
        </w:tc>
        <w:tc>
          <w:tcPr>
            <w:tcW w:w="7680" w:type="dxa"/>
          </w:tcPr>
          <w:p>
            <w:pPr>
              <w:pStyle w:val="TableParagraph"/>
              <w:spacing w:line="232" w:lineRule="exact"/>
              <w:ind w:left="108"/>
              <w:rPr>
                <w:sz w:val="21"/>
              </w:rPr>
            </w:pPr>
            <w:r>
              <w:rPr>
                <w:sz w:val="21"/>
              </w:rPr>
              <w:t>指下列情形之一：</w:t>
            </w:r>
          </w:p>
          <w:p>
            <w:pPr>
              <w:pStyle w:val="TableParagraph"/>
              <w:spacing w:before="66"/>
              <w:ind w:left="180"/>
              <w:rPr>
                <w:sz w:val="21"/>
              </w:rPr>
            </w:pPr>
            <w:r>
              <w:rPr>
                <w:sz w:val="21"/>
              </w:rPr>
              <w:t>（</w:t>
            </w:r>
            <w:r>
              <w:rPr>
                <w:rFonts w:ascii="Times New Roman" w:eastAsia="Times New Roman"/>
                <w:sz w:val="21"/>
              </w:rPr>
              <w:t>1</w:t>
            </w:r>
            <w:r>
              <w:rPr>
                <w:sz w:val="21"/>
              </w:rPr>
              <w:t>）没有取得驾驶资格；</w:t>
            </w:r>
          </w:p>
          <w:p>
            <w:pPr>
              <w:pStyle w:val="TableParagraph"/>
              <w:spacing w:before="54"/>
              <w:ind w:left="18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49"/>
              <w:ind w:left="180"/>
              <w:rPr>
                <w:sz w:val="21"/>
              </w:rPr>
            </w:pPr>
            <w:r>
              <w:rPr>
                <w:sz w:val="21"/>
              </w:rPr>
              <w:t>（</w:t>
            </w:r>
            <w:r>
              <w:rPr>
                <w:rFonts w:ascii="Times New Roman" w:eastAsia="Times New Roman"/>
                <w:sz w:val="21"/>
              </w:rPr>
              <w:t>3</w:t>
            </w:r>
            <w:r>
              <w:rPr>
                <w:sz w:val="21"/>
              </w:rPr>
              <w:t>）持审验不合格的驾驶证驾驶；</w:t>
            </w:r>
          </w:p>
          <w:p>
            <w:pPr>
              <w:pStyle w:val="TableParagraph"/>
              <w:spacing w:line="280" w:lineRule="auto" w:before="54"/>
              <w:ind w:left="180" w:right="302"/>
              <w:rPr>
                <w:sz w:val="21"/>
              </w:rPr>
            </w:pPr>
            <w:r>
              <w:rPr>
                <w:spacing w:val="-5"/>
                <w:sz w:val="21"/>
              </w:rPr>
              <w:t>（</w:t>
            </w:r>
            <w:r>
              <w:rPr>
                <w:rFonts w:ascii="Times New Roman" w:eastAsia="Times New Roman"/>
                <w:spacing w:val="-5"/>
                <w:sz w:val="21"/>
              </w:rPr>
              <w:t>4</w:t>
            </w:r>
            <w:r>
              <w:rPr>
                <w:spacing w:val="-5"/>
                <w:sz w:val="21"/>
              </w:rPr>
              <w:t>）</w:t>
            </w:r>
            <w:r>
              <w:rPr>
                <w:spacing w:val="-7"/>
                <w:sz w:val="21"/>
              </w:rPr>
              <w:t>持学习驾驶证学习驾车时，无教练员随车指导，或不按指定时间、路线学习驾车。</w:t>
            </w:r>
          </w:p>
        </w:tc>
      </w:tr>
      <w:tr>
        <w:trPr>
          <w:trHeight w:val="309" w:hRule="atLeast"/>
        </w:trPr>
        <w:tc>
          <w:tcPr>
            <w:tcW w:w="920" w:type="dxa"/>
          </w:tcPr>
          <w:p>
            <w:pPr>
              <w:pStyle w:val="TableParagraph"/>
              <w:spacing w:line="269" w:lineRule="exact"/>
              <w:rPr>
                <w:b/>
                <w:sz w:val="21"/>
              </w:rPr>
            </w:pPr>
            <w:r>
              <w:rPr>
                <w:b/>
                <w:w w:val="99"/>
                <w:sz w:val="21"/>
              </w:rPr>
              <w:t> </w:t>
            </w:r>
          </w:p>
        </w:tc>
        <w:tc>
          <w:tcPr>
            <w:tcW w:w="1577" w:type="dxa"/>
          </w:tcPr>
          <w:p>
            <w:pPr>
              <w:pStyle w:val="TableParagraph"/>
              <w:spacing w:line="269" w:lineRule="exact"/>
              <w:ind w:left="86"/>
              <w:rPr>
                <w:b/>
                <w:sz w:val="21"/>
              </w:rPr>
            </w:pPr>
            <w:r>
              <w:rPr>
                <w:b/>
                <w:w w:val="99"/>
                <w:sz w:val="21"/>
              </w:rPr>
              <w:t> </w:t>
            </w:r>
          </w:p>
        </w:tc>
        <w:tc>
          <w:tcPr>
            <w:tcW w:w="7680" w:type="dxa"/>
          </w:tcPr>
          <w:p>
            <w:pPr>
              <w:pStyle w:val="TableParagraph"/>
              <w:ind w:left="0"/>
              <w:rPr>
                <w:rFonts w:ascii="Times New Roman"/>
                <w:sz w:val="20"/>
              </w:rPr>
            </w:pPr>
          </w:p>
        </w:tc>
      </w:tr>
      <w:tr>
        <w:trPr>
          <w:trHeight w:val="1336" w:hRule="atLeast"/>
        </w:trPr>
        <w:tc>
          <w:tcPr>
            <w:tcW w:w="920" w:type="dxa"/>
          </w:tcPr>
          <w:p>
            <w:pPr>
              <w:pStyle w:val="TableParagraph"/>
              <w:spacing w:line="232" w:lineRule="exact"/>
              <w:rPr>
                <w:b/>
                <w:sz w:val="21"/>
              </w:rPr>
            </w:pPr>
            <w:r>
              <w:rPr>
                <w:b/>
                <w:sz w:val="21"/>
              </w:rPr>
              <w:t>6.9 </w:t>
            </w:r>
          </w:p>
          <w:p>
            <w:pPr>
              <w:pStyle w:val="TableParagraph"/>
              <w:spacing w:before="66"/>
              <w:rPr>
                <w:b/>
                <w:sz w:val="21"/>
              </w:rPr>
            </w:pPr>
            <w:r>
              <w:rPr>
                <w:b/>
                <w:w w:val="99"/>
                <w:sz w:val="21"/>
              </w:rPr>
              <w:t> </w:t>
            </w:r>
          </w:p>
        </w:tc>
        <w:tc>
          <w:tcPr>
            <w:tcW w:w="1577" w:type="dxa"/>
          </w:tcPr>
          <w:p>
            <w:pPr>
              <w:pStyle w:val="TableParagraph"/>
              <w:spacing w:line="232" w:lineRule="exact"/>
              <w:ind w:left="86"/>
              <w:rPr>
                <w:b/>
                <w:sz w:val="21"/>
              </w:rPr>
            </w:pPr>
            <w:r>
              <w:rPr>
                <w:b/>
                <w:sz w:val="21"/>
              </w:rPr>
              <w:t>无有效行驶证</w:t>
            </w:r>
            <w:r>
              <w:rPr>
                <w:b/>
                <w:w w:val="99"/>
                <w:sz w:val="21"/>
              </w:rPr>
              <w:t> </w:t>
            </w:r>
          </w:p>
          <w:p>
            <w:pPr>
              <w:pStyle w:val="TableParagraph"/>
              <w:spacing w:before="66"/>
              <w:ind w:left="86"/>
              <w:rPr>
                <w:b/>
                <w:sz w:val="21"/>
              </w:rPr>
            </w:pPr>
            <w:r>
              <w:rPr>
                <w:b/>
                <w:w w:val="99"/>
                <w:sz w:val="21"/>
              </w:rPr>
              <w:t> </w:t>
            </w:r>
          </w:p>
        </w:tc>
        <w:tc>
          <w:tcPr>
            <w:tcW w:w="7680" w:type="dxa"/>
          </w:tcPr>
          <w:p>
            <w:pPr>
              <w:pStyle w:val="TableParagraph"/>
              <w:spacing w:line="232" w:lineRule="exact"/>
              <w:ind w:left="108"/>
              <w:rPr>
                <w:sz w:val="21"/>
              </w:rPr>
            </w:pPr>
            <w:r>
              <w:rPr>
                <w:sz w:val="21"/>
              </w:rPr>
              <w:t>指下列情形之一： </w:t>
            </w:r>
          </w:p>
          <w:p>
            <w:pPr>
              <w:pStyle w:val="TableParagraph"/>
              <w:spacing w:before="66"/>
              <w:ind w:left="108"/>
              <w:rPr>
                <w:sz w:val="21"/>
              </w:rPr>
            </w:pPr>
            <w:r>
              <w:rPr>
                <w:sz w:val="21"/>
              </w:rPr>
              <w:t>（1）未取得行驶证； </w:t>
            </w:r>
          </w:p>
          <w:p>
            <w:pPr>
              <w:pStyle w:val="TableParagraph"/>
              <w:spacing w:before="70"/>
              <w:ind w:left="108"/>
              <w:rPr>
                <w:sz w:val="21"/>
              </w:rPr>
            </w:pPr>
            <w:r>
              <w:rPr>
                <w:sz w:val="21"/>
              </w:rPr>
              <w:t>（2）机动车被依法注销登记的； </w:t>
            </w:r>
            <w:r>
              <w:rPr>
                <w:w w:val="100"/>
                <w:sz w:val="21"/>
              </w:rPr>
              <w:t> </w:t>
            </w:r>
          </w:p>
          <w:p>
            <w:pPr>
              <w:pStyle w:val="TableParagraph"/>
              <w:spacing w:before="65"/>
              <w:ind w:left="108"/>
              <w:rPr>
                <w:sz w:val="21"/>
              </w:rPr>
            </w:pPr>
            <w:r>
              <w:rPr>
                <w:sz w:val="21"/>
              </w:rPr>
              <w:t>（3）未依法按时进行或通过机动车安全技术检验。</w:t>
            </w:r>
          </w:p>
        </w:tc>
      </w:tr>
      <w:tr>
        <w:trPr>
          <w:trHeight w:val="307" w:hRule="atLeast"/>
        </w:trPr>
        <w:tc>
          <w:tcPr>
            <w:tcW w:w="920" w:type="dxa"/>
          </w:tcPr>
          <w:p>
            <w:pPr>
              <w:pStyle w:val="TableParagraph"/>
              <w:spacing w:line="268" w:lineRule="exact"/>
              <w:rPr>
                <w:b/>
                <w:sz w:val="21"/>
              </w:rPr>
            </w:pPr>
            <w:r>
              <w:rPr>
                <w:b/>
                <w:w w:val="99"/>
                <w:sz w:val="21"/>
              </w:rPr>
              <w:t> </w:t>
            </w:r>
          </w:p>
        </w:tc>
        <w:tc>
          <w:tcPr>
            <w:tcW w:w="1577" w:type="dxa"/>
          </w:tcPr>
          <w:p>
            <w:pPr>
              <w:pStyle w:val="TableParagraph"/>
              <w:spacing w:line="268" w:lineRule="exact"/>
              <w:ind w:left="86"/>
              <w:rPr>
                <w:b/>
                <w:sz w:val="21"/>
              </w:rPr>
            </w:pPr>
            <w:r>
              <w:rPr>
                <w:b/>
                <w:w w:val="99"/>
                <w:sz w:val="21"/>
              </w:rPr>
              <w:t> </w:t>
            </w:r>
          </w:p>
        </w:tc>
        <w:tc>
          <w:tcPr>
            <w:tcW w:w="7680" w:type="dxa"/>
          </w:tcPr>
          <w:p>
            <w:pPr>
              <w:pStyle w:val="TableParagraph"/>
              <w:ind w:left="0"/>
              <w:rPr>
                <w:rFonts w:ascii="Times New Roman"/>
                <w:sz w:val="20"/>
              </w:rPr>
            </w:pPr>
          </w:p>
        </w:tc>
      </w:tr>
      <w:tr>
        <w:trPr>
          <w:trHeight w:val="1337" w:hRule="atLeast"/>
        </w:trPr>
        <w:tc>
          <w:tcPr>
            <w:tcW w:w="920" w:type="dxa"/>
          </w:tcPr>
          <w:p>
            <w:pPr>
              <w:pStyle w:val="TableParagraph"/>
              <w:spacing w:line="230" w:lineRule="exact"/>
              <w:rPr>
                <w:b/>
                <w:sz w:val="21"/>
              </w:rPr>
            </w:pPr>
            <w:r>
              <w:rPr>
                <w:b/>
                <w:sz w:val="21"/>
              </w:rPr>
              <w:t>6.10 </w:t>
            </w:r>
          </w:p>
        </w:tc>
        <w:tc>
          <w:tcPr>
            <w:tcW w:w="1577" w:type="dxa"/>
          </w:tcPr>
          <w:p>
            <w:pPr>
              <w:pStyle w:val="TableParagraph"/>
              <w:spacing w:line="230" w:lineRule="exact"/>
              <w:ind w:left="86"/>
              <w:rPr>
                <w:b/>
                <w:sz w:val="21"/>
              </w:rPr>
            </w:pPr>
            <w:r>
              <w:rPr>
                <w:b/>
                <w:sz w:val="21"/>
              </w:rPr>
              <w:t>感染艾滋病病</w:t>
            </w:r>
          </w:p>
          <w:p>
            <w:pPr>
              <w:pStyle w:val="TableParagraph"/>
              <w:spacing w:before="70"/>
              <w:ind w:left="86"/>
              <w:rPr>
                <w:b/>
                <w:sz w:val="21"/>
              </w:rPr>
            </w:pPr>
            <w:r>
              <w:rPr>
                <w:b/>
                <w:sz w:val="21"/>
              </w:rPr>
              <w:t>毒或患艾滋病</w:t>
            </w:r>
            <w:r>
              <w:rPr>
                <w:b/>
                <w:w w:val="99"/>
                <w:sz w:val="21"/>
              </w:rPr>
              <w:t> </w:t>
            </w:r>
          </w:p>
        </w:tc>
        <w:tc>
          <w:tcPr>
            <w:tcW w:w="7680" w:type="dxa"/>
          </w:tcPr>
          <w:p>
            <w:pPr>
              <w:pStyle w:val="TableParagraph"/>
              <w:spacing w:line="230" w:lineRule="exact"/>
              <w:ind w:left="108"/>
              <w:rPr>
                <w:sz w:val="21"/>
              </w:rPr>
            </w:pPr>
            <w:r>
              <w:rPr>
                <w:sz w:val="21"/>
              </w:rPr>
              <w:t>艾滋病病毒指人类免疫缺陷病毒，英文缩写为 HIV。艾滋病指人类免疫缺陷病毒</w:t>
            </w:r>
          </w:p>
          <w:p>
            <w:pPr>
              <w:pStyle w:val="TableParagraph"/>
              <w:spacing w:line="300" w:lineRule="auto" w:before="70"/>
              <w:ind w:left="108" w:right="348"/>
              <w:jc w:val="both"/>
              <w:rPr>
                <w:sz w:val="21"/>
              </w:rPr>
            </w:pPr>
            <w:r>
              <w:rPr>
                <w:spacing w:val="-6"/>
                <w:sz w:val="21"/>
              </w:rPr>
              <w:t>引起的获得性免疫缺陷综合征，英文缩写为 </w:t>
            </w:r>
            <w:r>
              <w:rPr>
                <w:sz w:val="21"/>
              </w:rPr>
              <w:t>AIDS</w:t>
            </w:r>
            <w:r>
              <w:rPr>
                <w:spacing w:val="-4"/>
                <w:sz w:val="21"/>
              </w:rPr>
              <w:t>。在人体血液或其他样本中检</w:t>
            </w:r>
            <w:r>
              <w:rPr>
                <w:spacing w:val="-13"/>
                <w:sz w:val="21"/>
              </w:rPr>
              <w:t>测到艾滋病病毒或其抗体呈阳性，没有出现临床症状或体征的，为感染艾滋病病</w:t>
            </w:r>
            <w:r>
              <w:rPr>
                <w:spacing w:val="-20"/>
                <w:sz w:val="21"/>
              </w:rPr>
              <w:t>毒；如果同时出现了明显临床症状或体征的，为患艾滋病。</w:t>
            </w:r>
          </w:p>
        </w:tc>
      </w:tr>
      <w:tr>
        <w:trPr>
          <w:trHeight w:val="307" w:hRule="atLeast"/>
        </w:trPr>
        <w:tc>
          <w:tcPr>
            <w:tcW w:w="920" w:type="dxa"/>
          </w:tcPr>
          <w:p>
            <w:pPr>
              <w:pStyle w:val="TableParagraph"/>
              <w:spacing w:line="266" w:lineRule="exact"/>
              <w:rPr>
                <w:b/>
                <w:sz w:val="21"/>
              </w:rPr>
            </w:pPr>
            <w:r>
              <w:rPr>
                <w:b/>
                <w:w w:val="99"/>
                <w:sz w:val="21"/>
              </w:rPr>
              <w:t> </w:t>
            </w:r>
          </w:p>
        </w:tc>
        <w:tc>
          <w:tcPr>
            <w:tcW w:w="1577" w:type="dxa"/>
          </w:tcPr>
          <w:p>
            <w:pPr>
              <w:pStyle w:val="TableParagraph"/>
              <w:spacing w:line="266" w:lineRule="exact"/>
              <w:ind w:left="86"/>
              <w:rPr>
                <w:b/>
                <w:sz w:val="21"/>
              </w:rPr>
            </w:pPr>
            <w:r>
              <w:rPr>
                <w:b/>
                <w:w w:val="99"/>
                <w:sz w:val="21"/>
              </w:rPr>
              <w:t> </w:t>
            </w:r>
          </w:p>
        </w:tc>
        <w:tc>
          <w:tcPr>
            <w:tcW w:w="7680" w:type="dxa"/>
          </w:tcPr>
          <w:p>
            <w:pPr>
              <w:pStyle w:val="TableParagraph"/>
              <w:ind w:left="0"/>
              <w:rPr>
                <w:rFonts w:ascii="Times New Roman"/>
                <w:sz w:val="20"/>
              </w:rPr>
            </w:pPr>
          </w:p>
        </w:tc>
      </w:tr>
      <w:tr>
        <w:trPr>
          <w:trHeight w:val="650" w:hRule="atLeast"/>
        </w:trPr>
        <w:tc>
          <w:tcPr>
            <w:tcW w:w="920" w:type="dxa"/>
          </w:tcPr>
          <w:p>
            <w:pPr>
              <w:pStyle w:val="TableParagraph"/>
              <w:spacing w:line="233" w:lineRule="exact"/>
              <w:rPr>
                <w:b/>
                <w:sz w:val="21"/>
              </w:rPr>
            </w:pPr>
            <w:r>
              <w:rPr>
                <w:b/>
                <w:sz w:val="21"/>
              </w:rPr>
              <w:t>6.11  </w:t>
            </w:r>
          </w:p>
        </w:tc>
        <w:tc>
          <w:tcPr>
            <w:tcW w:w="1577" w:type="dxa"/>
          </w:tcPr>
          <w:p>
            <w:pPr>
              <w:pStyle w:val="TableParagraph"/>
              <w:spacing w:line="233" w:lineRule="exact"/>
              <w:ind w:left="86"/>
              <w:rPr>
                <w:b/>
                <w:sz w:val="21"/>
              </w:rPr>
            </w:pPr>
            <w:r>
              <w:rPr>
                <w:b/>
                <w:sz w:val="21"/>
              </w:rPr>
              <w:t>遗传性疾病</w:t>
            </w:r>
            <w:r>
              <w:rPr>
                <w:b/>
                <w:w w:val="99"/>
                <w:sz w:val="21"/>
              </w:rPr>
              <w:t> </w:t>
            </w:r>
          </w:p>
        </w:tc>
        <w:tc>
          <w:tcPr>
            <w:tcW w:w="7680" w:type="dxa"/>
          </w:tcPr>
          <w:p>
            <w:pPr>
              <w:pStyle w:val="TableParagraph"/>
              <w:spacing w:line="233" w:lineRule="exact"/>
              <w:ind w:left="108"/>
              <w:rPr>
                <w:sz w:val="21"/>
              </w:rPr>
            </w:pPr>
            <w:r>
              <w:rPr>
                <w:spacing w:val="-10"/>
                <w:sz w:val="21"/>
              </w:rPr>
              <w:t>指生殖细胞或受精卵的遗传物质</w:t>
            </w:r>
            <w:r>
              <w:rPr>
                <w:sz w:val="21"/>
              </w:rPr>
              <w:t>（</w:t>
            </w:r>
            <w:r>
              <w:rPr>
                <w:spacing w:val="-2"/>
                <w:sz w:val="21"/>
              </w:rPr>
              <w:t>染色体和基因</w:t>
            </w:r>
            <w:r>
              <w:rPr>
                <w:spacing w:val="-101"/>
                <w:sz w:val="21"/>
              </w:rPr>
              <w:t>）</w:t>
            </w:r>
            <w:r>
              <w:rPr>
                <w:spacing w:val="-4"/>
                <w:sz w:val="21"/>
              </w:rPr>
              <w:t>发生突变或畸变所引起的疾病，</w:t>
            </w:r>
          </w:p>
          <w:p>
            <w:pPr>
              <w:pStyle w:val="TableParagraph"/>
              <w:spacing w:before="66"/>
              <w:ind w:left="108"/>
              <w:rPr>
                <w:sz w:val="21"/>
              </w:rPr>
            </w:pPr>
            <w:r>
              <w:rPr>
                <w:sz w:val="21"/>
              </w:rPr>
              <w:t>通常具有由亲代传至后代的垂直传递的特征。</w:t>
            </w:r>
          </w:p>
        </w:tc>
      </w:tr>
      <w:tr>
        <w:trPr>
          <w:trHeight w:val="309" w:hRule="atLeast"/>
        </w:trPr>
        <w:tc>
          <w:tcPr>
            <w:tcW w:w="920" w:type="dxa"/>
          </w:tcPr>
          <w:p>
            <w:pPr>
              <w:pStyle w:val="TableParagraph"/>
              <w:spacing w:line="268" w:lineRule="exact"/>
              <w:rPr>
                <w:b/>
                <w:sz w:val="21"/>
              </w:rPr>
            </w:pPr>
            <w:r>
              <w:rPr>
                <w:b/>
                <w:w w:val="99"/>
                <w:sz w:val="21"/>
              </w:rPr>
              <w:t> </w:t>
            </w:r>
          </w:p>
        </w:tc>
        <w:tc>
          <w:tcPr>
            <w:tcW w:w="1577" w:type="dxa"/>
          </w:tcPr>
          <w:p>
            <w:pPr>
              <w:pStyle w:val="TableParagraph"/>
              <w:spacing w:line="268" w:lineRule="exact"/>
              <w:ind w:left="86"/>
              <w:rPr>
                <w:b/>
                <w:sz w:val="21"/>
              </w:rPr>
            </w:pPr>
            <w:r>
              <w:rPr>
                <w:b/>
                <w:w w:val="99"/>
                <w:sz w:val="21"/>
              </w:rPr>
              <w:t> </w:t>
            </w:r>
          </w:p>
        </w:tc>
        <w:tc>
          <w:tcPr>
            <w:tcW w:w="7680" w:type="dxa"/>
          </w:tcPr>
          <w:p>
            <w:pPr>
              <w:pStyle w:val="TableParagraph"/>
              <w:ind w:left="0"/>
              <w:rPr>
                <w:rFonts w:ascii="Times New Roman"/>
                <w:sz w:val="20"/>
              </w:rPr>
            </w:pPr>
          </w:p>
        </w:tc>
      </w:tr>
      <w:tr>
        <w:trPr>
          <w:trHeight w:val="928" w:hRule="atLeast"/>
        </w:trPr>
        <w:tc>
          <w:tcPr>
            <w:tcW w:w="920" w:type="dxa"/>
          </w:tcPr>
          <w:p>
            <w:pPr>
              <w:pStyle w:val="TableParagraph"/>
              <w:spacing w:line="232" w:lineRule="exact"/>
              <w:rPr>
                <w:b/>
                <w:sz w:val="21"/>
              </w:rPr>
            </w:pPr>
            <w:r>
              <w:rPr>
                <w:b/>
                <w:sz w:val="21"/>
              </w:rPr>
              <w:t>6.12 </w:t>
            </w:r>
          </w:p>
        </w:tc>
        <w:tc>
          <w:tcPr>
            <w:tcW w:w="1577" w:type="dxa"/>
          </w:tcPr>
          <w:p>
            <w:pPr>
              <w:pStyle w:val="TableParagraph"/>
              <w:spacing w:line="232" w:lineRule="exact"/>
              <w:ind w:left="86"/>
              <w:rPr>
                <w:b/>
                <w:sz w:val="21"/>
              </w:rPr>
            </w:pPr>
            <w:r>
              <w:rPr>
                <w:b/>
                <w:sz w:val="21"/>
              </w:rPr>
              <w:t>先天性畸形、变</w:t>
            </w:r>
          </w:p>
          <w:p>
            <w:pPr>
              <w:pStyle w:val="TableParagraph"/>
              <w:spacing w:line="346" w:lineRule="exact" w:before="34"/>
              <w:ind w:left="86" w:right="220"/>
              <w:rPr>
                <w:b/>
                <w:sz w:val="21"/>
              </w:rPr>
            </w:pPr>
            <w:r>
              <w:rPr>
                <w:b/>
                <w:sz w:val="21"/>
              </w:rPr>
              <w:t>形或染色体异常</w:t>
            </w:r>
            <w:r>
              <w:rPr>
                <w:b/>
                <w:w w:val="99"/>
                <w:sz w:val="21"/>
              </w:rPr>
              <w:t> </w:t>
            </w:r>
          </w:p>
        </w:tc>
        <w:tc>
          <w:tcPr>
            <w:tcW w:w="7680" w:type="dxa"/>
          </w:tcPr>
          <w:p>
            <w:pPr>
              <w:pStyle w:val="TableParagraph"/>
              <w:spacing w:line="232" w:lineRule="exact"/>
              <w:ind w:left="108"/>
              <w:rPr>
                <w:sz w:val="21"/>
              </w:rPr>
            </w:pPr>
            <w:r>
              <w:rPr>
                <w:sz w:val="21"/>
              </w:rPr>
              <w:t>指被保险人出生时就具有的畸形、变形或染色体异常。先天性畸形、变形和染色</w:t>
            </w:r>
          </w:p>
          <w:p>
            <w:pPr>
              <w:pStyle w:val="TableParagraph"/>
              <w:spacing w:line="346" w:lineRule="exact" w:before="34"/>
              <w:ind w:left="108" w:right="318"/>
              <w:rPr>
                <w:sz w:val="21"/>
              </w:rPr>
            </w:pPr>
            <w:r>
              <w:rPr>
                <w:spacing w:val="-9"/>
                <w:sz w:val="21"/>
              </w:rPr>
              <w:t>体异常依照世界卫生组织《疾病和有关健康问题的国际统计分类》</w:t>
            </w:r>
            <w:r>
              <w:rPr>
                <w:sz w:val="21"/>
              </w:rPr>
              <w:t>（ICD-10）确定。</w:t>
            </w:r>
          </w:p>
        </w:tc>
      </w:tr>
    </w:tbl>
    <w:p>
      <w:pPr>
        <w:spacing w:after="0" w:line="346" w:lineRule="exact"/>
        <w:rPr>
          <w:sz w:val="21"/>
        </w:rPr>
        <w:sectPr>
          <w:pgSz w:w="11910" w:h="16840"/>
          <w:pgMar w:header="0" w:footer="915" w:top="1500" w:bottom="1100" w:left="80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1623"/>
        <w:gridCol w:w="7688"/>
      </w:tblGrid>
      <w:tr>
        <w:trPr>
          <w:trHeight w:val="276" w:hRule="atLeast"/>
        </w:trPr>
        <w:tc>
          <w:tcPr>
            <w:tcW w:w="867" w:type="dxa"/>
          </w:tcPr>
          <w:p>
            <w:pPr>
              <w:pStyle w:val="TableParagraph"/>
              <w:spacing w:line="201" w:lineRule="exact"/>
              <w:rPr>
                <w:b/>
                <w:sz w:val="21"/>
              </w:rPr>
            </w:pPr>
            <w:r>
              <w:rPr>
                <w:b/>
                <w:w w:val="99"/>
                <w:sz w:val="21"/>
              </w:rPr>
              <w:t> </w:t>
            </w:r>
          </w:p>
        </w:tc>
        <w:tc>
          <w:tcPr>
            <w:tcW w:w="1623" w:type="dxa"/>
          </w:tcPr>
          <w:p>
            <w:pPr>
              <w:pStyle w:val="TableParagraph"/>
              <w:spacing w:line="201" w:lineRule="exact"/>
              <w:ind w:left="139"/>
              <w:rPr>
                <w:b/>
                <w:sz w:val="21"/>
              </w:rPr>
            </w:pPr>
            <w:r>
              <w:rPr>
                <w:b/>
                <w:w w:val="99"/>
                <w:sz w:val="21"/>
              </w:rPr>
              <w:t> </w:t>
            </w:r>
          </w:p>
        </w:tc>
        <w:tc>
          <w:tcPr>
            <w:tcW w:w="7688" w:type="dxa"/>
          </w:tcPr>
          <w:p>
            <w:pPr>
              <w:pStyle w:val="TableParagraph"/>
              <w:spacing w:line="201" w:lineRule="exact"/>
              <w:ind w:left="115"/>
              <w:rPr>
                <w:sz w:val="21"/>
              </w:rPr>
            </w:pPr>
            <w:r>
              <w:rPr>
                <w:w w:val="100"/>
                <w:sz w:val="21"/>
              </w:rPr>
              <w:t> </w:t>
            </w:r>
          </w:p>
        </w:tc>
      </w:tr>
      <w:tr>
        <w:trPr>
          <w:trHeight w:val="343" w:hRule="atLeast"/>
        </w:trPr>
        <w:tc>
          <w:tcPr>
            <w:tcW w:w="867" w:type="dxa"/>
          </w:tcPr>
          <w:p>
            <w:pPr>
              <w:pStyle w:val="TableParagraph"/>
              <w:spacing w:line="266" w:lineRule="exact"/>
              <w:rPr>
                <w:b/>
                <w:sz w:val="21"/>
              </w:rPr>
            </w:pPr>
            <w:r>
              <w:rPr>
                <w:b/>
                <w:sz w:val="21"/>
              </w:rPr>
              <w:t>6.13 </w:t>
            </w:r>
          </w:p>
        </w:tc>
        <w:tc>
          <w:tcPr>
            <w:tcW w:w="1623" w:type="dxa"/>
          </w:tcPr>
          <w:p>
            <w:pPr>
              <w:pStyle w:val="TableParagraph"/>
              <w:spacing w:line="266" w:lineRule="exact"/>
              <w:ind w:left="139"/>
              <w:rPr>
                <w:b/>
                <w:sz w:val="21"/>
              </w:rPr>
            </w:pPr>
            <w:r>
              <w:rPr>
                <w:b/>
                <w:sz w:val="21"/>
              </w:rPr>
              <w:t>既往症</w:t>
            </w:r>
            <w:r>
              <w:rPr>
                <w:b/>
                <w:w w:val="99"/>
                <w:sz w:val="21"/>
              </w:rPr>
              <w:t> </w:t>
            </w:r>
          </w:p>
        </w:tc>
        <w:tc>
          <w:tcPr>
            <w:tcW w:w="7688" w:type="dxa"/>
          </w:tcPr>
          <w:p>
            <w:pPr>
              <w:pStyle w:val="TableParagraph"/>
              <w:spacing w:line="266" w:lineRule="exact"/>
              <w:ind w:left="115"/>
              <w:rPr>
                <w:sz w:val="21"/>
              </w:rPr>
            </w:pPr>
            <w:r>
              <w:rPr>
                <w:sz w:val="21"/>
              </w:rPr>
              <w:t>指被保险人在本主险合同生效日之前已患的已知或应该知道的有关疾病或症状。 </w:t>
            </w:r>
          </w:p>
        </w:tc>
      </w:tr>
      <w:tr>
        <w:trPr>
          <w:trHeight w:val="343" w:hRule="atLeast"/>
        </w:trPr>
        <w:tc>
          <w:tcPr>
            <w:tcW w:w="867" w:type="dxa"/>
          </w:tcPr>
          <w:p>
            <w:pPr>
              <w:pStyle w:val="TableParagraph"/>
              <w:spacing w:line="268" w:lineRule="exact"/>
              <w:rPr>
                <w:b/>
                <w:sz w:val="21"/>
              </w:rPr>
            </w:pPr>
            <w:r>
              <w:rPr>
                <w:b/>
                <w:w w:val="99"/>
                <w:sz w:val="21"/>
              </w:rPr>
              <w:t> </w:t>
            </w:r>
          </w:p>
        </w:tc>
        <w:tc>
          <w:tcPr>
            <w:tcW w:w="1623" w:type="dxa"/>
          </w:tcPr>
          <w:p>
            <w:pPr>
              <w:pStyle w:val="TableParagraph"/>
              <w:spacing w:line="268" w:lineRule="exact"/>
              <w:ind w:left="139"/>
              <w:rPr>
                <w:b/>
                <w:sz w:val="21"/>
              </w:rPr>
            </w:pPr>
            <w:r>
              <w:rPr>
                <w:b/>
                <w:w w:val="99"/>
                <w:sz w:val="21"/>
              </w:rPr>
              <w:t> </w:t>
            </w:r>
          </w:p>
        </w:tc>
        <w:tc>
          <w:tcPr>
            <w:tcW w:w="7688" w:type="dxa"/>
          </w:tcPr>
          <w:p>
            <w:pPr>
              <w:pStyle w:val="TableParagraph"/>
              <w:spacing w:line="268" w:lineRule="exact"/>
              <w:ind w:left="115"/>
              <w:rPr>
                <w:sz w:val="21"/>
              </w:rPr>
            </w:pPr>
            <w:r>
              <w:rPr>
                <w:w w:val="100"/>
                <w:sz w:val="21"/>
              </w:rPr>
              <w:t> </w:t>
            </w:r>
          </w:p>
        </w:tc>
      </w:tr>
      <w:tr>
        <w:trPr>
          <w:trHeight w:val="686" w:hRule="atLeast"/>
        </w:trPr>
        <w:tc>
          <w:tcPr>
            <w:tcW w:w="867" w:type="dxa"/>
          </w:tcPr>
          <w:p>
            <w:pPr>
              <w:pStyle w:val="TableParagraph"/>
              <w:spacing w:line="266" w:lineRule="exact"/>
              <w:rPr>
                <w:b/>
                <w:sz w:val="21"/>
              </w:rPr>
            </w:pPr>
            <w:r>
              <w:rPr>
                <w:b/>
                <w:sz w:val="21"/>
              </w:rPr>
              <w:t>6.14 </w:t>
            </w:r>
          </w:p>
        </w:tc>
        <w:tc>
          <w:tcPr>
            <w:tcW w:w="1623" w:type="dxa"/>
          </w:tcPr>
          <w:p>
            <w:pPr>
              <w:pStyle w:val="TableParagraph"/>
              <w:spacing w:line="266" w:lineRule="exact"/>
              <w:ind w:left="139"/>
              <w:rPr>
                <w:b/>
                <w:sz w:val="21"/>
              </w:rPr>
            </w:pPr>
            <w:r>
              <w:rPr>
                <w:b/>
                <w:sz w:val="21"/>
              </w:rPr>
              <w:t>有效身份证件</w:t>
            </w:r>
            <w:r>
              <w:rPr>
                <w:b/>
                <w:w w:val="99"/>
                <w:sz w:val="21"/>
              </w:rPr>
              <w:t> </w:t>
            </w:r>
          </w:p>
        </w:tc>
        <w:tc>
          <w:tcPr>
            <w:tcW w:w="7688" w:type="dxa"/>
          </w:tcPr>
          <w:p>
            <w:pPr>
              <w:pStyle w:val="TableParagraph"/>
              <w:spacing w:line="302" w:lineRule="auto"/>
              <w:ind w:left="115" w:right="303"/>
              <w:rPr>
                <w:sz w:val="21"/>
              </w:rPr>
            </w:pPr>
            <w:r>
              <w:rPr>
                <w:spacing w:val="-8"/>
                <w:sz w:val="21"/>
              </w:rPr>
              <w:t>指依据法律规定，由有权机构制作颁发的证明身份的证件、文件等，如：居民身</w:t>
            </w:r>
            <w:r>
              <w:rPr>
                <w:spacing w:val="-6"/>
                <w:sz w:val="21"/>
              </w:rPr>
              <w:t>份证、户口簿、护照、军人证等。</w:t>
            </w:r>
            <w:r>
              <w:rPr>
                <w:sz w:val="21"/>
              </w:rPr>
              <w:t> </w:t>
            </w:r>
          </w:p>
        </w:tc>
      </w:tr>
      <w:tr>
        <w:trPr>
          <w:trHeight w:val="307" w:hRule="atLeast"/>
        </w:trPr>
        <w:tc>
          <w:tcPr>
            <w:tcW w:w="867" w:type="dxa"/>
          </w:tcPr>
          <w:p>
            <w:pPr>
              <w:pStyle w:val="TableParagraph"/>
              <w:spacing w:line="266" w:lineRule="exact"/>
              <w:rPr>
                <w:b/>
                <w:sz w:val="21"/>
              </w:rPr>
            </w:pPr>
            <w:r>
              <w:rPr>
                <w:b/>
                <w:w w:val="99"/>
                <w:sz w:val="21"/>
              </w:rPr>
              <w:t> </w:t>
            </w:r>
          </w:p>
        </w:tc>
        <w:tc>
          <w:tcPr>
            <w:tcW w:w="1623" w:type="dxa"/>
          </w:tcPr>
          <w:p>
            <w:pPr>
              <w:pStyle w:val="TableParagraph"/>
              <w:spacing w:line="266" w:lineRule="exact"/>
              <w:ind w:left="139"/>
              <w:rPr>
                <w:b/>
                <w:sz w:val="21"/>
              </w:rPr>
            </w:pPr>
            <w:r>
              <w:rPr>
                <w:b/>
                <w:w w:val="99"/>
                <w:sz w:val="21"/>
              </w:rPr>
              <w:t> </w:t>
            </w:r>
          </w:p>
        </w:tc>
        <w:tc>
          <w:tcPr>
            <w:tcW w:w="7688" w:type="dxa"/>
          </w:tcPr>
          <w:p>
            <w:pPr>
              <w:pStyle w:val="TableParagraph"/>
              <w:ind w:left="0"/>
              <w:rPr>
                <w:rFonts w:ascii="Times New Roman"/>
                <w:sz w:val="20"/>
              </w:rPr>
            </w:pPr>
          </w:p>
        </w:tc>
      </w:tr>
      <w:tr>
        <w:trPr>
          <w:trHeight w:val="2144" w:hRule="atLeast"/>
        </w:trPr>
        <w:tc>
          <w:tcPr>
            <w:tcW w:w="867" w:type="dxa"/>
          </w:tcPr>
          <w:p>
            <w:pPr>
              <w:pStyle w:val="TableParagraph"/>
              <w:spacing w:line="232" w:lineRule="exact"/>
              <w:rPr>
                <w:b/>
                <w:sz w:val="21"/>
              </w:rPr>
            </w:pPr>
            <w:r>
              <w:rPr>
                <w:b/>
                <w:sz w:val="21"/>
              </w:rPr>
              <w:t>6.15 </w:t>
            </w:r>
          </w:p>
        </w:tc>
        <w:tc>
          <w:tcPr>
            <w:tcW w:w="1623" w:type="dxa"/>
          </w:tcPr>
          <w:p>
            <w:pPr>
              <w:pStyle w:val="TableParagraph"/>
              <w:spacing w:line="232" w:lineRule="exact"/>
              <w:ind w:left="139"/>
              <w:rPr>
                <w:b/>
                <w:sz w:val="21"/>
              </w:rPr>
            </w:pPr>
            <w:r>
              <w:rPr>
                <w:b/>
                <w:sz w:val="21"/>
              </w:rPr>
              <w:t>专科医生</w:t>
            </w:r>
            <w:r>
              <w:rPr>
                <w:b/>
                <w:w w:val="99"/>
                <w:sz w:val="21"/>
              </w:rPr>
              <w:t> </w:t>
            </w:r>
          </w:p>
        </w:tc>
        <w:tc>
          <w:tcPr>
            <w:tcW w:w="7688" w:type="dxa"/>
          </w:tcPr>
          <w:p>
            <w:pPr>
              <w:pStyle w:val="TableParagraph"/>
              <w:spacing w:line="232" w:lineRule="exact"/>
              <w:ind w:left="115"/>
              <w:rPr>
                <w:sz w:val="21"/>
              </w:rPr>
            </w:pPr>
            <w:r>
              <w:rPr>
                <w:sz w:val="21"/>
              </w:rPr>
              <w:t>专科医生应当同时满足以下四项资格条件： </w:t>
            </w:r>
          </w:p>
          <w:p>
            <w:pPr>
              <w:pStyle w:val="TableParagraph"/>
              <w:spacing w:before="70"/>
              <w:ind w:left="115"/>
              <w:rPr>
                <w:sz w:val="21"/>
              </w:rPr>
            </w:pPr>
            <w:r>
              <w:rPr>
                <w:sz w:val="21"/>
              </w:rPr>
              <w:t>（1）具有有效的中华人民共和国《医师资格证书》； </w:t>
            </w:r>
          </w:p>
          <w:p>
            <w:pPr>
              <w:pStyle w:val="TableParagraph"/>
              <w:spacing w:before="65"/>
              <w:ind w:left="115"/>
              <w:rPr>
                <w:sz w:val="21"/>
              </w:rPr>
            </w:pPr>
            <w:r>
              <w:rPr>
                <w:spacing w:val="-21"/>
                <w:sz w:val="21"/>
              </w:rPr>
              <w:t>（2）</w:t>
            </w:r>
            <w:r>
              <w:rPr>
                <w:spacing w:val="-22"/>
                <w:sz w:val="21"/>
              </w:rPr>
              <w:t>具有有效的中华人民共和国《医师执业证书》，并按期到相关部门登记注册；</w:t>
            </w:r>
            <w:r>
              <w:rPr>
                <w:sz w:val="21"/>
              </w:rPr>
              <w:t> </w:t>
            </w:r>
          </w:p>
          <w:p>
            <w:pPr>
              <w:pStyle w:val="TableParagraph"/>
              <w:spacing w:line="297" w:lineRule="auto" w:before="71"/>
              <w:ind w:left="115" w:right="319"/>
              <w:rPr>
                <w:sz w:val="21"/>
              </w:rPr>
            </w:pPr>
            <w:r>
              <w:rPr>
                <w:sz w:val="21"/>
              </w:rPr>
              <w:t>（3）具有有效的中华人民共和国主治医师或主治医师以上职称的《医师职称证书》； </w:t>
            </w:r>
          </w:p>
          <w:p>
            <w:pPr>
              <w:pStyle w:val="TableParagraph"/>
              <w:spacing w:before="20"/>
              <w:ind w:left="115"/>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07" w:hRule="atLeast"/>
        </w:trPr>
        <w:tc>
          <w:tcPr>
            <w:tcW w:w="867" w:type="dxa"/>
          </w:tcPr>
          <w:p>
            <w:pPr>
              <w:pStyle w:val="TableParagraph"/>
              <w:spacing w:before="93"/>
              <w:rPr>
                <w:b/>
                <w:sz w:val="21"/>
              </w:rPr>
            </w:pPr>
            <w:r>
              <w:rPr>
                <w:b/>
                <w:w w:val="99"/>
                <w:sz w:val="21"/>
              </w:rPr>
              <w:t> </w:t>
            </w:r>
          </w:p>
        </w:tc>
        <w:tc>
          <w:tcPr>
            <w:tcW w:w="1623" w:type="dxa"/>
          </w:tcPr>
          <w:p>
            <w:pPr>
              <w:pStyle w:val="TableParagraph"/>
              <w:spacing w:before="93"/>
              <w:ind w:left="139"/>
              <w:rPr>
                <w:b/>
                <w:sz w:val="21"/>
              </w:rPr>
            </w:pPr>
            <w:r>
              <w:rPr>
                <w:b/>
                <w:w w:val="99"/>
                <w:sz w:val="21"/>
              </w:rPr>
              <w:t> </w:t>
            </w:r>
          </w:p>
        </w:tc>
        <w:tc>
          <w:tcPr>
            <w:tcW w:w="7688" w:type="dxa"/>
          </w:tcPr>
          <w:p>
            <w:pPr>
              <w:pStyle w:val="TableParagraph"/>
              <w:ind w:left="0"/>
              <w:rPr>
                <w:rFonts w:ascii="Times New Roman"/>
                <w:sz w:val="20"/>
              </w:rPr>
            </w:pPr>
          </w:p>
        </w:tc>
      </w:tr>
      <w:tr>
        <w:trPr>
          <w:trHeight w:val="735" w:hRule="atLeast"/>
        </w:trPr>
        <w:tc>
          <w:tcPr>
            <w:tcW w:w="867" w:type="dxa"/>
          </w:tcPr>
          <w:p>
            <w:pPr>
              <w:pStyle w:val="TableParagraph"/>
              <w:spacing w:line="230" w:lineRule="exact"/>
              <w:rPr>
                <w:b/>
                <w:sz w:val="21"/>
              </w:rPr>
            </w:pPr>
            <w:r>
              <w:rPr>
                <w:b/>
                <w:sz w:val="21"/>
              </w:rPr>
              <w:t>6.16 </w:t>
            </w:r>
          </w:p>
        </w:tc>
        <w:tc>
          <w:tcPr>
            <w:tcW w:w="1623" w:type="dxa"/>
          </w:tcPr>
          <w:p>
            <w:pPr>
              <w:pStyle w:val="TableParagraph"/>
              <w:spacing w:line="230" w:lineRule="exact"/>
              <w:ind w:left="139"/>
              <w:rPr>
                <w:b/>
                <w:sz w:val="21"/>
              </w:rPr>
            </w:pPr>
            <w:r>
              <w:rPr>
                <w:b/>
                <w:sz w:val="21"/>
              </w:rPr>
              <w:t>肢体机能完全</w:t>
            </w:r>
          </w:p>
          <w:p>
            <w:pPr>
              <w:pStyle w:val="TableParagraph"/>
              <w:spacing w:before="71"/>
              <w:ind w:left="139"/>
              <w:rPr>
                <w:b/>
                <w:sz w:val="21"/>
              </w:rPr>
            </w:pPr>
            <w:r>
              <w:rPr>
                <w:b/>
                <w:sz w:val="21"/>
              </w:rPr>
              <w:t>丧失</w:t>
            </w:r>
            <w:r>
              <w:rPr>
                <w:b/>
                <w:w w:val="99"/>
                <w:sz w:val="21"/>
              </w:rPr>
              <w:t> </w:t>
            </w:r>
          </w:p>
        </w:tc>
        <w:tc>
          <w:tcPr>
            <w:tcW w:w="7688" w:type="dxa"/>
          </w:tcPr>
          <w:p>
            <w:pPr>
              <w:pStyle w:val="TableParagraph"/>
              <w:spacing w:line="230" w:lineRule="exact"/>
              <w:ind w:left="115"/>
              <w:rPr>
                <w:sz w:val="21"/>
              </w:rPr>
            </w:pPr>
            <w:r>
              <w:rPr>
                <w:sz w:val="21"/>
              </w:rPr>
              <w:t>指肢体的三大关节中的两大关节僵硬，或不能随意识活动。肢体是指包括肩关节</w:t>
            </w:r>
          </w:p>
          <w:p>
            <w:pPr>
              <w:pStyle w:val="TableParagraph"/>
              <w:spacing w:before="71"/>
              <w:ind w:left="115"/>
              <w:rPr>
                <w:sz w:val="21"/>
              </w:rPr>
            </w:pPr>
            <w:r>
              <w:rPr>
                <w:sz w:val="21"/>
              </w:rPr>
              <w:t>的整个上肢或包括髋关节的整个下肢。</w:t>
            </w:r>
          </w:p>
        </w:tc>
      </w:tr>
      <w:tr>
        <w:trPr>
          <w:trHeight w:val="391" w:hRule="atLeast"/>
        </w:trPr>
        <w:tc>
          <w:tcPr>
            <w:tcW w:w="867" w:type="dxa"/>
          </w:tcPr>
          <w:p>
            <w:pPr>
              <w:pStyle w:val="TableParagraph"/>
              <w:spacing w:before="75"/>
              <w:rPr>
                <w:b/>
                <w:sz w:val="21"/>
              </w:rPr>
            </w:pPr>
            <w:r>
              <w:rPr>
                <w:b/>
                <w:w w:val="99"/>
                <w:sz w:val="21"/>
              </w:rPr>
              <w:t> </w:t>
            </w:r>
          </w:p>
        </w:tc>
        <w:tc>
          <w:tcPr>
            <w:tcW w:w="1623" w:type="dxa"/>
          </w:tcPr>
          <w:p>
            <w:pPr>
              <w:pStyle w:val="TableParagraph"/>
              <w:spacing w:before="75"/>
              <w:ind w:left="139"/>
              <w:rPr>
                <w:b/>
                <w:sz w:val="21"/>
              </w:rPr>
            </w:pPr>
            <w:r>
              <w:rPr>
                <w:b/>
                <w:w w:val="99"/>
                <w:sz w:val="21"/>
              </w:rPr>
              <w:t> </w:t>
            </w:r>
          </w:p>
        </w:tc>
        <w:tc>
          <w:tcPr>
            <w:tcW w:w="7688" w:type="dxa"/>
          </w:tcPr>
          <w:p>
            <w:pPr>
              <w:pStyle w:val="TableParagraph"/>
              <w:ind w:left="0"/>
              <w:rPr>
                <w:rFonts w:ascii="Times New Roman"/>
                <w:sz w:val="20"/>
              </w:rPr>
            </w:pPr>
          </w:p>
        </w:tc>
      </w:tr>
      <w:tr>
        <w:trPr>
          <w:trHeight w:val="1361" w:hRule="atLeast"/>
        </w:trPr>
        <w:tc>
          <w:tcPr>
            <w:tcW w:w="867" w:type="dxa"/>
          </w:tcPr>
          <w:p>
            <w:pPr>
              <w:pStyle w:val="TableParagraph"/>
              <w:spacing w:line="232" w:lineRule="exact"/>
              <w:rPr>
                <w:b/>
                <w:sz w:val="21"/>
              </w:rPr>
            </w:pPr>
            <w:r>
              <w:rPr>
                <w:b/>
                <w:sz w:val="21"/>
              </w:rPr>
              <w:t>6.17 </w:t>
            </w:r>
          </w:p>
        </w:tc>
        <w:tc>
          <w:tcPr>
            <w:tcW w:w="1623" w:type="dxa"/>
          </w:tcPr>
          <w:p>
            <w:pPr>
              <w:pStyle w:val="TableParagraph"/>
              <w:spacing w:line="232" w:lineRule="exact"/>
              <w:ind w:left="139"/>
              <w:rPr>
                <w:b/>
                <w:sz w:val="21"/>
              </w:rPr>
            </w:pPr>
            <w:r>
              <w:rPr>
                <w:b/>
                <w:sz w:val="21"/>
              </w:rPr>
              <w:t>语言能力或咀</w:t>
            </w:r>
          </w:p>
          <w:p>
            <w:pPr>
              <w:pStyle w:val="TableParagraph"/>
              <w:spacing w:line="302" w:lineRule="auto" w:before="66"/>
              <w:ind w:left="139" w:right="213"/>
              <w:rPr>
                <w:b/>
                <w:sz w:val="21"/>
              </w:rPr>
            </w:pPr>
            <w:r>
              <w:rPr>
                <w:b/>
                <w:sz w:val="21"/>
              </w:rPr>
              <w:t>嚼吞咽能力完全丧失</w:t>
            </w:r>
            <w:r>
              <w:rPr>
                <w:b/>
                <w:w w:val="99"/>
                <w:sz w:val="21"/>
              </w:rPr>
              <w:t> </w:t>
            </w:r>
          </w:p>
        </w:tc>
        <w:tc>
          <w:tcPr>
            <w:tcW w:w="7688" w:type="dxa"/>
          </w:tcPr>
          <w:p>
            <w:pPr>
              <w:pStyle w:val="TableParagraph"/>
              <w:spacing w:line="232" w:lineRule="exact"/>
              <w:ind w:left="115"/>
              <w:rPr>
                <w:sz w:val="21"/>
              </w:rPr>
            </w:pPr>
            <w:r>
              <w:rPr>
                <w:sz w:val="21"/>
              </w:rPr>
              <w:t>语言能力完全丧失，指无法发出四种语音（包括口唇音、齿舌音、口盖音和喉头</w:t>
            </w:r>
          </w:p>
          <w:p>
            <w:pPr>
              <w:pStyle w:val="TableParagraph"/>
              <w:spacing w:line="300" w:lineRule="auto" w:before="66"/>
              <w:ind w:left="115" w:right="218"/>
              <w:rPr>
                <w:sz w:val="21"/>
              </w:rPr>
            </w:pPr>
            <w:r>
              <w:rPr>
                <w:sz w:val="21"/>
              </w:rPr>
              <w:t>音）</w:t>
            </w:r>
            <w:r>
              <w:rPr>
                <w:spacing w:val="-5"/>
                <w:sz w:val="21"/>
              </w:rPr>
              <w:t>中的任何三种、或声带全部切除，或因大脑语言中枢受伤害而患失语症。 </w:t>
            </w:r>
            <w:r>
              <w:rPr>
                <w:spacing w:val="-11"/>
                <w:sz w:val="21"/>
              </w:rPr>
              <w:t>咀嚼吞咽能力完全丧失，指因牙齿以外的原因导致器质障碍或机能障碍，以致不</w:t>
            </w:r>
            <w:r>
              <w:rPr>
                <w:spacing w:val="-7"/>
                <w:sz w:val="21"/>
              </w:rPr>
              <w:t>能作咀嚼吞咽运动，除流质食物外不能摄取或吞咽的状态。</w:t>
            </w:r>
          </w:p>
        </w:tc>
      </w:tr>
      <w:tr>
        <w:trPr>
          <w:trHeight w:val="333" w:hRule="atLeast"/>
        </w:trPr>
        <w:tc>
          <w:tcPr>
            <w:tcW w:w="867" w:type="dxa"/>
          </w:tcPr>
          <w:p>
            <w:pPr>
              <w:pStyle w:val="TableParagraph"/>
              <w:spacing w:before="17"/>
              <w:rPr>
                <w:b/>
                <w:sz w:val="21"/>
              </w:rPr>
            </w:pPr>
            <w:r>
              <w:rPr>
                <w:b/>
                <w:w w:val="99"/>
                <w:sz w:val="21"/>
              </w:rPr>
              <w:t> </w:t>
            </w:r>
          </w:p>
        </w:tc>
        <w:tc>
          <w:tcPr>
            <w:tcW w:w="1623" w:type="dxa"/>
          </w:tcPr>
          <w:p>
            <w:pPr>
              <w:pStyle w:val="TableParagraph"/>
              <w:spacing w:before="17"/>
              <w:ind w:left="139"/>
              <w:rPr>
                <w:b/>
                <w:sz w:val="21"/>
              </w:rPr>
            </w:pPr>
            <w:r>
              <w:rPr>
                <w:b/>
                <w:w w:val="99"/>
                <w:sz w:val="21"/>
              </w:rPr>
              <w:t> </w:t>
            </w:r>
          </w:p>
        </w:tc>
        <w:tc>
          <w:tcPr>
            <w:tcW w:w="7688" w:type="dxa"/>
          </w:tcPr>
          <w:p>
            <w:pPr>
              <w:pStyle w:val="TableParagraph"/>
              <w:ind w:left="0"/>
              <w:rPr>
                <w:rFonts w:ascii="Times New Roman"/>
                <w:sz w:val="20"/>
              </w:rPr>
            </w:pPr>
          </w:p>
        </w:tc>
      </w:tr>
      <w:tr>
        <w:trPr>
          <w:trHeight w:val="2381" w:hRule="atLeast"/>
        </w:trPr>
        <w:tc>
          <w:tcPr>
            <w:tcW w:w="867" w:type="dxa"/>
          </w:tcPr>
          <w:p>
            <w:pPr>
              <w:pStyle w:val="TableParagraph"/>
              <w:spacing w:line="232" w:lineRule="exact"/>
              <w:rPr>
                <w:b/>
                <w:sz w:val="21"/>
              </w:rPr>
            </w:pPr>
            <w:r>
              <w:rPr>
                <w:b/>
                <w:sz w:val="21"/>
              </w:rPr>
              <w:t>6.18 </w:t>
            </w:r>
          </w:p>
        </w:tc>
        <w:tc>
          <w:tcPr>
            <w:tcW w:w="1623" w:type="dxa"/>
          </w:tcPr>
          <w:p>
            <w:pPr>
              <w:pStyle w:val="TableParagraph"/>
              <w:spacing w:line="232" w:lineRule="exact"/>
              <w:ind w:left="139"/>
              <w:rPr>
                <w:b/>
                <w:sz w:val="21"/>
              </w:rPr>
            </w:pPr>
            <w:r>
              <w:rPr>
                <w:b/>
                <w:sz w:val="21"/>
              </w:rPr>
              <w:t>六项基本日常</w:t>
            </w:r>
          </w:p>
          <w:p>
            <w:pPr>
              <w:pStyle w:val="TableParagraph"/>
              <w:spacing w:before="66"/>
              <w:ind w:left="139"/>
              <w:rPr>
                <w:b/>
                <w:sz w:val="21"/>
              </w:rPr>
            </w:pPr>
            <w:r>
              <w:rPr>
                <w:b/>
                <w:sz w:val="21"/>
              </w:rPr>
              <w:t>生活活动</w:t>
            </w:r>
            <w:r>
              <w:rPr>
                <w:b/>
                <w:w w:val="99"/>
                <w:sz w:val="21"/>
              </w:rPr>
              <w:t> </w:t>
            </w:r>
          </w:p>
        </w:tc>
        <w:tc>
          <w:tcPr>
            <w:tcW w:w="7688" w:type="dxa"/>
          </w:tcPr>
          <w:p>
            <w:pPr>
              <w:pStyle w:val="TableParagraph"/>
              <w:spacing w:line="232" w:lineRule="exact"/>
              <w:ind w:left="115"/>
              <w:rPr>
                <w:sz w:val="21"/>
              </w:rPr>
            </w:pPr>
            <w:r>
              <w:rPr>
                <w:sz w:val="21"/>
              </w:rPr>
              <w:t>六项基本日常生活活动是指： </w:t>
            </w:r>
          </w:p>
          <w:p>
            <w:pPr>
              <w:pStyle w:val="TableParagraph"/>
              <w:spacing w:before="66"/>
              <w:ind w:left="115"/>
              <w:rPr>
                <w:sz w:val="21"/>
              </w:rPr>
            </w:pPr>
            <w:r>
              <w:rPr>
                <w:sz w:val="21"/>
              </w:rPr>
              <w:t>（1）穿衣：自己能够穿衣及脱衣； </w:t>
            </w:r>
          </w:p>
          <w:p>
            <w:pPr>
              <w:pStyle w:val="TableParagraph"/>
              <w:spacing w:before="70"/>
              <w:ind w:left="115"/>
              <w:rPr>
                <w:sz w:val="21"/>
              </w:rPr>
            </w:pPr>
            <w:r>
              <w:rPr>
                <w:sz w:val="21"/>
              </w:rPr>
              <w:t>（2）移动：自己从一个房间到另一个房间； </w:t>
            </w:r>
          </w:p>
          <w:p>
            <w:pPr>
              <w:pStyle w:val="TableParagraph"/>
              <w:spacing w:before="65"/>
              <w:ind w:left="115"/>
              <w:rPr>
                <w:sz w:val="21"/>
              </w:rPr>
            </w:pPr>
            <w:r>
              <w:rPr>
                <w:sz w:val="21"/>
              </w:rPr>
              <w:t>（3）行动：自己上下床或上下轮椅； </w:t>
            </w:r>
          </w:p>
          <w:p>
            <w:pPr>
              <w:pStyle w:val="TableParagraph"/>
              <w:spacing w:before="70"/>
              <w:ind w:left="115"/>
              <w:rPr>
                <w:sz w:val="21"/>
              </w:rPr>
            </w:pPr>
            <w:r>
              <w:rPr>
                <w:sz w:val="21"/>
              </w:rPr>
              <w:t>（4）如厕：自己控制进行大小便； </w:t>
            </w:r>
          </w:p>
          <w:p>
            <w:pPr>
              <w:pStyle w:val="TableParagraph"/>
              <w:spacing w:before="65"/>
              <w:ind w:left="115"/>
              <w:rPr>
                <w:sz w:val="21"/>
              </w:rPr>
            </w:pPr>
            <w:r>
              <w:rPr>
                <w:sz w:val="21"/>
              </w:rPr>
              <w:t>（5）进食：自己从已准备好的碗或碟中取食物放入口中； </w:t>
            </w:r>
          </w:p>
          <w:p>
            <w:pPr>
              <w:pStyle w:val="TableParagraph"/>
              <w:spacing w:before="70"/>
              <w:ind w:left="115"/>
              <w:rPr>
                <w:sz w:val="21"/>
              </w:rPr>
            </w:pPr>
            <w:r>
              <w:rPr>
                <w:sz w:val="21"/>
              </w:rPr>
              <w:t>（6）洗澡：自己进行淋浴或盆浴。</w:t>
            </w:r>
          </w:p>
        </w:tc>
      </w:tr>
      <w:tr>
        <w:trPr>
          <w:trHeight w:val="316" w:hRule="atLeast"/>
        </w:trPr>
        <w:tc>
          <w:tcPr>
            <w:tcW w:w="867" w:type="dxa"/>
          </w:tcPr>
          <w:p>
            <w:pPr>
              <w:pStyle w:val="TableParagraph"/>
              <w:spacing w:before="5"/>
              <w:rPr>
                <w:b/>
                <w:sz w:val="21"/>
              </w:rPr>
            </w:pPr>
            <w:r>
              <w:rPr>
                <w:b/>
                <w:w w:val="99"/>
                <w:sz w:val="21"/>
              </w:rPr>
              <w:t> </w:t>
            </w:r>
          </w:p>
        </w:tc>
        <w:tc>
          <w:tcPr>
            <w:tcW w:w="1623" w:type="dxa"/>
          </w:tcPr>
          <w:p>
            <w:pPr>
              <w:pStyle w:val="TableParagraph"/>
              <w:spacing w:before="5"/>
              <w:ind w:left="139"/>
              <w:rPr>
                <w:b/>
                <w:sz w:val="21"/>
              </w:rPr>
            </w:pPr>
            <w:r>
              <w:rPr>
                <w:b/>
                <w:w w:val="99"/>
                <w:sz w:val="21"/>
              </w:rPr>
              <w:t> </w:t>
            </w:r>
          </w:p>
        </w:tc>
        <w:tc>
          <w:tcPr>
            <w:tcW w:w="7688" w:type="dxa"/>
          </w:tcPr>
          <w:p>
            <w:pPr>
              <w:pStyle w:val="TableParagraph"/>
              <w:ind w:left="0"/>
              <w:rPr>
                <w:rFonts w:ascii="Times New Roman"/>
                <w:sz w:val="20"/>
              </w:rPr>
            </w:pPr>
          </w:p>
        </w:tc>
      </w:tr>
      <w:tr>
        <w:trPr>
          <w:trHeight w:val="666" w:hRule="atLeast"/>
        </w:trPr>
        <w:tc>
          <w:tcPr>
            <w:tcW w:w="867" w:type="dxa"/>
          </w:tcPr>
          <w:p>
            <w:pPr>
              <w:pStyle w:val="TableParagraph"/>
              <w:spacing w:line="234" w:lineRule="exact"/>
              <w:rPr>
                <w:b/>
                <w:sz w:val="21"/>
              </w:rPr>
            </w:pPr>
            <w:r>
              <w:rPr>
                <w:b/>
                <w:sz w:val="21"/>
              </w:rPr>
              <w:t>6.19 </w:t>
            </w:r>
          </w:p>
        </w:tc>
        <w:tc>
          <w:tcPr>
            <w:tcW w:w="1623" w:type="dxa"/>
          </w:tcPr>
          <w:p>
            <w:pPr>
              <w:pStyle w:val="TableParagraph"/>
              <w:spacing w:line="234" w:lineRule="exact"/>
              <w:ind w:left="139"/>
              <w:rPr>
                <w:b/>
                <w:sz w:val="21"/>
              </w:rPr>
            </w:pPr>
            <w:r>
              <w:rPr>
                <w:b/>
                <w:sz w:val="21"/>
              </w:rPr>
              <w:t>永久不可逆</w:t>
            </w:r>
            <w:r>
              <w:rPr>
                <w:b/>
                <w:w w:val="99"/>
                <w:sz w:val="21"/>
              </w:rPr>
              <w:t> </w:t>
            </w:r>
          </w:p>
        </w:tc>
        <w:tc>
          <w:tcPr>
            <w:tcW w:w="7688" w:type="dxa"/>
          </w:tcPr>
          <w:p>
            <w:pPr>
              <w:pStyle w:val="TableParagraph"/>
              <w:spacing w:line="249" w:lineRule="exact"/>
              <w:ind w:left="115"/>
              <w:rPr>
                <w:sz w:val="21"/>
              </w:rPr>
            </w:pPr>
            <w:r>
              <w:rPr>
                <w:sz w:val="21"/>
              </w:rPr>
              <w:t>指自疾病确诊或意外伤害发生之日起，经过积极治疗 </w:t>
            </w:r>
            <w:r>
              <w:rPr>
                <w:rFonts w:ascii="Times New Roman" w:eastAsia="Times New Roman"/>
                <w:sz w:val="21"/>
              </w:rPr>
              <w:t>180 </w:t>
            </w:r>
            <w:r>
              <w:rPr>
                <w:sz w:val="21"/>
              </w:rPr>
              <w:t>天后，仍无法通过现有</w:t>
            </w:r>
          </w:p>
          <w:p>
            <w:pPr>
              <w:pStyle w:val="TableParagraph"/>
              <w:spacing w:before="55"/>
              <w:ind w:left="115"/>
              <w:rPr>
                <w:sz w:val="21"/>
              </w:rPr>
            </w:pPr>
            <w:r>
              <w:rPr>
                <w:sz w:val="21"/>
              </w:rPr>
              <w:t>医疗手段恢复。</w:t>
            </w:r>
          </w:p>
        </w:tc>
      </w:tr>
      <w:tr>
        <w:trPr>
          <w:trHeight w:val="315" w:hRule="atLeast"/>
        </w:trPr>
        <w:tc>
          <w:tcPr>
            <w:tcW w:w="867" w:type="dxa"/>
          </w:tcPr>
          <w:p>
            <w:pPr>
              <w:pStyle w:val="TableParagraph"/>
              <w:spacing w:before="3"/>
              <w:rPr>
                <w:b/>
                <w:sz w:val="21"/>
              </w:rPr>
            </w:pPr>
            <w:r>
              <w:rPr>
                <w:b/>
                <w:w w:val="99"/>
                <w:sz w:val="21"/>
              </w:rPr>
              <w:t> </w:t>
            </w:r>
          </w:p>
        </w:tc>
        <w:tc>
          <w:tcPr>
            <w:tcW w:w="1623" w:type="dxa"/>
          </w:tcPr>
          <w:p>
            <w:pPr>
              <w:pStyle w:val="TableParagraph"/>
              <w:spacing w:before="3"/>
              <w:ind w:left="139"/>
              <w:rPr>
                <w:b/>
                <w:sz w:val="21"/>
              </w:rPr>
            </w:pPr>
            <w:r>
              <w:rPr>
                <w:b/>
                <w:w w:val="99"/>
                <w:sz w:val="21"/>
              </w:rPr>
              <w:t> </w:t>
            </w:r>
          </w:p>
        </w:tc>
        <w:tc>
          <w:tcPr>
            <w:tcW w:w="7688" w:type="dxa"/>
          </w:tcPr>
          <w:p>
            <w:pPr>
              <w:pStyle w:val="TableParagraph"/>
              <w:ind w:left="0"/>
              <w:rPr>
                <w:rFonts w:ascii="Times New Roman"/>
                <w:sz w:val="20"/>
              </w:rPr>
            </w:pPr>
          </w:p>
        </w:tc>
      </w:tr>
      <w:tr>
        <w:trPr>
          <w:trHeight w:val="653" w:hRule="atLeast"/>
        </w:trPr>
        <w:tc>
          <w:tcPr>
            <w:tcW w:w="867" w:type="dxa"/>
          </w:tcPr>
          <w:p>
            <w:pPr>
              <w:pStyle w:val="TableParagraph"/>
              <w:spacing w:line="236" w:lineRule="exact"/>
              <w:rPr>
                <w:b/>
                <w:sz w:val="21"/>
              </w:rPr>
            </w:pPr>
            <w:r>
              <w:rPr>
                <w:b/>
                <w:sz w:val="21"/>
              </w:rPr>
              <w:t>6.20 </w:t>
            </w:r>
          </w:p>
        </w:tc>
        <w:tc>
          <w:tcPr>
            <w:tcW w:w="1623" w:type="dxa"/>
          </w:tcPr>
          <w:p>
            <w:pPr>
              <w:pStyle w:val="TableParagraph"/>
              <w:spacing w:line="236" w:lineRule="exact"/>
              <w:ind w:left="139"/>
              <w:rPr>
                <w:b/>
                <w:sz w:val="21"/>
              </w:rPr>
            </w:pPr>
            <w:r>
              <w:rPr>
                <w:b/>
                <w:sz w:val="21"/>
              </w:rPr>
              <w:t>持续的输氧治</w:t>
            </w:r>
          </w:p>
          <w:p>
            <w:pPr>
              <w:pStyle w:val="TableParagraph"/>
              <w:spacing w:before="66"/>
              <w:ind w:left="139"/>
              <w:rPr>
                <w:b/>
                <w:sz w:val="21"/>
              </w:rPr>
            </w:pPr>
            <w:r>
              <w:rPr>
                <w:b/>
                <w:w w:val="100"/>
                <w:sz w:val="21"/>
              </w:rPr>
              <w:t>疗</w:t>
            </w:r>
          </w:p>
        </w:tc>
        <w:tc>
          <w:tcPr>
            <w:tcW w:w="7688" w:type="dxa"/>
          </w:tcPr>
          <w:p>
            <w:pPr>
              <w:pStyle w:val="TableParagraph"/>
              <w:spacing w:line="252" w:lineRule="exact"/>
              <w:ind w:left="115"/>
              <w:rPr>
                <w:sz w:val="21"/>
              </w:rPr>
            </w:pPr>
            <w:r>
              <w:rPr>
                <w:sz w:val="21"/>
              </w:rPr>
              <w:t>指每日至少吸氧 </w:t>
            </w:r>
            <w:r>
              <w:rPr>
                <w:rFonts w:ascii="Times New Roman" w:eastAsia="Times New Roman"/>
                <w:sz w:val="21"/>
              </w:rPr>
              <w:t>15 </w:t>
            </w:r>
            <w:r>
              <w:rPr>
                <w:sz w:val="21"/>
              </w:rPr>
              <w:t>小时，氧疗时间至少达到 </w:t>
            </w:r>
            <w:r>
              <w:rPr>
                <w:rFonts w:ascii="Times New Roman" w:eastAsia="Times New Roman"/>
                <w:sz w:val="21"/>
              </w:rPr>
              <w:t>6 </w:t>
            </w:r>
            <w:r>
              <w:rPr>
                <w:sz w:val="21"/>
              </w:rPr>
              <w:t>个月以上。</w:t>
            </w:r>
          </w:p>
        </w:tc>
      </w:tr>
      <w:tr>
        <w:trPr>
          <w:trHeight w:val="340" w:hRule="atLeast"/>
        </w:trPr>
        <w:tc>
          <w:tcPr>
            <w:tcW w:w="867" w:type="dxa"/>
          </w:tcPr>
          <w:p>
            <w:pPr>
              <w:pStyle w:val="TableParagraph"/>
              <w:spacing w:line="269" w:lineRule="exact"/>
              <w:rPr>
                <w:b/>
                <w:sz w:val="21"/>
              </w:rPr>
            </w:pPr>
            <w:r>
              <w:rPr>
                <w:b/>
                <w:w w:val="99"/>
                <w:sz w:val="21"/>
              </w:rPr>
              <w:t> </w:t>
            </w:r>
          </w:p>
        </w:tc>
        <w:tc>
          <w:tcPr>
            <w:tcW w:w="1623" w:type="dxa"/>
          </w:tcPr>
          <w:p>
            <w:pPr>
              <w:pStyle w:val="TableParagraph"/>
              <w:ind w:left="0"/>
              <w:rPr>
                <w:rFonts w:ascii="Times New Roman"/>
                <w:sz w:val="20"/>
              </w:rPr>
            </w:pPr>
          </w:p>
        </w:tc>
        <w:tc>
          <w:tcPr>
            <w:tcW w:w="7688" w:type="dxa"/>
          </w:tcPr>
          <w:p>
            <w:pPr>
              <w:pStyle w:val="TableParagraph"/>
              <w:ind w:left="0"/>
              <w:rPr>
                <w:rFonts w:ascii="Times New Roman"/>
                <w:sz w:val="20"/>
              </w:rPr>
            </w:pPr>
          </w:p>
        </w:tc>
      </w:tr>
      <w:tr>
        <w:trPr>
          <w:trHeight w:val="965" w:hRule="atLeast"/>
        </w:trPr>
        <w:tc>
          <w:tcPr>
            <w:tcW w:w="867" w:type="dxa"/>
          </w:tcPr>
          <w:p>
            <w:pPr>
              <w:pStyle w:val="TableParagraph"/>
              <w:spacing w:line="269" w:lineRule="exact"/>
              <w:rPr>
                <w:b/>
                <w:sz w:val="21"/>
              </w:rPr>
            </w:pPr>
            <w:r>
              <w:rPr>
                <w:b/>
                <w:sz w:val="21"/>
              </w:rPr>
              <w:t>6.21 </w:t>
            </w:r>
          </w:p>
        </w:tc>
        <w:tc>
          <w:tcPr>
            <w:tcW w:w="1623" w:type="dxa"/>
          </w:tcPr>
          <w:p>
            <w:pPr>
              <w:pStyle w:val="TableParagraph"/>
              <w:spacing w:line="269" w:lineRule="exact"/>
              <w:ind w:left="139"/>
              <w:rPr>
                <w:b/>
                <w:sz w:val="21"/>
              </w:rPr>
            </w:pPr>
            <w:r>
              <w:rPr>
                <w:b/>
                <w:sz w:val="21"/>
              </w:rPr>
              <w:t>持续性蛋白尿</w:t>
            </w:r>
          </w:p>
          <w:p>
            <w:pPr>
              <w:pStyle w:val="TableParagraph"/>
              <w:spacing w:line="340" w:lineRule="atLeast" w:before="5"/>
              <w:ind w:left="139" w:right="213"/>
              <w:rPr>
                <w:b/>
                <w:sz w:val="21"/>
              </w:rPr>
            </w:pPr>
            <w:r>
              <w:rPr>
                <w:b/>
                <w:sz w:val="21"/>
              </w:rPr>
              <w:t>（尿蛋白++以上）</w:t>
            </w:r>
          </w:p>
        </w:tc>
        <w:tc>
          <w:tcPr>
            <w:tcW w:w="7688" w:type="dxa"/>
          </w:tcPr>
          <w:p>
            <w:pPr>
              <w:pStyle w:val="TableParagraph"/>
              <w:spacing w:line="285" w:lineRule="exact"/>
              <w:ind w:left="115"/>
              <w:rPr>
                <w:sz w:val="21"/>
              </w:rPr>
            </w:pPr>
            <w:r>
              <w:rPr>
                <w:sz w:val="21"/>
              </w:rPr>
              <w:t>指在三个尿样中的两个检查中检查出蛋白质；</w:t>
            </w:r>
            <w:r>
              <w:rPr>
                <w:rFonts w:ascii="Times New Roman" w:eastAsia="Times New Roman"/>
                <w:sz w:val="21"/>
              </w:rPr>
              <w:t>++</w:t>
            </w:r>
            <w:r>
              <w:rPr>
                <w:sz w:val="21"/>
              </w:rPr>
              <w:t>以上不包括</w:t>
            </w:r>
            <w:r>
              <w:rPr>
                <w:rFonts w:ascii="Times New Roman" w:eastAsia="Times New Roman"/>
                <w:sz w:val="21"/>
              </w:rPr>
              <w:t>++</w:t>
            </w:r>
            <w:r>
              <w:rPr>
                <w:sz w:val="21"/>
              </w:rPr>
              <w:t>。</w:t>
            </w:r>
          </w:p>
        </w:tc>
      </w:tr>
    </w:tbl>
    <w:p>
      <w:pPr>
        <w:spacing w:after="0" w:line="285" w:lineRule="exact"/>
        <w:rPr>
          <w:sz w:val="21"/>
        </w:rPr>
        <w:sectPr>
          <w:pgSz w:w="11910" w:h="16840"/>
          <w:pgMar w:header="0" w:footer="915" w:top="1500" w:bottom="1100" w:left="800" w:right="700"/>
        </w:sectPr>
      </w:pPr>
    </w:p>
    <w:p>
      <w:pPr>
        <w:pStyle w:val="Heading2"/>
      </w:pPr>
      <w:r>
        <w:rPr>
          <w:w w:val="95"/>
        </w:rPr>
        <w:t>附表一</w:t>
      </w:r>
    </w:p>
    <w:p>
      <w:pPr>
        <w:spacing w:before="27"/>
        <w:ind w:left="1983" w:right="0" w:firstLine="0"/>
        <w:jc w:val="left"/>
        <w:rPr>
          <w:b/>
          <w:sz w:val="24"/>
        </w:rPr>
      </w:pPr>
      <w:r>
        <w:rPr>
          <w:b/>
          <w:w w:val="95"/>
          <w:sz w:val="24"/>
        </w:rPr>
        <w:t>安邦养老保险股份有限公司极短期收费比例表</w:t>
      </w:r>
    </w:p>
    <w:p>
      <w:pPr>
        <w:pStyle w:val="BodyText"/>
        <w:rPr>
          <w:b/>
          <w:sz w:val="20"/>
        </w:rPr>
      </w:pPr>
    </w:p>
    <w:p>
      <w:pPr>
        <w:pStyle w:val="BodyText"/>
        <w:spacing w:before="1"/>
        <w:rPr>
          <w:b/>
          <w:sz w:val="10"/>
        </w:rPr>
      </w:pPr>
    </w:p>
    <w:tbl>
      <w:tblPr>
        <w:tblW w:w="0" w:type="auto"/>
        <w:jc w:val="lef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66"/>
        <w:gridCol w:w="581"/>
        <w:gridCol w:w="586"/>
        <w:gridCol w:w="582"/>
        <w:gridCol w:w="586"/>
        <w:gridCol w:w="582"/>
        <w:gridCol w:w="586"/>
        <w:gridCol w:w="582"/>
        <w:gridCol w:w="582"/>
        <w:gridCol w:w="587"/>
        <w:gridCol w:w="582"/>
        <w:gridCol w:w="587"/>
        <w:gridCol w:w="582"/>
      </w:tblGrid>
      <w:tr>
        <w:trPr>
          <w:trHeight w:val="360" w:hRule="atLeast"/>
        </w:trPr>
        <w:tc>
          <w:tcPr>
            <w:tcW w:w="1566" w:type="dxa"/>
          </w:tcPr>
          <w:p>
            <w:pPr>
              <w:pStyle w:val="TableParagraph"/>
              <w:spacing w:before="14"/>
              <w:ind w:left="26" w:right="8"/>
              <w:jc w:val="center"/>
              <w:rPr>
                <w:b/>
                <w:sz w:val="21"/>
              </w:rPr>
            </w:pPr>
            <w:r>
              <w:rPr>
                <w:b/>
                <w:sz w:val="21"/>
              </w:rPr>
              <w:t>保险期限（月）</w:t>
            </w:r>
          </w:p>
        </w:tc>
        <w:tc>
          <w:tcPr>
            <w:tcW w:w="581" w:type="dxa"/>
          </w:tcPr>
          <w:p>
            <w:pPr>
              <w:pStyle w:val="TableParagraph"/>
              <w:spacing w:before="14"/>
              <w:ind w:left="169" w:right="41"/>
              <w:jc w:val="center"/>
              <w:rPr>
                <w:sz w:val="21"/>
              </w:rPr>
            </w:pPr>
            <w:r>
              <w:rPr>
                <w:sz w:val="21"/>
              </w:rPr>
              <w:t>1 </w:t>
            </w:r>
          </w:p>
        </w:tc>
        <w:tc>
          <w:tcPr>
            <w:tcW w:w="586" w:type="dxa"/>
          </w:tcPr>
          <w:p>
            <w:pPr>
              <w:pStyle w:val="TableParagraph"/>
              <w:spacing w:before="14"/>
              <w:ind w:left="167" w:right="44"/>
              <w:jc w:val="center"/>
              <w:rPr>
                <w:sz w:val="21"/>
              </w:rPr>
            </w:pPr>
            <w:r>
              <w:rPr>
                <w:sz w:val="21"/>
              </w:rPr>
              <w:t>2 </w:t>
            </w:r>
          </w:p>
        </w:tc>
        <w:tc>
          <w:tcPr>
            <w:tcW w:w="582" w:type="dxa"/>
          </w:tcPr>
          <w:p>
            <w:pPr>
              <w:pStyle w:val="TableParagraph"/>
              <w:spacing w:before="14"/>
              <w:ind w:left="162" w:right="35"/>
              <w:jc w:val="center"/>
              <w:rPr>
                <w:sz w:val="21"/>
              </w:rPr>
            </w:pPr>
            <w:r>
              <w:rPr>
                <w:sz w:val="21"/>
              </w:rPr>
              <w:t>3 </w:t>
            </w:r>
          </w:p>
        </w:tc>
        <w:tc>
          <w:tcPr>
            <w:tcW w:w="586" w:type="dxa"/>
          </w:tcPr>
          <w:p>
            <w:pPr>
              <w:pStyle w:val="TableParagraph"/>
              <w:spacing w:before="14"/>
              <w:ind w:left="167" w:right="46"/>
              <w:jc w:val="center"/>
              <w:rPr>
                <w:sz w:val="21"/>
              </w:rPr>
            </w:pPr>
            <w:r>
              <w:rPr>
                <w:sz w:val="21"/>
              </w:rPr>
              <w:t>4 </w:t>
            </w:r>
          </w:p>
        </w:tc>
        <w:tc>
          <w:tcPr>
            <w:tcW w:w="582" w:type="dxa"/>
          </w:tcPr>
          <w:p>
            <w:pPr>
              <w:pStyle w:val="TableParagraph"/>
              <w:spacing w:before="14"/>
              <w:ind w:left="157" w:right="42"/>
              <w:jc w:val="center"/>
              <w:rPr>
                <w:sz w:val="21"/>
              </w:rPr>
            </w:pPr>
            <w:r>
              <w:rPr>
                <w:sz w:val="21"/>
              </w:rPr>
              <w:t>5 </w:t>
            </w:r>
          </w:p>
        </w:tc>
        <w:tc>
          <w:tcPr>
            <w:tcW w:w="586" w:type="dxa"/>
          </w:tcPr>
          <w:p>
            <w:pPr>
              <w:pStyle w:val="TableParagraph"/>
              <w:spacing w:before="14"/>
              <w:ind w:left="165" w:right="46"/>
              <w:jc w:val="center"/>
              <w:rPr>
                <w:sz w:val="21"/>
              </w:rPr>
            </w:pPr>
            <w:r>
              <w:rPr>
                <w:sz w:val="21"/>
              </w:rPr>
              <w:t>6 </w:t>
            </w:r>
          </w:p>
        </w:tc>
        <w:tc>
          <w:tcPr>
            <w:tcW w:w="582" w:type="dxa"/>
          </w:tcPr>
          <w:p>
            <w:pPr>
              <w:pStyle w:val="TableParagraph"/>
              <w:spacing w:before="14"/>
              <w:ind w:left="155" w:right="42"/>
              <w:jc w:val="center"/>
              <w:rPr>
                <w:sz w:val="21"/>
              </w:rPr>
            </w:pPr>
            <w:r>
              <w:rPr>
                <w:sz w:val="21"/>
              </w:rPr>
              <w:t>7 </w:t>
            </w:r>
          </w:p>
        </w:tc>
        <w:tc>
          <w:tcPr>
            <w:tcW w:w="582" w:type="dxa"/>
          </w:tcPr>
          <w:p>
            <w:pPr>
              <w:pStyle w:val="TableParagraph"/>
              <w:spacing w:before="14"/>
              <w:ind w:left="162" w:right="42"/>
              <w:jc w:val="center"/>
              <w:rPr>
                <w:sz w:val="21"/>
              </w:rPr>
            </w:pPr>
            <w:r>
              <w:rPr>
                <w:sz w:val="21"/>
              </w:rPr>
              <w:t>8 </w:t>
            </w:r>
          </w:p>
        </w:tc>
        <w:tc>
          <w:tcPr>
            <w:tcW w:w="587" w:type="dxa"/>
          </w:tcPr>
          <w:p>
            <w:pPr>
              <w:pStyle w:val="TableParagraph"/>
              <w:spacing w:before="14"/>
              <w:ind w:left="165" w:right="52"/>
              <w:jc w:val="center"/>
              <w:rPr>
                <w:sz w:val="21"/>
              </w:rPr>
            </w:pPr>
            <w:r>
              <w:rPr>
                <w:sz w:val="21"/>
              </w:rPr>
              <w:t>9 </w:t>
            </w:r>
          </w:p>
        </w:tc>
        <w:tc>
          <w:tcPr>
            <w:tcW w:w="582" w:type="dxa"/>
          </w:tcPr>
          <w:p>
            <w:pPr>
              <w:pStyle w:val="TableParagraph"/>
              <w:spacing w:before="14"/>
              <w:ind w:left="183"/>
              <w:rPr>
                <w:sz w:val="21"/>
              </w:rPr>
            </w:pPr>
            <w:r>
              <w:rPr>
                <w:sz w:val="21"/>
              </w:rPr>
              <w:t>10 </w:t>
            </w:r>
          </w:p>
        </w:tc>
        <w:tc>
          <w:tcPr>
            <w:tcW w:w="587" w:type="dxa"/>
          </w:tcPr>
          <w:p>
            <w:pPr>
              <w:pStyle w:val="TableParagraph"/>
              <w:spacing w:before="14"/>
              <w:ind w:left="0" w:right="70"/>
              <w:jc w:val="right"/>
              <w:rPr>
                <w:sz w:val="21"/>
              </w:rPr>
            </w:pPr>
            <w:r>
              <w:rPr>
                <w:sz w:val="21"/>
              </w:rPr>
              <w:t>11 </w:t>
            </w:r>
          </w:p>
        </w:tc>
        <w:tc>
          <w:tcPr>
            <w:tcW w:w="582" w:type="dxa"/>
          </w:tcPr>
          <w:p>
            <w:pPr>
              <w:pStyle w:val="TableParagraph"/>
              <w:spacing w:before="14"/>
              <w:ind w:left="154" w:right="42"/>
              <w:jc w:val="center"/>
              <w:rPr>
                <w:sz w:val="21"/>
              </w:rPr>
            </w:pPr>
            <w:r>
              <w:rPr>
                <w:sz w:val="21"/>
              </w:rPr>
              <w:t>12 </w:t>
            </w:r>
          </w:p>
        </w:tc>
      </w:tr>
      <w:tr>
        <w:trPr>
          <w:trHeight w:val="407" w:hRule="atLeast"/>
        </w:trPr>
        <w:tc>
          <w:tcPr>
            <w:tcW w:w="1566" w:type="dxa"/>
          </w:tcPr>
          <w:p>
            <w:pPr>
              <w:pStyle w:val="TableParagraph"/>
              <w:spacing w:before="37"/>
              <w:ind w:left="132" w:right="8"/>
              <w:jc w:val="center"/>
              <w:rPr>
                <w:b/>
                <w:sz w:val="21"/>
              </w:rPr>
            </w:pPr>
            <w:r>
              <w:rPr>
                <w:b/>
                <w:sz w:val="21"/>
              </w:rPr>
              <w:t>收费比例</w:t>
            </w:r>
            <w:r>
              <w:rPr>
                <w:b/>
                <w:w w:val="99"/>
                <w:sz w:val="21"/>
              </w:rPr>
              <w:t> </w:t>
            </w:r>
          </w:p>
        </w:tc>
        <w:tc>
          <w:tcPr>
            <w:tcW w:w="581" w:type="dxa"/>
          </w:tcPr>
          <w:p>
            <w:pPr>
              <w:pStyle w:val="TableParagraph"/>
              <w:spacing w:before="37"/>
              <w:ind w:left="169" w:right="41"/>
              <w:jc w:val="center"/>
              <w:rPr>
                <w:sz w:val="21"/>
              </w:rPr>
            </w:pPr>
            <w:r>
              <w:rPr>
                <w:sz w:val="21"/>
              </w:rPr>
              <w:t>20% </w:t>
            </w:r>
          </w:p>
        </w:tc>
        <w:tc>
          <w:tcPr>
            <w:tcW w:w="586" w:type="dxa"/>
          </w:tcPr>
          <w:p>
            <w:pPr>
              <w:pStyle w:val="TableParagraph"/>
              <w:spacing w:before="37"/>
              <w:ind w:left="167" w:right="44"/>
              <w:jc w:val="center"/>
              <w:rPr>
                <w:sz w:val="21"/>
              </w:rPr>
            </w:pPr>
            <w:r>
              <w:rPr>
                <w:sz w:val="21"/>
              </w:rPr>
              <w:t>30% </w:t>
            </w:r>
          </w:p>
        </w:tc>
        <w:tc>
          <w:tcPr>
            <w:tcW w:w="582" w:type="dxa"/>
          </w:tcPr>
          <w:p>
            <w:pPr>
              <w:pStyle w:val="TableParagraph"/>
              <w:spacing w:before="37"/>
              <w:ind w:left="162" w:right="35"/>
              <w:jc w:val="center"/>
              <w:rPr>
                <w:sz w:val="21"/>
              </w:rPr>
            </w:pPr>
            <w:r>
              <w:rPr>
                <w:sz w:val="21"/>
              </w:rPr>
              <w:t>40% </w:t>
            </w:r>
          </w:p>
        </w:tc>
        <w:tc>
          <w:tcPr>
            <w:tcW w:w="586" w:type="dxa"/>
          </w:tcPr>
          <w:p>
            <w:pPr>
              <w:pStyle w:val="TableParagraph"/>
              <w:spacing w:before="37"/>
              <w:ind w:left="167" w:right="46"/>
              <w:jc w:val="center"/>
              <w:rPr>
                <w:sz w:val="21"/>
              </w:rPr>
            </w:pPr>
            <w:r>
              <w:rPr>
                <w:sz w:val="21"/>
              </w:rPr>
              <w:t>50% </w:t>
            </w:r>
          </w:p>
        </w:tc>
        <w:tc>
          <w:tcPr>
            <w:tcW w:w="582" w:type="dxa"/>
          </w:tcPr>
          <w:p>
            <w:pPr>
              <w:pStyle w:val="TableParagraph"/>
              <w:spacing w:before="37"/>
              <w:ind w:left="157" w:right="42"/>
              <w:jc w:val="center"/>
              <w:rPr>
                <w:sz w:val="21"/>
              </w:rPr>
            </w:pPr>
            <w:r>
              <w:rPr>
                <w:sz w:val="21"/>
              </w:rPr>
              <w:t>60% </w:t>
            </w:r>
          </w:p>
        </w:tc>
        <w:tc>
          <w:tcPr>
            <w:tcW w:w="586" w:type="dxa"/>
          </w:tcPr>
          <w:p>
            <w:pPr>
              <w:pStyle w:val="TableParagraph"/>
              <w:spacing w:before="37"/>
              <w:ind w:left="165" w:right="46"/>
              <w:jc w:val="center"/>
              <w:rPr>
                <w:sz w:val="21"/>
              </w:rPr>
            </w:pPr>
            <w:r>
              <w:rPr>
                <w:sz w:val="21"/>
              </w:rPr>
              <w:t>70% </w:t>
            </w:r>
          </w:p>
        </w:tc>
        <w:tc>
          <w:tcPr>
            <w:tcW w:w="582" w:type="dxa"/>
          </w:tcPr>
          <w:p>
            <w:pPr>
              <w:pStyle w:val="TableParagraph"/>
              <w:spacing w:before="37"/>
              <w:ind w:left="155" w:right="42"/>
              <w:jc w:val="center"/>
              <w:rPr>
                <w:sz w:val="21"/>
              </w:rPr>
            </w:pPr>
            <w:r>
              <w:rPr>
                <w:sz w:val="21"/>
              </w:rPr>
              <w:t>75% </w:t>
            </w:r>
          </w:p>
        </w:tc>
        <w:tc>
          <w:tcPr>
            <w:tcW w:w="582" w:type="dxa"/>
          </w:tcPr>
          <w:p>
            <w:pPr>
              <w:pStyle w:val="TableParagraph"/>
              <w:spacing w:before="37"/>
              <w:ind w:left="162" w:right="42"/>
              <w:jc w:val="center"/>
              <w:rPr>
                <w:sz w:val="21"/>
              </w:rPr>
            </w:pPr>
            <w:r>
              <w:rPr>
                <w:sz w:val="21"/>
              </w:rPr>
              <w:t>80% </w:t>
            </w:r>
          </w:p>
        </w:tc>
        <w:tc>
          <w:tcPr>
            <w:tcW w:w="587" w:type="dxa"/>
          </w:tcPr>
          <w:p>
            <w:pPr>
              <w:pStyle w:val="TableParagraph"/>
              <w:spacing w:before="37"/>
              <w:ind w:left="165" w:right="52"/>
              <w:jc w:val="center"/>
              <w:rPr>
                <w:sz w:val="21"/>
              </w:rPr>
            </w:pPr>
            <w:r>
              <w:rPr>
                <w:sz w:val="21"/>
              </w:rPr>
              <w:t>85% </w:t>
            </w:r>
          </w:p>
        </w:tc>
        <w:tc>
          <w:tcPr>
            <w:tcW w:w="582" w:type="dxa"/>
          </w:tcPr>
          <w:p>
            <w:pPr>
              <w:pStyle w:val="TableParagraph"/>
              <w:spacing w:before="37"/>
              <w:ind w:left="130"/>
              <w:rPr>
                <w:sz w:val="21"/>
              </w:rPr>
            </w:pPr>
            <w:r>
              <w:rPr>
                <w:sz w:val="21"/>
              </w:rPr>
              <w:t>90% </w:t>
            </w:r>
          </w:p>
        </w:tc>
        <w:tc>
          <w:tcPr>
            <w:tcW w:w="587" w:type="dxa"/>
          </w:tcPr>
          <w:p>
            <w:pPr>
              <w:pStyle w:val="TableParagraph"/>
              <w:spacing w:before="37"/>
              <w:ind w:left="0" w:right="17"/>
              <w:jc w:val="right"/>
              <w:rPr>
                <w:sz w:val="21"/>
              </w:rPr>
            </w:pPr>
            <w:r>
              <w:rPr>
                <w:sz w:val="21"/>
              </w:rPr>
              <w:t>95% </w:t>
            </w:r>
          </w:p>
        </w:tc>
        <w:tc>
          <w:tcPr>
            <w:tcW w:w="582" w:type="dxa"/>
          </w:tcPr>
          <w:p>
            <w:pPr>
              <w:pStyle w:val="TableParagraph"/>
              <w:spacing w:before="37"/>
              <w:ind w:left="75" w:right="-44"/>
              <w:jc w:val="center"/>
              <w:rPr>
                <w:sz w:val="21"/>
              </w:rPr>
            </w:pPr>
            <w:r>
              <w:rPr>
                <w:sz w:val="21"/>
              </w:rPr>
              <w:t>100% </w:t>
            </w:r>
          </w:p>
        </w:tc>
      </w:tr>
    </w:tbl>
    <w:p>
      <w:pPr>
        <w:pStyle w:val="BodyText"/>
        <w:spacing w:before="4"/>
        <w:ind w:left="505"/>
      </w:pPr>
      <w:r>
        <w:rPr>
          <w:spacing w:val="-8"/>
        </w:rPr>
        <w:t>注：</w:t>
      </w:r>
      <w:r>
        <w:rPr>
          <w:spacing w:val="-15"/>
        </w:rPr>
        <w:t>1</w:t>
      </w:r>
      <w:r>
        <w:rPr>
          <w:spacing w:val="-14"/>
        </w:rPr>
        <w:t>、保险期间在 </w:t>
      </w:r>
      <w:r>
        <w:rPr/>
        <w:t>1</w:t>
      </w:r>
      <w:r>
        <w:rPr>
          <w:spacing w:val="-17"/>
        </w:rPr>
        <w:t> 个月以上，不足 </w:t>
      </w:r>
      <w:r>
        <w:rPr/>
        <w:t>2</w:t>
      </w:r>
      <w:r>
        <w:rPr>
          <w:spacing w:val="-21"/>
        </w:rPr>
        <w:t> 个月的，按 </w:t>
      </w:r>
      <w:r>
        <w:rPr/>
        <w:t>2</w:t>
      </w:r>
      <w:r>
        <w:rPr>
          <w:spacing w:val="-14"/>
        </w:rPr>
        <w:t> 个月计算；保险期间在 </w:t>
      </w:r>
      <w:r>
        <w:rPr/>
        <w:t>2</w:t>
      </w:r>
      <w:r>
        <w:rPr>
          <w:spacing w:val="-10"/>
        </w:rPr>
        <w:t> 个月以上，</w:t>
      </w:r>
    </w:p>
    <w:p>
      <w:pPr>
        <w:pStyle w:val="BodyText"/>
        <w:spacing w:before="70"/>
        <w:ind w:left="1133"/>
      </w:pPr>
      <w:r>
        <w:rPr/>
        <w:t>不足 3 个月的，按 3 个月计算，依此类推。 </w:t>
      </w:r>
    </w:p>
    <w:p>
      <w:pPr>
        <w:pStyle w:val="BodyText"/>
        <w:spacing w:before="22"/>
        <w:ind w:left="865"/>
      </w:pPr>
      <w:r>
        <w:rPr/>
        <w:t>2、保险期间不满 1 个月的，按 1 个月计算。</w:t>
      </w:r>
    </w:p>
    <w:sectPr>
      <w:pgSz w:w="11910" w:h="16840"/>
      <w:pgMar w:header="0" w:footer="915" w:top="1400" w:bottom="1100" w:left="15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550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Roman"/>
      <w:lvlText w:val="%1"/>
      <w:lvlJc w:val="left"/>
      <w:pPr>
        <w:ind w:left="180" w:hanging="120"/>
        <w:jc w:val="left"/>
      </w:pPr>
      <w:rPr>
        <w:rFonts w:hint="default" w:ascii="Times New Roman" w:hAnsi="Times New Roman" w:eastAsia="Times New Roman" w:cs="Times New Roman"/>
        <w:w w:val="100"/>
        <w:sz w:val="21"/>
        <w:szCs w:val="21"/>
      </w:rPr>
    </w:lvl>
    <w:lvl w:ilvl="1">
      <w:start w:val="0"/>
      <w:numFmt w:val="bullet"/>
      <w:lvlText w:val="•"/>
      <w:lvlJc w:val="left"/>
      <w:pPr>
        <w:ind w:left="925" w:hanging="120"/>
      </w:pPr>
      <w:rPr>
        <w:rFonts w:hint="default"/>
      </w:rPr>
    </w:lvl>
    <w:lvl w:ilvl="2">
      <w:start w:val="0"/>
      <w:numFmt w:val="bullet"/>
      <w:lvlText w:val="•"/>
      <w:lvlJc w:val="left"/>
      <w:pPr>
        <w:ind w:left="1670" w:hanging="120"/>
      </w:pPr>
      <w:rPr>
        <w:rFonts w:hint="default"/>
      </w:rPr>
    </w:lvl>
    <w:lvl w:ilvl="3">
      <w:start w:val="0"/>
      <w:numFmt w:val="bullet"/>
      <w:lvlText w:val="•"/>
      <w:lvlJc w:val="left"/>
      <w:pPr>
        <w:ind w:left="2415" w:hanging="120"/>
      </w:pPr>
      <w:rPr>
        <w:rFonts w:hint="default"/>
      </w:rPr>
    </w:lvl>
    <w:lvl w:ilvl="4">
      <w:start w:val="0"/>
      <w:numFmt w:val="bullet"/>
      <w:lvlText w:val="•"/>
      <w:lvlJc w:val="left"/>
      <w:pPr>
        <w:ind w:left="3161" w:hanging="120"/>
      </w:pPr>
      <w:rPr>
        <w:rFonts w:hint="default"/>
      </w:rPr>
    </w:lvl>
    <w:lvl w:ilvl="5">
      <w:start w:val="0"/>
      <w:numFmt w:val="bullet"/>
      <w:lvlText w:val="•"/>
      <w:lvlJc w:val="left"/>
      <w:pPr>
        <w:ind w:left="3906" w:hanging="120"/>
      </w:pPr>
      <w:rPr>
        <w:rFonts w:hint="default"/>
      </w:rPr>
    </w:lvl>
    <w:lvl w:ilvl="6">
      <w:start w:val="0"/>
      <w:numFmt w:val="bullet"/>
      <w:lvlText w:val="•"/>
      <w:lvlJc w:val="left"/>
      <w:pPr>
        <w:ind w:left="4651" w:hanging="120"/>
      </w:pPr>
      <w:rPr>
        <w:rFonts w:hint="default"/>
      </w:rPr>
    </w:lvl>
    <w:lvl w:ilvl="7">
      <w:start w:val="0"/>
      <w:numFmt w:val="bullet"/>
      <w:lvlText w:val="•"/>
      <w:lvlJc w:val="left"/>
      <w:pPr>
        <w:ind w:left="5397" w:hanging="120"/>
      </w:pPr>
      <w:rPr>
        <w:rFonts w:hint="default"/>
      </w:rPr>
    </w:lvl>
    <w:lvl w:ilvl="8">
      <w:start w:val="0"/>
      <w:numFmt w:val="bullet"/>
      <w:lvlText w:val="•"/>
      <w:lvlJc w:val="left"/>
      <w:pPr>
        <w:ind w:left="6142" w:hanging="120"/>
      </w:pPr>
      <w:rPr>
        <w:rFonts w:hint="default"/>
      </w:rPr>
    </w:lvl>
  </w:abstractNum>
  <w:abstractNum w:abstractNumId="8">
    <w:multiLevelType w:val="hybridMultilevel"/>
    <w:lvl w:ilvl="0">
      <w:start w:val="6"/>
      <w:numFmt w:val="decimal"/>
      <w:lvlText w:val="%1"/>
      <w:lvlJc w:val="left"/>
      <w:pPr>
        <w:ind w:left="495" w:hanging="370"/>
        <w:jc w:val="left"/>
      </w:pPr>
      <w:rPr>
        <w:rFonts w:hint="default"/>
      </w:rPr>
    </w:lvl>
    <w:lvl w:ilvl="1">
      <w:start w:val="8"/>
      <w:numFmt w:val="decimal"/>
      <w:lvlText w:val="%1.%2"/>
      <w:lvlJc w:val="left"/>
      <w:pPr>
        <w:ind w:left="125" w:hanging="370"/>
        <w:jc w:val="left"/>
      </w:pPr>
      <w:rPr>
        <w:rFonts w:hint="default" w:ascii="宋体" w:hAnsi="宋体" w:eastAsia="宋体" w:cs="宋体"/>
        <w:w w:val="100"/>
        <w:sz w:val="21"/>
        <w:szCs w:val="21"/>
      </w:rPr>
    </w:lvl>
    <w:lvl w:ilvl="2">
      <w:start w:val="0"/>
      <w:numFmt w:val="bullet"/>
      <w:lvlText w:val="•"/>
      <w:lvlJc w:val="left"/>
      <w:pPr>
        <w:ind w:left="825" w:hanging="370"/>
      </w:pPr>
      <w:rPr>
        <w:rFonts w:hint="default"/>
      </w:rPr>
    </w:lvl>
    <w:lvl w:ilvl="3">
      <w:start w:val="0"/>
      <w:numFmt w:val="bullet"/>
      <w:lvlText w:val="•"/>
      <w:lvlJc w:val="left"/>
      <w:pPr>
        <w:ind w:left="1150" w:hanging="370"/>
      </w:pPr>
      <w:rPr>
        <w:rFonts w:hint="default"/>
      </w:rPr>
    </w:lvl>
    <w:lvl w:ilvl="4">
      <w:start w:val="0"/>
      <w:numFmt w:val="bullet"/>
      <w:lvlText w:val="•"/>
      <w:lvlJc w:val="left"/>
      <w:pPr>
        <w:ind w:left="1475" w:hanging="370"/>
      </w:pPr>
      <w:rPr>
        <w:rFonts w:hint="default"/>
      </w:rPr>
    </w:lvl>
    <w:lvl w:ilvl="5">
      <w:start w:val="0"/>
      <w:numFmt w:val="bullet"/>
      <w:lvlText w:val="•"/>
      <w:lvlJc w:val="left"/>
      <w:pPr>
        <w:ind w:left="1800" w:hanging="370"/>
      </w:pPr>
      <w:rPr>
        <w:rFonts w:hint="default"/>
      </w:rPr>
    </w:lvl>
    <w:lvl w:ilvl="6">
      <w:start w:val="0"/>
      <w:numFmt w:val="bullet"/>
      <w:lvlText w:val="•"/>
      <w:lvlJc w:val="left"/>
      <w:pPr>
        <w:ind w:left="2125" w:hanging="370"/>
      </w:pPr>
      <w:rPr>
        <w:rFonts w:hint="default"/>
      </w:rPr>
    </w:lvl>
    <w:lvl w:ilvl="7">
      <w:start w:val="0"/>
      <w:numFmt w:val="bullet"/>
      <w:lvlText w:val="•"/>
      <w:lvlJc w:val="left"/>
      <w:pPr>
        <w:ind w:left="2450" w:hanging="370"/>
      </w:pPr>
      <w:rPr>
        <w:rFonts w:hint="default"/>
      </w:rPr>
    </w:lvl>
    <w:lvl w:ilvl="8">
      <w:start w:val="0"/>
      <w:numFmt w:val="bullet"/>
      <w:lvlText w:val="•"/>
      <w:lvlJc w:val="left"/>
      <w:pPr>
        <w:ind w:left="2775" w:hanging="370"/>
      </w:pPr>
      <w:rPr>
        <w:rFonts w:hint="default"/>
      </w:rPr>
    </w:lvl>
  </w:abstractNum>
  <w:abstractNum w:abstractNumId="7">
    <w:multiLevelType w:val="hybridMultilevel"/>
    <w:lvl w:ilvl="0">
      <w:start w:val="6"/>
      <w:numFmt w:val="decimal"/>
      <w:lvlText w:val="%1"/>
      <w:lvlJc w:val="left"/>
      <w:pPr>
        <w:ind w:left="532" w:hanging="318"/>
        <w:jc w:val="left"/>
      </w:pPr>
      <w:rPr>
        <w:rFonts w:hint="default"/>
      </w:rPr>
    </w:lvl>
    <w:lvl w:ilvl="1">
      <w:start w:val="1"/>
      <w:numFmt w:val="decimal"/>
      <w:lvlText w:val="%1.%2"/>
      <w:lvlJc w:val="left"/>
      <w:pPr>
        <w:ind w:left="532" w:hanging="318"/>
        <w:jc w:val="left"/>
      </w:pPr>
      <w:rPr>
        <w:rFonts w:hint="default" w:ascii="宋体" w:hAnsi="宋体" w:eastAsia="宋体" w:cs="宋体"/>
        <w:spacing w:val="-5"/>
        <w:w w:val="100"/>
        <w:sz w:val="19"/>
        <w:szCs w:val="19"/>
      </w:rPr>
    </w:lvl>
    <w:lvl w:ilvl="2">
      <w:start w:val="0"/>
      <w:numFmt w:val="bullet"/>
      <w:lvlText w:val="•"/>
      <w:lvlJc w:val="left"/>
      <w:pPr>
        <w:ind w:left="1098" w:hanging="318"/>
      </w:pPr>
      <w:rPr>
        <w:rFonts w:hint="default"/>
      </w:rPr>
    </w:lvl>
    <w:lvl w:ilvl="3">
      <w:start w:val="0"/>
      <w:numFmt w:val="bullet"/>
      <w:lvlText w:val="•"/>
      <w:lvlJc w:val="left"/>
      <w:pPr>
        <w:ind w:left="1377" w:hanging="318"/>
      </w:pPr>
      <w:rPr>
        <w:rFonts w:hint="default"/>
      </w:rPr>
    </w:lvl>
    <w:lvl w:ilvl="4">
      <w:start w:val="0"/>
      <w:numFmt w:val="bullet"/>
      <w:lvlText w:val="•"/>
      <w:lvlJc w:val="left"/>
      <w:pPr>
        <w:ind w:left="1656" w:hanging="318"/>
      </w:pPr>
      <w:rPr>
        <w:rFonts w:hint="default"/>
      </w:rPr>
    </w:lvl>
    <w:lvl w:ilvl="5">
      <w:start w:val="0"/>
      <w:numFmt w:val="bullet"/>
      <w:lvlText w:val="•"/>
      <w:lvlJc w:val="left"/>
      <w:pPr>
        <w:ind w:left="1935" w:hanging="318"/>
      </w:pPr>
      <w:rPr>
        <w:rFonts w:hint="default"/>
      </w:rPr>
    </w:lvl>
    <w:lvl w:ilvl="6">
      <w:start w:val="0"/>
      <w:numFmt w:val="bullet"/>
      <w:lvlText w:val="•"/>
      <w:lvlJc w:val="left"/>
      <w:pPr>
        <w:ind w:left="2214" w:hanging="318"/>
      </w:pPr>
      <w:rPr>
        <w:rFonts w:hint="default"/>
      </w:rPr>
    </w:lvl>
    <w:lvl w:ilvl="7">
      <w:start w:val="0"/>
      <w:numFmt w:val="bullet"/>
      <w:lvlText w:val="•"/>
      <w:lvlJc w:val="left"/>
      <w:pPr>
        <w:ind w:left="2493" w:hanging="318"/>
      </w:pPr>
      <w:rPr>
        <w:rFonts w:hint="default"/>
      </w:rPr>
    </w:lvl>
    <w:lvl w:ilvl="8">
      <w:start w:val="0"/>
      <w:numFmt w:val="bullet"/>
      <w:lvlText w:val="•"/>
      <w:lvlJc w:val="left"/>
      <w:pPr>
        <w:ind w:left="2772" w:hanging="318"/>
      </w:pPr>
      <w:rPr>
        <w:rFonts w:hint="default"/>
      </w:rPr>
    </w:lvl>
  </w:abstractNum>
  <w:abstractNum w:abstractNumId="6">
    <w:multiLevelType w:val="hybridMultilevel"/>
    <w:lvl w:ilvl="0">
      <w:start w:val="5"/>
      <w:numFmt w:val="decimal"/>
      <w:lvlText w:val="%1"/>
      <w:lvlJc w:val="left"/>
      <w:pPr>
        <w:ind w:left="532" w:hanging="318"/>
        <w:jc w:val="left"/>
      </w:pPr>
      <w:rPr>
        <w:rFonts w:hint="default"/>
      </w:rPr>
    </w:lvl>
    <w:lvl w:ilvl="1">
      <w:start w:val="1"/>
      <w:numFmt w:val="decimal"/>
      <w:lvlText w:val="%1.%2"/>
      <w:lvlJc w:val="left"/>
      <w:pPr>
        <w:ind w:left="108" w:hanging="318"/>
        <w:jc w:val="left"/>
      </w:pPr>
      <w:rPr>
        <w:rFonts w:hint="default" w:ascii="宋体" w:hAnsi="宋体" w:eastAsia="宋体" w:cs="宋体"/>
        <w:spacing w:val="-5"/>
        <w:w w:val="100"/>
        <w:sz w:val="19"/>
        <w:szCs w:val="19"/>
      </w:rPr>
    </w:lvl>
    <w:lvl w:ilvl="2">
      <w:start w:val="0"/>
      <w:numFmt w:val="bullet"/>
      <w:lvlText w:val="•"/>
      <w:lvlJc w:val="left"/>
      <w:pPr>
        <w:ind w:left="850" w:hanging="318"/>
      </w:pPr>
      <w:rPr>
        <w:rFonts w:hint="default"/>
      </w:rPr>
    </w:lvl>
    <w:lvl w:ilvl="3">
      <w:start w:val="0"/>
      <w:numFmt w:val="bullet"/>
      <w:lvlText w:val="•"/>
      <w:lvlJc w:val="left"/>
      <w:pPr>
        <w:ind w:left="1160" w:hanging="318"/>
      </w:pPr>
      <w:rPr>
        <w:rFonts w:hint="default"/>
      </w:rPr>
    </w:lvl>
    <w:lvl w:ilvl="4">
      <w:start w:val="0"/>
      <w:numFmt w:val="bullet"/>
      <w:lvlText w:val="•"/>
      <w:lvlJc w:val="left"/>
      <w:pPr>
        <w:ind w:left="1470" w:hanging="318"/>
      </w:pPr>
      <w:rPr>
        <w:rFonts w:hint="default"/>
      </w:rPr>
    </w:lvl>
    <w:lvl w:ilvl="5">
      <w:start w:val="0"/>
      <w:numFmt w:val="bullet"/>
      <w:lvlText w:val="•"/>
      <w:lvlJc w:val="left"/>
      <w:pPr>
        <w:ind w:left="1780" w:hanging="318"/>
      </w:pPr>
      <w:rPr>
        <w:rFonts w:hint="default"/>
      </w:rPr>
    </w:lvl>
    <w:lvl w:ilvl="6">
      <w:start w:val="0"/>
      <w:numFmt w:val="bullet"/>
      <w:lvlText w:val="•"/>
      <w:lvlJc w:val="left"/>
      <w:pPr>
        <w:ind w:left="2090" w:hanging="318"/>
      </w:pPr>
      <w:rPr>
        <w:rFonts w:hint="default"/>
      </w:rPr>
    </w:lvl>
    <w:lvl w:ilvl="7">
      <w:start w:val="0"/>
      <w:numFmt w:val="bullet"/>
      <w:lvlText w:val="•"/>
      <w:lvlJc w:val="left"/>
      <w:pPr>
        <w:ind w:left="2400" w:hanging="318"/>
      </w:pPr>
      <w:rPr>
        <w:rFonts w:hint="default"/>
      </w:rPr>
    </w:lvl>
    <w:lvl w:ilvl="8">
      <w:start w:val="0"/>
      <w:numFmt w:val="bullet"/>
      <w:lvlText w:val="•"/>
      <w:lvlJc w:val="left"/>
      <w:pPr>
        <w:ind w:left="2710" w:hanging="318"/>
      </w:pPr>
      <w:rPr>
        <w:rFonts w:hint="default"/>
      </w:rPr>
    </w:lvl>
  </w:abstractNum>
  <w:abstractNum w:abstractNumId="5">
    <w:multiLevelType w:val="hybridMultilevel"/>
    <w:lvl w:ilvl="0">
      <w:start w:val="4"/>
      <w:numFmt w:val="decimal"/>
      <w:lvlText w:val="%1"/>
      <w:lvlJc w:val="left"/>
      <w:pPr>
        <w:ind w:left="532" w:hanging="318"/>
        <w:jc w:val="left"/>
      </w:pPr>
      <w:rPr>
        <w:rFonts w:hint="default"/>
      </w:rPr>
    </w:lvl>
    <w:lvl w:ilvl="1">
      <w:start w:val="4"/>
      <w:numFmt w:val="decimal"/>
      <w:lvlText w:val="%1.%2"/>
      <w:lvlJc w:val="left"/>
      <w:pPr>
        <w:ind w:left="532" w:hanging="318"/>
        <w:jc w:val="left"/>
      </w:pPr>
      <w:rPr>
        <w:rFonts w:hint="default" w:ascii="宋体" w:hAnsi="宋体" w:eastAsia="宋体" w:cs="宋体"/>
        <w:spacing w:val="-5"/>
        <w:w w:val="100"/>
        <w:sz w:val="19"/>
        <w:szCs w:val="19"/>
      </w:rPr>
    </w:lvl>
    <w:lvl w:ilvl="2">
      <w:start w:val="0"/>
      <w:numFmt w:val="bullet"/>
      <w:lvlText w:val="•"/>
      <w:lvlJc w:val="left"/>
      <w:pPr>
        <w:ind w:left="1098" w:hanging="318"/>
      </w:pPr>
      <w:rPr>
        <w:rFonts w:hint="default"/>
      </w:rPr>
    </w:lvl>
    <w:lvl w:ilvl="3">
      <w:start w:val="0"/>
      <w:numFmt w:val="bullet"/>
      <w:lvlText w:val="•"/>
      <w:lvlJc w:val="left"/>
      <w:pPr>
        <w:ind w:left="1377" w:hanging="318"/>
      </w:pPr>
      <w:rPr>
        <w:rFonts w:hint="default"/>
      </w:rPr>
    </w:lvl>
    <w:lvl w:ilvl="4">
      <w:start w:val="0"/>
      <w:numFmt w:val="bullet"/>
      <w:lvlText w:val="•"/>
      <w:lvlJc w:val="left"/>
      <w:pPr>
        <w:ind w:left="1656" w:hanging="318"/>
      </w:pPr>
      <w:rPr>
        <w:rFonts w:hint="default"/>
      </w:rPr>
    </w:lvl>
    <w:lvl w:ilvl="5">
      <w:start w:val="0"/>
      <w:numFmt w:val="bullet"/>
      <w:lvlText w:val="•"/>
      <w:lvlJc w:val="left"/>
      <w:pPr>
        <w:ind w:left="1935" w:hanging="318"/>
      </w:pPr>
      <w:rPr>
        <w:rFonts w:hint="default"/>
      </w:rPr>
    </w:lvl>
    <w:lvl w:ilvl="6">
      <w:start w:val="0"/>
      <w:numFmt w:val="bullet"/>
      <w:lvlText w:val="•"/>
      <w:lvlJc w:val="left"/>
      <w:pPr>
        <w:ind w:left="2214" w:hanging="318"/>
      </w:pPr>
      <w:rPr>
        <w:rFonts w:hint="default"/>
      </w:rPr>
    </w:lvl>
    <w:lvl w:ilvl="7">
      <w:start w:val="0"/>
      <w:numFmt w:val="bullet"/>
      <w:lvlText w:val="•"/>
      <w:lvlJc w:val="left"/>
      <w:pPr>
        <w:ind w:left="2493" w:hanging="318"/>
      </w:pPr>
      <w:rPr>
        <w:rFonts w:hint="default"/>
      </w:rPr>
    </w:lvl>
    <w:lvl w:ilvl="8">
      <w:start w:val="0"/>
      <w:numFmt w:val="bullet"/>
      <w:lvlText w:val="•"/>
      <w:lvlJc w:val="left"/>
      <w:pPr>
        <w:ind w:left="2772" w:hanging="318"/>
      </w:pPr>
      <w:rPr>
        <w:rFonts w:hint="default"/>
      </w:rPr>
    </w:lvl>
  </w:abstractNum>
  <w:abstractNum w:abstractNumId="4">
    <w:multiLevelType w:val="hybridMultilevel"/>
    <w:lvl w:ilvl="0">
      <w:start w:val="4"/>
      <w:numFmt w:val="decimal"/>
      <w:lvlText w:val="%1"/>
      <w:lvlJc w:val="left"/>
      <w:pPr>
        <w:ind w:left="623" w:hanging="318"/>
        <w:jc w:val="left"/>
      </w:pPr>
      <w:rPr>
        <w:rFonts w:hint="default"/>
      </w:rPr>
    </w:lvl>
    <w:lvl w:ilvl="1">
      <w:start w:val="1"/>
      <w:numFmt w:val="decimal"/>
      <w:lvlText w:val="%1.%2"/>
      <w:lvlJc w:val="left"/>
      <w:pPr>
        <w:ind w:left="623" w:hanging="318"/>
        <w:jc w:val="left"/>
      </w:pPr>
      <w:rPr>
        <w:rFonts w:hint="default" w:ascii="宋体" w:hAnsi="宋体" w:eastAsia="宋体" w:cs="宋体"/>
        <w:spacing w:val="-5"/>
        <w:w w:val="100"/>
        <w:sz w:val="19"/>
        <w:szCs w:val="19"/>
      </w:rPr>
    </w:lvl>
    <w:lvl w:ilvl="2">
      <w:start w:val="0"/>
      <w:numFmt w:val="bullet"/>
      <w:lvlText w:val="•"/>
      <w:lvlJc w:val="left"/>
      <w:pPr>
        <w:ind w:left="1145" w:hanging="318"/>
      </w:pPr>
      <w:rPr>
        <w:rFonts w:hint="default"/>
      </w:rPr>
    </w:lvl>
    <w:lvl w:ilvl="3">
      <w:start w:val="0"/>
      <w:numFmt w:val="bullet"/>
      <w:lvlText w:val="•"/>
      <w:lvlJc w:val="left"/>
      <w:pPr>
        <w:ind w:left="1407" w:hanging="318"/>
      </w:pPr>
      <w:rPr>
        <w:rFonts w:hint="default"/>
      </w:rPr>
    </w:lvl>
    <w:lvl w:ilvl="4">
      <w:start w:val="0"/>
      <w:numFmt w:val="bullet"/>
      <w:lvlText w:val="•"/>
      <w:lvlJc w:val="left"/>
      <w:pPr>
        <w:ind w:left="1670" w:hanging="318"/>
      </w:pPr>
      <w:rPr>
        <w:rFonts w:hint="default"/>
      </w:rPr>
    </w:lvl>
    <w:lvl w:ilvl="5">
      <w:start w:val="0"/>
      <w:numFmt w:val="bullet"/>
      <w:lvlText w:val="•"/>
      <w:lvlJc w:val="left"/>
      <w:pPr>
        <w:ind w:left="1933" w:hanging="318"/>
      </w:pPr>
      <w:rPr>
        <w:rFonts w:hint="default"/>
      </w:rPr>
    </w:lvl>
    <w:lvl w:ilvl="6">
      <w:start w:val="0"/>
      <w:numFmt w:val="bullet"/>
      <w:lvlText w:val="•"/>
      <w:lvlJc w:val="left"/>
      <w:pPr>
        <w:ind w:left="2195" w:hanging="318"/>
      </w:pPr>
      <w:rPr>
        <w:rFonts w:hint="default"/>
      </w:rPr>
    </w:lvl>
    <w:lvl w:ilvl="7">
      <w:start w:val="0"/>
      <w:numFmt w:val="bullet"/>
      <w:lvlText w:val="•"/>
      <w:lvlJc w:val="left"/>
      <w:pPr>
        <w:ind w:left="2458" w:hanging="318"/>
      </w:pPr>
      <w:rPr>
        <w:rFonts w:hint="default"/>
      </w:rPr>
    </w:lvl>
    <w:lvl w:ilvl="8">
      <w:start w:val="0"/>
      <w:numFmt w:val="bullet"/>
      <w:lvlText w:val="•"/>
      <w:lvlJc w:val="left"/>
      <w:pPr>
        <w:ind w:left="2720" w:hanging="318"/>
      </w:pPr>
      <w:rPr>
        <w:rFonts w:hint="default"/>
      </w:rPr>
    </w:lvl>
  </w:abstractNum>
  <w:abstractNum w:abstractNumId="3">
    <w:multiLevelType w:val="hybridMultilevel"/>
    <w:lvl w:ilvl="0">
      <w:start w:val="3"/>
      <w:numFmt w:val="decimal"/>
      <w:lvlText w:val="%1"/>
      <w:lvlJc w:val="left"/>
      <w:pPr>
        <w:ind w:left="623" w:hanging="318"/>
        <w:jc w:val="left"/>
      </w:pPr>
      <w:rPr>
        <w:rFonts w:hint="default"/>
      </w:rPr>
    </w:lvl>
    <w:lvl w:ilvl="1">
      <w:start w:val="1"/>
      <w:numFmt w:val="decimal"/>
      <w:lvlText w:val="%1.%2"/>
      <w:lvlJc w:val="left"/>
      <w:pPr>
        <w:ind w:left="623" w:hanging="318"/>
        <w:jc w:val="left"/>
      </w:pPr>
      <w:rPr>
        <w:rFonts w:hint="default" w:ascii="宋体" w:hAnsi="宋体" w:eastAsia="宋体" w:cs="宋体"/>
        <w:spacing w:val="-5"/>
        <w:w w:val="100"/>
        <w:sz w:val="19"/>
        <w:szCs w:val="19"/>
      </w:rPr>
    </w:lvl>
    <w:lvl w:ilvl="2">
      <w:start w:val="0"/>
      <w:numFmt w:val="bullet"/>
      <w:lvlText w:val="•"/>
      <w:lvlJc w:val="left"/>
      <w:pPr>
        <w:ind w:left="1145" w:hanging="318"/>
      </w:pPr>
      <w:rPr>
        <w:rFonts w:hint="default"/>
      </w:rPr>
    </w:lvl>
    <w:lvl w:ilvl="3">
      <w:start w:val="0"/>
      <w:numFmt w:val="bullet"/>
      <w:lvlText w:val="•"/>
      <w:lvlJc w:val="left"/>
      <w:pPr>
        <w:ind w:left="1407" w:hanging="318"/>
      </w:pPr>
      <w:rPr>
        <w:rFonts w:hint="default"/>
      </w:rPr>
    </w:lvl>
    <w:lvl w:ilvl="4">
      <w:start w:val="0"/>
      <w:numFmt w:val="bullet"/>
      <w:lvlText w:val="•"/>
      <w:lvlJc w:val="left"/>
      <w:pPr>
        <w:ind w:left="1670" w:hanging="318"/>
      </w:pPr>
      <w:rPr>
        <w:rFonts w:hint="default"/>
      </w:rPr>
    </w:lvl>
    <w:lvl w:ilvl="5">
      <w:start w:val="0"/>
      <w:numFmt w:val="bullet"/>
      <w:lvlText w:val="•"/>
      <w:lvlJc w:val="left"/>
      <w:pPr>
        <w:ind w:left="1933" w:hanging="318"/>
      </w:pPr>
      <w:rPr>
        <w:rFonts w:hint="default"/>
      </w:rPr>
    </w:lvl>
    <w:lvl w:ilvl="6">
      <w:start w:val="0"/>
      <w:numFmt w:val="bullet"/>
      <w:lvlText w:val="•"/>
      <w:lvlJc w:val="left"/>
      <w:pPr>
        <w:ind w:left="2195" w:hanging="318"/>
      </w:pPr>
      <w:rPr>
        <w:rFonts w:hint="default"/>
      </w:rPr>
    </w:lvl>
    <w:lvl w:ilvl="7">
      <w:start w:val="0"/>
      <w:numFmt w:val="bullet"/>
      <w:lvlText w:val="•"/>
      <w:lvlJc w:val="left"/>
      <w:pPr>
        <w:ind w:left="2458" w:hanging="318"/>
      </w:pPr>
      <w:rPr>
        <w:rFonts w:hint="default"/>
      </w:rPr>
    </w:lvl>
    <w:lvl w:ilvl="8">
      <w:start w:val="0"/>
      <w:numFmt w:val="bullet"/>
      <w:lvlText w:val="•"/>
      <w:lvlJc w:val="left"/>
      <w:pPr>
        <w:ind w:left="2720" w:hanging="318"/>
      </w:pPr>
      <w:rPr>
        <w:rFonts w:hint="default"/>
      </w:rPr>
    </w:lvl>
  </w:abstractNum>
  <w:abstractNum w:abstractNumId="2">
    <w:multiLevelType w:val="hybridMultilevel"/>
    <w:lvl w:ilvl="0">
      <w:start w:val="2"/>
      <w:numFmt w:val="decimal"/>
      <w:lvlText w:val="%1"/>
      <w:lvlJc w:val="left"/>
      <w:pPr>
        <w:ind w:left="623" w:hanging="318"/>
        <w:jc w:val="left"/>
      </w:pPr>
      <w:rPr>
        <w:rFonts w:hint="default"/>
      </w:rPr>
    </w:lvl>
    <w:lvl w:ilvl="1">
      <w:start w:val="1"/>
      <w:numFmt w:val="decimal"/>
      <w:lvlText w:val="%1.%2"/>
      <w:lvlJc w:val="left"/>
      <w:pPr>
        <w:ind w:left="623" w:hanging="318"/>
        <w:jc w:val="left"/>
      </w:pPr>
      <w:rPr>
        <w:rFonts w:hint="default" w:ascii="宋体" w:hAnsi="宋体" w:eastAsia="宋体" w:cs="宋体"/>
        <w:spacing w:val="-5"/>
        <w:w w:val="100"/>
        <w:sz w:val="19"/>
        <w:szCs w:val="19"/>
      </w:rPr>
    </w:lvl>
    <w:lvl w:ilvl="2">
      <w:start w:val="0"/>
      <w:numFmt w:val="bullet"/>
      <w:lvlText w:val="•"/>
      <w:lvlJc w:val="left"/>
      <w:pPr>
        <w:ind w:left="1145" w:hanging="318"/>
      </w:pPr>
      <w:rPr>
        <w:rFonts w:hint="default"/>
      </w:rPr>
    </w:lvl>
    <w:lvl w:ilvl="3">
      <w:start w:val="0"/>
      <w:numFmt w:val="bullet"/>
      <w:lvlText w:val="•"/>
      <w:lvlJc w:val="left"/>
      <w:pPr>
        <w:ind w:left="1407" w:hanging="318"/>
      </w:pPr>
      <w:rPr>
        <w:rFonts w:hint="default"/>
      </w:rPr>
    </w:lvl>
    <w:lvl w:ilvl="4">
      <w:start w:val="0"/>
      <w:numFmt w:val="bullet"/>
      <w:lvlText w:val="•"/>
      <w:lvlJc w:val="left"/>
      <w:pPr>
        <w:ind w:left="1670" w:hanging="318"/>
      </w:pPr>
      <w:rPr>
        <w:rFonts w:hint="default"/>
      </w:rPr>
    </w:lvl>
    <w:lvl w:ilvl="5">
      <w:start w:val="0"/>
      <w:numFmt w:val="bullet"/>
      <w:lvlText w:val="•"/>
      <w:lvlJc w:val="left"/>
      <w:pPr>
        <w:ind w:left="1933" w:hanging="318"/>
      </w:pPr>
      <w:rPr>
        <w:rFonts w:hint="default"/>
      </w:rPr>
    </w:lvl>
    <w:lvl w:ilvl="6">
      <w:start w:val="0"/>
      <w:numFmt w:val="bullet"/>
      <w:lvlText w:val="•"/>
      <w:lvlJc w:val="left"/>
      <w:pPr>
        <w:ind w:left="2195" w:hanging="318"/>
      </w:pPr>
      <w:rPr>
        <w:rFonts w:hint="default"/>
      </w:rPr>
    </w:lvl>
    <w:lvl w:ilvl="7">
      <w:start w:val="0"/>
      <w:numFmt w:val="bullet"/>
      <w:lvlText w:val="•"/>
      <w:lvlJc w:val="left"/>
      <w:pPr>
        <w:ind w:left="2458" w:hanging="318"/>
      </w:pPr>
      <w:rPr>
        <w:rFonts w:hint="default"/>
      </w:rPr>
    </w:lvl>
    <w:lvl w:ilvl="8">
      <w:start w:val="0"/>
      <w:numFmt w:val="bullet"/>
      <w:lvlText w:val="•"/>
      <w:lvlJc w:val="left"/>
      <w:pPr>
        <w:ind w:left="2720" w:hanging="318"/>
      </w:pPr>
      <w:rPr>
        <w:rFonts w:hint="default"/>
      </w:rPr>
    </w:lvl>
  </w:abstractNum>
  <w:abstractNum w:abstractNumId="1">
    <w:multiLevelType w:val="hybridMultilevel"/>
    <w:lvl w:ilvl="0">
      <w:start w:val="1"/>
      <w:numFmt w:val="decimal"/>
      <w:lvlText w:val="%1"/>
      <w:lvlJc w:val="left"/>
      <w:pPr>
        <w:ind w:left="623" w:hanging="318"/>
        <w:jc w:val="left"/>
      </w:pPr>
      <w:rPr>
        <w:rFonts w:hint="default"/>
      </w:rPr>
    </w:lvl>
    <w:lvl w:ilvl="1">
      <w:start w:val="1"/>
      <w:numFmt w:val="decimal"/>
      <w:lvlText w:val="%1.%2"/>
      <w:lvlJc w:val="left"/>
      <w:pPr>
        <w:ind w:left="723" w:hanging="318"/>
        <w:jc w:val="left"/>
      </w:pPr>
      <w:rPr>
        <w:rFonts w:hint="default" w:ascii="宋体" w:hAnsi="宋体" w:eastAsia="宋体" w:cs="宋体"/>
        <w:spacing w:val="-5"/>
        <w:w w:val="100"/>
        <w:sz w:val="19"/>
        <w:szCs w:val="19"/>
      </w:rPr>
    </w:lvl>
    <w:lvl w:ilvl="2">
      <w:start w:val="0"/>
      <w:numFmt w:val="bullet"/>
      <w:lvlText w:val="•"/>
      <w:lvlJc w:val="left"/>
      <w:pPr>
        <w:ind w:left="1000" w:hanging="318"/>
      </w:pPr>
      <w:rPr>
        <w:rFonts w:hint="default"/>
      </w:rPr>
    </w:lvl>
    <w:lvl w:ilvl="3">
      <w:start w:val="0"/>
      <w:numFmt w:val="bullet"/>
      <w:lvlText w:val="•"/>
      <w:lvlJc w:val="left"/>
      <w:pPr>
        <w:ind w:left="1281" w:hanging="318"/>
      </w:pPr>
      <w:rPr>
        <w:rFonts w:hint="default"/>
      </w:rPr>
    </w:lvl>
    <w:lvl w:ilvl="4">
      <w:start w:val="0"/>
      <w:numFmt w:val="bullet"/>
      <w:lvlText w:val="•"/>
      <w:lvlJc w:val="left"/>
      <w:pPr>
        <w:ind w:left="1562" w:hanging="318"/>
      </w:pPr>
      <w:rPr>
        <w:rFonts w:hint="default"/>
      </w:rPr>
    </w:lvl>
    <w:lvl w:ilvl="5">
      <w:start w:val="0"/>
      <w:numFmt w:val="bullet"/>
      <w:lvlText w:val="•"/>
      <w:lvlJc w:val="left"/>
      <w:pPr>
        <w:ind w:left="1842" w:hanging="318"/>
      </w:pPr>
      <w:rPr>
        <w:rFonts w:hint="default"/>
      </w:rPr>
    </w:lvl>
    <w:lvl w:ilvl="6">
      <w:start w:val="0"/>
      <w:numFmt w:val="bullet"/>
      <w:lvlText w:val="•"/>
      <w:lvlJc w:val="left"/>
      <w:pPr>
        <w:ind w:left="2123" w:hanging="318"/>
      </w:pPr>
      <w:rPr>
        <w:rFonts w:hint="default"/>
      </w:rPr>
    </w:lvl>
    <w:lvl w:ilvl="7">
      <w:start w:val="0"/>
      <w:numFmt w:val="bullet"/>
      <w:lvlText w:val="•"/>
      <w:lvlJc w:val="left"/>
      <w:pPr>
        <w:ind w:left="2404" w:hanging="318"/>
      </w:pPr>
      <w:rPr>
        <w:rFonts w:hint="default"/>
      </w:rPr>
    </w:lvl>
    <w:lvl w:ilvl="8">
      <w:start w:val="0"/>
      <w:numFmt w:val="bullet"/>
      <w:lvlText w:val="•"/>
      <w:lvlJc w:val="left"/>
      <w:pPr>
        <w:ind w:left="2684" w:hanging="318"/>
      </w:pPr>
      <w:rPr>
        <w:rFonts w:hint="default"/>
      </w:rPr>
    </w:lvl>
  </w:abstractNum>
  <w:abstractNum w:abstractNumId="0">
    <w:multiLevelType w:val="hybridMultilevel"/>
    <w:lvl w:ilvl="0">
      <w:start w:val="0"/>
      <w:numFmt w:val="bullet"/>
      <w:lvlText w:val=""/>
      <w:lvlJc w:val="left"/>
      <w:pPr>
        <w:ind w:left="1062" w:hanging="190"/>
      </w:pPr>
      <w:rPr>
        <w:rFonts w:hint="default" w:ascii="Wingdings" w:hAnsi="Wingdings" w:eastAsia="Wingdings" w:cs="Wingdings"/>
        <w:spacing w:val="-1"/>
        <w:w w:val="100"/>
        <w:sz w:val="19"/>
        <w:szCs w:val="19"/>
      </w:rPr>
    </w:lvl>
    <w:lvl w:ilvl="1">
      <w:start w:val="0"/>
      <w:numFmt w:val="bullet"/>
      <w:lvlText w:val="•"/>
      <w:lvlJc w:val="left"/>
      <w:pPr>
        <w:ind w:left="2012" w:hanging="190"/>
      </w:pPr>
      <w:rPr>
        <w:rFonts w:hint="default"/>
      </w:rPr>
    </w:lvl>
    <w:lvl w:ilvl="2">
      <w:start w:val="0"/>
      <w:numFmt w:val="bullet"/>
      <w:lvlText w:val="•"/>
      <w:lvlJc w:val="left"/>
      <w:pPr>
        <w:ind w:left="2964" w:hanging="190"/>
      </w:pPr>
      <w:rPr>
        <w:rFonts w:hint="default"/>
      </w:rPr>
    </w:lvl>
    <w:lvl w:ilvl="3">
      <w:start w:val="0"/>
      <w:numFmt w:val="bullet"/>
      <w:lvlText w:val="•"/>
      <w:lvlJc w:val="left"/>
      <w:pPr>
        <w:ind w:left="3917" w:hanging="190"/>
      </w:pPr>
      <w:rPr>
        <w:rFonts w:hint="default"/>
      </w:rPr>
    </w:lvl>
    <w:lvl w:ilvl="4">
      <w:start w:val="0"/>
      <w:numFmt w:val="bullet"/>
      <w:lvlText w:val="•"/>
      <w:lvlJc w:val="left"/>
      <w:pPr>
        <w:ind w:left="4869" w:hanging="190"/>
      </w:pPr>
      <w:rPr>
        <w:rFonts w:hint="default"/>
      </w:rPr>
    </w:lvl>
    <w:lvl w:ilvl="5">
      <w:start w:val="0"/>
      <w:numFmt w:val="bullet"/>
      <w:lvlText w:val="•"/>
      <w:lvlJc w:val="left"/>
      <w:pPr>
        <w:ind w:left="5822" w:hanging="190"/>
      </w:pPr>
      <w:rPr>
        <w:rFonts w:hint="default"/>
      </w:rPr>
    </w:lvl>
    <w:lvl w:ilvl="6">
      <w:start w:val="0"/>
      <w:numFmt w:val="bullet"/>
      <w:lvlText w:val="•"/>
      <w:lvlJc w:val="left"/>
      <w:pPr>
        <w:ind w:left="6774" w:hanging="190"/>
      </w:pPr>
      <w:rPr>
        <w:rFonts w:hint="default"/>
      </w:rPr>
    </w:lvl>
    <w:lvl w:ilvl="7">
      <w:start w:val="0"/>
      <w:numFmt w:val="bullet"/>
      <w:lvlText w:val="•"/>
      <w:lvlJc w:val="left"/>
      <w:pPr>
        <w:ind w:left="7726" w:hanging="190"/>
      </w:pPr>
      <w:rPr>
        <w:rFonts w:hint="default"/>
      </w:rPr>
    </w:lvl>
    <w:lvl w:ilvl="8">
      <w:start w:val="0"/>
      <w:numFmt w:val="bullet"/>
      <w:lvlText w:val="•"/>
      <w:lvlJc w:val="left"/>
      <w:pPr>
        <w:ind w:left="8679" w:hanging="19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58"/>
      <w:outlineLvl w:val="1"/>
    </w:pPr>
    <w:rPr>
      <w:rFonts w:ascii="宋体" w:hAnsi="宋体" w:eastAsia="宋体" w:cs="宋体"/>
      <w:b/>
      <w:bCs/>
      <w:sz w:val="32"/>
      <w:szCs w:val="32"/>
    </w:rPr>
  </w:style>
  <w:style w:styleId="Heading2" w:type="paragraph">
    <w:name w:val="Heading 2"/>
    <w:basedOn w:val="Normal"/>
    <w:uiPriority w:val="1"/>
    <w:qFormat/>
    <w:pPr>
      <w:spacing w:before="1"/>
      <w:ind w:left="235"/>
      <w:outlineLvl w:val="2"/>
    </w:pPr>
    <w:rPr>
      <w:rFonts w:ascii="宋体" w:hAnsi="宋体" w:eastAsia="宋体" w:cs="宋体"/>
      <w:b/>
      <w:bCs/>
      <w:sz w:val="24"/>
      <w:szCs w:val="24"/>
    </w:rPr>
  </w:style>
  <w:style w:styleId="ListParagraph" w:type="paragraph">
    <w:name w:val="List Paragraph"/>
    <w:basedOn w:val="Normal"/>
    <w:uiPriority w:val="1"/>
    <w:qFormat/>
    <w:pPr>
      <w:spacing w:before="84"/>
      <w:ind w:left="1062" w:hanging="189"/>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title>安邦团体住院医疗保险条款</dc:title>
  <dcterms:created xsi:type="dcterms:W3CDTF">2018-10-20T04:53:27Z</dcterms:created>
  <dcterms:modified xsi:type="dcterms:W3CDTF">2018-10-20T04:53:27Z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2016-11-22T00:00:00Z</vt:filetime>
  </property>
  <property fmtid="{D5CDD505-2E9C-101B-9397-08002B2CF9AE}" pid="3" name="Creator">
    <vt:lpwstr>Microsoft® Office Word 2007</vt:lpwstr>
  </property>
  <property fmtid="{D5CDD505-2E9C-101B-9397-08002B2CF9AE}" pid="4" name="LastSaved">
    <vt:filetime>2018-10-19T00:00:00Z</vt:filetime>
  </property>
</Properties>
</file>