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07"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62"/>
              <w:rPr>
                <w:rFonts w:ascii="仿宋" w:eastAsia="仿宋" w:hint="eastAsia"/>
                <w:sz w:val="21"/>
              </w:rPr>
            </w:pPr>
            <w:r>
              <w:rPr>
                <w:rFonts w:ascii="仿宋" w:eastAsia="仿宋" w:hint="eastAsia"/>
                <w:sz w:val="21"/>
              </w:rPr>
              <w:t>中银三星人寿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080 </w:t>
            </w:r>
            <w:r>
              <w:rPr>
                <w:rFonts w:ascii="仿宋" w:eastAsia="仿宋" w:hint="eastAsia"/>
                <w:sz w:val="21"/>
              </w:rPr>
              <w:t>号</w:t>
            </w:r>
          </w:p>
        </w:tc>
      </w:tr>
      <w:tr>
        <w:trPr>
          <w:trHeight w:val="2380" w:hRule="atLeast"/>
        </w:trPr>
        <w:tc>
          <w:tcPr>
            <w:tcW w:w="9321" w:type="dxa"/>
            <w:gridSpan w:val="2"/>
          </w:tcPr>
          <w:p>
            <w:pPr>
              <w:pStyle w:val="TableParagraph"/>
              <w:tabs>
                <w:tab w:pos="6736" w:val="left" w:leader="none"/>
              </w:tabs>
              <w:spacing w:before="73"/>
              <w:ind w:left="2009"/>
              <w:jc w:val="center"/>
              <w:rPr>
                <w:b/>
                <w:sz w:val="32"/>
              </w:rPr>
            </w:pPr>
            <w:r>
              <w:rPr>
                <w:b/>
                <w:w w:val="95"/>
                <w:sz w:val="32"/>
              </w:rPr>
              <w:t>中银三星人寿保险有限公司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6991" w:val="left" w:leader="none"/>
              </w:tabs>
              <w:spacing w:before="32"/>
              <w:ind w:left="1931"/>
              <w:jc w:val="center"/>
              <w:rPr>
                <w:rFonts w:ascii="仿宋" w:eastAsia="仿宋" w:hint="eastAsia"/>
                <w:sz w:val="21"/>
              </w:rPr>
            </w:pPr>
            <w:r>
              <w:rPr>
                <w:b/>
                <w:sz w:val="24"/>
              </w:rPr>
              <w:t>中银三星附加祥和提前给付重大疾病保险条款</w:t>
              <w:tab/>
            </w:r>
            <w:r>
              <w:rPr>
                <w:rFonts w:ascii="仿宋" w:eastAsia="仿宋" w:hint="eastAsia"/>
                <w:spacing w:val="-3"/>
                <w:sz w:val="21"/>
              </w:rPr>
              <w:t>请</w:t>
            </w:r>
            <w:r>
              <w:rPr>
                <w:rFonts w:ascii="仿宋" w:eastAsia="仿宋" w:hint="eastAsia"/>
                <w:sz w:val="21"/>
              </w:rPr>
              <w:t>扫描</w:t>
            </w:r>
            <w:r>
              <w:rPr>
                <w:rFonts w:ascii="仿宋" w:eastAsia="仿宋" w:hint="eastAsia"/>
                <w:spacing w:val="-3"/>
                <w:sz w:val="21"/>
              </w:rPr>
              <w:t>以</w:t>
            </w:r>
            <w:r>
              <w:rPr>
                <w:rFonts w:ascii="仿宋" w:eastAsia="仿宋" w:hint="eastAsia"/>
                <w:sz w:val="21"/>
              </w:rPr>
              <w:t>查</w:t>
            </w:r>
            <w:r>
              <w:rPr>
                <w:rFonts w:ascii="仿宋" w:eastAsia="仿宋" w:hint="eastAsia"/>
                <w:spacing w:val="-3"/>
                <w:sz w:val="21"/>
              </w:rPr>
              <w:t>询</w:t>
            </w:r>
            <w:r>
              <w:rPr>
                <w:rFonts w:ascii="仿宋" w:eastAsia="仿宋" w:hint="eastAsia"/>
                <w:sz w:val="21"/>
              </w:rPr>
              <w:t>验</w:t>
            </w:r>
            <w:r>
              <w:rPr>
                <w:rFonts w:ascii="仿宋" w:eastAsia="仿宋" w:hint="eastAsia"/>
                <w:spacing w:val="-3"/>
                <w:sz w:val="21"/>
              </w:rPr>
              <w:t>证</w:t>
            </w:r>
            <w:r>
              <w:rPr>
                <w:rFonts w:ascii="仿宋" w:eastAsia="仿宋" w:hint="eastAsia"/>
                <w:sz w:val="21"/>
              </w:rPr>
              <w:t>条款</w:t>
            </w:r>
          </w:p>
          <w:p>
            <w:pPr>
              <w:pStyle w:val="TableParagraph"/>
              <w:spacing w:before="29"/>
              <w:ind w:left="2"/>
              <w:jc w:val="center"/>
              <w:rPr>
                <w:b/>
                <w:sz w:val="24"/>
              </w:rPr>
            </w:pPr>
            <w:r>
              <w:rPr>
                <w:b/>
                <w:sz w:val="24"/>
              </w:rPr>
              <w:t>（2015 年 9 月）</w:t>
            </w:r>
          </w:p>
        </w:tc>
      </w:tr>
      <w:tr>
        <w:trPr>
          <w:trHeight w:val="1096" w:hRule="atLeast"/>
        </w:trPr>
        <w:tc>
          <w:tcPr>
            <w:tcW w:w="9321" w:type="dxa"/>
            <w:gridSpan w:val="2"/>
          </w:tcPr>
          <w:p>
            <w:pPr>
              <w:pStyle w:val="TableParagraph"/>
              <w:spacing w:before="0"/>
              <w:ind w:left="0"/>
              <w:rPr>
                <w:rFonts w:ascii="Times New Roman"/>
                <w:sz w:val="20"/>
              </w:rPr>
            </w:pPr>
          </w:p>
          <w:p>
            <w:pPr>
              <w:pStyle w:val="TableParagraph"/>
              <w:spacing w:before="138"/>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7"/>
              <w:ind w:left="1"/>
              <w:jc w:val="center"/>
              <w:rPr>
                <w:b/>
                <w:sz w:val="21"/>
              </w:rPr>
            </w:pPr>
            <w:r>
              <w:rPr>
                <w:b/>
                <w:sz w:val="21"/>
              </w:rPr>
              <w:t>条款目录</w:t>
            </w:r>
          </w:p>
        </w:tc>
      </w:tr>
      <w:tr>
        <w:trPr>
          <w:trHeight w:val="6956"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7"/>
              <w:ind w:left="108" w:right="1810"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w:t>
            </w:r>
          </w:p>
          <w:p>
            <w:pPr>
              <w:pStyle w:val="TableParagraph"/>
              <w:tabs>
                <w:tab w:pos="1579" w:val="left" w:leader="none"/>
              </w:tabs>
              <w:spacing w:line="300" w:lineRule="auto" w:before="15"/>
              <w:ind w:left="528" w:right="550"/>
              <w:rPr>
                <w:sz w:val="21"/>
              </w:rPr>
            </w:pPr>
            <w:r>
              <w:rPr>
                <w:sz w:val="21"/>
              </w:rPr>
              <w:t>第十</w:t>
            </w:r>
            <w:r>
              <w:rPr>
                <w:spacing w:val="-3"/>
                <w:sz w:val="21"/>
              </w:rPr>
              <w:t>四</w:t>
            </w:r>
            <w:r>
              <w:rPr>
                <w:sz w:val="21"/>
              </w:rPr>
              <w:t>条</w:t>
              <w:tab/>
              <w:t>主</w:t>
            </w:r>
            <w:r>
              <w:rPr>
                <w:spacing w:val="-3"/>
                <w:sz w:val="21"/>
              </w:rPr>
              <w:t>合</w:t>
            </w:r>
            <w:r>
              <w:rPr>
                <w:sz w:val="21"/>
              </w:rPr>
              <w:t>同</w:t>
            </w:r>
            <w:r>
              <w:rPr>
                <w:spacing w:val="-3"/>
                <w:sz w:val="21"/>
              </w:rPr>
              <w:t>提</w:t>
            </w:r>
            <w:r>
              <w:rPr>
                <w:sz w:val="21"/>
              </w:rPr>
              <w:t>前</w:t>
            </w:r>
            <w:r>
              <w:rPr>
                <w:spacing w:val="-3"/>
                <w:sz w:val="21"/>
              </w:rPr>
              <w:t>给</w:t>
            </w:r>
            <w:r>
              <w:rPr>
                <w:sz w:val="21"/>
              </w:rPr>
              <w:t>付保</w:t>
            </w:r>
            <w:r>
              <w:rPr>
                <w:spacing w:val="-3"/>
                <w:sz w:val="21"/>
              </w:rPr>
              <w:t>险</w:t>
            </w:r>
            <w:r>
              <w:rPr>
                <w:sz w:val="21"/>
              </w:rPr>
              <w:t>金</w:t>
            </w:r>
            <w:r>
              <w:rPr>
                <w:spacing w:val="-3"/>
                <w:sz w:val="21"/>
              </w:rPr>
              <w:t>申</w:t>
            </w:r>
            <w:r>
              <w:rPr>
                <w:sz w:val="21"/>
              </w:rPr>
              <w:t>请 第十</w:t>
            </w:r>
            <w:r>
              <w:rPr>
                <w:spacing w:val="-3"/>
                <w:sz w:val="21"/>
              </w:rPr>
              <w:t>五</w:t>
            </w:r>
            <w:r>
              <w:rPr>
                <w:sz w:val="21"/>
              </w:rPr>
              <w:t>条</w:t>
              <w:tab/>
              <w:t>诉</w:t>
            </w:r>
            <w:r>
              <w:rPr>
                <w:spacing w:val="-3"/>
                <w:sz w:val="21"/>
              </w:rPr>
              <w:t>讼</w:t>
            </w:r>
            <w:r>
              <w:rPr>
                <w:sz w:val="21"/>
              </w:rPr>
              <w:t>时效</w:t>
            </w:r>
          </w:p>
        </w:tc>
        <w:tc>
          <w:tcPr>
            <w:tcW w:w="4662" w:type="dxa"/>
            <w:tcBorders>
              <w:left w:val="single" w:sz="4" w:space="0" w:color="000000"/>
            </w:tcBorders>
          </w:tcPr>
          <w:p>
            <w:pPr>
              <w:pStyle w:val="TableParagraph"/>
              <w:tabs>
                <w:tab w:pos="1574" w:val="left" w:leader="none"/>
              </w:tabs>
              <w:spacing w:line="300" w:lineRule="auto" w:before="47"/>
              <w:ind w:left="102" w:right="2449" w:firstLine="420"/>
              <w:rPr>
                <w:b/>
                <w:sz w:val="21"/>
              </w:rPr>
            </w:pPr>
            <w:r>
              <w:rPr>
                <w:sz w:val="21"/>
              </w:rPr>
              <w:t>第十</w:t>
            </w:r>
            <w:r>
              <w:rPr>
                <w:spacing w:val="-3"/>
                <w:sz w:val="21"/>
              </w:rPr>
              <w:t>六</w:t>
            </w:r>
            <w:r>
              <w:rPr>
                <w:sz w:val="21"/>
              </w:rPr>
              <w:t>条</w:t>
              <w:tab/>
              <w:t>受</w:t>
            </w:r>
            <w:r>
              <w:rPr>
                <w:spacing w:val="-3"/>
                <w:sz w:val="21"/>
              </w:rPr>
              <w:t>益</w:t>
            </w:r>
            <w:r>
              <w:rPr>
                <w:sz w:val="21"/>
              </w:rPr>
              <w:t>人 </w:t>
            </w:r>
            <w:r>
              <w:rPr>
                <w:b/>
                <w:sz w:val="21"/>
              </w:rPr>
              <w:t>第六章</w:t>
              <w:tab/>
              <w:t>释义</w:t>
            </w:r>
          </w:p>
          <w:p>
            <w:pPr>
              <w:pStyle w:val="TableParagraph"/>
              <w:tabs>
                <w:tab w:pos="1574" w:val="left" w:leader="none"/>
              </w:tabs>
              <w:spacing w:line="300" w:lineRule="auto" w:before="15"/>
              <w:ind w:left="523" w:right="2449"/>
              <w:rPr>
                <w:sz w:val="21"/>
              </w:rPr>
            </w:pP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9"/>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left="149" w:right="-15"/>
              <w:rPr>
                <w:sz w:val="21"/>
              </w:rPr>
            </w:pPr>
            <w:r>
              <w:rPr>
                <w:spacing w:val="-3"/>
                <w:sz w:val="21"/>
              </w:rPr>
              <w:t>《中银三星附加祥和提前给付重大疾病保险》合同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4976"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left="149"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left="149" w:right="101"/>
              <w:jc w:val="both"/>
              <w:rPr>
                <w:b/>
                <w:sz w:val="21"/>
              </w:rPr>
            </w:pPr>
            <w:r>
              <w:rPr>
                <w:sz w:val="21"/>
              </w:rPr>
              <w:t>（见释义二）确诊患本附加合同所定义的</w:t>
            </w:r>
            <w:r>
              <w:rPr>
                <w:b/>
                <w:sz w:val="21"/>
              </w:rPr>
              <w:t>重大疾病</w:t>
            </w:r>
            <w:r>
              <w:rPr>
                <w:sz w:val="21"/>
              </w:rPr>
              <w:t>（见释义三）（无论一种或多种），本公司按本附加合同的基本保险金额给付重大疾病保险金，本附加合同终止。但因本附加合同有效期内发生的</w:t>
            </w:r>
            <w:r>
              <w:rPr>
                <w:b/>
                <w:sz w:val="21"/>
              </w:rPr>
              <w:t>意外伤害</w:t>
            </w:r>
          </w:p>
          <w:p>
            <w:pPr>
              <w:pStyle w:val="TableParagraph"/>
              <w:spacing w:before="16"/>
              <w:ind w:left="149"/>
              <w:rPr>
                <w:sz w:val="21"/>
              </w:rPr>
            </w:pPr>
            <w:r>
              <w:rPr>
                <w:sz w:val="21"/>
              </w:rPr>
              <w:t>（见释义四）导致重大疾病不受上述 90 日的限制。</w:t>
            </w:r>
          </w:p>
          <w:p>
            <w:pPr>
              <w:pStyle w:val="TableParagraph"/>
              <w:spacing w:line="300" w:lineRule="auto" w:before="68"/>
              <w:ind w:left="149" w:right="99"/>
              <w:jc w:val="both"/>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8"/>
                <w:sz w:val="21"/>
              </w:rPr>
              <w:t>起 </w:t>
            </w:r>
            <w:r>
              <w:rPr>
                <w:sz w:val="21"/>
              </w:rPr>
              <w:t>90</w:t>
            </w:r>
            <w:r>
              <w:rPr>
                <w:spacing w:val="-9"/>
                <w:sz w:val="21"/>
              </w:rPr>
              <w:t> 日内发病并经</w:t>
            </w:r>
            <w:r>
              <w:rPr>
                <w:spacing w:val="-5"/>
                <w:sz w:val="21"/>
              </w:rPr>
              <w:t>医院确诊患本附加合同所定义的重大疾病，本公司无息返还所交保险</w:t>
            </w:r>
            <w:r>
              <w:rPr>
                <w:spacing w:val="-4"/>
                <w:sz w:val="21"/>
              </w:rPr>
              <w:t>费，本附加合同终止。</w:t>
            </w:r>
          </w:p>
          <w:p>
            <w:pPr>
              <w:pStyle w:val="TableParagraph"/>
              <w:spacing w:line="300" w:lineRule="auto" w:before="15"/>
              <w:ind w:left="149" w:right="104"/>
              <w:jc w:val="both"/>
              <w:rPr>
                <w:sz w:val="21"/>
              </w:rPr>
            </w:pPr>
            <w:r>
              <w:rPr>
                <w:sz w:val="21"/>
              </w:rPr>
              <w:t>给付重大疾病保险金后，主合同的基本保险金额变更为原基本保险金额减去本附加合同已给付的重大疾病保险金后的余额。自给付重大疾病保险金后，主合同各项权利义务按照变更后的基本保险金额核算。本公司按本附加合同约定给付的重大疾病保险金以本附加合同基本保险金额为限。</w:t>
            </w:r>
          </w:p>
        </w:tc>
      </w:tr>
      <w:tr>
        <w:trPr>
          <w:trHeight w:val="3538" w:hRule="atLeast"/>
        </w:trPr>
        <w:tc>
          <w:tcPr>
            <w:tcW w:w="1070" w:type="dxa"/>
          </w:tcPr>
          <w:p>
            <w:pPr>
              <w:pStyle w:val="TableParagraph"/>
              <w:ind w:left="108"/>
              <w:rPr>
                <w:sz w:val="21"/>
              </w:rPr>
            </w:pPr>
            <w:r>
              <w:rPr>
                <w:sz w:val="21"/>
              </w:rPr>
              <w:t>第三条</w:t>
            </w:r>
          </w:p>
        </w:tc>
        <w:tc>
          <w:tcPr>
            <w:tcW w:w="1740" w:type="dxa"/>
          </w:tcPr>
          <w:p>
            <w:pPr>
              <w:pStyle w:val="TableParagraph"/>
              <w:ind w:left="329"/>
              <w:rPr>
                <w:sz w:val="21"/>
              </w:rPr>
            </w:pPr>
            <w:r>
              <w:rPr>
                <w:sz w:val="21"/>
              </w:rPr>
              <w:t>责任免除</w:t>
            </w:r>
          </w:p>
        </w:tc>
        <w:tc>
          <w:tcPr>
            <w:tcW w:w="6562" w:type="dxa"/>
          </w:tcPr>
          <w:p>
            <w:pPr>
              <w:pStyle w:val="TableParagraph"/>
              <w:spacing w:line="300" w:lineRule="auto"/>
              <w:ind w:left="149" w:right="104"/>
              <w:rPr>
                <w:sz w:val="21"/>
              </w:rPr>
            </w:pPr>
            <w:r>
              <w:rPr>
                <w:sz w:val="21"/>
              </w:rPr>
              <w:t>因下列情形之一或在效力中止期间被保险人患重大疾病、达到疾病状态或进行手术的，本公司不承担保险责任：</w:t>
            </w:r>
          </w:p>
          <w:p>
            <w:pPr>
              <w:pStyle w:val="TableParagraph"/>
              <w:spacing w:before="16"/>
              <w:ind w:left="149"/>
              <w:rPr>
                <w:sz w:val="21"/>
              </w:rPr>
            </w:pPr>
            <w:r>
              <w:rPr>
                <w:sz w:val="21"/>
              </w:rPr>
              <w:t>一、投保人对被保险人的故意杀害、故意伤害；</w:t>
            </w:r>
          </w:p>
          <w:p>
            <w:pPr>
              <w:pStyle w:val="TableParagraph"/>
              <w:spacing w:line="300" w:lineRule="auto" w:before="68"/>
              <w:ind w:left="608" w:right="275" w:hanging="459"/>
              <w:rPr>
                <w:sz w:val="21"/>
              </w:rPr>
            </w:pPr>
            <w:r>
              <w:rPr>
                <w:sz w:val="21"/>
              </w:rPr>
              <w:t>二、被保险人故意自伤、故意犯罪或者抗拒依法采取的刑事强制措施；</w:t>
            </w:r>
          </w:p>
          <w:p>
            <w:pPr>
              <w:pStyle w:val="TableParagraph"/>
              <w:spacing w:before="15"/>
              <w:ind w:left="149"/>
              <w:rPr>
                <w:sz w:val="21"/>
              </w:rPr>
            </w:pPr>
            <w:r>
              <w:rPr>
                <w:sz w:val="21"/>
              </w:rPr>
              <w:t>三、被保险人主动吸食或注射</w:t>
            </w:r>
            <w:r>
              <w:rPr>
                <w:b/>
                <w:sz w:val="21"/>
              </w:rPr>
              <w:t>毒品</w:t>
            </w:r>
            <w:r>
              <w:rPr>
                <w:sz w:val="21"/>
              </w:rPr>
              <w:t>（见释义五）；</w:t>
            </w:r>
          </w:p>
          <w:p>
            <w:pPr>
              <w:pStyle w:val="TableParagraph"/>
              <w:spacing w:line="300" w:lineRule="auto" w:before="68"/>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before="16"/>
              <w:ind w:left="149"/>
              <w:rPr>
                <w:sz w:val="21"/>
              </w:rPr>
            </w:pPr>
            <w:r>
              <w:rPr>
                <w:sz w:val="21"/>
              </w:rPr>
              <w:t>五、战争、军事冲突、暴乱或武装叛乱；核爆炸、核辐射或核污染；</w:t>
            </w:r>
          </w:p>
          <w:p>
            <w:pPr>
              <w:pStyle w:val="TableParagraph"/>
              <w:spacing w:line="255" w:lineRule="exact" w:before="68"/>
              <w:ind w:left="149"/>
              <w:rPr>
                <w:sz w:val="21"/>
              </w:rPr>
            </w:pPr>
            <w:r>
              <w:rPr>
                <w:sz w:val="21"/>
              </w:rPr>
              <w:t>六、</w:t>
            </w:r>
            <w:r>
              <w:rPr>
                <w:b/>
                <w:sz w:val="21"/>
              </w:rPr>
              <w:t>先天性畸形、变形或染色体异常</w:t>
            </w:r>
            <w:r>
              <w:rPr>
                <w:sz w:val="21"/>
              </w:rPr>
              <w:t>(见释义九)。</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1993"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ind w:left="149"/>
              <w:rPr>
                <w:sz w:val="21"/>
              </w:rPr>
            </w:pPr>
            <w:r>
              <w:rPr>
                <w:sz w:val="21"/>
              </w:rPr>
              <w:t>发生上述第一项情形导致被保险人患重大疾病、达到疾病状态或进行</w:t>
            </w:r>
          </w:p>
          <w:p>
            <w:pPr>
              <w:pStyle w:val="TableParagraph"/>
              <w:spacing w:line="300" w:lineRule="auto" w:before="68"/>
              <w:ind w:left="149" w:right="104"/>
              <w:rPr>
                <w:sz w:val="21"/>
              </w:rPr>
            </w:pPr>
            <w:r>
              <w:rPr>
                <w:sz w:val="21"/>
              </w:rPr>
              <w:t>手术的，本附加合同终止，本公司向其他权利人退还本附加合同的</w:t>
            </w:r>
            <w:r>
              <w:rPr>
                <w:b/>
                <w:sz w:val="21"/>
              </w:rPr>
              <w:t>现金价值</w:t>
            </w:r>
            <w:r>
              <w:rPr>
                <w:sz w:val="21"/>
              </w:rPr>
              <w:t>（见释义十）。</w:t>
            </w:r>
          </w:p>
          <w:p>
            <w:pPr>
              <w:pStyle w:val="TableParagraph"/>
              <w:spacing w:line="300" w:lineRule="auto" w:before="15"/>
              <w:ind w:left="149"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7"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left="149" w:right="313"/>
              <w:rPr>
                <w:sz w:val="21"/>
              </w:rPr>
            </w:pPr>
            <w:r>
              <w:rPr>
                <w:sz w:val="21"/>
              </w:rPr>
              <w:t>本附加合同的基本保险金额由投保人与本公司约定并于保险单上载明。</w:t>
            </w:r>
          </w:p>
        </w:tc>
      </w:tr>
      <w:tr>
        <w:trPr>
          <w:trHeight w:val="1029" w:hRule="atLeast"/>
        </w:trPr>
        <w:tc>
          <w:tcPr>
            <w:tcW w:w="1070" w:type="dxa"/>
          </w:tcPr>
          <w:p>
            <w:pPr>
              <w:pStyle w:val="TableParagraph"/>
              <w:ind w:left="108"/>
              <w:rPr>
                <w:sz w:val="21"/>
              </w:rPr>
            </w:pPr>
            <w:r>
              <w:rPr>
                <w:sz w:val="21"/>
              </w:rPr>
              <w:t>第五条</w:t>
            </w:r>
          </w:p>
        </w:tc>
        <w:tc>
          <w:tcPr>
            <w:tcW w:w="1740" w:type="dxa"/>
          </w:tcPr>
          <w:p>
            <w:pPr>
              <w:pStyle w:val="TableParagraph"/>
              <w:ind w:left="329"/>
              <w:rPr>
                <w:sz w:val="21"/>
              </w:rPr>
            </w:pPr>
            <w:r>
              <w:rPr>
                <w:sz w:val="21"/>
              </w:rPr>
              <w:t>保险金额</w:t>
            </w:r>
          </w:p>
        </w:tc>
        <w:tc>
          <w:tcPr>
            <w:tcW w:w="6562" w:type="dxa"/>
          </w:tcPr>
          <w:p>
            <w:pPr>
              <w:pStyle w:val="TableParagraph"/>
              <w:spacing w:line="300" w:lineRule="auto"/>
              <w:ind w:left="149" w:right="104"/>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ind w:left="108"/>
              <w:rPr>
                <w:sz w:val="21"/>
              </w:rPr>
            </w:pPr>
            <w:r>
              <w:rPr>
                <w:sz w:val="21"/>
              </w:rPr>
              <w:t>第六条</w:t>
            </w:r>
          </w:p>
        </w:tc>
        <w:tc>
          <w:tcPr>
            <w:tcW w:w="1740" w:type="dxa"/>
          </w:tcPr>
          <w:p>
            <w:pPr>
              <w:pStyle w:val="TableParagraph"/>
              <w:spacing w:line="300" w:lineRule="auto"/>
              <w:ind w:left="329" w:right="146"/>
              <w:rPr>
                <w:sz w:val="21"/>
              </w:rPr>
            </w:pPr>
            <w:r>
              <w:rPr>
                <w:sz w:val="21"/>
              </w:rPr>
              <w:t>基本保险金额变更</w:t>
            </w:r>
          </w:p>
        </w:tc>
        <w:tc>
          <w:tcPr>
            <w:tcW w:w="6562" w:type="dxa"/>
          </w:tcPr>
          <w:p>
            <w:pPr>
              <w:pStyle w:val="TableParagraph"/>
              <w:spacing w:line="300" w:lineRule="auto"/>
              <w:ind w:left="149" w:right="104"/>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2" w:hRule="atLeast"/>
        </w:trPr>
        <w:tc>
          <w:tcPr>
            <w:tcW w:w="1070" w:type="dxa"/>
          </w:tcPr>
          <w:p>
            <w:pPr>
              <w:pStyle w:val="TableParagraph"/>
              <w:ind w:left="108"/>
              <w:rPr>
                <w:sz w:val="21"/>
              </w:rPr>
            </w:pPr>
            <w:r>
              <w:rPr>
                <w:sz w:val="21"/>
              </w:rPr>
              <w:t>第七条</w:t>
            </w:r>
          </w:p>
        </w:tc>
        <w:tc>
          <w:tcPr>
            <w:tcW w:w="1740" w:type="dxa"/>
          </w:tcPr>
          <w:p>
            <w:pPr>
              <w:pStyle w:val="TableParagraph"/>
              <w:ind w:left="329"/>
              <w:rPr>
                <w:sz w:val="21"/>
              </w:rPr>
            </w:pPr>
            <w:r>
              <w:rPr>
                <w:sz w:val="21"/>
              </w:rPr>
              <w:t>保险费</w:t>
            </w:r>
          </w:p>
        </w:tc>
        <w:tc>
          <w:tcPr>
            <w:tcW w:w="6562" w:type="dxa"/>
          </w:tcPr>
          <w:p>
            <w:pPr>
              <w:pStyle w:val="TableParagraph"/>
              <w:ind w:left="149"/>
              <w:rPr>
                <w:sz w:val="21"/>
              </w:rPr>
            </w:pPr>
            <w:r>
              <w:rPr>
                <w:sz w:val="21"/>
              </w:rPr>
              <w:t>本附加合同的保险费按照基本保险金额和约定的费率标准确定。</w:t>
            </w:r>
          </w:p>
          <w:p>
            <w:pPr>
              <w:pStyle w:val="TableParagraph"/>
              <w:spacing w:line="300" w:lineRule="auto" w:before="68"/>
              <w:ind w:left="149" w:right="104"/>
              <w:rPr>
                <w:sz w:val="21"/>
              </w:rPr>
            </w:pPr>
            <w:r>
              <w:rPr>
                <w:sz w:val="21"/>
              </w:rPr>
              <w:t>本附加合同的保险费交付方式、交费日期与主合同一致，本附加合同的保险费应与主合同一并交付。</w:t>
            </w:r>
          </w:p>
        </w:tc>
      </w:tr>
      <w:tr>
        <w:trPr>
          <w:trHeight w:val="2917" w:hRule="atLeast"/>
        </w:trPr>
        <w:tc>
          <w:tcPr>
            <w:tcW w:w="1070" w:type="dxa"/>
          </w:tcPr>
          <w:p>
            <w:pPr>
              <w:pStyle w:val="TableParagraph"/>
              <w:ind w:left="108"/>
              <w:rPr>
                <w:sz w:val="21"/>
              </w:rPr>
            </w:pPr>
            <w:r>
              <w:rPr>
                <w:sz w:val="21"/>
              </w:rPr>
              <w:t>第八条</w:t>
            </w:r>
          </w:p>
        </w:tc>
        <w:tc>
          <w:tcPr>
            <w:tcW w:w="1740" w:type="dxa"/>
          </w:tcPr>
          <w:p>
            <w:pPr>
              <w:pStyle w:val="TableParagraph"/>
              <w:ind w:left="329"/>
              <w:rPr>
                <w:sz w:val="21"/>
              </w:rPr>
            </w:pPr>
            <w:r>
              <w:rPr>
                <w:sz w:val="21"/>
              </w:rPr>
              <w:t>保险费率调整</w:t>
            </w:r>
          </w:p>
        </w:tc>
        <w:tc>
          <w:tcPr>
            <w:tcW w:w="6562" w:type="dxa"/>
          </w:tcPr>
          <w:p>
            <w:pPr>
              <w:pStyle w:val="TableParagraph"/>
              <w:spacing w:line="300" w:lineRule="auto"/>
              <w:ind w:left="149"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left="149"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left="149"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1993" w:hRule="atLeast"/>
        </w:trPr>
        <w:tc>
          <w:tcPr>
            <w:tcW w:w="1070" w:type="dxa"/>
          </w:tcPr>
          <w:p>
            <w:pPr>
              <w:pStyle w:val="TableParagraph"/>
              <w:spacing w:before="2"/>
              <w:ind w:left="108"/>
              <w:rPr>
                <w:sz w:val="21"/>
              </w:rPr>
            </w:pPr>
            <w:r>
              <w:rPr>
                <w:sz w:val="21"/>
              </w:rPr>
              <w:t>第九条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left="149" w:right="104"/>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w:t>
            </w:r>
          </w:p>
          <w:p>
            <w:pPr>
              <w:pStyle w:val="TableParagraph"/>
              <w:spacing w:line="255" w:lineRule="exact" w:before="16"/>
              <w:ind w:left="149"/>
              <w:jc w:val="both"/>
              <w:rPr>
                <w:sz w:val="21"/>
              </w:rPr>
            </w:pPr>
            <w:r>
              <w:rPr>
                <w:sz w:val="21"/>
              </w:rPr>
              <w:t>保险单上。</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2" w:hRule="atLeast"/>
        </w:trPr>
        <w:tc>
          <w:tcPr>
            <w:tcW w:w="1175" w:type="dxa"/>
          </w:tcPr>
          <w:p>
            <w:pPr>
              <w:pStyle w:val="TableParagraph"/>
              <w:spacing w:line="211" w:lineRule="exact" w:before="0"/>
              <w:ind w:left="108"/>
              <w:rPr>
                <w:sz w:val="21"/>
              </w:rPr>
            </w:pPr>
            <w:r>
              <w:rPr>
                <w:sz w:val="21"/>
              </w:rPr>
              <w:t>第十条</w:t>
            </w:r>
          </w:p>
        </w:tc>
        <w:tc>
          <w:tcPr>
            <w:tcW w:w="1636" w:type="dxa"/>
          </w:tcPr>
          <w:p>
            <w:pPr>
              <w:pStyle w:val="TableParagraph"/>
              <w:spacing w:line="211" w:lineRule="exact" w:before="0"/>
              <w:ind w:left="224"/>
              <w:rPr>
                <w:sz w:val="21"/>
              </w:rPr>
            </w:pPr>
            <w:r>
              <w:rPr>
                <w:sz w:val="21"/>
              </w:rPr>
              <w:t>保险期间</w:t>
            </w:r>
          </w:p>
        </w:tc>
        <w:tc>
          <w:tcPr>
            <w:tcW w:w="6563" w:type="dxa"/>
          </w:tcPr>
          <w:p>
            <w:pPr>
              <w:pStyle w:val="TableParagraph"/>
              <w:spacing w:line="211" w:lineRule="exact" w:before="0"/>
              <w:rPr>
                <w:sz w:val="21"/>
              </w:rPr>
            </w:pPr>
            <w:r>
              <w:rPr>
                <w:sz w:val="21"/>
              </w:rPr>
              <w:t>本附加合同的保险期间载明于保险单上，保险期间自本附加合同生效</w:t>
            </w:r>
          </w:p>
          <w:p>
            <w:pPr>
              <w:pStyle w:val="TableParagraph"/>
              <w:spacing w:before="68"/>
              <w:rPr>
                <w:sz w:val="21"/>
              </w:rPr>
            </w:pPr>
            <w:r>
              <w:rPr>
                <w:sz w:val="21"/>
              </w:rPr>
              <w:t>时起算。</w:t>
            </w:r>
          </w:p>
        </w:tc>
      </w:tr>
      <w:tr>
        <w:trPr>
          <w:trHeight w:val="2231"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line="300" w:lineRule="auto" w:before="68"/>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在申请重大疾病保险金时，重大疾病保险金受益人须填写保险金给付申请书，并提供下列证明和资料：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二、重大疾病保险金受益人的有效身份证件；</w:t>
            </w:r>
          </w:p>
          <w:p>
            <w:pPr>
              <w:pStyle w:val="TableParagraph"/>
              <w:spacing w:line="300" w:lineRule="auto" w:before="68"/>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6"/>
              <w:ind w:left="607" w:right="277"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6"/>
              <w:ind w:left="182" w:right="67"/>
              <w:rPr>
                <w:sz w:val="21"/>
              </w:rPr>
            </w:pPr>
            <w:r>
              <w:rPr>
                <w:sz w:val="21"/>
              </w:rPr>
              <w:t>以上证明和资料不完整的，本公司将及时一次性通知申请人补充提供有关证明和资料。</w:t>
            </w:r>
          </w:p>
        </w:tc>
      </w:tr>
      <w:tr>
        <w:trPr>
          <w:trHeight w:val="4119"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保险金给付</w:t>
            </w:r>
          </w:p>
        </w:tc>
        <w:tc>
          <w:tcPr>
            <w:tcW w:w="6563" w:type="dxa"/>
          </w:tcPr>
          <w:p>
            <w:pPr>
              <w:pStyle w:val="TableParagraph"/>
              <w:spacing w:line="300" w:lineRule="auto"/>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3"/>
              <w:rPr>
                <w:sz w:val="21"/>
              </w:rPr>
            </w:pPr>
            <w:r>
              <w:rPr>
                <w:sz w:val="21"/>
              </w:rPr>
              <w:t>对属于保险责任的，本公司在与受益人达成给付保险金的协议后 10 日内，履行给付保险金义务。</w:t>
            </w:r>
          </w:p>
          <w:p>
            <w:pPr>
              <w:pStyle w:val="TableParagraph"/>
              <w:spacing w:line="300" w:lineRule="auto" w:before="16"/>
              <w:ind w:right="106"/>
              <w:jc w:val="both"/>
              <w:rPr>
                <w:sz w:val="21"/>
              </w:rPr>
            </w:pPr>
            <w:r>
              <w:rPr>
                <w:sz w:val="21"/>
              </w:rPr>
              <w:t>本公司未及时履行前款规定义务的，除支付保险金外，应当赔偿受益人因此受到的损失。</w:t>
            </w:r>
          </w:p>
          <w:p>
            <w:pPr>
              <w:pStyle w:val="TableParagraph"/>
              <w:spacing w:line="300" w:lineRule="auto" w:before="16"/>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102"/>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135" w:hRule="atLeast"/>
        </w:trPr>
        <w:tc>
          <w:tcPr>
            <w:tcW w:w="1175" w:type="dxa"/>
          </w:tcPr>
          <w:p>
            <w:pPr>
              <w:pStyle w:val="TableParagraph"/>
              <w:ind w:left="108"/>
              <w:rPr>
                <w:sz w:val="21"/>
              </w:rPr>
            </w:pPr>
            <w:r>
              <w:rPr>
                <w:sz w:val="21"/>
              </w:rPr>
              <w:t>第十四条</w:t>
            </w:r>
          </w:p>
        </w:tc>
        <w:tc>
          <w:tcPr>
            <w:tcW w:w="1636" w:type="dxa"/>
          </w:tcPr>
          <w:p>
            <w:pPr>
              <w:pStyle w:val="TableParagraph"/>
              <w:spacing w:line="300" w:lineRule="auto"/>
              <w:ind w:left="224" w:right="147"/>
              <w:rPr>
                <w:sz w:val="21"/>
              </w:rPr>
            </w:pPr>
            <w:r>
              <w:rPr>
                <w:sz w:val="21"/>
              </w:rPr>
              <w:t>主合同提前给付保险金申请</w:t>
            </w:r>
          </w:p>
        </w:tc>
        <w:tc>
          <w:tcPr>
            <w:tcW w:w="6563" w:type="dxa"/>
          </w:tcPr>
          <w:p>
            <w:pPr>
              <w:pStyle w:val="TableParagraph"/>
              <w:spacing w:line="340" w:lineRule="atLeast" w:before="108"/>
              <w:ind w:right="106"/>
              <w:jc w:val="both"/>
              <w:rPr>
                <w:sz w:val="21"/>
              </w:rPr>
            </w:pPr>
            <w:r>
              <w:rPr>
                <w:sz w:val="21"/>
              </w:rPr>
              <w:t>若对于本附加合同所依附的主合同，被保险人可以申请其他提前给付保险金，且被保险人的情况属于本附加合同保险责任，则保险金受益人必须先申请本附加合同的重大疾病保险金，然后根据主合同的剩余</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448"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8"/>
              <w:rPr>
                <w:sz w:val="21"/>
              </w:rPr>
            </w:pPr>
            <w:r>
              <w:rPr>
                <w:sz w:val="21"/>
              </w:rPr>
              <w:t>保险金额，申请其他提前给付保险金。</w:t>
            </w:r>
          </w:p>
        </w:tc>
      </w:tr>
      <w:tr>
        <w:trPr>
          <w:trHeight w:val="1029" w:hRule="atLeast"/>
        </w:trPr>
        <w:tc>
          <w:tcPr>
            <w:tcW w:w="1175" w:type="dxa"/>
          </w:tcPr>
          <w:p>
            <w:pPr>
              <w:pStyle w:val="TableParagraph"/>
              <w:ind w:left="108"/>
              <w:rPr>
                <w:sz w:val="21"/>
              </w:rPr>
            </w:pPr>
            <w:r>
              <w:rPr>
                <w:sz w:val="21"/>
              </w:rPr>
              <w:t>第十五条</w:t>
            </w:r>
          </w:p>
        </w:tc>
        <w:tc>
          <w:tcPr>
            <w:tcW w:w="1426" w:type="dxa"/>
          </w:tcPr>
          <w:p>
            <w:pPr>
              <w:pStyle w:val="TableParagraph"/>
              <w:ind w:left="224"/>
              <w:rPr>
                <w:sz w:val="21"/>
              </w:rPr>
            </w:pPr>
            <w:r>
              <w:rPr>
                <w:sz w:val="21"/>
              </w:rPr>
              <w:t>诉讼时效</w:t>
            </w:r>
          </w:p>
        </w:tc>
        <w:tc>
          <w:tcPr>
            <w:tcW w:w="6773" w:type="dxa"/>
          </w:tcPr>
          <w:p>
            <w:pPr>
              <w:pStyle w:val="TableParagraph"/>
              <w:spacing w:line="300" w:lineRule="auto"/>
              <w:ind w:left="358" w:right="106"/>
              <w:rPr>
                <w:sz w:val="21"/>
              </w:rPr>
            </w:pPr>
            <w:r>
              <w:rPr>
                <w:sz w:val="21"/>
              </w:rPr>
              <w:t>被保险人或受益人向本公司请求给付重大疾病保险金的诉讼时效期间为 2 年,自其知道或者应当知道保险事故发生之日起计算。</w:t>
            </w:r>
          </w:p>
        </w:tc>
      </w:tr>
      <w:tr>
        <w:trPr>
          <w:trHeight w:val="4634" w:hRule="atLeast"/>
        </w:trPr>
        <w:tc>
          <w:tcPr>
            <w:tcW w:w="1175" w:type="dxa"/>
          </w:tcPr>
          <w:p>
            <w:pPr>
              <w:pStyle w:val="TableParagraph"/>
              <w:ind w:left="108"/>
              <w:rPr>
                <w:sz w:val="21"/>
              </w:rPr>
            </w:pPr>
            <w:r>
              <w:rPr>
                <w:sz w:val="21"/>
              </w:rPr>
              <w:t>第十六条</w:t>
            </w:r>
          </w:p>
        </w:tc>
        <w:tc>
          <w:tcPr>
            <w:tcW w:w="1426" w:type="dxa"/>
          </w:tcPr>
          <w:p>
            <w:pPr>
              <w:pStyle w:val="TableParagraph"/>
              <w:ind w:left="224"/>
              <w:rPr>
                <w:sz w:val="21"/>
              </w:rPr>
            </w:pPr>
            <w:r>
              <w:rPr>
                <w:sz w:val="21"/>
              </w:rPr>
              <w:t>受益人</w:t>
            </w:r>
          </w:p>
        </w:tc>
        <w:tc>
          <w:tcPr>
            <w:tcW w:w="6773" w:type="dxa"/>
          </w:tcPr>
          <w:p>
            <w:pPr>
              <w:pStyle w:val="TableParagraph"/>
              <w:spacing w:line="300" w:lineRule="auto"/>
              <w:ind w:left="358" w:right="106"/>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358"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8" w:right="106"/>
              <w:rPr>
                <w:sz w:val="21"/>
              </w:rPr>
            </w:pPr>
            <w:r>
              <w:rPr>
                <w:sz w:val="21"/>
              </w:rPr>
              <w:t>被保险人为无民事行为能力人或限制民事行为能力人的，可以由其监护人指定受益人。</w:t>
            </w:r>
          </w:p>
          <w:p>
            <w:pPr>
              <w:pStyle w:val="TableParagraph"/>
              <w:spacing w:line="300" w:lineRule="auto" w:before="16"/>
              <w:ind w:left="358"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6"/>
              <w:ind w:left="358"/>
              <w:rPr>
                <w:sz w:val="21"/>
              </w:rPr>
            </w:pPr>
            <w:r>
              <w:rPr>
                <w:sz w:val="21"/>
              </w:rPr>
              <w:t>投保人指定和变更受益人时须经被保险人同意。</w:t>
            </w:r>
          </w:p>
          <w:p>
            <w:pPr>
              <w:pStyle w:val="TableParagraph"/>
              <w:spacing w:line="300" w:lineRule="auto" w:before="68"/>
              <w:ind w:left="358" w:right="106"/>
              <w:rPr>
                <w:sz w:val="21"/>
              </w:rPr>
            </w:pPr>
            <w:r>
              <w:rPr>
                <w:sz w:val="21"/>
              </w:rPr>
              <w:t>受益人故意造成被保险人身故、伤残、疾病的，或者故意杀害被保险人未遂的，该受益人丧失收益权。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第十七条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3" w:hRule="atLeast"/>
        </w:trPr>
        <w:tc>
          <w:tcPr>
            <w:tcW w:w="1175" w:type="dxa"/>
          </w:tcPr>
          <w:p>
            <w:pPr>
              <w:pStyle w:val="TableParagraph"/>
              <w:ind w:left="116"/>
              <w:jc w:val="center"/>
              <w:rPr>
                <w:sz w:val="21"/>
              </w:rPr>
            </w:pPr>
            <w:r>
              <w:rPr>
                <w:w w:val="100"/>
                <w:sz w:val="21"/>
              </w:rPr>
              <w:t>二</w:t>
            </w:r>
          </w:p>
        </w:tc>
        <w:tc>
          <w:tcPr>
            <w:tcW w:w="1426" w:type="dxa"/>
          </w:tcPr>
          <w:p>
            <w:pPr>
              <w:pStyle w:val="TableParagraph"/>
              <w:ind w:left="224"/>
              <w:rPr>
                <w:sz w:val="21"/>
              </w:rPr>
            </w:pPr>
            <w:r>
              <w:rPr>
                <w:sz w:val="21"/>
              </w:rPr>
              <w:t>医院</w:t>
            </w:r>
          </w:p>
        </w:tc>
        <w:tc>
          <w:tcPr>
            <w:tcW w:w="6773" w:type="dxa"/>
          </w:tcPr>
          <w:p>
            <w:pPr>
              <w:pStyle w:val="TableParagraph"/>
              <w:spacing w:line="300" w:lineRule="auto"/>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3881" w:hRule="atLeast"/>
        </w:trPr>
        <w:tc>
          <w:tcPr>
            <w:tcW w:w="1175" w:type="dxa"/>
          </w:tcPr>
          <w:p>
            <w:pPr>
              <w:pStyle w:val="TableParagraph"/>
              <w:ind w:left="116"/>
              <w:jc w:val="center"/>
              <w:rPr>
                <w:sz w:val="21"/>
              </w:rPr>
            </w:pPr>
            <w:r>
              <w:rPr>
                <w:w w:val="100"/>
                <w:sz w:val="21"/>
              </w:rPr>
              <w:t>三</w:t>
            </w:r>
          </w:p>
        </w:tc>
        <w:tc>
          <w:tcPr>
            <w:tcW w:w="1426" w:type="dxa"/>
          </w:tcPr>
          <w:p>
            <w:pPr>
              <w:pStyle w:val="TableParagraph"/>
              <w:ind w:left="224"/>
              <w:rPr>
                <w:sz w:val="21"/>
              </w:rPr>
            </w:pPr>
            <w:r>
              <w:rPr>
                <w:sz w:val="21"/>
              </w:rPr>
              <w:t>重大疾病</w:t>
            </w:r>
          </w:p>
        </w:tc>
        <w:tc>
          <w:tcPr>
            <w:tcW w:w="6773" w:type="dxa"/>
          </w:tcPr>
          <w:p>
            <w:pPr>
              <w:pStyle w:val="TableParagraph"/>
              <w:spacing w:line="300" w:lineRule="auto"/>
              <w:ind w:left="358" w:right="106"/>
              <w:jc w:val="both"/>
              <w:rPr>
                <w:sz w:val="21"/>
              </w:rPr>
            </w:pPr>
            <w:r>
              <w:rPr>
                <w:spacing w:val="-6"/>
                <w:sz w:val="21"/>
              </w:rPr>
              <w:t>本附加合同所称的重大疾病共包含 </w:t>
            </w:r>
            <w:r>
              <w:rPr>
                <w:sz w:val="21"/>
              </w:rPr>
              <w:t>25</w:t>
            </w:r>
            <w:r>
              <w:rPr>
                <w:spacing w:val="-12"/>
                <w:sz w:val="21"/>
              </w:rPr>
              <w:t> 种重大疾病，其中 </w:t>
            </w:r>
            <w:r>
              <w:rPr>
                <w:sz w:val="21"/>
              </w:rPr>
              <w:t>22</w:t>
            </w:r>
            <w:r>
              <w:rPr>
                <w:spacing w:val="-12"/>
                <w:sz w:val="21"/>
              </w:rPr>
              <w:t> 种为中国</w:t>
            </w:r>
            <w:r>
              <w:rPr>
                <w:spacing w:val="-6"/>
                <w:sz w:val="21"/>
              </w:rPr>
              <w:t>保险行业协会推荐的疾病</w:t>
            </w:r>
            <w:r>
              <w:rPr>
                <w:sz w:val="21"/>
              </w:rPr>
              <w:t>，3</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8" w:val="left" w:leader="none"/>
              </w:tabs>
              <w:spacing w:before="16"/>
              <w:ind w:left="358"/>
              <w:rPr>
                <w:sz w:val="21"/>
              </w:rPr>
            </w:pPr>
            <w:r>
              <w:rPr>
                <w:sz w:val="21"/>
              </w:rPr>
              <w:t>1.</w:t>
              <w:tab/>
              <w:t>22</w:t>
            </w:r>
            <w:r>
              <w:rPr>
                <w:spacing w:val="-6"/>
                <w:sz w:val="21"/>
              </w:rPr>
              <w:t> 种由中国保险行业协会推荐的疾病是指符合下列条件的疾病：</w:t>
            </w:r>
          </w:p>
          <w:p>
            <w:pPr>
              <w:pStyle w:val="TableParagraph"/>
              <w:spacing w:before="68"/>
              <w:ind w:left="358"/>
              <w:rPr>
                <w:sz w:val="21"/>
              </w:rPr>
            </w:pPr>
            <w:r>
              <w:rPr>
                <w:sz w:val="21"/>
              </w:rPr>
              <w:t>（1）恶性肿瘤</w:t>
            </w:r>
          </w:p>
          <w:p>
            <w:pPr>
              <w:pStyle w:val="TableParagraph"/>
              <w:spacing w:line="300" w:lineRule="auto" w:before="68"/>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3"/>
                <w:sz w:val="21"/>
              </w:rPr>
              <w:t>问题的国际统计分类》</w:t>
            </w:r>
            <w:r>
              <w:rPr>
                <w:spacing w:val="-1"/>
                <w:sz w:val="21"/>
              </w:rPr>
              <w:t>（ICD-10）</w:t>
            </w:r>
            <w:r>
              <w:rPr>
                <w:spacing w:val="-3"/>
                <w:sz w:val="21"/>
              </w:rPr>
              <w:t>的恶性肿瘤范畴。</w:t>
            </w:r>
          </w:p>
          <w:p>
            <w:pPr>
              <w:pStyle w:val="TableParagraph"/>
              <w:spacing w:line="255" w:lineRule="exact" w:before="15"/>
              <w:ind w:left="358"/>
              <w:rPr>
                <w:sz w:val="21"/>
              </w:rPr>
            </w:pPr>
            <w:r>
              <w:rPr>
                <w:sz w:val="21"/>
              </w:rPr>
              <w:t>下列疾病不在保障范围内：</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tabs>
          <w:tab w:pos="3468" w:val="left" w:leader="none"/>
        </w:tabs>
        <w:spacing w:before="158"/>
      </w:pPr>
      <w:r>
        <w:rPr/>
        <w:t>①</w:t>
        <w:tab/>
      </w:r>
      <w:r>
        <w:rPr>
          <w:spacing w:val="-1"/>
        </w:rPr>
        <w:t>原位癌；</w:t>
      </w:r>
    </w:p>
    <w:p>
      <w:pPr>
        <w:pStyle w:val="BodyText"/>
        <w:tabs>
          <w:tab w:pos="3468" w:val="left" w:leader="none"/>
        </w:tabs>
        <w:spacing w:before="67"/>
      </w:pPr>
      <w:r>
        <w:rPr/>
        <w:t>②</w:t>
        <w:tab/>
      </w:r>
      <w:r>
        <w:rPr>
          <w:spacing w:val="-14"/>
        </w:rPr>
        <w:t>相当于 </w:t>
      </w:r>
      <w:r>
        <w:rPr/>
        <w:t>Binet</w:t>
      </w:r>
      <w:r>
        <w:rPr>
          <w:spacing w:val="-18"/>
        </w:rPr>
        <w:t> 分期方案 </w:t>
      </w:r>
      <w:r>
        <w:rPr/>
        <w:t>A</w:t>
      </w:r>
      <w:r>
        <w:rPr>
          <w:spacing w:val="-9"/>
        </w:rPr>
        <w:t> 期程度的慢性淋巴细胞白血病；</w:t>
      </w:r>
    </w:p>
    <w:p>
      <w:pPr>
        <w:pStyle w:val="BodyText"/>
        <w:tabs>
          <w:tab w:pos="3468" w:val="left" w:leader="none"/>
        </w:tabs>
        <w:spacing w:before="67"/>
      </w:pPr>
      <w:r>
        <w:rPr/>
        <w:t>③</w:t>
        <w:tab/>
      </w:r>
      <w:r>
        <w:rPr>
          <w:spacing w:val="-14"/>
        </w:rPr>
        <w:t>相当于 </w:t>
      </w:r>
      <w:r>
        <w:rPr/>
        <w:t>Ann</w:t>
      </w:r>
      <w:r>
        <w:rPr>
          <w:spacing w:val="5"/>
        </w:rPr>
        <w:t> </w:t>
      </w:r>
      <w:r>
        <w:rPr/>
        <w:t>Arbor</w:t>
      </w:r>
      <w:r>
        <w:rPr>
          <w:spacing w:val="-19"/>
        </w:rPr>
        <w:t> 分期方案 </w:t>
      </w:r>
      <w:r>
        <w:rPr/>
        <w:t>I</w:t>
      </w:r>
      <w:r>
        <w:rPr>
          <w:spacing w:val="-9"/>
        </w:rPr>
        <w:t> 期程度的何杰金氏病；</w:t>
      </w:r>
    </w:p>
    <w:p>
      <w:pPr>
        <w:pStyle w:val="BodyText"/>
        <w:tabs>
          <w:tab w:pos="3468" w:val="left" w:leader="none"/>
        </w:tabs>
        <w:spacing w:before="67"/>
      </w:pPr>
      <w:r>
        <w:rPr/>
        <w:t>④</w:t>
        <w:tab/>
      </w:r>
      <w:r>
        <w:rPr>
          <w:spacing w:val="-1"/>
        </w:rPr>
        <w:t>皮肤癌</w:t>
      </w:r>
      <w:r>
        <w:rPr/>
        <w:t>（</w:t>
      </w:r>
      <w:r>
        <w:rPr>
          <w:spacing w:val="-3"/>
        </w:rPr>
        <w:t>不包括恶性黑色素瘤及已发生转移的皮肤癌</w:t>
      </w:r>
      <w:r>
        <w:rPr/>
        <w:t>）；</w:t>
      </w:r>
    </w:p>
    <w:p>
      <w:pPr>
        <w:pStyle w:val="BodyText"/>
        <w:tabs>
          <w:tab w:pos="3468" w:val="left" w:leader="none"/>
        </w:tabs>
        <w:spacing w:before="67"/>
      </w:pPr>
      <w:r>
        <w:rPr>
          <w:position w:val="1"/>
        </w:rPr>
        <w:t>⑤</w:t>
        <w:tab/>
        <w:t>TNM</w:t>
      </w:r>
      <w:r>
        <w:rPr>
          <w:spacing w:val="-19"/>
          <w:position w:val="1"/>
        </w:rPr>
        <w:t> 分期为 </w:t>
      </w:r>
      <w:r>
        <w:rPr>
          <w:position w:val="1"/>
        </w:rPr>
        <w:t>T</w:t>
      </w:r>
      <w:r>
        <w:rPr>
          <w:sz w:val="11"/>
        </w:rPr>
        <w:t>1</w:t>
      </w:r>
      <w:r>
        <w:rPr>
          <w:position w:val="1"/>
        </w:rPr>
        <w:t>N</w:t>
      </w:r>
      <w:r>
        <w:rPr>
          <w:sz w:val="11"/>
        </w:rPr>
        <w:t>0</w:t>
      </w:r>
      <w:r>
        <w:rPr>
          <w:position w:val="1"/>
        </w:rPr>
        <w:t>M</w:t>
      </w:r>
      <w:r>
        <w:rPr>
          <w:sz w:val="11"/>
        </w:rPr>
        <w:t>0</w:t>
      </w:r>
      <w:r>
        <w:rPr>
          <w:spacing w:val="-25"/>
          <w:sz w:val="11"/>
        </w:rPr>
        <w:t> </w:t>
      </w:r>
      <w:r>
        <w:rPr>
          <w:spacing w:val="-3"/>
          <w:position w:val="1"/>
        </w:rPr>
        <w:t>期或更轻分期的前列腺癌；</w:t>
      </w:r>
    </w:p>
    <w:p>
      <w:pPr>
        <w:pStyle w:val="BodyText"/>
        <w:tabs>
          <w:tab w:pos="3468" w:val="left" w:leader="none"/>
        </w:tabs>
      </w:pPr>
      <w:r>
        <w:rPr/>
        <w:t>⑥</w:t>
        <w:tab/>
      </w:r>
      <w:r>
        <w:rPr>
          <w:spacing w:val="-3"/>
        </w:rPr>
        <w:t>感染艾滋病病毒或患艾滋病期间所患恶性肿瘤。</w:t>
      </w:r>
    </w:p>
    <w:p>
      <w:pPr>
        <w:pStyle w:val="BodyText"/>
      </w:pPr>
      <w:r>
        <w:rPr/>
        <w:t>（2）急性心肌梗塞</w:t>
      </w:r>
    </w:p>
    <w:p>
      <w:pPr>
        <w:pStyle w:val="BodyText"/>
        <w:spacing w:line="300" w:lineRule="auto"/>
        <w:ind w:right="109"/>
      </w:pPr>
      <w:r>
        <w:rPr/>
        <w:t>指因冠状动脉阻塞导致的相应区域供血不足造成部分心肌坏死。须满足下列至少三项条件：</w:t>
      </w:r>
    </w:p>
    <w:p>
      <w:pPr>
        <w:pStyle w:val="BodyText"/>
        <w:tabs>
          <w:tab w:pos="3468" w:val="left" w:leader="none"/>
        </w:tabs>
        <w:spacing w:before="15"/>
      </w:pPr>
      <w:r>
        <w:rPr/>
        <w:t>①</w:t>
        <w:tab/>
      </w:r>
      <w:r>
        <w:rPr>
          <w:spacing w:val="-3"/>
        </w:rPr>
        <w:t>典型临床表现，例如急性胸痛等；</w:t>
      </w:r>
    </w:p>
    <w:p>
      <w:pPr>
        <w:pStyle w:val="BodyText"/>
        <w:tabs>
          <w:tab w:pos="3468" w:val="left" w:leader="none"/>
        </w:tabs>
      </w:pPr>
      <w:r>
        <w:rPr/>
        <w:t>②</w:t>
        <w:tab/>
      </w:r>
      <w:r>
        <w:rPr>
          <w:spacing w:val="-3"/>
        </w:rPr>
        <w:t>新近的心电图改变提示急性心肌梗塞；</w:t>
      </w:r>
    </w:p>
    <w:p>
      <w:pPr>
        <w:pStyle w:val="BodyText"/>
        <w:tabs>
          <w:tab w:pos="3468" w:val="left" w:leader="none"/>
        </w:tabs>
        <w:spacing w:line="300" w:lineRule="auto"/>
        <w:ind w:left="3469" w:right="109" w:hanging="420"/>
      </w:pPr>
      <w:r>
        <w:rPr/>
        <w:t>③</w:t>
        <w:tab/>
      </w:r>
      <w:r>
        <w:rPr>
          <w:spacing w:val="-3"/>
        </w:rPr>
        <w:t>心肌酶或肌钙蛋白有诊断意义的升高，或呈符合急性心肌梗塞的 动态性变化；</w:t>
      </w:r>
    </w:p>
    <w:p>
      <w:pPr>
        <w:pStyle w:val="BodyText"/>
        <w:tabs>
          <w:tab w:pos="3468" w:val="left" w:leader="none"/>
        </w:tabs>
        <w:spacing w:line="300" w:lineRule="auto" w:before="16"/>
        <w:ind w:left="3469" w:right="107" w:hanging="420"/>
      </w:pPr>
      <w:r>
        <w:rPr/>
        <w:t>④</w:t>
        <w:tab/>
      </w:r>
      <w:r>
        <w:rPr>
          <w:spacing w:val="-13"/>
        </w:rPr>
        <w:t>发病 </w:t>
      </w:r>
      <w:r>
        <w:rPr/>
        <w:t>90</w:t>
      </w:r>
      <w:r>
        <w:rPr>
          <w:spacing w:val="-15"/>
        </w:rPr>
        <w:t> 天后，经检查证实左心室功能降低，如左心室射血分数低</w:t>
      </w:r>
      <w:r>
        <w:rPr>
          <w:spacing w:val="-34"/>
        </w:rPr>
        <w:t>于 </w:t>
      </w:r>
      <w:r>
        <w:rPr/>
        <w:t>50%。</w:t>
      </w:r>
    </w:p>
    <w:p>
      <w:pPr>
        <w:pStyle w:val="BodyText"/>
        <w:spacing w:before="16"/>
      </w:pPr>
      <w:r>
        <w:rPr/>
        <w:t>（3）脑中风后遗症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tabs>
          <w:tab w:pos="3468" w:val="left" w:leader="none"/>
        </w:tabs>
        <w:spacing w:before="15"/>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109" w:hanging="420"/>
      </w:pPr>
      <w:r>
        <w:rPr/>
        <w:t>③</w:t>
        <w:tab/>
      </w:r>
      <w:r>
        <w:rPr>
          <w:spacing w:val="-3"/>
        </w:rPr>
        <w:t>自主生活能力完全丧失，无法独立完成六项基本日常生活活动中 的三项或三项以上。</w:t>
      </w:r>
    </w:p>
    <w:p>
      <w:pPr>
        <w:pStyle w:val="BodyText"/>
        <w:spacing w:before="15"/>
      </w:pPr>
      <w:r>
        <w:rPr/>
        <w:t>（4）重大器官移植术或造血干细胞移植术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
      </w:pPr>
      <w:r>
        <w:rPr/>
        <w:t>（5）冠状动脉搭桥术</w:t>
      </w:r>
    </w:p>
    <w:p>
      <w:pPr>
        <w:pStyle w:val="BodyText"/>
        <w:spacing w:line="300" w:lineRule="auto"/>
        <w:ind w:right="109"/>
      </w:pPr>
      <w:r>
        <w:rPr/>
        <w:t>指为治疗严重的冠心病，实际实施了开胸进行的冠状动脉血管旁路移植的手术。</w:t>
      </w:r>
    </w:p>
    <w:p>
      <w:pPr>
        <w:pStyle w:val="BodyText"/>
        <w:spacing w:line="300" w:lineRule="auto" w:before="16"/>
        <w:ind w:right="109"/>
      </w:pPr>
      <w:r>
        <w:rPr/>
        <w:t>冠状动脉支架植入术、心导管球囊扩张术、激光射频技术及其它非开胸的介入手术、腔镜手术不在保障范围内。</w:t>
      </w:r>
    </w:p>
    <w:p>
      <w:pPr>
        <w:pStyle w:val="BodyText"/>
        <w:spacing w:before="15"/>
      </w:pPr>
      <w:r>
        <w:rPr/>
        <w:t>（6）终末期肾病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spacing w:after="0" w:line="300" w:lineRule="auto"/>
        <w:sectPr>
          <w:pgSz w:w="11910" w:h="16840"/>
          <w:pgMar w:header="0" w:footer="919" w:top="1580" w:bottom="1100" w:left="1200" w:right="1240"/>
        </w:sectPr>
      </w:pPr>
    </w:p>
    <w:p>
      <w:pPr>
        <w:pStyle w:val="BodyText"/>
        <w:spacing w:before="12"/>
        <w:ind w:left="0"/>
        <w:rPr>
          <w:sz w:val="26"/>
        </w:rPr>
      </w:pPr>
    </w:p>
    <w:p>
      <w:pPr>
        <w:pStyle w:val="BodyText"/>
        <w:spacing w:before="36"/>
      </w:pPr>
      <w:r>
        <w:rPr/>
        <w:t>（7）急性或亚急性重症肝炎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tabs>
          <w:tab w:pos="3468" w:val="left" w:leader="none"/>
        </w:tabs>
        <w:spacing w:before="16"/>
      </w:pPr>
      <w:r>
        <w:rPr/>
        <w:t>①</w:t>
        <w:tab/>
      </w:r>
      <w:r>
        <w:rPr>
          <w:spacing w:val="-3"/>
        </w:rPr>
        <w:t>重度黄疸或黄疸迅速加重；</w:t>
      </w:r>
    </w:p>
    <w:p>
      <w:pPr>
        <w:pStyle w:val="BodyText"/>
        <w:tabs>
          <w:tab w:pos="3468" w:val="left" w:leader="none"/>
        </w:tabs>
      </w:pPr>
      <w:r>
        <w:rPr/>
        <w:t>②</w:t>
        <w:tab/>
      </w:r>
      <w:r>
        <w:rPr>
          <w:spacing w:val="-1"/>
        </w:rPr>
        <w:t>肝性脑病；</w:t>
      </w:r>
    </w:p>
    <w:p>
      <w:pPr>
        <w:pStyle w:val="BodyText"/>
        <w:tabs>
          <w:tab w:pos="3468" w:val="left" w:leader="none"/>
        </w:tabs>
      </w:pPr>
      <w:r>
        <w:rPr/>
        <w:t>③</w:t>
        <w:tab/>
        <w:t>B</w:t>
      </w:r>
      <w:r>
        <w:rPr>
          <w:spacing w:val="-7"/>
        </w:rPr>
        <w:t> 超或其它影像学检查显示肝脏体积急速萎缩；</w:t>
      </w:r>
    </w:p>
    <w:p>
      <w:pPr>
        <w:pStyle w:val="BodyText"/>
        <w:tabs>
          <w:tab w:pos="3468" w:val="left" w:leader="none"/>
        </w:tabs>
      </w:pPr>
      <w:r>
        <w:rPr/>
        <w:t>④</w:t>
        <w:tab/>
      </w:r>
      <w:r>
        <w:rPr>
          <w:spacing w:val="-3"/>
        </w:rPr>
        <w:t>肝功能指标进行性恶化。</w:t>
      </w:r>
    </w:p>
    <w:p>
      <w:pPr>
        <w:pStyle w:val="BodyText"/>
      </w:pPr>
      <w:r>
        <w:rPr/>
        <w:t>（8）良性脑肿瘤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11"/>
      </w:pPr>
      <w:r>
        <w:rPr/>
        <w:t>（CT）、核磁共振检查（MRI）或正电子发射断层扫描（PET）等影像学检查证实，并须满足下列至少一项条件：</w:t>
      </w:r>
    </w:p>
    <w:p>
      <w:pPr>
        <w:pStyle w:val="BodyText"/>
        <w:tabs>
          <w:tab w:pos="3468" w:val="left" w:leader="none"/>
        </w:tabs>
        <w:spacing w:before="16"/>
      </w:pPr>
      <w:r>
        <w:rPr/>
        <w:t>①</w:t>
        <w:tab/>
      </w:r>
      <w:r>
        <w:rPr>
          <w:spacing w:val="-3"/>
        </w:rPr>
        <w:t>实际实施了开颅进行的脑肿瘤完全切除或部分切除的手术；</w:t>
      </w:r>
    </w:p>
    <w:p>
      <w:pPr>
        <w:pStyle w:val="BodyText"/>
        <w:tabs>
          <w:tab w:pos="3468" w:val="left" w:leader="none"/>
        </w:tabs>
      </w:pPr>
      <w:r>
        <w:rPr/>
        <w:t>②</w:t>
        <w:tab/>
      </w:r>
      <w:r>
        <w:rPr>
          <w:spacing w:val="-3"/>
        </w:rPr>
        <w:t>实际实施了对脑肿瘤进行的放射治疗。</w:t>
      </w:r>
    </w:p>
    <w:p>
      <w:pPr>
        <w:pStyle w:val="BodyText"/>
      </w:pPr>
      <w:r>
        <w:rPr/>
        <w:t>脑垂体瘤、脑囊肿、脑血管性疾病不在保障范围内。</w:t>
      </w:r>
    </w:p>
    <w:p>
      <w:pPr>
        <w:pStyle w:val="BodyText"/>
      </w:pPr>
      <w:r>
        <w:rPr/>
        <w:t>（9）脑炎后遗症或脑膜炎后遗症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tabs>
          <w:tab w:pos="3468" w:val="left" w:leader="none"/>
        </w:tabs>
        <w:spacing w:before="16"/>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209" w:hanging="420"/>
      </w:pPr>
      <w:r>
        <w:rPr/>
        <w:t>③</w:t>
        <w:tab/>
      </w:r>
      <w:r>
        <w:rPr>
          <w:spacing w:val="-3"/>
        </w:rPr>
        <w:t>自主生活能力完全丧失，无法独立完成六项基本日常生活活动中 的三项或三项以上。</w:t>
      </w:r>
    </w:p>
    <w:p>
      <w:pPr>
        <w:pStyle w:val="BodyText"/>
        <w:spacing w:before="15"/>
      </w:pPr>
      <w:r>
        <w:rPr/>
        <w:t>（10）深度昏迷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16"/>
      </w:pPr>
      <w:r>
        <w:rPr/>
        <w:t>（11）双耳失聪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16"/>
      </w:pPr>
      <w:r>
        <w:rPr/>
        <w:t>（12）瘫痪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16"/>
      </w:pPr>
      <w:r>
        <w:rPr/>
        <w:t>（13）心脏瓣膜手术</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9"/>
      </w:pPr>
      <w:r>
        <w:rPr/>
        <w:t>指为治疗心脏瓣膜疾病，实际实施了开胸进行的心脏瓣膜置换或修复的手术。</w:t>
      </w:r>
    </w:p>
    <w:p>
      <w:pPr>
        <w:pStyle w:val="BodyText"/>
        <w:spacing w:before="15"/>
      </w:pPr>
      <w:r>
        <w:rPr/>
        <w:t>（14）严重阿尔茨海默病</w:t>
      </w:r>
    </w:p>
    <w:p>
      <w:pPr>
        <w:pStyle w:val="BodyText"/>
        <w:spacing w:line="300" w:lineRule="auto"/>
        <w:ind w:right="104"/>
      </w:pPr>
      <w:r>
        <w:rPr>
          <w:spacing w:val="-3"/>
        </w:rPr>
        <w:t>指因大脑进行性、不可逆性改变导致智能严重衰退或丧失，临床表现为明显的认知能力障碍、行为异常和社交能力减退，其日常生活必须持续受到他人监护。须由头颅断层扫描</w:t>
      </w:r>
      <w:r>
        <w:rPr/>
        <w:t>（CT）</w:t>
      </w:r>
      <w:r>
        <w:rPr>
          <w:spacing w:val="-3"/>
        </w:rPr>
        <w:t>、核磁共振检查</w:t>
      </w:r>
      <w:r>
        <w:rPr/>
        <w:t>（MRI） </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6"/>
        </w:rPr>
        <w:t>上述诊断必须在被保险人年满 </w:t>
      </w:r>
      <w:r>
        <w:rPr/>
        <w:t>65</w:t>
      </w:r>
      <w:r>
        <w:rPr>
          <w:spacing w:val="-7"/>
        </w:rPr>
        <w:t> 周岁后的首个保险单周年日前由专 </w:t>
      </w:r>
      <w:r>
        <w:rPr>
          <w:spacing w:val="-5"/>
        </w:rPr>
        <w:t>科医生明确诊断。</w:t>
      </w:r>
    </w:p>
    <w:p>
      <w:pPr>
        <w:pStyle w:val="BodyText"/>
        <w:spacing w:before="16"/>
      </w:pPr>
      <w:r>
        <w:rPr/>
        <w:t>神经官能症和精神疾病不在保障范围内。</w:t>
      </w:r>
    </w:p>
    <w:p>
      <w:pPr>
        <w:pStyle w:val="BodyText"/>
      </w:pPr>
      <w:r>
        <w:rPr/>
        <w:t>（15）严重脑损伤</w:t>
      </w:r>
    </w:p>
    <w:p>
      <w:pPr>
        <w:pStyle w:val="BodyText"/>
        <w:spacing w:line="300" w:lineRule="auto"/>
        <w:ind w:right="204"/>
        <w:jc w:val="both"/>
      </w:pPr>
      <w:r>
        <w:rPr>
          <w:spacing w:val="-3"/>
        </w:rPr>
        <w:t>指因头部遭受机械性外力，引起脑重要部位损伤，导致神经系统永久</w:t>
      </w:r>
      <w:r>
        <w:rPr>
          <w:spacing w:val="-7"/>
        </w:rPr>
        <w:t>性的功能障碍。须由头颅断层扫描</w:t>
      </w:r>
      <w:r>
        <w:rPr>
          <w:spacing w:val="-6"/>
        </w:rPr>
        <w:t>（CT）</w:t>
      </w:r>
      <w:r>
        <w:rPr>
          <w:spacing w:val="-8"/>
        </w:rPr>
        <w:t>、核磁共振检查</w:t>
      </w:r>
      <w:r>
        <w:rPr>
          <w:spacing w:val="-5"/>
        </w:rPr>
        <w:t>（MRI）</w:t>
      </w:r>
      <w:r>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tabs>
          <w:tab w:pos="3468" w:val="left" w:leader="none"/>
        </w:tabs>
        <w:spacing w:before="15"/>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209" w:hanging="420"/>
      </w:pPr>
      <w:r>
        <w:rPr/>
        <w:t>③</w:t>
        <w:tab/>
      </w:r>
      <w:r>
        <w:rPr>
          <w:spacing w:val="-3"/>
        </w:rPr>
        <w:t>自主生活能力完全丧失，无法独立完成六项基本日常生活活动中 的三项或三项以上。</w:t>
      </w:r>
    </w:p>
    <w:p>
      <w:pPr>
        <w:pStyle w:val="BodyText"/>
        <w:spacing w:before="15"/>
      </w:pPr>
      <w:r>
        <w:rPr/>
        <w:t>（16）严重帕金森病</w:t>
      </w:r>
    </w:p>
    <w:p>
      <w:pPr>
        <w:pStyle w:val="BodyText"/>
        <w:spacing w:line="300" w:lineRule="auto"/>
        <w:ind w:right="209"/>
      </w:pPr>
      <w:r>
        <w:rPr/>
        <w:t>是指一种中枢神经系统的退行性疾病，临床表现为震颤麻痹、共济失调等。须满足下列全部条件：</w:t>
      </w:r>
    </w:p>
    <w:p>
      <w:pPr>
        <w:pStyle w:val="BodyText"/>
        <w:tabs>
          <w:tab w:pos="3468" w:val="left" w:leader="none"/>
        </w:tabs>
        <w:spacing w:before="15"/>
      </w:pPr>
      <w:r>
        <w:rPr/>
        <w:t>①</w:t>
        <w:tab/>
      </w:r>
      <w:r>
        <w:rPr>
          <w:spacing w:val="-3"/>
        </w:rPr>
        <w:t>药物治疗无法控制病情；</w:t>
      </w:r>
    </w:p>
    <w:p>
      <w:pPr>
        <w:pStyle w:val="BodyText"/>
        <w:tabs>
          <w:tab w:pos="3468" w:val="left" w:leader="none"/>
        </w:tabs>
        <w:spacing w:line="300" w:lineRule="auto" w:before="67"/>
        <w:ind w:left="3469" w:right="209" w:hanging="420"/>
      </w:pPr>
      <w:r>
        <w:rPr/>
        <w:t>②</w:t>
        <w:tab/>
      </w:r>
      <w:r>
        <w:rPr>
          <w:spacing w:val="-3"/>
        </w:rPr>
        <w:t>自主生活能力完全丧失，无法独立完成六项基本日常生活活动中 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67"/>
      </w:pPr>
      <w:r>
        <w:rPr/>
        <w:t>（17）严重Ⅲ度烧伤</w:t>
      </w:r>
    </w:p>
    <w:p>
      <w:pPr>
        <w:pStyle w:val="BodyText"/>
        <w:spacing w:before="67"/>
      </w:pPr>
      <w:r>
        <w:rPr/>
        <w:t>指烧伤程度为Ⅲ度，且Ⅲ度烧伤的面积达到全身体表面积的 20％或</w:t>
      </w:r>
    </w:p>
    <w:p>
      <w:pPr>
        <w:pStyle w:val="BodyText"/>
        <w:spacing w:before="67"/>
      </w:pPr>
      <w:r>
        <w:rPr/>
        <w:t>20％以上。体表面积根据《中国新九分法》计算。</w:t>
      </w:r>
    </w:p>
    <w:p>
      <w:pPr>
        <w:pStyle w:val="BodyText"/>
      </w:pPr>
      <w:r>
        <w:rPr/>
        <w:t>（18）严重原发性肺动脉高压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16"/>
      </w:pPr>
      <w:r>
        <w:rPr/>
        <w:t>（19）严重运动神经元病</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
      </w:pPr>
      <w:r>
        <w:rPr/>
        <w:t>（20）语言能力丧失</w:t>
      </w:r>
    </w:p>
    <w:p>
      <w:pPr>
        <w:pStyle w:val="BodyText"/>
        <w:spacing w:line="300" w:lineRule="auto"/>
        <w:ind w:right="109"/>
      </w:pPr>
      <w:r>
        <w:rPr>
          <w:spacing w:val="-5"/>
        </w:rPr>
        <w:t>指因疾病或意外伤害导致完全丧失语言能力，经过积极治疗至少 </w:t>
      </w:r>
      <w:r>
        <w:rPr>
          <w:spacing w:val="-3"/>
        </w:rPr>
        <w:t>12 </w:t>
      </w:r>
      <w:r>
        <w:rPr/>
        <w:t>个月</w:t>
      </w:r>
      <w:r>
        <w:rPr>
          <w:spacing w:val="-3"/>
        </w:rPr>
        <w:t>（声带完全切除不受此时间限制</w:t>
      </w:r>
      <w:r>
        <w:rPr/>
        <w:t>）</w:t>
      </w:r>
      <w:r>
        <w:rPr>
          <w:spacing w:val="-3"/>
        </w:rPr>
        <w:t>，仍无法通过现有医疗手段恢复。</w:t>
      </w:r>
    </w:p>
    <w:p>
      <w:pPr>
        <w:pStyle w:val="BodyText"/>
        <w:spacing w:before="16"/>
      </w:pPr>
      <w:r>
        <w:rPr/>
        <w:t>精神心理因素所致的语言能力丧失不在保障范围内。</w:t>
      </w:r>
    </w:p>
    <w:p>
      <w:pPr>
        <w:pStyle w:val="BodyText"/>
      </w:pPr>
      <w:r>
        <w:rPr/>
        <w:t>（21）重型再生障碍性贫血</w:t>
      </w:r>
    </w:p>
    <w:p>
      <w:pPr>
        <w:pStyle w:val="BodyText"/>
        <w:spacing w:line="300" w:lineRule="auto"/>
        <w:ind w:right="109"/>
      </w:pPr>
      <w:r>
        <w:rPr/>
        <w:t>指因骨髓造血功能慢性持续性衰竭导致的贫血、中性粒细胞减少及血小板减少。须满足下列全部条件：</w:t>
      </w:r>
    </w:p>
    <w:p>
      <w:pPr>
        <w:pStyle w:val="BodyText"/>
        <w:tabs>
          <w:tab w:pos="3468" w:val="left" w:leader="none"/>
        </w:tabs>
        <w:spacing w:before="15"/>
      </w:pPr>
      <w:r>
        <w:rPr/>
        <w:t>①</w:t>
        <w:tab/>
      </w:r>
      <w:r>
        <w:rPr>
          <w:spacing w:val="-3"/>
        </w:rPr>
        <w:t>骨髓穿刺检查或骨髓活检结果支持诊断；</w:t>
      </w:r>
    </w:p>
    <w:p>
      <w:pPr>
        <w:pStyle w:val="BodyText"/>
        <w:tabs>
          <w:tab w:pos="3468" w:val="left" w:leader="none"/>
        </w:tabs>
      </w:pPr>
      <w:r>
        <w:rPr/>
        <w:t>②</w:t>
        <w:tab/>
      </w:r>
      <w:r>
        <w:rPr>
          <w:spacing w:val="-3"/>
        </w:rPr>
        <w:t>外周血象须具备以下三项条件：</w:t>
      </w:r>
    </w:p>
    <w:p>
      <w:pPr>
        <w:pStyle w:val="BodyText"/>
        <w:tabs>
          <w:tab w:pos="3468" w:val="left" w:leader="none"/>
        </w:tabs>
      </w:pPr>
      <w:r>
        <w:rPr/>
        <w:t>1)</w:t>
        <w:tab/>
      </w:r>
      <w:r>
        <w:rPr>
          <w:spacing w:val="-3"/>
        </w:rPr>
        <w:t>中性粒细胞绝对值≤</w:t>
      </w:r>
      <w:r>
        <w:rPr/>
        <w:t>0.5×10</w:t>
      </w:r>
      <w:r>
        <w:rPr>
          <w:position w:val="11"/>
          <w:sz w:val="11"/>
        </w:rPr>
        <w:t>9</w:t>
      </w:r>
      <w:r>
        <w:rPr/>
        <w:t>/L</w:t>
      </w:r>
      <w:r>
        <w:rPr>
          <w:spacing w:val="2"/>
        </w:rPr>
        <w:t> ；</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pPr>
      <w:r>
        <w:rPr/>
        <w:t>（22）主动脉手术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tabs>
          <w:tab w:pos="3468" w:val="left" w:leader="none"/>
        </w:tabs>
        <w:spacing w:line="300" w:lineRule="auto"/>
        <w:ind w:right="162"/>
      </w:pPr>
      <w:r>
        <w:rPr/>
        <w:t>2.</w:t>
        <w:tab/>
        <w:t>3</w:t>
      </w:r>
      <w:r>
        <w:rPr>
          <w:spacing w:val="-5"/>
        </w:rPr>
        <w:t> 种中国保险行业协会推荐范围以外的疾病是指符合下列条件的疾病：</w:t>
      </w:r>
    </w:p>
    <w:p>
      <w:pPr>
        <w:pStyle w:val="BodyText"/>
        <w:spacing w:before="15"/>
      </w:pPr>
      <w:r>
        <w:rPr/>
        <w:t>(23）严重多发性硬化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16"/>
      </w:pPr>
      <w:r>
        <w:rPr/>
        <w:t>（24）严重肌营养不良症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spacing w:after="0" w:line="300" w:lineRule="auto"/>
        <w:sectPr>
          <w:pgSz w:w="11910" w:h="16840"/>
          <w:pgMar w:header="0" w:footer="919" w:top="1580" w:bottom="118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82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（25）去皮质综合征（植物人状态）</w:t>
            </w:r>
          </w:p>
          <w:p>
            <w:pPr>
              <w:pStyle w:val="TableParagraph"/>
              <w:spacing w:line="300" w:lineRule="auto" w:before="68"/>
              <w:ind w:right="203"/>
              <w:rPr>
                <w:sz w:val="21"/>
              </w:rPr>
            </w:pPr>
            <w:r>
              <w:rPr>
                <w:spacing w:val="-3"/>
                <w:sz w:val="21"/>
              </w:rPr>
              <w:t>是指脑皮质广泛性坏死而导致对自身及周边的认知能力完全丧失,但 脑干功能依然存在。须由头颅断层扫描</w:t>
            </w:r>
            <w:r>
              <w:rPr>
                <w:sz w:val="21"/>
              </w:rPr>
              <w:t>（CT）</w:t>
            </w:r>
            <w:r>
              <w:rPr>
                <w:spacing w:val="-3"/>
                <w:sz w:val="21"/>
              </w:rPr>
              <w:t>，核磁共振检查</w:t>
            </w:r>
            <w:r>
              <w:rPr>
                <w:sz w:val="21"/>
              </w:rPr>
              <w:t>（MRI） </w:t>
            </w:r>
            <w:r>
              <w:rPr>
                <w:spacing w:val="-7"/>
                <w:sz w:val="21"/>
              </w:rPr>
              <w:t>或正电子发射断层扫描</w:t>
            </w:r>
            <w:r>
              <w:rPr>
                <w:spacing w:val="-9"/>
                <w:sz w:val="21"/>
              </w:rPr>
              <w:t>（PET）</w:t>
            </w:r>
            <w:r>
              <w:rPr>
                <w:spacing w:val="-7"/>
                <w:sz w:val="21"/>
              </w:rPr>
              <w:t>等影像学检查证实。上述情况必须有至</w:t>
            </w:r>
            <w:r>
              <w:rPr>
                <w:spacing w:val="-5"/>
                <w:sz w:val="21"/>
              </w:rPr>
              <w:t>少一个月的病历记录加以证实。</w:t>
            </w:r>
          </w:p>
        </w:tc>
      </w:tr>
      <w:tr>
        <w:trPr>
          <w:trHeight w:val="686" w:hRule="atLeast"/>
        </w:trPr>
        <w:tc>
          <w:tcPr>
            <w:tcW w:w="894" w:type="dxa"/>
          </w:tcPr>
          <w:p>
            <w:pPr>
              <w:pStyle w:val="TableParagraph"/>
              <w:ind w:left="0" w:right="69"/>
              <w:jc w:val="center"/>
              <w:rPr>
                <w:sz w:val="21"/>
              </w:rPr>
            </w:pPr>
            <w:r>
              <w:rPr>
                <w:w w:val="100"/>
                <w:sz w:val="21"/>
              </w:rPr>
              <w:t>四</w:t>
            </w:r>
          </w:p>
        </w:tc>
        <w:tc>
          <w:tcPr>
            <w:tcW w:w="1683" w:type="dxa"/>
          </w:tcPr>
          <w:p>
            <w:pPr>
              <w:pStyle w:val="TableParagraph"/>
              <w:ind w:left="270"/>
              <w:rPr>
                <w:sz w:val="21"/>
              </w:rPr>
            </w:pPr>
            <w:r>
              <w:rPr>
                <w:sz w:val="21"/>
              </w:rPr>
              <w:t>意外伤害</w:t>
            </w:r>
          </w:p>
        </w:tc>
        <w:tc>
          <w:tcPr>
            <w:tcW w:w="6765" w:type="dxa"/>
          </w:tcPr>
          <w:p>
            <w:pPr>
              <w:pStyle w:val="TableParagraph"/>
              <w:rPr>
                <w:sz w:val="21"/>
              </w:rPr>
            </w:pPr>
            <w:r>
              <w:rPr>
                <w:sz w:val="21"/>
              </w:rPr>
              <w:t>指外来的、突然的、非本意的、非疾病的使身体受到伤害的客观事件。</w:t>
            </w:r>
          </w:p>
        </w:tc>
      </w:tr>
      <w:tr>
        <w:trPr>
          <w:trHeight w:val="1716" w:hRule="atLeast"/>
        </w:trPr>
        <w:tc>
          <w:tcPr>
            <w:tcW w:w="894" w:type="dxa"/>
          </w:tcPr>
          <w:p>
            <w:pPr>
              <w:pStyle w:val="TableParagraph"/>
              <w:ind w:left="0" w:right="69"/>
              <w:jc w:val="center"/>
              <w:rPr>
                <w:sz w:val="21"/>
              </w:rPr>
            </w:pPr>
            <w:r>
              <w:rPr>
                <w:w w:val="100"/>
                <w:sz w:val="21"/>
              </w:rPr>
              <w:t>五</w:t>
            </w:r>
          </w:p>
        </w:tc>
        <w:tc>
          <w:tcPr>
            <w:tcW w:w="1683" w:type="dxa"/>
          </w:tcPr>
          <w:p>
            <w:pPr>
              <w:pStyle w:val="TableParagraph"/>
              <w:ind w:left="270"/>
              <w:rPr>
                <w:sz w:val="21"/>
              </w:rPr>
            </w:pPr>
            <w:r>
              <w:rPr>
                <w:sz w:val="21"/>
              </w:rPr>
              <w:t>毒品</w:t>
            </w:r>
          </w:p>
        </w:tc>
        <w:tc>
          <w:tcPr>
            <w:tcW w:w="6765" w:type="dxa"/>
          </w:tcPr>
          <w:p>
            <w:pPr>
              <w:pStyle w:val="TableParagraph"/>
              <w:spacing w:line="300" w:lineRule="auto"/>
              <w:ind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894" w:type="dxa"/>
          </w:tcPr>
          <w:p>
            <w:pPr>
              <w:pStyle w:val="TableParagraph"/>
              <w:ind w:left="0" w:right="69"/>
              <w:jc w:val="center"/>
              <w:rPr>
                <w:sz w:val="21"/>
              </w:rPr>
            </w:pPr>
            <w:r>
              <w:rPr>
                <w:w w:val="100"/>
                <w:sz w:val="21"/>
              </w:rPr>
              <w:t>六</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ind w:left="0" w:right="69"/>
              <w:jc w:val="center"/>
              <w:rPr>
                <w:sz w:val="21"/>
              </w:rPr>
            </w:pPr>
            <w:r>
              <w:rPr>
                <w:w w:val="100"/>
                <w:sz w:val="21"/>
              </w:rPr>
              <w:t>七</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2"/>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2"/>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2"/>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2"/>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ind w:left="0" w:right="69"/>
              <w:jc w:val="center"/>
              <w:rPr>
                <w:sz w:val="21"/>
              </w:rPr>
            </w:pPr>
            <w:r>
              <w:rPr>
                <w:w w:val="100"/>
                <w:sz w:val="21"/>
              </w:rPr>
              <w:t>八</w:t>
            </w:r>
          </w:p>
        </w:tc>
        <w:tc>
          <w:tcPr>
            <w:tcW w:w="1683" w:type="dxa"/>
          </w:tcPr>
          <w:p>
            <w:pPr>
              <w:pStyle w:val="TableParagraph"/>
              <w:ind w:left="270"/>
              <w:rPr>
                <w:sz w:val="21"/>
              </w:rPr>
            </w:pPr>
            <w:r>
              <w:rPr>
                <w:sz w:val="21"/>
              </w:rPr>
              <w:t>无有效行驶证</w:t>
            </w:r>
          </w:p>
        </w:tc>
        <w:tc>
          <w:tcPr>
            <w:tcW w:w="6765" w:type="dxa"/>
          </w:tcPr>
          <w:p>
            <w:pPr>
              <w:pStyle w:val="TableParagraph"/>
              <w:rPr>
                <w:sz w:val="21"/>
              </w:rPr>
            </w:pPr>
            <w:r>
              <w:rPr>
                <w:sz w:val="21"/>
              </w:rPr>
              <w:t>指下列情形之一：</w:t>
            </w:r>
          </w:p>
          <w:p>
            <w:pPr>
              <w:pStyle w:val="TableParagraph"/>
              <w:numPr>
                <w:ilvl w:val="0"/>
                <w:numId w:val="3"/>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3"/>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right="201"/>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791"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5" w:type="dxa"/>
          </w:tcPr>
          <w:p>
            <w:pPr>
              <w:pStyle w:val="TableParagraph"/>
              <w:rPr>
                <w:sz w:val="21"/>
              </w:rPr>
            </w:pPr>
            <w:r>
              <w:rPr>
                <w:sz w:val="21"/>
              </w:rPr>
              <w:t>专科医生应当同时满足以下四项资格条件：</w:t>
            </w:r>
          </w:p>
          <w:p>
            <w:pPr>
              <w:pStyle w:val="TableParagraph"/>
              <w:tabs>
                <w:tab w:pos="568" w:val="left" w:leader="none"/>
              </w:tabs>
              <w:spacing w:line="255" w:lineRule="exact" w:before="68"/>
              <w:rPr>
                <w:sz w:val="21"/>
              </w:rPr>
            </w:pPr>
            <w:r>
              <w:rPr>
                <w:sz w:val="21"/>
              </w:rPr>
              <w:t>1.</w:t>
              <w:tab/>
            </w:r>
            <w:r>
              <w:rPr>
                <w:spacing w:val="-3"/>
                <w:sz w:val="21"/>
              </w:rPr>
              <w:t>具有有效的中华人民共和国《医师资格证书》；</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numPr>
                <w:ilvl w:val="0"/>
                <w:numId w:val="4"/>
              </w:numPr>
              <w:tabs>
                <w:tab w:pos="568" w:val="left" w:leader="none"/>
                <w:tab w:pos="569" w:val="left" w:leader="none"/>
              </w:tabs>
              <w:spacing w:line="211" w:lineRule="exact" w:before="0" w:after="0"/>
              <w:ind w:left="568" w:right="0" w:hanging="420"/>
              <w:jc w:val="left"/>
              <w:rPr>
                <w:sz w:val="21"/>
              </w:rPr>
            </w:pPr>
            <w:r>
              <w:rPr>
                <w:spacing w:val="-3"/>
                <w:sz w:val="21"/>
              </w:rPr>
              <w:t>具有有效的中华人民共和国《医师执业证书》，并按期到相关部</w:t>
            </w:r>
          </w:p>
          <w:p>
            <w:pPr>
              <w:pStyle w:val="TableParagraph"/>
              <w:spacing w:before="68"/>
              <w:ind w:left="568"/>
              <w:rPr>
                <w:sz w:val="21"/>
              </w:rPr>
            </w:pPr>
            <w:r>
              <w:rPr>
                <w:sz w:val="21"/>
              </w:rPr>
              <w:t>门登记注册；</w:t>
            </w:r>
          </w:p>
          <w:p>
            <w:pPr>
              <w:pStyle w:val="TableParagraph"/>
              <w:numPr>
                <w:ilvl w:val="0"/>
                <w:numId w:val="4"/>
              </w:numPr>
              <w:tabs>
                <w:tab w:pos="568" w:val="left" w:leader="none"/>
                <w:tab w:pos="569" w:val="left" w:leader="none"/>
              </w:tabs>
              <w:spacing w:line="300" w:lineRule="auto" w:before="68" w:after="0"/>
              <w:ind w:left="568" w:right="306" w:hanging="420"/>
              <w:jc w:val="left"/>
              <w:rPr>
                <w:sz w:val="21"/>
              </w:rPr>
            </w:pPr>
            <w:r>
              <w:rPr>
                <w:spacing w:val="-3"/>
                <w:sz w:val="21"/>
              </w:rPr>
              <w:t>具有有效的中华人民共和国主治医师或主治医师以上职称的《医师职称证书》；</w:t>
            </w:r>
          </w:p>
          <w:p>
            <w:pPr>
              <w:pStyle w:val="TableParagraph"/>
              <w:numPr>
                <w:ilvl w:val="0"/>
                <w:numId w:val="4"/>
              </w:numPr>
              <w:tabs>
                <w:tab w:pos="568" w:val="left" w:leader="none"/>
                <w:tab w:pos="569" w:val="left" w:leader="none"/>
              </w:tabs>
              <w:spacing w:line="240" w:lineRule="auto" w:before="16" w:after="0"/>
              <w:ind w:left="568" w:right="0" w:hanging="42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rPr>
                <w:sz w:val="21"/>
              </w:rPr>
            </w:pPr>
            <w:r>
              <w:rPr>
                <w:sz w:val="21"/>
              </w:rPr>
              <w:t>六项基本日常生活活动是指：</w:t>
            </w:r>
          </w:p>
          <w:p>
            <w:pPr>
              <w:pStyle w:val="TableParagraph"/>
              <w:numPr>
                <w:ilvl w:val="0"/>
                <w:numId w:val="5"/>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5"/>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5"/>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5"/>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5"/>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5"/>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1"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周岁</w:t>
            </w:r>
          </w:p>
        </w:tc>
        <w:tc>
          <w:tcPr>
            <w:tcW w:w="6763" w:type="dxa"/>
          </w:tcPr>
          <w:p>
            <w:pPr>
              <w:pStyle w:val="TableParagraph"/>
              <w:spacing w:line="340" w:lineRule="atLeast" w:before="108"/>
              <w:ind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64pt;height:11pt;mso-position-horizontal-relative:page;mso-position-vertical-relative:page;z-index:-17920" type="#_x0000_t202" filled="false" stroked="false">
          <v:textbox inset="0,0,0,0">
            <w:txbxContent>
              <w:p>
                <w:pPr>
                  <w:spacing w:line="200" w:lineRule="exact" w:before="0"/>
                  <w:ind w:left="20" w:right="0" w:firstLine="0"/>
                  <w:jc w:val="left"/>
                  <w:rPr>
                    <w:sz w:val="18"/>
                  </w:rPr>
                </w:pPr>
                <w:r>
                  <w:rPr>
                    <w:sz w:val="18"/>
                  </w:rPr>
                  <w:t>中银三星附加祥和提前给付重大疾病保险</w:t>
                </w:r>
              </w:p>
            </w:txbxContent>
          </v:textbox>
          <w10:wrap type="none"/>
        </v:shape>
      </w:pict>
    </w:r>
    <w:r>
      <w:rPr/>
      <w:pict>
        <v:shape style="position:absolute;margin-left:302.769989pt;margin-top:780.961609pt;width:20pt;height:11pt;mso-position-horizontal-relative:page;mso-position-vertical-relative:page;z-index:-1789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1787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3">
    <w:multiLevelType w:val="hybridMultilevel"/>
    <w:lvl w:ilvl="0">
      <w:start w:val="2"/>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2">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spacing w:before="68"/>
      <w:ind w:left="3469" w:hanging="420"/>
    </w:pPr>
    <w:rPr>
      <w:rFonts w:ascii="宋体" w:hAnsi="宋体" w:eastAsia="宋体" w:cs="宋体"/>
    </w:rPr>
  </w:style>
  <w:style w:styleId="TableParagraph" w:type="paragraph">
    <w:name w:val="Table Paragraph"/>
    <w:basedOn w:val="Normal"/>
    <w:uiPriority w:val="1"/>
    <w:qFormat/>
    <w:pPr>
      <w:spacing w:before="174"/>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2018-10-20T07:46:27Z</dcterms:created>
  <dcterms:modified xsi:type="dcterms:W3CDTF">2018-10-20T07:46:27Z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