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5"/>
        <w:rPr>
          <w:rFonts w:ascii="Times New Roman"/>
          <w:sz w:val="25"/>
        </w:rPr>
      </w:pPr>
    </w:p>
    <w:p>
      <w:pPr>
        <w:pStyle w:val="Heading1"/>
        <w:ind w:left="1943"/>
      </w:pPr>
      <w:r>
        <w:rPr/>
        <w:drawing>
          <wp:anchor distT="0" distB="0" distL="0" distR="0" allowOverlap="1" layoutInCell="1" locked="0" behindDoc="0" simplePos="0" relativeHeight="1048">
            <wp:simplePos x="0" y="0"/>
            <wp:positionH relativeFrom="page">
              <wp:posOffset>6153784</wp:posOffset>
            </wp:positionH>
            <wp:positionV relativeFrom="paragraph">
              <wp:posOffset>-480346</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t>安邦附加价值增长 999 号重大疾病保险条款</w:t>
      </w:r>
    </w:p>
    <w:p>
      <w:pPr>
        <w:pStyle w:val="Heading1"/>
        <w:spacing w:before="104"/>
        <w:rPr>
          <w:rFonts w:ascii="微软雅黑" w:eastAsia="微软雅黑" w:hint="eastAsia"/>
        </w:rPr>
      </w:pPr>
      <w:r>
        <w:rPr/>
        <w:pict>
          <v:shapetype id="_x0000_t202" o:spt="202" coordsize="21600,21600" path="m,l,21600r21600,l21600,xe">
            <v:stroke joinstyle="miter"/>
            <v:path gradientshapeok="t" o:connecttype="rect"/>
          </v:shapetype>
          <v:shape style="position:absolute;margin-left:460.200012pt;margin-top:3.426332pt;width:120pt;height:38.550pt;mso-position-horizontal-relative:page;mso-position-vertical-relative:paragraph;z-index:-34624" type="#_x0000_t202" filled="false" stroked="true" strokeweight=".75pt" strokecolor="#c9eacc">
            <v:textbox inset="0,0,0,0">
              <w:txbxContent>
                <w:p>
                  <w:pPr>
                    <w:spacing w:line="408" w:lineRule="auto" w:before="115"/>
                    <w:ind w:left="145" w:right="211" w:firstLine="0"/>
                    <w:jc w:val="left"/>
                    <w:rPr>
                      <w:sz w:val="14"/>
                    </w:rPr>
                  </w:pPr>
                  <w:r>
                    <w:rPr>
                      <w:sz w:val="14"/>
                    </w:rPr>
                    <w:t>安邦人寿[2010]疾病保险 016 号</w:t>
                  </w:r>
                  <w:r>
                    <w:rPr>
                      <w:w w:val="95"/>
                      <w:sz w:val="14"/>
                    </w:rPr>
                    <w:t>请扫描以查询验证条款</w:t>
                  </w:r>
                </w:p>
              </w:txbxContent>
            </v:textbox>
            <v:stroke dashstyle="solid"/>
            <w10:wrap type="none"/>
          </v:shape>
        </w:pict>
      </w:r>
      <w:r>
        <w:rPr>
          <w:rFonts w:ascii="微软雅黑" w:eastAsia="微软雅黑" w:hint="eastAsia"/>
        </w:rPr>
        <w:t>阅  读  指 引</w:t>
      </w:r>
    </w:p>
    <w:p>
      <w:pPr>
        <w:pStyle w:val="BodyText"/>
        <w:spacing w:before="109"/>
        <w:ind w:left="220"/>
      </w:pP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4"/>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149"/>
          <w:w w:val="100"/>
        </w:rPr>
        <w:t>。</w:t>
      </w:r>
      <w:r>
        <w:rPr>
          <w:spacing w:val="-63"/>
          <w:w w:val="100"/>
          <w:position w:val="-7"/>
        </w:rPr>
        <w:t>．</w:t>
      </w:r>
      <w:r>
        <w:rPr>
          <w:spacing w:val="-152"/>
          <w:w w:val="100"/>
        </w:rPr>
        <w:t>在</w:t>
      </w:r>
      <w:r>
        <w:rPr>
          <w:spacing w:val="-63"/>
          <w:w w:val="100"/>
          <w:position w:val="-7"/>
        </w:rPr>
        <w:t>．</w:t>
      </w:r>
      <w:r>
        <w:rPr>
          <w:spacing w:val="-149"/>
          <w:w w:val="100"/>
        </w:rPr>
        <w:t>本</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中</w:t>
      </w:r>
      <w:r>
        <w:rPr>
          <w:spacing w:val="-63"/>
          <w:w w:val="100"/>
          <w:position w:val="-7"/>
        </w:rPr>
        <w:t>．</w:t>
      </w:r>
      <w:r>
        <w:rPr>
          <w:spacing w:val="-151"/>
          <w:w w:val="100"/>
        </w:rPr>
        <w:t>，</w:t>
      </w:r>
      <w:r>
        <w:rPr>
          <w:spacing w:val="-63"/>
          <w:w w:val="100"/>
          <w:position w:val="-7"/>
        </w:rPr>
        <w:t>．</w:t>
      </w:r>
      <w:r>
        <w:rPr>
          <w:spacing w:val="-149"/>
          <w:w w:val="100"/>
        </w:rPr>
        <w:t>“</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指</w:t>
      </w:r>
      <w:r>
        <w:rPr>
          <w:spacing w:val="-63"/>
          <w:w w:val="100"/>
          <w:position w:val="-7"/>
        </w:rPr>
        <w:t>．</w:t>
      </w:r>
      <w:r>
        <w:rPr>
          <w:spacing w:val="-149"/>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152"/>
          <w:w w:val="100"/>
        </w:rPr>
        <w:t>，</w:t>
      </w:r>
      <w:r>
        <w:rPr>
          <w:w w:val="100"/>
          <w:position w:val="-7"/>
        </w:rPr>
        <w:t>．</w:t>
      </w:r>
    </w:p>
    <w:p>
      <w:pPr>
        <w:pStyle w:val="BodyText"/>
        <w:spacing w:before="24"/>
        <w:ind w:left="220"/>
      </w:pPr>
      <w:r>
        <w:rPr/>
        <w:drawing>
          <wp:anchor distT="0" distB="0" distL="0" distR="0" allowOverlap="1" layoutInCell="1" locked="0" behindDoc="1" simplePos="0" relativeHeight="268400783">
            <wp:simplePos x="0" y="0"/>
            <wp:positionH relativeFrom="page">
              <wp:posOffset>609600</wp:posOffset>
            </wp:positionH>
            <wp:positionV relativeFrom="paragraph">
              <wp:posOffset>263953</wp:posOffset>
            </wp:positionV>
            <wp:extent cx="6341364" cy="733628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1364" cy="7336282"/>
                    </a:xfrm>
                    <a:prstGeom prst="rect">
                      <a:avLst/>
                    </a:prstGeom>
                  </pic:spPr>
                </pic:pic>
              </a:graphicData>
            </a:graphic>
          </wp:anchor>
        </w:drawing>
      </w:r>
      <w:r>
        <w:rPr>
          <w:spacing w:val="-149"/>
          <w:w w:val="100"/>
        </w:rPr>
        <w:t>“</w:t>
      </w:r>
      <w:r>
        <w:rPr>
          <w:spacing w:val="-62"/>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安</w:t>
      </w:r>
      <w:r>
        <w:rPr>
          <w:spacing w:val="-63"/>
          <w:w w:val="100"/>
          <w:position w:val="-7"/>
        </w:rPr>
        <w:t>．</w:t>
      </w:r>
      <w:r>
        <w:rPr>
          <w:spacing w:val="-149"/>
          <w:w w:val="100"/>
        </w:rPr>
        <w:t>邦</w:t>
      </w:r>
      <w:r>
        <w:rPr>
          <w:spacing w:val="-63"/>
          <w:w w:val="100"/>
          <w:position w:val="-7"/>
        </w:rPr>
        <w:t>．</w:t>
      </w:r>
      <w:r>
        <w:rPr>
          <w:spacing w:val="-152"/>
          <w:w w:val="100"/>
        </w:rPr>
        <w:t>人</w:t>
      </w:r>
      <w:r>
        <w:rPr>
          <w:spacing w:val="-63"/>
          <w:w w:val="100"/>
          <w:position w:val="-7"/>
        </w:rPr>
        <w:t>．</w:t>
      </w:r>
      <w:r>
        <w:rPr>
          <w:spacing w:val="-149"/>
          <w:w w:val="100"/>
        </w:rPr>
        <w:t>寿</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1"/>
          <w:w w:val="100"/>
        </w:rPr>
        <w:t>限</w:t>
      </w:r>
      <w:r>
        <w:rPr>
          <w:spacing w:val="-63"/>
          <w:w w:val="100"/>
          <w:position w:val="-7"/>
        </w:rPr>
        <w:t>．</w:t>
      </w:r>
      <w:r>
        <w:rPr>
          <w:spacing w:val="-149"/>
          <w:w w:val="100"/>
        </w:rPr>
        <w:t>公</w:t>
      </w:r>
      <w:r>
        <w:rPr>
          <w:spacing w:val="-63"/>
          <w:w w:val="100"/>
          <w:position w:val="-7"/>
        </w:rPr>
        <w:t>．</w:t>
      </w:r>
      <w:r>
        <w:rPr>
          <w:spacing w:val="-151"/>
          <w:w w:val="100"/>
        </w:rPr>
        <w:t>司</w:t>
      </w:r>
      <w:r>
        <w:rPr>
          <w:spacing w:val="-63"/>
          <w:w w:val="100"/>
          <w:position w:val="-7"/>
        </w:rPr>
        <w:t>．</w:t>
      </w:r>
      <w:r>
        <w:rPr>
          <w:spacing w:val="-151"/>
          <w:w w:val="100"/>
        </w:rPr>
        <w:t>。</w:t>
      </w:r>
      <w:r>
        <w:rPr>
          <w:w w:val="100"/>
          <w:position w:val="-7"/>
        </w:rPr>
        <w:t>．</w:t>
      </w:r>
    </w:p>
    <w:p>
      <w:pPr>
        <w:tabs>
          <w:tab w:pos="1249" w:val="left" w:leader="none"/>
        </w:tabs>
        <w:spacing w:line="525" w:lineRule="exact" w:before="113"/>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69" w:val="left" w:leader="none"/>
          <w:tab w:pos="1270" w:val="left" w:leader="none"/>
        </w:tabs>
        <w:spacing w:line="216" w:lineRule="exact" w:before="0" w:after="0"/>
        <w:ind w:left="1269" w:right="0" w:hanging="399"/>
        <w:jc w:val="left"/>
        <w:rPr>
          <w:sz w:val="21"/>
        </w:rPr>
      </w:pPr>
      <w:r>
        <w:rPr>
          <w:spacing w:val="-6"/>
          <w:sz w:val="21"/>
        </w:rPr>
        <w:t>签收本附加险合同之日起 </w:t>
      </w:r>
      <w:r>
        <w:rPr>
          <w:sz w:val="21"/>
        </w:rPr>
        <w:t>10</w:t>
      </w:r>
      <w:r>
        <w:rPr>
          <w:spacing w:val="-18"/>
          <w:sz w:val="21"/>
        </w:rPr>
        <w:t> 天</w:t>
      </w:r>
      <w:r>
        <w:rPr>
          <w:spacing w:val="-3"/>
          <w:sz w:val="21"/>
        </w:rPr>
        <w:t>（即犹豫期</w:t>
      </w:r>
      <w:r>
        <w:rPr>
          <w:sz w:val="21"/>
        </w:rPr>
        <w:t>）</w:t>
      </w:r>
      <w:r>
        <w:rPr>
          <w:spacing w:val="-3"/>
          <w:sz w:val="21"/>
        </w:rPr>
        <w:t>内您若要求退保，本公司仅扣除工本费..</w:t>
      </w:r>
      <w:r>
        <w:rPr>
          <w:sz w:val="21"/>
        </w:rPr>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1.5</w:t>
      </w:r>
    </w:p>
    <w:p>
      <w:pPr>
        <w:pStyle w:val="ListParagraph"/>
        <w:numPr>
          <w:ilvl w:val="0"/>
          <w:numId w:val="1"/>
        </w:numPr>
        <w:tabs>
          <w:tab w:pos="1269" w:val="left" w:leader="none"/>
          <w:tab w:pos="1270" w:val="left" w:leader="none"/>
          <w:tab w:pos="9567" w:val="right" w:leader="dot"/>
        </w:tabs>
        <w:spacing w:line="240" w:lineRule="auto" w:before="21" w:after="0"/>
        <w:ind w:left="1269" w:right="0" w:hanging="399"/>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2.5</w:t>
      </w:r>
    </w:p>
    <w:p>
      <w:pPr>
        <w:tabs>
          <w:tab w:pos="1249" w:val="left" w:leader="none"/>
        </w:tabs>
        <w:spacing w:line="525" w:lineRule="exact" w:before="51"/>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16" w:lineRule="exact" w:before="0"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本附</w:t>
      </w:r>
      <w:r>
        <w:rPr>
          <w:spacing w:val="-3"/>
          <w:sz w:val="21"/>
        </w:rPr>
        <w:t>加</w:t>
      </w:r>
      <w:r>
        <w:rPr>
          <w:sz w:val="21"/>
        </w:rPr>
        <w:t>险</w:t>
      </w:r>
      <w:r>
        <w:rPr>
          <w:spacing w:val="-3"/>
          <w:sz w:val="21"/>
        </w:rPr>
        <w:t>合同</w:t>
      </w:r>
      <w:r>
        <w:rPr>
          <w:sz w:val="21"/>
        </w:rPr>
        <w:t>有</w:t>
      </w:r>
      <w:r>
        <w:rPr>
          <w:spacing w:val="-52"/>
          <w:sz w:val="21"/>
        </w:rPr>
        <w:t> </w:t>
      </w:r>
      <w:r>
        <w:rPr>
          <w:sz w:val="21"/>
        </w:rPr>
        <w:t>180</w:t>
      </w:r>
      <w:r>
        <w:rPr>
          <w:spacing w:val="-55"/>
          <w:sz w:val="21"/>
        </w:rPr>
        <w:t> </w:t>
      </w:r>
      <w:r>
        <w:rPr>
          <w:sz w:val="21"/>
        </w:rPr>
        <w:t>天</w:t>
      </w:r>
      <w:r>
        <w:rPr>
          <w:spacing w:val="-3"/>
          <w:sz w:val="21"/>
        </w:rPr>
        <w:t>的</w:t>
      </w:r>
      <w:r>
        <w:rPr>
          <w:sz w:val="21"/>
        </w:rPr>
        <w:t>等待期</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t>3.2</w:t>
      </w:r>
    </w:p>
    <w:p>
      <w:pPr>
        <w:pStyle w:val="ListParagraph"/>
        <w:numPr>
          <w:ilvl w:val="0"/>
          <w:numId w:val="1"/>
        </w:numPr>
        <w:tabs>
          <w:tab w:pos="1269" w:val="left" w:leader="none"/>
          <w:tab w:pos="1270" w:val="left" w:leader="none"/>
          <w:tab w:pos="9562"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本</w:t>
      </w:r>
      <w:r>
        <w:rPr>
          <w:sz w:val="21"/>
        </w:rPr>
        <w:t>公司</w:t>
      </w:r>
      <w:r>
        <w:rPr>
          <w:spacing w:val="-3"/>
          <w:sz w:val="21"/>
        </w:rPr>
        <w:t>保</w:t>
      </w:r>
      <w:r>
        <w:rPr>
          <w:sz w:val="21"/>
        </w:rPr>
        <w:t>留</w:t>
      </w:r>
      <w:r>
        <w:rPr>
          <w:spacing w:val="-3"/>
          <w:sz w:val="21"/>
        </w:rPr>
        <w:t>提</w:t>
      </w:r>
      <w:r>
        <w:rPr>
          <w:sz w:val="21"/>
        </w:rPr>
        <w:t>高</w:t>
      </w:r>
      <w:r>
        <w:rPr>
          <w:spacing w:val="-3"/>
          <w:sz w:val="21"/>
        </w:rPr>
        <w:t>或降</w:t>
      </w:r>
      <w:r>
        <w:rPr>
          <w:sz w:val="21"/>
        </w:rPr>
        <w:t>低保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w:t>
      </w:r>
      <w:r>
        <w:rPr>
          <w:spacing w:val="-3"/>
          <w:sz w:val="21"/>
        </w:rPr>
        <w:t>您</w:t>
      </w:r>
      <w:r>
        <w:rPr>
          <w:sz w:val="21"/>
        </w:rPr>
        <w:t>注意</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6</w:t>
      </w:r>
    </w:p>
    <w:p>
      <w:pPr>
        <w:tabs>
          <w:tab w:pos="1249" w:val="left" w:leader="none"/>
        </w:tabs>
        <w:spacing w:line="554" w:lineRule="exact" w:before="50"/>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line="554" w:lineRule="exact" w:before="0" w:after="40"/>
        <w:ind w:left="239"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3"/>
        <w:gridCol w:w="3363"/>
        <w:gridCol w:w="3332"/>
      </w:tblGrid>
      <w:tr>
        <w:trPr>
          <w:trHeight w:val="5827" w:hRule="atLeast"/>
        </w:trPr>
        <w:tc>
          <w:tcPr>
            <w:tcW w:w="3243"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您与本公司的合同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36" w:val="left" w:leader="none"/>
              </w:tabs>
              <w:spacing w:line="273" w:lineRule="auto" w:before="37" w:after="0"/>
              <w:ind w:left="725" w:right="104" w:hanging="420"/>
              <w:jc w:val="left"/>
              <w:rPr>
                <w:sz w:val="21"/>
              </w:rPr>
            </w:pPr>
            <w:r>
              <w:rPr>
                <w:spacing w:val="3"/>
                <w:sz w:val="21"/>
              </w:rPr>
              <w:t>合同成立与生效和保险责任开始</w:t>
            </w:r>
          </w:p>
          <w:p>
            <w:pPr>
              <w:pStyle w:val="TableParagraph"/>
              <w:numPr>
                <w:ilvl w:val="1"/>
                <w:numId w:val="2"/>
              </w:numPr>
              <w:tabs>
                <w:tab w:pos="728" w:val="left" w:leader="none"/>
              </w:tabs>
              <w:spacing w:line="240" w:lineRule="auto" w:before="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6" w:after="0"/>
              <w:ind w:left="725" w:right="0" w:hanging="420"/>
              <w:jc w:val="left"/>
              <w:rPr>
                <w:sz w:val="21"/>
              </w:rPr>
            </w:pPr>
            <w:r>
              <w:rPr>
                <w:spacing w:val="-3"/>
                <w:sz w:val="21"/>
              </w:rPr>
              <w:t>解除合同的手续及风险</w:t>
            </w:r>
          </w:p>
          <w:p>
            <w:pPr>
              <w:pStyle w:val="TableParagraph"/>
              <w:numPr>
                <w:ilvl w:val="0"/>
                <w:numId w:val="2"/>
              </w:numPr>
              <w:tabs>
                <w:tab w:pos="517" w:val="left" w:leader="none"/>
              </w:tabs>
              <w:spacing w:line="240" w:lineRule="auto" w:before="36" w:after="0"/>
              <w:ind w:left="516" w:right="0" w:hanging="316"/>
              <w:jc w:val="left"/>
              <w:rPr>
                <w:b/>
                <w:sz w:val="21"/>
              </w:rPr>
            </w:pPr>
            <w:r>
              <w:rPr>
                <w:b/>
                <w:spacing w:val="-1"/>
                <w:sz w:val="21"/>
              </w:rPr>
              <w:t>本公司提供的保障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未成年人身故保险金限制</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保险金的给付</w:t>
            </w:r>
          </w:p>
        </w:tc>
        <w:tc>
          <w:tcPr>
            <w:tcW w:w="3363" w:type="dxa"/>
          </w:tcPr>
          <w:p>
            <w:pPr>
              <w:pStyle w:val="TableParagraph"/>
              <w:numPr>
                <w:ilvl w:val="1"/>
                <w:numId w:val="3"/>
              </w:numPr>
              <w:tabs>
                <w:tab w:pos="635" w:val="left" w:leader="none"/>
              </w:tabs>
              <w:spacing w:line="211" w:lineRule="exact" w:before="0" w:after="0"/>
              <w:ind w:left="634" w:right="0" w:hanging="423"/>
              <w:jc w:val="left"/>
              <w:rPr>
                <w:sz w:val="21"/>
              </w:rPr>
            </w:pPr>
            <w:r>
              <w:rPr>
                <w:spacing w:val="-3"/>
                <w:sz w:val="21"/>
              </w:rPr>
              <w:t>失踪处理</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诉讼时效</w:t>
            </w:r>
          </w:p>
          <w:p>
            <w:pPr>
              <w:pStyle w:val="TableParagraph"/>
              <w:numPr>
                <w:ilvl w:val="0"/>
                <w:numId w:val="4"/>
              </w:numPr>
              <w:tabs>
                <w:tab w:pos="424" w:val="left" w:leader="none"/>
              </w:tabs>
              <w:spacing w:line="240" w:lineRule="auto" w:before="37" w:after="0"/>
              <w:ind w:left="423" w:right="0" w:hanging="317"/>
              <w:jc w:val="left"/>
              <w:rPr>
                <w:b/>
                <w:sz w:val="21"/>
              </w:rPr>
            </w:pPr>
            <w:r>
              <w:rPr>
                <w:b/>
                <w:spacing w:val="-1"/>
                <w:sz w:val="21"/>
              </w:rPr>
              <w:t>保险费的支付和现金价值权益</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保险费的支付</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保险费率调整</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保险单的现金价值</w:t>
            </w:r>
          </w:p>
          <w:p>
            <w:pPr>
              <w:pStyle w:val="TableParagraph"/>
              <w:numPr>
                <w:ilvl w:val="1"/>
                <w:numId w:val="4"/>
              </w:numPr>
              <w:tabs>
                <w:tab w:pos="635" w:val="left" w:leader="none"/>
              </w:tabs>
              <w:spacing w:line="240" w:lineRule="auto" w:before="37" w:after="0"/>
              <w:ind w:left="634" w:right="0" w:hanging="423"/>
              <w:jc w:val="left"/>
              <w:rPr>
                <w:sz w:val="21"/>
              </w:rPr>
            </w:pPr>
            <w:r>
              <w:rPr>
                <w:spacing w:val="-2"/>
                <w:sz w:val="21"/>
              </w:rPr>
              <w:t>宽限期</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合同效力中止</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合同效力恢复</w:t>
            </w:r>
          </w:p>
          <w:p>
            <w:pPr>
              <w:pStyle w:val="TableParagraph"/>
              <w:numPr>
                <w:ilvl w:val="0"/>
                <w:numId w:val="4"/>
              </w:numPr>
              <w:tabs>
                <w:tab w:pos="424" w:val="left" w:leader="none"/>
              </w:tabs>
              <w:spacing w:line="240" w:lineRule="auto" w:before="36" w:after="0"/>
              <w:ind w:left="423" w:right="0" w:hanging="317"/>
              <w:jc w:val="left"/>
              <w:rPr>
                <w:b/>
                <w:sz w:val="21"/>
              </w:rPr>
            </w:pPr>
            <w:r>
              <w:rPr>
                <w:b/>
                <w:sz w:val="21"/>
              </w:rPr>
              <w:t>其他事项</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明确说明与如实告知</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本公司合同解除权的限制</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效力终止</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适用主险合同条款</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年龄性别错误</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未还款项</w:t>
            </w:r>
          </w:p>
          <w:p>
            <w:pPr>
              <w:pStyle w:val="TableParagraph"/>
              <w:numPr>
                <w:ilvl w:val="0"/>
                <w:numId w:val="4"/>
              </w:numPr>
              <w:tabs>
                <w:tab w:pos="424" w:val="left" w:leader="none"/>
              </w:tabs>
              <w:spacing w:line="240" w:lineRule="auto" w:before="36" w:after="0"/>
              <w:ind w:left="423" w:right="0" w:hanging="317"/>
              <w:jc w:val="left"/>
              <w:rPr>
                <w:b/>
                <w:sz w:val="21"/>
              </w:rPr>
            </w:pPr>
            <w:r>
              <w:rPr>
                <w:b/>
                <w:sz w:val="21"/>
              </w:rPr>
              <w:t>释义</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有效身份证件</w:t>
            </w:r>
          </w:p>
          <w:p>
            <w:pPr>
              <w:pStyle w:val="TableParagraph"/>
              <w:numPr>
                <w:ilvl w:val="1"/>
                <w:numId w:val="4"/>
              </w:numPr>
              <w:tabs>
                <w:tab w:pos="635" w:val="left" w:leader="none"/>
              </w:tabs>
              <w:spacing w:line="255" w:lineRule="exact" w:before="36" w:after="0"/>
              <w:ind w:left="634" w:right="0" w:hanging="423"/>
              <w:jc w:val="left"/>
              <w:rPr>
                <w:sz w:val="21"/>
              </w:rPr>
            </w:pPr>
            <w:r>
              <w:rPr>
                <w:spacing w:val="-3"/>
                <w:sz w:val="21"/>
              </w:rPr>
              <w:t>现金价值</w:t>
            </w:r>
          </w:p>
        </w:tc>
        <w:tc>
          <w:tcPr>
            <w:tcW w:w="3332" w:type="dxa"/>
          </w:tcPr>
          <w:p>
            <w:pPr>
              <w:pStyle w:val="TableParagraph"/>
              <w:numPr>
                <w:ilvl w:val="1"/>
                <w:numId w:val="5"/>
              </w:numPr>
              <w:tabs>
                <w:tab w:pos="620" w:val="left" w:leader="none"/>
              </w:tabs>
              <w:spacing w:line="211" w:lineRule="exact" w:before="0" w:after="0"/>
              <w:ind w:left="722" w:right="0" w:hanging="525"/>
              <w:jc w:val="left"/>
              <w:rPr>
                <w:sz w:val="21"/>
              </w:rPr>
            </w:pPr>
            <w:r>
              <w:rPr>
                <w:spacing w:val="-3"/>
                <w:sz w:val="21"/>
              </w:rPr>
              <w:t>重大疾病</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意外伤害</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医院</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毒品</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酒后驾驶</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无合法有效驾驶证驾驶</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无有效行驶证</w:t>
            </w:r>
          </w:p>
          <w:p>
            <w:pPr>
              <w:pStyle w:val="TableParagraph"/>
              <w:numPr>
                <w:ilvl w:val="1"/>
                <w:numId w:val="5"/>
              </w:numPr>
              <w:tabs>
                <w:tab w:pos="723" w:val="left" w:leader="none"/>
              </w:tabs>
              <w:spacing w:line="240" w:lineRule="auto" w:before="37" w:after="0"/>
              <w:ind w:left="722" w:right="0" w:hanging="525"/>
              <w:jc w:val="left"/>
              <w:rPr>
                <w:sz w:val="21"/>
              </w:rPr>
            </w:pPr>
            <w:r>
              <w:rPr>
                <w:spacing w:val="-3"/>
                <w:sz w:val="21"/>
              </w:rPr>
              <w:t>遗传性疾病</w:t>
            </w:r>
          </w:p>
          <w:p>
            <w:pPr>
              <w:pStyle w:val="TableParagraph"/>
              <w:numPr>
                <w:ilvl w:val="1"/>
                <w:numId w:val="5"/>
              </w:numPr>
              <w:tabs>
                <w:tab w:pos="733" w:val="left" w:leader="none"/>
              </w:tabs>
              <w:spacing w:line="273" w:lineRule="auto" w:before="37" w:after="0"/>
              <w:ind w:left="722" w:right="197" w:hanging="525"/>
              <w:jc w:val="left"/>
              <w:rPr>
                <w:sz w:val="21"/>
              </w:rPr>
            </w:pPr>
            <w:r>
              <w:rPr>
                <w:spacing w:val="3"/>
                <w:sz w:val="21"/>
              </w:rPr>
              <w:t>先天性畸形、变形或染色体异常</w:t>
            </w:r>
          </w:p>
          <w:p>
            <w:pPr>
              <w:pStyle w:val="TableParagraph"/>
              <w:numPr>
                <w:ilvl w:val="1"/>
                <w:numId w:val="5"/>
              </w:numPr>
              <w:tabs>
                <w:tab w:pos="733" w:val="left" w:leader="none"/>
              </w:tabs>
              <w:spacing w:line="273" w:lineRule="auto" w:before="7" w:after="0"/>
              <w:ind w:left="722" w:right="197" w:hanging="525"/>
              <w:jc w:val="left"/>
              <w:rPr>
                <w:sz w:val="21"/>
              </w:rPr>
            </w:pPr>
            <w:r>
              <w:rPr>
                <w:spacing w:val="3"/>
                <w:sz w:val="21"/>
              </w:rPr>
              <w:t>感染艾滋病病毒或患艾滋病</w:t>
            </w:r>
          </w:p>
          <w:p>
            <w:pPr>
              <w:pStyle w:val="TableParagraph"/>
              <w:numPr>
                <w:ilvl w:val="1"/>
                <w:numId w:val="5"/>
              </w:numPr>
              <w:tabs>
                <w:tab w:pos="723" w:val="left" w:leader="none"/>
              </w:tabs>
              <w:spacing w:line="240" w:lineRule="auto" w:before="7" w:after="0"/>
              <w:ind w:left="722" w:right="0" w:hanging="525"/>
              <w:jc w:val="left"/>
              <w:rPr>
                <w:sz w:val="21"/>
              </w:rPr>
            </w:pPr>
            <w:r>
              <w:rPr>
                <w:spacing w:val="-3"/>
                <w:sz w:val="21"/>
              </w:rPr>
              <w:t>本附加险合同约定利率</w:t>
            </w:r>
          </w:p>
          <w:p>
            <w:pPr>
              <w:pStyle w:val="TableParagraph"/>
              <w:numPr>
                <w:ilvl w:val="1"/>
                <w:numId w:val="5"/>
              </w:numPr>
              <w:tabs>
                <w:tab w:pos="723" w:val="left" w:leader="none"/>
              </w:tabs>
              <w:spacing w:line="240" w:lineRule="auto" w:before="36" w:after="0"/>
              <w:ind w:left="722" w:right="0" w:hanging="525"/>
              <w:jc w:val="left"/>
              <w:rPr>
                <w:sz w:val="21"/>
              </w:rPr>
            </w:pPr>
            <w:r>
              <w:rPr>
                <w:spacing w:val="-2"/>
                <w:sz w:val="21"/>
              </w:rPr>
              <w:t>专科医生</w:t>
            </w:r>
          </w:p>
          <w:p>
            <w:pPr>
              <w:pStyle w:val="TableParagraph"/>
              <w:numPr>
                <w:ilvl w:val="1"/>
                <w:numId w:val="5"/>
              </w:numPr>
              <w:tabs>
                <w:tab w:pos="723" w:val="left" w:leader="none"/>
              </w:tabs>
              <w:spacing w:line="240" w:lineRule="auto" w:before="36" w:after="0"/>
              <w:ind w:left="722" w:right="0" w:hanging="525"/>
              <w:jc w:val="left"/>
              <w:rPr>
                <w:sz w:val="21"/>
              </w:rPr>
            </w:pPr>
            <w:r>
              <w:rPr>
                <w:spacing w:val="-3"/>
                <w:sz w:val="21"/>
              </w:rPr>
              <w:t>肢体机能完全丧失</w:t>
            </w:r>
          </w:p>
          <w:p>
            <w:pPr>
              <w:pStyle w:val="TableParagraph"/>
              <w:numPr>
                <w:ilvl w:val="1"/>
                <w:numId w:val="5"/>
              </w:numPr>
              <w:tabs>
                <w:tab w:pos="733" w:val="left" w:leader="none"/>
              </w:tabs>
              <w:spacing w:line="273" w:lineRule="auto" w:before="36" w:after="0"/>
              <w:ind w:left="722" w:right="197" w:hanging="525"/>
              <w:jc w:val="left"/>
              <w:rPr>
                <w:sz w:val="21"/>
              </w:rPr>
            </w:pPr>
            <w:r>
              <w:rPr>
                <w:spacing w:val="3"/>
                <w:sz w:val="21"/>
              </w:rPr>
              <w:t>语言能力或咀嚼吞咽能力</w:t>
            </w:r>
            <w:r>
              <w:rPr>
                <w:sz w:val="21"/>
              </w:rPr>
              <w:t>完全丧失</w:t>
            </w:r>
          </w:p>
          <w:p>
            <w:pPr>
              <w:pStyle w:val="TableParagraph"/>
              <w:numPr>
                <w:ilvl w:val="1"/>
                <w:numId w:val="5"/>
              </w:numPr>
              <w:tabs>
                <w:tab w:pos="723" w:val="left" w:leader="none"/>
              </w:tabs>
              <w:spacing w:line="240" w:lineRule="auto" w:before="7" w:after="0"/>
              <w:ind w:left="722" w:right="0" w:hanging="525"/>
              <w:jc w:val="left"/>
              <w:rPr>
                <w:sz w:val="21"/>
              </w:rPr>
            </w:pPr>
            <w:r>
              <w:rPr>
                <w:spacing w:val="-3"/>
                <w:sz w:val="21"/>
              </w:rPr>
              <w:t>六项基本日常生活活动</w:t>
            </w:r>
          </w:p>
          <w:p>
            <w:pPr>
              <w:pStyle w:val="TableParagraph"/>
              <w:numPr>
                <w:ilvl w:val="1"/>
                <w:numId w:val="5"/>
              </w:numPr>
              <w:tabs>
                <w:tab w:pos="723" w:val="left" w:leader="none"/>
              </w:tabs>
              <w:spacing w:line="255" w:lineRule="exact" w:before="37" w:after="0"/>
              <w:ind w:left="722" w:right="0" w:hanging="525"/>
              <w:jc w:val="left"/>
              <w:rPr>
                <w:sz w:val="21"/>
              </w:rPr>
            </w:pPr>
            <w:r>
              <w:rPr>
                <w:spacing w:val="-3"/>
                <w:sz w:val="21"/>
              </w:rPr>
              <w:t>永久不可逆</w:t>
            </w:r>
          </w:p>
        </w:tc>
      </w:tr>
    </w:tbl>
    <w:p>
      <w:pPr>
        <w:spacing w:after="0" w:line="255" w:lineRule="exact"/>
        <w:jc w:val="left"/>
        <w:rPr>
          <w:sz w:val="21"/>
        </w:rPr>
        <w:sectPr>
          <w:type w:val="continuous"/>
          <w:pgSz w:w="11910" w:h="16840"/>
          <w:pgMar w:top="720" w:bottom="280" w:left="860" w:right="200"/>
        </w:sectPr>
      </w:pPr>
    </w:p>
    <w:p>
      <w:pPr>
        <w:pStyle w:val="Heading1"/>
        <w:spacing w:line="392" w:lineRule="exact"/>
        <w:ind w:left="2079" w:right="0"/>
        <w:jc w:val="left"/>
      </w:pPr>
      <w:r>
        <w:rPr/>
        <w:t>安邦附加价值增长 999 号重大疾病保险条款</w:t>
      </w:r>
    </w:p>
    <w:p>
      <w:pPr>
        <w:pStyle w:val="BodyText"/>
        <w:rPr>
          <w:b/>
          <w:sz w:val="20"/>
        </w:rPr>
      </w:pPr>
    </w:p>
    <w:p>
      <w:pPr>
        <w:pStyle w:val="BodyText"/>
        <w:spacing w:before="3"/>
        <w:rPr>
          <w:b/>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70"/>
        <w:gridCol w:w="7431"/>
      </w:tblGrid>
      <w:tr>
        <w:trPr>
          <w:trHeight w:val="522" w:hRule="atLeast"/>
        </w:trPr>
        <w:tc>
          <w:tcPr>
            <w:tcW w:w="606" w:type="dxa"/>
            <w:tcBorders>
              <w:bottom w:val="single" w:sz="8" w:space="0" w:color="000000"/>
            </w:tcBorders>
          </w:tcPr>
          <w:p>
            <w:pPr>
              <w:pStyle w:val="TableParagraph"/>
              <w:spacing w:line="423" w:lineRule="exact" w:before="0"/>
              <w:ind w:left="107"/>
              <w:rPr>
                <w:rFonts w:ascii="Arial" w:hAnsi="Arial"/>
                <w:b/>
                <w:sz w:val="40"/>
              </w:rPr>
            </w:pPr>
            <w:r>
              <w:rPr>
                <w:rFonts w:ascii="Arial" w:hAnsi="Arial"/>
                <w:b/>
                <w:w w:val="119"/>
                <w:sz w:val="40"/>
              </w:rPr>
              <w:t></w:t>
            </w:r>
          </w:p>
        </w:tc>
        <w:tc>
          <w:tcPr>
            <w:tcW w:w="9001" w:type="dxa"/>
            <w:gridSpan w:val="2"/>
            <w:tcBorders>
              <w:bottom w:val="single" w:sz="8" w:space="0" w:color="000000"/>
            </w:tcBorders>
          </w:tcPr>
          <w:p>
            <w:pPr>
              <w:pStyle w:val="TableParagraph"/>
              <w:spacing w:before="19"/>
              <w:ind w:left="140"/>
              <w:rPr>
                <w:b/>
                <w:sz w:val="24"/>
              </w:rPr>
            </w:pPr>
            <w:r>
              <w:rPr>
                <w:b/>
                <w:w w:val="95"/>
                <w:sz w:val="24"/>
              </w:rPr>
              <w:t>您与本公司的合同</w:t>
            </w:r>
          </w:p>
        </w:tc>
      </w:tr>
      <w:tr>
        <w:trPr>
          <w:trHeight w:val="2142" w:hRule="atLeast"/>
        </w:trPr>
        <w:tc>
          <w:tcPr>
            <w:tcW w:w="606" w:type="dxa"/>
            <w:tcBorders>
              <w:top w:val="single" w:sz="8" w:space="0" w:color="000000"/>
            </w:tcBorders>
          </w:tcPr>
          <w:p>
            <w:pPr>
              <w:pStyle w:val="TableParagraph"/>
              <w:spacing w:before="10"/>
              <w:ind w:left="0"/>
              <w:rPr>
                <w:b/>
                <w:sz w:val="16"/>
              </w:rPr>
            </w:pPr>
          </w:p>
          <w:p>
            <w:pPr>
              <w:pStyle w:val="TableParagraph"/>
              <w:spacing w:before="0"/>
              <w:ind w:left="107"/>
              <w:rPr>
                <w:b/>
                <w:sz w:val="21"/>
              </w:rPr>
            </w:pPr>
            <w:r>
              <w:rPr>
                <w:b/>
                <w:sz w:val="21"/>
              </w:rPr>
              <w:t>1.1</w:t>
            </w:r>
          </w:p>
        </w:tc>
        <w:tc>
          <w:tcPr>
            <w:tcW w:w="1570" w:type="dxa"/>
            <w:tcBorders>
              <w:top w:val="single" w:sz="8" w:space="0" w:color="000000"/>
            </w:tcBorders>
          </w:tcPr>
          <w:p>
            <w:pPr>
              <w:pStyle w:val="TableParagraph"/>
              <w:spacing w:before="10"/>
              <w:ind w:left="0"/>
              <w:rPr>
                <w:b/>
                <w:sz w:val="16"/>
              </w:rPr>
            </w:pPr>
          </w:p>
          <w:p>
            <w:pPr>
              <w:pStyle w:val="TableParagraph"/>
              <w:spacing w:before="0"/>
              <w:ind w:left="140"/>
              <w:rPr>
                <w:b/>
                <w:sz w:val="21"/>
              </w:rPr>
            </w:pPr>
            <w:r>
              <w:rPr>
                <w:b/>
                <w:sz w:val="21"/>
              </w:rPr>
              <w:t>合同构成</w:t>
            </w:r>
          </w:p>
        </w:tc>
        <w:tc>
          <w:tcPr>
            <w:tcW w:w="7431" w:type="dxa"/>
            <w:tcBorders>
              <w:top w:val="single" w:sz="8" w:space="0" w:color="000000"/>
            </w:tcBorders>
          </w:tcPr>
          <w:p>
            <w:pPr>
              <w:pStyle w:val="TableParagraph"/>
              <w:spacing w:before="10"/>
              <w:ind w:left="0"/>
              <w:rPr>
                <w:b/>
                <w:sz w:val="16"/>
              </w:rPr>
            </w:pPr>
          </w:p>
          <w:p>
            <w:pPr>
              <w:pStyle w:val="TableParagraph"/>
              <w:spacing w:line="314" w:lineRule="auto" w:before="0"/>
              <w:ind w:right="103"/>
              <w:jc w:val="both"/>
              <w:rPr>
                <w:sz w:val="21"/>
              </w:rPr>
            </w:pPr>
            <w:r>
              <w:rPr>
                <w:spacing w:val="-7"/>
                <w:sz w:val="21"/>
              </w:rPr>
              <w:t>安邦附加价值增长 </w:t>
            </w:r>
            <w:r>
              <w:rPr>
                <w:sz w:val="21"/>
              </w:rPr>
              <w:t>999</w:t>
            </w:r>
            <w:r>
              <w:rPr>
                <w:spacing w:val="-8"/>
                <w:sz w:val="21"/>
              </w:rPr>
              <w:t> 号重大疾病保险合同</w:t>
            </w:r>
            <w:r>
              <w:rPr>
                <w:spacing w:val="-3"/>
                <w:sz w:val="21"/>
              </w:rPr>
              <w:t>（以下简称本附加险合同）是主险</w:t>
            </w:r>
            <w:r>
              <w:rPr>
                <w:spacing w:val="-7"/>
                <w:sz w:val="21"/>
              </w:rPr>
              <w:t>保险合同</w:t>
            </w:r>
            <w:r>
              <w:rPr>
                <w:spacing w:val="-3"/>
                <w:sz w:val="21"/>
              </w:rPr>
              <w:t>（</w:t>
            </w:r>
            <w:r>
              <w:rPr>
                <w:spacing w:val="-12"/>
                <w:sz w:val="21"/>
              </w:rPr>
              <w:t>以下简称“主险合同”</w:t>
            </w:r>
            <w:r>
              <w:rPr>
                <w:spacing w:val="-66"/>
                <w:sz w:val="21"/>
              </w:rPr>
              <w:t>）</w:t>
            </w:r>
            <w:r>
              <w:rPr>
                <w:spacing w:val="-7"/>
                <w:sz w:val="21"/>
              </w:rPr>
              <w:t>的附加合同。本附加险合同由以下几个部分</w:t>
            </w:r>
            <w:r>
              <w:rPr>
                <w:spacing w:val="-5"/>
                <w:sz w:val="21"/>
              </w:rPr>
              <w:t>构成：本保险条款、保险单或其他保险凭证、投保单</w:t>
            </w:r>
            <w:r>
              <w:rPr>
                <w:sz w:val="21"/>
              </w:rPr>
              <w:t>（</w:t>
            </w:r>
            <w:r>
              <w:rPr>
                <w:spacing w:val="-3"/>
                <w:sz w:val="21"/>
              </w:rPr>
              <w:t>经本公司核实的复印件或电子影像印刷件与正本具有同等效力</w:t>
            </w:r>
            <w:r>
              <w:rPr>
                <w:spacing w:val="-108"/>
                <w:sz w:val="21"/>
              </w:rPr>
              <w:t>）</w:t>
            </w:r>
            <w:r>
              <w:rPr>
                <w:spacing w:val="-11"/>
                <w:sz w:val="21"/>
              </w:rPr>
              <w:t>、合法有效的声明、批注、批单，及投</w:t>
            </w:r>
            <w:r>
              <w:rPr>
                <w:spacing w:val="-3"/>
                <w:sz w:val="21"/>
              </w:rPr>
              <w:t>保人与本公司共同认可的、与本附加险合同有关的其它书面文件。</w:t>
            </w:r>
          </w:p>
        </w:tc>
      </w:tr>
      <w:tr>
        <w:trPr>
          <w:trHeight w:val="633" w:hRule="atLeast"/>
        </w:trPr>
        <w:tc>
          <w:tcPr>
            <w:tcW w:w="606" w:type="dxa"/>
          </w:tcPr>
          <w:p>
            <w:pPr>
              <w:pStyle w:val="TableParagraph"/>
              <w:spacing w:before="149"/>
              <w:ind w:left="107"/>
              <w:rPr>
                <w:b/>
                <w:sz w:val="21"/>
              </w:rPr>
            </w:pPr>
            <w:r>
              <w:rPr>
                <w:b/>
                <w:sz w:val="21"/>
              </w:rPr>
              <w:t>1.2</w:t>
            </w:r>
          </w:p>
        </w:tc>
        <w:tc>
          <w:tcPr>
            <w:tcW w:w="1570" w:type="dxa"/>
          </w:tcPr>
          <w:p>
            <w:pPr>
              <w:pStyle w:val="TableParagraph"/>
              <w:spacing w:before="149"/>
              <w:ind w:left="140"/>
              <w:rPr>
                <w:b/>
                <w:sz w:val="21"/>
              </w:rPr>
            </w:pPr>
            <w:r>
              <w:rPr>
                <w:b/>
                <w:sz w:val="21"/>
              </w:rPr>
              <w:t>投保范围</w:t>
            </w:r>
          </w:p>
        </w:tc>
        <w:tc>
          <w:tcPr>
            <w:tcW w:w="7431" w:type="dxa"/>
          </w:tcPr>
          <w:p>
            <w:pPr>
              <w:pStyle w:val="TableParagraph"/>
              <w:spacing w:before="149"/>
              <w:rPr>
                <w:sz w:val="21"/>
              </w:rPr>
            </w:pPr>
            <w:r>
              <w:rPr>
                <w:sz w:val="21"/>
              </w:rPr>
              <w:t>本附加险合同的投保范围与主险合同一致。</w:t>
            </w:r>
          </w:p>
        </w:tc>
      </w:tr>
      <w:tr>
        <w:trPr>
          <w:trHeight w:val="2066" w:hRule="atLeast"/>
        </w:trPr>
        <w:tc>
          <w:tcPr>
            <w:tcW w:w="606" w:type="dxa"/>
          </w:tcPr>
          <w:p>
            <w:pPr>
              <w:pStyle w:val="TableParagraph"/>
              <w:spacing w:before="146"/>
              <w:ind w:left="107"/>
              <w:rPr>
                <w:b/>
                <w:sz w:val="21"/>
              </w:rPr>
            </w:pPr>
            <w:r>
              <w:rPr>
                <w:b/>
                <w:sz w:val="21"/>
              </w:rPr>
              <w:t>1.3</w:t>
            </w:r>
          </w:p>
        </w:tc>
        <w:tc>
          <w:tcPr>
            <w:tcW w:w="1570" w:type="dxa"/>
          </w:tcPr>
          <w:p>
            <w:pPr>
              <w:pStyle w:val="TableParagraph"/>
              <w:spacing w:line="314" w:lineRule="auto" w:before="146"/>
              <w:ind w:left="140" w:right="159"/>
              <w:jc w:val="both"/>
              <w:rPr>
                <w:b/>
                <w:sz w:val="21"/>
              </w:rPr>
            </w:pPr>
            <w:r>
              <w:rPr>
                <w:b/>
                <w:sz w:val="21"/>
              </w:rPr>
              <w:t>合同成立与生效和保险责任的开始</w:t>
            </w:r>
          </w:p>
        </w:tc>
        <w:tc>
          <w:tcPr>
            <w:tcW w:w="7431" w:type="dxa"/>
          </w:tcPr>
          <w:p>
            <w:pPr>
              <w:pStyle w:val="TableParagraph"/>
              <w:spacing w:line="314" w:lineRule="auto" w:before="146"/>
              <w:ind w:right="120"/>
              <w:rPr>
                <w:sz w:val="21"/>
              </w:rPr>
            </w:pPr>
            <w:r>
              <w:rPr>
                <w:sz w:val="21"/>
              </w:rPr>
              <w:t>投保人提出保险申请、本公司同意承保，本附加险合同成立，本附加险合同成立日期在保险单上载明。</w:t>
            </w:r>
          </w:p>
          <w:p>
            <w:pPr>
              <w:pStyle w:val="TableParagraph"/>
              <w:spacing w:line="314" w:lineRule="auto" w:before="17"/>
              <w:ind w:right="120"/>
              <w:rPr>
                <w:sz w:val="21"/>
              </w:rPr>
            </w:pPr>
            <w:r>
              <w:rPr>
                <w:sz w:val="21"/>
              </w:rPr>
              <w:t>自本附加险合同成立、本公司收取保险费并签发保险单的次日零时起本附加险合同生效，本附加险合同生效日期在保险单上载明。</w:t>
            </w:r>
          </w:p>
          <w:p>
            <w:pPr>
              <w:pStyle w:val="TableParagraph"/>
              <w:spacing w:before="17"/>
              <w:rPr>
                <w:sz w:val="21"/>
              </w:rPr>
            </w:pPr>
            <w:r>
              <w:rPr>
                <w:sz w:val="21"/>
              </w:rPr>
              <w:t>除另有约定外，本附加险合同生效的日期为本公司开始承担保险责任的日期。</w:t>
            </w:r>
          </w:p>
        </w:tc>
      </w:tr>
      <w:tr>
        <w:trPr>
          <w:trHeight w:val="2784" w:hRule="atLeast"/>
        </w:trPr>
        <w:tc>
          <w:tcPr>
            <w:tcW w:w="606" w:type="dxa"/>
          </w:tcPr>
          <w:p>
            <w:pPr>
              <w:pStyle w:val="TableParagraph"/>
              <w:spacing w:before="146"/>
              <w:ind w:left="107"/>
              <w:rPr>
                <w:sz w:val="21"/>
              </w:rPr>
            </w:pPr>
            <w:r>
              <w:rPr>
                <w:sz w:val="21"/>
              </w:rPr>
              <w:t>1.4</w:t>
            </w:r>
          </w:p>
        </w:tc>
        <w:tc>
          <w:tcPr>
            <w:tcW w:w="1570" w:type="dxa"/>
          </w:tcPr>
          <w:p>
            <w:pPr>
              <w:pStyle w:val="TableParagraph"/>
              <w:spacing w:before="146"/>
              <w:ind w:left="140"/>
              <w:rPr>
                <w:b/>
                <w:sz w:val="21"/>
              </w:rPr>
            </w:pPr>
            <w:r>
              <w:rPr>
                <w:b/>
                <w:sz w:val="21"/>
              </w:rPr>
              <w:t>犹豫期</w:t>
            </w:r>
          </w:p>
        </w:tc>
        <w:tc>
          <w:tcPr>
            <w:tcW w:w="7431" w:type="dxa"/>
          </w:tcPr>
          <w:p>
            <w:pPr>
              <w:pStyle w:val="TableParagraph"/>
              <w:spacing w:line="314" w:lineRule="auto" w:before="146"/>
              <w:rPr>
                <w:b/>
                <w:sz w:val="21"/>
              </w:rPr>
            </w:pPr>
            <w:r>
              <w:rPr>
                <w:spacing w:val="-8"/>
                <w:sz w:val="21"/>
              </w:rPr>
              <w:t>为了使您充分了解本附加险合同的保障范围，确定选择了合适的基本保险金额、</w:t>
            </w:r>
            <w:r>
              <w:rPr>
                <w:spacing w:val="-11"/>
                <w:sz w:val="21"/>
              </w:rPr>
              <w:t>交费期限和交费金额，自您签收本附加险合同之日起，有 </w:t>
            </w:r>
            <w:r>
              <w:rPr>
                <w:sz w:val="21"/>
              </w:rPr>
              <w:t>10</w:t>
            </w:r>
            <w:r>
              <w:rPr>
                <w:spacing w:val="-12"/>
                <w:sz w:val="21"/>
              </w:rPr>
              <w:t> 天的犹豫期。如果</w:t>
            </w:r>
            <w:r>
              <w:rPr>
                <w:spacing w:val="-8"/>
                <w:sz w:val="21"/>
              </w:rPr>
              <w:t>您在此期间提出解除本附加险合同</w:t>
            </w:r>
            <w:r>
              <w:rPr>
                <w:sz w:val="21"/>
              </w:rPr>
              <w:t>（</w:t>
            </w:r>
            <w:r>
              <w:rPr>
                <w:spacing w:val="-3"/>
                <w:sz w:val="21"/>
              </w:rPr>
              <w:t>即</w:t>
            </w:r>
            <w:r>
              <w:rPr>
                <w:b/>
                <w:sz w:val="21"/>
              </w:rPr>
              <w:t>退保</w:t>
            </w:r>
            <w:r>
              <w:rPr>
                <w:spacing w:val="-69"/>
                <w:sz w:val="21"/>
              </w:rPr>
              <w:t>）</w:t>
            </w:r>
            <w:r>
              <w:rPr>
                <w:spacing w:val="-11"/>
                <w:sz w:val="21"/>
              </w:rPr>
              <w:t>，需要填写书面申请书，并提供您</w:t>
            </w:r>
            <w:r>
              <w:rPr>
                <w:spacing w:val="-7"/>
                <w:w w:val="100"/>
                <w:sz w:val="21"/>
              </w:rPr>
              <w:t>的保险合同及</w:t>
            </w:r>
            <w:r>
              <w:rPr>
                <w:b/>
                <w:spacing w:val="-1"/>
                <w:w w:val="100"/>
                <w:sz w:val="21"/>
              </w:rPr>
              <w:t>有效身份证件</w:t>
            </w:r>
            <w:r>
              <w:rPr>
                <w:w w:val="100"/>
                <w:sz w:val="21"/>
              </w:rPr>
              <w:t>（</w:t>
            </w:r>
            <w:r>
              <w:rPr>
                <w:spacing w:val="-2"/>
                <w:w w:val="100"/>
                <w:sz w:val="21"/>
              </w:rPr>
              <w:t>见释义</w:t>
            </w:r>
            <w:r>
              <w:rPr>
                <w:spacing w:val="-2"/>
                <w:sz w:val="21"/>
              </w:rPr>
              <w:t> </w:t>
            </w:r>
            <w:r>
              <w:rPr>
                <w:spacing w:val="-3"/>
                <w:w w:val="100"/>
                <w:sz w:val="21"/>
              </w:rPr>
              <w:t>6</w:t>
            </w:r>
            <w:r>
              <w:rPr>
                <w:w w:val="100"/>
                <w:sz w:val="21"/>
              </w:rPr>
              <w:t>.1</w:t>
            </w:r>
            <w:r>
              <w:rPr>
                <w:spacing w:val="-108"/>
                <w:w w:val="100"/>
                <w:sz w:val="21"/>
              </w:rPr>
              <w:t>）</w:t>
            </w:r>
            <w:r>
              <w:rPr>
                <w:spacing w:val="-3"/>
                <w:w w:val="100"/>
                <w:sz w:val="21"/>
              </w:rPr>
              <w:t>，本公司会在扣除不超过人民币</w:t>
            </w:r>
            <w:r>
              <w:rPr>
                <w:spacing w:val="-3"/>
                <w:sz w:val="21"/>
              </w:rPr>
              <w:t> </w:t>
            </w:r>
            <w:r>
              <w:rPr>
                <w:spacing w:val="-3"/>
                <w:w w:val="100"/>
                <w:sz w:val="21"/>
              </w:rPr>
              <w:t>10 </w:t>
            </w:r>
            <w:r>
              <w:rPr>
                <w:spacing w:val="-3"/>
                <w:sz w:val="21"/>
              </w:rPr>
              <w:t>元的保单工本费后无息退还您所交的保险费。自本公司收到您解除本附加险合同的书面申请时起，本附加险合同即被解除。</w:t>
            </w:r>
            <w:r>
              <w:rPr>
                <w:b/>
                <w:spacing w:val="-3"/>
                <w:sz w:val="21"/>
              </w:rPr>
              <w:t>对本附加险合同解除前发生的保险事故本公司不承担保险责任。</w:t>
            </w:r>
          </w:p>
        </w:tc>
      </w:tr>
      <w:tr>
        <w:trPr>
          <w:trHeight w:val="2799" w:hRule="atLeast"/>
        </w:trPr>
        <w:tc>
          <w:tcPr>
            <w:tcW w:w="606" w:type="dxa"/>
          </w:tcPr>
          <w:p>
            <w:pPr>
              <w:pStyle w:val="TableParagraph"/>
              <w:spacing w:before="146"/>
              <w:ind w:left="107"/>
              <w:rPr>
                <w:b/>
                <w:sz w:val="21"/>
              </w:rPr>
            </w:pPr>
            <w:r>
              <w:rPr>
                <w:b/>
                <w:sz w:val="21"/>
              </w:rPr>
              <w:t>1.5</w:t>
            </w:r>
          </w:p>
        </w:tc>
        <w:tc>
          <w:tcPr>
            <w:tcW w:w="1570" w:type="dxa"/>
          </w:tcPr>
          <w:p>
            <w:pPr>
              <w:pStyle w:val="TableParagraph"/>
              <w:spacing w:line="312" w:lineRule="auto" w:before="146"/>
              <w:ind w:left="140" w:right="159"/>
              <w:rPr>
                <w:b/>
                <w:sz w:val="21"/>
              </w:rPr>
            </w:pPr>
            <w:r>
              <w:rPr>
                <w:b/>
                <w:sz w:val="21"/>
              </w:rPr>
              <w:t>解除合同的手续及风险</w:t>
            </w:r>
          </w:p>
        </w:tc>
        <w:tc>
          <w:tcPr>
            <w:tcW w:w="7431" w:type="dxa"/>
          </w:tcPr>
          <w:p>
            <w:pPr>
              <w:pStyle w:val="TableParagraph"/>
              <w:spacing w:line="312" w:lineRule="auto" w:before="146"/>
              <w:ind w:right="120"/>
              <w:rPr>
                <w:sz w:val="21"/>
              </w:rPr>
            </w:pPr>
            <w:r>
              <w:rPr>
                <w:sz w:val="21"/>
              </w:rPr>
              <w:t>如果您在犹豫期后申请解除本附加险合同，请填写解除合同申请书并向本公司提供下列资料：</w:t>
            </w:r>
          </w:p>
          <w:p>
            <w:pPr>
              <w:pStyle w:val="TableParagraph"/>
              <w:spacing w:before="22"/>
              <w:rPr>
                <w:sz w:val="21"/>
              </w:rPr>
            </w:pPr>
            <w:r>
              <w:rPr>
                <w:sz w:val="21"/>
              </w:rPr>
              <w:t>（1）保险合同；</w:t>
            </w:r>
          </w:p>
          <w:p>
            <w:pPr>
              <w:pStyle w:val="TableParagraph"/>
              <w:spacing w:before="82"/>
              <w:rPr>
                <w:sz w:val="21"/>
              </w:rPr>
            </w:pPr>
            <w:r>
              <w:rPr>
                <w:sz w:val="21"/>
              </w:rPr>
              <w:t>（2）您的有效身份证件。</w:t>
            </w:r>
          </w:p>
          <w:p>
            <w:pPr>
              <w:pStyle w:val="TableParagraph"/>
              <w:spacing w:line="314" w:lineRule="auto" w:before="85"/>
              <w:ind w:right="120"/>
              <w:rPr>
                <w:rFonts w:ascii="黑体" w:eastAsia="黑体" w:hint="eastAsia"/>
                <w:sz w:val="21"/>
              </w:rPr>
            </w:pPr>
            <w:r>
              <w:rPr>
                <w:spacing w:val="-3"/>
                <w:sz w:val="21"/>
              </w:rPr>
              <w:t>自本公司收到解除合同申请书时起，本附加险合同终止。本公司自收到解除本</w:t>
            </w:r>
            <w:r>
              <w:rPr>
                <w:spacing w:val="-3"/>
                <w:w w:val="100"/>
                <w:sz w:val="21"/>
              </w:rPr>
              <w:t>附加险合同申请书之日起</w:t>
            </w:r>
            <w:r>
              <w:rPr>
                <w:spacing w:val="-55"/>
                <w:sz w:val="21"/>
              </w:rPr>
              <w:t> </w:t>
            </w:r>
            <w:r>
              <w:rPr>
                <w:w w:val="100"/>
                <w:sz w:val="21"/>
              </w:rPr>
              <w:t>30</w:t>
            </w:r>
            <w:r>
              <w:rPr>
                <w:spacing w:val="-53"/>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53"/>
                <w:sz w:val="21"/>
              </w:rPr>
              <w:t> </w:t>
            </w:r>
            <w:r>
              <w:rPr>
                <w:w w:val="100"/>
                <w:sz w:val="21"/>
              </w:rPr>
              <w:t>6.</w:t>
            </w:r>
            <w:r>
              <w:rPr>
                <w:spacing w:val="-3"/>
                <w:w w:val="100"/>
                <w:sz w:val="21"/>
              </w:rPr>
              <w:t>2</w:t>
            </w:r>
            <w:r>
              <w:rPr>
                <w:spacing w:val="-106"/>
                <w:w w:val="100"/>
                <w:sz w:val="21"/>
              </w:rPr>
              <w:t>）。</w:t>
            </w:r>
            <w:r>
              <w:rPr>
                <w:rFonts w:ascii="黑体" w:eastAsia="黑体" w:hint="eastAsia"/>
                <w:spacing w:val="-3"/>
                <w:sz w:val="21"/>
              </w:rPr>
              <w:t>您在犹豫期后解除合同会遭受一定损失。</w:t>
            </w:r>
          </w:p>
        </w:tc>
      </w:tr>
      <w:tr>
        <w:trPr>
          <w:trHeight w:val="747" w:hRule="atLeast"/>
        </w:trPr>
        <w:tc>
          <w:tcPr>
            <w:tcW w:w="606" w:type="dxa"/>
            <w:tcBorders>
              <w:bottom w:val="single" w:sz="8" w:space="0" w:color="000000"/>
            </w:tcBorders>
          </w:tcPr>
          <w:p>
            <w:pPr>
              <w:pStyle w:val="TableParagraph"/>
              <w:spacing w:before="188"/>
              <w:ind w:left="107"/>
              <w:rPr>
                <w:rFonts w:ascii="Arial" w:hAnsi="Arial"/>
                <w:b/>
                <w:sz w:val="40"/>
              </w:rPr>
            </w:pPr>
            <w:r>
              <w:rPr>
                <w:rFonts w:ascii="Arial" w:hAnsi="Arial"/>
                <w:b/>
                <w:w w:val="119"/>
                <w:sz w:val="40"/>
              </w:rPr>
              <w:t></w:t>
            </w:r>
          </w:p>
        </w:tc>
        <w:tc>
          <w:tcPr>
            <w:tcW w:w="9001" w:type="dxa"/>
            <w:gridSpan w:val="2"/>
            <w:tcBorders>
              <w:bottom w:val="single" w:sz="8" w:space="0" w:color="000000"/>
            </w:tcBorders>
          </w:tcPr>
          <w:p>
            <w:pPr>
              <w:pStyle w:val="TableParagraph"/>
              <w:spacing w:before="6"/>
              <w:ind w:left="0"/>
              <w:rPr>
                <w:b/>
                <w:sz w:val="18"/>
              </w:rPr>
            </w:pPr>
          </w:p>
          <w:p>
            <w:pPr>
              <w:pStyle w:val="TableParagraph"/>
              <w:spacing w:before="0"/>
              <w:ind w:left="140"/>
              <w:rPr>
                <w:b/>
                <w:sz w:val="24"/>
              </w:rPr>
            </w:pPr>
            <w:r>
              <w:rPr>
                <w:b/>
                <w:w w:val="95"/>
                <w:sz w:val="24"/>
              </w:rPr>
              <w:t>本公司提供的保障</w:t>
            </w:r>
          </w:p>
        </w:tc>
      </w:tr>
      <w:tr>
        <w:trPr>
          <w:trHeight w:val="852" w:hRule="atLeast"/>
        </w:trPr>
        <w:tc>
          <w:tcPr>
            <w:tcW w:w="606" w:type="dxa"/>
            <w:tcBorders>
              <w:top w:val="single" w:sz="8" w:space="0" w:color="000000"/>
            </w:tcBorders>
          </w:tcPr>
          <w:p>
            <w:pPr>
              <w:pStyle w:val="TableParagraph"/>
              <w:spacing w:before="10"/>
              <w:ind w:left="0"/>
              <w:rPr>
                <w:b/>
                <w:sz w:val="16"/>
              </w:rPr>
            </w:pPr>
          </w:p>
          <w:p>
            <w:pPr>
              <w:pStyle w:val="TableParagraph"/>
              <w:spacing w:before="0"/>
              <w:ind w:left="107"/>
              <w:rPr>
                <w:b/>
                <w:sz w:val="21"/>
              </w:rPr>
            </w:pPr>
            <w:r>
              <w:rPr>
                <w:b/>
                <w:sz w:val="21"/>
              </w:rPr>
              <w:t>2.1</w:t>
            </w:r>
          </w:p>
        </w:tc>
        <w:tc>
          <w:tcPr>
            <w:tcW w:w="1570" w:type="dxa"/>
            <w:tcBorders>
              <w:top w:val="single" w:sz="8" w:space="0" w:color="000000"/>
            </w:tcBorders>
          </w:tcPr>
          <w:p>
            <w:pPr>
              <w:pStyle w:val="TableParagraph"/>
              <w:spacing w:before="10"/>
              <w:ind w:left="0"/>
              <w:rPr>
                <w:b/>
                <w:sz w:val="16"/>
              </w:rPr>
            </w:pPr>
          </w:p>
          <w:p>
            <w:pPr>
              <w:pStyle w:val="TableParagraph"/>
              <w:spacing w:before="0"/>
              <w:ind w:left="140"/>
              <w:rPr>
                <w:b/>
                <w:sz w:val="21"/>
              </w:rPr>
            </w:pPr>
            <w:r>
              <w:rPr>
                <w:b/>
                <w:sz w:val="21"/>
              </w:rPr>
              <w:t>保险金额</w:t>
            </w:r>
          </w:p>
        </w:tc>
        <w:tc>
          <w:tcPr>
            <w:tcW w:w="7431" w:type="dxa"/>
            <w:tcBorders>
              <w:top w:val="single" w:sz="8" w:space="0" w:color="000000"/>
            </w:tcBorders>
          </w:tcPr>
          <w:p>
            <w:pPr>
              <w:pStyle w:val="TableParagraph"/>
              <w:spacing w:line="360" w:lineRule="atLeast" w:before="134"/>
              <w:ind w:right="120"/>
              <w:rPr>
                <w:sz w:val="21"/>
              </w:rPr>
            </w:pPr>
            <w:r>
              <w:rPr>
                <w:sz w:val="21"/>
              </w:rPr>
              <w:t>本附加险合同的保险金额由您在投保时与本公司约定并在保险单上载明。若该金额发生变更，则以变更后的金额为保险金额。</w:t>
            </w:r>
          </w:p>
        </w:tc>
      </w:tr>
    </w:tbl>
    <w:p>
      <w:pPr>
        <w:spacing w:after="0" w:line="360" w:lineRule="atLeast"/>
        <w:rPr>
          <w:sz w:val="21"/>
        </w:rPr>
        <w:sectPr>
          <w:pgSz w:w="11910" w:h="16840"/>
          <w:pgMar w:top="1500" w:bottom="280" w:left="820" w:right="12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603"/>
        <w:gridCol w:w="7567"/>
      </w:tblGrid>
      <w:tr>
        <w:trPr>
          <w:trHeight w:val="1496" w:hRule="atLeast"/>
        </w:trPr>
        <w:tc>
          <w:tcPr>
            <w:tcW w:w="731" w:type="dxa"/>
          </w:tcPr>
          <w:p>
            <w:pPr>
              <w:pStyle w:val="TableParagraph"/>
              <w:spacing w:line="208" w:lineRule="exact" w:before="0"/>
              <w:ind w:left="179" w:right="88"/>
              <w:jc w:val="center"/>
              <w:rPr>
                <w:b/>
                <w:sz w:val="21"/>
              </w:rPr>
            </w:pPr>
            <w:r>
              <w:rPr>
                <w:b/>
                <w:sz w:val="21"/>
              </w:rPr>
              <w:t>2.2.</w:t>
            </w:r>
          </w:p>
        </w:tc>
        <w:tc>
          <w:tcPr>
            <w:tcW w:w="1603" w:type="dxa"/>
          </w:tcPr>
          <w:p>
            <w:pPr>
              <w:pStyle w:val="TableParagraph"/>
              <w:spacing w:line="208" w:lineRule="exact" w:before="0"/>
              <w:ind w:left="107"/>
              <w:rPr>
                <w:b/>
                <w:sz w:val="21"/>
              </w:rPr>
            </w:pPr>
            <w:r>
              <w:rPr>
                <w:b/>
                <w:sz w:val="21"/>
              </w:rPr>
              <w:t>基本保险金额</w:t>
            </w:r>
          </w:p>
        </w:tc>
        <w:tc>
          <w:tcPr>
            <w:tcW w:w="7567" w:type="dxa"/>
          </w:tcPr>
          <w:p>
            <w:pPr>
              <w:pStyle w:val="TableParagraph"/>
              <w:spacing w:line="208" w:lineRule="exact" w:before="0"/>
              <w:ind w:left="95"/>
              <w:rPr>
                <w:sz w:val="21"/>
              </w:rPr>
            </w:pPr>
            <w:r>
              <w:rPr>
                <w:sz w:val="21"/>
              </w:rPr>
              <w:t>本附加险合同的基本保险金额是由您在投保时提出，并经本公司承保时审核并</w:t>
            </w:r>
          </w:p>
          <w:p>
            <w:pPr>
              <w:pStyle w:val="TableParagraph"/>
              <w:spacing w:before="82"/>
              <w:ind w:left="95"/>
              <w:rPr>
                <w:sz w:val="21"/>
              </w:rPr>
            </w:pPr>
            <w:r>
              <w:rPr>
                <w:sz w:val="21"/>
              </w:rPr>
              <w:t>最终确定的。基本保险金额在保险单中载明。</w:t>
            </w:r>
          </w:p>
          <w:p>
            <w:pPr>
              <w:pStyle w:val="TableParagraph"/>
              <w:spacing w:line="312" w:lineRule="auto" w:before="84"/>
              <w:ind w:left="95" w:right="326"/>
              <w:rPr>
                <w:sz w:val="21"/>
              </w:rPr>
            </w:pPr>
            <w:r>
              <w:rPr>
                <w:sz w:val="21"/>
              </w:rPr>
              <w:t>若该基本保险金额发生变更，则以变更后的基本保险金额为准。变更身故基本保险金额的应当得到被保险人书面同意并认可。</w:t>
            </w:r>
          </w:p>
        </w:tc>
      </w:tr>
      <w:tr>
        <w:trPr>
          <w:trHeight w:val="1348" w:hRule="atLeast"/>
        </w:trPr>
        <w:tc>
          <w:tcPr>
            <w:tcW w:w="731" w:type="dxa"/>
          </w:tcPr>
          <w:p>
            <w:pPr>
              <w:pStyle w:val="TableParagraph"/>
              <w:ind w:left="76" w:right="88"/>
              <w:jc w:val="center"/>
              <w:rPr>
                <w:b/>
                <w:sz w:val="21"/>
              </w:rPr>
            </w:pPr>
            <w:r>
              <w:rPr>
                <w:b/>
                <w:sz w:val="21"/>
              </w:rPr>
              <w:t>2.3</w:t>
            </w:r>
          </w:p>
        </w:tc>
        <w:tc>
          <w:tcPr>
            <w:tcW w:w="1603" w:type="dxa"/>
          </w:tcPr>
          <w:p>
            <w:pPr>
              <w:pStyle w:val="TableParagraph"/>
              <w:spacing w:line="314" w:lineRule="auto"/>
              <w:ind w:left="107" w:right="225"/>
              <w:rPr>
                <w:b/>
                <w:sz w:val="21"/>
              </w:rPr>
            </w:pPr>
            <w:r>
              <w:rPr>
                <w:b/>
                <w:sz w:val="21"/>
              </w:rPr>
              <w:t>未成年人身故保险金限制</w:t>
            </w:r>
          </w:p>
        </w:tc>
        <w:tc>
          <w:tcPr>
            <w:tcW w:w="7567" w:type="dxa"/>
          </w:tcPr>
          <w:p>
            <w:pPr>
              <w:pStyle w:val="TableParagraph"/>
              <w:spacing w:line="314" w:lineRule="auto"/>
              <w:ind w:left="95" w:right="322"/>
              <w:jc w:val="both"/>
              <w:rPr>
                <w:sz w:val="21"/>
              </w:rPr>
            </w:pPr>
            <w:r>
              <w:rPr>
                <w:sz w:val="21"/>
              </w:rPr>
              <w:t>为未成年子女投保的人身保险，因被保险人身故给付的保险金总和不得超过</w:t>
            </w:r>
            <w:r>
              <w:rPr>
                <w:rFonts w:ascii="黑体" w:eastAsia="黑体" w:hint="eastAsia"/>
                <w:sz w:val="21"/>
              </w:rPr>
              <w:t>国务院保险监督管理机构规定的限额</w:t>
            </w:r>
            <w:r>
              <w:rPr>
                <w:sz w:val="21"/>
              </w:rPr>
              <w:t>，身故给付的保险金额总和约定也不得超过前述限额。</w:t>
            </w:r>
          </w:p>
        </w:tc>
      </w:tr>
      <w:tr>
        <w:trPr>
          <w:trHeight w:val="633" w:hRule="atLeast"/>
        </w:trPr>
        <w:tc>
          <w:tcPr>
            <w:tcW w:w="731" w:type="dxa"/>
          </w:tcPr>
          <w:p>
            <w:pPr>
              <w:pStyle w:val="TableParagraph"/>
              <w:ind w:left="77" w:right="88"/>
              <w:jc w:val="center"/>
              <w:rPr>
                <w:b/>
                <w:sz w:val="21"/>
              </w:rPr>
            </w:pPr>
            <w:r>
              <w:rPr>
                <w:b/>
                <w:sz w:val="21"/>
              </w:rPr>
              <w:t>2.4</w:t>
            </w:r>
          </w:p>
        </w:tc>
        <w:tc>
          <w:tcPr>
            <w:tcW w:w="1603" w:type="dxa"/>
          </w:tcPr>
          <w:p>
            <w:pPr>
              <w:pStyle w:val="TableParagraph"/>
              <w:ind w:left="107"/>
              <w:rPr>
                <w:b/>
                <w:sz w:val="21"/>
              </w:rPr>
            </w:pPr>
            <w:r>
              <w:rPr>
                <w:b/>
                <w:sz w:val="21"/>
              </w:rPr>
              <w:t>保险期间</w:t>
            </w:r>
          </w:p>
        </w:tc>
        <w:tc>
          <w:tcPr>
            <w:tcW w:w="7567" w:type="dxa"/>
          </w:tcPr>
          <w:p>
            <w:pPr>
              <w:pStyle w:val="TableParagraph"/>
              <w:ind w:left="95"/>
              <w:rPr>
                <w:sz w:val="21"/>
              </w:rPr>
            </w:pPr>
            <w:r>
              <w:rPr>
                <w:sz w:val="21"/>
              </w:rPr>
              <w:t>本附加险合同的保险期间与主险合同一致。</w:t>
            </w:r>
          </w:p>
        </w:tc>
      </w:tr>
      <w:tr>
        <w:trPr>
          <w:trHeight w:val="498" w:hRule="atLeast"/>
        </w:trPr>
        <w:tc>
          <w:tcPr>
            <w:tcW w:w="731" w:type="dxa"/>
          </w:tcPr>
          <w:p>
            <w:pPr>
              <w:pStyle w:val="TableParagraph"/>
              <w:spacing w:before="146"/>
              <w:ind w:left="77" w:right="88"/>
              <w:jc w:val="center"/>
              <w:rPr>
                <w:b/>
                <w:sz w:val="21"/>
              </w:rPr>
            </w:pPr>
            <w:r>
              <w:rPr>
                <w:b/>
                <w:sz w:val="21"/>
              </w:rPr>
              <w:t>2.5</w:t>
            </w:r>
          </w:p>
        </w:tc>
        <w:tc>
          <w:tcPr>
            <w:tcW w:w="1603" w:type="dxa"/>
          </w:tcPr>
          <w:p>
            <w:pPr>
              <w:pStyle w:val="TableParagraph"/>
              <w:spacing w:before="146"/>
              <w:ind w:left="107"/>
              <w:rPr>
                <w:b/>
                <w:sz w:val="21"/>
              </w:rPr>
            </w:pPr>
            <w:r>
              <w:rPr>
                <w:b/>
                <w:sz w:val="21"/>
              </w:rPr>
              <w:t>保险责任</w:t>
            </w:r>
          </w:p>
        </w:tc>
        <w:tc>
          <w:tcPr>
            <w:tcW w:w="7567" w:type="dxa"/>
          </w:tcPr>
          <w:p>
            <w:pPr>
              <w:pStyle w:val="TableParagraph"/>
              <w:spacing w:before="146"/>
              <w:ind w:left="95"/>
              <w:rPr>
                <w:sz w:val="21"/>
              </w:rPr>
            </w:pPr>
            <w:r>
              <w:rPr>
                <w:sz w:val="21"/>
              </w:rPr>
              <w:t>在本附加险合同保险期间内，本公司承担如下保险责任：</w:t>
            </w:r>
          </w:p>
        </w:tc>
      </w:tr>
      <w:tr>
        <w:trPr>
          <w:trHeight w:val="1435" w:hRule="atLeast"/>
        </w:trPr>
        <w:tc>
          <w:tcPr>
            <w:tcW w:w="731" w:type="dxa"/>
          </w:tcPr>
          <w:p>
            <w:pPr>
              <w:pStyle w:val="TableParagraph"/>
              <w:spacing w:before="0"/>
              <w:ind w:left="0"/>
              <w:rPr>
                <w:rFonts w:ascii="Times New Roman"/>
                <w:sz w:val="20"/>
              </w:rPr>
            </w:pPr>
          </w:p>
        </w:tc>
        <w:tc>
          <w:tcPr>
            <w:tcW w:w="1603" w:type="dxa"/>
          </w:tcPr>
          <w:p>
            <w:pPr>
              <w:pStyle w:val="TableParagraph"/>
              <w:spacing w:before="8"/>
              <w:ind w:left="107"/>
              <w:rPr>
                <w:rFonts w:ascii="黑体" w:eastAsia="黑体" w:hint="eastAsia"/>
                <w:b/>
                <w:sz w:val="21"/>
              </w:rPr>
            </w:pPr>
            <w:r>
              <w:rPr>
                <w:rFonts w:ascii="黑体" w:eastAsia="黑体" w:hint="eastAsia"/>
                <w:b/>
                <w:sz w:val="21"/>
              </w:rPr>
              <w:t>等待期</w:t>
            </w:r>
          </w:p>
        </w:tc>
        <w:tc>
          <w:tcPr>
            <w:tcW w:w="7567" w:type="dxa"/>
          </w:tcPr>
          <w:p>
            <w:pPr>
              <w:pStyle w:val="TableParagraph"/>
              <w:spacing w:line="314" w:lineRule="auto" w:before="8"/>
              <w:ind w:left="95" w:right="305"/>
              <w:jc w:val="both"/>
              <w:rPr>
                <w:rFonts w:ascii="黑体" w:eastAsia="黑体" w:hint="eastAsia"/>
                <w:sz w:val="21"/>
              </w:rPr>
            </w:pPr>
            <w:r>
              <w:rPr>
                <w:rFonts w:ascii="黑体" w:eastAsia="黑体" w:hint="eastAsia"/>
                <w:spacing w:val="-3"/>
                <w:sz w:val="21"/>
              </w:rPr>
              <w:t>被保险人在本附加险合同</w:t>
            </w:r>
            <w:r>
              <w:rPr>
                <w:rFonts w:ascii="黑体" w:eastAsia="黑体" w:hint="eastAsia"/>
                <w:sz w:val="21"/>
              </w:rPr>
              <w:t>Th效</w:t>
            </w:r>
            <w:r>
              <w:rPr>
                <w:rFonts w:ascii="黑体" w:eastAsia="黑体" w:hint="eastAsia"/>
                <w:spacing w:val="-3"/>
                <w:sz w:val="21"/>
              </w:rPr>
              <w:t>（或最后复效）</w:t>
            </w:r>
            <w:r>
              <w:rPr>
                <w:rFonts w:ascii="黑体" w:eastAsia="黑体" w:hint="eastAsia"/>
                <w:spacing w:val="-12"/>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w:t>
            </w:r>
            <w:r>
              <w:rPr>
                <w:rFonts w:ascii="黑体" w:eastAsia="黑体" w:hint="eastAsia"/>
                <w:spacing w:val="-2"/>
                <w:sz w:val="21"/>
              </w:rPr>
              <w:t>本附加</w:t>
            </w:r>
            <w:r>
              <w:rPr>
                <w:rFonts w:ascii="黑体" w:eastAsia="黑体" w:hint="eastAsia"/>
                <w:spacing w:val="-3"/>
                <w:w w:val="100"/>
                <w:sz w:val="21"/>
              </w:rPr>
              <w:t>险合同所定义的</w:t>
            </w:r>
            <w:r>
              <w:rPr>
                <w:rFonts w:ascii="黑体" w:eastAsia="黑体" w:hint="eastAsia"/>
                <w:b/>
                <w:spacing w:val="-6"/>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3</w:t>
            </w:r>
            <w:r>
              <w:rPr>
                <w:rFonts w:ascii="黑体" w:eastAsia="黑体" w:hint="eastAsia"/>
                <w:spacing w:val="-106"/>
                <w:w w:val="100"/>
                <w:sz w:val="21"/>
              </w:rPr>
              <w:t>）</w:t>
            </w:r>
            <w:r>
              <w:rPr>
                <w:rFonts w:ascii="黑体" w:eastAsia="黑体" w:hint="eastAsia"/>
                <w:spacing w:val="-6"/>
                <w:w w:val="100"/>
                <w:sz w:val="21"/>
              </w:rPr>
              <w:t>，本公司将无息返还您所交的本附加险</w:t>
            </w:r>
            <w:r>
              <w:rPr>
                <w:rFonts w:ascii="黑体" w:eastAsia="黑体" w:hint="eastAsia"/>
                <w:spacing w:val="-6"/>
                <w:sz w:val="21"/>
              </w:rPr>
              <w:t>合同的保险费，本附加险合同终止。这 </w:t>
            </w:r>
            <w:r>
              <w:rPr>
                <w:rFonts w:ascii="黑体" w:eastAsia="黑体" w:hint="eastAsia"/>
                <w:sz w:val="21"/>
              </w:rPr>
              <w:t>180</w:t>
            </w:r>
            <w:r>
              <w:rPr>
                <w:rFonts w:ascii="黑体" w:eastAsia="黑体" w:hint="eastAsia"/>
                <w:spacing w:val="-7"/>
                <w:sz w:val="21"/>
              </w:rPr>
              <w:t> 天的时间称为等待期。被保险人因</w:t>
            </w:r>
          </w:p>
          <w:p>
            <w:pPr>
              <w:pStyle w:val="TableParagraph"/>
              <w:spacing w:before="17"/>
              <w:ind w:left="95"/>
              <w:jc w:val="both"/>
              <w:rPr>
                <w:rFonts w:ascii="黑体" w:eastAsia="黑体" w:hint="eastAsia"/>
                <w:sz w:val="21"/>
              </w:rPr>
            </w:pPr>
            <w:r>
              <w:rPr>
                <w:rFonts w:ascii="黑体" w:eastAsia="黑体" w:hint="eastAsia"/>
                <w:b/>
                <w:sz w:val="21"/>
              </w:rPr>
              <w:t>意外伤害</w:t>
            </w:r>
            <w:r>
              <w:rPr>
                <w:rFonts w:ascii="黑体" w:eastAsia="黑体" w:hint="eastAsia"/>
                <w:sz w:val="21"/>
              </w:rPr>
              <w:t>（见释义 6.4）导致本附加险合同定义的重大疾病，无等待期。</w:t>
            </w:r>
          </w:p>
        </w:tc>
      </w:tr>
      <w:tr>
        <w:trPr>
          <w:trHeight w:val="1794" w:hRule="atLeast"/>
        </w:trPr>
        <w:tc>
          <w:tcPr>
            <w:tcW w:w="731" w:type="dxa"/>
          </w:tcPr>
          <w:p>
            <w:pPr>
              <w:pStyle w:val="TableParagraph"/>
              <w:spacing w:before="0"/>
              <w:ind w:left="0"/>
              <w:rPr>
                <w:rFonts w:ascii="Times New Roman"/>
                <w:sz w:val="20"/>
              </w:rPr>
            </w:pPr>
          </w:p>
        </w:tc>
        <w:tc>
          <w:tcPr>
            <w:tcW w:w="1603" w:type="dxa"/>
          </w:tcPr>
          <w:p>
            <w:pPr>
              <w:pStyle w:val="TableParagraph"/>
              <w:spacing w:line="312" w:lineRule="auto" w:before="8"/>
              <w:ind w:left="107" w:right="96"/>
              <w:rPr>
                <w:rFonts w:ascii="黑体" w:eastAsia="黑体" w:hint="eastAsia"/>
                <w:b/>
                <w:sz w:val="21"/>
              </w:rPr>
            </w:pPr>
            <w:r>
              <w:rPr>
                <w:rFonts w:ascii="黑体" w:eastAsia="黑体" w:hint="eastAsia"/>
                <w:b/>
                <w:sz w:val="21"/>
              </w:rPr>
              <w:t>少儿重大疾病保险金</w:t>
            </w:r>
          </w:p>
        </w:tc>
        <w:tc>
          <w:tcPr>
            <w:tcW w:w="7567" w:type="dxa"/>
          </w:tcPr>
          <w:p>
            <w:pPr>
              <w:pStyle w:val="TableParagraph"/>
              <w:spacing w:line="312" w:lineRule="auto" w:before="8"/>
              <w:ind w:left="95" w:right="308"/>
              <w:jc w:val="both"/>
              <w:rPr>
                <w:sz w:val="21"/>
              </w:rPr>
            </w:pPr>
            <w:r>
              <w:rPr>
                <w:spacing w:val="-7"/>
                <w:sz w:val="21"/>
              </w:rPr>
              <w:t>若被保险人在年满 </w:t>
            </w:r>
            <w:r>
              <w:rPr>
                <w:sz w:val="21"/>
              </w:rPr>
              <w:t>18</w:t>
            </w:r>
            <w:r>
              <w:rPr>
                <w:spacing w:val="-14"/>
                <w:sz w:val="21"/>
              </w:rPr>
              <w:t> 周岁之前，经医院初次确诊因意外伤害或于等待期后经</w:t>
            </w:r>
            <w:r>
              <w:rPr>
                <w:b/>
                <w:sz w:val="21"/>
              </w:rPr>
              <w:t>医院</w:t>
            </w:r>
            <w:r>
              <w:rPr>
                <w:sz w:val="21"/>
              </w:rPr>
              <w:t>（</w:t>
            </w:r>
            <w:r>
              <w:rPr>
                <w:spacing w:val="-12"/>
                <w:sz w:val="21"/>
              </w:rPr>
              <w:t>见释义 </w:t>
            </w:r>
            <w:r>
              <w:rPr>
                <w:sz w:val="21"/>
              </w:rPr>
              <w:t>6.5）</w:t>
            </w:r>
            <w:r>
              <w:rPr>
                <w:spacing w:val="-3"/>
                <w:sz w:val="21"/>
              </w:rPr>
              <w:t>初次确诊非因意外伤害导致罹患本附加险合同所定义的</w:t>
            </w:r>
            <w:r>
              <w:rPr>
                <w:b/>
                <w:sz w:val="21"/>
              </w:rPr>
              <w:t>少儿重大疾病</w:t>
            </w:r>
            <w:r>
              <w:rPr>
                <w:spacing w:val="-3"/>
                <w:sz w:val="21"/>
              </w:rPr>
              <w:t>（</w:t>
            </w:r>
            <w:r>
              <w:rPr>
                <w:spacing w:val="-14"/>
                <w:sz w:val="21"/>
              </w:rPr>
              <w:t>见释义 </w:t>
            </w:r>
            <w:r>
              <w:rPr>
                <w:sz w:val="21"/>
              </w:rPr>
              <w:t>6.3.1）</w:t>
            </w:r>
            <w:r>
              <w:rPr>
                <w:spacing w:val="-6"/>
                <w:sz w:val="21"/>
              </w:rPr>
              <w:t>中任何一种重大疾病， 且在确诊后 </w:t>
            </w:r>
            <w:r>
              <w:rPr>
                <w:sz w:val="21"/>
              </w:rPr>
              <w:t>30</w:t>
            </w:r>
            <w:r>
              <w:rPr>
                <w:spacing w:val="-11"/>
                <w:sz w:val="21"/>
              </w:rPr>
              <w:t> 天仍生存， </w:t>
            </w:r>
            <w:r>
              <w:rPr>
                <w:spacing w:val="-3"/>
                <w:sz w:val="21"/>
              </w:rPr>
              <w:t>本公司按基本保险金额向重大疾病保险金受益人给付重大疾病保险金，本附加</w:t>
            </w:r>
          </w:p>
          <w:p>
            <w:pPr>
              <w:pStyle w:val="TableParagraph"/>
              <w:spacing w:before="22"/>
              <w:ind w:left="95"/>
              <w:jc w:val="both"/>
              <w:rPr>
                <w:sz w:val="21"/>
              </w:rPr>
            </w:pPr>
            <w:r>
              <w:rPr>
                <w:sz w:val="21"/>
              </w:rPr>
              <w:t>险合同效力终止。</w:t>
            </w:r>
          </w:p>
        </w:tc>
      </w:tr>
      <w:tr>
        <w:trPr>
          <w:trHeight w:val="1435" w:hRule="atLeast"/>
        </w:trPr>
        <w:tc>
          <w:tcPr>
            <w:tcW w:w="731" w:type="dxa"/>
          </w:tcPr>
          <w:p>
            <w:pPr>
              <w:pStyle w:val="TableParagraph"/>
              <w:spacing w:before="0"/>
              <w:ind w:left="0"/>
              <w:rPr>
                <w:rFonts w:ascii="Times New Roman"/>
                <w:sz w:val="20"/>
              </w:rPr>
            </w:pPr>
          </w:p>
        </w:tc>
        <w:tc>
          <w:tcPr>
            <w:tcW w:w="1603" w:type="dxa"/>
          </w:tcPr>
          <w:p>
            <w:pPr>
              <w:pStyle w:val="TableParagraph"/>
              <w:spacing w:line="314" w:lineRule="auto" w:before="6"/>
              <w:ind w:left="107" w:right="96"/>
              <w:rPr>
                <w:rFonts w:ascii="黑体" w:eastAsia="黑体" w:hint="eastAsia"/>
                <w:b/>
                <w:sz w:val="21"/>
              </w:rPr>
            </w:pPr>
            <w:r>
              <w:rPr>
                <w:rFonts w:ascii="黑体" w:eastAsia="黑体" w:hint="eastAsia"/>
                <w:b/>
                <w:sz w:val="21"/>
              </w:rPr>
              <w:t>成人重大疾病保险金</w:t>
            </w:r>
          </w:p>
        </w:tc>
        <w:tc>
          <w:tcPr>
            <w:tcW w:w="7567" w:type="dxa"/>
          </w:tcPr>
          <w:p>
            <w:pPr>
              <w:pStyle w:val="TableParagraph"/>
              <w:spacing w:line="314" w:lineRule="auto" w:before="6"/>
              <w:ind w:left="95" w:right="305"/>
              <w:jc w:val="both"/>
              <w:rPr>
                <w:sz w:val="21"/>
              </w:rPr>
            </w:pPr>
            <w:r>
              <w:rPr>
                <w:spacing w:val="-6"/>
                <w:sz w:val="21"/>
              </w:rPr>
              <w:t>若被保险人在年满 </w:t>
            </w:r>
            <w:r>
              <w:rPr>
                <w:sz w:val="21"/>
              </w:rPr>
              <w:t>18</w:t>
            </w:r>
            <w:r>
              <w:rPr>
                <w:spacing w:val="-13"/>
                <w:sz w:val="21"/>
              </w:rPr>
              <w:t> 周岁之后，经医院初次确诊因意外伤害或于等待期后经医</w:t>
            </w:r>
            <w:r>
              <w:rPr>
                <w:spacing w:val="-6"/>
                <w:sz w:val="21"/>
              </w:rPr>
              <w:t>院初次确诊非因意外伤害导致罹患本附加险合同所定义的</w:t>
            </w:r>
            <w:r>
              <w:rPr>
                <w:b/>
                <w:sz w:val="21"/>
              </w:rPr>
              <w:t>成人重大疾病</w:t>
            </w:r>
            <w:r>
              <w:rPr>
                <w:spacing w:val="-3"/>
                <w:sz w:val="21"/>
              </w:rPr>
              <w:t>（见释</w:t>
            </w:r>
            <w:r>
              <w:rPr>
                <w:spacing w:val="-20"/>
                <w:sz w:val="21"/>
              </w:rPr>
              <w:t>义 </w:t>
            </w:r>
            <w:r>
              <w:rPr>
                <w:spacing w:val="-3"/>
                <w:sz w:val="21"/>
              </w:rPr>
              <w:t>6.3.2）</w:t>
            </w:r>
            <w:r>
              <w:rPr>
                <w:spacing w:val="-7"/>
                <w:sz w:val="21"/>
              </w:rPr>
              <w:t>中任何一种重大疾病，且在确诊后 </w:t>
            </w:r>
            <w:r>
              <w:rPr>
                <w:sz w:val="21"/>
              </w:rPr>
              <w:t>30</w:t>
            </w:r>
            <w:r>
              <w:rPr>
                <w:spacing w:val="-9"/>
                <w:sz w:val="21"/>
              </w:rPr>
              <w:t> 天仍生存，本公司按基本保险</w:t>
            </w:r>
          </w:p>
          <w:p>
            <w:pPr>
              <w:pStyle w:val="TableParagraph"/>
              <w:spacing w:before="19"/>
              <w:ind w:left="95"/>
              <w:jc w:val="both"/>
              <w:rPr>
                <w:sz w:val="21"/>
              </w:rPr>
            </w:pPr>
            <w:r>
              <w:rPr>
                <w:sz w:val="21"/>
              </w:rPr>
              <w:t>金额向重大疾病保险金受益人给付重大疾病保险金，本附加险合同效力终止。</w:t>
            </w:r>
          </w:p>
        </w:tc>
      </w:tr>
      <w:tr>
        <w:trPr>
          <w:trHeight w:val="856" w:hRule="atLeast"/>
        </w:trPr>
        <w:tc>
          <w:tcPr>
            <w:tcW w:w="731" w:type="dxa"/>
          </w:tcPr>
          <w:p>
            <w:pPr>
              <w:pStyle w:val="TableParagraph"/>
              <w:spacing w:before="0"/>
              <w:ind w:left="0"/>
              <w:rPr>
                <w:rFonts w:ascii="Times New Roman"/>
                <w:sz w:val="20"/>
              </w:rPr>
            </w:pPr>
          </w:p>
        </w:tc>
        <w:tc>
          <w:tcPr>
            <w:tcW w:w="1603" w:type="dxa"/>
          </w:tcPr>
          <w:p>
            <w:pPr>
              <w:pStyle w:val="TableParagraph"/>
              <w:spacing w:before="6"/>
              <w:ind w:left="107"/>
              <w:rPr>
                <w:rFonts w:ascii="黑体" w:eastAsia="黑体" w:hint="eastAsia"/>
                <w:b/>
                <w:sz w:val="21"/>
              </w:rPr>
            </w:pPr>
            <w:r>
              <w:rPr>
                <w:rFonts w:ascii="黑体" w:eastAsia="黑体" w:hint="eastAsia"/>
                <w:b/>
                <w:sz w:val="21"/>
              </w:rPr>
              <w:t>身故保险金</w:t>
            </w:r>
          </w:p>
        </w:tc>
        <w:tc>
          <w:tcPr>
            <w:tcW w:w="7567" w:type="dxa"/>
          </w:tcPr>
          <w:p>
            <w:pPr>
              <w:pStyle w:val="TableParagraph"/>
              <w:spacing w:line="314" w:lineRule="auto" w:before="6"/>
              <w:ind w:left="95" w:right="326"/>
              <w:rPr>
                <w:sz w:val="21"/>
              </w:rPr>
            </w:pPr>
            <w:r>
              <w:rPr>
                <w:sz w:val="21"/>
              </w:rPr>
              <w:t>被保险人身故，本公司将按累计所交保费给付身故保险金，本附加险合同效力终止。</w:t>
            </w:r>
          </w:p>
        </w:tc>
      </w:tr>
      <w:tr>
        <w:trPr>
          <w:trHeight w:val="4168" w:hRule="atLeast"/>
        </w:trPr>
        <w:tc>
          <w:tcPr>
            <w:tcW w:w="731" w:type="dxa"/>
          </w:tcPr>
          <w:p>
            <w:pPr>
              <w:pStyle w:val="TableParagraph"/>
              <w:spacing w:before="146"/>
              <w:ind w:left="77" w:right="88"/>
              <w:jc w:val="center"/>
              <w:rPr>
                <w:b/>
                <w:sz w:val="21"/>
              </w:rPr>
            </w:pPr>
            <w:r>
              <w:rPr>
                <w:b/>
                <w:sz w:val="21"/>
              </w:rPr>
              <w:t>2.6</w:t>
            </w:r>
          </w:p>
        </w:tc>
        <w:tc>
          <w:tcPr>
            <w:tcW w:w="1603" w:type="dxa"/>
          </w:tcPr>
          <w:p>
            <w:pPr>
              <w:pStyle w:val="TableParagraph"/>
              <w:spacing w:line="314" w:lineRule="auto" w:before="146"/>
              <w:ind w:left="107" w:right="225"/>
              <w:rPr>
                <w:rFonts w:ascii="黑体" w:eastAsia="黑体" w:hint="eastAsia"/>
                <w:b/>
                <w:sz w:val="21"/>
              </w:rPr>
            </w:pPr>
            <w:r>
              <w:rPr>
                <w:rFonts w:ascii="黑体" w:eastAsia="黑体" w:hint="eastAsia"/>
                <w:b/>
                <w:sz w:val="21"/>
              </w:rPr>
              <w:t>保险责任的免除</w:t>
            </w:r>
          </w:p>
        </w:tc>
        <w:tc>
          <w:tcPr>
            <w:tcW w:w="7567" w:type="dxa"/>
          </w:tcPr>
          <w:p>
            <w:pPr>
              <w:pStyle w:val="TableParagraph"/>
              <w:spacing w:line="314" w:lineRule="auto" w:before="146"/>
              <w:ind w:left="95" w:right="308"/>
              <w:rPr>
                <w:rFonts w:ascii="黑体" w:eastAsia="黑体" w:hint="eastAsia"/>
                <w:sz w:val="21"/>
              </w:rPr>
            </w:pPr>
            <w:r>
              <w:rPr>
                <w:rFonts w:ascii="黑体" w:eastAsia="黑体" w:hint="eastAsia"/>
                <w:sz w:val="21"/>
              </w:rPr>
              <w:t>因下列情形之一，导致被保险人发Th本附加险合同所定义的重大疾病的，本公司不承担给付重大疾病保险金的责任：</w:t>
            </w:r>
          </w:p>
          <w:p>
            <w:pPr>
              <w:pStyle w:val="TableParagraph"/>
              <w:numPr>
                <w:ilvl w:val="0"/>
                <w:numId w:val="6"/>
              </w:numPr>
              <w:tabs>
                <w:tab w:pos="817" w:val="left" w:leader="none"/>
              </w:tabs>
              <w:spacing w:line="240" w:lineRule="auto" w:before="173" w:after="0"/>
              <w:ind w:left="816"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17" w:val="left" w:leader="none"/>
              </w:tabs>
              <w:spacing w:line="240" w:lineRule="auto" w:before="84" w:after="0"/>
              <w:ind w:left="816"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17" w:val="left" w:leader="none"/>
              </w:tabs>
              <w:spacing w:line="240" w:lineRule="auto" w:before="82" w:after="0"/>
              <w:ind w:left="816" w:right="0" w:hanging="720"/>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6"/>
                <w:w w:val="100"/>
                <w:sz w:val="21"/>
              </w:rPr>
              <w:t>）；</w:t>
            </w:r>
          </w:p>
          <w:p>
            <w:pPr>
              <w:pStyle w:val="TableParagraph"/>
              <w:numPr>
                <w:ilvl w:val="0"/>
                <w:numId w:val="6"/>
              </w:numPr>
              <w:tabs>
                <w:tab w:pos="817" w:val="left" w:leader="none"/>
              </w:tabs>
              <w:spacing w:line="312" w:lineRule="auto" w:before="85" w:after="0"/>
              <w:ind w:left="816" w:right="200"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6"/>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65"/>
                <w:w w:val="100"/>
                <w:sz w:val="21"/>
              </w:rPr>
              <w:t>，</w:t>
            </w:r>
            <w:r>
              <w:rPr>
                <w:rFonts w:ascii="黑体" w:eastAsia="黑体" w:hint="eastAsia"/>
                <w:b/>
                <w:spacing w:val="-8"/>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8</w:t>
            </w:r>
            <w:r>
              <w:rPr>
                <w:rFonts w:ascii="黑体" w:eastAsia="黑体" w:hint="eastAsia"/>
                <w:w w:val="100"/>
                <w:sz w:val="21"/>
              </w:rPr>
              <w:t>）</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6.9）</w:t>
            </w:r>
            <w:r>
              <w:rPr>
                <w:rFonts w:ascii="黑体" w:eastAsia="黑体" w:hint="eastAsia"/>
                <w:spacing w:val="-3"/>
                <w:sz w:val="21"/>
              </w:rPr>
              <w:t>的机动车；</w:t>
            </w:r>
          </w:p>
          <w:p>
            <w:pPr>
              <w:pStyle w:val="TableParagraph"/>
              <w:numPr>
                <w:ilvl w:val="0"/>
                <w:numId w:val="6"/>
              </w:numPr>
              <w:tabs>
                <w:tab w:pos="817" w:val="left" w:leader="none"/>
              </w:tabs>
              <w:spacing w:line="240" w:lineRule="auto" w:before="22" w:after="0"/>
              <w:ind w:left="816"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817" w:val="left" w:leader="none"/>
              </w:tabs>
              <w:spacing w:line="240" w:lineRule="auto" w:before="82" w:after="0"/>
              <w:ind w:left="816"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817" w:val="left" w:leader="none"/>
              </w:tabs>
              <w:spacing w:line="360" w:lineRule="atLeast" w:before="0" w:after="0"/>
              <w:ind w:left="816" w:right="303" w:hanging="720"/>
              <w:jc w:val="left"/>
              <w:rPr>
                <w:rFonts w:ascii="黑体" w:eastAsia="黑体" w:hint="eastAsia"/>
                <w:sz w:val="21"/>
              </w:rPr>
            </w:pPr>
            <w:r>
              <w:rPr>
                <w:rFonts w:ascii="黑体" w:eastAsia="黑体" w:hint="eastAsia"/>
                <w:b/>
                <w:spacing w:val="-2"/>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spacing w:val="-10"/>
                <w:w w:val="100"/>
                <w:sz w:val="21"/>
              </w:rPr>
              <w:t>，</w:t>
            </w:r>
            <w:r>
              <w:rPr>
                <w:rFonts w:ascii="黑体" w:eastAsia="黑体" w:hint="eastAsia"/>
                <w:b/>
                <w:spacing w:val="-4"/>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 6.11</w:t>
            </w:r>
            <w:r>
              <w:rPr>
                <w:rFonts w:ascii="黑体" w:eastAsia="黑体" w:hint="eastAsia"/>
                <w:spacing w:val="-108"/>
                <w:w w:val="100"/>
                <w:sz w:val="21"/>
              </w:rPr>
              <w:t>）；</w:t>
            </w:r>
          </w:p>
        </w:tc>
      </w:tr>
    </w:tbl>
    <w:p>
      <w:pPr>
        <w:spacing w:after="0" w:line="360" w:lineRule="atLeast"/>
        <w:jc w:val="left"/>
        <w:rPr>
          <w:rFonts w:ascii="黑体" w:eastAsia="黑体" w:hint="eastAsia"/>
          <w:sz w:val="21"/>
        </w:rPr>
        <w:sectPr>
          <w:pgSz w:w="11910" w:h="16840"/>
          <w:pgMar w:top="1500" w:bottom="280" w:left="740" w:right="10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70"/>
        <w:gridCol w:w="7431"/>
      </w:tblGrid>
      <w:tr>
        <w:trPr>
          <w:trHeight w:val="3335" w:hRule="atLeast"/>
        </w:trPr>
        <w:tc>
          <w:tcPr>
            <w:tcW w:w="606" w:type="dxa"/>
          </w:tcPr>
          <w:p>
            <w:pPr>
              <w:pStyle w:val="TableParagraph"/>
              <w:spacing w:before="0"/>
              <w:ind w:left="0"/>
              <w:rPr>
                <w:rFonts w:ascii="Times New Roman"/>
                <w:sz w:val="20"/>
              </w:rPr>
            </w:pPr>
          </w:p>
        </w:tc>
        <w:tc>
          <w:tcPr>
            <w:tcW w:w="1570" w:type="dxa"/>
          </w:tcPr>
          <w:p>
            <w:pPr>
              <w:pStyle w:val="TableParagraph"/>
              <w:spacing w:before="0"/>
              <w:ind w:left="0"/>
              <w:rPr>
                <w:rFonts w:ascii="Times New Roman"/>
                <w:sz w:val="20"/>
              </w:rPr>
            </w:pPr>
          </w:p>
        </w:tc>
        <w:tc>
          <w:tcPr>
            <w:tcW w:w="7431" w:type="dxa"/>
          </w:tcPr>
          <w:p>
            <w:pPr>
              <w:pStyle w:val="TableParagraph"/>
              <w:spacing w:line="208" w:lineRule="exact" w:before="0"/>
              <w:rPr>
                <w:rFonts w:ascii="黑体" w:eastAsia="黑体" w:hint="eastAsia"/>
                <w:sz w:val="21"/>
              </w:rPr>
            </w:pPr>
            <w:r>
              <w:rPr>
                <w:rFonts w:ascii="黑体" w:eastAsia="黑体" w:hint="eastAsia"/>
                <w:w w:val="100"/>
                <w:sz w:val="21"/>
              </w:rPr>
              <w:t>（8）</w:t>
            </w:r>
            <w:r>
              <w:rPr>
                <w:rFonts w:ascii="黑体" w:eastAsia="黑体" w:hint="eastAsia"/>
                <w:spacing w:val="-9"/>
                <w:sz w:val="21"/>
              </w:rPr>
              <w:t>  </w:t>
            </w:r>
            <w:r>
              <w:rPr>
                <w:rFonts w:ascii="黑体" w:eastAsia="黑体" w:hint="eastAsia"/>
                <w:spacing w:val="-2"/>
                <w:w w:val="100"/>
                <w:sz w:val="21"/>
              </w:rPr>
              <w:t>感染</w:t>
            </w:r>
            <w:r>
              <w:rPr>
                <w:rFonts w:ascii="黑体" w:eastAsia="黑体" w:hint="eastAsia"/>
                <w:b/>
                <w:spacing w:val="-1"/>
                <w:w w:val="100"/>
                <w:sz w:val="21"/>
              </w:rPr>
              <w:t>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8"/>
                <w:w w:val="100"/>
                <w:sz w:val="21"/>
              </w:rPr>
              <w:t>）。</w:t>
            </w:r>
          </w:p>
          <w:p>
            <w:pPr>
              <w:pStyle w:val="TableParagraph"/>
              <w:spacing w:line="314" w:lineRule="auto" w:before="82"/>
              <w:ind w:right="17"/>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本附加险合同所定义的重大疾病的， </w:t>
            </w:r>
            <w:r>
              <w:rPr>
                <w:rFonts w:ascii="黑体" w:eastAsia="黑体" w:hint="eastAsia"/>
                <w:spacing w:val="-6"/>
                <w:sz w:val="21"/>
              </w:rPr>
              <w:t>本附加险合同终止，您已交足 </w:t>
            </w:r>
            <w:r>
              <w:rPr>
                <w:rFonts w:ascii="黑体" w:eastAsia="黑体" w:hint="eastAsia"/>
                <w:sz w:val="21"/>
              </w:rPr>
              <w:t>2</w:t>
            </w:r>
            <w:r>
              <w:rPr>
                <w:rFonts w:ascii="黑体" w:eastAsia="黑体" w:hint="eastAsia"/>
                <w:spacing w:val="-8"/>
                <w:sz w:val="21"/>
              </w:rPr>
              <w:t> 年以上保险费的，本公司向其他权利人退还保</w:t>
            </w:r>
            <w:r>
              <w:rPr>
                <w:rFonts w:ascii="黑体" w:eastAsia="黑体" w:hint="eastAsia"/>
                <w:spacing w:val="-5"/>
                <w:sz w:val="21"/>
              </w:rPr>
              <w:t>险单的现金价值。</w:t>
            </w:r>
          </w:p>
          <w:p>
            <w:pPr>
              <w:pStyle w:val="TableParagraph"/>
              <w:spacing w:line="314" w:lineRule="auto" w:before="19"/>
              <w:ind w:right="17"/>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本附加险合同所定义的重大疾病的， </w:t>
            </w:r>
            <w:r>
              <w:rPr>
                <w:rFonts w:ascii="黑体" w:eastAsia="黑体" w:hint="eastAsia"/>
                <w:spacing w:val="-6"/>
                <w:sz w:val="21"/>
              </w:rPr>
              <w:t>本附加险合同终止，您已交足 </w:t>
            </w:r>
            <w:r>
              <w:rPr>
                <w:rFonts w:ascii="黑体" w:eastAsia="黑体" w:hint="eastAsia"/>
                <w:sz w:val="21"/>
              </w:rPr>
              <w:t>2</w:t>
            </w:r>
            <w:r>
              <w:rPr>
                <w:rFonts w:ascii="黑体" w:eastAsia="黑体" w:hint="eastAsia"/>
                <w:spacing w:val="-8"/>
                <w:sz w:val="21"/>
              </w:rPr>
              <w:t> 年以上保险费的，本公司向您退还保险单的现</w:t>
            </w:r>
            <w:r>
              <w:rPr>
                <w:rFonts w:ascii="黑体" w:eastAsia="黑体" w:hint="eastAsia"/>
                <w:spacing w:val="-6"/>
                <w:sz w:val="21"/>
              </w:rPr>
              <w:t>金价值。</w:t>
            </w:r>
          </w:p>
          <w:p>
            <w:pPr>
              <w:pStyle w:val="TableParagraph"/>
              <w:spacing w:line="314" w:lineRule="auto" w:before="17"/>
              <w:ind w:right="121"/>
              <w:rPr>
                <w:rFonts w:ascii="黑体" w:eastAsia="黑体" w:hint="eastAsia"/>
                <w:sz w:val="21"/>
              </w:rPr>
            </w:pPr>
            <w:r>
              <w:rPr>
                <w:rFonts w:ascii="黑体" w:eastAsia="黑体" w:hint="eastAsia"/>
                <w:sz w:val="21"/>
              </w:rPr>
              <w:t>发Th上述其他项情形导致被保险人发Th本附加险合同所定义的重大疾病的，本附加险合同终止，本公司向您退还保险单的现金价值。</w:t>
            </w:r>
          </w:p>
        </w:tc>
      </w:tr>
      <w:tr>
        <w:trPr>
          <w:trHeight w:val="6225" w:hRule="atLeast"/>
        </w:trPr>
        <w:tc>
          <w:tcPr>
            <w:tcW w:w="606" w:type="dxa"/>
          </w:tcPr>
          <w:p>
            <w:pPr>
              <w:pStyle w:val="TableParagraph"/>
              <w:spacing w:before="0"/>
              <w:ind w:left="0"/>
              <w:rPr>
                <w:rFonts w:ascii="Times New Roman"/>
                <w:sz w:val="20"/>
              </w:rPr>
            </w:pPr>
          </w:p>
        </w:tc>
        <w:tc>
          <w:tcPr>
            <w:tcW w:w="1570" w:type="dxa"/>
          </w:tcPr>
          <w:p>
            <w:pPr>
              <w:pStyle w:val="TableParagraph"/>
              <w:spacing w:before="0"/>
              <w:ind w:left="0"/>
              <w:rPr>
                <w:rFonts w:ascii="Times New Roman"/>
                <w:sz w:val="20"/>
              </w:rPr>
            </w:pPr>
          </w:p>
        </w:tc>
        <w:tc>
          <w:tcPr>
            <w:tcW w:w="7431" w:type="dxa"/>
          </w:tcPr>
          <w:p>
            <w:pPr>
              <w:pStyle w:val="TableParagraph"/>
              <w:spacing w:before="3"/>
              <w:ind w:left="0"/>
              <w:rPr>
                <w:b/>
                <w:sz w:val="14"/>
              </w:rPr>
            </w:pPr>
          </w:p>
          <w:p>
            <w:pPr>
              <w:pStyle w:val="TableParagraph"/>
              <w:spacing w:before="1"/>
              <w:rPr>
                <w:rFonts w:ascii="黑体" w:eastAsia="黑体" w:hint="eastAsia"/>
                <w:sz w:val="21"/>
              </w:rPr>
            </w:pPr>
            <w:r>
              <w:rPr>
                <w:rFonts w:ascii="黑体" w:eastAsia="黑体" w:hint="eastAsia"/>
                <w:spacing w:val="-12"/>
                <w:sz w:val="21"/>
              </w:rPr>
              <w:t>因下列情形之一，导致被保险人身故的，本公司不承担给付身故保险金的责任：</w:t>
            </w:r>
          </w:p>
          <w:p>
            <w:pPr>
              <w:pStyle w:val="TableParagraph"/>
              <w:spacing w:before="3"/>
              <w:ind w:left="0"/>
              <w:rPr>
                <w:b/>
                <w:sz w:val="18"/>
              </w:rPr>
            </w:pPr>
          </w:p>
          <w:p>
            <w:pPr>
              <w:pStyle w:val="TableParagraph"/>
              <w:spacing w:before="0"/>
              <w:rPr>
                <w:rFonts w:ascii="黑体" w:eastAsia="黑体" w:hint="eastAsia"/>
                <w:sz w:val="21"/>
              </w:rPr>
            </w:pPr>
            <w:r>
              <w:rPr>
                <w:rFonts w:ascii="黑体" w:eastAsia="黑体" w:hint="eastAsia"/>
                <w:sz w:val="21"/>
              </w:rPr>
              <w:t>(1)投保人对被保险人的故意杀害、故意伤害；</w:t>
            </w:r>
          </w:p>
          <w:p>
            <w:pPr>
              <w:pStyle w:val="TableParagraph"/>
              <w:spacing w:before="84"/>
              <w:rPr>
                <w:rFonts w:ascii="黑体" w:eastAsia="黑体" w:hint="eastAsia"/>
                <w:sz w:val="21"/>
              </w:rPr>
            </w:pPr>
            <w:r>
              <w:rPr>
                <w:rFonts w:ascii="黑体" w:eastAsia="黑体" w:hint="eastAsia"/>
                <w:sz w:val="21"/>
              </w:rPr>
              <w:t>(2)被保险人故意犯罪或者抗拒依法采取的刑事强制措施；</w:t>
            </w:r>
          </w:p>
          <w:p>
            <w:pPr>
              <w:pStyle w:val="TableParagraph"/>
              <w:spacing w:before="82"/>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6</w:t>
            </w:r>
            <w:r>
              <w:rPr>
                <w:rFonts w:ascii="黑体" w:eastAsia="黑体" w:hint="eastAsia"/>
                <w:spacing w:val="-106"/>
                <w:w w:val="100"/>
                <w:sz w:val="21"/>
              </w:rPr>
              <w:t>）；</w:t>
            </w:r>
          </w:p>
          <w:p>
            <w:pPr>
              <w:pStyle w:val="TableParagraph"/>
              <w:spacing w:line="312" w:lineRule="auto" w:before="85"/>
              <w:ind w:right="82"/>
              <w:rPr>
                <w:rFonts w:ascii="黑体" w:eastAsia="黑体" w:hint="eastAsia"/>
                <w:sz w:val="21"/>
              </w:rPr>
            </w:pPr>
            <w:r>
              <w:rPr>
                <w:rFonts w:ascii="黑体" w:eastAsia="黑体" w:hint="eastAsia"/>
                <w:w w:val="100"/>
                <w:sz w:val="21"/>
              </w:rPr>
              <w:t>(4)</w:t>
            </w:r>
            <w:r>
              <w:rPr>
                <w:rFonts w:ascii="黑体" w:eastAsia="黑体" w:hint="eastAsia"/>
                <w:spacing w:val="-3"/>
                <w:w w:val="100"/>
                <w:sz w:val="21"/>
              </w:rPr>
              <w:t>被保险人</w:t>
            </w:r>
            <w:r>
              <w:rPr>
                <w:rFonts w:ascii="黑体" w:eastAsia="黑体" w:hint="eastAsia"/>
                <w:b/>
                <w:spacing w:val="-6"/>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spacing w:val="-3"/>
                <w:w w:val="100"/>
                <w:sz w:val="21"/>
              </w:rPr>
              <w:t>6</w:t>
            </w:r>
            <w:r>
              <w:rPr>
                <w:rFonts w:ascii="黑体" w:eastAsia="黑体" w:hint="eastAsia"/>
                <w:w w:val="100"/>
                <w:sz w:val="21"/>
              </w:rPr>
              <w:t>.7</w:t>
            </w:r>
            <w:r>
              <w:rPr>
                <w:rFonts w:ascii="黑体" w:eastAsia="黑体" w:hint="eastAsia"/>
                <w:spacing w:val="-108"/>
                <w:w w:val="100"/>
                <w:sz w:val="21"/>
              </w:rPr>
              <w:t>）</w:t>
            </w:r>
            <w:r>
              <w:rPr>
                <w:rFonts w:ascii="黑体" w:eastAsia="黑体" w:hint="eastAsia"/>
                <w:spacing w:val="-27"/>
                <w:w w:val="100"/>
                <w:sz w:val="21"/>
              </w:rPr>
              <w:t>，</w:t>
            </w:r>
            <w:r>
              <w:rPr>
                <w:rFonts w:ascii="黑体" w:eastAsia="黑体" w:hint="eastAsia"/>
                <w:b/>
                <w:spacing w:val="-4"/>
                <w:w w:val="100"/>
                <w:sz w:val="21"/>
              </w:rPr>
              <w:t>无合法有效驾驶证驾驶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8</w:t>
            </w:r>
            <w:r>
              <w:rPr>
                <w:rFonts w:ascii="黑体" w:eastAsia="黑体" w:hint="eastAsia"/>
                <w:spacing w:val="-27"/>
                <w:w w:val="100"/>
                <w:sz w:val="21"/>
              </w:rPr>
              <w:t>）或</w:t>
            </w:r>
            <w:r>
              <w:rPr>
                <w:rFonts w:ascii="黑体" w:eastAsia="黑体" w:hint="eastAsia"/>
                <w:sz w:val="21"/>
              </w:rPr>
              <w:t>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6.9）</w:t>
            </w:r>
            <w:r>
              <w:rPr>
                <w:rFonts w:ascii="黑体" w:eastAsia="黑体" w:hint="eastAsia"/>
                <w:spacing w:val="-3"/>
                <w:sz w:val="21"/>
              </w:rPr>
              <w:t>的机动车；</w:t>
            </w:r>
          </w:p>
          <w:p>
            <w:pPr>
              <w:pStyle w:val="TableParagraph"/>
              <w:spacing w:before="22"/>
              <w:rPr>
                <w:rFonts w:ascii="黑体" w:eastAsia="黑体" w:hint="eastAsia"/>
                <w:sz w:val="21"/>
              </w:rPr>
            </w:pPr>
            <w:r>
              <w:rPr>
                <w:rFonts w:ascii="黑体" w:eastAsia="黑体" w:hint="eastAsia"/>
                <w:sz w:val="21"/>
              </w:rPr>
              <w:t>(5)战争、军事冲突、暴乱或武装叛乱；</w:t>
            </w:r>
          </w:p>
          <w:p>
            <w:pPr>
              <w:pStyle w:val="TableParagraph"/>
              <w:spacing w:before="82"/>
              <w:rPr>
                <w:rFonts w:ascii="黑体" w:eastAsia="黑体" w:hint="eastAsia"/>
                <w:sz w:val="21"/>
              </w:rPr>
            </w:pPr>
            <w:r>
              <w:rPr>
                <w:rFonts w:ascii="黑体" w:eastAsia="黑体" w:hint="eastAsia"/>
                <w:sz w:val="21"/>
              </w:rPr>
              <w:t>(6)核爆炸、核辐射或核污染；</w:t>
            </w:r>
          </w:p>
          <w:p>
            <w:pPr>
              <w:pStyle w:val="TableParagraph"/>
              <w:spacing w:line="312" w:lineRule="auto" w:before="85"/>
              <w:ind w:right="23"/>
              <w:rPr>
                <w:rFonts w:ascii="黑体" w:eastAsia="黑体" w:hint="eastAsia"/>
                <w:sz w:val="21"/>
              </w:rPr>
            </w:pPr>
            <w:r>
              <w:rPr>
                <w:rFonts w:ascii="黑体" w:eastAsia="黑体" w:hint="eastAsia"/>
                <w:sz w:val="21"/>
              </w:rPr>
              <w:t>(7) 被保险人自本主险合同成立或者合同效力恢复之日起 2 年内自杀，但被保险人自杀时为无民事行为能力人的除外.</w:t>
            </w:r>
          </w:p>
          <w:p>
            <w:pPr>
              <w:pStyle w:val="TableParagraph"/>
              <w:spacing w:line="312" w:lineRule="auto" w:before="22"/>
              <w:ind w:right="106"/>
              <w:rPr>
                <w:rFonts w:ascii="黑体" w:eastAsia="黑体" w:hint="eastAsia"/>
                <w:sz w:val="21"/>
              </w:rPr>
            </w:pPr>
            <w:r>
              <w:rPr>
                <w:rFonts w:ascii="黑体" w:eastAsia="黑体" w:hint="eastAsia"/>
                <w:sz w:val="21"/>
              </w:rPr>
              <w:t>发Th</w:t>
            </w:r>
            <w:r>
              <w:rPr>
                <w:rFonts w:ascii="黑体" w:eastAsia="黑体" w:hint="eastAsia"/>
                <w:spacing w:val="-5"/>
                <w:sz w:val="21"/>
              </w:rPr>
              <w:t>上述第（1）</w:t>
            </w:r>
            <w:r>
              <w:rPr>
                <w:rFonts w:ascii="黑体" w:eastAsia="黑体" w:hint="eastAsia"/>
                <w:spacing w:val="-6"/>
                <w:sz w:val="21"/>
              </w:rPr>
              <w:t>项情形导致被保险人身故的，本附加险合同终止，您已交足 </w:t>
            </w:r>
            <w:r>
              <w:rPr>
                <w:rFonts w:ascii="黑体" w:eastAsia="黑体" w:hint="eastAsia"/>
                <w:sz w:val="21"/>
              </w:rPr>
              <w:t>2 </w:t>
            </w:r>
            <w:r>
              <w:rPr>
                <w:rFonts w:ascii="黑体" w:eastAsia="黑体" w:hint="eastAsia"/>
                <w:spacing w:val="-3"/>
                <w:sz w:val="21"/>
              </w:rPr>
              <w:t>年以上保险费的，本公司向其他权利人退还保险单的现金价值。</w:t>
            </w:r>
          </w:p>
          <w:p>
            <w:pPr>
              <w:pStyle w:val="TableParagraph"/>
              <w:spacing w:line="312" w:lineRule="auto" w:before="22"/>
              <w:ind w:right="106"/>
              <w:rPr>
                <w:rFonts w:ascii="黑体" w:eastAsia="黑体" w:hint="eastAsia"/>
                <w:sz w:val="21"/>
              </w:rPr>
            </w:pPr>
            <w:r>
              <w:rPr>
                <w:rFonts w:ascii="黑体" w:eastAsia="黑体" w:hint="eastAsia"/>
                <w:sz w:val="21"/>
              </w:rPr>
              <w:t>发Th</w:t>
            </w:r>
            <w:r>
              <w:rPr>
                <w:rFonts w:ascii="黑体" w:eastAsia="黑体" w:hint="eastAsia"/>
                <w:spacing w:val="-5"/>
                <w:sz w:val="21"/>
              </w:rPr>
              <w:t>上述第（2）</w:t>
            </w:r>
            <w:r>
              <w:rPr>
                <w:rFonts w:ascii="黑体" w:eastAsia="黑体" w:hint="eastAsia"/>
                <w:spacing w:val="-6"/>
                <w:sz w:val="21"/>
              </w:rPr>
              <w:t>项情形导致被保险人身故的，本附加险合同终止，您已交足 </w:t>
            </w:r>
            <w:r>
              <w:rPr>
                <w:rFonts w:ascii="黑体" w:eastAsia="黑体" w:hint="eastAsia"/>
                <w:sz w:val="21"/>
              </w:rPr>
              <w:t>2 </w:t>
            </w:r>
            <w:r>
              <w:rPr>
                <w:rFonts w:ascii="黑体" w:eastAsia="黑体" w:hint="eastAsia"/>
                <w:spacing w:val="-3"/>
                <w:sz w:val="21"/>
              </w:rPr>
              <w:t>年以上保险费的，本公司向您退还保险单的现金价值。</w:t>
            </w:r>
          </w:p>
          <w:p>
            <w:pPr>
              <w:pStyle w:val="TableParagraph"/>
              <w:spacing w:line="312" w:lineRule="auto" w:before="22"/>
              <w:ind w:right="120"/>
              <w:rPr>
                <w:rFonts w:ascii="黑体" w:eastAsia="黑体" w:hint="eastAsia"/>
                <w:sz w:val="21"/>
              </w:rPr>
            </w:pPr>
            <w:r>
              <w:rPr>
                <w:rFonts w:ascii="黑体" w:eastAsia="黑体" w:hint="eastAsia"/>
                <w:sz w:val="21"/>
              </w:rPr>
              <w:t>发Th上述其他项情形导致被保险人身故的，本附加险合同终止，本公司向您退还保险单的现金价值。</w:t>
            </w:r>
          </w:p>
        </w:tc>
      </w:tr>
      <w:tr>
        <w:trPr>
          <w:trHeight w:val="745" w:hRule="atLeast"/>
        </w:trPr>
        <w:tc>
          <w:tcPr>
            <w:tcW w:w="606" w:type="dxa"/>
            <w:tcBorders>
              <w:bottom w:val="single" w:sz="8" w:space="0" w:color="000000"/>
            </w:tcBorders>
          </w:tcPr>
          <w:p>
            <w:pPr>
              <w:pStyle w:val="TableParagraph"/>
              <w:spacing w:before="183"/>
              <w:ind w:left="107"/>
              <w:rPr>
                <w:rFonts w:ascii="Arial" w:hAnsi="Arial"/>
                <w:b/>
                <w:sz w:val="40"/>
              </w:rPr>
            </w:pPr>
            <w:r>
              <w:rPr>
                <w:rFonts w:ascii="Arial" w:hAnsi="Arial"/>
                <w:b/>
                <w:w w:val="119"/>
                <w:sz w:val="40"/>
              </w:rPr>
              <w:t></w:t>
            </w:r>
          </w:p>
        </w:tc>
        <w:tc>
          <w:tcPr>
            <w:tcW w:w="9001" w:type="dxa"/>
            <w:gridSpan w:val="2"/>
            <w:tcBorders>
              <w:bottom w:val="single" w:sz="8" w:space="0" w:color="000000"/>
            </w:tcBorders>
          </w:tcPr>
          <w:p>
            <w:pPr>
              <w:pStyle w:val="TableParagraph"/>
              <w:spacing w:before="3"/>
              <w:ind w:left="0"/>
              <w:rPr>
                <w:b/>
                <w:sz w:val="18"/>
              </w:rPr>
            </w:pPr>
          </w:p>
          <w:p>
            <w:pPr>
              <w:pStyle w:val="TableParagraph"/>
              <w:spacing w:before="0"/>
              <w:ind w:left="140"/>
              <w:rPr>
                <w:b/>
                <w:sz w:val="24"/>
              </w:rPr>
            </w:pPr>
            <w:r>
              <w:rPr>
                <w:b/>
                <w:w w:val="95"/>
                <w:sz w:val="24"/>
              </w:rPr>
              <w:t>如何申请领取保险金</w:t>
            </w:r>
          </w:p>
        </w:tc>
      </w:tr>
      <w:tr>
        <w:trPr>
          <w:trHeight w:val="568" w:hRule="atLeast"/>
        </w:trPr>
        <w:tc>
          <w:tcPr>
            <w:tcW w:w="606" w:type="dxa"/>
            <w:tcBorders>
              <w:top w:val="single" w:sz="8" w:space="0" w:color="000000"/>
            </w:tcBorders>
          </w:tcPr>
          <w:p>
            <w:pPr>
              <w:pStyle w:val="TableParagraph"/>
              <w:spacing w:before="7"/>
              <w:ind w:left="0"/>
              <w:rPr>
                <w:b/>
                <w:sz w:val="16"/>
              </w:rPr>
            </w:pPr>
          </w:p>
          <w:p>
            <w:pPr>
              <w:pStyle w:val="TableParagraph"/>
              <w:spacing w:before="1"/>
              <w:ind w:left="107"/>
              <w:rPr>
                <w:b/>
                <w:sz w:val="21"/>
              </w:rPr>
            </w:pPr>
            <w:r>
              <w:rPr>
                <w:b/>
                <w:sz w:val="21"/>
              </w:rPr>
              <w:t>3.1</w:t>
            </w:r>
          </w:p>
        </w:tc>
        <w:tc>
          <w:tcPr>
            <w:tcW w:w="1570" w:type="dxa"/>
            <w:tcBorders>
              <w:top w:val="single" w:sz="8" w:space="0" w:color="000000"/>
            </w:tcBorders>
          </w:tcPr>
          <w:p>
            <w:pPr>
              <w:pStyle w:val="TableParagraph"/>
              <w:spacing w:before="7"/>
              <w:ind w:left="0"/>
              <w:rPr>
                <w:b/>
                <w:sz w:val="16"/>
              </w:rPr>
            </w:pPr>
          </w:p>
          <w:p>
            <w:pPr>
              <w:pStyle w:val="TableParagraph"/>
              <w:spacing w:before="1"/>
              <w:ind w:left="140"/>
              <w:rPr>
                <w:b/>
                <w:sz w:val="21"/>
              </w:rPr>
            </w:pPr>
            <w:r>
              <w:rPr>
                <w:b/>
                <w:sz w:val="21"/>
              </w:rPr>
              <w:t>保险金受益人</w:t>
            </w:r>
          </w:p>
        </w:tc>
        <w:tc>
          <w:tcPr>
            <w:tcW w:w="7431" w:type="dxa"/>
            <w:tcBorders>
              <w:top w:val="single" w:sz="8" w:space="0" w:color="000000"/>
            </w:tcBorders>
          </w:tcPr>
          <w:p>
            <w:pPr>
              <w:pStyle w:val="TableParagraph"/>
              <w:spacing w:before="0"/>
              <w:ind w:left="0"/>
              <w:rPr>
                <w:rFonts w:ascii="Times New Roman"/>
                <w:sz w:val="20"/>
              </w:rPr>
            </w:pPr>
          </w:p>
        </w:tc>
      </w:tr>
      <w:tr>
        <w:trPr>
          <w:trHeight w:val="717" w:hRule="atLeast"/>
        </w:trPr>
        <w:tc>
          <w:tcPr>
            <w:tcW w:w="606" w:type="dxa"/>
          </w:tcPr>
          <w:p>
            <w:pPr>
              <w:pStyle w:val="TableParagraph"/>
              <w:spacing w:before="0"/>
              <w:ind w:left="0"/>
              <w:rPr>
                <w:rFonts w:ascii="Times New Roman"/>
                <w:sz w:val="20"/>
              </w:rPr>
            </w:pPr>
          </w:p>
        </w:tc>
        <w:tc>
          <w:tcPr>
            <w:tcW w:w="1570" w:type="dxa"/>
          </w:tcPr>
          <w:p>
            <w:pPr>
              <w:pStyle w:val="TableParagraph"/>
              <w:spacing w:before="6"/>
              <w:ind w:left="140"/>
              <w:rPr>
                <w:b/>
                <w:sz w:val="21"/>
              </w:rPr>
            </w:pPr>
            <w:r>
              <w:rPr>
                <w:b/>
                <w:sz w:val="21"/>
              </w:rPr>
              <w:t>重大疾病保险</w:t>
            </w:r>
          </w:p>
          <w:p>
            <w:pPr>
              <w:pStyle w:val="TableParagraph"/>
              <w:spacing w:before="84"/>
              <w:ind w:left="140"/>
              <w:rPr>
                <w:b/>
                <w:sz w:val="21"/>
              </w:rPr>
            </w:pPr>
            <w:r>
              <w:rPr>
                <w:b/>
                <w:sz w:val="21"/>
              </w:rPr>
              <w:t>金受益人</w:t>
            </w:r>
          </w:p>
        </w:tc>
        <w:tc>
          <w:tcPr>
            <w:tcW w:w="7431" w:type="dxa"/>
          </w:tcPr>
          <w:p>
            <w:pPr>
              <w:pStyle w:val="TableParagraph"/>
              <w:spacing w:before="6"/>
              <w:rPr>
                <w:sz w:val="21"/>
              </w:rPr>
            </w:pPr>
            <w:r>
              <w:rPr>
                <w:sz w:val="21"/>
              </w:rPr>
              <w:t>除另有约定，</w:t>
            </w:r>
            <w:r>
              <w:rPr>
                <w:rFonts w:ascii="黑体" w:eastAsia="黑体" w:hint="eastAsia"/>
                <w:sz w:val="21"/>
              </w:rPr>
              <w:t>本附加险合同重大疾病保险金受益人为被保险人</w:t>
            </w:r>
            <w:r>
              <w:rPr>
                <w:sz w:val="21"/>
              </w:rPr>
              <w:t>。</w:t>
            </w:r>
          </w:p>
        </w:tc>
      </w:tr>
      <w:tr>
        <w:trPr>
          <w:trHeight w:val="2079" w:hRule="atLeast"/>
        </w:trPr>
        <w:tc>
          <w:tcPr>
            <w:tcW w:w="606" w:type="dxa"/>
          </w:tcPr>
          <w:p>
            <w:pPr>
              <w:pStyle w:val="TableParagraph"/>
              <w:spacing w:before="0"/>
              <w:ind w:left="0"/>
              <w:rPr>
                <w:rFonts w:ascii="Times New Roman"/>
                <w:sz w:val="20"/>
              </w:rPr>
            </w:pPr>
          </w:p>
        </w:tc>
        <w:tc>
          <w:tcPr>
            <w:tcW w:w="1570" w:type="dxa"/>
          </w:tcPr>
          <w:p>
            <w:pPr>
              <w:pStyle w:val="TableParagraph"/>
              <w:spacing w:line="314" w:lineRule="auto" w:before="6"/>
              <w:ind w:left="140" w:right="159"/>
              <w:rPr>
                <w:b/>
                <w:sz w:val="21"/>
              </w:rPr>
            </w:pPr>
            <w:r>
              <w:rPr>
                <w:b/>
                <w:sz w:val="21"/>
              </w:rPr>
              <w:t>身故保险金受益人</w:t>
            </w:r>
          </w:p>
        </w:tc>
        <w:tc>
          <w:tcPr>
            <w:tcW w:w="7431" w:type="dxa"/>
          </w:tcPr>
          <w:p>
            <w:pPr>
              <w:pStyle w:val="TableParagraph"/>
              <w:spacing w:before="6"/>
              <w:rPr>
                <w:sz w:val="21"/>
              </w:rPr>
            </w:pPr>
            <w:r>
              <w:rPr>
                <w:sz w:val="21"/>
              </w:rPr>
              <w:t>您或被保险人可以指定一人或多人为身故保险金受益人。</w:t>
            </w:r>
          </w:p>
          <w:p>
            <w:pPr>
              <w:pStyle w:val="TableParagraph"/>
              <w:spacing w:line="312" w:lineRule="auto" w:before="84"/>
              <w:ind w:right="107"/>
              <w:rPr>
                <w:sz w:val="21"/>
              </w:rPr>
            </w:pPr>
            <w:r>
              <w:rPr>
                <w:sz w:val="21"/>
              </w:rPr>
              <w:t>被保险人为无民事行为能力人或限制民事行为能力人的，可以由其监护人指定受益人。</w:t>
            </w:r>
          </w:p>
          <w:p>
            <w:pPr>
              <w:pStyle w:val="TableParagraph"/>
              <w:spacing w:line="312" w:lineRule="auto" w:before="21"/>
              <w:ind w:right="121"/>
              <w:rPr>
                <w:sz w:val="21"/>
              </w:rPr>
            </w:pPr>
            <w:r>
              <w:rPr>
                <w:sz w:val="21"/>
              </w:rPr>
              <w:t>身故保险金受益人为多人时，可以确定受益顺序和受益份额；如果没有确定份额，各身故保险金受益人按照相等份额享有受益权。</w:t>
            </w:r>
          </w:p>
          <w:p>
            <w:pPr>
              <w:pStyle w:val="TableParagraph"/>
              <w:spacing w:line="258" w:lineRule="exact" w:before="22"/>
              <w:rPr>
                <w:sz w:val="21"/>
              </w:rPr>
            </w:pPr>
            <w:r>
              <w:rPr>
                <w:sz w:val="21"/>
              </w:rPr>
              <w:t>您或被保险人可以变更身故保险金受益人并书面通知本公司。本公司收到变更</w:t>
            </w:r>
          </w:p>
        </w:tc>
      </w:tr>
    </w:tbl>
    <w:p>
      <w:pPr>
        <w:spacing w:after="0" w:line="258" w:lineRule="exact"/>
        <w:rPr>
          <w:sz w:val="21"/>
        </w:rPr>
        <w:sectPr>
          <w:pgSz w:w="11910" w:h="16840"/>
          <w:pgMar w:top="1500" w:bottom="280" w:left="820" w:right="12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590"/>
        <w:gridCol w:w="7633"/>
      </w:tblGrid>
      <w:tr>
        <w:trPr>
          <w:trHeight w:val="4362" w:hRule="atLeast"/>
        </w:trPr>
        <w:tc>
          <w:tcPr>
            <w:tcW w:w="678" w:type="dxa"/>
          </w:tcPr>
          <w:p>
            <w:pPr>
              <w:pStyle w:val="TableParagraph"/>
              <w:spacing w:before="0"/>
              <w:ind w:left="0"/>
              <w:rPr>
                <w:rFonts w:ascii="Times New Roman"/>
                <w:sz w:val="20"/>
              </w:rPr>
            </w:pPr>
          </w:p>
        </w:tc>
        <w:tc>
          <w:tcPr>
            <w:tcW w:w="1590" w:type="dxa"/>
          </w:tcPr>
          <w:p>
            <w:pPr>
              <w:pStyle w:val="TableParagraph"/>
              <w:spacing w:before="0"/>
              <w:ind w:left="0"/>
              <w:rPr>
                <w:rFonts w:ascii="Times New Roman"/>
                <w:sz w:val="20"/>
              </w:rPr>
            </w:pPr>
          </w:p>
        </w:tc>
        <w:tc>
          <w:tcPr>
            <w:tcW w:w="7633" w:type="dxa"/>
          </w:tcPr>
          <w:p>
            <w:pPr>
              <w:pStyle w:val="TableParagraph"/>
              <w:spacing w:line="208" w:lineRule="exact" w:before="0"/>
              <w:rPr>
                <w:sz w:val="21"/>
              </w:rPr>
            </w:pPr>
            <w:r>
              <w:rPr>
                <w:sz w:val="21"/>
              </w:rPr>
              <w:t>身故保险金受益人的书面通知后，将及时在保险单或者其他保险凭证上批注或</w:t>
            </w:r>
          </w:p>
          <w:p>
            <w:pPr>
              <w:pStyle w:val="TableParagraph"/>
              <w:spacing w:before="82"/>
              <w:rPr>
                <w:sz w:val="21"/>
              </w:rPr>
            </w:pPr>
            <w:r>
              <w:rPr>
                <w:sz w:val="21"/>
              </w:rPr>
              <w:t>者附贴批单。</w:t>
            </w:r>
          </w:p>
          <w:p>
            <w:pPr>
              <w:pStyle w:val="TableParagraph"/>
              <w:spacing w:before="84"/>
              <w:rPr>
                <w:sz w:val="21"/>
              </w:rPr>
            </w:pPr>
            <w:r>
              <w:rPr>
                <w:sz w:val="21"/>
              </w:rPr>
              <w:t>您在指定和变更身故保险金受益人时，必须经被保险人同意。</w:t>
            </w:r>
          </w:p>
          <w:p>
            <w:pPr>
              <w:pStyle w:val="TableParagraph"/>
              <w:spacing w:line="314" w:lineRule="auto" w:before="82"/>
              <w:ind w:right="326"/>
              <w:rPr>
                <w:sz w:val="21"/>
              </w:rPr>
            </w:pPr>
            <w:r>
              <w:rPr>
                <w:sz w:val="21"/>
              </w:rPr>
              <w:t>被保险人身故后，遇有下列情形之一的，保险金作为被保险人的遗产，由本公司依照《中华人民共和国继承法》的规定履行给付保险金的义务：</w:t>
            </w:r>
          </w:p>
          <w:p>
            <w:pPr>
              <w:pStyle w:val="TableParagraph"/>
              <w:spacing w:before="17"/>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69"/>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67"/>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312" w:lineRule="auto" w:before="69"/>
              <w:ind w:right="323"/>
              <w:rPr>
                <w:sz w:val="21"/>
              </w:rPr>
            </w:pPr>
            <w:r>
              <w:rPr>
                <w:sz w:val="21"/>
              </w:rPr>
              <w:t>受益人与被保险人在同一事件中身故，且不能确定身故先后顺序的，推定受益人身故在先。</w:t>
            </w:r>
          </w:p>
          <w:p>
            <w:pPr>
              <w:pStyle w:val="TableParagraph"/>
              <w:spacing w:line="312" w:lineRule="auto" w:before="22"/>
              <w:ind w:right="200"/>
              <w:rPr>
                <w:sz w:val="21"/>
              </w:rPr>
            </w:pPr>
            <w:r>
              <w:rPr>
                <w:spacing w:val="-9"/>
                <w:sz w:val="21"/>
              </w:rPr>
              <w:t>受益人故意造成被保险人身故、伤残、疾病的，或者故意杀害被保险人未遂的， </w:t>
            </w:r>
            <w:r>
              <w:rPr>
                <w:spacing w:val="-5"/>
                <w:sz w:val="21"/>
              </w:rPr>
              <w:t>该受益人丧失受益权。</w:t>
            </w:r>
          </w:p>
        </w:tc>
      </w:tr>
      <w:tr>
        <w:trPr>
          <w:trHeight w:val="2075" w:hRule="atLeast"/>
        </w:trPr>
        <w:tc>
          <w:tcPr>
            <w:tcW w:w="678" w:type="dxa"/>
          </w:tcPr>
          <w:p>
            <w:pPr>
              <w:pStyle w:val="TableParagraph"/>
              <w:spacing w:before="148"/>
              <w:ind w:left="179" w:right="141"/>
              <w:jc w:val="center"/>
              <w:rPr>
                <w:b/>
                <w:sz w:val="21"/>
              </w:rPr>
            </w:pPr>
            <w:r>
              <w:rPr>
                <w:b/>
                <w:sz w:val="21"/>
              </w:rPr>
              <w:t>3.2</w:t>
            </w:r>
          </w:p>
        </w:tc>
        <w:tc>
          <w:tcPr>
            <w:tcW w:w="1590" w:type="dxa"/>
          </w:tcPr>
          <w:p>
            <w:pPr>
              <w:pStyle w:val="TableParagraph"/>
              <w:spacing w:before="148"/>
              <w:ind w:left="160"/>
              <w:rPr>
                <w:b/>
                <w:sz w:val="21"/>
              </w:rPr>
            </w:pPr>
            <w:r>
              <w:rPr>
                <w:b/>
                <w:sz w:val="21"/>
              </w:rPr>
              <w:t>保险事故通知</w:t>
            </w:r>
          </w:p>
        </w:tc>
        <w:tc>
          <w:tcPr>
            <w:tcW w:w="7633" w:type="dxa"/>
          </w:tcPr>
          <w:p>
            <w:pPr>
              <w:pStyle w:val="TableParagraph"/>
              <w:spacing w:before="136"/>
              <w:rPr>
                <w:i/>
                <w:sz w:val="22"/>
              </w:rPr>
            </w:pPr>
            <w:r>
              <w:rPr>
                <w:sz w:val="21"/>
              </w:rPr>
              <w:t>您或受益人应当在知道保险事故发生后 10 日内通知本公司</w:t>
            </w:r>
            <w:r>
              <w:rPr>
                <w:i/>
                <w:sz w:val="22"/>
              </w:rPr>
              <w:t>。</w:t>
            </w:r>
          </w:p>
          <w:p>
            <w:pPr>
              <w:pStyle w:val="TableParagraph"/>
              <w:spacing w:line="312" w:lineRule="auto" w:before="83"/>
              <w:ind w:right="197"/>
              <w:rPr>
                <w:sz w:val="21"/>
              </w:rPr>
            </w:pPr>
            <w:r>
              <w:rPr>
                <w:rFonts w:ascii="黑体" w:eastAsia="黑体" w:hint="eastAsia"/>
                <w:spacing w:val="-7"/>
                <w:sz w:val="21"/>
              </w:rPr>
              <w:t>如果您或受益人故意或者因重大过失未及时通知，致使保险事故的性质、原因、</w:t>
            </w:r>
            <w:r>
              <w:rPr>
                <w:rFonts w:ascii="黑体" w:eastAsia="黑体" w:hint="eastAsia"/>
                <w:spacing w:val="-10"/>
                <w:sz w:val="21"/>
              </w:rPr>
              <w:t>损失程度等难以确定的，本公司对无法确定的部分，不承担给付保险金的责任</w:t>
            </w:r>
            <w:r>
              <w:rPr>
                <w:sz w:val="21"/>
              </w:rPr>
              <w:t>， </w:t>
            </w:r>
            <w:r>
              <w:rPr>
                <w:spacing w:val="-3"/>
                <w:sz w:val="21"/>
              </w:rPr>
              <w:t>但本公司通过其他途径已经及时知道或者应当及时知道保险事故发生或者虽未及时通知但不影响本公司确定保险事故的性质、原因、损失程度的除外。</w:t>
            </w:r>
          </w:p>
        </w:tc>
      </w:tr>
      <w:tr>
        <w:trPr>
          <w:trHeight w:val="498" w:hRule="atLeast"/>
        </w:trPr>
        <w:tc>
          <w:tcPr>
            <w:tcW w:w="678" w:type="dxa"/>
          </w:tcPr>
          <w:p>
            <w:pPr>
              <w:pStyle w:val="TableParagraph"/>
              <w:spacing w:before="147"/>
              <w:ind w:left="179" w:right="141"/>
              <w:jc w:val="center"/>
              <w:rPr>
                <w:b/>
                <w:sz w:val="21"/>
              </w:rPr>
            </w:pPr>
            <w:r>
              <w:rPr>
                <w:b/>
                <w:sz w:val="21"/>
              </w:rPr>
              <w:t>3.3</w:t>
            </w:r>
          </w:p>
        </w:tc>
        <w:tc>
          <w:tcPr>
            <w:tcW w:w="1590" w:type="dxa"/>
          </w:tcPr>
          <w:p>
            <w:pPr>
              <w:pStyle w:val="TableParagraph"/>
              <w:spacing w:before="147"/>
              <w:ind w:left="160"/>
              <w:rPr>
                <w:b/>
                <w:sz w:val="21"/>
              </w:rPr>
            </w:pPr>
            <w:r>
              <w:rPr>
                <w:b/>
                <w:sz w:val="21"/>
              </w:rPr>
              <w:t>保险金申请</w:t>
            </w:r>
          </w:p>
        </w:tc>
        <w:tc>
          <w:tcPr>
            <w:tcW w:w="7633" w:type="dxa"/>
          </w:tcPr>
          <w:p>
            <w:pPr>
              <w:pStyle w:val="TableParagraph"/>
              <w:spacing w:before="147"/>
              <w:rPr>
                <w:sz w:val="21"/>
              </w:rPr>
            </w:pPr>
            <w:r>
              <w:rPr>
                <w:sz w:val="21"/>
              </w:rPr>
              <w:t>在申请保险金时，请按照下列方式办理：</w:t>
            </w:r>
          </w:p>
        </w:tc>
      </w:tr>
      <w:tr>
        <w:trPr>
          <w:trHeight w:val="2870" w:hRule="atLeast"/>
        </w:trPr>
        <w:tc>
          <w:tcPr>
            <w:tcW w:w="678" w:type="dxa"/>
          </w:tcPr>
          <w:p>
            <w:pPr>
              <w:pStyle w:val="TableParagraph"/>
              <w:spacing w:before="0"/>
              <w:ind w:left="0"/>
              <w:rPr>
                <w:rFonts w:ascii="Times New Roman"/>
                <w:sz w:val="20"/>
              </w:rPr>
            </w:pPr>
          </w:p>
        </w:tc>
        <w:tc>
          <w:tcPr>
            <w:tcW w:w="1590" w:type="dxa"/>
          </w:tcPr>
          <w:p>
            <w:pPr>
              <w:pStyle w:val="TableParagraph"/>
              <w:spacing w:line="314" w:lineRule="auto" w:before="6"/>
              <w:ind w:left="160" w:right="159"/>
              <w:rPr>
                <w:rFonts w:ascii="黑体" w:eastAsia="黑体" w:hint="eastAsia"/>
                <w:b/>
                <w:sz w:val="21"/>
              </w:rPr>
            </w:pPr>
            <w:r>
              <w:rPr>
                <w:rFonts w:ascii="黑体" w:eastAsia="黑体" w:hint="eastAsia"/>
                <w:b/>
                <w:sz w:val="21"/>
              </w:rPr>
              <w:t>重大疾病保险金申请</w:t>
            </w:r>
          </w:p>
        </w:tc>
        <w:tc>
          <w:tcPr>
            <w:tcW w:w="7633" w:type="dxa"/>
          </w:tcPr>
          <w:p>
            <w:pPr>
              <w:pStyle w:val="TableParagraph"/>
              <w:spacing w:before="6"/>
              <w:rPr>
                <w:sz w:val="21"/>
              </w:rPr>
            </w:pPr>
            <w:r>
              <w:rPr>
                <w:sz w:val="21"/>
              </w:rPr>
              <w:t>申请人须填写保险金给付申请书，并须提供下列证明和资料：</w:t>
            </w:r>
          </w:p>
          <w:p>
            <w:pPr>
              <w:pStyle w:val="TableParagraph"/>
              <w:spacing w:before="84"/>
              <w:ind w:left="164"/>
              <w:rPr>
                <w:sz w:val="21"/>
              </w:rPr>
            </w:pPr>
            <w:r>
              <w:rPr>
                <w:sz w:val="21"/>
              </w:rPr>
              <w:t>（1）保险合同；</w:t>
            </w:r>
          </w:p>
          <w:p>
            <w:pPr>
              <w:pStyle w:val="TableParagraph"/>
              <w:spacing w:before="82"/>
              <w:rPr>
                <w:sz w:val="21"/>
              </w:rPr>
            </w:pPr>
            <w:r>
              <w:rPr>
                <w:sz w:val="21"/>
              </w:rPr>
              <w:t>（2）受益人的有效身份证件；</w:t>
            </w:r>
          </w:p>
          <w:p>
            <w:pPr>
              <w:pStyle w:val="TableParagraph"/>
              <w:spacing w:line="312" w:lineRule="auto" w:before="85"/>
              <w:ind w:left="654" w:right="200" w:hanging="491"/>
              <w:rPr>
                <w:sz w:val="21"/>
              </w:rPr>
            </w:pPr>
            <w:r>
              <w:rPr>
                <w:sz w:val="21"/>
              </w:rPr>
              <w:t>（3）</w:t>
            </w:r>
            <w:r>
              <w:rPr>
                <w:spacing w:val="-3"/>
                <w:sz w:val="21"/>
              </w:rPr>
              <w:t>专科医生出具的诊断证明书(包括：完整病历、出院小结、病理组织检查</w:t>
            </w:r>
            <w:r>
              <w:rPr>
                <w:spacing w:val="-9"/>
                <w:sz w:val="21"/>
              </w:rPr>
              <w:t>报告、血液检查、其他科学方法检验报告的病史资料及疾病诊断报告书)；</w:t>
            </w:r>
          </w:p>
          <w:p>
            <w:pPr>
              <w:pStyle w:val="TableParagraph"/>
              <w:spacing w:line="312" w:lineRule="auto" w:before="22"/>
              <w:ind w:right="322" w:firstLine="2"/>
              <w:rPr>
                <w:sz w:val="21"/>
              </w:rPr>
            </w:pPr>
            <w:r>
              <w:rPr>
                <w:sz w:val="21"/>
              </w:rPr>
              <w:t>（4）</w:t>
            </w:r>
            <w:r>
              <w:rPr>
                <w:spacing w:val="-3"/>
                <w:sz w:val="21"/>
              </w:rPr>
              <w:t>所能提供的与确认保险事故的性质、原因等有关的其他证明和资料。  以上证明和资料不完整的，本公司将及时一次性通知申请人补充提供有关证明</w:t>
            </w:r>
          </w:p>
          <w:p>
            <w:pPr>
              <w:pStyle w:val="TableParagraph"/>
              <w:spacing w:before="22"/>
              <w:rPr>
                <w:sz w:val="21"/>
              </w:rPr>
            </w:pPr>
            <w:r>
              <w:rPr>
                <w:sz w:val="21"/>
              </w:rPr>
              <w:t>和资料。</w:t>
            </w:r>
          </w:p>
        </w:tc>
      </w:tr>
      <w:tr>
        <w:trPr>
          <w:trHeight w:val="3365" w:hRule="atLeast"/>
        </w:trPr>
        <w:tc>
          <w:tcPr>
            <w:tcW w:w="678" w:type="dxa"/>
          </w:tcPr>
          <w:p>
            <w:pPr>
              <w:pStyle w:val="TableParagraph"/>
              <w:spacing w:before="0"/>
              <w:ind w:left="0"/>
              <w:rPr>
                <w:rFonts w:ascii="Times New Roman"/>
                <w:sz w:val="20"/>
              </w:rPr>
            </w:pPr>
          </w:p>
        </w:tc>
        <w:tc>
          <w:tcPr>
            <w:tcW w:w="1590" w:type="dxa"/>
          </w:tcPr>
          <w:p>
            <w:pPr>
              <w:pStyle w:val="TableParagraph"/>
              <w:spacing w:line="314" w:lineRule="auto" w:before="6"/>
              <w:ind w:left="160" w:right="161"/>
              <w:rPr>
                <w:rFonts w:ascii="黑体" w:eastAsia="黑体" w:hint="eastAsia"/>
                <w:b/>
                <w:sz w:val="21"/>
              </w:rPr>
            </w:pPr>
            <w:r>
              <w:rPr>
                <w:rFonts w:ascii="黑体" w:eastAsia="黑体" w:hint="eastAsia"/>
                <w:b/>
                <w:sz w:val="21"/>
              </w:rPr>
              <w:t>身故保险金申请</w:t>
            </w:r>
          </w:p>
        </w:tc>
        <w:tc>
          <w:tcPr>
            <w:tcW w:w="7633" w:type="dxa"/>
          </w:tcPr>
          <w:p>
            <w:pPr>
              <w:pStyle w:val="TableParagraph"/>
              <w:spacing w:before="6"/>
              <w:rPr>
                <w:sz w:val="21"/>
              </w:rPr>
            </w:pPr>
            <w:r>
              <w:rPr>
                <w:sz w:val="21"/>
              </w:rPr>
              <w:t>申请人须填写保险金给付申请书，并须提供下列证明和资料：</w:t>
            </w:r>
          </w:p>
          <w:p>
            <w:pPr>
              <w:pStyle w:val="TableParagraph"/>
              <w:spacing w:before="85"/>
              <w:ind w:left="164"/>
              <w:rPr>
                <w:sz w:val="21"/>
              </w:rPr>
            </w:pPr>
            <w:r>
              <w:rPr>
                <w:sz w:val="21"/>
              </w:rPr>
              <w:t>（1）保险合同；</w:t>
            </w:r>
          </w:p>
          <w:p>
            <w:pPr>
              <w:pStyle w:val="TableParagraph"/>
              <w:spacing w:before="82"/>
              <w:ind w:left="164"/>
              <w:rPr>
                <w:sz w:val="21"/>
              </w:rPr>
            </w:pPr>
            <w:r>
              <w:rPr>
                <w:sz w:val="21"/>
              </w:rPr>
              <w:t>（2）受益人的有效身份证件；</w:t>
            </w:r>
          </w:p>
          <w:p>
            <w:pPr>
              <w:pStyle w:val="TableParagraph"/>
              <w:spacing w:line="312" w:lineRule="auto" w:before="84"/>
              <w:ind w:left="654" w:right="305" w:hanging="491"/>
              <w:rPr>
                <w:sz w:val="21"/>
              </w:rPr>
            </w:pPr>
            <w:r>
              <w:rPr>
                <w:spacing w:val="-16"/>
                <w:sz w:val="21"/>
              </w:rPr>
              <w:t>（3）</w:t>
            </w:r>
            <w:r>
              <w:rPr>
                <w:spacing w:val="-6"/>
                <w:sz w:val="21"/>
              </w:rPr>
              <w:t>国务院卫生行政部门认定的医疗机构、公安部门或其他相关机构出具的被</w:t>
            </w:r>
            <w:r>
              <w:rPr>
                <w:spacing w:val="-3"/>
                <w:sz w:val="21"/>
              </w:rPr>
              <w:t>保险人的死亡证明；</w:t>
            </w:r>
          </w:p>
          <w:p>
            <w:pPr>
              <w:pStyle w:val="TableParagraph"/>
              <w:spacing w:line="312" w:lineRule="auto" w:before="21"/>
              <w:ind w:right="323" w:firstLine="2"/>
              <w:rPr>
                <w:sz w:val="21"/>
              </w:rPr>
            </w:pPr>
            <w:r>
              <w:rPr>
                <w:sz w:val="21"/>
              </w:rPr>
              <w:t>（4）</w:t>
            </w:r>
            <w:r>
              <w:rPr>
                <w:spacing w:val="-3"/>
                <w:sz w:val="21"/>
              </w:rPr>
              <w:t>所能提供的与确认保险事故的性质、原因等有关的其他证明和资料。  保险金作为被保险人遗产时，必须提供可证明合法继承权的相关权利文件。以上证明和资料不完整的，本公司将及时一次性通知申请人补充提供有关证明和资料。</w:t>
            </w:r>
          </w:p>
        </w:tc>
      </w:tr>
      <w:tr>
        <w:trPr>
          <w:trHeight w:val="421" w:hRule="atLeast"/>
        </w:trPr>
        <w:tc>
          <w:tcPr>
            <w:tcW w:w="678" w:type="dxa"/>
          </w:tcPr>
          <w:p>
            <w:pPr>
              <w:pStyle w:val="TableParagraph"/>
              <w:spacing w:line="258" w:lineRule="exact"/>
              <w:ind w:left="179" w:right="141"/>
              <w:jc w:val="center"/>
              <w:rPr>
                <w:b/>
                <w:sz w:val="21"/>
              </w:rPr>
            </w:pPr>
            <w:r>
              <w:rPr>
                <w:b/>
                <w:sz w:val="21"/>
              </w:rPr>
              <w:t>3.4</w:t>
            </w:r>
          </w:p>
        </w:tc>
        <w:tc>
          <w:tcPr>
            <w:tcW w:w="1590" w:type="dxa"/>
          </w:tcPr>
          <w:p>
            <w:pPr>
              <w:pStyle w:val="TableParagraph"/>
              <w:spacing w:line="258" w:lineRule="exact"/>
              <w:ind w:left="160"/>
              <w:rPr>
                <w:b/>
                <w:sz w:val="21"/>
              </w:rPr>
            </w:pPr>
            <w:r>
              <w:rPr>
                <w:b/>
                <w:sz w:val="21"/>
              </w:rPr>
              <w:t>保险金的给付</w:t>
            </w:r>
          </w:p>
        </w:tc>
        <w:tc>
          <w:tcPr>
            <w:tcW w:w="7633" w:type="dxa"/>
          </w:tcPr>
          <w:p>
            <w:pPr>
              <w:pStyle w:val="TableParagraph"/>
              <w:spacing w:line="258" w:lineRule="exact"/>
              <w:rPr>
                <w:sz w:val="21"/>
              </w:rPr>
            </w:pPr>
            <w:r>
              <w:rPr>
                <w:sz w:val="21"/>
              </w:rPr>
              <w:t>本公司在收到保险金给付申请书及合同约定的证明和资料后，将在 5 日内作出</w:t>
            </w:r>
          </w:p>
        </w:tc>
      </w:tr>
    </w:tbl>
    <w:p>
      <w:pPr>
        <w:spacing w:after="0" w:line="258" w:lineRule="exact"/>
        <w:rPr>
          <w:sz w:val="21"/>
        </w:rPr>
        <w:sectPr>
          <w:pgSz w:w="11910" w:h="16840"/>
          <w:pgMar w:top="1500" w:bottom="280" w:left="740" w:right="10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70"/>
        <w:gridCol w:w="7433"/>
      </w:tblGrid>
      <w:tr>
        <w:trPr>
          <w:trHeight w:val="3649" w:hRule="atLeast"/>
        </w:trPr>
        <w:tc>
          <w:tcPr>
            <w:tcW w:w="606" w:type="dxa"/>
          </w:tcPr>
          <w:p>
            <w:pPr>
              <w:pStyle w:val="TableParagraph"/>
              <w:spacing w:before="0"/>
              <w:ind w:left="0"/>
              <w:rPr>
                <w:rFonts w:ascii="Times New Roman"/>
                <w:sz w:val="20"/>
              </w:rPr>
            </w:pPr>
          </w:p>
        </w:tc>
        <w:tc>
          <w:tcPr>
            <w:tcW w:w="1570" w:type="dxa"/>
          </w:tcPr>
          <w:p>
            <w:pPr>
              <w:pStyle w:val="TableParagraph"/>
              <w:spacing w:before="0"/>
              <w:ind w:left="0"/>
              <w:rPr>
                <w:rFonts w:ascii="Times New Roman"/>
                <w:sz w:val="20"/>
              </w:rPr>
            </w:pPr>
          </w:p>
        </w:tc>
        <w:tc>
          <w:tcPr>
            <w:tcW w:w="7433" w:type="dxa"/>
          </w:tcPr>
          <w:p>
            <w:pPr>
              <w:pStyle w:val="TableParagraph"/>
              <w:spacing w:line="208" w:lineRule="exact" w:before="0"/>
              <w:rPr>
                <w:sz w:val="21"/>
              </w:rPr>
            </w:pPr>
            <w:r>
              <w:rPr>
                <w:sz w:val="21"/>
              </w:rPr>
              <w:t>核定；情形复杂的，在 30 日内作出核定。本合同另有约定的除外。</w:t>
            </w:r>
          </w:p>
          <w:p>
            <w:pPr>
              <w:pStyle w:val="TableParagraph"/>
              <w:spacing w:line="314" w:lineRule="auto" w:before="82"/>
              <w:ind w:right="105"/>
              <w:jc w:val="both"/>
              <w:rPr>
                <w:sz w:val="21"/>
              </w:rPr>
            </w:pPr>
            <w:r>
              <w:rPr>
                <w:spacing w:val="-9"/>
                <w:sz w:val="21"/>
              </w:rPr>
              <w:t>对属于保险责任的，本公司在与受益人达成给付保险金的协议后 </w:t>
            </w:r>
            <w:r>
              <w:rPr>
                <w:sz w:val="21"/>
              </w:rPr>
              <w:t>10</w:t>
            </w:r>
            <w:r>
              <w:rPr>
                <w:spacing w:val="-16"/>
                <w:sz w:val="21"/>
              </w:rPr>
              <w:t> 日内，履行</w:t>
            </w:r>
            <w:r>
              <w:rPr>
                <w:spacing w:val="-7"/>
                <w:sz w:val="21"/>
              </w:rPr>
              <w:t>给付保险金义务。</w:t>
            </w:r>
          </w:p>
          <w:p>
            <w:pPr>
              <w:pStyle w:val="TableParagraph"/>
              <w:spacing w:line="314" w:lineRule="auto" w:before="17"/>
              <w:ind w:right="109"/>
              <w:jc w:val="both"/>
              <w:rPr>
                <w:sz w:val="21"/>
              </w:rPr>
            </w:pPr>
            <w:r>
              <w:rPr>
                <w:sz w:val="21"/>
              </w:rPr>
              <w:t>本公司未及时履行前款规定义务的，除支付保险金外，应当赔偿受益人因此受到的损失。</w:t>
            </w:r>
          </w:p>
          <w:p>
            <w:pPr>
              <w:pStyle w:val="TableParagraph"/>
              <w:spacing w:line="314" w:lineRule="auto" w:before="17"/>
              <w:ind w:right="122"/>
              <w:jc w:val="both"/>
              <w:rPr>
                <w:sz w:val="21"/>
              </w:rPr>
            </w:pPr>
            <w:r>
              <w:rPr>
                <w:spacing w:val="-5"/>
                <w:sz w:val="21"/>
              </w:rPr>
              <w:t>对不属于保险责任的，本公司自作出核定之日起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314" w:lineRule="auto" w:before="17"/>
              <w:ind w:right="105"/>
              <w:jc w:val="both"/>
              <w:rPr>
                <w:sz w:val="21"/>
              </w:rPr>
            </w:pPr>
            <w:r>
              <w:rPr>
                <w:spacing w:val="-5"/>
                <w:sz w:val="21"/>
              </w:rPr>
              <w:t>本公司在收到保险金给付申请书及有关证明和资料之日起 </w:t>
            </w:r>
            <w:r>
              <w:rPr>
                <w:sz w:val="21"/>
              </w:rPr>
              <w:t>60</w:t>
            </w:r>
            <w:r>
              <w:rPr>
                <w:spacing w:val="-17"/>
                <w:sz w:val="21"/>
              </w:rPr>
              <w:t> 日内，对给付保险</w:t>
            </w:r>
            <w:r>
              <w:rPr>
                <w:spacing w:val="-7"/>
                <w:sz w:val="21"/>
              </w:rPr>
              <w:t>金的数额不能确定的，根据已有证明和资料可以确定的数额先予支付；本公司</w:t>
            </w:r>
            <w:r>
              <w:rPr>
                <w:spacing w:val="-5"/>
                <w:sz w:val="21"/>
              </w:rPr>
              <w:t>最终确定给付保险金的数额后，将支付相应的差额。</w:t>
            </w:r>
          </w:p>
        </w:tc>
      </w:tr>
      <w:tr>
        <w:trPr>
          <w:trHeight w:val="2074" w:hRule="atLeast"/>
        </w:trPr>
        <w:tc>
          <w:tcPr>
            <w:tcW w:w="606" w:type="dxa"/>
          </w:tcPr>
          <w:p>
            <w:pPr>
              <w:pStyle w:val="TableParagraph"/>
              <w:spacing w:before="144"/>
              <w:ind w:left="107"/>
              <w:rPr>
                <w:b/>
                <w:sz w:val="21"/>
              </w:rPr>
            </w:pPr>
            <w:r>
              <w:rPr>
                <w:b/>
                <w:sz w:val="21"/>
              </w:rPr>
              <w:t>3.5</w:t>
            </w:r>
          </w:p>
        </w:tc>
        <w:tc>
          <w:tcPr>
            <w:tcW w:w="1570" w:type="dxa"/>
          </w:tcPr>
          <w:p>
            <w:pPr>
              <w:pStyle w:val="TableParagraph"/>
              <w:spacing w:before="144"/>
              <w:ind w:left="140"/>
              <w:rPr>
                <w:b/>
                <w:sz w:val="21"/>
              </w:rPr>
            </w:pPr>
            <w:r>
              <w:rPr>
                <w:b/>
                <w:sz w:val="21"/>
              </w:rPr>
              <w:t>失踪处理</w:t>
            </w:r>
          </w:p>
        </w:tc>
        <w:tc>
          <w:tcPr>
            <w:tcW w:w="7433" w:type="dxa"/>
          </w:tcPr>
          <w:p>
            <w:pPr>
              <w:pStyle w:val="TableParagraph"/>
              <w:spacing w:line="314" w:lineRule="auto" w:before="144"/>
              <w:ind w:right="122"/>
              <w:jc w:val="both"/>
              <w:rPr>
                <w:sz w:val="21"/>
              </w:rPr>
            </w:pPr>
            <w:r>
              <w:rPr>
                <w:sz w:val="21"/>
              </w:rPr>
              <w:t>如果被保险人在本附加险合同有效期内失踪，而且被法院宣告死亡，本公司以法院判决宣告死亡之日作为被保险人的身故时间，按本附加险合同的约定给付身故保险金，本附加险合同终止。</w:t>
            </w:r>
          </w:p>
          <w:p>
            <w:pPr>
              <w:pStyle w:val="TableParagraph"/>
              <w:spacing w:line="312" w:lineRule="auto" w:before="20"/>
              <w:ind w:right="122"/>
              <w:jc w:val="both"/>
              <w:rPr>
                <w:sz w:val="21"/>
              </w:rPr>
            </w:pPr>
            <w:r>
              <w:rPr>
                <w:sz w:val="21"/>
              </w:rPr>
              <w:t>如果被保险人在宣告死亡后重新出现或确知其没有死亡，身故保险金受益人应于知道后 </w:t>
            </w:r>
            <w:r>
              <w:rPr>
                <w:rFonts w:ascii="Times New Roman" w:eastAsia="Times New Roman"/>
                <w:sz w:val="21"/>
              </w:rPr>
              <w:t>30 </w:t>
            </w:r>
            <w:r>
              <w:rPr>
                <w:sz w:val="21"/>
              </w:rPr>
              <w:t>日内向本公司退还已给付的保险金。</w:t>
            </w:r>
          </w:p>
        </w:tc>
      </w:tr>
      <w:tr>
        <w:trPr>
          <w:trHeight w:val="989" w:hRule="atLeast"/>
        </w:trPr>
        <w:tc>
          <w:tcPr>
            <w:tcW w:w="606" w:type="dxa"/>
          </w:tcPr>
          <w:p>
            <w:pPr>
              <w:pStyle w:val="TableParagraph"/>
              <w:spacing w:before="135"/>
              <w:ind w:left="107"/>
              <w:rPr>
                <w:b/>
                <w:sz w:val="21"/>
              </w:rPr>
            </w:pPr>
            <w:r>
              <w:rPr>
                <w:b/>
                <w:sz w:val="21"/>
              </w:rPr>
              <w:t>3.6</w:t>
            </w:r>
          </w:p>
        </w:tc>
        <w:tc>
          <w:tcPr>
            <w:tcW w:w="1570" w:type="dxa"/>
          </w:tcPr>
          <w:p>
            <w:pPr>
              <w:pStyle w:val="TableParagraph"/>
              <w:spacing w:before="135"/>
              <w:ind w:left="140"/>
              <w:rPr>
                <w:b/>
                <w:sz w:val="21"/>
              </w:rPr>
            </w:pPr>
            <w:r>
              <w:rPr>
                <w:b/>
                <w:sz w:val="21"/>
              </w:rPr>
              <w:t>诉讼时效</w:t>
            </w:r>
          </w:p>
        </w:tc>
        <w:tc>
          <w:tcPr>
            <w:tcW w:w="7433" w:type="dxa"/>
          </w:tcPr>
          <w:p>
            <w:pPr>
              <w:pStyle w:val="TableParagraph"/>
              <w:spacing w:line="314" w:lineRule="auto" w:before="135"/>
              <w:ind w:right="125"/>
              <w:rPr>
                <w:sz w:val="21"/>
              </w:rPr>
            </w:pPr>
            <w:r>
              <w:rPr>
                <w:spacing w:val="-5"/>
                <w:sz w:val="21"/>
              </w:rPr>
              <w:t>受益人向本公司请求给付保险金的诉讼时效期间为 </w:t>
            </w:r>
            <w:r>
              <w:rPr>
                <w:sz w:val="21"/>
              </w:rPr>
              <w:t>2</w:t>
            </w:r>
            <w:r>
              <w:rPr>
                <w:spacing w:val="-7"/>
                <w:sz w:val="21"/>
              </w:rPr>
              <w:t> 年，自其知道或应当知道</w:t>
            </w:r>
            <w:r>
              <w:rPr>
                <w:spacing w:val="-5"/>
                <w:sz w:val="21"/>
              </w:rPr>
              <w:t>保险事故发生之日起计算。</w:t>
            </w:r>
          </w:p>
        </w:tc>
      </w:tr>
      <w:tr>
        <w:trPr>
          <w:trHeight w:val="738" w:hRule="atLeast"/>
        </w:trPr>
        <w:tc>
          <w:tcPr>
            <w:tcW w:w="606" w:type="dxa"/>
            <w:tcBorders>
              <w:bottom w:val="single" w:sz="8" w:space="0" w:color="000000"/>
            </w:tcBorders>
          </w:tcPr>
          <w:p>
            <w:pPr>
              <w:pStyle w:val="TableParagraph"/>
              <w:spacing w:before="176"/>
              <w:ind w:left="107"/>
              <w:rPr>
                <w:rFonts w:ascii="Arial" w:hAnsi="Arial"/>
                <w:b/>
                <w:sz w:val="40"/>
              </w:rPr>
            </w:pPr>
            <w:r>
              <w:rPr>
                <w:rFonts w:ascii="Arial" w:hAnsi="Arial"/>
                <w:b/>
                <w:w w:val="119"/>
                <w:sz w:val="40"/>
              </w:rPr>
              <w:t></w:t>
            </w:r>
          </w:p>
        </w:tc>
        <w:tc>
          <w:tcPr>
            <w:tcW w:w="9003" w:type="dxa"/>
            <w:gridSpan w:val="2"/>
            <w:tcBorders>
              <w:bottom w:val="single" w:sz="8" w:space="0" w:color="000000"/>
            </w:tcBorders>
          </w:tcPr>
          <w:p>
            <w:pPr>
              <w:pStyle w:val="TableParagraph"/>
              <w:spacing w:before="7"/>
              <w:ind w:left="0"/>
              <w:rPr>
                <w:b/>
                <w:sz w:val="17"/>
              </w:rPr>
            </w:pPr>
          </w:p>
          <w:p>
            <w:pPr>
              <w:pStyle w:val="TableParagraph"/>
              <w:spacing w:before="0"/>
              <w:ind w:left="140"/>
              <w:rPr>
                <w:b/>
                <w:sz w:val="24"/>
              </w:rPr>
            </w:pPr>
            <w:r>
              <w:rPr>
                <w:b/>
                <w:w w:val="95"/>
                <w:sz w:val="24"/>
              </w:rPr>
              <w:t>保险费的支付和现金价值权益</w:t>
            </w:r>
          </w:p>
        </w:tc>
      </w:tr>
      <w:tr>
        <w:trPr>
          <w:trHeight w:val="1424" w:hRule="atLeast"/>
        </w:trPr>
        <w:tc>
          <w:tcPr>
            <w:tcW w:w="606" w:type="dxa"/>
            <w:tcBorders>
              <w:top w:val="single" w:sz="8" w:space="0" w:color="000000"/>
            </w:tcBorders>
          </w:tcPr>
          <w:p>
            <w:pPr>
              <w:pStyle w:val="TableParagraph"/>
              <w:spacing w:before="7"/>
              <w:ind w:left="0"/>
              <w:rPr>
                <w:b/>
                <w:sz w:val="16"/>
              </w:rPr>
            </w:pPr>
          </w:p>
          <w:p>
            <w:pPr>
              <w:pStyle w:val="TableParagraph"/>
              <w:spacing w:before="1"/>
              <w:ind w:left="107"/>
              <w:rPr>
                <w:b/>
                <w:sz w:val="21"/>
              </w:rPr>
            </w:pPr>
            <w:r>
              <w:rPr>
                <w:b/>
                <w:sz w:val="21"/>
              </w:rPr>
              <w:t>4.1</w:t>
            </w:r>
          </w:p>
        </w:tc>
        <w:tc>
          <w:tcPr>
            <w:tcW w:w="1570" w:type="dxa"/>
            <w:tcBorders>
              <w:top w:val="single" w:sz="8" w:space="0" w:color="000000"/>
            </w:tcBorders>
          </w:tcPr>
          <w:p>
            <w:pPr>
              <w:pStyle w:val="TableParagraph"/>
              <w:spacing w:before="7"/>
              <w:ind w:left="0"/>
              <w:rPr>
                <w:b/>
                <w:sz w:val="16"/>
              </w:rPr>
            </w:pPr>
          </w:p>
          <w:p>
            <w:pPr>
              <w:pStyle w:val="TableParagraph"/>
              <w:spacing w:before="1"/>
              <w:ind w:left="140"/>
              <w:rPr>
                <w:b/>
                <w:sz w:val="21"/>
              </w:rPr>
            </w:pPr>
            <w:r>
              <w:rPr>
                <w:b/>
                <w:sz w:val="21"/>
              </w:rPr>
              <w:t>保险费的支付</w:t>
            </w:r>
          </w:p>
        </w:tc>
        <w:tc>
          <w:tcPr>
            <w:tcW w:w="7433" w:type="dxa"/>
            <w:tcBorders>
              <w:top w:val="single" w:sz="8" w:space="0" w:color="000000"/>
            </w:tcBorders>
          </w:tcPr>
          <w:p>
            <w:pPr>
              <w:pStyle w:val="TableParagraph"/>
              <w:spacing w:before="7"/>
              <w:ind w:left="0"/>
              <w:rPr>
                <w:b/>
                <w:sz w:val="16"/>
              </w:rPr>
            </w:pPr>
          </w:p>
          <w:p>
            <w:pPr>
              <w:pStyle w:val="TableParagraph"/>
              <w:spacing w:line="314" w:lineRule="auto" w:before="1"/>
              <w:ind w:right="123"/>
              <w:jc w:val="both"/>
              <w:rPr>
                <w:sz w:val="21"/>
              </w:rPr>
            </w:pPr>
            <w:r>
              <w:rPr>
                <w:sz w:val="21"/>
              </w:rPr>
              <w:t>本附加险合同的交费方式和交费期限由您和本公司约定并在保险单上载明。如果您选择分期支付保险费，在支付首期保险费后，您应当按约定的交费日期支付其余各期的保险费。</w:t>
            </w:r>
          </w:p>
        </w:tc>
      </w:tr>
      <w:tr>
        <w:trPr>
          <w:trHeight w:val="3148" w:hRule="atLeast"/>
        </w:trPr>
        <w:tc>
          <w:tcPr>
            <w:tcW w:w="606" w:type="dxa"/>
          </w:tcPr>
          <w:p>
            <w:pPr>
              <w:pStyle w:val="TableParagraph"/>
              <w:spacing w:before="146"/>
              <w:ind w:left="107"/>
              <w:rPr>
                <w:b/>
                <w:sz w:val="21"/>
              </w:rPr>
            </w:pPr>
            <w:r>
              <w:rPr>
                <w:b/>
                <w:sz w:val="21"/>
              </w:rPr>
              <w:t>4.2</w:t>
            </w:r>
          </w:p>
        </w:tc>
        <w:tc>
          <w:tcPr>
            <w:tcW w:w="1570" w:type="dxa"/>
          </w:tcPr>
          <w:p>
            <w:pPr>
              <w:pStyle w:val="TableParagraph"/>
              <w:spacing w:before="146"/>
              <w:ind w:left="140"/>
              <w:rPr>
                <w:b/>
                <w:sz w:val="21"/>
              </w:rPr>
            </w:pPr>
            <w:r>
              <w:rPr>
                <w:b/>
                <w:sz w:val="21"/>
              </w:rPr>
              <w:t>保险费率调整</w:t>
            </w:r>
          </w:p>
        </w:tc>
        <w:tc>
          <w:tcPr>
            <w:tcW w:w="7433" w:type="dxa"/>
          </w:tcPr>
          <w:p>
            <w:pPr>
              <w:pStyle w:val="TableParagraph"/>
              <w:spacing w:line="312" w:lineRule="auto" w:before="146"/>
              <w:ind w:right="122"/>
              <w:rPr>
                <w:sz w:val="21"/>
              </w:rPr>
            </w:pPr>
            <w:r>
              <w:rPr>
                <w:sz w:val="21"/>
              </w:rPr>
              <w:t>因为确定本附加险合同保险费率所使用的重大疾病发生率等定价基础将可能在未来发生变化，因此本公司保留对保险费率进行调整的权利。</w:t>
            </w:r>
          </w:p>
          <w:p>
            <w:pPr>
              <w:pStyle w:val="TableParagraph"/>
              <w:spacing w:line="312" w:lineRule="auto" w:before="22"/>
              <w:rPr>
                <w:sz w:val="21"/>
              </w:rPr>
            </w:pPr>
            <w:r>
              <w:rPr>
                <w:spacing w:val="-3"/>
                <w:sz w:val="21"/>
              </w:rPr>
              <w:t>假若需要进行费率调整，本公司将在开始调整费率六个月前向中国保险监督管</w:t>
            </w:r>
            <w:r>
              <w:rPr>
                <w:spacing w:val="-9"/>
                <w:sz w:val="21"/>
              </w:rPr>
              <w:t>理委员会上报费率调整方案。调整方案获批后，本公司会向您发放客户通知书， </w:t>
            </w:r>
            <w:r>
              <w:rPr>
                <w:spacing w:val="-10"/>
                <w:sz w:val="21"/>
              </w:rPr>
              <w:t>告知您开始执行新费率标准的时间、方式以及调整费率的原因。为保持公平性， </w:t>
            </w:r>
            <w:r>
              <w:rPr>
                <w:spacing w:val="-5"/>
                <w:sz w:val="21"/>
              </w:rPr>
              <w:t>保险费率的调整将针对所有被保险人或同一投保年龄的所有被保险人。</w:t>
            </w:r>
          </w:p>
          <w:p>
            <w:pPr>
              <w:pStyle w:val="TableParagraph"/>
              <w:spacing w:line="312" w:lineRule="auto" w:before="22"/>
              <w:ind w:right="122"/>
              <w:rPr>
                <w:sz w:val="21"/>
              </w:rPr>
            </w:pPr>
            <w:r>
              <w:rPr>
                <w:sz w:val="21"/>
              </w:rPr>
              <w:t>本公司进行保险费率调整后，您剩余保险期间的基本保险金额将相应变更，保险费率调整前您已经交纳保险费所对应的基本保险金额不受影响。</w:t>
            </w:r>
          </w:p>
        </w:tc>
      </w:tr>
      <w:tr>
        <w:trPr>
          <w:trHeight w:val="1142" w:hRule="atLeast"/>
        </w:trPr>
        <w:tc>
          <w:tcPr>
            <w:tcW w:w="606" w:type="dxa"/>
          </w:tcPr>
          <w:p>
            <w:pPr>
              <w:pStyle w:val="TableParagraph"/>
              <w:spacing w:before="147"/>
              <w:ind w:left="107"/>
              <w:rPr>
                <w:b/>
                <w:sz w:val="21"/>
              </w:rPr>
            </w:pPr>
            <w:r>
              <w:rPr>
                <w:b/>
                <w:sz w:val="21"/>
              </w:rPr>
              <w:t>4.3</w:t>
            </w:r>
          </w:p>
        </w:tc>
        <w:tc>
          <w:tcPr>
            <w:tcW w:w="1570" w:type="dxa"/>
          </w:tcPr>
          <w:p>
            <w:pPr>
              <w:pStyle w:val="TableParagraph"/>
              <w:spacing w:line="312" w:lineRule="auto" w:before="147"/>
              <w:ind w:left="140" w:right="159"/>
              <w:rPr>
                <w:b/>
                <w:sz w:val="21"/>
              </w:rPr>
            </w:pPr>
            <w:r>
              <w:rPr>
                <w:b/>
                <w:sz w:val="21"/>
              </w:rPr>
              <w:t>保险单的现金价值</w:t>
            </w:r>
          </w:p>
        </w:tc>
        <w:tc>
          <w:tcPr>
            <w:tcW w:w="7433" w:type="dxa"/>
          </w:tcPr>
          <w:p>
            <w:pPr>
              <w:pStyle w:val="TableParagraph"/>
              <w:spacing w:line="312" w:lineRule="auto" w:before="147"/>
              <w:ind w:right="122"/>
              <w:rPr>
                <w:sz w:val="21"/>
              </w:rPr>
            </w:pPr>
            <w:r>
              <w:rPr>
                <w:sz w:val="21"/>
              </w:rPr>
              <w:t>本附加险合同保单年度末的现金价值会在保险单上载明。保单年度内的现金价值，您可以向本公司咨询。在本附加险合同有效期内，如保险费率发生调整，</w:t>
            </w:r>
          </w:p>
          <w:p>
            <w:pPr>
              <w:pStyle w:val="TableParagraph"/>
              <w:spacing w:line="258" w:lineRule="exact" w:before="22"/>
              <w:rPr>
                <w:sz w:val="21"/>
              </w:rPr>
            </w:pPr>
            <w:r>
              <w:rPr>
                <w:sz w:val="21"/>
              </w:rPr>
              <w:t>则现金价值金额也会发生相应调整。</w:t>
            </w:r>
          </w:p>
        </w:tc>
      </w:tr>
    </w:tbl>
    <w:p>
      <w:pPr>
        <w:spacing w:after="0" w:line="258" w:lineRule="exact"/>
        <w:rPr>
          <w:sz w:val="21"/>
        </w:rPr>
        <w:sectPr>
          <w:pgSz w:w="11910" w:h="16840"/>
          <w:pgMar w:top="1500" w:bottom="280" w:left="820" w:right="12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70"/>
        <w:gridCol w:w="7431"/>
      </w:tblGrid>
      <w:tr>
        <w:trPr>
          <w:trHeight w:val="2217" w:hRule="atLeast"/>
        </w:trPr>
        <w:tc>
          <w:tcPr>
            <w:tcW w:w="606" w:type="dxa"/>
          </w:tcPr>
          <w:p>
            <w:pPr>
              <w:pStyle w:val="TableParagraph"/>
              <w:spacing w:line="208" w:lineRule="exact" w:before="0"/>
              <w:ind w:left="107"/>
              <w:rPr>
                <w:b/>
                <w:sz w:val="21"/>
              </w:rPr>
            </w:pPr>
            <w:r>
              <w:rPr>
                <w:b/>
                <w:sz w:val="21"/>
              </w:rPr>
              <w:t>4.4</w:t>
            </w:r>
          </w:p>
        </w:tc>
        <w:tc>
          <w:tcPr>
            <w:tcW w:w="1570" w:type="dxa"/>
          </w:tcPr>
          <w:p>
            <w:pPr>
              <w:pStyle w:val="TableParagraph"/>
              <w:spacing w:line="208" w:lineRule="exact" w:before="0"/>
              <w:ind w:left="140"/>
              <w:rPr>
                <w:b/>
                <w:sz w:val="21"/>
              </w:rPr>
            </w:pPr>
            <w:r>
              <w:rPr>
                <w:b/>
                <w:sz w:val="21"/>
              </w:rPr>
              <w:t>宽限期</w:t>
            </w:r>
          </w:p>
        </w:tc>
        <w:tc>
          <w:tcPr>
            <w:tcW w:w="7431" w:type="dxa"/>
          </w:tcPr>
          <w:p>
            <w:pPr>
              <w:pStyle w:val="TableParagraph"/>
              <w:spacing w:line="208" w:lineRule="exact" w:before="0"/>
              <w:rPr>
                <w:sz w:val="21"/>
              </w:rPr>
            </w:pPr>
            <w:r>
              <w:rPr>
                <w:sz w:val="21"/>
              </w:rPr>
              <w:t>分期支付保险费的，您支付首期保险费后，除本附加险合同另有约定外，如果</w:t>
            </w:r>
          </w:p>
          <w:p>
            <w:pPr>
              <w:pStyle w:val="TableParagraph"/>
              <w:spacing w:line="314" w:lineRule="auto" w:before="82"/>
              <w:ind w:right="103"/>
              <w:jc w:val="both"/>
              <w:rPr>
                <w:sz w:val="21"/>
              </w:rPr>
            </w:pPr>
            <w:r>
              <w:rPr>
                <w:spacing w:val="-9"/>
                <w:sz w:val="21"/>
              </w:rPr>
              <w:t>您到期未支付保险费，自保险费约定支付日的次日零时起 </w:t>
            </w:r>
            <w:r>
              <w:rPr>
                <w:sz w:val="21"/>
              </w:rPr>
              <w:t>60</w:t>
            </w:r>
            <w:r>
              <w:rPr>
                <w:spacing w:val="-13"/>
                <w:sz w:val="21"/>
              </w:rPr>
              <w:t> 日为宽限期。宽限</w:t>
            </w:r>
            <w:r>
              <w:rPr>
                <w:spacing w:val="-6"/>
                <w:sz w:val="21"/>
              </w:rPr>
              <w:t>期内发生的保险事故，本公司仍会承担保险责任，但在给付保险金时会扣减您</w:t>
            </w:r>
            <w:r>
              <w:rPr>
                <w:spacing w:val="-4"/>
                <w:sz w:val="21"/>
              </w:rPr>
              <w:t>欠交的保险费。</w:t>
            </w:r>
          </w:p>
          <w:p>
            <w:pPr>
              <w:pStyle w:val="TableParagraph"/>
              <w:spacing w:line="312" w:lineRule="auto" w:before="19"/>
              <w:ind w:right="120"/>
              <w:jc w:val="both"/>
              <w:rPr>
                <w:sz w:val="21"/>
              </w:rPr>
            </w:pPr>
            <w:r>
              <w:rPr>
                <w:sz w:val="21"/>
              </w:rPr>
              <w:t>如果您宽限期结束之后仍未支付保险费，则本附加险合同自宽限期满的次日零时起效力中止。</w:t>
            </w:r>
          </w:p>
        </w:tc>
      </w:tr>
      <w:tr>
        <w:trPr>
          <w:trHeight w:val="1355" w:hRule="atLeast"/>
        </w:trPr>
        <w:tc>
          <w:tcPr>
            <w:tcW w:w="606" w:type="dxa"/>
          </w:tcPr>
          <w:p>
            <w:pPr>
              <w:pStyle w:val="TableParagraph"/>
              <w:spacing w:before="147"/>
              <w:ind w:left="107"/>
              <w:rPr>
                <w:b/>
                <w:sz w:val="21"/>
              </w:rPr>
            </w:pPr>
            <w:r>
              <w:rPr>
                <w:b/>
                <w:sz w:val="21"/>
              </w:rPr>
              <w:t>4.5</w:t>
            </w:r>
          </w:p>
        </w:tc>
        <w:tc>
          <w:tcPr>
            <w:tcW w:w="1570" w:type="dxa"/>
          </w:tcPr>
          <w:p>
            <w:pPr>
              <w:pStyle w:val="TableParagraph"/>
              <w:spacing w:before="147"/>
              <w:ind w:left="140"/>
              <w:rPr>
                <w:b/>
                <w:sz w:val="21"/>
              </w:rPr>
            </w:pPr>
            <w:r>
              <w:rPr>
                <w:b/>
                <w:sz w:val="21"/>
              </w:rPr>
              <w:t>合同效力中止</w:t>
            </w:r>
          </w:p>
        </w:tc>
        <w:tc>
          <w:tcPr>
            <w:tcW w:w="7431" w:type="dxa"/>
          </w:tcPr>
          <w:p>
            <w:pPr>
              <w:pStyle w:val="TableParagraph"/>
              <w:spacing w:line="314" w:lineRule="auto" w:before="147"/>
              <w:ind w:right="120"/>
              <w:jc w:val="both"/>
              <w:rPr>
                <w:rFonts w:ascii="黑体" w:eastAsia="黑体" w:hint="eastAsia"/>
                <w:sz w:val="21"/>
              </w:rPr>
            </w:pPr>
            <w:r>
              <w:rPr>
                <w:sz w:val="21"/>
              </w:rPr>
              <w:t>当出现主险合同或本附加险合同约定的合同效力中止情形时，本附加险合同效力即行中止。</w:t>
            </w:r>
            <w:r>
              <w:rPr>
                <w:rFonts w:ascii="黑体" w:eastAsia="黑体" w:hint="eastAsia"/>
                <w:sz w:val="21"/>
              </w:rPr>
              <w:t>本公司对本附加险合同效力中止期间所发Th的保险事故，不承担保险责任。</w:t>
            </w:r>
          </w:p>
        </w:tc>
      </w:tr>
      <w:tr>
        <w:trPr>
          <w:trHeight w:val="2084" w:hRule="atLeast"/>
        </w:trPr>
        <w:tc>
          <w:tcPr>
            <w:tcW w:w="606" w:type="dxa"/>
          </w:tcPr>
          <w:p>
            <w:pPr>
              <w:pStyle w:val="TableParagraph"/>
              <w:spacing w:before="146"/>
              <w:ind w:left="107"/>
              <w:rPr>
                <w:b/>
                <w:sz w:val="21"/>
              </w:rPr>
            </w:pPr>
            <w:r>
              <w:rPr>
                <w:b/>
                <w:sz w:val="21"/>
              </w:rPr>
              <w:t>4.6</w:t>
            </w:r>
          </w:p>
        </w:tc>
        <w:tc>
          <w:tcPr>
            <w:tcW w:w="1570" w:type="dxa"/>
          </w:tcPr>
          <w:p>
            <w:pPr>
              <w:pStyle w:val="TableParagraph"/>
              <w:spacing w:before="146"/>
              <w:ind w:left="140"/>
              <w:rPr>
                <w:b/>
                <w:sz w:val="21"/>
              </w:rPr>
            </w:pPr>
            <w:r>
              <w:rPr>
                <w:b/>
                <w:sz w:val="21"/>
              </w:rPr>
              <w:t>合同效力恢复</w:t>
            </w:r>
          </w:p>
        </w:tc>
        <w:tc>
          <w:tcPr>
            <w:tcW w:w="7431" w:type="dxa"/>
          </w:tcPr>
          <w:p>
            <w:pPr>
              <w:pStyle w:val="TableParagraph"/>
              <w:spacing w:line="314" w:lineRule="auto" w:before="146"/>
              <w:ind w:right="121"/>
              <w:jc w:val="both"/>
              <w:rPr>
                <w:sz w:val="21"/>
              </w:rPr>
            </w:pPr>
            <w:r>
              <w:rPr>
                <w:spacing w:val="-6"/>
                <w:sz w:val="21"/>
              </w:rPr>
              <w:t>本附加险合同效力中止后 </w:t>
            </w:r>
            <w:r>
              <w:rPr>
                <w:sz w:val="21"/>
              </w:rPr>
              <w:t>2</w:t>
            </w:r>
            <w:r>
              <w:rPr>
                <w:spacing w:val="-7"/>
                <w:sz w:val="21"/>
              </w:rPr>
              <w:t> 年内，您可以申请恢复合同效力。经本公司与您协</w:t>
            </w:r>
            <w:r>
              <w:rPr>
                <w:spacing w:val="-5"/>
                <w:sz w:val="21"/>
              </w:rPr>
              <w:t>商并达成协议，在您补交保险费及其他未还款项之日起，合同效力恢复。利息</w:t>
            </w:r>
            <w:r>
              <w:rPr>
                <w:spacing w:val="-3"/>
                <w:sz w:val="21"/>
              </w:rPr>
              <w:t>按</w:t>
            </w:r>
            <w:r>
              <w:rPr>
                <w:b/>
                <w:sz w:val="21"/>
              </w:rPr>
              <w:t>本附加险合同约定利率</w:t>
            </w:r>
            <w:r>
              <w:rPr>
                <w:spacing w:val="-10"/>
                <w:sz w:val="21"/>
              </w:rPr>
              <w:t>(见释义 </w:t>
            </w:r>
            <w:r>
              <w:rPr>
                <w:sz w:val="21"/>
              </w:rPr>
              <w:t>6.13</w:t>
            </w:r>
            <w:r>
              <w:rPr>
                <w:spacing w:val="-3"/>
                <w:sz w:val="21"/>
              </w:rPr>
              <w:t>)按日复利计算。</w:t>
            </w:r>
          </w:p>
          <w:p>
            <w:pPr>
              <w:pStyle w:val="TableParagraph"/>
              <w:spacing w:line="312" w:lineRule="auto" w:before="20"/>
              <w:ind w:right="120"/>
              <w:jc w:val="both"/>
              <w:rPr>
                <w:sz w:val="21"/>
              </w:rPr>
            </w:pPr>
            <w:r>
              <w:rPr>
                <w:rFonts w:ascii="黑体" w:eastAsia="黑体" w:hint="eastAsia"/>
                <w:spacing w:val="-5"/>
                <w:sz w:val="21"/>
              </w:rPr>
              <w:t>自本附加险合同效力中止之日起满 </w:t>
            </w:r>
            <w:r>
              <w:rPr>
                <w:rFonts w:ascii="黑体" w:eastAsia="黑体" w:hint="eastAsia"/>
                <w:sz w:val="21"/>
              </w:rPr>
              <w:t>2</w:t>
            </w:r>
            <w:r>
              <w:rPr>
                <w:rFonts w:ascii="黑体" w:eastAsia="黑体" w:hint="eastAsia"/>
                <w:spacing w:val="-8"/>
                <w:sz w:val="21"/>
              </w:rPr>
              <w:t> 年您和本公司未达成协议的，本公司有权</w:t>
            </w:r>
            <w:r>
              <w:rPr>
                <w:rFonts w:ascii="黑体" w:eastAsia="黑体" w:hint="eastAsia"/>
                <w:spacing w:val="-2"/>
                <w:sz w:val="21"/>
              </w:rPr>
              <w:t>解除合同。</w:t>
            </w:r>
            <w:r>
              <w:rPr>
                <w:spacing w:val="-3"/>
                <w:sz w:val="21"/>
              </w:rPr>
              <w:t>本公司解除合同的，向您退还合同效力中止时保险单的现金价值。</w:t>
            </w:r>
          </w:p>
        </w:tc>
      </w:tr>
      <w:tr>
        <w:trPr>
          <w:trHeight w:val="747" w:hRule="atLeast"/>
        </w:trPr>
        <w:tc>
          <w:tcPr>
            <w:tcW w:w="606" w:type="dxa"/>
            <w:tcBorders>
              <w:bottom w:val="single" w:sz="8" w:space="0" w:color="000000"/>
            </w:tcBorders>
          </w:tcPr>
          <w:p>
            <w:pPr>
              <w:pStyle w:val="TableParagraph"/>
              <w:spacing w:before="185"/>
              <w:ind w:left="107"/>
              <w:rPr>
                <w:rFonts w:ascii="Arial" w:hAnsi="Arial"/>
                <w:b/>
                <w:sz w:val="40"/>
              </w:rPr>
            </w:pPr>
            <w:r>
              <w:rPr>
                <w:rFonts w:ascii="Arial" w:hAnsi="Arial"/>
                <w:b/>
                <w:w w:val="119"/>
                <w:sz w:val="40"/>
              </w:rPr>
              <w:t></w:t>
            </w:r>
          </w:p>
        </w:tc>
        <w:tc>
          <w:tcPr>
            <w:tcW w:w="1570" w:type="dxa"/>
            <w:tcBorders>
              <w:bottom w:val="single" w:sz="8" w:space="0" w:color="000000"/>
            </w:tcBorders>
          </w:tcPr>
          <w:p>
            <w:pPr>
              <w:pStyle w:val="TableParagraph"/>
              <w:spacing w:before="6"/>
              <w:ind w:left="0"/>
              <w:rPr>
                <w:b/>
                <w:sz w:val="18"/>
              </w:rPr>
            </w:pPr>
          </w:p>
          <w:p>
            <w:pPr>
              <w:pStyle w:val="TableParagraph"/>
              <w:spacing w:before="0"/>
              <w:ind w:left="140"/>
              <w:rPr>
                <w:b/>
                <w:sz w:val="24"/>
              </w:rPr>
            </w:pPr>
            <w:r>
              <w:rPr>
                <w:b/>
                <w:sz w:val="24"/>
              </w:rPr>
              <w:t>其他事项</w:t>
            </w:r>
          </w:p>
        </w:tc>
        <w:tc>
          <w:tcPr>
            <w:tcW w:w="7431" w:type="dxa"/>
            <w:tcBorders>
              <w:bottom w:val="single" w:sz="8" w:space="0" w:color="000000"/>
            </w:tcBorders>
          </w:tcPr>
          <w:p>
            <w:pPr>
              <w:pStyle w:val="TableParagraph"/>
              <w:spacing w:before="0"/>
              <w:ind w:left="0"/>
              <w:rPr>
                <w:rFonts w:ascii="Times New Roman"/>
                <w:sz w:val="20"/>
              </w:rPr>
            </w:pPr>
          </w:p>
        </w:tc>
      </w:tr>
      <w:tr>
        <w:trPr>
          <w:trHeight w:val="5731" w:hRule="atLeast"/>
        </w:trPr>
        <w:tc>
          <w:tcPr>
            <w:tcW w:w="606" w:type="dxa"/>
            <w:tcBorders>
              <w:top w:val="single" w:sz="8" w:space="0" w:color="000000"/>
            </w:tcBorders>
          </w:tcPr>
          <w:p>
            <w:pPr>
              <w:pStyle w:val="TableParagraph"/>
              <w:spacing w:before="8"/>
              <w:ind w:left="0"/>
              <w:rPr>
                <w:b/>
                <w:sz w:val="16"/>
              </w:rPr>
            </w:pPr>
          </w:p>
          <w:p>
            <w:pPr>
              <w:pStyle w:val="TableParagraph"/>
              <w:spacing w:before="0"/>
              <w:ind w:left="107"/>
              <w:rPr>
                <w:b/>
                <w:sz w:val="21"/>
              </w:rPr>
            </w:pPr>
            <w:r>
              <w:rPr>
                <w:b/>
                <w:sz w:val="21"/>
              </w:rPr>
              <w:t>5.1</w:t>
            </w:r>
          </w:p>
        </w:tc>
        <w:tc>
          <w:tcPr>
            <w:tcW w:w="1570" w:type="dxa"/>
            <w:tcBorders>
              <w:top w:val="single" w:sz="8" w:space="0" w:color="000000"/>
            </w:tcBorders>
          </w:tcPr>
          <w:p>
            <w:pPr>
              <w:pStyle w:val="TableParagraph"/>
              <w:spacing w:before="8"/>
              <w:ind w:left="0"/>
              <w:rPr>
                <w:b/>
                <w:sz w:val="16"/>
              </w:rPr>
            </w:pPr>
          </w:p>
          <w:p>
            <w:pPr>
              <w:pStyle w:val="TableParagraph"/>
              <w:spacing w:line="314" w:lineRule="auto" w:before="0"/>
              <w:ind w:left="140" w:right="159"/>
              <w:rPr>
                <w:b/>
                <w:sz w:val="21"/>
              </w:rPr>
            </w:pPr>
            <w:r>
              <w:rPr>
                <w:b/>
                <w:sz w:val="21"/>
              </w:rPr>
              <w:t>明确说明与如实告知</w:t>
            </w:r>
          </w:p>
        </w:tc>
        <w:tc>
          <w:tcPr>
            <w:tcW w:w="7431" w:type="dxa"/>
            <w:tcBorders>
              <w:top w:val="single" w:sz="8" w:space="0" w:color="000000"/>
            </w:tcBorders>
          </w:tcPr>
          <w:p>
            <w:pPr>
              <w:pStyle w:val="TableParagraph"/>
              <w:spacing w:before="8"/>
              <w:ind w:left="0"/>
              <w:rPr>
                <w:b/>
                <w:sz w:val="16"/>
              </w:rPr>
            </w:pPr>
          </w:p>
          <w:p>
            <w:pPr>
              <w:pStyle w:val="TableParagraph"/>
              <w:spacing w:before="0"/>
              <w:rPr>
                <w:sz w:val="21"/>
              </w:rPr>
            </w:pPr>
            <w:r>
              <w:rPr>
                <w:sz w:val="21"/>
              </w:rPr>
              <w:t>订立本附加险合同时，本公司应向您说明本附加险合同的内容。</w:t>
            </w:r>
          </w:p>
          <w:p>
            <w:pPr>
              <w:pStyle w:val="TableParagraph"/>
              <w:spacing w:line="312" w:lineRule="auto" w:before="85"/>
              <w:ind w:right="120"/>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22"/>
              <w:rPr>
                <w:sz w:val="21"/>
              </w:rPr>
            </w:pPr>
            <w:r>
              <w:rPr>
                <w:sz w:val="21"/>
              </w:rPr>
              <w:t>本公司就您和被保险人的有关情况提出询问，您应当如实告知。</w:t>
            </w:r>
          </w:p>
          <w:p>
            <w:pPr>
              <w:pStyle w:val="TableParagraph"/>
              <w:spacing w:line="314" w:lineRule="auto" w:before="82"/>
              <w:ind w:right="121"/>
              <w:jc w:val="both"/>
              <w:rPr>
                <w:rFonts w:ascii="黑体" w:eastAsia="黑体" w:hint="eastAsia"/>
                <w:sz w:val="21"/>
              </w:rPr>
            </w:pPr>
            <w:r>
              <w:rPr>
                <w:rFonts w:ascii="黑体" w:eastAsia="黑体" w:hint="eastAsia"/>
                <w:sz w:val="21"/>
              </w:rPr>
              <w:t>如果您故意或者因重大过失未履行前款规定的如实告知义务，足以影响本公司决定是否同意承保或者提高保险费率的，本公司有权解除本附加险合同。</w:t>
            </w:r>
          </w:p>
          <w:p>
            <w:pPr>
              <w:pStyle w:val="TableParagraph"/>
              <w:spacing w:line="314" w:lineRule="auto" w:before="17"/>
              <w:ind w:right="121"/>
              <w:jc w:val="both"/>
              <w:rPr>
                <w:rFonts w:ascii="黑体" w:eastAsia="黑体" w:hint="eastAsia"/>
                <w:sz w:val="21"/>
              </w:rPr>
            </w:pPr>
            <w:r>
              <w:rPr>
                <w:rFonts w:ascii="黑体" w:eastAsia="黑体" w:hint="eastAsia"/>
                <w:sz w:val="21"/>
              </w:rPr>
              <w:t>如果您故意不履行如实告知义务，对于本附加险合同解除前发Th的保险事故， 本公司不承担给付保险金的责任，并不退还保险费。</w:t>
            </w:r>
          </w:p>
          <w:p>
            <w:pPr>
              <w:pStyle w:val="TableParagraph"/>
              <w:spacing w:line="314" w:lineRule="auto" w:before="17"/>
              <w:ind w:right="120"/>
              <w:jc w:val="both"/>
              <w:rPr>
                <w:rFonts w:ascii="黑体" w:eastAsia="黑体" w:hint="eastAsia"/>
                <w:sz w:val="21"/>
              </w:rPr>
            </w:pPr>
            <w:r>
              <w:rPr>
                <w:rFonts w:ascii="黑体" w:eastAsia="黑体" w:hint="eastAsia"/>
                <w:sz w:val="21"/>
              </w:rPr>
              <w:t>如果您因重大过失未履行如实告知义务，对保险事故的发Th有严重影响的，对于本附加险合同解除前发Th的保险事故，本公司不承担给付保险金的责任，但应当退还保险费。</w:t>
            </w:r>
          </w:p>
          <w:p>
            <w:pPr>
              <w:pStyle w:val="TableParagraph"/>
              <w:spacing w:line="312" w:lineRule="auto" w:before="19"/>
              <w:ind w:right="120"/>
              <w:jc w:val="both"/>
              <w:rPr>
                <w:sz w:val="21"/>
              </w:rPr>
            </w:pPr>
            <w:r>
              <w:rPr>
                <w:sz w:val="21"/>
              </w:rPr>
              <w:t>本公司在合同订立时已经知道您未如实告知的情况的，本公司不得解除合同； 发生保险事故的，本公司承担给付保险金的责任。</w:t>
            </w:r>
          </w:p>
        </w:tc>
      </w:tr>
      <w:tr>
        <w:trPr>
          <w:trHeight w:val="1141" w:hRule="atLeast"/>
        </w:trPr>
        <w:tc>
          <w:tcPr>
            <w:tcW w:w="606" w:type="dxa"/>
          </w:tcPr>
          <w:p>
            <w:pPr>
              <w:pStyle w:val="TableParagraph"/>
              <w:spacing w:before="146"/>
              <w:ind w:left="107"/>
              <w:rPr>
                <w:b/>
                <w:sz w:val="21"/>
              </w:rPr>
            </w:pPr>
            <w:r>
              <w:rPr>
                <w:b/>
                <w:sz w:val="21"/>
              </w:rPr>
              <w:t>5.2</w:t>
            </w:r>
          </w:p>
        </w:tc>
        <w:tc>
          <w:tcPr>
            <w:tcW w:w="1570" w:type="dxa"/>
          </w:tcPr>
          <w:p>
            <w:pPr>
              <w:pStyle w:val="TableParagraph"/>
              <w:spacing w:line="314" w:lineRule="auto" w:before="146"/>
              <w:ind w:left="140" w:right="159"/>
              <w:rPr>
                <w:b/>
                <w:sz w:val="21"/>
              </w:rPr>
            </w:pPr>
            <w:r>
              <w:rPr>
                <w:b/>
                <w:sz w:val="21"/>
              </w:rPr>
              <w:t>本公司合同解除权的限制</w:t>
            </w:r>
          </w:p>
        </w:tc>
        <w:tc>
          <w:tcPr>
            <w:tcW w:w="7431" w:type="dxa"/>
          </w:tcPr>
          <w:p>
            <w:pPr>
              <w:pStyle w:val="TableParagraph"/>
              <w:spacing w:before="146"/>
              <w:rPr>
                <w:sz w:val="21"/>
              </w:rPr>
            </w:pPr>
            <w:r>
              <w:rPr>
                <w:spacing w:val="-10"/>
                <w:sz w:val="21"/>
              </w:rPr>
              <w:t>前款规定的合同解除权，自本公司知道有解除事由之日起，超过 </w:t>
            </w:r>
            <w:r>
              <w:rPr>
                <w:sz w:val="21"/>
              </w:rPr>
              <w:t>30</w:t>
            </w:r>
            <w:r>
              <w:rPr>
                <w:spacing w:val="-9"/>
                <w:sz w:val="21"/>
              </w:rPr>
              <w:t> 日不行使而</w:t>
            </w:r>
          </w:p>
          <w:p>
            <w:pPr>
              <w:pStyle w:val="TableParagraph"/>
              <w:spacing w:line="350" w:lineRule="atLeast" w:before="10"/>
              <w:ind w:right="120"/>
              <w:rPr>
                <w:sz w:val="21"/>
              </w:rPr>
            </w:pPr>
            <w:r>
              <w:rPr>
                <w:spacing w:val="-5"/>
                <w:sz w:val="21"/>
              </w:rPr>
              <w:t>消灭。自本附加险合同成立之日起超过 </w:t>
            </w:r>
            <w:r>
              <w:rPr>
                <w:sz w:val="21"/>
              </w:rPr>
              <w:t>2</w:t>
            </w:r>
            <w:r>
              <w:rPr>
                <w:spacing w:val="-8"/>
                <w:sz w:val="21"/>
              </w:rPr>
              <w:t> 年的，本公司不得解除合同；发生保</w:t>
            </w:r>
            <w:r>
              <w:rPr>
                <w:spacing w:val="-5"/>
                <w:sz w:val="21"/>
              </w:rPr>
              <w:t>险事故的，本公司承担给付保险金的责任。</w:t>
            </w:r>
          </w:p>
        </w:tc>
      </w:tr>
    </w:tbl>
    <w:p>
      <w:pPr>
        <w:spacing w:after="0" w:line="350" w:lineRule="atLeast"/>
        <w:rPr>
          <w:sz w:val="21"/>
        </w:rPr>
        <w:sectPr>
          <w:pgSz w:w="11910" w:h="16840"/>
          <w:pgMar w:top="1500" w:bottom="280" w:left="820" w:right="12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70"/>
        <w:gridCol w:w="7431"/>
      </w:tblGrid>
      <w:tr>
        <w:trPr>
          <w:trHeight w:val="1496" w:hRule="atLeast"/>
        </w:trPr>
        <w:tc>
          <w:tcPr>
            <w:tcW w:w="606" w:type="dxa"/>
          </w:tcPr>
          <w:p>
            <w:pPr>
              <w:pStyle w:val="TableParagraph"/>
              <w:spacing w:line="208" w:lineRule="exact" w:before="0"/>
              <w:ind w:left="107"/>
              <w:rPr>
                <w:b/>
                <w:sz w:val="21"/>
              </w:rPr>
            </w:pPr>
            <w:r>
              <w:rPr>
                <w:b/>
                <w:sz w:val="21"/>
              </w:rPr>
              <w:t>5.3</w:t>
            </w:r>
          </w:p>
        </w:tc>
        <w:tc>
          <w:tcPr>
            <w:tcW w:w="1570" w:type="dxa"/>
          </w:tcPr>
          <w:p>
            <w:pPr>
              <w:pStyle w:val="TableParagraph"/>
              <w:spacing w:line="208" w:lineRule="exact" w:before="0"/>
              <w:ind w:left="140"/>
              <w:rPr>
                <w:b/>
                <w:sz w:val="21"/>
              </w:rPr>
            </w:pPr>
            <w:r>
              <w:rPr>
                <w:b/>
                <w:sz w:val="21"/>
              </w:rPr>
              <w:t>效力终止</w:t>
            </w:r>
          </w:p>
        </w:tc>
        <w:tc>
          <w:tcPr>
            <w:tcW w:w="7431" w:type="dxa"/>
          </w:tcPr>
          <w:p>
            <w:pPr>
              <w:pStyle w:val="TableParagraph"/>
              <w:spacing w:line="208" w:lineRule="exact" w:before="0"/>
              <w:rPr>
                <w:sz w:val="21"/>
              </w:rPr>
            </w:pPr>
            <w:r>
              <w:rPr>
                <w:sz w:val="21"/>
              </w:rPr>
              <w:t>当发生下列情形之一时，本附加险合同效力终止：</w:t>
            </w:r>
          </w:p>
          <w:p>
            <w:pPr>
              <w:pStyle w:val="TableParagraph"/>
              <w:numPr>
                <w:ilvl w:val="0"/>
                <w:numId w:val="7"/>
              </w:numPr>
              <w:tabs>
                <w:tab w:pos="883" w:val="left" w:leader="none"/>
              </w:tabs>
              <w:spacing w:line="240" w:lineRule="auto" w:before="82" w:after="0"/>
              <w:ind w:left="882" w:right="0" w:hanging="720"/>
              <w:jc w:val="left"/>
              <w:rPr>
                <w:sz w:val="21"/>
              </w:rPr>
            </w:pPr>
            <w:r>
              <w:rPr>
                <w:spacing w:val="-3"/>
                <w:sz w:val="21"/>
              </w:rPr>
              <w:t>主险合同效力终止；</w:t>
            </w:r>
          </w:p>
          <w:p>
            <w:pPr>
              <w:pStyle w:val="TableParagraph"/>
              <w:numPr>
                <w:ilvl w:val="0"/>
                <w:numId w:val="7"/>
              </w:numPr>
              <w:tabs>
                <w:tab w:pos="883" w:val="left" w:leader="none"/>
              </w:tabs>
              <w:spacing w:line="240" w:lineRule="auto" w:before="84" w:after="0"/>
              <w:ind w:left="882" w:right="0" w:hanging="720"/>
              <w:jc w:val="left"/>
              <w:rPr>
                <w:sz w:val="21"/>
              </w:rPr>
            </w:pPr>
            <w:r>
              <w:rPr>
                <w:spacing w:val="-3"/>
                <w:sz w:val="21"/>
              </w:rPr>
              <w:t>您申请解除本附加险合同；</w:t>
            </w:r>
          </w:p>
          <w:p>
            <w:pPr>
              <w:pStyle w:val="TableParagraph"/>
              <w:numPr>
                <w:ilvl w:val="0"/>
                <w:numId w:val="7"/>
              </w:numPr>
              <w:tabs>
                <w:tab w:pos="883" w:val="left" w:leader="none"/>
              </w:tabs>
              <w:spacing w:line="240" w:lineRule="auto" w:before="82" w:after="0"/>
              <w:ind w:left="882" w:right="0" w:hanging="720"/>
              <w:jc w:val="left"/>
              <w:rPr>
                <w:sz w:val="21"/>
              </w:rPr>
            </w:pPr>
            <w:r>
              <w:rPr>
                <w:spacing w:val="-3"/>
                <w:sz w:val="21"/>
              </w:rPr>
              <w:t>本附加险合同约定的其他终止情形。</w:t>
            </w:r>
          </w:p>
        </w:tc>
      </w:tr>
      <w:tr>
        <w:trPr>
          <w:trHeight w:val="1348" w:hRule="atLeast"/>
        </w:trPr>
        <w:tc>
          <w:tcPr>
            <w:tcW w:w="606" w:type="dxa"/>
          </w:tcPr>
          <w:p>
            <w:pPr>
              <w:pStyle w:val="TableParagraph"/>
              <w:ind w:left="107"/>
              <w:rPr>
                <w:b/>
                <w:sz w:val="21"/>
              </w:rPr>
            </w:pPr>
            <w:r>
              <w:rPr>
                <w:b/>
                <w:sz w:val="21"/>
              </w:rPr>
              <w:t>5.4</w:t>
            </w:r>
          </w:p>
        </w:tc>
        <w:tc>
          <w:tcPr>
            <w:tcW w:w="1570" w:type="dxa"/>
          </w:tcPr>
          <w:p>
            <w:pPr>
              <w:pStyle w:val="TableParagraph"/>
              <w:spacing w:line="314" w:lineRule="auto"/>
              <w:ind w:left="140" w:right="159"/>
              <w:rPr>
                <w:b/>
                <w:sz w:val="21"/>
              </w:rPr>
            </w:pPr>
            <w:r>
              <w:rPr>
                <w:b/>
                <w:sz w:val="21"/>
              </w:rPr>
              <w:t>适用主险合同条款</w:t>
            </w:r>
          </w:p>
        </w:tc>
        <w:tc>
          <w:tcPr>
            <w:tcW w:w="7431" w:type="dxa"/>
          </w:tcPr>
          <w:p>
            <w:pPr>
              <w:pStyle w:val="TableParagraph"/>
              <w:rPr>
                <w:sz w:val="21"/>
              </w:rPr>
            </w:pPr>
            <w:r>
              <w:rPr>
                <w:sz w:val="21"/>
              </w:rPr>
              <w:t>下列各项条款，适用主险合同条款：</w:t>
            </w:r>
          </w:p>
          <w:p>
            <w:pPr>
              <w:pStyle w:val="TableParagraph"/>
              <w:spacing w:before="84"/>
              <w:rPr>
                <w:sz w:val="21"/>
              </w:rPr>
            </w:pPr>
            <w:r>
              <w:rPr>
                <w:sz w:val="21"/>
              </w:rPr>
              <w:t>（1）合同内容变更；</w:t>
            </w:r>
          </w:p>
          <w:p>
            <w:pPr>
              <w:pStyle w:val="TableParagraph"/>
              <w:spacing w:before="82"/>
              <w:rPr>
                <w:sz w:val="21"/>
              </w:rPr>
            </w:pPr>
            <w:r>
              <w:rPr>
                <w:sz w:val="21"/>
              </w:rPr>
              <w:t>（2）争议处理。</w:t>
            </w:r>
          </w:p>
        </w:tc>
      </w:tr>
      <w:tr>
        <w:trPr>
          <w:trHeight w:val="4220" w:hRule="atLeast"/>
        </w:trPr>
        <w:tc>
          <w:tcPr>
            <w:tcW w:w="606" w:type="dxa"/>
          </w:tcPr>
          <w:p>
            <w:pPr>
              <w:pStyle w:val="TableParagraph"/>
              <w:ind w:left="107"/>
              <w:rPr>
                <w:b/>
                <w:sz w:val="21"/>
              </w:rPr>
            </w:pPr>
            <w:r>
              <w:rPr>
                <w:b/>
                <w:sz w:val="21"/>
              </w:rPr>
              <w:t>5.5</w:t>
            </w:r>
          </w:p>
        </w:tc>
        <w:tc>
          <w:tcPr>
            <w:tcW w:w="1570" w:type="dxa"/>
          </w:tcPr>
          <w:p>
            <w:pPr>
              <w:pStyle w:val="TableParagraph"/>
              <w:ind w:left="140"/>
              <w:rPr>
                <w:b/>
                <w:sz w:val="21"/>
              </w:rPr>
            </w:pPr>
            <w:r>
              <w:rPr>
                <w:b/>
                <w:sz w:val="21"/>
              </w:rPr>
              <w:t>年龄性别错误</w:t>
            </w:r>
          </w:p>
        </w:tc>
        <w:tc>
          <w:tcPr>
            <w:tcW w:w="7431" w:type="dxa"/>
          </w:tcPr>
          <w:p>
            <w:pPr>
              <w:pStyle w:val="TableParagraph"/>
              <w:spacing w:line="314" w:lineRule="auto"/>
              <w:ind w:right="120"/>
              <w:rPr>
                <w:sz w:val="21"/>
              </w:rPr>
            </w:pPr>
            <w:r>
              <w:rPr>
                <w:sz w:val="21"/>
              </w:rPr>
              <w:t>您在申请投保时，应将与有效身份证件相符的被保险人出生日期和性别在投保单上填明，如果发生错误按照下列方式办理：</w:t>
            </w:r>
          </w:p>
          <w:p>
            <w:pPr>
              <w:pStyle w:val="TableParagraph"/>
              <w:spacing w:line="314" w:lineRule="auto" w:before="17"/>
              <w:ind w:left="666" w:right="101" w:hanging="505"/>
              <w:jc w:val="both"/>
              <w:rPr>
                <w:sz w:val="21"/>
              </w:rPr>
            </w:pPr>
            <w:r>
              <w:rPr>
                <w:spacing w:val="-16"/>
                <w:sz w:val="21"/>
              </w:rPr>
              <w:t>（1）</w:t>
            </w:r>
            <w:r>
              <w:rPr>
                <w:spacing w:val="-7"/>
                <w:sz w:val="21"/>
              </w:rPr>
              <w:t>您申报的被保险人年龄不真实，并且其真实年龄不符合本附加险合同约定</w:t>
            </w:r>
            <w:r>
              <w:rPr>
                <w:spacing w:val="-10"/>
                <w:sz w:val="21"/>
              </w:rPr>
              <w:t>投保年龄限制的，在保险事故发生之前本公司有权解除合同，并向您退还</w:t>
            </w:r>
            <w:r>
              <w:rPr>
                <w:spacing w:val="-11"/>
                <w:sz w:val="21"/>
              </w:rPr>
              <w:t>保险单的现金价值。本公司行使合同解除权适用“本公司合同解除权的限</w:t>
            </w:r>
            <w:r>
              <w:rPr>
                <w:spacing w:val="-6"/>
                <w:sz w:val="21"/>
              </w:rPr>
              <w:t>制”的规定。</w:t>
            </w:r>
          </w:p>
          <w:p>
            <w:pPr>
              <w:pStyle w:val="TableParagraph"/>
              <w:spacing w:line="314" w:lineRule="auto" w:before="17"/>
              <w:ind w:left="666" w:hanging="505"/>
              <w:rPr>
                <w:sz w:val="21"/>
              </w:rPr>
            </w:pPr>
            <w:r>
              <w:rPr>
                <w:w w:val="100"/>
                <w:sz w:val="21"/>
              </w:rPr>
              <w:t>（2</w:t>
            </w:r>
            <w:r>
              <w:rPr>
                <w:spacing w:val="-99"/>
                <w:w w:val="100"/>
                <w:sz w:val="21"/>
              </w:rPr>
              <w:t>）</w:t>
            </w:r>
            <w:r>
              <w:rPr>
                <w:spacing w:val="-9"/>
                <w:w w:val="100"/>
                <w:sz w:val="21"/>
              </w:rPr>
              <w:t>您申报的被保险人年龄性别不真实，致使您实付保险费少于应付保险费的，</w:t>
            </w:r>
            <w:r>
              <w:rPr>
                <w:spacing w:val="-9"/>
                <w:sz w:val="21"/>
              </w:rPr>
              <w:t>本公司有权更正并要求您补交保险费。若已经发生保险事故，在给付保险</w:t>
            </w:r>
            <w:r>
              <w:rPr>
                <w:spacing w:val="-5"/>
                <w:sz w:val="21"/>
              </w:rPr>
              <w:t>金时扣除您欠交的保险费。</w:t>
            </w:r>
          </w:p>
          <w:p>
            <w:pPr>
              <w:pStyle w:val="TableParagraph"/>
              <w:spacing w:line="312" w:lineRule="auto" w:before="19"/>
              <w:ind w:left="654" w:hanging="491"/>
              <w:rPr>
                <w:sz w:val="21"/>
              </w:rPr>
            </w:pPr>
            <w:r>
              <w:rPr>
                <w:w w:val="100"/>
                <w:sz w:val="21"/>
              </w:rPr>
              <w:t>（3</w:t>
            </w:r>
            <w:r>
              <w:rPr>
                <w:spacing w:val="-99"/>
                <w:w w:val="100"/>
                <w:sz w:val="21"/>
              </w:rPr>
              <w:t>）</w:t>
            </w:r>
            <w:r>
              <w:rPr>
                <w:spacing w:val="-9"/>
                <w:w w:val="100"/>
                <w:sz w:val="21"/>
              </w:rPr>
              <w:t>您申报的被保险人年龄性别不真实，致使您实付保险费多于应付保险费的，</w:t>
            </w:r>
            <w:r>
              <w:rPr>
                <w:spacing w:val="-5"/>
                <w:sz w:val="21"/>
              </w:rPr>
              <w:t>本公司会将多收的保险费退还给您。</w:t>
            </w:r>
          </w:p>
        </w:tc>
      </w:tr>
      <w:tr>
        <w:trPr>
          <w:trHeight w:val="1364" w:hRule="atLeast"/>
        </w:trPr>
        <w:tc>
          <w:tcPr>
            <w:tcW w:w="606" w:type="dxa"/>
          </w:tcPr>
          <w:p>
            <w:pPr>
              <w:pStyle w:val="TableParagraph"/>
              <w:ind w:left="107"/>
              <w:rPr>
                <w:b/>
                <w:sz w:val="21"/>
              </w:rPr>
            </w:pPr>
            <w:r>
              <w:rPr>
                <w:b/>
                <w:sz w:val="21"/>
              </w:rPr>
              <w:t>5.6</w:t>
            </w:r>
          </w:p>
        </w:tc>
        <w:tc>
          <w:tcPr>
            <w:tcW w:w="1570" w:type="dxa"/>
          </w:tcPr>
          <w:p>
            <w:pPr>
              <w:pStyle w:val="TableParagraph"/>
              <w:ind w:left="140"/>
              <w:rPr>
                <w:b/>
                <w:sz w:val="21"/>
              </w:rPr>
            </w:pPr>
            <w:r>
              <w:rPr>
                <w:b/>
                <w:sz w:val="21"/>
              </w:rPr>
              <w:t>未还款项</w:t>
            </w:r>
          </w:p>
        </w:tc>
        <w:tc>
          <w:tcPr>
            <w:tcW w:w="7431" w:type="dxa"/>
          </w:tcPr>
          <w:p>
            <w:pPr>
              <w:pStyle w:val="TableParagraph"/>
              <w:spacing w:line="314" w:lineRule="auto"/>
              <w:ind w:right="120"/>
              <w:jc w:val="both"/>
              <w:rPr>
                <w:sz w:val="21"/>
              </w:rPr>
            </w:pPr>
            <w:r>
              <w:rPr>
                <w:sz w:val="21"/>
              </w:rPr>
              <w:t>本公司在给付各项保险金、退还现金价值或返还保险费时，如果您有欠交的保险费或其他未还清款项，本公司会在扣除上述欠款及应付利息后给付。应付利息按本附加险合同约定利率按日复利计算，但本附加险合同另有约定的除外。</w:t>
            </w:r>
          </w:p>
        </w:tc>
      </w:tr>
      <w:tr>
        <w:trPr>
          <w:trHeight w:val="747" w:hRule="atLeast"/>
        </w:trPr>
        <w:tc>
          <w:tcPr>
            <w:tcW w:w="606" w:type="dxa"/>
            <w:tcBorders>
              <w:bottom w:val="single" w:sz="8" w:space="0" w:color="000000"/>
            </w:tcBorders>
          </w:tcPr>
          <w:p>
            <w:pPr>
              <w:pStyle w:val="TableParagraph"/>
              <w:spacing w:before="185"/>
              <w:ind w:left="107"/>
              <w:rPr>
                <w:rFonts w:ascii="Arial" w:hAnsi="Arial"/>
                <w:b/>
                <w:sz w:val="40"/>
              </w:rPr>
            </w:pPr>
            <w:r>
              <w:rPr>
                <w:rFonts w:ascii="Arial" w:hAnsi="Arial"/>
                <w:b/>
                <w:w w:val="119"/>
                <w:sz w:val="40"/>
              </w:rPr>
              <w:t></w:t>
            </w:r>
          </w:p>
        </w:tc>
        <w:tc>
          <w:tcPr>
            <w:tcW w:w="1570" w:type="dxa"/>
            <w:tcBorders>
              <w:bottom w:val="single" w:sz="8" w:space="0" w:color="000000"/>
            </w:tcBorders>
          </w:tcPr>
          <w:p>
            <w:pPr>
              <w:pStyle w:val="TableParagraph"/>
              <w:spacing w:before="6"/>
              <w:ind w:left="0"/>
              <w:rPr>
                <w:b/>
                <w:sz w:val="18"/>
              </w:rPr>
            </w:pPr>
          </w:p>
          <w:p>
            <w:pPr>
              <w:pStyle w:val="TableParagraph"/>
              <w:spacing w:before="0"/>
              <w:ind w:left="140"/>
              <w:rPr>
                <w:b/>
                <w:sz w:val="24"/>
              </w:rPr>
            </w:pPr>
            <w:r>
              <w:rPr>
                <w:b/>
                <w:sz w:val="24"/>
              </w:rPr>
              <w:t>释义</w:t>
            </w:r>
          </w:p>
        </w:tc>
        <w:tc>
          <w:tcPr>
            <w:tcW w:w="7431" w:type="dxa"/>
            <w:tcBorders>
              <w:bottom w:val="single" w:sz="8" w:space="0" w:color="000000"/>
            </w:tcBorders>
          </w:tcPr>
          <w:p>
            <w:pPr>
              <w:pStyle w:val="TableParagraph"/>
              <w:spacing w:before="0"/>
              <w:ind w:left="0"/>
              <w:rPr>
                <w:rFonts w:ascii="Times New Roman"/>
                <w:sz w:val="20"/>
              </w:rPr>
            </w:pPr>
          </w:p>
        </w:tc>
      </w:tr>
      <w:tr>
        <w:trPr>
          <w:trHeight w:val="1062" w:hRule="atLeast"/>
        </w:trPr>
        <w:tc>
          <w:tcPr>
            <w:tcW w:w="606" w:type="dxa"/>
            <w:tcBorders>
              <w:top w:val="single" w:sz="8" w:space="0" w:color="000000"/>
            </w:tcBorders>
          </w:tcPr>
          <w:p>
            <w:pPr>
              <w:pStyle w:val="TableParagraph"/>
              <w:spacing w:before="7"/>
              <w:ind w:left="0"/>
              <w:rPr>
                <w:b/>
                <w:sz w:val="16"/>
              </w:rPr>
            </w:pPr>
          </w:p>
          <w:p>
            <w:pPr>
              <w:pStyle w:val="TableParagraph"/>
              <w:spacing w:before="1"/>
              <w:ind w:left="107"/>
              <w:rPr>
                <w:b/>
                <w:sz w:val="21"/>
              </w:rPr>
            </w:pPr>
            <w:r>
              <w:rPr>
                <w:b/>
                <w:sz w:val="21"/>
              </w:rPr>
              <w:t>6.1</w:t>
            </w:r>
          </w:p>
        </w:tc>
        <w:tc>
          <w:tcPr>
            <w:tcW w:w="1570" w:type="dxa"/>
            <w:tcBorders>
              <w:top w:val="single" w:sz="8" w:space="0" w:color="000000"/>
            </w:tcBorders>
          </w:tcPr>
          <w:p>
            <w:pPr>
              <w:pStyle w:val="TableParagraph"/>
              <w:spacing w:before="7"/>
              <w:ind w:left="0"/>
              <w:rPr>
                <w:b/>
                <w:sz w:val="16"/>
              </w:rPr>
            </w:pPr>
          </w:p>
          <w:p>
            <w:pPr>
              <w:pStyle w:val="TableParagraph"/>
              <w:spacing w:before="1"/>
              <w:ind w:left="140"/>
              <w:rPr>
                <w:b/>
                <w:sz w:val="21"/>
              </w:rPr>
            </w:pPr>
            <w:r>
              <w:rPr>
                <w:b/>
                <w:sz w:val="21"/>
              </w:rPr>
              <w:t>有效身份证件</w:t>
            </w:r>
          </w:p>
        </w:tc>
        <w:tc>
          <w:tcPr>
            <w:tcW w:w="7431" w:type="dxa"/>
            <w:tcBorders>
              <w:top w:val="single" w:sz="8" w:space="0" w:color="000000"/>
            </w:tcBorders>
          </w:tcPr>
          <w:p>
            <w:pPr>
              <w:pStyle w:val="TableParagraph"/>
              <w:spacing w:before="7"/>
              <w:ind w:left="0"/>
              <w:rPr>
                <w:b/>
                <w:sz w:val="16"/>
              </w:rPr>
            </w:pPr>
          </w:p>
          <w:p>
            <w:pPr>
              <w:pStyle w:val="TableParagraph"/>
              <w:spacing w:line="312" w:lineRule="auto" w:before="1"/>
              <w:ind w:right="107"/>
              <w:rPr>
                <w:sz w:val="21"/>
              </w:rPr>
            </w:pPr>
            <w:r>
              <w:rPr>
                <w:sz w:val="21"/>
              </w:rPr>
              <w:t>指依据法律规定，由有权机构制作颁发的证明身份的证件、文件等，如：居民身份证、户口簿、护照、军人证等。</w:t>
            </w:r>
          </w:p>
        </w:tc>
      </w:tr>
      <w:tr>
        <w:trPr>
          <w:trHeight w:val="991" w:hRule="atLeast"/>
        </w:trPr>
        <w:tc>
          <w:tcPr>
            <w:tcW w:w="606" w:type="dxa"/>
          </w:tcPr>
          <w:p>
            <w:pPr>
              <w:pStyle w:val="TableParagraph"/>
              <w:spacing w:before="144"/>
              <w:ind w:left="107"/>
              <w:rPr>
                <w:b/>
                <w:sz w:val="21"/>
              </w:rPr>
            </w:pPr>
            <w:r>
              <w:rPr>
                <w:b/>
                <w:sz w:val="21"/>
              </w:rPr>
              <w:t>6.2</w:t>
            </w:r>
          </w:p>
        </w:tc>
        <w:tc>
          <w:tcPr>
            <w:tcW w:w="1570" w:type="dxa"/>
          </w:tcPr>
          <w:p>
            <w:pPr>
              <w:pStyle w:val="TableParagraph"/>
              <w:spacing w:before="144"/>
              <w:ind w:left="140"/>
              <w:rPr>
                <w:b/>
                <w:sz w:val="21"/>
              </w:rPr>
            </w:pPr>
            <w:r>
              <w:rPr>
                <w:b/>
                <w:sz w:val="21"/>
              </w:rPr>
              <w:t>现金价值</w:t>
            </w:r>
          </w:p>
        </w:tc>
        <w:tc>
          <w:tcPr>
            <w:tcW w:w="7431" w:type="dxa"/>
          </w:tcPr>
          <w:p>
            <w:pPr>
              <w:pStyle w:val="TableParagraph"/>
              <w:spacing w:line="314" w:lineRule="auto" w:before="144"/>
              <w:ind w:right="107"/>
              <w:rPr>
                <w:sz w:val="21"/>
              </w:rPr>
            </w:pPr>
            <w:r>
              <w:rPr>
                <w:sz w:val="21"/>
              </w:rPr>
              <w:t>指保险单所具有的价值，通常体现为解除合同时，根据精算原理计算的，由本公司退还的那部分金额。</w:t>
            </w:r>
          </w:p>
        </w:tc>
      </w:tr>
      <w:tr>
        <w:trPr>
          <w:trHeight w:val="988" w:hRule="atLeast"/>
        </w:trPr>
        <w:tc>
          <w:tcPr>
            <w:tcW w:w="606" w:type="dxa"/>
          </w:tcPr>
          <w:p>
            <w:pPr>
              <w:pStyle w:val="TableParagraph"/>
              <w:ind w:left="107"/>
              <w:rPr>
                <w:b/>
                <w:sz w:val="21"/>
              </w:rPr>
            </w:pPr>
            <w:r>
              <w:rPr>
                <w:b/>
                <w:sz w:val="21"/>
              </w:rPr>
              <w:t>6.3</w:t>
            </w:r>
          </w:p>
        </w:tc>
        <w:tc>
          <w:tcPr>
            <w:tcW w:w="1570" w:type="dxa"/>
          </w:tcPr>
          <w:p>
            <w:pPr>
              <w:pStyle w:val="TableParagraph"/>
              <w:ind w:left="140"/>
              <w:rPr>
                <w:b/>
                <w:sz w:val="21"/>
              </w:rPr>
            </w:pPr>
            <w:r>
              <w:rPr>
                <w:b/>
                <w:sz w:val="21"/>
              </w:rPr>
              <w:t>重大疾病</w:t>
            </w:r>
          </w:p>
        </w:tc>
        <w:tc>
          <w:tcPr>
            <w:tcW w:w="7431" w:type="dxa"/>
          </w:tcPr>
          <w:p>
            <w:pPr>
              <w:pStyle w:val="TableParagraph"/>
              <w:spacing w:line="312" w:lineRule="auto"/>
              <w:ind w:right="104"/>
              <w:rPr>
                <w:sz w:val="21"/>
              </w:rPr>
            </w:pPr>
            <w:r>
              <w:rPr>
                <w:sz w:val="21"/>
              </w:rPr>
              <w:t>指符合以下疾病定义所述条件的疾病，应当由</w:t>
            </w:r>
            <w:r>
              <w:rPr>
                <w:b/>
                <w:sz w:val="21"/>
              </w:rPr>
              <w:t>专科医生</w:t>
            </w:r>
            <w:r>
              <w:rPr>
                <w:sz w:val="21"/>
              </w:rPr>
              <w:t>(见释义 6.14)明确诊断：</w:t>
            </w:r>
          </w:p>
        </w:tc>
      </w:tr>
      <w:tr>
        <w:trPr>
          <w:trHeight w:val="631" w:hRule="atLeast"/>
        </w:trPr>
        <w:tc>
          <w:tcPr>
            <w:tcW w:w="606" w:type="dxa"/>
          </w:tcPr>
          <w:p>
            <w:pPr>
              <w:pStyle w:val="TableParagraph"/>
              <w:spacing w:before="0"/>
              <w:ind w:left="0"/>
              <w:rPr>
                <w:rFonts w:ascii="Times New Roman"/>
                <w:sz w:val="20"/>
              </w:rPr>
            </w:pPr>
          </w:p>
        </w:tc>
        <w:tc>
          <w:tcPr>
            <w:tcW w:w="9001" w:type="dxa"/>
            <w:gridSpan w:val="2"/>
          </w:tcPr>
          <w:p>
            <w:pPr>
              <w:pStyle w:val="TableParagraph"/>
              <w:ind w:left="140"/>
              <w:rPr>
                <w:b/>
                <w:sz w:val="21"/>
              </w:rPr>
            </w:pPr>
            <w:r>
              <w:rPr>
                <w:b/>
                <w:sz w:val="21"/>
              </w:rPr>
              <w:t>6.3.1 少儿重大疾病</w:t>
            </w:r>
          </w:p>
        </w:tc>
      </w:tr>
      <w:tr>
        <w:trPr>
          <w:trHeight w:val="779" w:hRule="atLeast"/>
        </w:trPr>
        <w:tc>
          <w:tcPr>
            <w:tcW w:w="606" w:type="dxa"/>
          </w:tcPr>
          <w:p>
            <w:pPr>
              <w:pStyle w:val="TableParagraph"/>
              <w:spacing w:before="0"/>
              <w:ind w:left="0"/>
              <w:rPr>
                <w:rFonts w:ascii="Times New Roman"/>
                <w:sz w:val="20"/>
              </w:rPr>
            </w:pPr>
          </w:p>
        </w:tc>
        <w:tc>
          <w:tcPr>
            <w:tcW w:w="1570" w:type="dxa"/>
          </w:tcPr>
          <w:p>
            <w:pPr>
              <w:pStyle w:val="TableParagraph"/>
              <w:ind w:left="140"/>
              <w:rPr>
                <w:b/>
                <w:sz w:val="21"/>
              </w:rPr>
            </w:pPr>
            <w:r>
              <w:rPr>
                <w:b/>
                <w:sz w:val="21"/>
              </w:rPr>
              <w:t>1.恶性肿瘤</w:t>
            </w:r>
          </w:p>
        </w:tc>
        <w:tc>
          <w:tcPr>
            <w:tcW w:w="7431" w:type="dxa"/>
          </w:tcPr>
          <w:p>
            <w:pPr>
              <w:pStyle w:val="TableParagraph"/>
              <w:spacing w:line="360" w:lineRule="atLeast" w:before="58"/>
              <w:ind w:right="107"/>
              <w:rPr>
                <w:sz w:val="21"/>
              </w:rPr>
            </w:pPr>
            <w:r>
              <w:rPr>
                <w:sz w:val="21"/>
              </w:rPr>
              <w:t>指恶性细胞不受控制的进行性增长和扩散，浸润和破坏周围正常组织，可以经血管、淋巴管和体腔扩散转移到身体其它部位的疾病。经病理学检查结果明确</w:t>
            </w:r>
          </w:p>
        </w:tc>
      </w:tr>
    </w:tbl>
    <w:p>
      <w:pPr>
        <w:spacing w:after="0" w:line="360" w:lineRule="atLeast"/>
        <w:rPr>
          <w:sz w:val="21"/>
        </w:rPr>
        <w:sectPr>
          <w:pgSz w:w="11910" w:h="16840"/>
          <w:pgMar w:top="1500" w:bottom="280" w:left="820" w:right="12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7460"/>
      </w:tblGrid>
      <w:tr>
        <w:trPr>
          <w:trHeight w:val="2931" w:hRule="atLeast"/>
        </w:trPr>
        <w:tc>
          <w:tcPr>
            <w:tcW w:w="1694" w:type="dxa"/>
          </w:tcPr>
          <w:p>
            <w:pPr>
              <w:pStyle w:val="TableParagraph"/>
              <w:spacing w:before="0"/>
              <w:ind w:left="0"/>
              <w:rPr>
                <w:rFonts w:ascii="Times New Roman"/>
                <w:sz w:val="20"/>
              </w:rPr>
            </w:pPr>
          </w:p>
        </w:tc>
        <w:tc>
          <w:tcPr>
            <w:tcW w:w="7460" w:type="dxa"/>
          </w:tcPr>
          <w:p>
            <w:pPr>
              <w:pStyle w:val="TableParagraph"/>
              <w:spacing w:line="208" w:lineRule="exact" w:before="0"/>
              <w:ind w:left="97"/>
              <w:rPr>
                <w:sz w:val="21"/>
              </w:rPr>
            </w:pPr>
            <w:r>
              <w:rPr>
                <w:sz w:val="21"/>
              </w:rPr>
              <w:t>诊断，临床诊断属于世界卫生组织《疾病和有关健康问题的国际统计分类》</w:t>
            </w:r>
          </w:p>
          <w:p>
            <w:pPr>
              <w:pStyle w:val="TableParagraph"/>
              <w:spacing w:line="314" w:lineRule="auto" w:before="82"/>
              <w:ind w:left="97" w:right="4626"/>
              <w:rPr>
                <w:sz w:val="21"/>
              </w:rPr>
            </w:pPr>
            <w:r>
              <w:rPr>
                <w:sz w:val="21"/>
              </w:rPr>
              <w:t>（ICD-10）的恶性肿瘤范畴。下列疾病不在保障范围内：</w:t>
            </w:r>
          </w:p>
          <w:p>
            <w:pPr>
              <w:pStyle w:val="TableParagraph"/>
              <w:spacing w:before="17"/>
              <w:ind w:left="97"/>
              <w:rPr>
                <w:sz w:val="21"/>
              </w:rPr>
            </w:pPr>
            <w:r>
              <w:rPr>
                <w:sz w:val="21"/>
              </w:rPr>
              <w:t>（1）原位癌；</w:t>
            </w:r>
          </w:p>
          <w:p>
            <w:pPr>
              <w:pStyle w:val="TableParagraph"/>
              <w:spacing w:before="85"/>
              <w:ind w:left="97"/>
              <w:rPr>
                <w:sz w:val="21"/>
              </w:rPr>
            </w:pPr>
            <w:r>
              <w:rPr>
                <w:sz w:val="21"/>
              </w:rPr>
              <w:t>（2）相当于 Binet 分期方案 A 期程度的慢性淋巴细胞白血病；</w:t>
            </w:r>
          </w:p>
          <w:p>
            <w:pPr>
              <w:pStyle w:val="TableParagraph"/>
              <w:spacing w:before="82"/>
              <w:ind w:left="97"/>
              <w:rPr>
                <w:sz w:val="21"/>
              </w:rPr>
            </w:pPr>
            <w:r>
              <w:rPr>
                <w:sz w:val="21"/>
              </w:rPr>
              <w:t>（3）相当于 Ann Arbor 分期方案 I 期程度的何杰金氏病；</w:t>
            </w:r>
          </w:p>
          <w:p>
            <w:pPr>
              <w:pStyle w:val="TableParagraph"/>
              <w:spacing w:before="84"/>
              <w:ind w:left="97"/>
              <w:rPr>
                <w:sz w:val="21"/>
              </w:rPr>
            </w:pPr>
            <w:r>
              <w:rPr>
                <w:sz w:val="21"/>
              </w:rPr>
              <w:t>（4）皮肤癌（不包括恶性黑色素瘤及已发生转移的皮肤癌）；</w:t>
            </w:r>
          </w:p>
          <w:p>
            <w:pPr>
              <w:pStyle w:val="TableParagraph"/>
              <w:spacing w:before="82"/>
              <w:ind w:left="97"/>
              <w:rPr>
                <w:sz w:val="21"/>
              </w:rPr>
            </w:pPr>
            <w:r>
              <w:rPr>
                <w:sz w:val="21"/>
              </w:rPr>
              <w:t>（5）感染艾滋病病毒或患艾滋病期间所患恶性肿瘤。</w:t>
            </w:r>
          </w:p>
        </w:tc>
      </w:tr>
      <w:tr>
        <w:trPr>
          <w:trHeight w:val="2067" w:hRule="atLeast"/>
        </w:trPr>
        <w:tc>
          <w:tcPr>
            <w:tcW w:w="1694" w:type="dxa"/>
          </w:tcPr>
          <w:p>
            <w:pPr>
              <w:pStyle w:val="TableParagraph"/>
              <w:spacing w:line="314" w:lineRule="auto"/>
              <w:ind w:left="200" w:right="95"/>
              <w:jc w:val="both"/>
              <w:rPr>
                <w:b/>
                <w:sz w:val="21"/>
              </w:rPr>
            </w:pPr>
            <w:r>
              <w:rPr>
                <w:b/>
                <w:sz w:val="21"/>
              </w:rPr>
              <w:t>2. 重大器官移植术或造血干细胞移植术</w:t>
            </w:r>
          </w:p>
        </w:tc>
        <w:tc>
          <w:tcPr>
            <w:tcW w:w="7460" w:type="dxa"/>
          </w:tcPr>
          <w:p>
            <w:pPr>
              <w:pStyle w:val="TableParagraph"/>
              <w:spacing w:line="314" w:lineRule="auto"/>
              <w:ind w:left="97" w:right="200"/>
              <w:jc w:val="both"/>
              <w:rPr>
                <w:sz w:val="21"/>
              </w:rPr>
            </w:pPr>
            <w:r>
              <w:rPr>
                <w:sz w:val="21"/>
              </w:rPr>
              <w:t>重大器官移植术，指因相应器官功能衰竭，已经实施了肾脏、肝脏、心脏或肺脏的异体移植手术。</w:t>
            </w:r>
          </w:p>
          <w:p>
            <w:pPr>
              <w:pStyle w:val="TableParagraph"/>
              <w:spacing w:line="314" w:lineRule="auto" w:before="17"/>
              <w:ind w:left="97" w:right="20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707" w:hRule="atLeast"/>
        </w:trPr>
        <w:tc>
          <w:tcPr>
            <w:tcW w:w="1694" w:type="dxa"/>
          </w:tcPr>
          <w:p>
            <w:pPr>
              <w:pStyle w:val="TableParagraph"/>
              <w:ind w:left="200"/>
              <w:rPr>
                <w:b/>
                <w:sz w:val="21"/>
              </w:rPr>
            </w:pPr>
            <w:r>
              <w:rPr>
                <w:b/>
                <w:sz w:val="21"/>
              </w:rPr>
              <w:t>3. 终末期肾病</w:t>
            </w:r>
          </w:p>
          <w:p>
            <w:pPr>
              <w:pStyle w:val="TableParagraph"/>
              <w:spacing w:line="314" w:lineRule="auto" w:before="84"/>
              <w:ind w:left="200" w:right="95"/>
              <w:jc w:val="both"/>
              <w:rPr>
                <w:b/>
                <w:sz w:val="21"/>
              </w:rPr>
            </w:pPr>
            <w:r>
              <w:rPr>
                <w:b/>
                <w:sz w:val="21"/>
              </w:rPr>
              <w:t>（或称慢性肾功能衰竭尿毒症期）</w:t>
            </w:r>
          </w:p>
        </w:tc>
        <w:tc>
          <w:tcPr>
            <w:tcW w:w="7460" w:type="dxa"/>
          </w:tcPr>
          <w:p>
            <w:pPr>
              <w:pStyle w:val="TableParagraph"/>
              <w:spacing w:line="314" w:lineRule="auto"/>
              <w:ind w:left="97" w:right="202"/>
              <w:rPr>
                <w:sz w:val="21"/>
              </w:rPr>
            </w:pPr>
            <w:r>
              <w:rPr>
                <w:sz w:val="21"/>
              </w:rPr>
              <w:t>指双肾功能慢性不可逆性衰竭，达到尿毒症期，经诊断后已经进行了至少 90 天的规律性透析治疗或实施了肾脏移植手术。</w:t>
            </w:r>
          </w:p>
        </w:tc>
      </w:tr>
      <w:tr>
        <w:trPr>
          <w:trHeight w:val="990" w:hRule="atLeast"/>
        </w:trPr>
        <w:tc>
          <w:tcPr>
            <w:tcW w:w="1694" w:type="dxa"/>
          </w:tcPr>
          <w:p>
            <w:pPr>
              <w:pStyle w:val="TableParagraph"/>
              <w:spacing w:line="314" w:lineRule="auto" w:before="142"/>
              <w:ind w:left="200" w:right="95"/>
              <w:rPr>
                <w:b/>
                <w:sz w:val="21"/>
              </w:rPr>
            </w:pPr>
            <w:r>
              <w:rPr>
                <w:b/>
                <w:sz w:val="21"/>
              </w:rPr>
              <w:t>4. 多个肢体缺失</w:t>
            </w:r>
          </w:p>
        </w:tc>
        <w:tc>
          <w:tcPr>
            <w:tcW w:w="7460" w:type="dxa"/>
          </w:tcPr>
          <w:p>
            <w:pPr>
              <w:pStyle w:val="TableParagraph"/>
              <w:spacing w:line="314" w:lineRule="auto" w:before="142"/>
              <w:ind w:left="97" w:right="200"/>
              <w:rPr>
                <w:sz w:val="21"/>
              </w:rPr>
            </w:pPr>
            <w:r>
              <w:rPr>
                <w:sz w:val="21"/>
              </w:rPr>
              <w:t>指因疾病或意外伤害导致两个或两个以上肢体自腕关节或踝关节近端（靠近躯干端）以上完全性断离。</w:t>
            </w:r>
          </w:p>
        </w:tc>
      </w:tr>
      <w:tr>
        <w:trPr>
          <w:trHeight w:val="2424" w:hRule="atLeast"/>
        </w:trPr>
        <w:tc>
          <w:tcPr>
            <w:tcW w:w="1694" w:type="dxa"/>
          </w:tcPr>
          <w:p>
            <w:pPr>
              <w:pStyle w:val="TableParagraph"/>
              <w:spacing w:line="312" w:lineRule="auto"/>
              <w:ind w:left="200" w:right="95"/>
              <w:rPr>
                <w:b/>
                <w:sz w:val="21"/>
              </w:rPr>
            </w:pPr>
            <w:r>
              <w:rPr>
                <w:b/>
                <w:sz w:val="21"/>
              </w:rPr>
              <w:t>5. 急性或亚急性重症肝炎</w:t>
            </w:r>
          </w:p>
        </w:tc>
        <w:tc>
          <w:tcPr>
            <w:tcW w:w="7460" w:type="dxa"/>
          </w:tcPr>
          <w:p>
            <w:pPr>
              <w:pStyle w:val="TableParagraph"/>
              <w:spacing w:line="312" w:lineRule="auto"/>
              <w:ind w:left="97" w:right="200"/>
              <w:rPr>
                <w:sz w:val="21"/>
              </w:rPr>
            </w:pPr>
            <w:r>
              <w:rPr>
                <w:sz w:val="21"/>
              </w:rPr>
              <w:t>指因肝炎病毒感染引起肝脏组织弥漫性坏死，导致急性肝功能衰竭，且经血清学或病毒学检查证实，并须满足下列全部条件：</w:t>
            </w:r>
          </w:p>
          <w:p>
            <w:pPr>
              <w:pStyle w:val="TableParagraph"/>
              <w:spacing w:before="21"/>
              <w:ind w:left="97"/>
              <w:rPr>
                <w:sz w:val="21"/>
              </w:rPr>
            </w:pPr>
            <w:r>
              <w:rPr>
                <w:sz w:val="21"/>
              </w:rPr>
              <w:t>（1）重度黄疸或黄疸迅速加重；</w:t>
            </w:r>
          </w:p>
          <w:p>
            <w:pPr>
              <w:pStyle w:val="TableParagraph"/>
              <w:spacing w:before="82"/>
              <w:ind w:left="97"/>
              <w:rPr>
                <w:sz w:val="21"/>
              </w:rPr>
            </w:pPr>
            <w:r>
              <w:rPr>
                <w:sz w:val="21"/>
              </w:rPr>
              <w:t>（2）肝性脑病；</w:t>
            </w:r>
          </w:p>
          <w:p>
            <w:pPr>
              <w:pStyle w:val="TableParagraph"/>
              <w:spacing w:before="85"/>
              <w:ind w:left="97"/>
              <w:rPr>
                <w:sz w:val="21"/>
              </w:rPr>
            </w:pPr>
            <w:r>
              <w:rPr>
                <w:sz w:val="21"/>
              </w:rPr>
              <w:t>（3）B 超或其他影像学检查显示肝脏体积急速萎缩；</w:t>
            </w:r>
          </w:p>
          <w:p>
            <w:pPr>
              <w:pStyle w:val="TableParagraph"/>
              <w:spacing w:before="82"/>
              <w:ind w:left="97"/>
              <w:rPr>
                <w:sz w:val="21"/>
              </w:rPr>
            </w:pPr>
            <w:r>
              <w:rPr>
                <w:sz w:val="21"/>
              </w:rPr>
              <w:t>（4）肝功能指标进行性恶化。</w:t>
            </w:r>
          </w:p>
        </w:tc>
      </w:tr>
      <w:tr>
        <w:trPr>
          <w:trHeight w:val="2784" w:hRule="atLeast"/>
        </w:trPr>
        <w:tc>
          <w:tcPr>
            <w:tcW w:w="1694" w:type="dxa"/>
          </w:tcPr>
          <w:p>
            <w:pPr>
              <w:pStyle w:val="TableParagraph"/>
              <w:spacing w:before="144"/>
              <w:ind w:left="200"/>
              <w:rPr>
                <w:b/>
                <w:sz w:val="21"/>
              </w:rPr>
            </w:pPr>
            <w:r>
              <w:rPr>
                <w:b/>
                <w:sz w:val="21"/>
              </w:rPr>
              <w:t>6.良性脑肿瘤</w:t>
            </w:r>
          </w:p>
        </w:tc>
        <w:tc>
          <w:tcPr>
            <w:tcW w:w="7460" w:type="dxa"/>
          </w:tcPr>
          <w:p>
            <w:pPr>
              <w:pStyle w:val="TableParagraph"/>
              <w:spacing w:line="314" w:lineRule="auto" w:before="144"/>
              <w:ind w:left="97" w:right="198"/>
              <w:jc w:val="both"/>
              <w:rPr>
                <w:sz w:val="21"/>
              </w:rPr>
            </w:pPr>
            <w:r>
              <w:rPr>
                <w:sz w:val="21"/>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18"/>
              <w:ind w:left="97"/>
              <w:jc w:val="both"/>
              <w:rPr>
                <w:sz w:val="21"/>
              </w:rPr>
            </w:pPr>
            <w:r>
              <w:rPr>
                <w:sz w:val="21"/>
              </w:rPr>
              <w:t>（1）实际实施了开颅进行的脑肿瘤完全切除或部分切除的手术；</w:t>
            </w:r>
          </w:p>
          <w:p>
            <w:pPr>
              <w:pStyle w:val="TableParagraph"/>
              <w:spacing w:before="85"/>
              <w:ind w:left="97"/>
              <w:jc w:val="both"/>
              <w:rPr>
                <w:sz w:val="21"/>
              </w:rPr>
            </w:pPr>
            <w:r>
              <w:rPr>
                <w:sz w:val="21"/>
              </w:rPr>
              <w:t>（2）实际实施了对脑肿瘤进行的放射治疗。</w:t>
            </w:r>
          </w:p>
          <w:p>
            <w:pPr>
              <w:pStyle w:val="TableParagraph"/>
              <w:spacing w:before="82"/>
              <w:ind w:left="97"/>
              <w:jc w:val="both"/>
              <w:rPr>
                <w:sz w:val="21"/>
              </w:rPr>
            </w:pPr>
            <w:r>
              <w:rPr>
                <w:sz w:val="21"/>
              </w:rPr>
              <w:t>脑垂体瘤、脑囊肿、脑血管性疾病不在保障范围内。</w:t>
            </w:r>
          </w:p>
        </w:tc>
      </w:tr>
      <w:tr>
        <w:trPr>
          <w:trHeight w:val="779" w:hRule="atLeast"/>
        </w:trPr>
        <w:tc>
          <w:tcPr>
            <w:tcW w:w="1694" w:type="dxa"/>
          </w:tcPr>
          <w:p>
            <w:pPr>
              <w:pStyle w:val="TableParagraph"/>
              <w:spacing w:line="360" w:lineRule="atLeast" w:before="58"/>
              <w:ind w:left="200" w:right="95"/>
              <w:rPr>
                <w:b/>
                <w:sz w:val="21"/>
              </w:rPr>
            </w:pPr>
            <w:r>
              <w:rPr>
                <w:b/>
                <w:sz w:val="21"/>
              </w:rPr>
              <w:t>7. 慢性肝功能衰竭失代偿期</w:t>
            </w:r>
          </w:p>
        </w:tc>
        <w:tc>
          <w:tcPr>
            <w:tcW w:w="7460" w:type="dxa"/>
          </w:tcPr>
          <w:p>
            <w:pPr>
              <w:pStyle w:val="TableParagraph"/>
              <w:ind w:left="97"/>
              <w:rPr>
                <w:sz w:val="21"/>
              </w:rPr>
            </w:pPr>
            <w:r>
              <w:rPr>
                <w:sz w:val="21"/>
              </w:rPr>
              <w:t>指因慢性肝脏疾病导致肝功能衰竭,须满足下列全部条件：</w:t>
            </w:r>
          </w:p>
          <w:p>
            <w:pPr>
              <w:pStyle w:val="TableParagraph"/>
              <w:spacing w:line="258" w:lineRule="exact" w:before="82"/>
              <w:ind w:left="97"/>
              <w:rPr>
                <w:sz w:val="21"/>
              </w:rPr>
            </w:pPr>
            <w:r>
              <w:rPr>
                <w:sz w:val="21"/>
              </w:rPr>
              <w:t>（1）持续性黄疸；</w:t>
            </w:r>
          </w:p>
        </w:tc>
      </w:tr>
    </w:tbl>
    <w:p>
      <w:pPr>
        <w:spacing w:after="0" w:line="258" w:lineRule="exact"/>
        <w:rPr>
          <w:sz w:val="21"/>
        </w:rPr>
        <w:sectPr>
          <w:pgSz w:w="11910" w:h="16840"/>
          <w:pgMar w:top="1500" w:bottom="280" w:left="1380" w:right="11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7565"/>
      </w:tblGrid>
      <w:tr>
        <w:trPr>
          <w:trHeight w:val="1496" w:hRule="atLeast"/>
        </w:trPr>
        <w:tc>
          <w:tcPr>
            <w:tcW w:w="1695" w:type="dxa"/>
          </w:tcPr>
          <w:p>
            <w:pPr>
              <w:pStyle w:val="TableParagraph"/>
              <w:spacing w:before="0"/>
              <w:ind w:left="0"/>
              <w:rPr>
                <w:rFonts w:ascii="Times New Roman"/>
                <w:sz w:val="20"/>
              </w:rPr>
            </w:pPr>
          </w:p>
        </w:tc>
        <w:tc>
          <w:tcPr>
            <w:tcW w:w="7565" w:type="dxa"/>
          </w:tcPr>
          <w:p>
            <w:pPr>
              <w:pStyle w:val="TableParagraph"/>
              <w:spacing w:line="208" w:lineRule="exact" w:before="0"/>
              <w:ind w:left="96"/>
              <w:rPr>
                <w:sz w:val="21"/>
              </w:rPr>
            </w:pPr>
            <w:r>
              <w:rPr>
                <w:sz w:val="21"/>
              </w:rPr>
              <w:t>（2）腹水；</w:t>
            </w:r>
          </w:p>
          <w:p>
            <w:pPr>
              <w:pStyle w:val="TableParagraph"/>
              <w:spacing w:before="82"/>
              <w:ind w:left="96"/>
              <w:rPr>
                <w:sz w:val="21"/>
              </w:rPr>
            </w:pPr>
            <w:r>
              <w:rPr>
                <w:sz w:val="21"/>
              </w:rPr>
              <w:t>（3）肝性脑病；</w:t>
            </w:r>
          </w:p>
          <w:p>
            <w:pPr>
              <w:pStyle w:val="TableParagraph"/>
              <w:spacing w:line="312" w:lineRule="auto" w:before="84"/>
              <w:ind w:left="96" w:right="2421"/>
              <w:rPr>
                <w:sz w:val="21"/>
              </w:rPr>
            </w:pPr>
            <w:r>
              <w:rPr>
                <w:sz w:val="21"/>
              </w:rPr>
              <w:t>（4）充血性脾大伴脾功能亢进或食管胃底静脉曲张。因酗酒或药物滥用导致的肝功能衰竭不在保障范围内。</w:t>
            </w:r>
          </w:p>
        </w:tc>
      </w:tr>
      <w:tr>
        <w:trPr>
          <w:trHeight w:val="2427" w:hRule="atLeast"/>
        </w:trPr>
        <w:tc>
          <w:tcPr>
            <w:tcW w:w="1695" w:type="dxa"/>
          </w:tcPr>
          <w:p>
            <w:pPr>
              <w:pStyle w:val="TableParagraph"/>
              <w:spacing w:line="314" w:lineRule="auto"/>
              <w:ind w:left="200" w:right="96"/>
              <w:jc w:val="both"/>
              <w:rPr>
                <w:b/>
                <w:sz w:val="21"/>
              </w:rPr>
            </w:pPr>
            <w:r>
              <w:rPr>
                <w:b/>
                <w:sz w:val="21"/>
              </w:rPr>
              <w:t>8. 脑炎后遗症或脑膜炎后遗症</w:t>
            </w:r>
          </w:p>
        </w:tc>
        <w:tc>
          <w:tcPr>
            <w:tcW w:w="7565" w:type="dxa"/>
          </w:tcPr>
          <w:p>
            <w:pPr>
              <w:pStyle w:val="TableParagraph"/>
              <w:spacing w:line="314" w:lineRule="auto"/>
              <w:ind w:left="96" w:right="30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7"/>
              <w:ind w:left="96"/>
              <w:rPr>
                <w:sz w:val="21"/>
              </w:rPr>
            </w:pPr>
            <w:r>
              <w:rPr>
                <w:sz w:val="21"/>
              </w:rPr>
              <w:t>（1）一肢或一肢以上肢体机能完全丧失；</w:t>
            </w:r>
          </w:p>
          <w:p>
            <w:pPr>
              <w:pStyle w:val="TableParagraph"/>
              <w:spacing w:before="85"/>
              <w:ind w:left="96"/>
              <w:rPr>
                <w:sz w:val="21"/>
              </w:rPr>
            </w:pPr>
            <w:r>
              <w:rPr>
                <w:sz w:val="21"/>
              </w:rPr>
              <w:t>（2）语言能力或咀嚼吞咽能力完全丧失；</w:t>
            </w:r>
          </w:p>
          <w:p>
            <w:pPr>
              <w:pStyle w:val="TableParagraph"/>
              <w:spacing w:line="314" w:lineRule="auto" w:before="82"/>
              <w:ind w:left="96" w:right="304"/>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1706" w:hRule="atLeast"/>
        </w:trPr>
        <w:tc>
          <w:tcPr>
            <w:tcW w:w="1695" w:type="dxa"/>
          </w:tcPr>
          <w:p>
            <w:pPr>
              <w:pStyle w:val="TableParagraph"/>
              <w:ind w:left="200"/>
              <w:rPr>
                <w:b/>
                <w:sz w:val="21"/>
              </w:rPr>
            </w:pPr>
            <w:r>
              <w:rPr>
                <w:b/>
                <w:sz w:val="21"/>
              </w:rPr>
              <w:t>9.深度昏迷</w:t>
            </w:r>
          </w:p>
        </w:tc>
        <w:tc>
          <w:tcPr>
            <w:tcW w:w="7565" w:type="dxa"/>
          </w:tcPr>
          <w:p>
            <w:pPr>
              <w:pStyle w:val="TableParagraph"/>
              <w:spacing w:line="314" w:lineRule="auto"/>
              <w:ind w:left="96" w:right="303"/>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4"/>
                <w:sz w:val="21"/>
              </w:rPr>
              <w:t> 分或 </w:t>
            </w:r>
            <w:r>
              <w:rPr>
                <w:sz w:val="21"/>
              </w:rPr>
              <w:t>5</w:t>
            </w:r>
            <w:r>
              <w:rPr>
                <w:spacing w:val="-9"/>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17"/>
              <w:ind w:left="96"/>
              <w:jc w:val="both"/>
              <w:rPr>
                <w:sz w:val="21"/>
              </w:rPr>
            </w:pPr>
            <w:r>
              <w:rPr>
                <w:sz w:val="21"/>
              </w:rPr>
              <w:t>因酗酒或药物滥用导致的深度昏迷不在保障范围内。</w:t>
            </w:r>
          </w:p>
        </w:tc>
      </w:tr>
      <w:tr>
        <w:trPr>
          <w:trHeight w:val="1348" w:hRule="atLeast"/>
        </w:trPr>
        <w:tc>
          <w:tcPr>
            <w:tcW w:w="1695" w:type="dxa"/>
          </w:tcPr>
          <w:p>
            <w:pPr>
              <w:pStyle w:val="TableParagraph"/>
              <w:ind w:left="200"/>
              <w:rPr>
                <w:b/>
                <w:sz w:val="21"/>
              </w:rPr>
            </w:pPr>
            <w:r>
              <w:rPr>
                <w:b/>
                <w:sz w:val="21"/>
              </w:rPr>
              <w:t>10.双耳失聪</w:t>
            </w:r>
          </w:p>
        </w:tc>
        <w:tc>
          <w:tcPr>
            <w:tcW w:w="7565" w:type="dxa"/>
          </w:tcPr>
          <w:p>
            <w:pPr>
              <w:pStyle w:val="TableParagraph"/>
              <w:spacing w:line="314" w:lineRule="auto"/>
              <w:ind w:left="96" w:right="303"/>
              <w:jc w:val="both"/>
              <w:rPr>
                <w:sz w:val="21"/>
              </w:rPr>
            </w:pPr>
            <w:r>
              <w:rPr>
                <w:spacing w:val="-6"/>
                <w:sz w:val="21"/>
              </w:rPr>
              <w:t>指因疾病或意外伤害导致双耳听力永久不可逆性丧失，在 </w:t>
            </w:r>
            <w:r>
              <w:rPr>
                <w:sz w:val="21"/>
              </w:rPr>
              <w:t>500</w:t>
            </w:r>
            <w:r>
              <w:rPr>
                <w:spacing w:val="-17"/>
                <w:sz w:val="21"/>
              </w:rPr>
              <w:t> 赫兹、</w:t>
            </w:r>
            <w:r>
              <w:rPr>
                <w:sz w:val="21"/>
              </w:rPr>
              <w:t>1000</w:t>
            </w:r>
            <w:r>
              <w:rPr>
                <w:spacing w:val="-17"/>
                <w:sz w:val="21"/>
              </w:rPr>
              <w:t> 赫兹</w:t>
            </w:r>
            <w:r>
              <w:rPr>
                <w:spacing w:val="-21"/>
                <w:sz w:val="21"/>
              </w:rPr>
              <w:t>和 </w:t>
            </w:r>
            <w:r>
              <w:rPr>
                <w:sz w:val="21"/>
              </w:rPr>
              <w:t>2000</w:t>
            </w:r>
            <w:r>
              <w:rPr>
                <w:spacing w:val="-11"/>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tc>
      </w:tr>
      <w:tr>
        <w:trPr>
          <w:trHeight w:val="2424" w:hRule="atLeast"/>
        </w:trPr>
        <w:tc>
          <w:tcPr>
            <w:tcW w:w="1695" w:type="dxa"/>
          </w:tcPr>
          <w:p>
            <w:pPr>
              <w:pStyle w:val="TableParagraph"/>
              <w:ind w:left="200"/>
              <w:rPr>
                <w:b/>
                <w:sz w:val="21"/>
              </w:rPr>
            </w:pPr>
            <w:r>
              <w:rPr>
                <w:b/>
                <w:sz w:val="21"/>
              </w:rPr>
              <w:t>11.双目失明</w:t>
            </w:r>
          </w:p>
        </w:tc>
        <w:tc>
          <w:tcPr>
            <w:tcW w:w="7565" w:type="dxa"/>
          </w:tcPr>
          <w:p>
            <w:pPr>
              <w:pStyle w:val="TableParagraph"/>
              <w:spacing w:line="312" w:lineRule="auto"/>
              <w:ind w:left="96" w:right="306"/>
              <w:rPr>
                <w:sz w:val="21"/>
              </w:rPr>
            </w:pPr>
            <w:r>
              <w:rPr>
                <w:sz w:val="21"/>
              </w:rPr>
              <w:t>指因疾病或意外伤害导致双目视力永久不可逆性丧失，双眼中较好眼须满足下列至少一项条件：</w:t>
            </w:r>
          </w:p>
          <w:p>
            <w:pPr>
              <w:pStyle w:val="TableParagraph"/>
              <w:spacing w:before="21"/>
              <w:ind w:left="96"/>
              <w:rPr>
                <w:sz w:val="21"/>
              </w:rPr>
            </w:pPr>
            <w:r>
              <w:rPr>
                <w:sz w:val="21"/>
              </w:rPr>
              <w:t>（1）眼球缺失或摘除；</w:t>
            </w:r>
          </w:p>
          <w:p>
            <w:pPr>
              <w:pStyle w:val="TableParagraph"/>
              <w:spacing w:line="314" w:lineRule="auto" w:before="82"/>
              <w:ind w:left="96" w:right="306"/>
              <w:rPr>
                <w:sz w:val="21"/>
              </w:rPr>
            </w:pPr>
            <w:r>
              <w:rPr>
                <w:sz w:val="21"/>
              </w:rPr>
              <w:t>（2）矫正视力低于 0.02（采用国际标准视力表，如果使用其他视力表应进行换算）；</w:t>
            </w:r>
          </w:p>
          <w:p>
            <w:pPr>
              <w:pStyle w:val="TableParagraph"/>
              <w:spacing w:before="17"/>
              <w:ind w:left="96"/>
              <w:rPr>
                <w:sz w:val="21"/>
              </w:rPr>
            </w:pPr>
            <w:r>
              <w:rPr>
                <w:sz w:val="21"/>
              </w:rPr>
              <w:t>（3）视野半径小于 5 度。</w:t>
            </w:r>
          </w:p>
        </w:tc>
      </w:tr>
      <w:tr>
        <w:trPr>
          <w:trHeight w:val="1349" w:hRule="atLeast"/>
        </w:trPr>
        <w:tc>
          <w:tcPr>
            <w:tcW w:w="1695" w:type="dxa"/>
          </w:tcPr>
          <w:p>
            <w:pPr>
              <w:pStyle w:val="TableParagraph"/>
              <w:ind w:left="200"/>
              <w:rPr>
                <w:b/>
                <w:sz w:val="21"/>
              </w:rPr>
            </w:pPr>
            <w:r>
              <w:rPr>
                <w:b/>
                <w:sz w:val="21"/>
              </w:rPr>
              <w:t>12.瘫痪</w:t>
            </w:r>
          </w:p>
        </w:tc>
        <w:tc>
          <w:tcPr>
            <w:tcW w:w="7565" w:type="dxa"/>
          </w:tcPr>
          <w:p>
            <w:pPr>
              <w:pStyle w:val="TableParagraph"/>
              <w:spacing w:line="314" w:lineRule="auto"/>
              <w:ind w:left="96" w:right="303"/>
              <w:jc w:val="both"/>
              <w:rPr>
                <w:sz w:val="21"/>
              </w:rPr>
            </w:pPr>
            <w:r>
              <w:rPr>
                <w:spacing w:val="-3"/>
                <w:sz w:val="21"/>
              </w:rPr>
              <w:t>指因疾病或意外伤害导致两肢或两肢以上的肢体机能永久完全丧失。肢体机能</w:t>
            </w:r>
            <w:r>
              <w:rPr>
                <w:spacing w:val="-6"/>
                <w:sz w:val="21"/>
              </w:rPr>
              <w:t>永久完全丧失，指疾病确诊 </w:t>
            </w:r>
            <w:r>
              <w:rPr>
                <w:sz w:val="21"/>
              </w:rPr>
              <w:t>180</w:t>
            </w:r>
            <w:r>
              <w:rPr>
                <w:spacing w:val="-11"/>
                <w:sz w:val="21"/>
              </w:rPr>
              <w:t> 天后或意外伤害发生 </w:t>
            </w:r>
            <w:r>
              <w:rPr>
                <w:sz w:val="21"/>
              </w:rPr>
              <w:t>180</w:t>
            </w:r>
            <w:r>
              <w:rPr>
                <w:spacing w:val="-9"/>
                <w:sz w:val="21"/>
              </w:rPr>
              <w:t> 天后，每肢三大关节</w:t>
            </w:r>
            <w:r>
              <w:rPr>
                <w:spacing w:val="-5"/>
                <w:sz w:val="21"/>
              </w:rPr>
              <w:t>中的两大关节仍然完全僵硬，或不能随意识活动。</w:t>
            </w:r>
          </w:p>
        </w:tc>
      </w:tr>
      <w:tr>
        <w:trPr>
          <w:trHeight w:val="988" w:hRule="atLeast"/>
        </w:trPr>
        <w:tc>
          <w:tcPr>
            <w:tcW w:w="1695" w:type="dxa"/>
          </w:tcPr>
          <w:p>
            <w:pPr>
              <w:pStyle w:val="TableParagraph"/>
              <w:spacing w:line="312" w:lineRule="auto"/>
              <w:ind w:left="200" w:right="120"/>
              <w:rPr>
                <w:b/>
                <w:sz w:val="21"/>
              </w:rPr>
            </w:pPr>
            <w:r>
              <w:rPr>
                <w:b/>
                <w:sz w:val="21"/>
              </w:rPr>
              <w:t>13.心脏瓣膜手术</w:t>
            </w:r>
          </w:p>
        </w:tc>
        <w:tc>
          <w:tcPr>
            <w:tcW w:w="7565" w:type="dxa"/>
          </w:tcPr>
          <w:p>
            <w:pPr>
              <w:pStyle w:val="TableParagraph"/>
              <w:ind w:left="96"/>
              <w:rPr>
                <w:sz w:val="21"/>
              </w:rPr>
            </w:pPr>
            <w:r>
              <w:rPr>
                <w:sz w:val="21"/>
              </w:rPr>
              <w:t>指为治疗心脏瓣膜疾病，实际实施了开胸进行的心脏瓣膜置换或修复的手术。</w:t>
            </w:r>
          </w:p>
        </w:tc>
      </w:tr>
      <w:tr>
        <w:trPr>
          <w:trHeight w:val="1856" w:hRule="atLeast"/>
        </w:trPr>
        <w:tc>
          <w:tcPr>
            <w:tcW w:w="1695" w:type="dxa"/>
          </w:tcPr>
          <w:p>
            <w:pPr>
              <w:pStyle w:val="TableParagraph"/>
              <w:spacing w:line="314" w:lineRule="auto"/>
              <w:ind w:left="200" w:right="93"/>
              <w:rPr>
                <w:b/>
                <w:sz w:val="21"/>
              </w:rPr>
            </w:pPr>
            <w:r>
              <w:rPr>
                <w:b/>
                <w:sz w:val="21"/>
              </w:rPr>
              <w:t>14. 严重脑损伤</w:t>
            </w:r>
          </w:p>
        </w:tc>
        <w:tc>
          <w:tcPr>
            <w:tcW w:w="7565" w:type="dxa"/>
          </w:tcPr>
          <w:p>
            <w:pPr>
              <w:pStyle w:val="TableParagraph"/>
              <w:spacing w:line="314" w:lineRule="auto"/>
              <w:ind w:left="96" w:right="198"/>
              <w:rPr>
                <w:sz w:val="21"/>
              </w:rPr>
            </w:pPr>
            <w:r>
              <w:rPr>
                <w:spacing w:val="-3"/>
                <w:sz w:val="21"/>
              </w:rPr>
              <w:t>指因头部遭受机械性外力，引起脑重要部位损伤，导致神经系统永久性的功能</w:t>
            </w:r>
            <w:r>
              <w:rPr>
                <w:spacing w:val="-12"/>
                <w:sz w:val="21"/>
              </w:rPr>
              <w:t>障碍。须由头颅断层扫描（CT）</w:t>
            </w:r>
            <w:r>
              <w:rPr>
                <w:spacing w:val="-20"/>
                <w:sz w:val="21"/>
              </w:rPr>
              <w:t>、核磁共振</w:t>
            </w:r>
            <w:r>
              <w:rPr>
                <w:spacing w:val="-10"/>
                <w:sz w:val="21"/>
              </w:rPr>
              <w:t>（MRI）</w:t>
            </w:r>
            <w:r>
              <w:rPr>
                <w:spacing w:val="-8"/>
                <w:sz w:val="21"/>
              </w:rPr>
              <w:t>或正电子发射断层扫描</w:t>
            </w:r>
            <w:r>
              <w:rPr>
                <w:sz w:val="21"/>
              </w:rPr>
              <w:t>（PET） </w:t>
            </w:r>
            <w:r>
              <w:rPr>
                <w:spacing w:val="-5"/>
                <w:sz w:val="21"/>
              </w:rPr>
              <w:t>等影像学检查证实。神经系统永久性的功能障碍，指脑损伤 </w:t>
            </w:r>
            <w:r>
              <w:rPr>
                <w:sz w:val="21"/>
              </w:rPr>
              <w:t>180</w:t>
            </w:r>
            <w:r>
              <w:rPr>
                <w:spacing w:val="-8"/>
                <w:sz w:val="21"/>
              </w:rPr>
              <w:t> 天后，仍遗留</w:t>
            </w:r>
            <w:r>
              <w:rPr>
                <w:spacing w:val="-5"/>
                <w:sz w:val="21"/>
              </w:rPr>
              <w:t>下列一种或一种以上障碍：</w:t>
            </w:r>
          </w:p>
          <w:p>
            <w:pPr>
              <w:pStyle w:val="TableParagraph"/>
              <w:spacing w:line="258" w:lineRule="exact" w:before="17"/>
              <w:ind w:left="96"/>
              <w:rPr>
                <w:sz w:val="21"/>
              </w:rPr>
            </w:pPr>
            <w:r>
              <w:rPr>
                <w:sz w:val="21"/>
              </w:rPr>
              <w:t>（1）一肢或一肢以上肢体机能完全丧失；</w:t>
            </w:r>
          </w:p>
        </w:tc>
      </w:tr>
    </w:tbl>
    <w:p>
      <w:pPr>
        <w:spacing w:after="0" w:line="258" w:lineRule="exact"/>
        <w:rPr>
          <w:sz w:val="21"/>
        </w:rPr>
        <w:sectPr>
          <w:pgSz w:w="11910" w:h="16840"/>
          <w:pgMar w:top="1500" w:bottom="280" w:left="1380" w:right="10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7566"/>
      </w:tblGrid>
      <w:tr>
        <w:trPr>
          <w:trHeight w:val="1138" w:hRule="atLeast"/>
        </w:trPr>
        <w:tc>
          <w:tcPr>
            <w:tcW w:w="1694" w:type="dxa"/>
          </w:tcPr>
          <w:p>
            <w:pPr>
              <w:pStyle w:val="TableParagraph"/>
              <w:spacing w:before="0"/>
              <w:ind w:left="0"/>
              <w:rPr>
                <w:rFonts w:ascii="Times New Roman"/>
                <w:sz w:val="20"/>
              </w:rPr>
            </w:pPr>
          </w:p>
        </w:tc>
        <w:tc>
          <w:tcPr>
            <w:tcW w:w="7566" w:type="dxa"/>
          </w:tcPr>
          <w:p>
            <w:pPr>
              <w:pStyle w:val="TableParagraph"/>
              <w:spacing w:line="208" w:lineRule="exact" w:before="0"/>
              <w:ind w:left="97"/>
              <w:rPr>
                <w:sz w:val="21"/>
              </w:rPr>
            </w:pPr>
            <w:r>
              <w:rPr>
                <w:sz w:val="21"/>
              </w:rPr>
              <w:t>（2）语言能力或咀嚼吞咽能力完全丧失；</w:t>
            </w:r>
          </w:p>
          <w:p>
            <w:pPr>
              <w:pStyle w:val="TableParagraph"/>
              <w:spacing w:line="314" w:lineRule="auto" w:before="82"/>
              <w:ind w:left="97" w:right="304"/>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988" w:hRule="atLeast"/>
        </w:trPr>
        <w:tc>
          <w:tcPr>
            <w:tcW w:w="1694" w:type="dxa"/>
          </w:tcPr>
          <w:p>
            <w:pPr>
              <w:pStyle w:val="TableParagraph"/>
              <w:spacing w:line="312" w:lineRule="auto"/>
              <w:ind w:left="200" w:right="119"/>
              <w:rPr>
                <w:b/>
                <w:sz w:val="21"/>
              </w:rPr>
            </w:pPr>
            <w:r>
              <w:rPr>
                <w:b/>
                <w:sz w:val="21"/>
              </w:rPr>
              <w:t>15.严重Ⅲ度烧伤</w:t>
            </w:r>
          </w:p>
        </w:tc>
        <w:tc>
          <w:tcPr>
            <w:tcW w:w="7566" w:type="dxa"/>
          </w:tcPr>
          <w:p>
            <w:pPr>
              <w:pStyle w:val="TableParagraph"/>
              <w:spacing w:line="312" w:lineRule="auto"/>
              <w:ind w:left="97" w:right="217"/>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 《中国新九分法》计算。</w:t>
            </w:r>
          </w:p>
        </w:tc>
      </w:tr>
      <w:tr>
        <w:trPr>
          <w:trHeight w:val="2787" w:hRule="atLeast"/>
        </w:trPr>
        <w:tc>
          <w:tcPr>
            <w:tcW w:w="1694" w:type="dxa"/>
          </w:tcPr>
          <w:p>
            <w:pPr>
              <w:pStyle w:val="TableParagraph"/>
              <w:spacing w:line="314" w:lineRule="auto"/>
              <w:ind w:left="200" w:right="119"/>
              <w:rPr>
                <w:b/>
                <w:sz w:val="21"/>
              </w:rPr>
            </w:pPr>
            <w:r>
              <w:rPr>
                <w:b/>
                <w:sz w:val="21"/>
              </w:rPr>
              <w:t>16.重型再生障碍性贫血</w:t>
            </w:r>
          </w:p>
        </w:tc>
        <w:tc>
          <w:tcPr>
            <w:tcW w:w="7566" w:type="dxa"/>
          </w:tcPr>
          <w:p>
            <w:pPr>
              <w:pStyle w:val="TableParagraph"/>
              <w:spacing w:line="314" w:lineRule="auto"/>
              <w:ind w:left="97" w:right="198"/>
              <w:rPr>
                <w:sz w:val="21"/>
              </w:rPr>
            </w:pPr>
            <w:r>
              <w:rPr>
                <w:spacing w:val="-7"/>
                <w:sz w:val="21"/>
              </w:rPr>
              <w:t>指因骨髓造血功能慢性持续性衰竭导致的贫血、中性粒细胞减少及血小板减少。</w:t>
            </w:r>
            <w:r>
              <w:rPr>
                <w:spacing w:val="-5"/>
                <w:sz w:val="21"/>
              </w:rPr>
              <w:t>须满足以下全部条件：</w:t>
            </w:r>
          </w:p>
          <w:p>
            <w:pPr>
              <w:pStyle w:val="TableParagraph"/>
              <w:spacing w:before="17"/>
              <w:ind w:left="97"/>
              <w:rPr>
                <w:sz w:val="21"/>
              </w:rPr>
            </w:pPr>
            <w:r>
              <w:rPr>
                <w:sz w:val="21"/>
              </w:rPr>
              <w:t>（1）骨髓穿刺检查或骨髓活检结果支持诊断；</w:t>
            </w:r>
          </w:p>
          <w:p>
            <w:pPr>
              <w:pStyle w:val="TableParagraph"/>
              <w:spacing w:before="85"/>
              <w:ind w:left="97"/>
              <w:rPr>
                <w:sz w:val="21"/>
              </w:rPr>
            </w:pPr>
            <w:r>
              <w:rPr>
                <w:sz w:val="21"/>
              </w:rPr>
              <w:t>（2）外周血象必须具备以下三项条件：</w:t>
            </w:r>
          </w:p>
          <w:p>
            <w:pPr>
              <w:pStyle w:val="TableParagraph"/>
              <w:spacing w:before="82"/>
              <w:ind w:left="623"/>
              <w:rPr>
                <w:sz w:val="21"/>
              </w:rPr>
            </w:pPr>
            <w:r>
              <w:rPr>
                <w:sz w:val="21"/>
              </w:rPr>
              <w:t>① 中性粒细胞绝对值≤0.5×10</w:t>
            </w:r>
            <w:r>
              <w:rPr>
                <w:position w:val="11"/>
                <w:sz w:val="11"/>
              </w:rPr>
              <w:t>9</w:t>
            </w:r>
            <w:r>
              <w:rPr>
                <w:sz w:val="21"/>
              </w:rPr>
              <w:t>/L ；</w:t>
            </w:r>
          </w:p>
          <w:p>
            <w:pPr>
              <w:pStyle w:val="TableParagraph"/>
              <w:spacing w:before="85"/>
              <w:ind w:left="623"/>
              <w:rPr>
                <w:sz w:val="21"/>
              </w:rPr>
            </w:pPr>
            <w:r>
              <w:rPr>
                <w:sz w:val="21"/>
              </w:rPr>
              <w:t>② 网织红细胞＜1%；</w:t>
            </w:r>
          </w:p>
          <w:p>
            <w:pPr>
              <w:pStyle w:val="TableParagraph"/>
              <w:spacing w:before="82"/>
              <w:ind w:left="623"/>
              <w:rPr>
                <w:sz w:val="21"/>
              </w:rPr>
            </w:pPr>
            <w:r>
              <w:rPr>
                <w:sz w:val="21"/>
              </w:rPr>
              <w:t>③ 血小板绝对值≤20×10</w:t>
            </w:r>
            <w:r>
              <w:rPr>
                <w:position w:val="11"/>
                <w:sz w:val="11"/>
              </w:rPr>
              <w:t>9</w:t>
            </w:r>
            <w:r>
              <w:rPr>
                <w:sz w:val="21"/>
              </w:rPr>
              <w:t>/L。</w:t>
            </w:r>
          </w:p>
        </w:tc>
      </w:tr>
      <w:tr>
        <w:trPr>
          <w:trHeight w:val="1688" w:hRule="atLeast"/>
        </w:trPr>
        <w:tc>
          <w:tcPr>
            <w:tcW w:w="1694" w:type="dxa"/>
          </w:tcPr>
          <w:p>
            <w:pPr>
              <w:pStyle w:val="TableParagraph"/>
              <w:spacing w:before="146"/>
              <w:ind w:left="180" w:right="102"/>
              <w:jc w:val="center"/>
              <w:rPr>
                <w:b/>
                <w:sz w:val="21"/>
              </w:rPr>
            </w:pPr>
            <w:r>
              <w:rPr>
                <w:b/>
                <w:sz w:val="21"/>
              </w:rPr>
              <w:t>17.主动脉手术</w:t>
            </w:r>
          </w:p>
        </w:tc>
        <w:tc>
          <w:tcPr>
            <w:tcW w:w="7566" w:type="dxa"/>
          </w:tcPr>
          <w:p>
            <w:pPr>
              <w:pStyle w:val="TableParagraph"/>
              <w:spacing w:line="314" w:lineRule="auto" w:before="146"/>
              <w:ind w:left="97"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20"/>
              <w:ind w:left="97"/>
              <w:jc w:val="both"/>
              <w:rPr>
                <w:sz w:val="21"/>
              </w:rPr>
            </w:pPr>
            <w:r>
              <w:rPr>
                <w:sz w:val="21"/>
              </w:rPr>
              <w:t>动脉内血管成形术不在保障范围内。</w:t>
            </w:r>
          </w:p>
        </w:tc>
      </w:tr>
      <w:tr>
        <w:trPr>
          <w:trHeight w:val="2173" w:hRule="atLeast"/>
        </w:trPr>
        <w:tc>
          <w:tcPr>
            <w:tcW w:w="1694" w:type="dxa"/>
          </w:tcPr>
          <w:p>
            <w:pPr>
              <w:pStyle w:val="TableParagraph"/>
              <w:spacing w:line="314" w:lineRule="auto" w:before="166"/>
              <w:ind w:left="200" w:right="95"/>
              <w:jc w:val="both"/>
              <w:rPr>
                <w:b/>
                <w:sz w:val="21"/>
              </w:rPr>
            </w:pPr>
            <w:r>
              <w:rPr>
                <w:b/>
                <w:sz w:val="21"/>
              </w:rPr>
              <w:t>18.</w:t>
            </w:r>
            <w:r>
              <w:rPr>
                <w:b/>
                <w:spacing w:val="-17"/>
                <w:sz w:val="21"/>
              </w:rPr>
              <w:t> 川崎病( 伴</w:t>
            </w:r>
            <w:r>
              <w:rPr>
                <w:b/>
                <w:spacing w:val="20"/>
                <w:sz w:val="21"/>
              </w:rPr>
              <w:t>有冠状动脉瘤</w:t>
            </w:r>
            <w:r>
              <w:rPr>
                <w:b/>
                <w:spacing w:val="-1"/>
                <w:sz w:val="21"/>
              </w:rPr>
              <w:t>形成)</w:t>
            </w:r>
          </w:p>
        </w:tc>
        <w:tc>
          <w:tcPr>
            <w:tcW w:w="7566" w:type="dxa"/>
          </w:tcPr>
          <w:p>
            <w:pPr>
              <w:pStyle w:val="TableParagraph"/>
              <w:spacing w:line="273" w:lineRule="auto" w:before="121"/>
              <w:ind w:left="97" w:right="320"/>
              <w:rPr>
                <w:sz w:val="21"/>
              </w:rPr>
            </w:pPr>
            <w:r>
              <w:rPr>
                <w:sz w:val="21"/>
              </w:rPr>
              <w:t>指一种以全身血管炎变为主要病理改变的急性发热性出疹性小儿疾病。必须由本公司认可的儿科医生确诊并且同时满足下列指标：</w:t>
            </w:r>
          </w:p>
          <w:p>
            <w:pPr>
              <w:pStyle w:val="TableParagraph"/>
              <w:spacing w:line="273" w:lineRule="auto" w:before="10"/>
              <w:ind w:left="937" w:right="318" w:hanging="420"/>
              <w:rPr>
                <w:sz w:val="21"/>
              </w:rPr>
            </w:pPr>
            <w:r>
              <w:rPr>
                <w:sz w:val="21"/>
              </w:rPr>
              <w:t>1)血液化验显示：不成熟型白细胞增多和明显的血小板增多，贫血，血沉升高；</w:t>
            </w:r>
          </w:p>
          <w:p>
            <w:pPr>
              <w:pStyle w:val="TableParagraph"/>
              <w:spacing w:line="273" w:lineRule="auto" w:before="10"/>
              <w:ind w:left="937" w:right="217" w:hanging="420"/>
              <w:rPr>
                <w:sz w:val="21"/>
              </w:rPr>
            </w:pPr>
            <w:r>
              <w:rPr>
                <w:sz w:val="21"/>
              </w:rPr>
              <w:t>2)</w:t>
            </w:r>
            <w:r>
              <w:rPr>
                <w:spacing w:val="-3"/>
                <w:sz w:val="21"/>
              </w:rPr>
              <w:t>因严重心脏并发症确已接受开胸手术以矫正冠状动脉狭窄或阻塞手术治疗；或确已接受心脏瓣膜置换手术（瓣膜包括生物瓣膜和机械瓣膜</w:t>
            </w:r>
            <w:r>
              <w:rPr>
                <w:spacing w:val="-108"/>
                <w:sz w:val="21"/>
              </w:rPr>
              <w:t>）</w:t>
            </w:r>
            <w:r>
              <w:rPr>
                <w:sz w:val="21"/>
              </w:rPr>
              <w:t>。</w:t>
            </w:r>
          </w:p>
        </w:tc>
      </w:tr>
      <w:tr>
        <w:trPr>
          <w:trHeight w:val="2784" w:hRule="atLeast"/>
        </w:trPr>
        <w:tc>
          <w:tcPr>
            <w:tcW w:w="1694" w:type="dxa"/>
          </w:tcPr>
          <w:p>
            <w:pPr>
              <w:pStyle w:val="TableParagraph"/>
              <w:ind w:left="180" w:right="102"/>
              <w:jc w:val="center"/>
              <w:rPr>
                <w:b/>
                <w:sz w:val="21"/>
              </w:rPr>
            </w:pPr>
            <w:r>
              <w:rPr>
                <w:b/>
                <w:sz w:val="21"/>
              </w:rPr>
              <w:t>19.Ｉ型糖尿病</w:t>
            </w:r>
          </w:p>
        </w:tc>
        <w:tc>
          <w:tcPr>
            <w:tcW w:w="7566" w:type="dxa"/>
          </w:tcPr>
          <w:p>
            <w:pPr>
              <w:pStyle w:val="TableParagraph"/>
              <w:spacing w:line="314" w:lineRule="auto"/>
              <w:ind w:left="97" w:right="197"/>
              <w:rPr>
                <w:sz w:val="21"/>
              </w:rPr>
            </w:pPr>
            <w:r>
              <w:rPr>
                <w:spacing w:val="-3"/>
                <w:sz w:val="21"/>
              </w:rPr>
              <w:t>Ｉ型糖尿病为由于胰岛素分泌绝对不足引起的慢性血糖升高，并需持续性地依</w:t>
            </w:r>
            <w:r>
              <w:rPr>
                <w:spacing w:val="-5"/>
                <w:sz w:val="21"/>
              </w:rPr>
              <w:t>赖外源性胰岛素维持一百八十天以上。须经血胰岛素测定和血</w:t>
            </w:r>
            <w:r>
              <w:rPr>
                <w:sz w:val="21"/>
              </w:rPr>
              <w:t>（尿</w:t>
            </w:r>
            <w:r>
              <w:rPr>
                <w:spacing w:val="-7"/>
                <w:sz w:val="21"/>
              </w:rPr>
              <w:t>）C</w:t>
            </w:r>
            <w:r>
              <w:rPr>
                <w:spacing w:val="-6"/>
                <w:sz w:val="21"/>
              </w:rPr>
              <w:t> 肽测定， </w:t>
            </w:r>
            <w:r>
              <w:rPr>
                <w:spacing w:val="-5"/>
                <w:sz w:val="21"/>
              </w:rPr>
              <w:t>结果异常，须经本公司认可的内分泌专科医生确诊，并须在本附加合同保险责</w:t>
            </w:r>
            <w:r>
              <w:rPr>
                <w:spacing w:val="-4"/>
                <w:sz w:val="21"/>
              </w:rPr>
              <w:t>任有效期内，满足下述至少一个条件：</w:t>
            </w:r>
          </w:p>
          <w:p>
            <w:pPr>
              <w:pStyle w:val="TableParagraph"/>
              <w:spacing w:before="17"/>
              <w:ind w:left="97"/>
              <w:rPr>
                <w:sz w:val="21"/>
              </w:rPr>
            </w:pPr>
            <w:r>
              <w:rPr>
                <w:sz w:val="21"/>
              </w:rPr>
              <w:t>① 已出现增殖性视网膜病变；</w:t>
            </w:r>
          </w:p>
          <w:p>
            <w:pPr>
              <w:pStyle w:val="TableParagraph"/>
              <w:spacing w:before="85"/>
              <w:ind w:left="97"/>
              <w:rPr>
                <w:sz w:val="21"/>
              </w:rPr>
            </w:pPr>
            <w:r>
              <w:rPr>
                <w:sz w:val="21"/>
              </w:rPr>
              <w:t>② 须植入心脏起搏器治疗心脏病；</w:t>
            </w:r>
          </w:p>
          <w:p>
            <w:pPr>
              <w:pStyle w:val="TableParagraph"/>
              <w:spacing w:before="82"/>
              <w:ind w:left="97"/>
              <w:rPr>
                <w:sz w:val="21"/>
              </w:rPr>
            </w:pPr>
            <w:r>
              <w:rPr>
                <w:sz w:val="21"/>
              </w:rPr>
              <w:t>③ 因坏疽需切除一只或以上脚趾。</w:t>
            </w:r>
          </w:p>
        </w:tc>
      </w:tr>
      <w:tr>
        <w:trPr>
          <w:trHeight w:val="1856" w:hRule="atLeast"/>
        </w:trPr>
        <w:tc>
          <w:tcPr>
            <w:tcW w:w="1694" w:type="dxa"/>
          </w:tcPr>
          <w:p>
            <w:pPr>
              <w:pStyle w:val="TableParagraph"/>
              <w:ind w:left="180" w:right="102"/>
              <w:jc w:val="center"/>
              <w:rPr>
                <w:b/>
                <w:sz w:val="21"/>
              </w:rPr>
            </w:pPr>
            <w:r>
              <w:rPr>
                <w:b/>
                <w:sz w:val="21"/>
              </w:rPr>
              <w:t>20.植物人状态</w:t>
            </w:r>
          </w:p>
        </w:tc>
        <w:tc>
          <w:tcPr>
            <w:tcW w:w="7566" w:type="dxa"/>
          </w:tcPr>
          <w:p>
            <w:pPr>
              <w:pStyle w:val="TableParagraph"/>
              <w:spacing w:line="312" w:lineRule="auto"/>
              <w:ind w:left="97" w:right="306"/>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申请理赔需被保险人因植物人状态住院三十天以上并且必须有本公司认可</w:t>
            </w:r>
          </w:p>
          <w:p>
            <w:pPr>
              <w:pStyle w:val="TableParagraph"/>
              <w:spacing w:line="258" w:lineRule="exact" w:before="21"/>
              <w:ind w:left="97"/>
              <w:jc w:val="both"/>
              <w:rPr>
                <w:sz w:val="21"/>
              </w:rPr>
            </w:pPr>
            <w:r>
              <w:rPr>
                <w:sz w:val="21"/>
              </w:rPr>
              <w:t>的神经专科医生的医学诊断证明。</w:t>
            </w:r>
          </w:p>
        </w:tc>
      </w:tr>
    </w:tbl>
    <w:p>
      <w:pPr>
        <w:spacing w:after="0" w:line="258" w:lineRule="exact"/>
        <w:jc w:val="both"/>
        <w:rPr>
          <w:sz w:val="21"/>
        </w:rPr>
        <w:sectPr>
          <w:pgSz w:w="11910" w:h="16840"/>
          <w:pgMar w:top="1500" w:bottom="280" w:left="1380" w:right="10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0"/>
        <w:gridCol w:w="7562"/>
      </w:tblGrid>
      <w:tr>
        <w:trPr>
          <w:trHeight w:val="1496" w:hRule="atLeast"/>
        </w:trPr>
        <w:tc>
          <w:tcPr>
            <w:tcW w:w="1700" w:type="dxa"/>
          </w:tcPr>
          <w:p>
            <w:pPr>
              <w:pStyle w:val="TableParagraph"/>
              <w:spacing w:line="208" w:lineRule="exact" w:before="0"/>
              <w:ind w:left="200"/>
              <w:rPr>
                <w:b/>
                <w:sz w:val="21"/>
              </w:rPr>
            </w:pPr>
            <w:r>
              <w:rPr>
                <w:b/>
                <w:sz w:val="21"/>
              </w:rPr>
              <w:t>21.全身型幼年</w:t>
            </w:r>
          </w:p>
          <w:p>
            <w:pPr>
              <w:pStyle w:val="TableParagraph"/>
              <w:spacing w:line="314" w:lineRule="auto" w:before="82"/>
              <w:ind w:left="200" w:right="230"/>
              <w:rPr>
                <w:sz w:val="21"/>
              </w:rPr>
            </w:pPr>
            <w:r>
              <w:rPr>
                <w:b/>
                <w:sz w:val="21"/>
              </w:rPr>
              <w:t>类风湿性关节炎</w:t>
            </w:r>
            <w:r>
              <w:rPr>
                <w:sz w:val="21"/>
              </w:rPr>
              <w:t>：</w:t>
            </w:r>
          </w:p>
        </w:tc>
        <w:tc>
          <w:tcPr>
            <w:tcW w:w="7562" w:type="dxa"/>
          </w:tcPr>
          <w:p>
            <w:pPr>
              <w:pStyle w:val="TableParagraph"/>
              <w:spacing w:line="208" w:lineRule="exact" w:before="0"/>
              <w:ind w:left="91"/>
              <w:rPr>
                <w:sz w:val="21"/>
              </w:rPr>
            </w:pPr>
            <w:r>
              <w:rPr>
                <w:sz w:val="21"/>
              </w:rPr>
              <w:t>因非传染的慢性关节滑膜炎引起多处关节呈现的慢性关节炎症，并导致自身免</w:t>
            </w:r>
          </w:p>
          <w:p>
            <w:pPr>
              <w:pStyle w:val="TableParagraph"/>
              <w:spacing w:line="314" w:lineRule="auto" w:before="82"/>
              <w:ind w:left="91" w:right="198"/>
              <w:rPr>
                <w:sz w:val="21"/>
              </w:rPr>
            </w:pPr>
            <w:r>
              <w:rPr>
                <w:spacing w:val="-10"/>
                <w:sz w:val="21"/>
              </w:rPr>
              <w:t>疫失调。本病须经本公司认可的类风湿科医生出具医学诊断证明，因病情严重， </w:t>
            </w:r>
            <w:r>
              <w:rPr>
                <w:spacing w:val="-7"/>
                <w:sz w:val="21"/>
              </w:rPr>
              <w:t>在医生的建议下已接受以治疗为目的的膝或髋关节的置换手术，其他类型的儿</w:t>
            </w:r>
            <w:r>
              <w:rPr>
                <w:spacing w:val="-5"/>
                <w:sz w:val="21"/>
              </w:rPr>
              <w:t>童类风湿性关节炎除外。</w:t>
            </w:r>
          </w:p>
        </w:tc>
      </w:tr>
      <w:tr>
        <w:trPr>
          <w:trHeight w:val="1348" w:hRule="atLeast"/>
        </w:trPr>
        <w:tc>
          <w:tcPr>
            <w:tcW w:w="1700" w:type="dxa"/>
          </w:tcPr>
          <w:p>
            <w:pPr>
              <w:pStyle w:val="TableParagraph"/>
              <w:ind w:left="200"/>
              <w:rPr>
                <w:b/>
                <w:sz w:val="21"/>
              </w:rPr>
            </w:pPr>
            <w:r>
              <w:rPr>
                <w:b/>
                <w:sz w:val="21"/>
              </w:rPr>
              <w:t>22.严重心肌炎</w:t>
            </w:r>
          </w:p>
        </w:tc>
        <w:tc>
          <w:tcPr>
            <w:tcW w:w="7562" w:type="dxa"/>
          </w:tcPr>
          <w:p>
            <w:pPr>
              <w:pStyle w:val="TableParagraph"/>
              <w:spacing w:line="314" w:lineRule="auto"/>
              <w:ind w:left="91" w:right="305"/>
              <w:jc w:val="both"/>
              <w:rPr>
                <w:sz w:val="21"/>
              </w:rPr>
            </w:pPr>
            <w:r>
              <w:rPr>
                <w:spacing w:val="-3"/>
                <w:sz w:val="21"/>
              </w:rPr>
              <w:t>心肌的严重感染而导致至少持续一百八十天的心功能损害。严重的心功能损害</w:t>
            </w:r>
            <w:r>
              <w:rPr>
                <w:spacing w:val="-6"/>
                <w:sz w:val="21"/>
              </w:rPr>
              <w:t>必须具备以下条件：左心室腔扩大至少达到正常值上限的 </w:t>
            </w:r>
            <w:r>
              <w:rPr>
                <w:spacing w:val="-5"/>
                <w:sz w:val="21"/>
              </w:rPr>
              <w:t>120</w:t>
            </w:r>
            <w:r>
              <w:rPr>
                <w:spacing w:val="-4"/>
                <w:sz w:val="21"/>
              </w:rPr>
              <w:t>%，且左心室射血</w:t>
            </w:r>
            <w:r>
              <w:rPr>
                <w:spacing w:val="-10"/>
                <w:sz w:val="21"/>
              </w:rPr>
              <w:t>分数持续低于 </w:t>
            </w:r>
            <w:r>
              <w:rPr>
                <w:sz w:val="21"/>
              </w:rPr>
              <w:t>40%。</w:t>
            </w:r>
          </w:p>
        </w:tc>
      </w:tr>
      <w:tr>
        <w:trPr>
          <w:trHeight w:val="1708" w:hRule="atLeast"/>
        </w:trPr>
        <w:tc>
          <w:tcPr>
            <w:tcW w:w="1700" w:type="dxa"/>
          </w:tcPr>
          <w:p>
            <w:pPr>
              <w:pStyle w:val="TableParagraph"/>
              <w:spacing w:line="314" w:lineRule="auto"/>
              <w:ind w:left="200" w:right="98"/>
              <w:rPr>
                <w:b/>
                <w:sz w:val="21"/>
              </w:rPr>
            </w:pPr>
            <w:r>
              <w:rPr>
                <w:b/>
                <w:sz w:val="21"/>
              </w:rPr>
              <w:t>23. 永久丧失日常生活</w:t>
            </w:r>
          </w:p>
          <w:p>
            <w:pPr>
              <w:pStyle w:val="TableParagraph"/>
              <w:spacing w:before="17"/>
              <w:ind w:left="200"/>
              <w:rPr>
                <w:b/>
                <w:sz w:val="21"/>
              </w:rPr>
            </w:pPr>
            <w:r>
              <w:rPr>
                <w:b/>
                <w:sz w:val="21"/>
              </w:rPr>
              <w:t>能力</w:t>
            </w:r>
          </w:p>
        </w:tc>
        <w:tc>
          <w:tcPr>
            <w:tcW w:w="7562" w:type="dxa"/>
          </w:tcPr>
          <w:p>
            <w:pPr>
              <w:pStyle w:val="TableParagraph"/>
              <w:spacing w:line="314" w:lineRule="auto"/>
              <w:ind w:left="91" w:right="200"/>
              <w:jc w:val="both"/>
              <w:rPr>
                <w:sz w:val="21"/>
              </w:rPr>
            </w:pPr>
            <w:r>
              <w:rPr>
                <w:spacing w:val="-3"/>
                <w:sz w:val="21"/>
              </w:rPr>
              <w:t>是指由保险公司认可的医院的专科医师确认被保险人已经永久完全地丧失了独立生活能力，在无他人协助下无法独立进行以下六项日常生活活动中的其中三项或三项以上或者被保险人患有认知功能障碍，并且因此需要他人永久的实质</w:t>
            </w:r>
            <w:r>
              <w:rPr>
                <w:spacing w:val="-11"/>
                <w:sz w:val="21"/>
              </w:rPr>
              <w:t>性监护。如因认知功能障碍申请理赔，必须提供相关的认知功能状态测试结果。</w:t>
            </w:r>
          </w:p>
        </w:tc>
      </w:tr>
      <w:tr>
        <w:trPr>
          <w:trHeight w:val="990" w:hRule="atLeast"/>
        </w:trPr>
        <w:tc>
          <w:tcPr>
            <w:tcW w:w="1700" w:type="dxa"/>
          </w:tcPr>
          <w:p>
            <w:pPr>
              <w:pStyle w:val="TableParagraph"/>
              <w:spacing w:before="142"/>
              <w:ind w:left="200"/>
              <w:rPr>
                <w:b/>
                <w:sz w:val="21"/>
              </w:rPr>
            </w:pPr>
            <w:r>
              <w:rPr>
                <w:b/>
                <w:sz w:val="21"/>
              </w:rPr>
              <w:t>24.严重肠胃炎</w:t>
            </w:r>
          </w:p>
        </w:tc>
        <w:tc>
          <w:tcPr>
            <w:tcW w:w="7562" w:type="dxa"/>
          </w:tcPr>
          <w:p>
            <w:pPr>
              <w:pStyle w:val="TableParagraph"/>
              <w:spacing w:line="314" w:lineRule="auto" w:before="142"/>
              <w:ind w:left="91" w:right="322"/>
              <w:rPr>
                <w:sz w:val="21"/>
              </w:rPr>
            </w:pPr>
            <w:r>
              <w:rPr>
                <w:sz w:val="21"/>
              </w:rPr>
              <w:t>以严重的腹泻、便血和肠段坏死为特征的胃肠道严重感染。大肠或小肠的一处或多处需手术切除，且经病理检查证实存在严重感染和坏死。</w:t>
            </w:r>
          </w:p>
        </w:tc>
      </w:tr>
      <w:tr>
        <w:trPr>
          <w:trHeight w:val="2066" w:hRule="atLeast"/>
        </w:trPr>
        <w:tc>
          <w:tcPr>
            <w:tcW w:w="1700" w:type="dxa"/>
          </w:tcPr>
          <w:p>
            <w:pPr>
              <w:pStyle w:val="TableParagraph"/>
              <w:spacing w:line="312" w:lineRule="auto"/>
              <w:ind w:left="200" w:right="125"/>
              <w:rPr>
                <w:b/>
                <w:sz w:val="21"/>
              </w:rPr>
            </w:pPr>
            <w:r>
              <w:rPr>
                <w:b/>
                <w:sz w:val="21"/>
              </w:rPr>
              <w:t>25.急性脊髓灰质炎</w:t>
            </w:r>
          </w:p>
        </w:tc>
        <w:tc>
          <w:tcPr>
            <w:tcW w:w="7562" w:type="dxa"/>
          </w:tcPr>
          <w:p>
            <w:pPr>
              <w:pStyle w:val="TableParagraph"/>
              <w:spacing w:line="314" w:lineRule="auto"/>
              <w:ind w:left="91" w:right="306"/>
              <w:jc w:val="both"/>
              <w:rPr>
                <w:sz w:val="21"/>
              </w:rPr>
            </w:pPr>
            <w:r>
              <w:rPr>
                <w:spacing w:val="-3"/>
                <w:sz w:val="21"/>
              </w:rPr>
              <w:t>是指由于急性脊髓灰质炎病毒感染所导致的运动功能障碍或呼吸功能减弱的瘫痪性疾病。诊断必须由本公司认可的神经科专科医生确诊并提供相关的脊髓灰</w:t>
            </w:r>
            <w:r>
              <w:rPr>
                <w:spacing w:val="-7"/>
                <w:sz w:val="21"/>
              </w:rPr>
              <w:t>质炎病毒感染的证据</w:t>
            </w:r>
            <w:r>
              <w:rPr>
                <w:sz w:val="21"/>
              </w:rPr>
              <w:t>（</w:t>
            </w:r>
            <w:r>
              <w:rPr>
                <w:spacing w:val="-7"/>
                <w:sz w:val="21"/>
              </w:rPr>
              <w:t>例如：脑脊液检查或血清学抗体检查报告</w:t>
            </w:r>
            <w:r>
              <w:rPr>
                <w:spacing w:val="-108"/>
                <w:sz w:val="21"/>
              </w:rPr>
              <w:t>）</w:t>
            </w:r>
            <w:r>
              <w:rPr>
                <w:spacing w:val="-7"/>
                <w:sz w:val="21"/>
              </w:rPr>
              <w:t>。未导致肢体</w:t>
            </w:r>
            <w:r>
              <w:rPr>
                <w:spacing w:val="-5"/>
                <w:sz w:val="21"/>
              </w:rPr>
              <w:t>瘫痪及其它病因所致的瘫痪，例如格林一巴利综合症(急性感染性多神经炎)则</w:t>
            </w:r>
            <w:r>
              <w:rPr>
                <w:spacing w:val="-4"/>
                <w:sz w:val="21"/>
              </w:rPr>
              <w:t>不在此保障范围以内。</w:t>
            </w:r>
          </w:p>
        </w:tc>
      </w:tr>
      <w:tr>
        <w:trPr>
          <w:trHeight w:val="633" w:hRule="atLeast"/>
        </w:trPr>
        <w:tc>
          <w:tcPr>
            <w:tcW w:w="9262" w:type="dxa"/>
            <w:gridSpan w:val="2"/>
          </w:tcPr>
          <w:p>
            <w:pPr>
              <w:pStyle w:val="TableParagraph"/>
              <w:ind w:left="200"/>
              <w:rPr>
                <w:b/>
                <w:sz w:val="21"/>
              </w:rPr>
            </w:pPr>
            <w:r>
              <w:rPr>
                <w:b/>
                <w:sz w:val="21"/>
              </w:rPr>
              <w:t>6.3.2 成人重大疾病</w:t>
            </w:r>
          </w:p>
        </w:tc>
      </w:tr>
      <w:tr>
        <w:trPr>
          <w:trHeight w:val="4099" w:hRule="atLeast"/>
        </w:trPr>
        <w:tc>
          <w:tcPr>
            <w:tcW w:w="1700" w:type="dxa"/>
          </w:tcPr>
          <w:p>
            <w:pPr>
              <w:pStyle w:val="TableParagraph"/>
              <w:tabs>
                <w:tab w:pos="619" w:val="left" w:leader="none"/>
              </w:tabs>
              <w:spacing w:before="146"/>
              <w:ind w:left="200"/>
              <w:rPr>
                <w:b/>
                <w:sz w:val="21"/>
              </w:rPr>
            </w:pPr>
            <w:r>
              <w:rPr>
                <w:b/>
                <w:sz w:val="21"/>
              </w:rPr>
              <w:t>1.</w:t>
              <w:tab/>
              <w:t>恶性肿瘤</w:t>
            </w:r>
          </w:p>
        </w:tc>
        <w:tc>
          <w:tcPr>
            <w:tcW w:w="7562" w:type="dxa"/>
          </w:tcPr>
          <w:p>
            <w:pPr>
              <w:pStyle w:val="TableParagraph"/>
              <w:spacing w:line="314" w:lineRule="auto" w:before="146"/>
              <w:ind w:left="91" w:right="322"/>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before="17"/>
              <w:ind w:left="91"/>
              <w:jc w:val="both"/>
              <w:rPr>
                <w:sz w:val="21"/>
              </w:rPr>
            </w:pPr>
            <w:r>
              <w:rPr>
                <w:sz w:val="21"/>
              </w:rPr>
              <w:t>（ICD-10）的恶性肿瘤范畴。</w:t>
            </w:r>
          </w:p>
          <w:p>
            <w:pPr>
              <w:pStyle w:val="TableParagraph"/>
              <w:spacing w:before="12"/>
              <w:ind w:left="0"/>
              <w:rPr>
                <w:b/>
                <w:sz w:val="27"/>
              </w:rPr>
            </w:pPr>
          </w:p>
          <w:p>
            <w:pPr>
              <w:pStyle w:val="TableParagraph"/>
              <w:spacing w:before="0"/>
              <w:ind w:left="91"/>
              <w:jc w:val="both"/>
              <w:rPr>
                <w:sz w:val="21"/>
              </w:rPr>
            </w:pPr>
            <w:r>
              <w:rPr>
                <w:sz w:val="21"/>
              </w:rPr>
              <w:t>下列疾病不在保障范围内：</w:t>
            </w:r>
          </w:p>
          <w:p>
            <w:pPr>
              <w:pStyle w:val="TableParagraph"/>
              <w:spacing w:before="82"/>
              <w:ind w:left="91"/>
              <w:jc w:val="both"/>
              <w:rPr>
                <w:sz w:val="21"/>
              </w:rPr>
            </w:pPr>
            <w:r>
              <w:rPr>
                <w:sz w:val="21"/>
              </w:rPr>
              <w:t>（1）原位癌；</w:t>
            </w:r>
          </w:p>
          <w:p>
            <w:pPr>
              <w:pStyle w:val="TableParagraph"/>
              <w:spacing w:before="85"/>
              <w:ind w:left="91"/>
              <w:jc w:val="both"/>
              <w:rPr>
                <w:sz w:val="21"/>
              </w:rPr>
            </w:pPr>
            <w:r>
              <w:rPr>
                <w:sz w:val="21"/>
              </w:rPr>
              <w:t>（2）相当于 Binet 分期方案 A 期程度的慢性淋巴细胞白血病；</w:t>
            </w:r>
          </w:p>
          <w:p>
            <w:pPr>
              <w:pStyle w:val="TableParagraph"/>
              <w:spacing w:before="83"/>
              <w:ind w:left="91"/>
              <w:jc w:val="both"/>
              <w:rPr>
                <w:sz w:val="21"/>
              </w:rPr>
            </w:pPr>
            <w:r>
              <w:rPr>
                <w:sz w:val="21"/>
              </w:rPr>
              <w:t>（3）相当于 Ann Arbor 分期方案 I 期程度的何杰金氏病；</w:t>
            </w:r>
          </w:p>
          <w:p>
            <w:pPr>
              <w:pStyle w:val="TableParagraph"/>
              <w:spacing w:before="85"/>
              <w:ind w:left="91"/>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91"/>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141" w:hRule="atLeast"/>
        </w:trPr>
        <w:tc>
          <w:tcPr>
            <w:tcW w:w="1700" w:type="dxa"/>
          </w:tcPr>
          <w:p>
            <w:pPr>
              <w:pStyle w:val="TableParagraph"/>
              <w:tabs>
                <w:tab w:pos="619" w:val="left" w:leader="none"/>
              </w:tabs>
              <w:spacing w:line="314" w:lineRule="auto" w:before="146"/>
              <w:ind w:left="619" w:right="89" w:hanging="420"/>
              <w:rPr>
                <w:b/>
                <w:sz w:val="21"/>
              </w:rPr>
            </w:pPr>
            <w:r>
              <w:rPr>
                <w:b/>
                <w:sz w:val="21"/>
              </w:rPr>
              <w:t>2.</w:t>
              <w:tab/>
            </w:r>
            <w:r>
              <w:rPr>
                <w:b/>
                <w:spacing w:val="35"/>
                <w:sz w:val="21"/>
              </w:rPr>
              <w:t>急性心肌 </w:t>
            </w:r>
            <w:r>
              <w:rPr>
                <w:b/>
                <w:sz w:val="21"/>
              </w:rPr>
              <w:t>梗塞</w:t>
            </w:r>
          </w:p>
        </w:tc>
        <w:tc>
          <w:tcPr>
            <w:tcW w:w="7562" w:type="dxa"/>
          </w:tcPr>
          <w:p>
            <w:pPr>
              <w:pStyle w:val="TableParagraph"/>
              <w:spacing w:line="314" w:lineRule="auto" w:before="146"/>
              <w:ind w:left="91" w:right="308"/>
              <w:rPr>
                <w:sz w:val="21"/>
              </w:rPr>
            </w:pPr>
            <w:r>
              <w:rPr>
                <w:sz w:val="21"/>
              </w:rPr>
              <w:t>指因冠状动脉阻塞导致的相应区域供血不足造成部分心肌坏死。须满足下列至少三项条件：</w:t>
            </w:r>
          </w:p>
          <w:p>
            <w:pPr>
              <w:pStyle w:val="TableParagraph"/>
              <w:spacing w:line="258" w:lineRule="exact" w:before="18"/>
              <w:ind w:left="91"/>
              <w:rPr>
                <w:sz w:val="21"/>
              </w:rPr>
            </w:pPr>
            <w:r>
              <w:rPr>
                <w:sz w:val="21"/>
              </w:rPr>
              <w:t>（1）典型临床表现，例如急性胸痛等；</w:t>
            </w:r>
          </w:p>
        </w:tc>
      </w:tr>
    </w:tbl>
    <w:p>
      <w:pPr>
        <w:spacing w:after="0" w:line="258" w:lineRule="exact"/>
        <w:rPr>
          <w:sz w:val="21"/>
        </w:rPr>
        <w:sectPr>
          <w:pgSz w:w="11910" w:h="16840"/>
          <w:pgMar w:top="1500" w:bottom="280" w:left="138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0"/>
        <w:gridCol w:w="7560"/>
      </w:tblGrid>
      <w:tr>
        <w:trPr>
          <w:trHeight w:val="1454" w:hRule="atLeast"/>
        </w:trPr>
        <w:tc>
          <w:tcPr>
            <w:tcW w:w="1700" w:type="dxa"/>
          </w:tcPr>
          <w:p>
            <w:pPr>
              <w:pStyle w:val="TableParagraph"/>
              <w:spacing w:before="0"/>
              <w:ind w:left="0"/>
              <w:rPr>
                <w:rFonts w:ascii="Times New Roman"/>
                <w:sz w:val="20"/>
              </w:rPr>
            </w:pPr>
          </w:p>
        </w:tc>
        <w:tc>
          <w:tcPr>
            <w:tcW w:w="7560" w:type="dxa"/>
          </w:tcPr>
          <w:p>
            <w:pPr>
              <w:pStyle w:val="TableParagraph"/>
              <w:spacing w:line="208" w:lineRule="exact" w:before="0"/>
              <w:ind w:left="91"/>
              <w:rPr>
                <w:sz w:val="21"/>
              </w:rPr>
            </w:pPr>
            <w:r>
              <w:rPr>
                <w:sz w:val="21"/>
              </w:rPr>
              <w:t>（2）新近的心电图改变提示急性心肌梗塞；</w:t>
            </w:r>
          </w:p>
          <w:p>
            <w:pPr>
              <w:pStyle w:val="TableParagraph"/>
              <w:spacing w:line="314" w:lineRule="auto" w:before="82"/>
              <w:ind w:left="511" w:right="303" w:hanging="421"/>
              <w:rPr>
                <w:sz w:val="21"/>
              </w:rPr>
            </w:pPr>
            <w:r>
              <w:rPr>
                <w:spacing w:val="-16"/>
                <w:sz w:val="21"/>
              </w:rPr>
              <w:t>（3）</w:t>
            </w:r>
            <w:r>
              <w:rPr>
                <w:spacing w:val="-6"/>
                <w:sz w:val="21"/>
              </w:rPr>
              <w:t>心肌酶或肌钙蛋白有诊断意义的升高，或呈符合急性心肌梗塞的动态性变化；</w:t>
            </w:r>
          </w:p>
          <w:p>
            <w:pPr>
              <w:pStyle w:val="TableParagraph"/>
              <w:spacing w:line="247" w:lineRule="exact" w:before="0"/>
              <w:ind w:left="91"/>
              <w:rPr>
                <w:sz w:val="21"/>
              </w:rPr>
            </w:pPr>
            <w:r>
              <w:rPr>
                <w:sz w:val="21"/>
              </w:rPr>
              <w:t>（4）发病 90 天后，经检查证实左心室功能降低，如左心室射血分数低于 50%。</w:t>
            </w:r>
          </w:p>
        </w:tc>
      </w:tr>
      <w:tr>
        <w:trPr>
          <w:trHeight w:val="3256" w:hRule="atLeast"/>
        </w:trPr>
        <w:tc>
          <w:tcPr>
            <w:tcW w:w="1700" w:type="dxa"/>
          </w:tcPr>
          <w:p>
            <w:pPr>
              <w:pStyle w:val="TableParagraph"/>
              <w:tabs>
                <w:tab w:pos="619" w:val="left" w:leader="none"/>
              </w:tabs>
              <w:spacing w:line="312" w:lineRule="auto" w:before="147"/>
              <w:ind w:left="619" w:right="89" w:hanging="420"/>
              <w:rPr>
                <w:b/>
                <w:sz w:val="21"/>
              </w:rPr>
            </w:pPr>
            <w:r>
              <w:rPr>
                <w:b/>
                <w:sz w:val="21"/>
              </w:rPr>
              <w:t>3.</w:t>
              <w:tab/>
            </w:r>
            <w:r>
              <w:rPr>
                <w:b/>
                <w:spacing w:val="35"/>
                <w:sz w:val="21"/>
              </w:rPr>
              <w:t>脑中风后 </w:t>
            </w:r>
            <w:r>
              <w:rPr>
                <w:b/>
                <w:sz w:val="21"/>
              </w:rPr>
              <w:t>遗症</w:t>
            </w:r>
          </w:p>
        </w:tc>
        <w:tc>
          <w:tcPr>
            <w:tcW w:w="7560" w:type="dxa"/>
          </w:tcPr>
          <w:p>
            <w:pPr>
              <w:pStyle w:val="TableParagraph"/>
              <w:spacing w:line="314" w:lineRule="auto" w:before="147"/>
              <w:ind w:left="91" w:right="303"/>
              <w:jc w:val="both"/>
              <w:rPr>
                <w:sz w:val="21"/>
              </w:rPr>
            </w:pPr>
            <w:r>
              <w:rPr>
                <w:spacing w:val="-3"/>
                <w:sz w:val="21"/>
              </w:rPr>
              <w:t>指因脑血管的突发病变引起脑血管出血、栓塞或梗塞，并导致神经系统永久性</w:t>
            </w:r>
            <w:r>
              <w:rPr>
                <w:spacing w:val="-4"/>
                <w:sz w:val="21"/>
              </w:rPr>
              <w:t>功能障碍。神经系统永久性的功能障碍，指疾病确诊 </w:t>
            </w:r>
            <w:r>
              <w:rPr>
                <w:sz w:val="21"/>
              </w:rPr>
              <w:t>180</w:t>
            </w:r>
            <w:r>
              <w:rPr>
                <w:spacing w:val="-7"/>
                <w:sz w:val="21"/>
              </w:rPr>
              <w:t> 天后，仍遗留下列一</w:t>
            </w:r>
            <w:r>
              <w:rPr>
                <w:spacing w:val="-5"/>
                <w:sz w:val="21"/>
              </w:rPr>
              <w:t>种或一种以上障碍：</w:t>
            </w:r>
          </w:p>
          <w:p>
            <w:pPr>
              <w:pStyle w:val="TableParagraph"/>
              <w:numPr>
                <w:ilvl w:val="0"/>
                <w:numId w:val="8"/>
              </w:numPr>
              <w:tabs>
                <w:tab w:pos="512" w:val="left" w:leader="none"/>
              </w:tabs>
              <w:spacing w:line="240" w:lineRule="auto" w:before="173" w:after="0"/>
              <w:ind w:left="511" w:right="0" w:hanging="420"/>
              <w:jc w:val="both"/>
              <w:rPr>
                <w:sz w:val="21"/>
              </w:rPr>
            </w:pPr>
            <w:r>
              <w:rPr>
                <w:spacing w:val="-3"/>
                <w:w w:val="100"/>
                <w:sz w:val="21"/>
              </w:rPr>
              <w:t>一肢或一肢以上</w:t>
            </w:r>
            <w:r>
              <w:rPr>
                <w:b/>
                <w:spacing w:val="-1"/>
                <w:w w:val="100"/>
                <w:sz w:val="21"/>
              </w:rPr>
              <w:t>肢体机能完全丧失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1</w:t>
            </w:r>
            <w:r>
              <w:rPr>
                <w:spacing w:val="-1"/>
                <w:w w:val="100"/>
                <w:sz w:val="21"/>
              </w:rPr>
              <w:t>5</w:t>
            </w:r>
            <w:r>
              <w:rPr>
                <w:spacing w:val="-108"/>
                <w:w w:val="100"/>
                <w:sz w:val="21"/>
              </w:rPr>
              <w:t>）</w:t>
            </w:r>
            <w:r>
              <w:rPr>
                <w:w w:val="100"/>
                <w:sz w:val="21"/>
              </w:rPr>
              <w:t>；</w:t>
            </w:r>
          </w:p>
          <w:p>
            <w:pPr>
              <w:pStyle w:val="TableParagraph"/>
              <w:spacing w:before="5"/>
              <w:ind w:left="0"/>
              <w:rPr>
                <w:b/>
                <w:sz w:val="18"/>
              </w:rPr>
            </w:pPr>
          </w:p>
          <w:p>
            <w:pPr>
              <w:pStyle w:val="TableParagraph"/>
              <w:numPr>
                <w:ilvl w:val="0"/>
                <w:numId w:val="8"/>
              </w:numPr>
              <w:tabs>
                <w:tab w:pos="512" w:val="left" w:leader="none"/>
              </w:tabs>
              <w:spacing w:line="240" w:lineRule="auto" w:before="0" w:after="0"/>
              <w:ind w:left="511" w:right="0" w:hanging="420"/>
              <w:jc w:val="both"/>
              <w:rPr>
                <w:sz w:val="21"/>
              </w:rPr>
            </w:pPr>
            <w:r>
              <w:rPr>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1</w:t>
            </w:r>
            <w:r>
              <w:rPr>
                <w:spacing w:val="-1"/>
                <w:w w:val="100"/>
                <w:sz w:val="21"/>
              </w:rPr>
              <w:t>6</w:t>
            </w:r>
            <w:r>
              <w:rPr>
                <w:spacing w:val="-108"/>
                <w:w w:val="100"/>
                <w:sz w:val="21"/>
              </w:rPr>
              <w:t>）</w:t>
            </w:r>
            <w:r>
              <w:rPr>
                <w:w w:val="100"/>
                <w:sz w:val="21"/>
              </w:rPr>
              <w:t>；</w:t>
            </w:r>
          </w:p>
          <w:p>
            <w:pPr>
              <w:pStyle w:val="TableParagraph"/>
              <w:spacing w:before="2"/>
              <w:ind w:left="0"/>
              <w:rPr>
                <w:b/>
                <w:sz w:val="18"/>
              </w:rPr>
            </w:pPr>
          </w:p>
          <w:p>
            <w:pPr>
              <w:pStyle w:val="TableParagraph"/>
              <w:numPr>
                <w:ilvl w:val="0"/>
                <w:numId w:val="8"/>
              </w:numPr>
              <w:tabs>
                <w:tab w:pos="512" w:val="left" w:leader="none"/>
              </w:tabs>
              <w:spacing w:line="240" w:lineRule="auto" w:before="0" w:after="0"/>
              <w:ind w:left="511" w:right="0" w:hanging="420"/>
              <w:jc w:val="both"/>
              <w:rPr>
                <w:sz w:val="21"/>
              </w:rPr>
            </w:pPr>
            <w:r>
              <w:rPr>
                <w:spacing w:val="2"/>
                <w:sz w:val="21"/>
              </w:rPr>
              <w:t>自主生活能力完全丧失，无法独立完成</w:t>
            </w:r>
            <w:r>
              <w:rPr>
                <w:b/>
                <w:spacing w:val="5"/>
                <w:sz w:val="21"/>
              </w:rPr>
              <w:t>六项基本日常生活活动</w:t>
            </w:r>
            <w:r>
              <w:rPr>
                <w:spacing w:val="5"/>
                <w:sz w:val="21"/>
              </w:rPr>
              <w:t>（</w:t>
            </w:r>
            <w:r>
              <w:rPr>
                <w:spacing w:val="0"/>
                <w:sz w:val="21"/>
              </w:rPr>
              <w:t>见释义</w:t>
            </w:r>
          </w:p>
          <w:p>
            <w:pPr>
              <w:pStyle w:val="TableParagraph"/>
              <w:spacing w:before="84"/>
              <w:ind w:left="511"/>
              <w:rPr>
                <w:sz w:val="21"/>
              </w:rPr>
            </w:pPr>
            <w:r>
              <w:rPr>
                <w:sz w:val="21"/>
              </w:rPr>
              <w:t>6.17）中的三项或三项以上。</w:t>
            </w:r>
          </w:p>
        </w:tc>
      </w:tr>
      <w:tr>
        <w:trPr>
          <w:trHeight w:val="2299" w:hRule="atLeast"/>
        </w:trPr>
        <w:tc>
          <w:tcPr>
            <w:tcW w:w="1700" w:type="dxa"/>
          </w:tcPr>
          <w:p>
            <w:pPr>
              <w:pStyle w:val="TableParagraph"/>
              <w:tabs>
                <w:tab w:pos="619" w:val="left" w:leader="none"/>
              </w:tabs>
              <w:ind w:left="200"/>
              <w:rPr>
                <w:b/>
                <w:sz w:val="21"/>
              </w:rPr>
            </w:pPr>
            <w:r>
              <w:rPr>
                <w:b/>
                <w:sz w:val="21"/>
              </w:rPr>
              <w:t>4.</w:t>
              <w:tab/>
            </w:r>
            <w:r>
              <w:rPr>
                <w:b/>
                <w:spacing w:val="25"/>
                <w:sz w:val="21"/>
              </w:rPr>
              <w:t>重大器官</w:t>
            </w:r>
          </w:p>
          <w:p>
            <w:pPr>
              <w:pStyle w:val="TableParagraph"/>
              <w:spacing w:line="314" w:lineRule="auto" w:before="82"/>
              <w:ind w:left="619" w:right="89"/>
              <w:jc w:val="both"/>
              <w:rPr>
                <w:b/>
                <w:sz w:val="21"/>
              </w:rPr>
            </w:pPr>
            <w:r>
              <w:rPr>
                <w:b/>
                <w:sz w:val="21"/>
              </w:rPr>
              <w:t>移植术/造血干细胞移植术</w:t>
            </w:r>
          </w:p>
        </w:tc>
        <w:tc>
          <w:tcPr>
            <w:tcW w:w="7560" w:type="dxa"/>
          </w:tcPr>
          <w:p>
            <w:pPr>
              <w:pStyle w:val="TableParagraph"/>
              <w:spacing w:line="312" w:lineRule="auto"/>
              <w:ind w:left="91" w:right="306"/>
              <w:jc w:val="both"/>
              <w:rPr>
                <w:sz w:val="21"/>
              </w:rPr>
            </w:pPr>
            <w:r>
              <w:rPr>
                <w:sz w:val="21"/>
              </w:rPr>
              <w:t>重大器官移植术，指因相应器官功能衰竭，已经实施了肾脏、肝脏、心脏或肺脏的异体移植手术。</w:t>
            </w:r>
          </w:p>
          <w:p>
            <w:pPr>
              <w:pStyle w:val="TableParagraph"/>
              <w:spacing w:line="314" w:lineRule="auto" w:before="177"/>
              <w:ind w:left="91"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68" w:hRule="atLeast"/>
        </w:trPr>
        <w:tc>
          <w:tcPr>
            <w:tcW w:w="1700" w:type="dxa"/>
          </w:tcPr>
          <w:p>
            <w:pPr>
              <w:pStyle w:val="TableParagraph"/>
              <w:spacing w:before="11"/>
              <w:ind w:left="0"/>
              <w:rPr>
                <w:b/>
                <w:sz w:val="16"/>
              </w:rPr>
            </w:pPr>
          </w:p>
          <w:p>
            <w:pPr>
              <w:pStyle w:val="TableParagraph"/>
              <w:tabs>
                <w:tab w:pos="619" w:val="left" w:leader="none"/>
              </w:tabs>
              <w:spacing w:line="314" w:lineRule="auto" w:before="0"/>
              <w:ind w:left="619" w:right="89" w:hanging="420"/>
              <w:rPr>
                <w:b/>
                <w:sz w:val="21"/>
              </w:rPr>
            </w:pPr>
            <w:r>
              <w:rPr>
                <w:b/>
                <w:sz w:val="21"/>
              </w:rPr>
              <w:t>5.</w:t>
              <w:tab/>
            </w:r>
            <w:r>
              <w:rPr>
                <w:b/>
                <w:spacing w:val="35"/>
                <w:sz w:val="21"/>
              </w:rPr>
              <w:t>冠状动脉 </w:t>
            </w:r>
            <w:r>
              <w:rPr>
                <w:b/>
                <w:sz w:val="21"/>
              </w:rPr>
              <w:t>搭桥术</w:t>
            </w:r>
          </w:p>
        </w:tc>
        <w:tc>
          <w:tcPr>
            <w:tcW w:w="7560" w:type="dxa"/>
          </w:tcPr>
          <w:p>
            <w:pPr>
              <w:pStyle w:val="TableParagraph"/>
              <w:spacing w:before="11"/>
              <w:ind w:left="0"/>
              <w:rPr>
                <w:b/>
                <w:sz w:val="16"/>
              </w:rPr>
            </w:pPr>
          </w:p>
          <w:p>
            <w:pPr>
              <w:pStyle w:val="TableParagraph"/>
              <w:spacing w:before="0"/>
              <w:ind w:left="91"/>
              <w:rPr>
                <w:sz w:val="21"/>
              </w:rPr>
            </w:pPr>
            <w:r>
              <w:rPr>
                <w:sz w:val="21"/>
              </w:rPr>
              <w:t>指为治疗严重的冠心病，实际实施了开胸进行的冠状动脉血管旁路移植的手术。</w:t>
            </w:r>
          </w:p>
          <w:p>
            <w:pPr>
              <w:pStyle w:val="TableParagraph"/>
              <w:spacing w:before="12"/>
              <w:ind w:left="0"/>
              <w:rPr>
                <w:b/>
                <w:sz w:val="14"/>
              </w:rPr>
            </w:pPr>
          </w:p>
          <w:p>
            <w:pPr>
              <w:pStyle w:val="TableParagraph"/>
              <w:spacing w:line="273" w:lineRule="auto" w:before="0"/>
              <w:ind w:left="91" w:right="310"/>
              <w:rPr>
                <w:sz w:val="21"/>
              </w:rPr>
            </w:pPr>
            <w:r>
              <w:rPr>
                <w:sz w:val="21"/>
              </w:rPr>
              <w:t>冠状动脉支架植入术、心导管球囊扩张术、激光射频技术及其它非开胸的介入手术、腔镜手术不在保障范围内。</w:t>
            </w:r>
          </w:p>
        </w:tc>
      </w:tr>
      <w:tr>
        <w:trPr>
          <w:trHeight w:val="1147" w:hRule="atLeast"/>
        </w:trPr>
        <w:tc>
          <w:tcPr>
            <w:tcW w:w="1700" w:type="dxa"/>
          </w:tcPr>
          <w:p>
            <w:pPr>
              <w:pStyle w:val="TableParagraph"/>
              <w:spacing w:before="12"/>
              <w:ind w:left="0"/>
              <w:rPr>
                <w:b/>
                <w:sz w:val="16"/>
              </w:rPr>
            </w:pPr>
          </w:p>
          <w:p>
            <w:pPr>
              <w:pStyle w:val="TableParagraph"/>
              <w:tabs>
                <w:tab w:pos="619" w:val="left" w:leader="none"/>
              </w:tabs>
              <w:spacing w:line="314" w:lineRule="auto" w:before="0"/>
              <w:ind w:left="619" w:right="89" w:hanging="420"/>
              <w:rPr>
                <w:b/>
                <w:sz w:val="21"/>
              </w:rPr>
            </w:pPr>
            <w:r>
              <w:rPr>
                <w:b/>
                <w:sz w:val="21"/>
              </w:rPr>
              <w:t>6.</w:t>
              <w:tab/>
            </w:r>
            <w:r>
              <w:rPr>
                <w:b/>
                <w:spacing w:val="35"/>
                <w:sz w:val="21"/>
              </w:rPr>
              <w:t>终末期肾 </w:t>
            </w:r>
            <w:r>
              <w:rPr>
                <w:b/>
                <w:sz w:val="21"/>
              </w:rPr>
              <w:t>病</w:t>
            </w:r>
          </w:p>
        </w:tc>
        <w:tc>
          <w:tcPr>
            <w:tcW w:w="7560" w:type="dxa"/>
          </w:tcPr>
          <w:p>
            <w:pPr>
              <w:pStyle w:val="TableParagraph"/>
              <w:spacing w:before="12"/>
              <w:ind w:left="0"/>
              <w:rPr>
                <w:b/>
                <w:sz w:val="16"/>
              </w:rPr>
            </w:pPr>
          </w:p>
          <w:p>
            <w:pPr>
              <w:pStyle w:val="TableParagraph"/>
              <w:spacing w:line="314" w:lineRule="auto" w:before="0"/>
              <w:ind w:left="91" w:right="308"/>
              <w:rPr>
                <w:sz w:val="21"/>
              </w:rPr>
            </w:pPr>
            <w:r>
              <w:rPr>
                <w:sz w:val="21"/>
              </w:rPr>
              <w:t>指双肾功能慢性不可逆性衰竭，达到尿毒症期，经诊断后已经进行了至少 90 天的规律性透析治疗或实施了肾脏移植手术。</w:t>
            </w:r>
          </w:p>
        </w:tc>
      </w:tr>
      <w:tr>
        <w:trPr>
          <w:trHeight w:val="1145" w:hRule="atLeast"/>
        </w:trPr>
        <w:tc>
          <w:tcPr>
            <w:tcW w:w="1700" w:type="dxa"/>
          </w:tcPr>
          <w:p>
            <w:pPr>
              <w:pStyle w:val="TableParagraph"/>
              <w:spacing w:before="12"/>
              <w:ind w:left="0"/>
              <w:rPr>
                <w:b/>
                <w:sz w:val="16"/>
              </w:rPr>
            </w:pPr>
          </w:p>
          <w:p>
            <w:pPr>
              <w:pStyle w:val="TableParagraph"/>
              <w:tabs>
                <w:tab w:pos="619" w:val="left" w:leader="none"/>
              </w:tabs>
              <w:spacing w:line="312" w:lineRule="auto" w:before="0"/>
              <w:ind w:left="619" w:right="89" w:hanging="420"/>
              <w:rPr>
                <w:b/>
                <w:sz w:val="21"/>
              </w:rPr>
            </w:pPr>
            <w:r>
              <w:rPr>
                <w:b/>
                <w:sz w:val="21"/>
              </w:rPr>
              <w:t>7.</w:t>
              <w:tab/>
            </w:r>
            <w:r>
              <w:rPr>
                <w:b/>
                <w:spacing w:val="35"/>
                <w:sz w:val="21"/>
              </w:rPr>
              <w:t>多个肢体 </w:t>
            </w:r>
            <w:r>
              <w:rPr>
                <w:b/>
                <w:sz w:val="21"/>
              </w:rPr>
              <w:t>缺失</w:t>
            </w:r>
          </w:p>
        </w:tc>
        <w:tc>
          <w:tcPr>
            <w:tcW w:w="7560" w:type="dxa"/>
          </w:tcPr>
          <w:p>
            <w:pPr>
              <w:pStyle w:val="TableParagraph"/>
              <w:spacing w:before="12"/>
              <w:ind w:left="0"/>
              <w:rPr>
                <w:b/>
                <w:sz w:val="16"/>
              </w:rPr>
            </w:pPr>
          </w:p>
          <w:p>
            <w:pPr>
              <w:pStyle w:val="TableParagraph"/>
              <w:spacing w:line="312" w:lineRule="auto" w:before="0"/>
              <w:ind w:left="91" w:right="305"/>
              <w:rPr>
                <w:sz w:val="21"/>
              </w:rPr>
            </w:pPr>
            <w:r>
              <w:rPr>
                <w:sz w:val="21"/>
              </w:rPr>
              <w:t>指因疾病或意外伤害导致两个或两个以上肢体自腕关节或踝关节近端（靠近躯干端）以上完全性断离。</w:t>
            </w:r>
          </w:p>
        </w:tc>
      </w:tr>
      <w:tr>
        <w:trPr>
          <w:trHeight w:val="2456" w:hRule="atLeast"/>
        </w:trPr>
        <w:tc>
          <w:tcPr>
            <w:tcW w:w="1700" w:type="dxa"/>
          </w:tcPr>
          <w:p>
            <w:pPr>
              <w:pStyle w:val="TableParagraph"/>
              <w:spacing w:before="12"/>
              <w:ind w:left="0"/>
              <w:rPr>
                <w:b/>
                <w:sz w:val="16"/>
              </w:rPr>
            </w:pPr>
          </w:p>
          <w:p>
            <w:pPr>
              <w:pStyle w:val="TableParagraph"/>
              <w:spacing w:line="314" w:lineRule="auto" w:before="0"/>
              <w:ind w:left="619" w:right="89" w:hanging="420"/>
              <w:jc w:val="both"/>
              <w:rPr>
                <w:b/>
                <w:sz w:val="21"/>
              </w:rPr>
            </w:pPr>
            <w:r>
              <w:rPr>
                <w:b/>
                <w:sz w:val="21"/>
              </w:rPr>
              <w:t>8. 急性或亚急性重症肝炎</w:t>
            </w:r>
          </w:p>
        </w:tc>
        <w:tc>
          <w:tcPr>
            <w:tcW w:w="7560" w:type="dxa"/>
          </w:tcPr>
          <w:p>
            <w:pPr>
              <w:pStyle w:val="TableParagraph"/>
              <w:spacing w:before="12"/>
              <w:ind w:left="0"/>
              <w:rPr>
                <w:b/>
                <w:sz w:val="16"/>
              </w:rPr>
            </w:pPr>
          </w:p>
          <w:p>
            <w:pPr>
              <w:pStyle w:val="TableParagraph"/>
              <w:spacing w:line="312" w:lineRule="auto" w:before="0"/>
              <w:ind w:left="91" w:right="306"/>
              <w:rPr>
                <w:sz w:val="21"/>
              </w:rPr>
            </w:pPr>
            <w:r>
              <w:rPr>
                <w:sz w:val="21"/>
              </w:rPr>
              <w:t>指因肝炎病毒感染引起肝组织弥漫性坏死，导致急性肝功能衰竭，且经血清学或病毒学检查证实，并须满足下列全部条件：</w:t>
            </w:r>
          </w:p>
          <w:p>
            <w:pPr>
              <w:pStyle w:val="TableParagraph"/>
              <w:spacing w:before="22"/>
              <w:ind w:left="91"/>
              <w:rPr>
                <w:sz w:val="21"/>
              </w:rPr>
            </w:pPr>
            <w:r>
              <w:rPr>
                <w:sz w:val="21"/>
              </w:rPr>
              <w:t>（1）重度黄疸或黄疸迅速加重；</w:t>
            </w:r>
          </w:p>
          <w:p>
            <w:pPr>
              <w:pStyle w:val="TableParagraph"/>
              <w:spacing w:before="82"/>
              <w:ind w:left="91"/>
              <w:rPr>
                <w:sz w:val="21"/>
              </w:rPr>
            </w:pPr>
            <w:r>
              <w:rPr>
                <w:sz w:val="21"/>
              </w:rPr>
              <w:t>（2）肝性脑病；</w:t>
            </w:r>
          </w:p>
          <w:p>
            <w:pPr>
              <w:pStyle w:val="TableParagraph"/>
              <w:spacing w:before="84"/>
              <w:ind w:left="91"/>
              <w:rPr>
                <w:sz w:val="21"/>
              </w:rPr>
            </w:pPr>
            <w:r>
              <w:rPr>
                <w:sz w:val="21"/>
              </w:rPr>
              <w:t>（3）B 超或其他影像学检查显示肝脏体积急速萎缩；</w:t>
            </w:r>
          </w:p>
          <w:p>
            <w:pPr>
              <w:pStyle w:val="TableParagraph"/>
              <w:spacing w:before="36"/>
              <w:ind w:left="91"/>
              <w:rPr>
                <w:sz w:val="21"/>
              </w:rPr>
            </w:pPr>
            <w:r>
              <w:rPr>
                <w:sz w:val="21"/>
              </w:rPr>
              <w:t>（4）肝功能指标进行性恶化。</w:t>
            </w:r>
          </w:p>
        </w:tc>
      </w:tr>
      <w:tr>
        <w:trPr>
          <w:trHeight w:val="421" w:hRule="atLeast"/>
        </w:trPr>
        <w:tc>
          <w:tcPr>
            <w:tcW w:w="1700" w:type="dxa"/>
          </w:tcPr>
          <w:p>
            <w:pPr>
              <w:pStyle w:val="TableParagraph"/>
              <w:tabs>
                <w:tab w:pos="619" w:val="left" w:leader="none"/>
              </w:tabs>
              <w:spacing w:line="258" w:lineRule="exact"/>
              <w:ind w:left="200"/>
              <w:rPr>
                <w:b/>
                <w:sz w:val="21"/>
              </w:rPr>
            </w:pPr>
            <w:r>
              <w:rPr>
                <w:b/>
                <w:sz w:val="21"/>
              </w:rPr>
              <w:t>9.</w:t>
              <w:tab/>
            </w:r>
            <w:r>
              <w:rPr>
                <w:b/>
                <w:spacing w:val="35"/>
                <w:sz w:val="21"/>
              </w:rPr>
              <w:t>良性脑肿</w:t>
            </w:r>
          </w:p>
        </w:tc>
        <w:tc>
          <w:tcPr>
            <w:tcW w:w="7560" w:type="dxa"/>
          </w:tcPr>
          <w:p>
            <w:pPr>
              <w:pStyle w:val="TableParagraph"/>
              <w:spacing w:line="258" w:lineRule="exact"/>
              <w:ind w:left="91"/>
              <w:rPr>
                <w:sz w:val="21"/>
              </w:rPr>
            </w:pPr>
            <w:r>
              <w:rPr>
                <w:sz w:val="21"/>
              </w:rPr>
              <w:t>指脑的良性肿瘤，已经引起颅内压增高，临床表现为视神经乳头水肿、精神症</w:t>
            </w:r>
          </w:p>
        </w:tc>
      </w:tr>
    </w:tbl>
    <w:p>
      <w:pPr>
        <w:spacing w:after="0" w:line="258" w:lineRule="exact"/>
        <w:rPr>
          <w:sz w:val="21"/>
        </w:rPr>
        <w:sectPr>
          <w:pgSz w:w="11910" w:h="16840"/>
          <w:pgMar w:top="1500" w:bottom="280" w:left="1380" w:right="10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0"/>
        <w:gridCol w:w="7455"/>
      </w:tblGrid>
      <w:tr>
        <w:trPr>
          <w:trHeight w:val="2324" w:hRule="atLeast"/>
        </w:trPr>
        <w:tc>
          <w:tcPr>
            <w:tcW w:w="1700" w:type="dxa"/>
          </w:tcPr>
          <w:p>
            <w:pPr>
              <w:pStyle w:val="TableParagraph"/>
              <w:spacing w:line="208" w:lineRule="exact" w:before="0"/>
              <w:ind w:left="0" w:right="246"/>
              <w:jc w:val="center"/>
              <w:rPr>
                <w:b/>
                <w:sz w:val="21"/>
              </w:rPr>
            </w:pPr>
            <w:r>
              <w:rPr>
                <w:b/>
                <w:w w:val="100"/>
                <w:sz w:val="21"/>
              </w:rPr>
              <w:t>瘤</w:t>
            </w:r>
          </w:p>
        </w:tc>
        <w:tc>
          <w:tcPr>
            <w:tcW w:w="7455" w:type="dxa"/>
          </w:tcPr>
          <w:p>
            <w:pPr>
              <w:pStyle w:val="TableParagraph"/>
              <w:spacing w:line="208" w:lineRule="exact" w:before="0"/>
              <w:ind w:left="91"/>
              <w:rPr>
                <w:sz w:val="21"/>
              </w:rPr>
            </w:pPr>
            <w:r>
              <w:rPr>
                <w:spacing w:val="-9"/>
                <w:w w:val="100"/>
                <w:sz w:val="21"/>
              </w:rPr>
              <w:t>状、癫痫及运动感觉障碍等，并危及生命。须由头颅断层扫描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5"/>
                <w:w w:val="100"/>
                <w:sz w:val="21"/>
              </w:rPr>
              <w:t>、核磁共振</w:t>
            </w:r>
          </w:p>
          <w:p>
            <w:pPr>
              <w:pStyle w:val="TableParagraph"/>
              <w:spacing w:line="314" w:lineRule="auto" w:before="82"/>
              <w:ind w:left="91" w:right="198"/>
              <w:rPr>
                <w:sz w:val="21"/>
              </w:rPr>
            </w:pPr>
            <w:r>
              <w:rPr>
                <w:sz w:val="21"/>
              </w:rPr>
              <w:t>检查（MRI）或正电子发射断层扫描（PET）等影像学检查证实，并须满足下列至少一项条件：</w:t>
            </w:r>
          </w:p>
          <w:p>
            <w:pPr>
              <w:pStyle w:val="TableParagraph"/>
              <w:spacing w:before="17"/>
              <w:ind w:left="91"/>
              <w:rPr>
                <w:sz w:val="21"/>
              </w:rPr>
            </w:pPr>
            <w:r>
              <w:rPr>
                <w:sz w:val="21"/>
              </w:rPr>
              <w:t>（1）实际实施了开颅进行的脑肿瘤完全切除或部分切除的手术；</w:t>
            </w:r>
          </w:p>
          <w:p>
            <w:pPr>
              <w:pStyle w:val="TableParagraph"/>
              <w:spacing w:before="85"/>
              <w:ind w:left="91"/>
              <w:rPr>
                <w:sz w:val="21"/>
              </w:rPr>
            </w:pPr>
            <w:r>
              <w:rPr>
                <w:sz w:val="21"/>
              </w:rPr>
              <w:t>（2）实际实施了对脑肿瘤进行的放射治疗。</w:t>
            </w:r>
          </w:p>
          <w:p>
            <w:pPr>
              <w:pStyle w:val="TableParagraph"/>
              <w:spacing w:before="9"/>
              <w:ind w:left="0"/>
              <w:rPr>
                <w:b/>
                <w:sz w:val="14"/>
              </w:rPr>
            </w:pPr>
          </w:p>
          <w:p>
            <w:pPr>
              <w:pStyle w:val="TableParagraph"/>
              <w:spacing w:before="0"/>
              <w:ind w:left="91"/>
              <w:rPr>
                <w:sz w:val="21"/>
              </w:rPr>
            </w:pPr>
            <w:r>
              <w:rPr>
                <w:sz w:val="21"/>
              </w:rPr>
              <w:t>脑垂体瘤、脑囊肿、脑血管性疾病不在保障范围内。</w:t>
            </w:r>
          </w:p>
        </w:tc>
      </w:tr>
      <w:tr>
        <w:trPr>
          <w:trHeight w:val="2537" w:hRule="atLeast"/>
        </w:trPr>
        <w:tc>
          <w:tcPr>
            <w:tcW w:w="1700" w:type="dxa"/>
          </w:tcPr>
          <w:p>
            <w:pPr>
              <w:pStyle w:val="TableParagraph"/>
              <w:spacing w:line="314" w:lineRule="auto"/>
              <w:ind w:left="619" w:right="89" w:hanging="420"/>
              <w:jc w:val="both"/>
              <w:rPr>
                <w:b/>
                <w:sz w:val="21"/>
              </w:rPr>
            </w:pPr>
            <w:r>
              <w:rPr>
                <w:b/>
                <w:sz w:val="21"/>
              </w:rPr>
              <w:t>10. 慢性肝功能衰竭失代偿期</w:t>
            </w:r>
          </w:p>
        </w:tc>
        <w:tc>
          <w:tcPr>
            <w:tcW w:w="7455" w:type="dxa"/>
          </w:tcPr>
          <w:p>
            <w:pPr>
              <w:pStyle w:val="TableParagraph"/>
              <w:ind w:left="91"/>
              <w:rPr>
                <w:sz w:val="21"/>
              </w:rPr>
            </w:pPr>
            <w:r>
              <w:rPr>
                <w:sz w:val="21"/>
              </w:rPr>
              <w:t>指因慢性肝脏疾病导致肝功能衰竭。须满足下列全部条件：</w:t>
            </w:r>
          </w:p>
          <w:p>
            <w:pPr>
              <w:pStyle w:val="TableParagraph"/>
              <w:spacing w:before="84"/>
              <w:ind w:left="91"/>
              <w:rPr>
                <w:sz w:val="21"/>
              </w:rPr>
            </w:pPr>
            <w:r>
              <w:rPr>
                <w:sz w:val="21"/>
              </w:rPr>
              <w:t>（1）持续性黄疸；</w:t>
            </w:r>
          </w:p>
          <w:p>
            <w:pPr>
              <w:pStyle w:val="TableParagraph"/>
              <w:spacing w:before="82"/>
              <w:ind w:left="91"/>
              <w:rPr>
                <w:sz w:val="21"/>
              </w:rPr>
            </w:pPr>
            <w:r>
              <w:rPr>
                <w:sz w:val="21"/>
              </w:rPr>
              <w:t>（2）腹水；</w:t>
            </w:r>
          </w:p>
          <w:p>
            <w:pPr>
              <w:pStyle w:val="TableParagraph"/>
              <w:spacing w:before="85"/>
              <w:ind w:left="91"/>
              <w:rPr>
                <w:sz w:val="21"/>
              </w:rPr>
            </w:pPr>
            <w:r>
              <w:rPr>
                <w:sz w:val="21"/>
              </w:rPr>
              <w:t>（3）肝性脑病；</w:t>
            </w:r>
          </w:p>
          <w:p>
            <w:pPr>
              <w:pStyle w:val="TableParagraph"/>
              <w:spacing w:line="410" w:lineRule="auto" w:before="82"/>
              <w:ind w:left="91" w:right="2316"/>
              <w:rPr>
                <w:sz w:val="21"/>
              </w:rPr>
            </w:pPr>
            <w:r>
              <w:rPr>
                <w:sz w:val="21"/>
              </w:rPr>
              <w:t>（4）充血性脾大伴脾功能亢进或食管胃底静脉曲张。因酗酒或药物滥用导致的肝功能衰竭不在保障范围内。</w:t>
            </w:r>
          </w:p>
        </w:tc>
      </w:tr>
      <w:tr>
        <w:trPr>
          <w:trHeight w:val="2333" w:hRule="atLeast"/>
        </w:trPr>
        <w:tc>
          <w:tcPr>
            <w:tcW w:w="1700" w:type="dxa"/>
          </w:tcPr>
          <w:p>
            <w:pPr>
              <w:pStyle w:val="TableParagraph"/>
              <w:spacing w:line="314" w:lineRule="auto"/>
              <w:ind w:left="619" w:right="89" w:hanging="420"/>
              <w:jc w:val="both"/>
              <w:rPr>
                <w:b/>
                <w:sz w:val="21"/>
              </w:rPr>
            </w:pPr>
            <w:r>
              <w:rPr>
                <w:b/>
                <w:sz w:val="21"/>
              </w:rPr>
              <w:t>11. 脑炎后遗症或脑膜炎后遗症</w:t>
            </w:r>
          </w:p>
        </w:tc>
        <w:tc>
          <w:tcPr>
            <w:tcW w:w="7455" w:type="dxa"/>
          </w:tcPr>
          <w:p>
            <w:pPr>
              <w:pStyle w:val="TableParagraph"/>
              <w:spacing w:line="312" w:lineRule="auto"/>
              <w:ind w:left="91" w:right="201"/>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21"/>
              <w:ind w:left="91"/>
              <w:rPr>
                <w:sz w:val="21"/>
              </w:rPr>
            </w:pPr>
            <w:r>
              <w:rPr>
                <w:sz w:val="21"/>
              </w:rPr>
              <w:t>（1）一肢或一肢以上肢体机能完全丧失；</w:t>
            </w:r>
          </w:p>
          <w:p>
            <w:pPr>
              <w:pStyle w:val="TableParagraph"/>
              <w:spacing w:before="82"/>
              <w:ind w:left="91"/>
              <w:rPr>
                <w:sz w:val="21"/>
              </w:rPr>
            </w:pPr>
            <w:r>
              <w:rPr>
                <w:sz w:val="21"/>
              </w:rPr>
              <w:t>（2）语言能力或咀嚼吞咽能力完全丧失；</w:t>
            </w:r>
          </w:p>
          <w:p>
            <w:pPr>
              <w:pStyle w:val="TableParagraph"/>
              <w:spacing w:line="273" w:lineRule="auto" w:before="39"/>
              <w:ind w:left="511" w:right="233" w:hanging="421"/>
              <w:rPr>
                <w:sz w:val="21"/>
              </w:rPr>
            </w:pPr>
            <w:r>
              <w:rPr>
                <w:sz w:val="21"/>
              </w:rPr>
              <w:t>（3）自主生活能力完全丧失，无法独立完成六项基本日常生活活动中的三项或三项以上。</w:t>
            </w:r>
          </w:p>
        </w:tc>
      </w:tr>
      <w:tr>
        <w:trPr>
          <w:trHeight w:val="1660" w:hRule="atLeast"/>
        </w:trPr>
        <w:tc>
          <w:tcPr>
            <w:tcW w:w="1700" w:type="dxa"/>
          </w:tcPr>
          <w:p>
            <w:pPr>
              <w:pStyle w:val="TableParagraph"/>
              <w:ind w:left="200"/>
              <w:rPr>
                <w:b/>
                <w:sz w:val="21"/>
              </w:rPr>
            </w:pPr>
            <w:r>
              <w:rPr>
                <w:b/>
                <w:sz w:val="21"/>
              </w:rPr>
              <w:t>12. 深度昏迷</w:t>
            </w:r>
          </w:p>
        </w:tc>
        <w:tc>
          <w:tcPr>
            <w:tcW w:w="7455" w:type="dxa"/>
          </w:tcPr>
          <w:p>
            <w:pPr>
              <w:pStyle w:val="TableParagraph"/>
              <w:spacing w:line="314" w:lineRule="auto"/>
              <w:ind w:left="91" w:right="217"/>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line="247" w:lineRule="exact" w:before="0"/>
              <w:ind w:left="91"/>
              <w:jc w:val="both"/>
              <w:rPr>
                <w:sz w:val="21"/>
              </w:rPr>
            </w:pPr>
            <w:r>
              <w:rPr>
                <w:sz w:val="21"/>
              </w:rPr>
              <w:t>因酗酒或药物滥用导致的深度昏迷不在保障范围内。</w:t>
            </w:r>
          </w:p>
        </w:tc>
      </w:tr>
      <w:tr>
        <w:trPr>
          <w:trHeight w:val="1349" w:hRule="atLeast"/>
        </w:trPr>
        <w:tc>
          <w:tcPr>
            <w:tcW w:w="1700" w:type="dxa"/>
          </w:tcPr>
          <w:p>
            <w:pPr>
              <w:pStyle w:val="TableParagraph"/>
              <w:ind w:left="200"/>
              <w:rPr>
                <w:b/>
                <w:sz w:val="21"/>
              </w:rPr>
            </w:pPr>
            <w:r>
              <w:rPr>
                <w:b/>
                <w:sz w:val="21"/>
              </w:rPr>
              <w:t>13. 双耳失聪</w:t>
            </w:r>
          </w:p>
        </w:tc>
        <w:tc>
          <w:tcPr>
            <w:tcW w:w="7455" w:type="dxa"/>
          </w:tcPr>
          <w:p>
            <w:pPr>
              <w:pStyle w:val="TableParagraph"/>
              <w:ind w:left="91"/>
              <w:rPr>
                <w:sz w:val="21"/>
              </w:rPr>
            </w:pPr>
            <w:r>
              <w:rPr>
                <w:sz w:val="21"/>
              </w:rPr>
              <w:t>指因疾病或意外伤害导致双耳听力永久不可逆（见释义 6.18）性丧失，在 500</w:t>
            </w:r>
          </w:p>
          <w:p>
            <w:pPr>
              <w:pStyle w:val="TableParagraph"/>
              <w:spacing w:line="312" w:lineRule="auto" w:before="84"/>
              <w:ind w:left="91" w:right="198"/>
              <w:rPr>
                <w:sz w:val="21"/>
              </w:rPr>
            </w:pPr>
            <w:r>
              <w:rPr>
                <w:spacing w:val="-4"/>
                <w:sz w:val="21"/>
              </w:rPr>
              <w:t>赫兹、</w:t>
            </w:r>
            <w:r>
              <w:rPr>
                <w:sz w:val="21"/>
              </w:rPr>
              <w:t>1000</w:t>
            </w:r>
            <w:r>
              <w:rPr>
                <w:spacing w:val="-21"/>
                <w:sz w:val="21"/>
              </w:rPr>
              <w:t> 赫兹和 </w:t>
            </w:r>
            <w:r>
              <w:rPr>
                <w:sz w:val="21"/>
              </w:rPr>
              <w:t>2000</w:t>
            </w:r>
            <w:r>
              <w:rPr>
                <w:spacing w:val="-13"/>
                <w:sz w:val="21"/>
              </w:rPr>
              <w:t> 赫兹语音频率下，平均听阈大于 </w:t>
            </w:r>
            <w:r>
              <w:rPr>
                <w:sz w:val="21"/>
              </w:rPr>
              <w:t>90</w:t>
            </w:r>
            <w:r>
              <w:rPr>
                <w:spacing w:val="-10"/>
                <w:sz w:val="21"/>
              </w:rPr>
              <w:t> 分贝，且经纯音听</w:t>
            </w:r>
            <w:r>
              <w:rPr>
                <w:spacing w:val="-5"/>
                <w:sz w:val="21"/>
              </w:rPr>
              <w:t>力测试、声导抗检测或听觉诱发电位检测等证实。</w:t>
            </w:r>
          </w:p>
        </w:tc>
      </w:tr>
      <w:tr>
        <w:trPr>
          <w:trHeight w:val="2425" w:hRule="atLeast"/>
        </w:trPr>
        <w:tc>
          <w:tcPr>
            <w:tcW w:w="1700" w:type="dxa"/>
          </w:tcPr>
          <w:p>
            <w:pPr>
              <w:pStyle w:val="TableParagraph"/>
              <w:spacing w:before="144"/>
              <w:ind w:left="200"/>
              <w:rPr>
                <w:b/>
                <w:sz w:val="21"/>
              </w:rPr>
            </w:pPr>
            <w:r>
              <w:rPr>
                <w:b/>
                <w:sz w:val="21"/>
              </w:rPr>
              <w:t>14. 双目失明</w:t>
            </w:r>
          </w:p>
        </w:tc>
        <w:tc>
          <w:tcPr>
            <w:tcW w:w="7455" w:type="dxa"/>
          </w:tcPr>
          <w:p>
            <w:pPr>
              <w:pStyle w:val="TableParagraph"/>
              <w:spacing w:line="314" w:lineRule="auto" w:before="144"/>
              <w:ind w:left="91" w:right="215"/>
              <w:rPr>
                <w:sz w:val="21"/>
              </w:rPr>
            </w:pPr>
            <w:r>
              <w:rPr>
                <w:sz w:val="21"/>
              </w:rPr>
              <w:t>指因疾病或意外伤害导致双眼视力永久不可逆性丧失，双眼中较好眼须满足下列至少一项条件：</w:t>
            </w:r>
          </w:p>
          <w:p>
            <w:pPr>
              <w:pStyle w:val="TableParagraph"/>
              <w:spacing w:before="18"/>
              <w:ind w:left="91"/>
              <w:rPr>
                <w:sz w:val="21"/>
              </w:rPr>
            </w:pPr>
            <w:r>
              <w:rPr>
                <w:sz w:val="21"/>
              </w:rPr>
              <w:t>（1）眼球缺失或摘除；</w:t>
            </w:r>
          </w:p>
          <w:p>
            <w:pPr>
              <w:pStyle w:val="TableParagraph"/>
              <w:spacing w:line="312" w:lineRule="auto" w:before="85"/>
              <w:ind w:left="91" w:right="268"/>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22"/>
              <w:ind w:left="91"/>
              <w:rPr>
                <w:sz w:val="21"/>
              </w:rPr>
            </w:pPr>
            <w:r>
              <w:rPr>
                <w:sz w:val="21"/>
              </w:rPr>
              <w:t>（3）视野半径小于 5 度。</w:t>
            </w:r>
          </w:p>
        </w:tc>
      </w:tr>
      <w:tr>
        <w:trPr>
          <w:trHeight w:val="1137" w:hRule="atLeast"/>
        </w:trPr>
        <w:tc>
          <w:tcPr>
            <w:tcW w:w="1700" w:type="dxa"/>
          </w:tcPr>
          <w:p>
            <w:pPr>
              <w:pStyle w:val="TableParagraph"/>
              <w:spacing w:before="142"/>
              <w:ind w:left="200"/>
              <w:rPr>
                <w:b/>
                <w:sz w:val="21"/>
              </w:rPr>
            </w:pPr>
            <w:r>
              <w:rPr>
                <w:b/>
                <w:sz w:val="21"/>
              </w:rPr>
              <w:t>15. 瘫痪</w:t>
            </w:r>
          </w:p>
        </w:tc>
        <w:tc>
          <w:tcPr>
            <w:tcW w:w="7455" w:type="dxa"/>
          </w:tcPr>
          <w:p>
            <w:pPr>
              <w:pStyle w:val="TableParagraph"/>
              <w:spacing w:before="142"/>
              <w:ind w:left="91"/>
              <w:rPr>
                <w:sz w:val="21"/>
              </w:rPr>
            </w:pPr>
            <w:r>
              <w:rPr>
                <w:sz w:val="21"/>
              </w:rPr>
              <w:t>指因疾病或意外伤害导致两肢或两肢以上肢体机能永久完全丧失。肢体机能永</w:t>
            </w:r>
          </w:p>
          <w:p>
            <w:pPr>
              <w:pStyle w:val="TableParagraph"/>
              <w:spacing w:line="360" w:lineRule="atLeast" w:before="0"/>
              <w:ind w:left="91" w:right="220"/>
              <w:rPr>
                <w:sz w:val="21"/>
              </w:rPr>
            </w:pPr>
            <w:r>
              <w:rPr>
                <w:spacing w:val="-7"/>
                <w:sz w:val="21"/>
              </w:rPr>
              <w:t>久完全丧失，指疾病确诊 </w:t>
            </w:r>
            <w:r>
              <w:rPr>
                <w:sz w:val="21"/>
              </w:rPr>
              <w:t>180</w:t>
            </w:r>
            <w:r>
              <w:rPr>
                <w:spacing w:val="-12"/>
                <w:sz w:val="21"/>
              </w:rPr>
              <w:t> 天后或意外伤害发生 </w:t>
            </w:r>
            <w:r>
              <w:rPr>
                <w:sz w:val="21"/>
              </w:rPr>
              <w:t>180</w:t>
            </w:r>
            <w:r>
              <w:rPr>
                <w:spacing w:val="-8"/>
                <w:sz w:val="21"/>
              </w:rPr>
              <w:t> 天后，每肢三大关节中</w:t>
            </w:r>
            <w:r>
              <w:rPr>
                <w:spacing w:val="-5"/>
                <w:sz w:val="21"/>
              </w:rPr>
              <w:t>的两大关节仍然完全僵硬，或不能随意识活动。</w:t>
            </w:r>
          </w:p>
        </w:tc>
      </w:tr>
    </w:tbl>
    <w:p>
      <w:pPr>
        <w:spacing w:after="0" w:line="360" w:lineRule="atLeast"/>
        <w:rPr>
          <w:sz w:val="21"/>
        </w:rPr>
        <w:sectPr>
          <w:pgSz w:w="11910" w:h="16840"/>
          <w:pgMar w:top="1500" w:bottom="280" w:left="1380" w:right="1160"/>
        </w:sectPr>
      </w:pPr>
    </w:p>
    <w:p>
      <w:pPr>
        <w:pStyle w:val="BodyText"/>
        <w:spacing w:before="4"/>
        <w:rPr>
          <w:rFonts w:ascii="Times New Roman"/>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0"/>
        <w:gridCol w:w="7562"/>
      </w:tblGrid>
      <w:tr>
        <w:trPr>
          <w:trHeight w:val="781" w:hRule="atLeast"/>
        </w:trPr>
        <w:tc>
          <w:tcPr>
            <w:tcW w:w="1700" w:type="dxa"/>
          </w:tcPr>
          <w:p>
            <w:pPr>
              <w:pStyle w:val="TableParagraph"/>
              <w:spacing w:line="211" w:lineRule="exact" w:before="0"/>
              <w:ind w:left="200"/>
              <w:rPr>
                <w:b/>
                <w:sz w:val="21"/>
              </w:rPr>
            </w:pPr>
            <w:r>
              <w:rPr>
                <w:b/>
                <w:sz w:val="21"/>
              </w:rPr>
              <w:t>16. 心脏瓣膜</w:t>
            </w:r>
          </w:p>
          <w:p>
            <w:pPr>
              <w:pStyle w:val="TableParagraph"/>
              <w:spacing w:before="85"/>
              <w:ind w:left="601" w:right="636"/>
              <w:jc w:val="center"/>
              <w:rPr>
                <w:b/>
                <w:sz w:val="21"/>
              </w:rPr>
            </w:pPr>
            <w:r>
              <w:rPr>
                <w:b/>
                <w:sz w:val="21"/>
              </w:rPr>
              <w:t>手术</w:t>
            </w:r>
          </w:p>
        </w:tc>
        <w:tc>
          <w:tcPr>
            <w:tcW w:w="7562" w:type="dxa"/>
          </w:tcPr>
          <w:p>
            <w:pPr>
              <w:pStyle w:val="TableParagraph"/>
              <w:spacing w:line="211" w:lineRule="exact" w:before="0"/>
              <w:ind w:left="91"/>
              <w:rPr>
                <w:sz w:val="21"/>
              </w:rPr>
            </w:pPr>
            <w:r>
              <w:rPr>
                <w:sz w:val="21"/>
              </w:rPr>
              <w:t>指为治疗心脏瓣膜疾病，实际实施了开胸进行的心脏瓣膜置换或修复的手术。</w:t>
            </w:r>
          </w:p>
        </w:tc>
      </w:tr>
      <w:tr>
        <w:trPr>
          <w:trHeight w:val="2065" w:hRule="atLeast"/>
        </w:trPr>
        <w:tc>
          <w:tcPr>
            <w:tcW w:w="1700" w:type="dxa"/>
          </w:tcPr>
          <w:p>
            <w:pPr>
              <w:pStyle w:val="TableParagraph"/>
              <w:spacing w:line="312" w:lineRule="auto" w:before="146"/>
              <w:ind w:left="619" w:right="89" w:hanging="420"/>
              <w:rPr>
                <w:b/>
                <w:sz w:val="21"/>
              </w:rPr>
            </w:pPr>
            <w:r>
              <w:rPr>
                <w:b/>
                <w:sz w:val="21"/>
              </w:rPr>
              <w:t>17. 严重阿尔茨海默病</w:t>
            </w:r>
          </w:p>
        </w:tc>
        <w:tc>
          <w:tcPr>
            <w:tcW w:w="7562" w:type="dxa"/>
          </w:tcPr>
          <w:p>
            <w:pPr>
              <w:pStyle w:val="TableParagraph"/>
              <w:spacing w:line="314" w:lineRule="auto" w:before="146"/>
              <w:ind w:left="91" w:right="198"/>
              <w:rPr>
                <w:sz w:val="21"/>
              </w:rPr>
            </w:pPr>
            <w:r>
              <w:rPr>
                <w:spacing w:val="-3"/>
                <w:sz w:val="21"/>
              </w:rPr>
              <w:t>指因大脑进行性、不可逆性改变导致智能严重衰退或丧失，临床表现为明显的</w:t>
            </w:r>
            <w:r>
              <w:rPr>
                <w:spacing w:val="-11"/>
                <w:sz w:val="21"/>
              </w:rPr>
              <w:t>认知能力障碍、行为异常和社交能力减退，其日常生活必须持续受到他人监护。</w:t>
            </w:r>
            <w:r>
              <w:rPr>
                <w:spacing w:val="-6"/>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w:t>
            </w:r>
            <w:r>
              <w:rPr>
                <w:spacing w:val="-3"/>
                <w:sz w:val="21"/>
              </w:rPr>
              <w:t>等影像学检查证实，且自主生活能力完全丧失，无法独立完成六项基本日常生活活动中的三项或三项以上。 神经官能症和精神疾病不在保障范围内。</w:t>
            </w:r>
          </w:p>
        </w:tc>
      </w:tr>
      <w:tr>
        <w:trPr>
          <w:trHeight w:val="3143" w:hRule="atLeast"/>
        </w:trPr>
        <w:tc>
          <w:tcPr>
            <w:tcW w:w="1700" w:type="dxa"/>
          </w:tcPr>
          <w:p>
            <w:pPr>
              <w:pStyle w:val="TableParagraph"/>
              <w:spacing w:line="314" w:lineRule="auto" w:before="145"/>
              <w:ind w:left="619" w:right="89" w:hanging="420"/>
              <w:rPr>
                <w:b/>
                <w:sz w:val="21"/>
              </w:rPr>
            </w:pPr>
            <w:r>
              <w:rPr>
                <w:b/>
                <w:sz w:val="21"/>
              </w:rPr>
              <w:t>18. 严重脑损伤</w:t>
            </w:r>
          </w:p>
        </w:tc>
        <w:tc>
          <w:tcPr>
            <w:tcW w:w="7562" w:type="dxa"/>
          </w:tcPr>
          <w:p>
            <w:pPr>
              <w:pStyle w:val="TableParagraph"/>
              <w:spacing w:line="314" w:lineRule="auto" w:before="145"/>
              <w:ind w:left="91" w:right="322"/>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3"/>
                <w:w w:val="100"/>
                <w:sz w:val="21"/>
              </w:rPr>
              <w:t>或正电子发射断层扫描</w:t>
            </w:r>
          </w:p>
          <w:p>
            <w:pPr>
              <w:pStyle w:val="TableParagraph"/>
              <w:spacing w:line="314" w:lineRule="auto" w:before="17"/>
              <w:ind w:left="91" w:right="219"/>
              <w:rPr>
                <w:sz w:val="21"/>
              </w:rPr>
            </w:pPr>
            <w:r>
              <w:rPr>
                <w:sz w:val="21"/>
              </w:rPr>
              <w:t>（PET）</w:t>
            </w:r>
            <w:r>
              <w:rPr>
                <w:spacing w:val="-5"/>
                <w:sz w:val="21"/>
              </w:rPr>
              <w:t>等影像学检查证实。神经系统永久性的功能障碍，指脑损伤 </w:t>
            </w:r>
            <w:r>
              <w:rPr>
                <w:sz w:val="21"/>
              </w:rPr>
              <w:t>180</w:t>
            </w:r>
            <w:r>
              <w:rPr>
                <w:spacing w:val="-12"/>
                <w:sz w:val="21"/>
              </w:rPr>
              <w:t> 天后， </w:t>
            </w:r>
            <w:r>
              <w:rPr>
                <w:spacing w:val="-3"/>
                <w:sz w:val="21"/>
              </w:rPr>
              <w:t>仍遗留下列一种或一种以上障碍：</w:t>
            </w:r>
          </w:p>
          <w:p>
            <w:pPr>
              <w:pStyle w:val="TableParagraph"/>
              <w:spacing w:before="17"/>
              <w:ind w:left="91"/>
              <w:rPr>
                <w:sz w:val="21"/>
              </w:rPr>
            </w:pPr>
            <w:r>
              <w:rPr>
                <w:sz w:val="21"/>
              </w:rPr>
              <w:t>（1）一肢或一肢以上肢体机能完全丧失；</w:t>
            </w:r>
          </w:p>
          <w:p>
            <w:pPr>
              <w:pStyle w:val="TableParagraph"/>
              <w:spacing w:before="85"/>
              <w:ind w:left="91"/>
              <w:rPr>
                <w:sz w:val="21"/>
              </w:rPr>
            </w:pPr>
            <w:r>
              <w:rPr>
                <w:sz w:val="21"/>
              </w:rPr>
              <w:t>（2）语言能力或咀嚼吞咽能力完全丧失；</w:t>
            </w:r>
          </w:p>
          <w:p>
            <w:pPr>
              <w:pStyle w:val="TableParagraph"/>
              <w:spacing w:line="314" w:lineRule="auto" w:before="83"/>
              <w:ind w:left="91" w:right="305"/>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2424" w:hRule="atLeast"/>
        </w:trPr>
        <w:tc>
          <w:tcPr>
            <w:tcW w:w="1700" w:type="dxa"/>
          </w:tcPr>
          <w:p>
            <w:pPr>
              <w:pStyle w:val="TableParagraph"/>
              <w:spacing w:line="312" w:lineRule="auto" w:before="146"/>
              <w:ind w:left="619" w:right="89" w:hanging="420"/>
              <w:rPr>
                <w:b/>
                <w:sz w:val="21"/>
              </w:rPr>
            </w:pPr>
            <w:r>
              <w:rPr>
                <w:b/>
                <w:sz w:val="21"/>
              </w:rPr>
              <w:t>19. 严重帕金森病</w:t>
            </w:r>
          </w:p>
        </w:tc>
        <w:tc>
          <w:tcPr>
            <w:tcW w:w="7562" w:type="dxa"/>
          </w:tcPr>
          <w:p>
            <w:pPr>
              <w:pStyle w:val="TableParagraph"/>
              <w:spacing w:line="312" w:lineRule="auto" w:before="146"/>
              <w:ind w:left="91" w:right="322"/>
              <w:rPr>
                <w:sz w:val="21"/>
              </w:rPr>
            </w:pPr>
            <w:r>
              <w:rPr>
                <w:sz w:val="21"/>
              </w:rPr>
              <w:t>是一种中枢神经系统的退行性疾病，临床表现为震颤麻痹、共济失调等。须满足下列全部条件：</w:t>
            </w:r>
          </w:p>
          <w:p>
            <w:pPr>
              <w:pStyle w:val="TableParagraph"/>
              <w:spacing w:before="22"/>
              <w:ind w:left="91"/>
              <w:rPr>
                <w:sz w:val="21"/>
              </w:rPr>
            </w:pPr>
            <w:r>
              <w:rPr>
                <w:sz w:val="21"/>
              </w:rPr>
              <w:t>（1）药物治疗无法控制病情；</w:t>
            </w:r>
          </w:p>
          <w:p>
            <w:pPr>
              <w:pStyle w:val="TableParagraph"/>
              <w:spacing w:line="314" w:lineRule="auto" w:before="83"/>
              <w:ind w:left="511" w:right="306" w:hanging="421"/>
              <w:rPr>
                <w:sz w:val="21"/>
              </w:rPr>
            </w:pPr>
            <w:r>
              <w:rPr>
                <w:spacing w:val="-16"/>
                <w:sz w:val="21"/>
              </w:rPr>
              <w:t>（2）</w:t>
            </w:r>
            <w:r>
              <w:rPr>
                <w:spacing w:val="-7"/>
                <w:sz w:val="21"/>
              </w:rPr>
              <w:t>自主生活能力完全丧失，无法独立完成六项基本日常生活活动中的三项或</w:t>
            </w:r>
            <w:r>
              <w:rPr>
                <w:spacing w:val="-4"/>
                <w:sz w:val="21"/>
              </w:rPr>
              <w:t>三项以上。</w:t>
            </w:r>
          </w:p>
          <w:p>
            <w:pPr>
              <w:pStyle w:val="TableParagraph"/>
              <w:spacing w:before="18"/>
              <w:ind w:left="91"/>
              <w:rPr>
                <w:sz w:val="21"/>
              </w:rPr>
            </w:pPr>
            <w:r>
              <w:rPr>
                <w:sz w:val="21"/>
              </w:rPr>
              <w:t>继发性帕金森综合征不在保障范围内。</w:t>
            </w:r>
          </w:p>
        </w:tc>
      </w:tr>
      <w:tr>
        <w:trPr>
          <w:trHeight w:val="990" w:hRule="atLeast"/>
        </w:trPr>
        <w:tc>
          <w:tcPr>
            <w:tcW w:w="1700" w:type="dxa"/>
          </w:tcPr>
          <w:p>
            <w:pPr>
              <w:pStyle w:val="TableParagraph"/>
              <w:spacing w:line="314" w:lineRule="auto" w:before="146"/>
              <w:ind w:left="619" w:right="89" w:hanging="420"/>
              <w:rPr>
                <w:b/>
                <w:sz w:val="21"/>
              </w:rPr>
            </w:pPr>
            <w:r>
              <w:rPr>
                <w:b/>
                <w:sz w:val="21"/>
              </w:rPr>
              <w:t>20. 严重Ⅲ度烧伤</w:t>
            </w:r>
          </w:p>
        </w:tc>
        <w:tc>
          <w:tcPr>
            <w:tcW w:w="7562" w:type="dxa"/>
          </w:tcPr>
          <w:p>
            <w:pPr>
              <w:pStyle w:val="TableParagraph"/>
              <w:spacing w:line="314" w:lineRule="auto" w:before="146"/>
              <w:ind w:left="91" w:right="305"/>
              <w:rPr>
                <w:sz w:val="21"/>
              </w:rPr>
            </w:pPr>
            <w:r>
              <w:rPr>
                <w:spacing w:val="-10"/>
                <w:sz w:val="21"/>
              </w:rPr>
              <w:t>指烧伤程度为Ⅲ度，且Ⅲ度烧伤面积达到全身体表面积的 </w:t>
            </w:r>
            <w:r>
              <w:rPr>
                <w:sz w:val="21"/>
              </w:rPr>
              <w:t>20</w:t>
            </w:r>
            <w:r>
              <w:rPr>
                <w:spacing w:val="-14"/>
                <w:sz w:val="21"/>
              </w:rPr>
              <w:t>％或 </w:t>
            </w:r>
            <w:r>
              <w:rPr>
                <w:sz w:val="21"/>
              </w:rPr>
              <w:t>20</w:t>
            </w:r>
            <w:r>
              <w:rPr>
                <w:spacing w:val="-11"/>
                <w:sz w:val="21"/>
              </w:rPr>
              <w:t>％以上。体</w:t>
            </w:r>
            <w:r>
              <w:rPr>
                <w:spacing w:val="-3"/>
                <w:sz w:val="21"/>
              </w:rPr>
              <w:t>表面积根据 《中国新九分法》计算。</w:t>
            </w:r>
          </w:p>
        </w:tc>
      </w:tr>
      <w:tr>
        <w:trPr>
          <w:trHeight w:val="1348" w:hRule="atLeast"/>
        </w:trPr>
        <w:tc>
          <w:tcPr>
            <w:tcW w:w="1700" w:type="dxa"/>
          </w:tcPr>
          <w:p>
            <w:pPr>
              <w:pStyle w:val="TableParagraph"/>
              <w:spacing w:line="314" w:lineRule="auto" w:before="145"/>
              <w:ind w:left="619" w:right="89" w:hanging="420"/>
              <w:jc w:val="both"/>
              <w:rPr>
                <w:b/>
                <w:sz w:val="21"/>
              </w:rPr>
            </w:pPr>
            <w:r>
              <w:rPr>
                <w:b/>
                <w:sz w:val="21"/>
              </w:rPr>
              <w:t>21. 严重原发性肺动脉高压</w:t>
            </w:r>
          </w:p>
        </w:tc>
        <w:tc>
          <w:tcPr>
            <w:tcW w:w="7562" w:type="dxa"/>
          </w:tcPr>
          <w:p>
            <w:pPr>
              <w:pStyle w:val="TableParagraph"/>
              <w:spacing w:line="314" w:lineRule="auto" w:before="145"/>
              <w:ind w:left="91" w:right="322"/>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708" w:hRule="atLeast"/>
        </w:trPr>
        <w:tc>
          <w:tcPr>
            <w:tcW w:w="1700" w:type="dxa"/>
          </w:tcPr>
          <w:p>
            <w:pPr>
              <w:pStyle w:val="TableParagraph"/>
              <w:spacing w:line="314" w:lineRule="auto" w:before="146"/>
              <w:ind w:left="619" w:right="89" w:hanging="420"/>
              <w:rPr>
                <w:b/>
                <w:sz w:val="21"/>
              </w:rPr>
            </w:pPr>
            <w:r>
              <w:rPr>
                <w:b/>
                <w:sz w:val="21"/>
              </w:rPr>
              <w:t>22. 严重运动神经元病</w:t>
            </w:r>
          </w:p>
        </w:tc>
        <w:tc>
          <w:tcPr>
            <w:tcW w:w="7562" w:type="dxa"/>
          </w:tcPr>
          <w:p>
            <w:pPr>
              <w:pStyle w:val="TableParagraph"/>
              <w:spacing w:line="314" w:lineRule="auto" w:before="146"/>
              <w:ind w:left="91" w:right="32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779" w:hRule="atLeast"/>
        </w:trPr>
        <w:tc>
          <w:tcPr>
            <w:tcW w:w="1700" w:type="dxa"/>
          </w:tcPr>
          <w:p>
            <w:pPr>
              <w:pStyle w:val="TableParagraph"/>
              <w:spacing w:line="360" w:lineRule="atLeast" w:before="61"/>
              <w:ind w:left="619" w:right="89" w:hanging="420"/>
              <w:rPr>
                <w:b/>
                <w:sz w:val="21"/>
              </w:rPr>
            </w:pPr>
            <w:r>
              <w:rPr>
                <w:b/>
                <w:sz w:val="21"/>
              </w:rPr>
              <w:t>23. 语言能力丧失</w:t>
            </w:r>
          </w:p>
        </w:tc>
        <w:tc>
          <w:tcPr>
            <w:tcW w:w="7562" w:type="dxa"/>
          </w:tcPr>
          <w:p>
            <w:pPr>
              <w:pStyle w:val="TableParagraph"/>
              <w:spacing w:line="360" w:lineRule="atLeast" w:before="61"/>
              <w:ind w:left="91" w:right="305"/>
              <w:rPr>
                <w:sz w:val="21"/>
              </w:rPr>
            </w:pPr>
            <w:r>
              <w:rPr>
                <w:spacing w:val="-8"/>
                <w:sz w:val="21"/>
              </w:rPr>
              <w:t>指因疾病或意外伤害导致完全丧失语言能力，经过积极治疗至少 </w:t>
            </w:r>
            <w:r>
              <w:rPr>
                <w:sz w:val="21"/>
              </w:rPr>
              <w:t>12</w:t>
            </w:r>
            <w:r>
              <w:rPr>
                <w:spacing w:val="-28"/>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tc>
      </w:tr>
    </w:tbl>
    <w:p>
      <w:pPr>
        <w:spacing w:after="0" w:line="360" w:lineRule="atLeast"/>
        <w:rPr>
          <w:sz w:val="21"/>
        </w:rPr>
        <w:sectPr>
          <w:pgSz w:w="11910" w:h="16840"/>
          <w:pgMar w:top="1580" w:bottom="280" w:left="138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0"/>
        <w:gridCol w:w="7562"/>
      </w:tblGrid>
      <w:tr>
        <w:trPr>
          <w:trHeight w:val="421" w:hRule="atLeast"/>
        </w:trPr>
        <w:tc>
          <w:tcPr>
            <w:tcW w:w="1700" w:type="dxa"/>
          </w:tcPr>
          <w:p>
            <w:pPr>
              <w:pStyle w:val="TableParagraph"/>
              <w:spacing w:before="0"/>
              <w:ind w:left="0"/>
              <w:rPr>
                <w:rFonts w:ascii="Times New Roman"/>
                <w:sz w:val="20"/>
              </w:rPr>
            </w:pPr>
          </w:p>
        </w:tc>
        <w:tc>
          <w:tcPr>
            <w:tcW w:w="7562" w:type="dxa"/>
          </w:tcPr>
          <w:p>
            <w:pPr>
              <w:pStyle w:val="TableParagraph"/>
              <w:spacing w:line="208" w:lineRule="exact" w:before="0"/>
              <w:ind w:left="91"/>
              <w:rPr>
                <w:sz w:val="21"/>
              </w:rPr>
            </w:pPr>
            <w:r>
              <w:rPr>
                <w:sz w:val="21"/>
              </w:rPr>
              <w:t>精神心理因素所致的语言能力丧失不在保障范围内。</w:t>
            </w:r>
          </w:p>
        </w:tc>
      </w:tr>
      <w:tr>
        <w:trPr>
          <w:trHeight w:val="2738" w:hRule="atLeast"/>
        </w:trPr>
        <w:tc>
          <w:tcPr>
            <w:tcW w:w="1700" w:type="dxa"/>
          </w:tcPr>
          <w:p>
            <w:pPr>
              <w:pStyle w:val="TableParagraph"/>
              <w:spacing w:line="314" w:lineRule="auto"/>
              <w:ind w:left="619" w:right="89" w:hanging="420"/>
              <w:jc w:val="both"/>
              <w:rPr>
                <w:b/>
                <w:sz w:val="21"/>
              </w:rPr>
            </w:pPr>
            <w:r>
              <w:rPr>
                <w:b/>
                <w:sz w:val="21"/>
              </w:rPr>
              <w:t>24. 重型再生障碍性贫血</w:t>
            </w:r>
          </w:p>
        </w:tc>
        <w:tc>
          <w:tcPr>
            <w:tcW w:w="7562" w:type="dxa"/>
          </w:tcPr>
          <w:p>
            <w:pPr>
              <w:pStyle w:val="TableParagraph"/>
              <w:spacing w:line="312" w:lineRule="auto"/>
              <w:ind w:left="91" w:right="200"/>
              <w:rPr>
                <w:sz w:val="21"/>
              </w:rPr>
            </w:pPr>
            <w:r>
              <w:rPr>
                <w:spacing w:val="-7"/>
                <w:sz w:val="21"/>
              </w:rPr>
              <w:t>指因骨髓造血功能慢性持续性衰竭导致的贫血、中性粒细胞减少及血小板减少， </w:t>
            </w:r>
            <w:r>
              <w:rPr>
                <w:spacing w:val="-5"/>
                <w:sz w:val="21"/>
              </w:rPr>
              <w:t>须满足以下全部条件：</w:t>
            </w:r>
          </w:p>
          <w:p>
            <w:pPr>
              <w:pStyle w:val="TableParagraph"/>
              <w:spacing w:before="21"/>
              <w:ind w:left="91"/>
              <w:rPr>
                <w:sz w:val="21"/>
              </w:rPr>
            </w:pPr>
            <w:r>
              <w:rPr>
                <w:sz w:val="21"/>
              </w:rPr>
              <w:t>（1）骨髓穿刺检查或骨髓活检结果支持诊断；</w:t>
            </w:r>
          </w:p>
          <w:p>
            <w:pPr>
              <w:pStyle w:val="TableParagraph"/>
              <w:spacing w:before="82"/>
              <w:ind w:left="91"/>
              <w:rPr>
                <w:sz w:val="21"/>
              </w:rPr>
            </w:pPr>
            <w:r>
              <w:rPr>
                <w:sz w:val="21"/>
              </w:rPr>
              <w:t>（2）外周血象必须具备以下三项条件：</w:t>
            </w:r>
          </w:p>
          <w:p>
            <w:pPr>
              <w:pStyle w:val="TableParagraph"/>
              <w:spacing w:before="85"/>
              <w:ind w:left="511"/>
              <w:rPr>
                <w:sz w:val="21"/>
              </w:rPr>
            </w:pPr>
            <w:r>
              <w:rPr>
                <w:sz w:val="21"/>
              </w:rPr>
              <w:t>① 中性粒细胞绝对值≤0.5×10</w:t>
            </w:r>
            <w:r>
              <w:rPr>
                <w:b/>
                <w:position w:val="11"/>
                <w:sz w:val="11"/>
              </w:rPr>
              <w:t>9</w:t>
            </w:r>
            <w:r>
              <w:rPr>
                <w:sz w:val="21"/>
              </w:rPr>
              <w:t>/L ；</w:t>
            </w:r>
          </w:p>
          <w:p>
            <w:pPr>
              <w:pStyle w:val="TableParagraph"/>
              <w:spacing w:before="82"/>
              <w:ind w:left="511"/>
              <w:rPr>
                <w:sz w:val="21"/>
              </w:rPr>
            </w:pPr>
            <w:r>
              <w:rPr>
                <w:sz w:val="21"/>
              </w:rPr>
              <w:t>② 网织红细胞＜1%；</w:t>
            </w:r>
          </w:p>
          <w:p>
            <w:pPr>
              <w:pStyle w:val="TableParagraph"/>
              <w:spacing w:before="39"/>
              <w:ind w:left="511"/>
              <w:rPr>
                <w:sz w:val="21"/>
              </w:rPr>
            </w:pPr>
            <w:r>
              <w:rPr>
                <w:sz w:val="21"/>
              </w:rPr>
              <w:t>③ 血小板绝对值≤20×10</w:t>
            </w:r>
            <w:r>
              <w:rPr>
                <w:b/>
                <w:position w:val="11"/>
                <w:sz w:val="11"/>
              </w:rPr>
              <w:t>9</w:t>
            </w:r>
            <w:r>
              <w:rPr>
                <w:sz w:val="21"/>
              </w:rPr>
              <w:t>/L。</w:t>
            </w:r>
          </w:p>
        </w:tc>
      </w:tr>
      <w:tr>
        <w:trPr>
          <w:trHeight w:val="1706" w:hRule="atLeast"/>
        </w:trPr>
        <w:tc>
          <w:tcPr>
            <w:tcW w:w="1700" w:type="dxa"/>
          </w:tcPr>
          <w:p>
            <w:pPr>
              <w:pStyle w:val="TableParagraph"/>
              <w:spacing w:line="312" w:lineRule="auto" w:before="144"/>
              <w:ind w:left="619" w:right="89" w:hanging="420"/>
              <w:rPr>
                <w:b/>
                <w:sz w:val="21"/>
              </w:rPr>
            </w:pPr>
            <w:r>
              <w:rPr>
                <w:b/>
                <w:sz w:val="21"/>
              </w:rPr>
              <w:t>25. 主动脉手术</w:t>
            </w:r>
          </w:p>
        </w:tc>
        <w:tc>
          <w:tcPr>
            <w:tcW w:w="7562" w:type="dxa"/>
          </w:tcPr>
          <w:p>
            <w:pPr>
              <w:pStyle w:val="TableParagraph"/>
              <w:spacing w:line="314" w:lineRule="auto" w:before="144"/>
              <w:ind w:left="91" w:right="30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8"/>
              <w:ind w:left="91"/>
              <w:jc w:val="both"/>
              <w:rPr>
                <w:sz w:val="21"/>
              </w:rPr>
            </w:pPr>
            <w:r>
              <w:rPr>
                <w:sz w:val="21"/>
              </w:rPr>
              <w:t>动脉内血管成形术不在保障范围内。</w:t>
            </w:r>
          </w:p>
        </w:tc>
      </w:tr>
      <w:tr>
        <w:trPr>
          <w:trHeight w:val="1348" w:hRule="atLeast"/>
        </w:trPr>
        <w:tc>
          <w:tcPr>
            <w:tcW w:w="1700" w:type="dxa"/>
          </w:tcPr>
          <w:p>
            <w:pPr>
              <w:pStyle w:val="TableParagraph"/>
              <w:spacing w:line="292" w:lineRule="auto"/>
              <w:ind w:left="619" w:right="89" w:hanging="420"/>
              <w:rPr>
                <w:b/>
                <w:sz w:val="21"/>
              </w:rPr>
            </w:pPr>
            <w:r>
              <w:rPr>
                <w:rFonts w:ascii="Trebuchet MS" w:eastAsia="Trebuchet MS"/>
                <w:b/>
                <w:sz w:val="21"/>
              </w:rPr>
              <w:t>26. </w:t>
            </w:r>
            <w:r>
              <w:rPr>
                <w:b/>
                <w:sz w:val="21"/>
              </w:rPr>
              <w:t>严重克隆病</w:t>
            </w:r>
          </w:p>
        </w:tc>
        <w:tc>
          <w:tcPr>
            <w:tcW w:w="7562" w:type="dxa"/>
          </w:tcPr>
          <w:p>
            <w:pPr>
              <w:pStyle w:val="TableParagraph"/>
              <w:spacing w:line="314" w:lineRule="auto"/>
              <w:ind w:left="91" w:right="322"/>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066" w:hRule="atLeast"/>
        </w:trPr>
        <w:tc>
          <w:tcPr>
            <w:tcW w:w="1700" w:type="dxa"/>
          </w:tcPr>
          <w:p>
            <w:pPr>
              <w:pStyle w:val="TableParagraph"/>
              <w:spacing w:line="312" w:lineRule="auto"/>
              <w:ind w:left="619" w:right="89" w:hanging="420"/>
              <w:rPr>
                <w:b/>
                <w:sz w:val="21"/>
              </w:rPr>
            </w:pPr>
            <w:r>
              <w:rPr>
                <w:b/>
                <w:sz w:val="21"/>
              </w:rPr>
              <w:t>27. 多发性硬化</w:t>
            </w:r>
          </w:p>
        </w:tc>
        <w:tc>
          <w:tcPr>
            <w:tcW w:w="7562" w:type="dxa"/>
          </w:tcPr>
          <w:p>
            <w:pPr>
              <w:pStyle w:val="TableParagraph"/>
              <w:ind w:left="91"/>
              <w:rPr>
                <w:sz w:val="21"/>
              </w:rPr>
            </w:pPr>
            <w:r>
              <w:rPr>
                <w:sz w:val="21"/>
              </w:rPr>
              <w:t>被保险人因脑及脊髓内的脱髓鞘病变而出现神经系统多灶性（多发性）多时相</w:t>
            </w:r>
          </w:p>
          <w:p>
            <w:pPr>
              <w:pStyle w:val="TableParagraph"/>
              <w:spacing w:line="314" w:lineRule="auto" w:before="82"/>
              <w:ind w:left="91" w:right="305"/>
              <w:jc w:val="both"/>
              <w:rPr>
                <w:sz w:val="21"/>
              </w:rPr>
            </w:pPr>
            <w:r>
              <w:rPr>
                <w:sz w:val="21"/>
              </w:rPr>
              <w:t>（至少6</w:t>
            </w:r>
            <w:r>
              <w:rPr>
                <w:spacing w:val="-6"/>
                <w:sz w:val="21"/>
              </w:rPr>
              <w:t>个月以内有一次以上</w:t>
            </w:r>
            <w:r>
              <w:rPr>
                <w:sz w:val="21"/>
              </w:rPr>
              <w:t>（</w:t>
            </w:r>
            <w:r>
              <w:rPr>
                <w:spacing w:val="-3"/>
                <w:sz w:val="21"/>
              </w:rPr>
              <w:t>不包含一次</w:t>
            </w:r>
            <w:r>
              <w:rPr>
                <w:spacing w:val="-22"/>
                <w:sz w:val="21"/>
              </w:rPr>
              <w:t>）</w:t>
            </w:r>
            <w:r>
              <w:rPr>
                <w:spacing w:val="-3"/>
                <w:sz w:val="21"/>
              </w:rPr>
              <w:t>的发作</w:t>
            </w:r>
            <w:r>
              <w:rPr>
                <w:spacing w:val="-25"/>
                <w:sz w:val="21"/>
              </w:rPr>
              <w:t>）</w:t>
            </w:r>
            <w:r>
              <w:rPr>
                <w:spacing w:val="-6"/>
                <w:sz w:val="21"/>
              </w:rPr>
              <w:t>的病变，须由计算机断层</w:t>
            </w:r>
            <w:r>
              <w:rPr>
                <w:spacing w:val="-11"/>
                <w:w w:val="100"/>
                <w:sz w:val="21"/>
              </w:rPr>
              <w:t>扫描</w:t>
            </w:r>
            <w:r>
              <w:rPr>
                <w:spacing w:val="-2"/>
                <w:w w:val="100"/>
                <w:sz w:val="21"/>
              </w:rPr>
              <w:t>（</w:t>
            </w:r>
            <w:r>
              <w:rPr>
                <w:w w:val="100"/>
                <w:sz w:val="21"/>
              </w:rPr>
              <w:t>CT</w:t>
            </w:r>
            <w:r>
              <w:rPr>
                <w:spacing w:val="-108"/>
                <w:w w:val="100"/>
                <w:sz w:val="21"/>
              </w:rPr>
              <w:t>）</w:t>
            </w:r>
            <w:r>
              <w:rPr>
                <w:spacing w:val="-7"/>
                <w:w w:val="100"/>
                <w:sz w:val="21"/>
              </w:rPr>
              <w:t>、核磁共振检查</w:t>
            </w:r>
            <w:r>
              <w:rPr>
                <w:spacing w:val="-1"/>
                <w:w w:val="100"/>
                <w:sz w:val="21"/>
              </w:rPr>
              <w:t>（</w:t>
            </w:r>
            <w:r>
              <w:rPr>
                <w:w w:val="100"/>
                <w:sz w:val="21"/>
              </w:rPr>
              <w:t>MR</w:t>
            </w:r>
            <w:r>
              <w:rPr>
                <w:spacing w:val="-2"/>
                <w:w w:val="100"/>
                <w:sz w:val="21"/>
              </w:rPr>
              <w:t>I</w:t>
            </w:r>
            <w:r>
              <w:rPr>
                <w:spacing w:val="-15"/>
                <w:w w:val="100"/>
                <w:sz w:val="21"/>
              </w:rPr>
              <w:t>）</w:t>
            </w:r>
            <w:r>
              <w:rPr>
                <w:spacing w:val="-5"/>
                <w:w w:val="100"/>
                <w:sz w:val="21"/>
              </w:rPr>
              <w:t>或正电子发射断层扫描</w:t>
            </w:r>
            <w:r>
              <w:rPr>
                <w:spacing w:val="-2"/>
                <w:w w:val="100"/>
                <w:sz w:val="21"/>
              </w:rPr>
              <w:t>（</w:t>
            </w:r>
            <w:r>
              <w:rPr>
                <w:w w:val="100"/>
                <w:sz w:val="21"/>
              </w:rPr>
              <w:t>PE</w:t>
            </w:r>
            <w:r>
              <w:rPr>
                <w:spacing w:val="-3"/>
                <w:w w:val="100"/>
                <w:sz w:val="21"/>
              </w:rPr>
              <w:t>T</w:t>
            </w:r>
            <w:r>
              <w:rPr>
                <w:spacing w:val="-15"/>
                <w:w w:val="100"/>
                <w:sz w:val="21"/>
              </w:rPr>
              <w:t>）</w:t>
            </w:r>
            <w:r>
              <w:rPr>
                <w:spacing w:val="-3"/>
                <w:w w:val="100"/>
                <w:sz w:val="21"/>
              </w:rPr>
              <w:t>等影像学检查</w:t>
            </w:r>
            <w:r>
              <w:rPr>
                <w:spacing w:val="-3"/>
                <w:sz w:val="21"/>
              </w:rPr>
              <w:t>证实，且已经造成自主生活能力完全丧失，无法独立完成六项基本日常生活活动中的三项或三项以上，持续至少</w:t>
            </w:r>
            <w:r>
              <w:rPr>
                <w:sz w:val="21"/>
              </w:rPr>
              <w:t>180</w:t>
            </w:r>
            <w:r>
              <w:rPr>
                <w:spacing w:val="-3"/>
                <w:sz w:val="21"/>
              </w:rPr>
              <w:t>天。</w:t>
            </w:r>
          </w:p>
        </w:tc>
      </w:tr>
      <w:tr>
        <w:trPr>
          <w:trHeight w:val="3500" w:hRule="atLeast"/>
        </w:trPr>
        <w:tc>
          <w:tcPr>
            <w:tcW w:w="1700" w:type="dxa"/>
          </w:tcPr>
          <w:p>
            <w:pPr>
              <w:pStyle w:val="TableParagraph"/>
              <w:spacing w:line="292" w:lineRule="auto"/>
              <w:ind w:left="619" w:right="89" w:hanging="420"/>
              <w:rPr>
                <w:b/>
                <w:sz w:val="21"/>
              </w:rPr>
            </w:pPr>
            <w:r>
              <w:rPr>
                <w:rFonts w:ascii="Trebuchet MS" w:eastAsia="Trebuchet MS"/>
                <w:b/>
                <w:sz w:val="21"/>
              </w:rPr>
              <w:t>28. </w:t>
            </w:r>
            <w:r>
              <w:rPr>
                <w:b/>
                <w:sz w:val="21"/>
              </w:rPr>
              <w:t>重症肌无力</w:t>
            </w:r>
          </w:p>
        </w:tc>
        <w:tc>
          <w:tcPr>
            <w:tcW w:w="7562" w:type="dxa"/>
          </w:tcPr>
          <w:p>
            <w:pPr>
              <w:pStyle w:val="TableParagraph"/>
              <w:spacing w:line="312" w:lineRule="auto"/>
              <w:ind w:left="91" w:right="198"/>
              <w:rPr>
                <w:sz w:val="21"/>
              </w:rPr>
            </w:pPr>
            <w:r>
              <w:rPr>
                <w:spacing w:val="-3"/>
                <w:sz w:val="21"/>
              </w:rPr>
              <w:t>是指一种神经与肌肉接头部位传递障碍的自身免疫性疾病，临床特征是局部或</w:t>
            </w:r>
            <w:r>
              <w:rPr>
                <w:spacing w:val="-8"/>
                <w:sz w:val="21"/>
              </w:rPr>
              <w:t>全身横纹肌于活动时易于疲劳无力，颅神经眼外肌最易累及，也可涉及呼吸肌、</w:t>
            </w:r>
            <w:r>
              <w:rPr>
                <w:spacing w:val="-6"/>
                <w:sz w:val="21"/>
              </w:rPr>
              <w:t>下肢近端肌群以至全身肌肉，须经本公司认可的神经科医师确诊。其诊断必须</w:t>
            </w:r>
            <w:r>
              <w:rPr>
                <w:spacing w:val="-4"/>
                <w:sz w:val="21"/>
              </w:rPr>
              <w:t>同时具有下列情况：</w:t>
            </w:r>
          </w:p>
          <w:p>
            <w:pPr>
              <w:pStyle w:val="TableParagraph"/>
              <w:spacing w:before="22"/>
              <w:ind w:left="91"/>
              <w:rPr>
                <w:sz w:val="21"/>
              </w:rPr>
            </w:pPr>
            <w:r>
              <w:rPr>
                <w:sz w:val="21"/>
              </w:rPr>
              <w:t>（1）经药物、胸腺手术治疗一年以上无法控制病情，丧失正常工作能力；</w:t>
            </w:r>
          </w:p>
          <w:p>
            <w:pPr>
              <w:pStyle w:val="TableParagraph"/>
              <w:spacing w:line="314" w:lineRule="auto" w:before="82"/>
              <w:ind w:left="91" w:right="305"/>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314" w:lineRule="auto" w:before="17"/>
              <w:ind w:left="91" w:right="306"/>
              <w:rPr>
                <w:sz w:val="21"/>
              </w:rPr>
            </w:pPr>
            <w:r>
              <w:rPr>
                <w:spacing w:val="-11"/>
                <w:sz w:val="21"/>
              </w:rPr>
              <w:t>（3）</w:t>
            </w:r>
            <w:r>
              <w:rPr>
                <w:spacing w:val="-9"/>
                <w:sz w:val="21"/>
              </w:rPr>
              <w:t>症状缓解、复发及恶化交替出现，临床接受新斯的明等抗胆碱酯酶药物治</w:t>
            </w:r>
            <w:r>
              <w:rPr>
                <w:spacing w:val="-5"/>
                <w:sz w:val="21"/>
              </w:rPr>
              <w:t>疗的病史。</w:t>
            </w:r>
          </w:p>
        </w:tc>
      </w:tr>
      <w:tr>
        <w:trPr>
          <w:trHeight w:val="1497" w:hRule="atLeast"/>
        </w:trPr>
        <w:tc>
          <w:tcPr>
            <w:tcW w:w="1700" w:type="dxa"/>
          </w:tcPr>
          <w:p>
            <w:pPr>
              <w:pStyle w:val="TableParagraph"/>
              <w:spacing w:line="295" w:lineRule="auto" w:before="142"/>
              <w:ind w:left="619" w:right="89" w:hanging="420"/>
              <w:rPr>
                <w:b/>
                <w:sz w:val="21"/>
              </w:rPr>
            </w:pPr>
            <w:r>
              <w:rPr>
                <w:rFonts w:ascii="Trebuchet MS" w:eastAsia="Trebuchet MS"/>
                <w:b/>
                <w:sz w:val="21"/>
              </w:rPr>
              <w:t>29. </w:t>
            </w:r>
            <w:r>
              <w:rPr>
                <w:b/>
                <w:sz w:val="21"/>
              </w:rPr>
              <w:t>严重心肌病</w:t>
            </w:r>
          </w:p>
        </w:tc>
        <w:tc>
          <w:tcPr>
            <w:tcW w:w="7562" w:type="dxa"/>
          </w:tcPr>
          <w:p>
            <w:pPr>
              <w:pStyle w:val="TableParagraph"/>
              <w:spacing w:line="314" w:lineRule="auto" w:before="142"/>
              <w:ind w:left="91" w:right="308"/>
              <w:jc w:val="both"/>
              <w:rPr>
                <w:sz w:val="21"/>
              </w:rPr>
            </w:pPr>
            <w:r>
              <w:rPr>
                <w:sz w:val="21"/>
              </w:rPr>
              <w:t>由任何病因引起的心室功能损伤，导致被保险人身体永久及不可逆地受损，达到美国纽约心脏病学会心功能状态分级IV级。必须由心脏专科医生确诊，并有包括超声心动图在内的相关检查证实。</w:t>
            </w:r>
          </w:p>
          <w:p>
            <w:pPr>
              <w:pStyle w:val="TableParagraph"/>
              <w:spacing w:line="258" w:lineRule="exact" w:before="19"/>
              <w:ind w:left="91"/>
              <w:jc w:val="both"/>
              <w:rPr>
                <w:sz w:val="21"/>
              </w:rPr>
            </w:pPr>
            <w:r>
              <w:rPr>
                <w:sz w:val="21"/>
              </w:rPr>
              <w:t>酗酒或滥用药物引起的心肌病不在保险责任范围内。</w:t>
            </w:r>
          </w:p>
        </w:tc>
      </w:tr>
    </w:tbl>
    <w:p>
      <w:pPr>
        <w:spacing w:after="0" w:line="258" w:lineRule="exact"/>
        <w:jc w:val="both"/>
        <w:rPr>
          <w:sz w:val="21"/>
        </w:rPr>
        <w:sectPr>
          <w:pgSz w:w="11910" w:h="16840"/>
          <w:pgMar w:top="1500" w:bottom="280" w:left="1380" w:right="10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608"/>
        <w:gridCol w:w="7562"/>
      </w:tblGrid>
      <w:tr>
        <w:trPr>
          <w:trHeight w:val="1138" w:hRule="atLeast"/>
        </w:trPr>
        <w:tc>
          <w:tcPr>
            <w:tcW w:w="731" w:type="dxa"/>
          </w:tcPr>
          <w:p>
            <w:pPr>
              <w:pStyle w:val="TableParagraph"/>
              <w:spacing w:before="0"/>
              <w:ind w:left="0"/>
              <w:rPr>
                <w:rFonts w:ascii="Times New Roman"/>
                <w:sz w:val="20"/>
              </w:rPr>
            </w:pPr>
          </w:p>
        </w:tc>
        <w:tc>
          <w:tcPr>
            <w:tcW w:w="1608" w:type="dxa"/>
          </w:tcPr>
          <w:p>
            <w:pPr>
              <w:pStyle w:val="TableParagraph"/>
              <w:spacing w:line="225" w:lineRule="exact" w:before="0"/>
              <w:ind w:left="107"/>
              <w:rPr>
                <w:b/>
                <w:sz w:val="21"/>
              </w:rPr>
            </w:pPr>
            <w:r>
              <w:rPr>
                <w:rFonts w:ascii="Trebuchet MS" w:eastAsia="Trebuchet MS"/>
                <w:b/>
                <w:sz w:val="21"/>
              </w:rPr>
              <w:t>30. </w:t>
            </w:r>
            <w:r>
              <w:rPr>
                <w:b/>
                <w:sz w:val="21"/>
              </w:rPr>
              <w:t>急性出血</w:t>
            </w:r>
          </w:p>
          <w:p>
            <w:pPr>
              <w:pStyle w:val="TableParagraph"/>
              <w:spacing w:line="314" w:lineRule="auto" w:before="65"/>
              <w:ind w:left="527" w:right="89"/>
              <w:rPr>
                <w:b/>
                <w:sz w:val="21"/>
              </w:rPr>
            </w:pPr>
            <w:r>
              <w:rPr>
                <w:b/>
                <w:sz w:val="21"/>
              </w:rPr>
              <w:t>坏死性胰腺炎</w:t>
            </w:r>
          </w:p>
        </w:tc>
        <w:tc>
          <w:tcPr>
            <w:tcW w:w="7562" w:type="dxa"/>
          </w:tcPr>
          <w:p>
            <w:pPr>
              <w:pStyle w:val="TableParagraph"/>
              <w:spacing w:line="208" w:lineRule="exact" w:before="0"/>
              <w:ind w:left="90"/>
              <w:rPr>
                <w:sz w:val="21"/>
              </w:rPr>
            </w:pPr>
            <w:r>
              <w:rPr>
                <w:sz w:val="21"/>
              </w:rPr>
              <w:t>指被保险人因为急性出血坏死性胰腺炎已经接受了外科开腹手术治疗，以进行</w:t>
            </w:r>
          </w:p>
          <w:p>
            <w:pPr>
              <w:pStyle w:val="TableParagraph"/>
              <w:spacing w:line="314" w:lineRule="auto" w:before="82"/>
              <w:ind w:left="90" w:right="309"/>
              <w:rPr>
                <w:sz w:val="21"/>
              </w:rPr>
            </w:pPr>
            <w:r>
              <w:rPr>
                <w:sz w:val="21"/>
              </w:rPr>
              <w:t>坏死组织清除、坏死病灶切除或胰腺切除。因饮酒所致的急性出血坏死性胰腺炎或经腹腔镜手术进行的治疗不在保障范围内。</w:t>
            </w:r>
          </w:p>
        </w:tc>
      </w:tr>
      <w:tr>
        <w:trPr>
          <w:trHeight w:val="1348" w:hRule="atLeast"/>
        </w:trPr>
        <w:tc>
          <w:tcPr>
            <w:tcW w:w="731" w:type="dxa"/>
          </w:tcPr>
          <w:p>
            <w:pPr>
              <w:pStyle w:val="TableParagraph"/>
              <w:ind w:left="77" w:right="88"/>
              <w:jc w:val="center"/>
              <w:rPr>
                <w:b/>
                <w:sz w:val="21"/>
              </w:rPr>
            </w:pPr>
            <w:r>
              <w:rPr>
                <w:b/>
                <w:sz w:val="21"/>
              </w:rPr>
              <w:t>6.4</w:t>
            </w:r>
          </w:p>
        </w:tc>
        <w:tc>
          <w:tcPr>
            <w:tcW w:w="1608" w:type="dxa"/>
          </w:tcPr>
          <w:p>
            <w:pPr>
              <w:pStyle w:val="TableParagraph"/>
              <w:ind w:left="107"/>
              <w:rPr>
                <w:b/>
                <w:sz w:val="21"/>
              </w:rPr>
            </w:pPr>
            <w:r>
              <w:rPr>
                <w:b/>
                <w:sz w:val="21"/>
              </w:rPr>
              <w:t>意外伤害</w:t>
            </w:r>
          </w:p>
        </w:tc>
        <w:tc>
          <w:tcPr>
            <w:tcW w:w="7562" w:type="dxa"/>
          </w:tcPr>
          <w:p>
            <w:pPr>
              <w:pStyle w:val="TableParagraph"/>
              <w:spacing w:line="314" w:lineRule="auto"/>
              <w:ind w:left="90" w:right="323"/>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tc>
      </w:tr>
      <w:tr>
        <w:trPr>
          <w:trHeight w:val="1707" w:hRule="atLeast"/>
        </w:trPr>
        <w:tc>
          <w:tcPr>
            <w:tcW w:w="731" w:type="dxa"/>
          </w:tcPr>
          <w:p>
            <w:pPr>
              <w:pStyle w:val="TableParagraph"/>
              <w:ind w:left="77" w:right="88"/>
              <w:jc w:val="center"/>
              <w:rPr>
                <w:b/>
                <w:sz w:val="21"/>
              </w:rPr>
            </w:pPr>
            <w:r>
              <w:rPr>
                <w:b/>
                <w:sz w:val="21"/>
              </w:rPr>
              <w:t>6.5</w:t>
            </w:r>
          </w:p>
        </w:tc>
        <w:tc>
          <w:tcPr>
            <w:tcW w:w="1608" w:type="dxa"/>
          </w:tcPr>
          <w:p>
            <w:pPr>
              <w:pStyle w:val="TableParagraph"/>
              <w:ind w:left="107"/>
              <w:rPr>
                <w:b/>
                <w:sz w:val="21"/>
              </w:rPr>
            </w:pPr>
            <w:r>
              <w:rPr>
                <w:b/>
                <w:sz w:val="21"/>
              </w:rPr>
              <w:t>医院</w:t>
            </w:r>
          </w:p>
        </w:tc>
        <w:tc>
          <w:tcPr>
            <w:tcW w:w="7562" w:type="dxa"/>
          </w:tcPr>
          <w:p>
            <w:pPr>
              <w:pStyle w:val="TableParagraph"/>
              <w:spacing w:line="312" w:lineRule="auto"/>
              <w:ind w:left="90" w:right="198"/>
              <w:rPr>
                <w:sz w:val="21"/>
              </w:rPr>
            </w:pPr>
            <w:r>
              <w:rPr>
                <w:spacing w:val="-3"/>
                <w:sz w:val="21"/>
              </w:rPr>
              <w:t>指经国家卫生部门审核的二级或二级以上的综合性医院和专科医院，但不包括</w:t>
            </w:r>
            <w:r>
              <w:rPr>
                <w:spacing w:val="-11"/>
                <w:sz w:val="21"/>
              </w:rPr>
              <w:t>作为诊所、康复、联合病房、家庭病床、护理、修养或戒酒、戒毒等医疗机构。</w:t>
            </w:r>
            <w:r>
              <w:rPr>
                <w:spacing w:val="-14"/>
                <w:sz w:val="21"/>
              </w:rPr>
              <w:t>该医院必须具有系统的、充分的诊断设备，全套外科手术设备并提供 </w:t>
            </w:r>
            <w:r>
              <w:rPr>
                <w:sz w:val="21"/>
              </w:rPr>
              <w:t>24</w:t>
            </w:r>
            <w:r>
              <w:rPr>
                <w:spacing w:val="-14"/>
                <w:sz w:val="21"/>
              </w:rPr>
              <w:t> 小时的</w:t>
            </w:r>
            <w:r>
              <w:rPr>
                <w:spacing w:val="-3"/>
                <w:sz w:val="21"/>
              </w:rPr>
              <w:t>医疗与护理服务。</w:t>
            </w:r>
          </w:p>
        </w:tc>
      </w:tr>
      <w:tr>
        <w:trPr>
          <w:trHeight w:val="1348" w:hRule="atLeast"/>
        </w:trPr>
        <w:tc>
          <w:tcPr>
            <w:tcW w:w="731" w:type="dxa"/>
          </w:tcPr>
          <w:p>
            <w:pPr>
              <w:pStyle w:val="TableParagraph"/>
              <w:ind w:left="77" w:right="88"/>
              <w:jc w:val="center"/>
              <w:rPr>
                <w:b/>
                <w:sz w:val="21"/>
              </w:rPr>
            </w:pPr>
            <w:r>
              <w:rPr>
                <w:b/>
                <w:sz w:val="21"/>
              </w:rPr>
              <w:t>6.6</w:t>
            </w:r>
          </w:p>
        </w:tc>
        <w:tc>
          <w:tcPr>
            <w:tcW w:w="1608" w:type="dxa"/>
          </w:tcPr>
          <w:p>
            <w:pPr>
              <w:pStyle w:val="TableParagraph"/>
              <w:ind w:left="107"/>
              <w:rPr>
                <w:b/>
                <w:sz w:val="21"/>
              </w:rPr>
            </w:pPr>
            <w:r>
              <w:rPr>
                <w:b/>
                <w:sz w:val="21"/>
              </w:rPr>
              <w:t>毒品</w:t>
            </w:r>
          </w:p>
        </w:tc>
        <w:tc>
          <w:tcPr>
            <w:tcW w:w="7562" w:type="dxa"/>
          </w:tcPr>
          <w:p>
            <w:pPr>
              <w:pStyle w:val="TableParagraph"/>
              <w:spacing w:line="314" w:lineRule="auto"/>
              <w:ind w:left="90" w:right="200"/>
              <w:rPr>
                <w:sz w:val="21"/>
              </w:rPr>
            </w:pPr>
            <w:r>
              <w:rPr>
                <w:spacing w:val="-10"/>
                <w:sz w:val="21"/>
              </w:rPr>
              <w:t>指中华人民共和国刑法规定的鸦片、海洛因、甲基苯丙胺</w:t>
            </w:r>
            <w:r>
              <w:rPr>
                <w:spacing w:val="-3"/>
                <w:sz w:val="21"/>
              </w:rPr>
              <w:t>（</w:t>
            </w:r>
            <w:r>
              <w:rPr>
                <w:spacing w:val="-2"/>
                <w:sz w:val="21"/>
              </w:rPr>
              <w:t>冰毒</w:t>
            </w:r>
            <w:r>
              <w:rPr>
                <w:spacing w:val="-106"/>
                <w:sz w:val="21"/>
              </w:rPr>
              <w:t>）</w:t>
            </w:r>
            <w:r>
              <w:rPr>
                <w:spacing w:val="-13"/>
                <w:sz w:val="21"/>
              </w:rPr>
              <w:t>、吗啡、大麻、</w:t>
            </w:r>
            <w:r>
              <w:rPr>
                <w:spacing w:val="-6"/>
                <w:sz w:val="21"/>
              </w:rPr>
              <w:t>可卡因以及国家规定管制的其他能够使人形成瘾癖的麻醉药品和精神药品，但</w:t>
            </w:r>
            <w:r>
              <w:rPr>
                <w:spacing w:val="-4"/>
                <w:sz w:val="21"/>
              </w:rPr>
              <w:t>不包括由医生开具并遵医嘱使用的用于治疗疾病但含有毒品成分的处方药品。</w:t>
            </w:r>
          </w:p>
        </w:tc>
      </w:tr>
      <w:tr>
        <w:trPr>
          <w:trHeight w:val="1336" w:hRule="atLeast"/>
        </w:trPr>
        <w:tc>
          <w:tcPr>
            <w:tcW w:w="731" w:type="dxa"/>
          </w:tcPr>
          <w:p>
            <w:pPr>
              <w:pStyle w:val="TableParagraph"/>
              <w:ind w:left="77" w:right="88"/>
              <w:jc w:val="center"/>
              <w:rPr>
                <w:b/>
                <w:sz w:val="21"/>
              </w:rPr>
            </w:pPr>
            <w:r>
              <w:rPr>
                <w:b/>
                <w:sz w:val="21"/>
              </w:rPr>
              <w:t>6.7</w:t>
            </w:r>
          </w:p>
        </w:tc>
        <w:tc>
          <w:tcPr>
            <w:tcW w:w="1608" w:type="dxa"/>
          </w:tcPr>
          <w:p>
            <w:pPr>
              <w:pStyle w:val="TableParagraph"/>
              <w:ind w:left="107"/>
              <w:rPr>
                <w:b/>
                <w:sz w:val="21"/>
              </w:rPr>
            </w:pPr>
            <w:r>
              <w:rPr>
                <w:b/>
                <w:sz w:val="21"/>
              </w:rPr>
              <w:t>酒后驾驶</w:t>
            </w:r>
          </w:p>
        </w:tc>
        <w:tc>
          <w:tcPr>
            <w:tcW w:w="7562" w:type="dxa"/>
          </w:tcPr>
          <w:p>
            <w:pPr>
              <w:pStyle w:val="TableParagraph"/>
              <w:spacing w:line="314" w:lineRule="auto"/>
              <w:ind w:left="90" w:right="32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249" w:hRule="atLeast"/>
        </w:trPr>
        <w:tc>
          <w:tcPr>
            <w:tcW w:w="731" w:type="dxa"/>
          </w:tcPr>
          <w:p>
            <w:pPr>
              <w:pStyle w:val="TableParagraph"/>
              <w:spacing w:before="155"/>
              <w:ind w:left="76" w:right="88"/>
              <w:jc w:val="center"/>
              <w:rPr>
                <w:b/>
                <w:sz w:val="21"/>
              </w:rPr>
            </w:pPr>
            <w:r>
              <w:rPr>
                <w:b/>
                <w:sz w:val="21"/>
              </w:rPr>
              <w:t>6.8</w:t>
            </w:r>
          </w:p>
        </w:tc>
        <w:tc>
          <w:tcPr>
            <w:tcW w:w="1608" w:type="dxa"/>
          </w:tcPr>
          <w:p>
            <w:pPr>
              <w:pStyle w:val="TableParagraph"/>
              <w:spacing w:line="312" w:lineRule="auto" w:before="155"/>
              <w:ind w:left="107" w:right="230"/>
              <w:rPr>
                <w:b/>
                <w:sz w:val="21"/>
              </w:rPr>
            </w:pPr>
            <w:r>
              <w:rPr>
                <w:b/>
                <w:sz w:val="21"/>
              </w:rPr>
              <w:t>无合法有效驾驶证驾驶</w:t>
            </w:r>
          </w:p>
        </w:tc>
        <w:tc>
          <w:tcPr>
            <w:tcW w:w="7562" w:type="dxa"/>
          </w:tcPr>
          <w:p>
            <w:pPr>
              <w:pStyle w:val="TableParagraph"/>
              <w:spacing w:before="131"/>
              <w:ind w:left="90"/>
              <w:rPr>
                <w:sz w:val="21"/>
              </w:rPr>
            </w:pPr>
            <w:r>
              <w:rPr>
                <w:sz w:val="21"/>
              </w:rPr>
              <w:t>指下列情形之一：</w:t>
            </w:r>
          </w:p>
          <w:p>
            <w:pPr>
              <w:pStyle w:val="TableParagraph"/>
              <w:spacing w:before="36"/>
              <w:ind w:left="90"/>
              <w:rPr>
                <w:sz w:val="21"/>
              </w:rPr>
            </w:pPr>
            <w:r>
              <w:rPr>
                <w:sz w:val="21"/>
              </w:rPr>
              <w:t>（1）没有取得驾驶资格；</w:t>
            </w:r>
          </w:p>
          <w:p>
            <w:pPr>
              <w:pStyle w:val="TableParagraph"/>
              <w:spacing w:before="36"/>
              <w:ind w:left="90"/>
              <w:rPr>
                <w:sz w:val="21"/>
              </w:rPr>
            </w:pPr>
            <w:r>
              <w:rPr>
                <w:sz w:val="21"/>
              </w:rPr>
              <w:t>（2）驾驶与驾驶证准驾车型不相符合的车辆；</w:t>
            </w:r>
          </w:p>
          <w:p>
            <w:pPr>
              <w:pStyle w:val="TableParagraph"/>
              <w:spacing w:before="36"/>
              <w:ind w:left="90"/>
              <w:rPr>
                <w:sz w:val="21"/>
              </w:rPr>
            </w:pPr>
            <w:r>
              <w:rPr>
                <w:sz w:val="21"/>
              </w:rPr>
              <w:t>（3）持审验不合格的驾驶证驾驶；</w:t>
            </w:r>
          </w:p>
          <w:p>
            <w:pPr>
              <w:pStyle w:val="TableParagraph"/>
              <w:spacing w:line="312" w:lineRule="auto" w:before="60"/>
              <w:ind w:left="90" w:right="306"/>
              <w:rPr>
                <w:sz w:val="21"/>
              </w:rPr>
            </w:pPr>
            <w:r>
              <w:rPr>
                <w:spacing w:val="-9"/>
                <w:sz w:val="21"/>
              </w:rPr>
              <w:t>（4）</w:t>
            </w:r>
            <w:r>
              <w:rPr>
                <w:spacing w:val="-7"/>
                <w:sz w:val="21"/>
              </w:rPr>
              <w:t>持学习驾驶证学习驾车时，无教练员随车指导，或不按指定时间、路线学</w:t>
            </w:r>
            <w:r>
              <w:rPr>
                <w:spacing w:val="-1"/>
                <w:sz w:val="21"/>
              </w:rPr>
              <w:t>习驾车。</w:t>
            </w:r>
          </w:p>
        </w:tc>
      </w:tr>
      <w:tr>
        <w:trPr>
          <w:trHeight w:val="1351" w:hRule="atLeast"/>
        </w:trPr>
        <w:tc>
          <w:tcPr>
            <w:tcW w:w="731" w:type="dxa"/>
          </w:tcPr>
          <w:p>
            <w:pPr>
              <w:pStyle w:val="TableParagraph"/>
              <w:ind w:left="77" w:right="88"/>
              <w:jc w:val="center"/>
              <w:rPr>
                <w:b/>
                <w:sz w:val="21"/>
              </w:rPr>
            </w:pPr>
            <w:r>
              <w:rPr>
                <w:b/>
                <w:sz w:val="21"/>
              </w:rPr>
              <w:t>6.9</w:t>
            </w:r>
          </w:p>
        </w:tc>
        <w:tc>
          <w:tcPr>
            <w:tcW w:w="1608" w:type="dxa"/>
          </w:tcPr>
          <w:p>
            <w:pPr>
              <w:pStyle w:val="TableParagraph"/>
              <w:ind w:left="107"/>
              <w:rPr>
                <w:b/>
                <w:sz w:val="21"/>
              </w:rPr>
            </w:pPr>
            <w:r>
              <w:rPr>
                <w:b/>
                <w:sz w:val="21"/>
              </w:rPr>
              <w:t>无有效行驶证</w:t>
            </w:r>
          </w:p>
        </w:tc>
        <w:tc>
          <w:tcPr>
            <w:tcW w:w="7562" w:type="dxa"/>
          </w:tcPr>
          <w:p>
            <w:pPr>
              <w:pStyle w:val="TableParagraph"/>
              <w:ind w:left="90"/>
              <w:rPr>
                <w:sz w:val="21"/>
              </w:rPr>
            </w:pPr>
            <w:r>
              <w:rPr>
                <w:sz w:val="21"/>
              </w:rPr>
              <w:t>指下列情形之一：</w:t>
            </w:r>
          </w:p>
          <w:p>
            <w:pPr>
              <w:pStyle w:val="TableParagraph"/>
              <w:spacing w:before="82"/>
              <w:ind w:left="90"/>
              <w:rPr>
                <w:sz w:val="21"/>
              </w:rPr>
            </w:pPr>
            <w:r>
              <w:rPr>
                <w:sz w:val="21"/>
              </w:rPr>
              <w:t>（1）机动车被依法注销登记的；</w:t>
            </w:r>
          </w:p>
          <w:p>
            <w:pPr>
              <w:pStyle w:val="TableParagraph"/>
              <w:spacing w:before="85"/>
              <w:ind w:left="90"/>
              <w:rPr>
                <w:sz w:val="21"/>
              </w:rPr>
            </w:pPr>
            <w:r>
              <w:rPr>
                <w:sz w:val="21"/>
              </w:rPr>
              <w:t>（2）未依法按时进行或通过机动车安全技术检验。</w:t>
            </w:r>
          </w:p>
        </w:tc>
      </w:tr>
      <w:tr>
        <w:trPr>
          <w:trHeight w:val="996" w:hRule="atLeast"/>
        </w:trPr>
        <w:tc>
          <w:tcPr>
            <w:tcW w:w="731" w:type="dxa"/>
          </w:tcPr>
          <w:p>
            <w:pPr>
              <w:pStyle w:val="TableParagraph"/>
              <w:spacing w:before="146"/>
              <w:ind w:left="179" w:right="88"/>
              <w:jc w:val="center"/>
              <w:rPr>
                <w:b/>
                <w:sz w:val="21"/>
              </w:rPr>
            </w:pPr>
            <w:r>
              <w:rPr>
                <w:b/>
                <w:sz w:val="21"/>
              </w:rPr>
              <w:t>6.10</w:t>
            </w:r>
          </w:p>
        </w:tc>
        <w:tc>
          <w:tcPr>
            <w:tcW w:w="1608" w:type="dxa"/>
          </w:tcPr>
          <w:p>
            <w:pPr>
              <w:pStyle w:val="TableParagraph"/>
              <w:spacing w:before="146"/>
              <w:ind w:left="107"/>
              <w:rPr>
                <w:b/>
                <w:sz w:val="21"/>
              </w:rPr>
            </w:pPr>
            <w:r>
              <w:rPr>
                <w:b/>
                <w:sz w:val="21"/>
              </w:rPr>
              <w:t>遗传性疾病</w:t>
            </w:r>
          </w:p>
        </w:tc>
        <w:tc>
          <w:tcPr>
            <w:tcW w:w="7562" w:type="dxa"/>
          </w:tcPr>
          <w:p>
            <w:pPr>
              <w:pStyle w:val="TableParagraph"/>
              <w:spacing w:line="314" w:lineRule="auto" w:before="146"/>
              <w:ind w:left="90" w:right="323"/>
              <w:rPr>
                <w:sz w:val="21"/>
              </w:rPr>
            </w:pPr>
            <w:r>
              <w:rPr>
                <w:sz w:val="21"/>
              </w:rPr>
              <w:t>指生殖细胞或受精卵的遗传物质（染色体和基因）发生突变或畸变所引起的疾病，通常具有由亲代传至后代的垂直传递的特征。</w:t>
            </w:r>
          </w:p>
        </w:tc>
      </w:tr>
      <w:tr>
        <w:trPr>
          <w:trHeight w:val="1351" w:hRule="atLeast"/>
        </w:trPr>
        <w:tc>
          <w:tcPr>
            <w:tcW w:w="731" w:type="dxa"/>
          </w:tcPr>
          <w:p>
            <w:pPr>
              <w:pStyle w:val="TableParagraph"/>
              <w:spacing w:before="146"/>
              <w:ind w:left="179" w:right="88"/>
              <w:jc w:val="center"/>
              <w:rPr>
                <w:b/>
                <w:sz w:val="21"/>
              </w:rPr>
            </w:pPr>
            <w:r>
              <w:rPr>
                <w:b/>
                <w:sz w:val="21"/>
              </w:rPr>
              <w:t>6.11</w:t>
            </w:r>
          </w:p>
        </w:tc>
        <w:tc>
          <w:tcPr>
            <w:tcW w:w="1608" w:type="dxa"/>
          </w:tcPr>
          <w:p>
            <w:pPr>
              <w:pStyle w:val="TableParagraph"/>
              <w:spacing w:line="314" w:lineRule="auto" w:before="146"/>
              <w:ind w:left="107" w:right="122"/>
              <w:rPr>
                <w:b/>
                <w:sz w:val="21"/>
              </w:rPr>
            </w:pPr>
            <w:r>
              <w:rPr>
                <w:b/>
                <w:spacing w:val="-16"/>
                <w:sz w:val="21"/>
              </w:rPr>
              <w:t>先天性畸形、变形或染色体异常</w:t>
            </w:r>
          </w:p>
        </w:tc>
        <w:tc>
          <w:tcPr>
            <w:tcW w:w="7562" w:type="dxa"/>
          </w:tcPr>
          <w:p>
            <w:pPr>
              <w:pStyle w:val="TableParagraph"/>
              <w:spacing w:line="314" w:lineRule="auto" w:before="146"/>
              <w:ind w:left="90" w:right="219"/>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779" w:hRule="atLeast"/>
        </w:trPr>
        <w:tc>
          <w:tcPr>
            <w:tcW w:w="731" w:type="dxa"/>
          </w:tcPr>
          <w:p>
            <w:pPr>
              <w:pStyle w:val="TableParagraph"/>
              <w:ind w:left="179" w:right="88"/>
              <w:jc w:val="center"/>
              <w:rPr>
                <w:b/>
                <w:sz w:val="21"/>
              </w:rPr>
            </w:pPr>
            <w:r>
              <w:rPr>
                <w:b/>
                <w:sz w:val="21"/>
              </w:rPr>
              <w:t>6.12</w:t>
            </w:r>
          </w:p>
        </w:tc>
        <w:tc>
          <w:tcPr>
            <w:tcW w:w="1608" w:type="dxa"/>
          </w:tcPr>
          <w:p>
            <w:pPr>
              <w:pStyle w:val="TableParagraph"/>
              <w:spacing w:line="360" w:lineRule="atLeast" w:before="58"/>
              <w:ind w:left="107" w:right="230"/>
              <w:rPr>
                <w:b/>
                <w:sz w:val="21"/>
              </w:rPr>
            </w:pPr>
            <w:r>
              <w:rPr>
                <w:b/>
                <w:sz w:val="21"/>
              </w:rPr>
              <w:t>感染艾滋病病毒或患艾滋病</w:t>
            </w:r>
          </w:p>
        </w:tc>
        <w:tc>
          <w:tcPr>
            <w:tcW w:w="7562" w:type="dxa"/>
          </w:tcPr>
          <w:p>
            <w:pPr>
              <w:pStyle w:val="TableParagraph"/>
              <w:spacing w:line="360" w:lineRule="atLeast" w:before="58"/>
              <w:ind w:left="90" w:right="313"/>
              <w:rPr>
                <w:sz w:val="21"/>
              </w:rPr>
            </w:pPr>
            <w:r>
              <w:rPr>
                <w:sz w:val="21"/>
              </w:rPr>
              <w:t>艾滋病病毒指人类免疫缺陷病毒，英文缩写为 HIV。艾滋病指人类免疫缺陷病毒引起的获得性免疫缺陷综合征，英文缩写为 AIDS。</w:t>
            </w:r>
          </w:p>
        </w:tc>
      </w:tr>
    </w:tbl>
    <w:p>
      <w:pPr>
        <w:spacing w:after="0" w:line="360" w:lineRule="atLeast"/>
        <w:rPr>
          <w:sz w:val="21"/>
        </w:rPr>
        <w:sectPr>
          <w:pgSz w:w="11910" w:h="16840"/>
          <w:pgMar w:top="1500" w:bottom="280" w:left="740" w:right="10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489"/>
        <w:gridCol w:w="7678"/>
      </w:tblGrid>
      <w:tr>
        <w:trPr>
          <w:trHeight w:val="1138" w:hRule="atLeast"/>
        </w:trPr>
        <w:tc>
          <w:tcPr>
            <w:tcW w:w="731" w:type="dxa"/>
          </w:tcPr>
          <w:p>
            <w:pPr>
              <w:pStyle w:val="TableParagraph"/>
              <w:spacing w:before="0"/>
              <w:ind w:left="0"/>
              <w:rPr>
                <w:rFonts w:ascii="Times New Roman"/>
                <w:sz w:val="20"/>
              </w:rPr>
            </w:pPr>
          </w:p>
        </w:tc>
        <w:tc>
          <w:tcPr>
            <w:tcW w:w="1489" w:type="dxa"/>
          </w:tcPr>
          <w:p>
            <w:pPr>
              <w:pStyle w:val="TableParagraph"/>
              <w:spacing w:before="0"/>
              <w:ind w:left="0"/>
              <w:rPr>
                <w:rFonts w:ascii="Times New Roman"/>
                <w:sz w:val="20"/>
              </w:rPr>
            </w:pPr>
          </w:p>
        </w:tc>
        <w:tc>
          <w:tcPr>
            <w:tcW w:w="7678" w:type="dxa"/>
          </w:tcPr>
          <w:p>
            <w:pPr>
              <w:pStyle w:val="TableParagraph"/>
              <w:spacing w:line="208" w:lineRule="exact" w:before="0"/>
              <w:ind w:left="210"/>
              <w:rPr>
                <w:sz w:val="21"/>
              </w:rPr>
            </w:pPr>
            <w:r>
              <w:rPr>
                <w:sz w:val="21"/>
              </w:rPr>
              <w:t>在人体血液或其它样本中检测到艾滋病病毒或其抗体呈阳性，没有出现临床症</w:t>
            </w:r>
          </w:p>
          <w:p>
            <w:pPr>
              <w:pStyle w:val="TableParagraph"/>
              <w:spacing w:line="314" w:lineRule="auto" w:before="82"/>
              <w:ind w:left="210" w:right="320"/>
              <w:rPr>
                <w:sz w:val="21"/>
              </w:rPr>
            </w:pPr>
            <w:r>
              <w:rPr>
                <w:sz w:val="21"/>
              </w:rPr>
              <w:t>状或体征的，为感染艾滋病病毒；如果同时出现了明显临床症状或体征的，为患艾滋病。</w:t>
            </w:r>
          </w:p>
        </w:tc>
      </w:tr>
      <w:tr>
        <w:trPr>
          <w:trHeight w:val="1351" w:hRule="atLeast"/>
        </w:trPr>
        <w:tc>
          <w:tcPr>
            <w:tcW w:w="731" w:type="dxa"/>
          </w:tcPr>
          <w:p>
            <w:pPr>
              <w:pStyle w:val="TableParagraph"/>
              <w:ind w:left="179" w:right="88"/>
              <w:jc w:val="center"/>
              <w:rPr>
                <w:b/>
                <w:sz w:val="21"/>
              </w:rPr>
            </w:pPr>
            <w:r>
              <w:rPr>
                <w:b/>
                <w:sz w:val="21"/>
              </w:rPr>
              <w:t>6.13</w:t>
            </w:r>
          </w:p>
        </w:tc>
        <w:tc>
          <w:tcPr>
            <w:tcW w:w="1489" w:type="dxa"/>
          </w:tcPr>
          <w:p>
            <w:pPr>
              <w:pStyle w:val="TableParagraph"/>
              <w:spacing w:line="312" w:lineRule="auto"/>
              <w:ind w:left="107" w:right="113"/>
              <w:rPr>
                <w:b/>
                <w:sz w:val="21"/>
              </w:rPr>
            </w:pPr>
            <w:r>
              <w:rPr>
                <w:b/>
                <w:sz w:val="21"/>
              </w:rPr>
              <w:t>本附加险合同约定利率</w:t>
            </w:r>
          </w:p>
        </w:tc>
        <w:tc>
          <w:tcPr>
            <w:tcW w:w="7678" w:type="dxa"/>
          </w:tcPr>
          <w:p>
            <w:pPr>
              <w:pStyle w:val="TableParagraph"/>
              <w:spacing w:line="312" w:lineRule="auto"/>
              <w:ind w:left="210" w:right="320"/>
              <w:rPr>
                <w:sz w:val="21"/>
              </w:rPr>
            </w:pPr>
            <w:r>
              <w:rPr>
                <w:sz w:val="21"/>
              </w:rPr>
              <w:t>由本公司参照中国人民银行六个月同期贷款利率确定并宣布，宣布时间分别为每年的一月一日和七月一日。该利率以中国人民银行六个月同期贷款利率＋</w:t>
            </w:r>
          </w:p>
          <w:p>
            <w:pPr>
              <w:pStyle w:val="TableParagraph"/>
              <w:spacing w:before="21"/>
              <w:ind w:left="210"/>
              <w:rPr>
                <w:sz w:val="21"/>
              </w:rPr>
            </w:pPr>
            <w:r>
              <w:rPr>
                <w:sz w:val="21"/>
              </w:rPr>
              <w:t>0.5%为上限。</w:t>
            </w:r>
          </w:p>
        </w:tc>
      </w:tr>
      <w:tr>
        <w:trPr>
          <w:trHeight w:val="2797" w:hRule="atLeast"/>
        </w:trPr>
        <w:tc>
          <w:tcPr>
            <w:tcW w:w="731" w:type="dxa"/>
          </w:tcPr>
          <w:p>
            <w:pPr>
              <w:pStyle w:val="TableParagraph"/>
              <w:spacing w:before="146"/>
              <w:ind w:left="179" w:right="88"/>
              <w:jc w:val="center"/>
              <w:rPr>
                <w:b/>
                <w:sz w:val="21"/>
              </w:rPr>
            </w:pPr>
            <w:r>
              <w:rPr>
                <w:b/>
                <w:sz w:val="21"/>
              </w:rPr>
              <w:t>6.14</w:t>
            </w:r>
          </w:p>
        </w:tc>
        <w:tc>
          <w:tcPr>
            <w:tcW w:w="1489" w:type="dxa"/>
          </w:tcPr>
          <w:p>
            <w:pPr>
              <w:pStyle w:val="TableParagraph"/>
              <w:spacing w:before="146"/>
              <w:ind w:left="107"/>
              <w:rPr>
                <w:b/>
                <w:sz w:val="21"/>
              </w:rPr>
            </w:pPr>
            <w:r>
              <w:rPr>
                <w:b/>
                <w:sz w:val="21"/>
              </w:rPr>
              <w:t>专科医生</w:t>
            </w:r>
          </w:p>
        </w:tc>
        <w:tc>
          <w:tcPr>
            <w:tcW w:w="7678" w:type="dxa"/>
          </w:tcPr>
          <w:p>
            <w:pPr>
              <w:pStyle w:val="TableParagraph"/>
              <w:spacing w:before="146"/>
              <w:ind w:left="114"/>
              <w:rPr>
                <w:sz w:val="21"/>
              </w:rPr>
            </w:pPr>
            <w:r>
              <w:rPr>
                <w:sz w:val="21"/>
              </w:rPr>
              <w:t>专科医生应当同时满足以下四项资格条件：</w:t>
            </w:r>
          </w:p>
          <w:p>
            <w:pPr>
              <w:pStyle w:val="TableParagraph"/>
              <w:spacing w:before="85"/>
              <w:ind w:left="114"/>
              <w:rPr>
                <w:sz w:val="21"/>
              </w:rPr>
            </w:pPr>
            <w:r>
              <w:rPr>
                <w:sz w:val="21"/>
              </w:rPr>
              <w:t>（1）具有有效的中华人民共和国《医师资格证书》；</w:t>
            </w:r>
          </w:p>
          <w:p>
            <w:pPr>
              <w:pStyle w:val="TableParagraph"/>
              <w:spacing w:line="314" w:lineRule="auto" w:before="83"/>
              <w:ind w:left="652" w:right="303" w:hanging="539"/>
              <w:rPr>
                <w:sz w:val="21"/>
              </w:rPr>
            </w:pPr>
            <w:r>
              <w:rPr>
                <w:sz w:val="21"/>
              </w:rPr>
              <w:t>（2）具有有效的中华人民共和国《医师执业证书》，并按期到相关部门登记注册；</w:t>
            </w:r>
          </w:p>
          <w:p>
            <w:pPr>
              <w:pStyle w:val="TableParagraph"/>
              <w:spacing w:line="314" w:lineRule="auto" w:before="17"/>
              <w:ind w:left="726" w:right="302" w:hanging="613"/>
              <w:rPr>
                <w:sz w:val="21"/>
              </w:rPr>
            </w:pPr>
            <w:r>
              <w:rPr>
                <w:sz w:val="21"/>
              </w:rPr>
              <w:t>（3）具有有效的中华人民共和国主治医师或主治医师以上职称的《医师职称证书》；</w:t>
            </w:r>
          </w:p>
          <w:p>
            <w:pPr>
              <w:pStyle w:val="TableParagraph"/>
              <w:spacing w:before="17"/>
              <w:ind w:left="114"/>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988" w:hRule="atLeast"/>
        </w:trPr>
        <w:tc>
          <w:tcPr>
            <w:tcW w:w="731" w:type="dxa"/>
          </w:tcPr>
          <w:p>
            <w:pPr>
              <w:pStyle w:val="TableParagraph"/>
              <w:spacing w:before="138"/>
              <w:ind w:left="179" w:right="88"/>
              <w:jc w:val="center"/>
              <w:rPr>
                <w:b/>
                <w:sz w:val="21"/>
              </w:rPr>
            </w:pPr>
            <w:r>
              <w:rPr>
                <w:b/>
                <w:sz w:val="21"/>
              </w:rPr>
              <w:t>6.15</w:t>
            </w:r>
          </w:p>
        </w:tc>
        <w:tc>
          <w:tcPr>
            <w:tcW w:w="1489" w:type="dxa"/>
          </w:tcPr>
          <w:p>
            <w:pPr>
              <w:pStyle w:val="TableParagraph"/>
              <w:spacing w:line="314" w:lineRule="auto" w:before="138"/>
              <w:ind w:left="107" w:right="111"/>
              <w:rPr>
                <w:b/>
                <w:sz w:val="21"/>
              </w:rPr>
            </w:pPr>
            <w:r>
              <w:rPr>
                <w:b/>
                <w:sz w:val="21"/>
              </w:rPr>
              <w:t>肢体机能完全丧失</w:t>
            </w:r>
          </w:p>
        </w:tc>
        <w:tc>
          <w:tcPr>
            <w:tcW w:w="7678" w:type="dxa"/>
          </w:tcPr>
          <w:p>
            <w:pPr>
              <w:pStyle w:val="TableParagraph"/>
              <w:spacing w:line="314" w:lineRule="auto" w:before="138"/>
              <w:ind w:left="210" w:right="320"/>
              <w:rPr>
                <w:sz w:val="21"/>
              </w:rPr>
            </w:pPr>
            <w:r>
              <w:rPr>
                <w:sz w:val="21"/>
              </w:rPr>
              <w:t>指肢体的三大关节中的两大关节僵硬，或不能随意识活动。肢体是指包括肩关节的整个上肢或包括髋关节的整个下肢。</w:t>
            </w:r>
          </w:p>
        </w:tc>
      </w:tr>
      <w:tr>
        <w:trPr>
          <w:trHeight w:val="1714" w:hRule="atLeast"/>
        </w:trPr>
        <w:tc>
          <w:tcPr>
            <w:tcW w:w="731" w:type="dxa"/>
          </w:tcPr>
          <w:p>
            <w:pPr>
              <w:pStyle w:val="TableParagraph"/>
              <w:spacing w:before="146"/>
              <w:ind w:left="179" w:right="88"/>
              <w:jc w:val="center"/>
              <w:rPr>
                <w:b/>
                <w:sz w:val="21"/>
              </w:rPr>
            </w:pPr>
            <w:r>
              <w:rPr>
                <w:b/>
                <w:sz w:val="21"/>
              </w:rPr>
              <w:t>6.16</w:t>
            </w:r>
          </w:p>
        </w:tc>
        <w:tc>
          <w:tcPr>
            <w:tcW w:w="1489" w:type="dxa"/>
          </w:tcPr>
          <w:p>
            <w:pPr>
              <w:pStyle w:val="TableParagraph"/>
              <w:spacing w:line="314" w:lineRule="auto" w:before="146"/>
              <w:ind w:left="107" w:right="111"/>
              <w:jc w:val="both"/>
              <w:rPr>
                <w:b/>
                <w:sz w:val="21"/>
              </w:rPr>
            </w:pPr>
            <w:r>
              <w:rPr>
                <w:b/>
                <w:sz w:val="21"/>
              </w:rPr>
              <w:t>语言能力或咀嚼吞咽能力完全丧失</w:t>
            </w:r>
          </w:p>
        </w:tc>
        <w:tc>
          <w:tcPr>
            <w:tcW w:w="7678" w:type="dxa"/>
          </w:tcPr>
          <w:p>
            <w:pPr>
              <w:pStyle w:val="TableParagraph"/>
              <w:spacing w:line="314" w:lineRule="auto" w:before="146"/>
              <w:ind w:left="210" w:right="197"/>
              <w:rPr>
                <w:sz w:val="21"/>
              </w:rPr>
            </w:pPr>
            <w:r>
              <w:rPr>
                <w:spacing w:val="-3"/>
                <w:sz w:val="21"/>
              </w:rPr>
              <w:t>语言能力完全丧失，指无法发出四种语音</w:t>
            </w:r>
            <w:r>
              <w:rPr>
                <w:sz w:val="21"/>
              </w:rPr>
              <w:t>（</w:t>
            </w:r>
            <w:r>
              <w:rPr>
                <w:spacing w:val="-3"/>
                <w:sz w:val="21"/>
              </w:rPr>
              <w:t>包括口唇音、齿舌音、口盖音和喉头音</w:t>
            </w:r>
            <w:r>
              <w:rPr>
                <w:spacing w:val="-32"/>
                <w:sz w:val="21"/>
              </w:rPr>
              <w:t>）</w:t>
            </w:r>
            <w:r>
              <w:rPr>
                <w:spacing w:val="-9"/>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r>
        <w:trPr>
          <w:trHeight w:val="2786" w:hRule="atLeast"/>
        </w:trPr>
        <w:tc>
          <w:tcPr>
            <w:tcW w:w="731" w:type="dxa"/>
          </w:tcPr>
          <w:p>
            <w:pPr>
              <w:pStyle w:val="TableParagraph"/>
              <w:spacing w:before="146"/>
              <w:ind w:left="179" w:right="88"/>
              <w:jc w:val="center"/>
              <w:rPr>
                <w:b/>
                <w:sz w:val="21"/>
              </w:rPr>
            </w:pPr>
            <w:r>
              <w:rPr>
                <w:b/>
                <w:sz w:val="21"/>
              </w:rPr>
              <w:t>6.17</w:t>
            </w:r>
          </w:p>
        </w:tc>
        <w:tc>
          <w:tcPr>
            <w:tcW w:w="1489" w:type="dxa"/>
          </w:tcPr>
          <w:p>
            <w:pPr>
              <w:pStyle w:val="TableParagraph"/>
              <w:spacing w:line="314" w:lineRule="auto" w:before="146"/>
              <w:ind w:left="107" w:right="111"/>
              <w:rPr>
                <w:b/>
                <w:sz w:val="21"/>
              </w:rPr>
            </w:pPr>
            <w:r>
              <w:rPr>
                <w:b/>
                <w:sz w:val="21"/>
              </w:rPr>
              <w:t>六项基本日常生活活动</w:t>
            </w:r>
          </w:p>
        </w:tc>
        <w:tc>
          <w:tcPr>
            <w:tcW w:w="7678" w:type="dxa"/>
          </w:tcPr>
          <w:p>
            <w:pPr>
              <w:pStyle w:val="TableParagraph"/>
              <w:spacing w:before="146"/>
              <w:ind w:left="210"/>
              <w:rPr>
                <w:sz w:val="21"/>
              </w:rPr>
            </w:pPr>
            <w:r>
              <w:rPr>
                <w:sz w:val="21"/>
              </w:rPr>
              <w:t>六项基本日常生活活动是指：</w:t>
            </w:r>
          </w:p>
          <w:p>
            <w:pPr>
              <w:pStyle w:val="TableParagraph"/>
              <w:spacing w:before="85"/>
              <w:ind w:left="210"/>
              <w:rPr>
                <w:sz w:val="21"/>
              </w:rPr>
            </w:pPr>
            <w:r>
              <w:rPr>
                <w:sz w:val="21"/>
              </w:rPr>
              <w:t>（1）穿衣：自己能够穿衣及脱衣；</w:t>
            </w:r>
          </w:p>
          <w:p>
            <w:pPr>
              <w:pStyle w:val="TableParagraph"/>
              <w:spacing w:before="82"/>
              <w:ind w:left="210"/>
              <w:rPr>
                <w:sz w:val="21"/>
              </w:rPr>
            </w:pPr>
            <w:r>
              <w:rPr>
                <w:sz w:val="21"/>
              </w:rPr>
              <w:t>（2）移动：自己从一个房间到另一个房间；</w:t>
            </w:r>
          </w:p>
          <w:p>
            <w:pPr>
              <w:pStyle w:val="TableParagraph"/>
              <w:spacing w:before="84"/>
              <w:ind w:left="210"/>
              <w:rPr>
                <w:sz w:val="21"/>
              </w:rPr>
            </w:pPr>
            <w:r>
              <w:rPr>
                <w:sz w:val="21"/>
              </w:rPr>
              <w:t>（3）行动：自己上下床或上下轮椅；</w:t>
            </w:r>
          </w:p>
          <w:p>
            <w:pPr>
              <w:pStyle w:val="TableParagraph"/>
              <w:spacing w:before="82"/>
              <w:ind w:left="210"/>
              <w:rPr>
                <w:sz w:val="21"/>
              </w:rPr>
            </w:pPr>
            <w:r>
              <w:rPr>
                <w:sz w:val="21"/>
              </w:rPr>
              <w:t>（4）如厕：自己控制进行大小便；</w:t>
            </w:r>
          </w:p>
          <w:p>
            <w:pPr>
              <w:pStyle w:val="TableParagraph"/>
              <w:spacing w:before="85"/>
              <w:ind w:left="210"/>
              <w:rPr>
                <w:sz w:val="21"/>
              </w:rPr>
            </w:pPr>
            <w:r>
              <w:rPr>
                <w:sz w:val="21"/>
              </w:rPr>
              <w:t>（5）进食：自己从已准备好的碗或碟中取食物放入口中；</w:t>
            </w:r>
          </w:p>
          <w:p>
            <w:pPr>
              <w:pStyle w:val="TableParagraph"/>
              <w:spacing w:before="82"/>
              <w:ind w:left="210"/>
              <w:rPr>
                <w:sz w:val="21"/>
              </w:rPr>
            </w:pPr>
            <w:r>
              <w:rPr>
                <w:sz w:val="21"/>
              </w:rPr>
              <w:t>（6）洗澡：自己进行淋浴或盆浴。</w:t>
            </w:r>
          </w:p>
        </w:tc>
      </w:tr>
      <w:tr>
        <w:trPr>
          <w:trHeight w:val="786" w:hRule="atLeast"/>
        </w:trPr>
        <w:tc>
          <w:tcPr>
            <w:tcW w:w="731" w:type="dxa"/>
          </w:tcPr>
          <w:p>
            <w:pPr>
              <w:pStyle w:val="TableParagraph"/>
              <w:spacing w:before="149"/>
              <w:ind w:left="179" w:right="88"/>
              <w:jc w:val="center"/>
              <w:rPr>
                <w:b/>
                <w:sz w:val="21"/>
              </w:rPr>
            </w:pPr>
            <w:r>
              <w:rPr>
                <w:b/>
                <w:sz w:val="21"/>
              </w:rPr>
              <w:t>6.18</w:t>
            </w:r>
          </w:p>
        </w:tc>
        <w:tc>
          <w:tcPr>
            <w:tcW w:w="1489" w:type="dxa"/>
          </w:tcPr>
          <w:p>
            <w:pPr>
              <w:pStyle w:val="TableParagraph"/>
              <w:spacing w:before="149"/>
              <w:ind w:left="107"/>
              <w:rPr>
                <w:b/>
                <w:sz w:val="21"/>
              </w:rPr>
            </w:pPr>
            <w:r>
              <w:rPr>
                <w:b/>
                <w:sz w:val="21"/>
              </w:rPr>
              <w:t>永久不可逆</w:t>
            </w:r>
          </w:p>
        </w:tc>
        <w:tc>
          <w:tcPr>
            <w:tcW w:w="7678" w:type="dxa"/>
          </w:tcPr>
          <w:p>
            <w:pPr>
              <w:pStyle w:val="TableParagraph"/>
              <w:spacing w:line="340" w:lineRule="atLeast" w:before="100"/>
              <w:ind w:left="210" w:right="248"/>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top="1500" w:bottom="280" w:left="74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Trebuchet MS">
    <w:altName w:val="Trebuchet MS"/>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11" w:hanging="421"/>
        <w:jc w:val="left"/>
      </w:pPr>
      <w:rPr>
        <w:rFonts w:hint="default" w:ascii="宋体" w:hAnsi="宋体" w:eastAsia="宋体" w:cs="宋体"/>
        <w:w w:val="100"/>
        <w:sz w:val="21"/>
        <w:szCs w:val="21"/>
      </w:rPr>
    </w:lvl>
    <w:lvl w:ilvl="1">
      <w:start w:val="0"/>
      <w:numFmt w:val="bullet"/>
      <w:lvlText w:val="•"/>
      <w:lvlJc w:val="left"/>
      <w:pPr>
        <w:ind w:left="1224" w:hanging="421"/>
      </w:pPr>
      <w:rPr>
        <w:rFonts w:hint="default"/>
      </w:rPr>
    </w:lvl>
    <w:lvl w:ilvl="2">
      <w:start w:val="0"/>
      <w:numFmt w:val="bullet"/>
      <w:lvlText w:val="•"/>
      <w:lvlJc w:val="left"/>
      <w:pPr>
        <w:ind w:left="1928" w:hanging="421"/>
      </w:pPr>
      <w:rPr>
        <w:rFonts w:hint="default"/>
      </w:rPr>
    </w:lvl>
    <w:lvl w:ilvl="3">
      <w:start w:val="0"/>
      <w:numFmt w:val="bullet"/>
      <w:lvlText w:val="•"/>
      <w:lvlJc w:val="left"/>
      <w:pPr>
        <w:ind w:left="2632" w:hanging="421"/>
      </w:pPr>
      <w:rPr>
        <w:rFonts w:hint="default"/>
      </w:rPr>
    </w:lvl>
    <w:lvl w:ilvl="4">
      <w:start w:val="0"/>
      <w:numFmt w:val="bullet"/>
      <w:lvlText w:val="•"/>
      <w:lvlJc w:val="left"/>
      <w:pPr>
        <w:ind w:left="3336" w:hanging="421"/>
      </w:pPr>
      <w:rPr>
        <w:rFonts w:hint="default"/>
      </w:rPr>
    </w:lvl>
    <w:lvl w:ilvl="5">
      <w:start w:val="0"/>
      <w:numFmt w:val="bullet"/>
      <w:lvlText w:val="•"/>
      <w:lvlJc w:val="left"/>
      <w:pPr>
        <w:ind w:left="4040" w:hanging="421"/>
      </w:pPr>
      <w:rPr>
        <w:rFonts w:hint="default"/>
      </w:rPr>
    </w:lvl>
    <w:lvl w:ilvl="6">
      <w:start w:val="0"/>
      <w:numFmt w:val="bullet"/>
      <w:lvlText w:val="•"/>
      <w:lvlJc w:val="left"/>
      <w:pPr>
        <w:ind w:left="4744" w:hanging="421"/>
      </w:pPr>
      <w:rPr>
        <w:rFonts w:hint="default"/>
      </w:rPr>
    </w:lvl>
    <w:lvl w:ilvl="7">
      <w:start w:val="0"/>
      <w:numFmt w:val="bullet"/>
      <w:lvlText w:val="•"/>
      <w:lvlJc w:val="left"/>
      <w:pPr>
        <w:ind w:left="5448" w:hanging="421"/>
      </w:pPr>
      <w:rPr>
        <w:rFonts w:hint="default"/>
      </w:rPr>
    </w:lvl>
    <w:lvl w:ilvl="8">
      <w:start w:val="0"/>
      <w:numFmt w:val="bullet"/>
      <w:lvlText w:val="•"/>
      <w:lvlJc w:val="left"/>
      <w:pPr>
        <w:ind w:left="6152" w:hanging="421"/>
      </w:pPr>
      <w:rPr>
        <w:rFonts w:hint="default"/>
      </w:rPr>
    </w:lvl>
  </w:abstractNum>
  <w:abstractNum w:abstractNumId="6">
    <w:multiLevelType w:val="hybridMultilevel"/>
    <w:lvl w:ilvl="0">
      <w:start w:val="1"/>
      <w:numFmt w:val="decimal"/>
      <w:lvlText w:val="（%1）"/>
      <w:lvlJc w:val="left"/>
      <w:pPr>
        <w:ind w:left="882" w:hanging="721"/>
        <w:jc w:val="left"/>
      </w:pPr>
      <w:rPr>
        <w:rFonts w:hint="default" w:ascii="宋体" w:hAnsi="宋体" w:eastAsia="宋体" w:cs="宋体"/>
        <w:w w:val="100"/>
        <w:sz w:val="21"/>
        <w:szCs w:val="21"/>
      </w:rPr>
    </w:lvl>
    <w:lvl w:ilvl="1">
      <w:start w:val="0"/>
      <w:numFmt w:val="bullet"/>
      <w:lvlText w:val="•"/>
      <w:lvlJc w:val="left"/>
      <w:pPr>
        <w:ind w:left="1535" w:hanging="721"/>
      </w:pPr>
      <w:rPr>
        <w:rFonts w:hint="default"/>
      </w:rPr>
    </w:lvl>
    <w:lvl w:ilvl="2">
      <w:start w:val="0"/>
      <w:numFmt w:val="bullet"/>
      <w:lvlText w:val="•"/>
      <w:lvlJc w:val="left"/>
      <w:pPr>
        <w:ind w:left="2190" w:hanging="721"/>
      </w:pPr>
      <w:rPr>
        <w:rFonts w:hint="default"/>
      </w:rPr>
    </w:lvl>
    <w:lvl w:ilvl="3">
      <w:start w:val="0"/>
      <w:numFmt w:val="bullet"/>
      <w:lvlText w:val="•"/>
      <w:lvlJc w:val="left"/>
      <w:pPr>
        <w:ind w:left="2845" w:hanging="721"/>
      </w:pPr>
      <w:rPr>
        <w:rFonts w:hint="default"/>
      </w:rPr>
    </w:lvl>
    <w:lvl w:ilvl="4">
      <w:start w:val="0"/>
      <w:numFmt w:val="bullet"/>
      <w:lvlText w:val="•"/>
      <w:lvlJc w:val="left"/>
      <w:pPr>
        <w:ind w:left="3500" w:hanging="721"/>
      </w:pPr>
      <w:rPr>
        <w:rFonts w:hint="default"/>
      </w:rPr>
    </w:lvl>
    <w:lvl w:ilvl="5">
      <w:start w:val="0"/>
      <w:numFmt w:val="bullet"/>
      <w:lvlText w:val="•"/>
      <w:lvlJc w:val="left"/>
      <w:pPr>
        <w:ind w:left="4155" w:hanging="721"/>
      </w:pPr>
      <w:rPr>
        <w:rFonts w:hint="default"/>
      </w:rPr>
    </w:lvl>
    <w:lvl w:ilvl="6">
      <w:start w:val="0"/>
      <w:numFmt w:val="bullet"/>
      <w:lvlText w:val="•"/>
      <w:lvlJc w:val="left"/>
      <w:pPr>
        <w:ind w:left="4810" w:hanging="721"/>
      </w:pPr>
      <w:rPr>
        <w:rFonts w:hint="default"/>
      </w:rPr>
    </w:lvl>
    <w:lvl w:ilvl="7">
      <w:start w:val="0"/>
      <w:numFmt w:val="bullet"/>
      <w:lvlText w:val="•"/>
      <w:lvlJc w:val="left"/>
      <w:pPr>
        <w:ind w:left="5465" w:hanging="721"/>
      </w:pPr>
      <w:rPr>
        <w:rFonts w:hint="default"/>
      </w:rPr>
    </w:lvl>
    <w:lvl w:ilvl="8">
      <w:start w:val="0"/>
      <w:numFmt w:val="bullet"/>
      <w:lvlText w:val="•"/>
      <w:lvlJc w:val="left"/>
      <w:pPr>
        <w:ind w:left="6120" w:hanging="721"/>
      </w:pPr>
      <w:rPr>
        <w:rFonts w:hint="default"/>
      </w:rPr>
    </w:lvl>
  </w:abstractNum>
  <w:abstractNum w:abstractNumId="5">
    <w:multiLevelType w:val="hybridMultilevel"/>
    <w:lvl w:ilvl="0">
      <w:start w:val="1"/>
      <w:numFmt w:val="decimal"/>
      <w:lvlText w:val="（%1）"/>
      <w:lvlJc w:val="left"/>
      <w:pPr>
        <w:ind w:left="816" w:hanging="721"/>
        <w:jc w:val="left"/>
      </w:pPr>
      <w:rPr>
        <w:rFonts w:hint="default" w:ascii="黑体" w:hAnsi="黑体" w:eastAsia="黑体" w:cs="黑体"/>
        <w:w w:val="100"/>
        <w:sz w:val="21"/>
        <w:szCs w:val="21"/>
      </w:rPr>
    </w:lvl>
    <w:lvl w:ilvl="1">
      <w:start w:val="0"/>
      <w:numFmt w:val="bullet"/>
      <w:lvlText w:val="•"/>
      <w:lvlJc w:val="left"/>
      <w:pPr>
        <w:ind w:left="1494" w:hanging="721"/>
      </w:pPr>
      <w:rPr>
        <w:rFonts w:hint="default"/>
      </w:rPr>
    </w:lvl>
    <w:lvl w:ilvl="2">
      <w:start w:val="0"/>
      <w:numFmt w:val="bullet"/>
      <w:lvlText w:val="•"/>
      <w:lvlJc w:val="left"/>
      <w:pPr>
        <w:ind w:left="2169" w:hanging="721"/>
      </w:pPr>
      <w:rPr>
        <w:rFonts w:hint="default"/>
      </w:rPr>
    </w:lvl>
    <w:lvl w:ilvl="3">
      <w:start w:val="0"/>
      <w:numFmt w:val="bullet"/>
      <w:lvlText w:val="•"/>
      <w:lvlJc w:val="left"/>
      <w:pPr>
        <w:ind w:left="2844" w:hanging="721"/>
      </w:pPr>
      <w:rPr>
        <w:rFonts w:hint="default"/>
      </w:rPr>
    </w:lvl>
    <w:lvl w:ilvl="4">
      <w:start w:val="0"/>
      <w:numFmt w:val="bullet"/>
      <w:lvlText w:val="•"/>
      <w:lvlJc w:val="left"/>
      <w:pPr>
        <w:ind w:left="3518" w:hanging="721"/>
      </w:pPr>
      <w:rPr>
        <w:rFonts w:hint="default"/>
      </w:rPr>
    </w:lvl>
    <w:lvl w:ilvl="5">
      <w:start w:val="0"/>
      <w:numFmt w:val="bullet"/>
      <w:lvlText w:val="•"/>
      <w:lvlJc w:val="left"/>
      <w:pPr>
        <w:ind w:left="4193" w:hanging="721"/>
      </w:pPr>
      <w:rPr>
        <w:rFonts w:hint="default"/>
      </w:rPr>
    </w:lvl>
    <w:lvl w:ilvl="6">
      <w:start w:val="0"/>
      <w:numFmt w:val="bullet"/>
      <w:lvlText w:val="•"/>
      <w:lvlJc w:val="left"/>
      <w:pPr>
        <w:ind w:left="4868" w:hanging="721"/>
      </w:pPr>
      <w:rPr>
        <w:rFonts w:hint="default"/>
      </w:rPr>
    </w:lvl>
    <w:lvl w:ilvl="7">
      <w:start w:val="0"/>
      <w:numFmt w:val="bullet"/>
      <w:lvlText w:val="•"/>
      <w:lvlJc w:val="left"/>
      <w:pPr>
        <w:ind w:left="5542" w:hanging="721"/>
      </w:pPr>
      <w:rPr>
        <w:rFonts w:hint="default"/>
      </w:rPr>
    </w:lvl>
    <w:lvl w:ilvl="8">
      <w:start w:val="0"/>
      <w:numFmt w:val="bullet"/>
      <w:lvlText w:val="•"/>
      <w:lvlJc w:val="left"/>
      <w:pPr>
        <w:ind w:left="6217" w:hanging="721"/>
      </w:pPr>
      <w:rPr>
        <w:rFonts w:hint="default"/>
      </w:rPr>
    </w:lvl>
  </w:abstractNum>
  <w:abstractNum w:abstractNumId="4">
    <w:multiLevelType w:val="hybridMultilevel"/>
    <w:lvl w:ilvl="0">
      <w:start w:val="6"/>
      <w:numFmt w:val="decimal"/>
      <w:lvlText w:val="%1"/>
      <w:lvlJc w:val="left"/>
      <w:pPr>
        <w:ind w:left="619" w:hanging="423"/>
        <w:jc w:val="left"/>
      </w:pPr>
      <w:rPr>
        <w:rFonts w:hint="default"/>
      </w:rPr>
    </w:lvl>
    <w:lvl w:ilvl="1">
      <w:start w:val="3"/>
      <w:numFmt w:val="decimal"/>
      <w:lvlText w:val="%1.%2"/>
      <w:lvlJc w:val="left"/>
      <w:pPr>
        <w:ind w:left="722"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80" w:hanging="423"/>
      </w:pPr>
      <w:rPr>
        <w:rFonts w:hint="default"/>
      </w:rPr>
    </w:lvl>
    <w:lvl w:ilvl="6">
      <w:start w:val="0"/>
      <w:numFmt w:val="bullet"/>
      <w:lvlText w:val="•"/>
      <w:lvlJc w:val="left"/>
      <w:pPr>
        <w:ind w:left="2171" w:hanging="423"/>
      </w:pPr>
      <w:rPr>
        <w:rFonts w:hint="default"/>
      </w:rPr>
    </w:lvl>
    <w:lvl w:ilvl="7">
      <w:start w:val="0"/>
      <w:numFmt w:val="bullet"/>
      <w:lvlText w:val="•"/>
      <w:lvlJc w:val="left"/>
      <w:pPr>
        <w:ind w:left="2461" w:hanging="423"/>
      </w:pPr>
      <w:rPr>
        <w:rFonts w:hint="default"/>
      </w:rPr>
    </w:lvl>
    <w:lvl w:ilvl="8">
      <w:start w:val="0"/>
      <w:numFmt w:val="bullet"/>
      <w:lvlText w:val="•"/>
      <w:lvlJc w:val="left"/>
      <w:pPr>
        <w:ind w:left="2751" w:hanging="423"/>
      </w:pPr>
      <w:rPr>
        <w:rFonts w:hint="default"/>
      </w:rPr>
    </w:lvl>
  </w:abstractNum>
  <w:abstractNum w:abstractNumId="3">
    <w:multiLevelType w:val="hybridMultilevel"/>
    <w:lvl w:ilvl="0">
      <w:start w:val="4"/>
      <w:numFmt w:val="decimal"/>
      <w:lvlText w:val="%1."/>
      <w:lvlJc w:val="left"/>
      <w:pPr>
        <w:ind w:left="423" w:hanging="317"/>
        <w:jc w:val="left"/>
      </w:pPr>
      <w:rPr>
        <w:rFonts w:hint="default" w:ascii="宋体" w:hAnsi="宋体" w:eastAsia="宋体" w:cs="宋体"/>
        <w:b/>
        <w:bCs/>
        <w:w w:val="99"/>
        <w:sz w:val="21"/>
        <w:szCs w:val="21"/>
      </w:rPr>
    </w:lvl>
    <w:lvl w:ilvl="1">
      <w:start w:val="1"/>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245" w:hanging="423"/>
      </w:pPr>
      <w:rPr>
        <w:rFonts w:hint="default"/>
      </w:rPr>
    </w:lvl>
    <w:lvl w:ilvl="4">
      <w:start w:val="0"/>
      <w:numFmt w:val="bullet"/>
      <w:lvlText w:val="•"/>
      <w:lvlJc w:val="left"/>
      <w:pPr>
        <w:ind w:left="1547"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757" w:hanging="423"/>
      </w:pPr>
      <w:rPr>
        <w:rFonts w:hint="default"/>
      </w:rPr>
    </w:lvl>
  </w:abstractNum>
  <w:abstractNum w:abstractNumId="2">
    <w:multiLevelType w:val="hybridMultilevel"/>
    <w:lvl w:ilvl="0">
      <w:start w:val="3"/>
      <w:numFmt w:val="decimal"/>
      <w:lvlText w:val="%1"/>
      <w:lvlJc w:val="left"/>
      <w:pPr>
        <w:ind w:left="634" w:hanging="423"/>
        <w:jc w:val="left"/>
      </w:pPr>
      <w:rPr>
        <w:rFonts w:hint="default"/>
      </w:rPr>
    </w:lvl>
    <w:lvl w:ilvl="1">
      <w:start w:val="5"/>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1184" w:hanging="423"/>
      </w:pPr>
      <w:rPr>
        <w:rFonts w:hint="default"/>
      </w:rPr>
    </w:lvl>
    <w:lvl w:ilvl="3">
      <w:start w:val="0"/>
      <w:numFmt w:val="bullet"/>
      <w:lvlText w:val="•"/>
      <w:lvlJc w:val="left"/>
      <w:pPr>
        <w:ind w:left="1456" w:hanging="423"/>
      </w:pPr>
      <w:rPr>
        <w:rFonts w:hint="default"/>
      </w:rPr>
    </w:lvl>
    <w:lvl w:ilvl="4">
      <w:start w:val="0"/>
      <w:numFmt w:val="bullet"/>
      <w:lvlText w:val="•"/>
      <w:lvlJc w:val="left"/>
      <w:pPr>
        <w:ind w:left="1729" w:hanging="423"/>
      </w:pPr>
      <w:rPr>
        <w:rFonts w:hint="default"/>
      </w:rPr>
    </w:lvl>
    <w:lvl w:ilvl="5">
      <w:start w:val="0"/>
      <w:numFmt w:val="bullet"/>
      <w:lvlText w:val="•"/>
      <w:lvlJc w:val="left"/>
      <w:pPr>
        <w:ind w:left="2001" w:hanging="423"/>
      </w:pPr>
      <w:rPr>
        <w:rFonts w:hint="default"/>
      </w:rPr>
    </w:lvl>
    <w:lvl w:ilvl="6">
      <w:start w:val="0"/>
      <w:numFmt w:val="bullet"/>
      <w:lvlText w:val="•"/>
      <w:lvlJc w:val="left"/>
      <w:pPr>
        <w:ind w:left="2273" w:hanging="423"/>
      </w:pPr>
      <w:rPr>
        <w:rFonts w:hint="default"/>
      </w:rPr>
    </w:lvl>
    <w:lvl w:ilvl="7">
      <w:start w:val="0"/>
      <w:numFmt w:val="bullet"/>
      <w:lvlText w:val="•"/>
      <w:lvlJc w:val="left"/>
      <w:pPr>
        <w:ind w:left="2546" w:hanging="423"/>
      </w:pPr>
      <w:rPr>
        <w:rFonts w:hint="default"/>
      </w:rPr>
    </w:lvl>
    <w:lvl w:ilvl="8">
      <w:start w:val="0"/>
      <w:numFmt w:val="bullet"/>
      <w:lvlText w:val="•"/>
      <w:lvlJc w:val="left"/>
      <w:pPr>
        <w:ind w:left="281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41" w:hanging="423"/>
      </w:pPr>
      <w:rPr>
        <w:rFonts w:hint="default"/>
      </w:rPr>
    </w:lvl>
    <w:lvl w:ilvl="6">
      <w:start w:val="0"/>
      <w:numFmt w:val="bullet"/>
      <w:lvlText w:val="•"/>
      <w:lvlJc w:val="left"/>
      <w:pPr>
        <w:ind w:left="2121" w:hanging="423"/>
      </w:pPr>
      <w:rPr>
        <w:rFonts w:hint="default"/>
      </w:rPr>
    </w:lvl>
    <w:lvl w:ilvl="7">
      <w:start w:val="0"/>
      <w:numFmt w:val="bullet"/>
      <w:lvlText w:val="•"/>
      <w:lvlJc w:val="left"/>
      <w:pPr>
        <w:ind w:left="2402" w:hanging="423"/>
      </w:pPr>
      <w:rPr>
        <w:rFonts w:hint="default"/>
      </w:rPr>
    </w:lvl>
    <w:lvl w:ilvl="8">
      <w:start w:val="0"/>
      <w:numFmt w:val="bullet"/>
      <w:lvlText w:val="•"/>
      <w:lvlJc w:val="left"/>
      <w:pPr>
        <w:ind w:left="2682"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18" w:hanging="399"/>
      </w:pPr>
      <w:rPr>
        <w:rFonts w:hint="default"/>
      </w:rPr>
    </w:lvl>
    <w:lvl w:ilvl="2">
      <w:start w:val="0"/>
      <w:numFmt w:val="bullet"/>
      <w:lvlText w:val="•"/>
      <w:lvlJc w:val="left"/>
      <w:pPr>
        <w:ind w:left="3177" w:hanging="399"/>
      </w:pPr>
      <w:rPr>
        <w:rFonts w:hint="default"/>
      </w:rPr>
    </w:lvl>
    <w:lvl w:ilvl="3">
      <w:start w:val="0"/>
      <w:numFmt w:val="bullet"/>
      <w:lvlText w:val="•"/>
      <w:lvlJc w:val="left"/>
      <w:pPr>
        <w:ind w:left="4135" w:hanging="399"/>
      </w:pPr>
      <w:rPr>
        <w:rFonts w:hint="default"/>
      </w:rPr>
    </w:lvl>
    <w:lvl w:ilvl="4">
      <w:start w:val="0"/>
      <w:numFmt w:val="bullet"/>
      <w:lvlText w:val="•"/>
      <w:lvlJc w:val="left"/>
      <w:pPr>
        <w:ind w:left="5094" w:hanging="399"/>
      </w:pPr>
      <w:rPr>
        <w:rFonts w:hint="default"/>
      </w:rPr>
    </w:lvl>
    <w:lvl w:ilvl="5">
      <w:start w:val="0"/>
      <w:numFmt w:val="bullet"/>
      <w:lvlText w:val="•"/>
      <w:lvlJc w:val="left"/>
      <w:pPr>
        <w:ind w:left="6053" w:hanging="399"/>
      </w:pPr>
      <w:rPr>
        <w:rFonts w:hint="default"/>
      </w:rPr>
    </w:lvl>
    <w:lvl w:ilvl="6">
      <w:start w:val="0"/>
      <w:numFmt w:val="bullet"/>
      <w:lvlText w:val="•"/>
      <w:lvlJc w:val="left"/>
      <w:pPr>
        <w:ind w:left="7011" w:hanging="399"/>
      </w:pPr>
      <w:rPr>
        <w:rFonts w:hint="default"/>
      </w:rPr>
    </w:lvl>
    <w:lvl w:ilvl="7">
      <w:start w:val="0"/>
      <w:numFmt w:val="bullet"/>
      <w:lvlText w:val="•"/>
      <w:lvlJc w:val="left"/>
      <w:pPr>
        <w:ind w:left="7970" w:hanging="399"/>
      </w:pPr>
      <w:rPr>
        <w:rFonts w:hint="default"/>
      </w:rPr>
    </w:lvl>
    <w:lvl w:ilvl="8">
      <w:start w:val="0"/>
      <w:numFmt w:val="bullet"/>
      <w:lvlText w:val="•"/>
      <w:lvlJc w:val="left"/>
      <w:pPr>
        <w:ind w:left="8929"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32" w:right="2599"/>
      <w:jc w:val="center"/>
      <w:outlineLvl w:val="1"/>
    </w:pPr>
    <w:rPr>
      <w:rFonts w:ascii="宋体" w:hAnsi="宋体" w:eastAsia="宋体" w:cs="宋体"/>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3"/>
      <w:ind w:left="16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附件17</dc:subject>
  <dc:title>安邦人寿个险报备材料</dc:title>
  <dcterms:created xsi:type="dcterms:W3CDTF">2018-10-20T07:47:20Z</dcterms:created>
  <dcterms:modified xsi:type="dcterms:W3CDTF">2018-10-20T07:47:20Z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