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9"/>
        </w:rPr>
      </w:pPr>
    </w:p>
    <w:p>
      <w:pPr>
        <w:spacing w:line="508" w:lineRule="exact" w:before="0"/>
        <w:ind w:left="4198" w:right="4194" w:firstLine="0"/>
        <w:jc w:val="center"/>
        <w:rPr>
          <w:rFonts w:ascii="微软雅黑" w:eastAsia="微软雅黑" w:hint="eastAsia"/>
          <w:b/>
          <w:sz w:val="32"/>
        </w:rPr>
      </w:pPr>
      <w:r>
        <w:rPr/>
        <w:pict>
          <v:group style="position:absolute;margin-left:385.079987pt;margin-top:-62.659637pt;width:156.5pt;height:87.85pt;mso-position-horizontal-relative:page;mso-position-vertical-relative:paragraph;z-index:1096" coordorigin="7702,-1253" coordsize="3130,1757">
            <v:shape style="position:absolute;left:7711;top:-1254;width:3120;height:312" type="#_x0000_t75" stroked="false">
              <v:imagedata r:id="rId5" o:title=""/>
            </v:shape>
            <v:shape style="position:absolute;left:7701;top:191;width:3120;height:312" type="#_x0000_t75" stroked="false">
              <v:imagedata r:id="rId5" o:title=""/>
            </v:shape>
            <v:shape style="position:absolute;left:8715;top:-973;width:1140;height:1140" type="#_x0000_t75" stroked="false">
              <v:imagedata r:id="rId6" o:title=""/>
            </v:shape>
            <v:shapetype id="_x0000_t202" o:spt="202" coordsize="21600,21600" path="m,l,21600r21600,l21600,xe">
              <v:stroke joinstyle="miter"/>
              <v:path gradientshapeok="t" o:connecttype="rect"/>
            </v:shapetype>
            <v:shape style="position:absolute;left:8145;top:-1186;width:2262;height:159" type="#_x0000_t202" filled="false" stroked="false">
              <v:textbox inset="0,0,0,0">
                <w:txbxContent>
                  <w:p>
                    <w:pPr>
                      <w:spacing w:line="158" w:lineRule="exact" w:before="0"/>
                      <w:ind w:left="0" w:right="0" w:firstLine="0"/>
                      <w:jc w:val="left"/>
                      <w:rPr>
                        <w:sz w:val="16"/>
                      </w:rPr>
                    </w:pPr>
                    <w:r>
                      <w:rPr>
                        <w:sz w:val="16"/>
                      </w:rPr>
                      <w:t>平安人寿[2017</w:t>
                    </w:r>
                    <w:r>
                      <w:rPr>
                        <w:spacing w:val="-8"/>
                        <w:sz w:val="16"/>
                      </w:rPr>
                      <w:t>]疾病保险 </w:t>
                    </w:r>
                    <w:r>
                      <w:rPr>
                        <w:sz w:val="16"/>
                      </w:rPr>
                      <w:t>061</w:t>
                    </w:r>
                    <w:r>
                      <w:rPr>
                        <w:spacing w:val="-25"/>
                        <w:sz w:val="16"/>
                      </w:rPr>
                      <w:t> 号</w:t>
                    </w:r>
                  </w:p>
                </w:txbxContent>
              </v:textbox>
              <w10:wrap type="none"/>
            </v:shape>
            <v:shape style="position:absolute;left:8457;top:259;width:1619;height:159" type="#_x0000_t202" filled="false" stroked="false">
              <v:textbox inset="0,0,0,0">
                <w:txbxContent>
                  <w:p>
                    <w:pPr>
                      <w:spacing w:line="158" w:lineRule="exact" w:before="0"/>
                      <w:ind w:left="0" w:right="0" w:firstLine="0"/>
                      <w:jc w:val="left"/>
                      <w:rPr>
                        <w:sz w:val="16"/>
                      </w:rPr>
                    </w:pPr>
                    <w:r>
                      <w:rPr>
                        <w:w w:val="95"/>
                        <w:sz w:val="16"/>
                      </w:rPr>
                      <w:t>请扫描以查询验证条款</w:t>
                    </w:r>
                  </w:p>
                </w:txbxContent>
              </v:textbox>
              <w10:wrap type="none"/>
            </v:shape>
            <w10:wrap type="none"/>
          </v:group>
        </w:pict>
      </w:r>
      <w:r>
        <w:rPr>
          <w:rFonts w:ascii="微软雅黑" w:eastAsia="微软雅黑" w:hint="eastAsia"/>
          <w:b/>
          <w:sz w:val="32"/>
        </w:rPr>
        <w:t>阅  读  指 引</w:t>
      </w:r>
    </w:p>
    <w:p>
      <w:pPr>
        <w:pStyle w:val="Heading3"/>
        <w:spacing w:line="592" w:lineRule="exact" w:before="129"/>
        <w:ind w:left="244"/>
      </w:pPr>
      <w:r>
        <w:rPr/>
        <w:pict>
          <v:group style="position:absolute;margin-left:48.48pt;margin-top:5.877691pt;width:498.5pt;height:642.5pt;mso-position-horizontal-relative:page;mso-position-vertical-relative:paragraph;z-index:-53800" coordorigin="970,118" coordsize="9970,12850">
            <v:shape style="position:absolute;left:969;top:117;width:9970;height:12850" type="#_x0000_t75" stroked="false">
              <v:imagedata r:id="rId7" o:title=""/>
            </v:shape>
            <v:rect style="position:absolute;left:1643;top:7938;width:8662;height:4776" filled="false" stroked="true" strokeweight=".75pt" strokecolor="#000000">
              <v:stroke dashstyle="shortdot"/>
            </v:rect>
            <w10:wrap type="none"/>
          </v:group>
        </w:pict>
      </w:r>
      <w:r>
        <w:rPr>
          <w:rFonts w:ascii="Arial" w:hAnsi="Arial" w:eastAsia="Arial"/>
          <w:position w:val="-11"/>
          <w:sz w:val="52"/>
        </w:rPr>
        <w:t></w:t>
      </w:r>
      <w:r>
        <w:rPr/>
        <w:t>平安保宝福一年期少儿重大疾病保险产品提供重疾保障</w:t>
      </w:r>
    </w:p>
    <w:p>
      <w:pPr>
        <w:spacing w:line="570" w:lineRule="exact" w:before="0"/>
        <w:ind w:left="244"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89" w:val="left" w:leader="none"/>
          <w:tab w:pos="1190" w:val="left" w:leader="none"/>
        </w:tabs>
        <w:spacing w:line="317" w:lineRule="exact" w:before="0" w:after="0"/>
        <w:ind w:left="1189" w:right="0" w:hanging="417"/>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89" w:val="left" w:leader="none"/>
          <w:tab w:pos="1190" w:val="left" w:leader="none"/>
        </w:tabs>
        <w:spacing w:line="312" w:lineRule="exact" w:before="0" w:after="0"/>
        <w:ind w:left="1189" w:right="0" w:hanging="417"/>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89" w:val="left" w:leader="none"/>
          <w:tab w:pos="1190" w:val="left" w:leader="none"/>
        </w:tabs>
        <w:spacing w:line="312" w:lineRule="exact" w:before="0" w:after="0"/>
        <w:ind w:left="1189" w:right="0" w:hanging="417"/>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89" w:val="left" w:leader="none"/>
          <w:tab w:pos="1190" w:val="left" w:leader="none"/>
        </w:tabs>
        <w:spacing w:line="339" w:lineRule="exact" w:before="0" w:after="0"/>
        <w:ind w:left="1189" w:right="0" w:hanging="418"/>
        <w:jc w:val="left"/>
        <w:rPr>
          <w:sz w:val="21"/>
        </w:rPr>
      </w:pPr>
      <w:r>
        <w:rPr>
          <w:rFonts w:ascii="Microsoft JhengHei" w:eastAsia="Microsoft JhengHei" w:hint="eastAsia"/>
          <w:b/>
          <w:sz w:val="21"/>
        </w:rPr>
        <w:t>保险人</w:t>
      </w:r>
      <w:r>
        <w:rPr>
          <w:spacing w:val="-2"/>
          <w:sz w:val="21"/>
        </w:rPr>
        <w:t>就是保险公司。</w:t>
      </w:r>
    </w:p>
    <w:p>
      <w:pPr>
        <w:pStyle w:val="Heading3"/>
        <w:spacing w:before="16"/>
        <w:ind w:left="244"/>
      </w:pPr>
      <w:r>
        <w:rPr>
          <w:rFonts w:ascii="Arial" w:hAnsi="Arial" w:eastAsia="Arial"/>
          <w:position w:val="-11"/>
          <w:sz w:val="52"/>
        </w:rPr>
        <w:t></w:t>
      </w:r>
      <w:r>
        <w:rPr/>
        <w:t>下面我们举例说明本产品提供哪些保障</w:t>
      </w:r>
    </w:p>
    <w:p>
      <w:pPr>
        <w:pStyle w:val="BodyText"/>
        <w:spacing w:line="314" w:lineRule="auto" w:before="81"/>
        <w:ind w:left="767" w:right="760"/>
      </w:pPr>
      <w:r>
        <w:rPr/>
        <w:t>例子：王先生为儿子小王（3 周岁）投保了一份平安保宝福一年期少儿重大疾病保险，基本保险金额 10 万元，受益人为小王。小王等待期后不幸患上了白血病。</w:t>
      </w:r>
    </w:p>
    <w:p>
      <w:pPr>
        <w:pStyle w:val="BodyText"/>
        <w:spacing w:before="20" w:after="42"/>
        <w:ind w:left="767"/>
      </w:pPr>
      <w:r>
        <w:rPr/>
        <w:t>本例中王先生为投保人，儿子小王为被保险人及受益人，平安人寿为保险人。</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1560"/>
        <w:gridCol w:w="2410"/>
        <w:gridCol w:w="2808"/>
      </w:tblGrid>
      <w:tr>
        <w:trPr>
          <w:trHeight w:val="470" w:hRule="atLeast"/>
        </w:trPr>
        <w:tc>
          <w:tcPr>
            <w:tcW w:w="2016" w:type="dxa"/>
          </w:tcPr>
          <w:p>
            <w:pPr>
              <w:pStyle w:val="TableParagraph"/>
              <w:spacing w:line="365" w:lineRule="exact"/>
              <w:ind w:left="141" w:right="141"/>
              <w:jc w:val="center"/>
              <w:rPr>
                <w:rFonts w:ascii="Microsoft JhengHei" w:eastAsia="Microsoft JhengHei" w:hint="eastAsia"/>
                <w:b/>
                <w:sz w:val="21"/>
              </w:rPr>
            </w:pPr>
            <w:r>
              <w:rPr>
                <w:rFonts w:ascii="Microsoft JhengHei" w:eastAsia="Microsoft JhengHei" w:hint="eastAsia"/>
                <w:b/>
                <w:sz w:val="21"/>
              </w:rPr>
              <w:t>保险金</w:t>
            </w:r>
          </w:p>
        </w:tc>
        <w:tc>
          <w:tcPr>
            <w:tcW w:w="1560" w:type="dxa"/>
          </w:tcPr>
          <w:p>
            <w:pPr>
              <w:pStyle w:val="TableParagraph"/>
              <w:spacing w:line="365" w:lineRule="exact"/>
              <w:ind w:left="331" w:right="333"/>
              <w:jc w:val="center"/>
              <w:rPr>
                <w:rFonts w:ascii="Microsoft JhengHei" w:eastAsia="Microsoft JhengHei" w:hint="eastAsia"/>
                <w:b/>
                <w:sz w:val="21"/>
              </w:rPr>
            </w:pPr>
            <w:r>
              <w:rPr>
                <w:rFonts w:ascii="Microsoft JhengHei" w:eastAsia="Microsoft JhengHei" w:hint="eastAsia"/>
                <w:b/>
                <w:sz w:val="21"/>
              </w:rPr>
              <w:t>领取人</w:t>
            </w:r>
          </w:p>
        </w:tc>
        <w:tc>
          <w:tcPr>
            <w:tcW w:w="2410" w:type="dxa"/>
          </w:tcPr>
          <w:p>
            <w:pPr>
              <w:pStyle w:val="TableParagraph"/>
              <w:spacing w:line="365" w:lineRule="exact"/>
              <w:ind w:left="180" w:right="180"/>
              <w:jc w:val="center"/>
              <w:rPr>
                <w:rFonts w:ascii="Microsoft JhengHei" w:eastAsia="Microsoft JhengHei" w:hint="eastAsia"/>
                <w:b/>
                <w:sz w:val="21"/>
              </w:rPr>
            </w:pPr>
            <w:r>
              <w:rPr>
                <w:rFonts w:ascii="Microsoft JhengHei" w:eastAsia="Microsoft JhengHei" w:hint="eastAsia"/>
                <w:b/>
                <w:sz w:val="21"/>
              </w:rPr>
              <w:t>给付金额</w:t>
            </w:r>
          </w:p>
        </w:tc>
        <w:tc>
          <w:tcPr>
            <w:tcW w:w="2808" w:type="dxa"/>
          </w:tcPr>
          <w:p>
            <w:pPr>
              <w:pStyle w:val="TableParagraph"/>
              <w:spacing w:line="365" w:lineRule="exact"/>
              <w:ind w:left="961" w:right="957"/>
              <w:jc w:val="center"/>
              <w:rPr>
                <w:rFonts w:ascii="Microsoft JhengHei" w:eastAsia="Microsoft JhengHei" w:hint="eastAsia"/>
                <w:b/>
                <w:sz w:val="21"/>
              </w:rPr>
            </w:pPr>
            <w:r>
              <w:rPr>
                <w:rFonts w:ascii="Microsoft JhengHei" w:eastAsia="Microsoft JhengHei" w:hint="eastAsia"/>
                <w:b/>
                <w:sz w:val="21"/>
              </w:rPr>
              <w:t>领取条件</w:t>
            </w:r>
          </w:p>
        </w:tc>
      </w:tr>
      <w:tr>
        <w:trPr>
          <w:trHeight w:val="609" w:hRule="atLeast"/>
        </w:trPr>
        <w:tc>
          <w:tcPr>
            <w:tcW w:w="2016" w:type="dxa"/>
          </w:tcPr>
          <w:p>
            <w:pPr>
              <w:pStyle w:val="TableParagraph"/>
              <w:spacing w:before="138"/>
              <w:ind w:left="145" w:right="141"/>
              <w:jc w:val="center"/>
              <w:rPr>
                <w:sz w:val="21"/>
              </w:rPr>
            </w:pPr>
            <w:r>
              <w:rPr>
                <w:sz w:val="21"/>
              </w:rPr>
              <w:t>重大疾病保险金</w:t>
            </w:r>
          </w:p>
        </w:tc>
        <w:tc>
          <w:tcPr>
            <w:tcW w:w="1560" w:type="dxa"/>
          </w:tcPr>
          <w:p>
            <w:pPr>
              <w:pStyle w:val="TableParagraph"/>
              <w:spacing w:before="138"/>
              <w:ind w:left="337" w:right="333"/>
              <w:jc w:val="center"/>
              <w:rPr>
                <w:sz w:val="21"/>
              </w:rPr>
            </w:pPr>
            <w:r>
              <w:rPr>
                <w:sz w:val="21"/>
              </w:rPr>
              <w:t>儿子小王</w:t>
            </w:r>
          </w:p>
        </w:tc>
        <w:tc>
          <w:tcPr>
            <w:tcW w:w="2410" w:type="dxa"/>
          </w:tcPr>
          <w:p>
            <w:pPr>
              <w:pStyle w:val="TableParagraph"/>
              <w:spacing w:before="138"/>
              <w:ind w:left="184" w:right="180"/>
              <w:jc w:val="center"/>
              <w:rPr>
                <w:sz w:val="21"/>
              </w:rPr>
            </w:pPr>
            <w:r>
              <w:rPr>
                <w:sz w:val="21"/>
              </w:rPr>
              <w:t>10 万元</w:t>
            </w:r>
          </w:p>
        </w:tc>
        <w:tc>
          <w:tcPr>
            <w:tcW w:w="2808" w:type="dxa"/>
            <w:vMerge w:val="restart"/>
          </w:tcPr>
          <w:p>
            <w:pPr>
              <w:pStyle w:val="TableParagraph"/>
              <w:spacing w:before="9"/>
              <w:rPr>
                <w:sz w:val="19"/>
              </w:rPr>
            </w:pPr>
          </w:p>
          <w:p>
            <w:pPr>
              <w:pStyle w:val="TableParagraph"/>
              <w:spacing w:line="410" w:lineRule="auto" w:before="1"/>
              <w:ind w:left="105" w:right="93"/>
              <w:rPr>
                <w:sz w:val="21"/>
              </w:rPr>
            </w:pPr>
            <w:r>
              <w:rPr>
                <w:sz w:val="21"/>
              </w:rPr>
              <w:t>等待期后小王经医院确诊初次发生受保障的白血病</w:t>
            </w:r>
          </w:p>
        </w:tc>
      </w:tr>
      <w:tr>
        <w:trPr>
          <w:trHeight w:val="700" w:hRule="atLeast"/>
        </w:trPr>
        <w:tc>
          <w:tcPr>
            <w:tcW w:w="2016" w:type="dxa"/>
          </w:tcPr>
          <w:p>
            <w:pPr>
              <w:pStyle w:val="TableParagraph"/>
              <w:spacing w:before="177"/>
              <w:ind w:left="145" w:right="141"/>
              <w:jc w:val="center"/>
              <w:rPr>
                <w:sz w:val="21"/>
              </w:rPr>
            </w:pPr>
            <w:r>
              <w:rPr>
                <w:sz w:val="21"/>
              </w:rPr>
              <w:t>白血病疾病保险金</w:t>
            </w:r>
          </w:p>
        </w:tc>
        <w:tc>
          <w:tcPr>
            <w:tcW w:w="1560" w:type="dxa"/>
          </w:tcPr>
          <w:p>
            <w:pPr>
              <w:pStyle w:val="TableParagraph"/>
              <w:spacing w:before="11"/>
              <w:rPr>
                <w:sz w:val="13"/>
              </w:rPr>
            </w:pPr>
          </w:p>
          <w:p>
            <w:pPr>
              <w:pStyle w:val="TableParagraph"/>
              <w:ind w:left="337" w:right="333"/>
              <w:jc w:val="center"/>
              <w:rPr>
                <w:sz w:val="21"/>
              </w:rPr>
            </w:pPr>
            <w:r>
              <w:rPr>
                <w:sz w:val="21"/>
              </w:rPr>
              <w:t>儿子小王</w:t>
            </w:r>
          </w:p>
        </w:tc>
        <w:tc>
          <w:tcPr>
            <w:tcW w:w="2410" w:type="dxa"/>
          </w:tcPr>
          <w:p>
            <w:pPr>
              <w:pStyle w:val="TableParagraph"/>
              <w:spacing w:before="11"/>
              <w:rPr>
                <w:sz w:val="13"/>
              </w:rPr>
            </w:pPr>
          </w:p>
          <w:p>
            <w:pPr>
              <w:pStyle w:val="TableParagraph"/>
              <w:ind w:left="184" w:right="180"/>
              <w:jc w:val="center"/>
              <w:rPr>
                <w:sz w:val="21"/>
              </w:rPr>
            </w:pPr>
            <w:r>
              <w:rPr>
                <w:sz w:val="21"/>
              </w:rPr>
              <w:t>10 万元×50%=5 万元</w:t>
            </w:r>
          </w:p>
        </w:tc>
        <w:tc>
          <w:tcPr>
            <w:tcW w:w="2808" w:type="dxa"/>
            <w:vMerge/>
            <w:tcBorders>
              <w:top w:val="nil"/>
            </w:tcBorders>
          </w:tcPr>
          <w:p>
            <w:pPr>
              <w:rPr>
                <w:sz w:val="2"/>
                <w:szCs w:val="2"/>
              </w:rPr>
            </w:pPr>
          </w:p>
        </w:tc>
      </w:tr>
      <w:tr>
        <w:trPr>
          <w:trHeight w:val="556" w:hRule="atLeast"/>
        </w:trPr>
        <w:tc>
          <w:tcPr>
            <w:tcW w:w="8794" w:type="dxa"/>
            <w:gridSpan w:val="4"/>
          </w:tcPr>
          <w:p>
            <w:pPr>
              <w:pStyle w:val="TableParagraph"/>
              <w:spacing w:before="109"/>
              <w:ind w:left="105"/>
              <w:rPr>
                <w:sz w:val="21"/>
              </w:rPr>
            </w:pPr>
            <w:r>
              <w:rPr>
                <w:sz w:val="21"/>
              </w:rPr>
              <w:t>白血病属于本主险合同约定的重大疾病中恶性肿瘤的一种。</w:t>
            </w:r>
          </w:p>
        </w:tc>
      </w:tr>
    </w:tbl>
    <w:p>
      <w:pPr>
        <w:pStyle w:val="Heading3"/>
        <w:spacing w:before="76"/>
        <w:ind w:left="771"/>
      </w:pPr>
      <w:r>
        <w:rPr/>
        <w:t>以上举例仅供您更好地理解产品之用，您所购买产品的具体保险利益以保险合同中载明的为准。</w:t>
      </w:r>
    </w:p>
    <w:p>
      <w:pPr>
        <w:spacing w:before="168"/>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pStyle w:val="BodyText"/>
        <w:spacing w:before="15"/>
        <w:rPr>
          <w:rFonts w:ascii="Microsoft JhengHei"/>
          <w:b/>
          <w:sz w:val="16"/>
        </w:rPr>
      </w:pPr>
    </w:p>
    <w:p>
      <w:pPr>
        <w:spacing w:after="0"/>
        <w:rPr>
          <w:rFonts w:ascii="Microsoft JhengHei"/>
          <w:sz w:val="16"/>
        </w:rPr>
        <w:sectPr>
          <w:type w:val="continuous"/>
          <w:pgSz w:w="11910" w:h="16840"/>
          <w:pgMar w:top="480" w:bottom="280" w:left="860" w:right="860"/>
        </w:sectPr>
      </w:pPr>
    </w:p>
    <w:p>
      <w:pPr>
        <w:spacing w:line="325" w:lineRule="exact" w:before="0"/>
        <w:ind w:left="166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2299" w:val="left" w:leader="none"/>
        </w:tabs>
        <w:spacing w:line="265" w:lineRule="exact" w:before="0" w:after="0"/>
        <w:ind w:left="2298" w:right="0" w:hanging="422"/>
        <w:jc w:val="left"/>
        <w:rPr>
          <w:sz w:val="21"/>
        </w:rPr>
      </w:pPr>
      <w:r>
        <w:rPr>
          <w:spacing w:val="-2"/>
          <w:sz w:val="21"/>
        </w:rPr>
        <w:t>基本保险金额</w:t>
      </w:r>
    </w:p>
    <w:p>
      <w:pPr>
        <w:pStyle w:val="ListParagraph"/>
        <w:numPr>
          <w:ilvl w:val="1"/>
          <w:numId w:val="2"/>
        </w:numPr>
        <w:tabs>
          <w:tab w:pos="2299" w:val="left" w:leader="none"/>
        </w:tabs>
        <w:spacing w:line="240" w:lineRule="auto" w:before="8" w:after="0"/>
        <w:ind w:left="2298" w:right="0" w:hanging="422"/>
        <w:jc w:val="left"/>
        <w:rPr>
          <w:sz w:val="21"/>
        </w:rPr>
      </w:pPr>
      <w:r>
        <w:rPr>
          <w:spacing w:val="-2"/>
          <w:sz w:val="21"/>
        </w:rPr>
        <w:t>保险责任</w:t>
      </w:r>
    </w:p>
    <w:p>
      <w:pPr>
        <w:pStyle w:val="ListParagraph"/>
        <w:numPr>
          <w:ilvl w:val="1"/>
          <w:numId w:val="2"/>
        </w:numPr>
        <w:tabs>
          <w:tab w:pos="2299" w:val="left" w:leader="none"/>
        </w:tabs>
        <w:spacing w:line="243" w:lineRule="exact" w:before="3" w:after="0"/>
        <w:ind w:left="2298" w:right="0" w:hanging="422"/>
        <w:jc w:val="left"/>
        <w:rPr>
          <w:sz w:val="21"/>
        </w:rPr>
      </w:pPr>
      <w:r>
        <w:rPr>
          <w:spacing w:val="-2"/>
          <w:sz w:val="21"/>
        </w:rPr>
        <w:t>保险期间与续保</w:t>
      </w:r>
    </w:p>
    <w:p>
      <w:pPr>
        <w:pStyle w:val="Heading3"/>
        <w:spacing w:line="326" w:lineRule="exact"/>
      </w:pPr>
      <w:r>
        <w:rPr>
          <w:rFonts w:ascii="宋体" w:eastAsia="宋体" w:hint="eastAsia"/>
        </w:rPr>
        <w:t>2.</w:t>
      </w:r>
      <w:r>
        <w:rPr/>
        <w:t>我们不保什么</w:t>
      </w:r>
    </w:p>
    <w:p>
      <w:pPr>
        <w:pStyle w:val="ListParagraph"/>
        <w:numPr>
          <w:ilvl w:val="1"/>
          <w:numId w:val="3"/>
        </w:numPr>
        <w:tabs>
          <w:tab w:pos="2299" w:val="left" w:leader="none"/>
        </w:tabs>
        <w:spacing w:line="267" w:lineRule="exact" w:before="0" w:after="0"/>
        <w:ind w:left="2298" w:right="0" w:hanging="422"/>
        <w:jc w:val="left"/>
        <w:rPr>
          <w:sz w:val="21"/>
        </w:rPr>
      </w:pPr>
      <w:r>
        <w:rPr>
          <w:spacing w:val="-2"/>
          <w:sz w:val="21"/>
        </w:rPr>
        <w:t>责任免除</w:t>
      </w:r>
    </w:p>
    <w:p>
      <w:pPr>
        <w:pStyle w:val="ListParagraph"/>
        <w:numPr>
          <w:ilvl w:val="1"/>
          <w:numId w:val="3"/>
        </w:numPr>
        <w:tabs>
          <w:tab w:pos="2299" w:val="left" w:leader="none"/>
        </w:tabs>
        <w:spacing w:line="243" w:lineRule="exact" w:before="3" w:after="0"/>
        <w:ind w:left="2298" w:right="0" w:hanging="422"/>
        <w:jc w:val="left"/>
        <w:rPr>
          <w:sz w:val="21"/>
        </w:rPr>
      </w:pPr>
      <w:r>
        <w:rPr>
          <w:spacing w:val="-2"/>
          <w:sz w:val="21"/>
        </w:rPr>
        <w:t>其他免责条款</w:t>
      </w:r>
    </w:p>
    <w:p>
      <w:pPr>
        <w:pStyle w:val="Heading3"/>
        <w:spacing w:line="326" w:lineRule="exact"/>
      </w:pPr>
      <w:r>
        <w:rPr>
          <w:rFonts w:ascii="宋体" w:eastAsia="宋体" w:hint="eastAsia"/>
        </w:rPr>
        <w:t>3.</w:t>
      </w:r>
      <w:r>
        <w:rPr/>
        <w:t>如何支付保险费</w:t>
      </w:r>
    </w:p>
    <w:p>
      <w:pPr>
        <w:pStyle w:val="ListParagraph"/>
        <w:numPr>
          <w:ilvl w:val="1"/>
          <w:numId w:val="4"/>
        </w:numPr>
        <w:tabs>
          <w:tab w:pos="2299" w:val="left" w:leader="none"/>
        </w:tabs>
        <w:spacing w:line="267" w:lineRule="exact" w:before="0" w:after="0"/>
        <w:ind w:left="2298" w:right="0" w:hanging="422"/>
        <w:jc w:val="left"/>
        <w:rPr>
          <w:sz w:val="21"/>
        </w:rPr>
      </w:pPr>
      <w:r>
        <w:rPr>
          <w:spacing w:val="-2"/>
          <w:sz w:val="21"/>
        </w:rPr>
        <w:t>保险费的支付</w:t>
      </w:r>
    </w:p>
    <w:p>
      <w:pPr>
        <w:pStyle w:val="ListParagraph"/>
        <w:numPr>
          <w:ilvl w:val="1"/>
          <w:numId w:val="4"/>
        </w:numPr>
        <w:tabs>
          <w:tab w:pos="2299" w:val="left" w:leader="none"/>
        </w:tabs>
        <w:spacing w:line="243" w:lineRule="exact" w:before="3" w:after="0"/>
        <w:ind w:left="2298" w:right="0" w:hanging="422"/>
        <w:jc w:val="left"/>
        <w:rPr>
          <w:sz w:val="21"/>
        </w:rPr>
      </w:pPr>
      <w:r>
        <w:rPr>
          <w:sz w:val="21"/>
        </w:rPr>
        <w:t>宽限期</w:t>
      </w:r>
    </w:p>
    <w:p>
      <w:pPr>
        <w:pStyle w:val="Heading3"/>
        <w:spacing w:line="326" w:lineRule="exact"/>
      </w:pPr>
      <w:r>
        <w:rPr>
          <w:rFonts w:ascii="宋体" w:eastAsia="宋体" w:hint="eastAsia"/>
        </w:rPr>
        <w:t>4.</w:t>
      </w:r>
      <w:r>
        <w:rPr/>
        <w:t>如何领取保险金</w:t>
      </w:r>
    </w:p>
    <w:p>
      <w:pPr>
        <w:pStyle w:val="ListParagraph"/>
        <w:numPr>
          <w:ilvl w:val="1"/>
          <w:numId w:val="5"/>
        </w:numPr>
        <w:tabs>
          <w:tab w:pos="2299" w:val="left" w:leader="none"/>
        </w:tabs>
        <w:spacing w:line="267" w:lineRule="exact" w:before="0" w:after="0"/>
        <w:ind w:left="2298" w:right="0" w:hanging="422"/>
        <w:jc w:val="left"/>
        <w:rPr>
          <w:sz w:val="21"/>
        </w:rPr>
      </w:pPr>
      <w:r>
        <w:rPr>
          <w:sz w:val="21"/>
        </w:rPr>
        <w:t>受益人</w:t>
      </w:r>
    </w:p>
    <w:p>
      <w:pPr>
        <w:pStyle w:val="ListParagraph"/>
        <w:numPr>
          <w:ilvl w:val="1"/>
          <w:numId w:val="5"/>
        </w:numPr>
        <w:tabs>
          <w:tab w:pos="2299" w:val="left" w:leader="none"/>
        </w:tabs>
        <w:spacing w:line="240" w:lineRule="auto" w:before="3" w:after="0"/>
        <w:ind w:left="2298" w:right="0" w:hanging="422"/>
        <w:jc w:val="left"/>
        <w:rPr>
          <w:sz w:val="21"/>
        </w:rPr>
      </w:pPr>
      <w:r>
        <w:rPr>
          <w:spacing w:val="-2"/>
          <w:sz w:val="21"/>
        </w:rPr>
        <w:t>保险事故通知</w:t>
      </w:r>
    </w:p>
    <w:p>
      <w:pPr>
        <w:pStyle w:val="ListParagraph"/>
        <w:numPr>
          <w:ilvl w:val="1"/>
          <w:numId w:val="5"/>
        </w:numPr>
        <w:tabs>
          <w:tab w:pos="2299" w:val="left" w:leader="none"/>
        </w:tabs>
        <w:spacing w:line="240" w:lineRule="auto" w:before="3" w:after="0"/>
        <w:ind w:left="2298" w:right="0" w:hanging="422"/>
        <w:jc w:val="left"/>
        <w:rPr>
          <w:sz w:val="21"/>
        </w:rPr>
      </w:pPr>
      <w:r>
        <w:rPr>
          <w:spacing w:val="-2"/>
          <w:sz w:val="21"/>
        </w:rPr>
        <w:t>保险金申请</w:t>
      </w:r>
    </w:p>
    <w:p>
      <w:pPr>
        <w:pStyle w:val="ListParagraph"/>
        <w:numPr>
          <w:ilvl w:val="1"/>
          <w:numId w:val="5"/>
        </w:numPr>
        <w:tabs>
          <w:tab w:pos="2299" w:val="left" w:leader="none"/>
        </w:tabs>
        <w:spacing w:line="240" w:lineRule="auto" w:before="8" w:after="0"/>
        <w:ind w:left="2298" w:right="0" w:hanging="422"/>
        <w:jc w:val="left"/>
        <w:rPr>
          <w:sz w:val="21"/>
        </w:rPr>
      </w:pPr>
      <w:r>
        <w:rPr>
          <w:spacing w:val="-2"/>
          <w:sz w:val="21"/>
        </w:rPr>
        <w:t>保险金的给付</w:t>
      </w:r>
    </w:p>
    <w:p>
      <w:pPr>
        <w:pStyle w:val="Heading3"/>
        <w:spacing w:line="337" w:lineRule="exact"/>
      </w:pPr>
      <w:r>
        <w:rPr>
          <w:b w:val="0"/>
        </w:rPr>
        <w:br w:type="column"/>
      </w:r>
      <w:r>
        <w:rPr>
          <w:rFonts w:ascii="宋体" w:eastAsia="宋体" w:hint="eastAsia"/>
        </w:rPr>
        <w:t>5.</w:t>
      </w:r>
      <w:r>
        <w:rPr/>
        <w:t>如何退保</w:t>
      </w:r>
    </w:p>
    <w:p>
      <w:pPr>
        <w:pStyle w:val="BodyText"/>
        <w:spacing w:line="235" w:lineRule="exact"/>
        <w:ind w:left="1876"/>
      </w:pPr>
      <w:r>
        <w:rPr/>
        <w:t>5.1 您解除合同的手续及风险</w:t>
      </w:r>
    </w:p>
    <w:p>
      <w:pPr>
        <w:pStyle w:val="Heading3"/>
        <w:spacing w:line="290" w:lineRule="exact"/>
      </w:pPr>
      <w:r>
        <w:rPr>
          <w:rFonts w:ascii="宋体" w:eastAsia="宋体" w:hint="eastAsia"/>
        </w:rPr>
        <w:t>6.</w:t>
      </w:r>
      <w:r>
        <w:rPr/>
        <w:t>重大疾病释义</w:t>
      </w:r>
    </w:p>
    <w:p>
      <w:pPr>
        <w:spacing w:line="314" w:lineRule="exact" w:before="0"/>
        <w:ind w:left="1664" w:right="0" w:firstLine="0"/>
        <w:jc w:val="left"/>
        <w:rPr>
          <w:rFonts w:ascii="Microsoft JhengHei" w:eastAsia="Microsoft JhengHei" w:hint="eastAsia"/>
          <w:b/>
          <w:sz w:val="21"/>
        </w:rPr>
      </w:pPr>
      <w:r>
        <w:rPr>
          <w:b/>
          <w:sz w:val="21"/>
        </w:rPr>
        <w:t>7.</w:t>
      </w:r>
      <w:r>
        <w:rPr>
          <w:rFonts w:ascii="Microsoft JhengHei" w:eastAsia="Microsoft JhengHei" w:hint="eastAsia"/>
          <w:b/>
          <w:sz w:val="21"/>
        </w:rPr>
        <w:t>白血病释义</w:t>
      </w:r>
    </w:p>
    <w:p>
      <w:pPr>
        <w:pStyle w:val="BodyText"/>
        <w:spacing w:line="235" w:lineRule="exact"/>
        <w:ind w:left="1880"/>
      </w:pPr>
      <w:r>
        <w:rPr/>
        <w:t>7.1 白血病</w:t>
      </w:r>
    </w:p>
    <w:p>
      <w:pPr>
        <w:pStyle w:val="Heading3"/>
        <w:spacing w:line="324" w:lineRule="exact"/>
      </w:pPr>
      <w:r>
        <w:rPr>
          <w:rFonts w:ascii="宋体" w:eastAsia="宋体" w:hint="eastAsia"/>
        </w:rPr>
        <w:t>8.</w:t>
      </w:r>
      <w:r>
        <w:rPr/>
        <w:t>需关注的其他内容</w:t>
      </w:r>
    </w:p>
    <w:p>
      <w:pPr>
        <w:pStyle w:val="ListParagraph"/>
        <w:numPr>
          <w:ilvl w:val="1"/>
          <w:numId w:val="6"/>
        </w:numPr>
        <w:tabs>
          <w:tab w:pos="2299" w:val="left" w:leader="none"/>
        </w:tabs>
        <w:spacing w:line="265" w:lineRule="exact" w:before="0" w:after="0"/>
        <w:ind w:left="2298" w:right="0" w:hanging="422"/>
        <w:jc w:val="left"/>
        <w:rPr>
          <w:sz w:val="21"/>
        </w:rPr>
      </w:pPr>
      <w:r>
        <w:rPr>
          <w:spacing w:val="-3"/>
          <w:sz w:val="21"/>
        </w:rPr>
        <w:t>合同构成</w:t>
      </w:r>
    </w:p>
    <w:p>
      <w:pPr>
        <w:pStyle w:val="ListParagraph"/>
        <w:numPr>
          <w:ilvl w:val="1"/>
          <w:numId w:val="6"/>
        </w:numPr>
        <w:tabs>
          <w:tab w:pos="2299" w:val="left" w:leader="none"/>
        </w:tabs>
        <w:spacing w:line="240" w:lineRule="auto" w:before="8" w:after="0"/>
        <w:ind w:left="2298" w:right="0" w:hanging="422"/>
        <w:jc w:val="left"/>
        <w:rPr>
          <w:sz w:val="21"/>
        </w:rPr>
      </w:pPr>
      <w:r>
        <w:rPr>
          <w:spacing w:val="-2"/>
          <w:sz w:val="21"/>
        </w:rPr>
        <w:t>合同成立与生效</w:t>
      </w:r>
    </w:p>
    <w:p>
      <w:pPr>
        <w:pStyle w:val="ListParagraph"/>
        <w:numPr>
          <w:ilvl w:val="1"/>
          <w:numId w:val="6"/>
        </w:numPr>
        <w:tabs>
          <w:tab w:pos="2299" w:val="left" w:leader="none"/>
        </w:tabs>
        <w:spacing w:line="240" w:lineRule="auto" w:before="3" w:after="0"/>
        <w:ind w:left="2298" w:right="0" w:hanging="423"/>
        <w:jc w:val="left"/>
        <w:rPr>
          <w:sz w:val="21"/>
        </w:rPr>
      </w:pPr>
      <w:r>
        <w:rPr>
          <w:spacing w:val="-2"/>
          <w:sz w:val="21"/>
        </w:rPr>
        <w:t>投保年龄</w:t>
      </w:r>
    </w:p>
    <w:p>
      <w:pPr>
        <w:pStyle w:val="ListParagraph"/>
        <w:numPr>
          <w:ilvl w:val="1"/>
          <w:numId w:val="6"/>
        </w:numPr>
        <w:tabs>
          <w:tab w:pos="2299" w:val="left" w:leader="none"/>
        </w:tabs>
        <w:spacing w:line="240" w:lineRule="auto" w:before="3" w:after="0"/>
        <w:ind w:left="2298" w:right="0" w:hanging="423"/>
        <w:jc w:val="left"/>
        <w:rPr>
          <w:sz w:val="21"/>
        </w:rPr>
      </w:pPr>
      <w:r>
        <w:rPr>
          <w:spacing w:val="-2"/>
          <w:sz w:val="21"/>
        </w:rPr>
        <w:t>年龄错误</w:t>
      </w:r>
    </w:p>
    <w:p>
      <w:pPr>
        <w:pStyle w:val="ListParagraph"/>
        <w:numPr>
          <w:ilvl w:val="1"/>
          <w:numId w:val="6"/>
        </w:numPr>
        <w:tabs>
          <w:tab w:pos="2299" w:val="left" w:leader="none"/>
        </w:tabs>
        <w:spacing w:line="240" w:lineRule="auto" w:before="8" w:after="0"/>
        <w:ind w:left="2298" w:right="0" w:hanging="423"/>
        <w:jc w:val="left"/>
        <w:rPr>
          <w:sz w:val="21"/>
        </w:rPr>
      </w:pPr>
      <w:r>
        <w:rPr>
          <w:spacing w:val="-3"/>
          <w:sz w:val="21"/>
        </w:rPr>
        <w:t>明确说明与如实告知</w:t>
      </w:r>
    </w:p>
    <w:p>
      <w:pPr>
        <w:pStyle w:val="ListParagraph"/>
        <w:numPr>
          <w:ilvl w:val="1"/>
          <w:numId w:val="6"/>
        </w:numPr>
        <w:tabs>
          <w:tab w:pos="2299" w:val="left" w:leader="none"/>
        </w:tabs>
        <w:spacing w:line="240" w:lineRule="auto" w:before="3" w:after="0"/>
        <w:ind w:left="2298" w:right="0" w:hanging="423"/>
        <w:jc w:val="left"/>
        <w:rPr>
          <w:sz w:val="21"/>
        </w:rPr>
      </w:pPr>
      <w:r>
        <w:rPr>
          <w:spacing w:val="-2"/>
          <w:sz w:val="21"/>
        </w:rPr>
        <w:t>合同内容变更</w:t>
      </w:r>
    </w:p>
    <w:p>
      <w:pPr>
        <w:pStyle w:val="ListParagraph"/>
        <w:numPr>
          <w:ilvl w:val="1"/>
          <w:numId w:val="6"/>
        </w:numPr>
        <w:tabs>
          <w:tab w:pos="2299" w:val="left" w:leader="none"/>
        </w:tabs>
        <w:spacing w:line="240" w:lineRule="auto" w:before="3" w:after="0"/>
        <w:ind w:left="2298" w:right="0" w:hanging="422"/>
        <w:jc w:val="left"/>
        <w:rPr>
          <w:sz w:val="21"/>
        </w:rPr>
      </w:pPr>
      <w:r>
        <w:rPr>
          <w:spacing w:val="-2"/>
          <w:sz w:val="21"/>
        </w:rPr>
        <w:t>争议处理</w:t>
      </w:r>
    </w:p>
    <w:p>
      <w:pPr>
        <w:spacing w:after="0" w:line="240" w:lineRule="auto"/>
        <w:jc w:val="left"/>
        <w:rPr>
          <w:sz w:val="21"/>
        </w:rPr>
        <w:sectPr>
          <w:type w:val="continuous"/>
          <w:pgSz w:w="11910" w:h="16840"/>
          <w:pgMar w:top="480" w:bottom="280" w:left="860" w:right="860"/>
          <w:cols w:num="2" w:equalWidth="0">
            <w:col w:w="3777" w:space="303"/>
            <w:col w:w="6110"/>
          </w:cols>
        </w:sectPr>
      </w:pPr>
    </w:p>
    <w:p>
      <w:pPr>
        <w:pStyle w:val="BodyText"/>
        <w:rPr>
          <w:sz w:val="20"/>
        </w:rPr>
      </w:pPr>
    </w:p>
    <w:p>
      <w:pPr>
        <w:pStyle w:val="BodyText"/>
        <w:spacing w:before="4"/>
        <w:rPr>
          <w:sz w:val="19"/>
        </w:rPr>
      </w:pPr>
    </w:p>
    <w:p>
      <w:pPr>
        <w:spacing w:line="316" w:lineRule="auto" w:before="47"/>
        <w:ind w:left="8293" w:right="79" w:firstLine="0"/>
        <w:jc w:val="left"/>
        <w:rPr>
          <w:sz w:val="18"/>
        </w:rPr>
      </w:pPr>
      <w:r>
        <w:rPr>
          <w:sz w:val="18"/>
        </w:rPr>
        <w:t>险种简称：保宝福重疾险种代码：1010</w:t>
      </w:r>
    </w:p>
    <w:p>
      <w:pPr>
        <w:spacing w:after="0" w:line="316" w:lineRule="auto"/>
        <w:jc w:val="left"/>
        <w:rPr>
          <w:sz w:val="18"/>
        </w:rPr>
        <w:sectPr>
          <w:type w:val="continuous"/>
          <w:pgSz w:w="11910" w:h="16840"/>
          <w:pgMar w:top="480" w:bottom="280" w:left="860" w:right="860"/>
        </w:sectPr>
      </w:pPr>
    </w:p>
    <w:p>
      <w:pPr>
        <w:pStyle w:val="BodyText"/>
        <w:ind w:left="234"/>
        <w:rPr>
          <w:sz w:val="20"/>
        </w:rPr>
      </w:pPr>
      <w:r>
        <w:rPr>
          <w:sz w:val="20"/>
        </w:rPr>
        <w:drawing>
          <wp:inline distT="0" distB="0" distL="0" distR="0">
            <wp:extent cx="2052290" cy="342042"/>
            <wp:effectExtent l="0" t="0" r="0" b="0"/>
            <wp:docPr id="1" name="image4.png" descr="新LOGO-K"/>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2052290" cy="342042"/>
                    </a:xfrm>
                    <a:prstGeom prst="rect">
                      <a:avLst/>
                    </a:prstGeom>
                  </pic:spPr>
                </pic:pic>
              </a:graphicData>
            </a:graphic>
          </wp:inline>
        </w:drawing>
      </w:r>
      <w:r>
        <w:rPr>
          <w:sz w:val="20"/>
        </w:rPr>
      </w:r>
    </w:p>
    <w:p>
      <w:pPr>
        <w:pStyle w:val="BodyText"/>
        <w:spacing w:before="1"/>
        <w:rPr>
          <w:sz w:val="23"/>
        </w:rPr>
      </w:pPr>
      <w:r>
        <w:rPr/>
        <w:drawing>
          <wp:anchor distT="0" distB="0" distL="0" distR="0" allowOverlap="1" layoutInCell="1" locked="0" behindDoc="0" simplePos="0" relativeHeight="1120">
            <wp:simplePos x="0" y="0"/>
            <wp:positionH relativeFrom="page">
              <wp:posOffset>1439722</wp:posOffset>
            </wp:positionH>
            <wp:positionV relativeFrom="paragraph">
              <wp:posOffset>217093</wp:posOffset>
            </wp:positionV>
            <wp:extent cx="4715837" cy="230504"/>
            <wp:effectExtent l="0" t="0" r="0" b="0"/>
            <wp:wrapTopAndBottom/>
            <wp:docPr id="3" name="image5.png" descr="抬头"/>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4715837" cy="230504"/>
                    </a:xfrm>
                    <a:prstGeom prst="rect">
                      <a:avLst/>
                    </a:prstGeom>
                  </pic:spPr>
                </pic:pic>
              </a:graphicData>
            </a:graphic>
          </wp:anchor>
        </w:drawing>
      </w:r>
    </w:p>
    <w:p>
      <w:pPr>
        <w:pStyle w:val="BodyText"/>
        <w:spacing w:before="5"/>
        <w:rPr>
          <w:sz w:val="17"/>
        </w:rPr>
      </w:pPr>
    </w:p>
    <w:p>
      <w:pPr>
        <w:spacing w:line="508" w:lineRule="exact" w:before="0"/>
        <w:ind w:left="2272" w:right="0" w:firstLine="0"/>
        <w:jc w:val="left"/>
        <w:rPr>
          <w:rFonts w:ascii="微软雅黑" w:eastAsia="微软雅黑" w:hint="eastAsia"/>
          <w:b/>
          <w:sz w:val="32"/>
        </w:rPr>
      </w:pPr>
      <w:r>
        <w:rPr>
          <w:rFonts w:ascii="微软雅黑" w:eastAsia="微软雅黑" w:hint="eastAsia"/>
          <w:b/>
          <w:sz w:val="32"/>
        </w:rPr>
        <w:t>平安保宝福一年期少儿重大疾病保险条款</w:t>
      </w:r>
    </w:p>
    <w:p>
      <w:pPr>
        <w:pStyle w:val="BodyText"/>
        <w:rPr>
          <w:rFonts w:ascii="微软雅黑"/>
          <w:b/>
          <w:sz w:val="24"/>
        </w:rPr>
      </w:pPr>
    </w:p>
    <w:p>
      <w:pPr>
        <w:pStyle w:val="BodyText"/>
        <w:ind w:left="222"/>
      </w:pPr>
      <w:r>
        <w:rPr/>
        <w:pict>
          <v:shape style="position:absolute;margin-left:198.240005pt;margin-top:192.263641pt;width:348.75pt;height:29.55pt;mso-position-horizontal-relative:page;mso-position-vertical-relative:paragraph;z-index:-53656" coordorigin="3965,3845" coordsize="6975,591" path="m10939,4157l3965,4157,3965,4436,10939,4436,10939,4157m10939,3845l3965,3845,3965,4124,10939,4124,10939,3845e" filled="true" fillcolor="#dadada" stroked="false">
            <v:path arrowok="t"/>
            <v:fill type="solid"/>
            <w10:wrap type="none"/>
          </v:shape>
        </w:pict>
      </w:r>
      <w:r>
        <w:rPr/>
        <w:t>在本条款中，“您”指投保人，“我们”、“本公司”均指中国平安人寿保险股份有限公司。</w:t>
      </w:r>
    </w:p>
    <w:p>
      <w:pPr>
        <w:pStyle w:val="BodyText"/>
        <w:spacing w:before="8"/>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297"/>
        <w:gridCol w:w="7080"/>
      </w:tblGrid>
      <w:tr>
        <w:trPr>
          <w:trHeight w:val="940" w:hRule="atLeast"/>
        </w:trPr>
        <w:tc>
          <w:tcPr>
            <w:tcW w:w="756" w:type="dxa"/>
            <w:tcBorders>
              <w:bottom w:val="single" w:sz="8" w:space="0" w:color="000000"/>
            </w:tcBorders>
          </w:tcPr>
          <w:p>
            <w:pPr>
              <w:pStyle w:val="TableParagraph"/>
              <w:spacing w:line="421" w:lineRule="exact"/>
              <w:ind w:left="60"/>
              <w:jc w:val="center"/>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line="279" w:lineRule="exact"/>
              <w:ind w:left="170"/>
              <w:rPr>
                <w:b/>
                <w:sz w:val="24"/>
              </w:rPr>
            </w:pPr>
            <w:r>
              <w:rPr>
                <w:b/>
                <w:w w:val="95"/>
                <w:sz w:val="24"/>
              </w:rPr>
              <w:t>我们保什么、保多久</w:t>
            </w:r>
          </w:p>
          <w:p>
            <w:pPr>
              <w:pStyle w:val="TableParagraph"/>
              <w:spacing w:before="132"/>
              <w:ind w:left="170"/>
              <w:rPr>
                <w:sz w:val="24"/>
              </w:rPr>
            </w:pPr>
            <w:r>
              <w:rPr>
                <w:sz w:val="24"/>
              </w:rPr>
              <w:t>这部分讲的是我们提供的保障以及我们提供保障的期间。</w:t>
            </w:r>
          </w:p>
        </w:tc>
      </w:tr>
      <w:tr>
        <w:trPr>
          <w:trHeight w:val="1092" w:hRule="atLeast"/>
        </w:trPr>
        <w:tc>
          <w:tcPr>
            <w:tcW w:w="756" w:type="dxa"/>
            <w:tcBorders>
              <w:top w:val="single" w:sz="8" w:space="0" w:color="000000"/>
            </w:tcBorders>
          </w:tcPr>
          <w:p>
            <w:pPr>
              <w:pStyle w:val="TableParagraph"/>
              <w:rPr>
                <w:sz w:val="19"/>
              </w:rPr>
            </w:pPr>
          </w:p>
          <w:p>
            <w:pPr>
              <w:pStyle w:val="TableParagraph"/>
              <w:ind w:left="229" w:right="169"/>
              <w:jc w:val="center"/>
              <w:rPr>
                <w:b/>
                <w:sz w:val="21"/>
              </w:rPr>
            </w:pPr>
            <w:r>
              <w:rPr>
                <w:b/>
                <w:sz w:val="21"/>
              </w:rPr>
              <w:t>1.1</w:t>
            </w:r>
          </w:p>
        </w:tc>
        <w:tc>
          <w:tcPr>
            <w:tcW w:w="2297" w:type="dxa"/>
            <w:tcBorders>
              <w:top w:val="single" w:sz="8" w:space="0" w:color="000000"/>
            </w:tcBorders>
          </w:tcPr>
          <w:p>
            <w:pPr>
              <w:pStyle w:val="TableParagraph"/>
              <w:rPr>
                <w:sz w:val="19"/>
              </w:rPr>
            </w:pPr>
          </w:p>
          <w:p>
            <w:pPr>
              <w:pStyle w:val="TableParagraph"/>
              <w:ind w:left="170"/>
              <w:rPr>
                <w:b/>
                <w:sz w:val="21"/>
              </w:rPr>
            </w:pPr>
            <w:r>
              <w:rPr>
                <w:b/>
                <w:sz w:val="21"/>
              </w:rPr>
              <w:t>基本保险金额</w:t>
            </w:r>
          </w:p>
        </w:tc>
        <w:tc>
          <w:tcPr>
            <w:tcW w:w="7080" w:type="dxa"/>
            <w:tcBorders>
              <w:top w:val="single" w:sz="8" w:space="0" w:color="000000"/>
            </w:tcBorders>
          </w:tcPr>
          <w:p>
            <w:pPr>
              <w:pStyle w:val="TableParagraph"/>
              <w:rPr>
                <w:sz w:val="19"/>
              </w:rPr>
            </w:pPr>
          </w:p>
          <w:p>
            <w:pPr>
              <w:pStyle w:val="TableParagraph"/>
              <w:spacing w:line="273" w:lineRule="auto"/>
              <w:ind w:left="-1" w:right="103"/>
              <w:rPr>
                <w:sz w:val="21"/>
              </w:rPr>
            </w:pPr>
            <w:r>
              <w:rPr>
                <w:spacing w:val="-7"/>
                <w:sz w:val="21"/>
              </w:rPr>
              <w:t>本主险合同按份投保，每份的基本保险金额为 </w:t>
            </w:r>
            <w:r>
              <w:rPr>
                <w:sz w:val="21"/>
              </w:rPr>
              <w:t>10</w:t>
            </w:r>
            <w:r>
              <w:rPr>
                <w:spacing w:val="-10"/>
                <w:sz w:val="21"/>
              </w:rPr>
              <w:t> 万元。投保份数由您和我们</w:t>
            </w:r>
            <w:r>
              <w:rPr>
                <w:spacing w:val="-7"/>
                <w:sz w:val="21"/>
              </w:rPr>
              <w:t>约定并于保险单上载明。</w:t>
            </w:r>
          </w:p>
        </w:tc>
      </w:tr>
      <w:tr>
        <w:trPr>
          <w:trHeight w:val="1112" w:hRule="atLeast"/>
        </w:trPr>
        <w:tc>
          <w:tcPr>
            <w:tcW w:w="756" w:type="dxa"/>
          </w:tcPr>
          <w:p>
            <w:pPr>
              <w:pStyle w:val="TableParagraph"/>
              <w:spacing w:before="9"/>
              <w:rPr>
                <w:sz w:val="14"/>
              </w:rPr>
            </w:pPr>
          </w:p>
          <w:p>
            <w:pPr>
              <w:pStyle w:val="TableParagraph"/>
              <w:spacing w:before="1"/>
              <w:ind w:left="229" w:right="169"/>
              <w:jc w:val="center"/>
              <w:rPr>
                <w:b/>
                <w:sz w:val="21"/>
              </w:rPr>
            </w:pPr>
            <w:r>
              <w:rPr>
                <w:b/>
                <w:sz w:val="21"/>
              </w:rPr>
              <w:t>1.2</w:t>
            </w:r>
          </w:p>
        </w:tc>
        <w:tc>
          <w:tcPr>
            <w:tcW w:w="2297" w:type="dxa"/>
          </w:tcPr>
          <w:p>
            <w:pPr>
              <w:pStyle w:val="TableParagraph"/>
              <w:spacing w:before="9"/>
              <w:rPr>
                <w:sz w:val="14"/>
              </w:rPr>
            </w:pPr>
          </w:p>
          <w:p>
            <w:pPr>
              <w:pStyle w:val="TableParagraph"/>
              <w:spacing w:before="1"/>
              <w:ind w:left="170"/>
              <w:rPr>
                <w:b/>
                <w:sz w:val="21"/>
              </w:rPr>
            </w:pPr>
            <w:r>
              <w:rPr>
                <w:b/>
                <w:sz w:val="21"/>
              </w:rPr>
              <w:t>保险责任</w:t>
            </w:r>
          </w:p>
          <w:p>
            <w:pPr>
              <w:pStyle w:val="TableParagraph"/>
              <w:spacing w:before="9"/>
              <w:rPr>
                <w:sz w:val="21"/>
              </w:rPr>
            </w:pPr>
          </w:p>
          <w:p>
            <w:pPr>
              <w:pStyle w:val="TableParagraph"/>
              <w:spacing w:before="1"/>
              <w:ind w:left="170"/>
              <w:rPr>
                <w:rFonts w:ascii="等线" w:eastAsia="等线" w:hint="eastAsia"/>
                <w:b/>
                <w:sz w:val="24"/>
              </w:rPr>
            </w:pPr>
            <w:r>
              <w:rPr>
                <w:rFonts w:ascii="等线" w:eastAsia="等线" w:hint="eastAsia"/>
                <w:b/>
                <w:sz w:val="24"/>
              </w:rPr>
              <w:t>等待期</w:t>
            </w:r>
          </w:p>
        </w:tc>
        <w:tc>
          <w:tcPr>
            <w:tcW w:w="7080" w:type="dxa"/>
          </w:tcPr>
          <w:p>
            <w:pPr>
              <w:pStyle w:val="TableParagraph"/>
              <w:spacing w:before="9"/>
              <w:rPr>
                <w:sz w:val="14"/>
              </w:rPr>
            </w:pPr>
          </w:p>
          <w:p>
            <w:pPr>
              <w:pStyle w:val="TableParagraph"/>
              <w:spacing w:before="1"/>
              <w:ind w:left="-1"/>
              <w:rPr>
                <w:sz w:val="21"/>
              </w:rPr>
            </w:pPr>
            <w:r>
              <w:rPr>
                <w:sz w:val="21"/>
              </w:rPr>
              <w:t>在本主险合同保险期间内，我们承担如下保险责任：</w:t>
            </w:r>
          </w:p>
          <w:p>
            <w:pPr>
              <w:pStyle w:val="TableParagraph"/>
              <w:spacing w:before="6"/>
              <w:rPr>
                <w:sz w:val="24"/>
              </w:rPr>
            </w:pPr>
          </w:p>
          <w:p>
            <w:pPr>
              <w:pStyle w:val="TableParagraph"/>
              <w:ind w:left="-1"/>
              <w:rPr>
                <w:sz w:val="21"/>
              </w:rPr>
            </w:pPr>
            <w:r>
              <w:rPr>
                <w:spacing w:val="-8"/>
                <w:sz w:val="21"/>
                <w:shd w:fill="DADADA" w:color="auto" w:val="clear"/>
              </w:rPr>
              <w:t>您首次投保或非连续投保本保险时，被保险人在本主险合同生效之日起 </w:t>
            </w:r>
            <w:r>
              <w:rPr>
                <w:sz w:val="21"/>
                <w:shd w:fill="DADADA" w:color="auto" w:val="clear"/>
              </w:rPr>
              <w:t>90</w:t>
            </w:r>
            <w:r>
              <w:rPr>
                <w:spacing w:val="-19"/>
                <w:sz w:val="21"/>
                <w:shd w:fill="DADADA" w:color="auto" w:val="clear"/>
              </w:rPr>
              <w:t> 日</w:t>
            </w:r>
          </w:p>
        </w:tc>
      </w:tr>
      <w:tr>
        <w:trPr>
          <w:trHeight w:val="312" w:hRule="atLeast"/>
        </w:trPr>
        <w:tc>
          <w:tcPr>
            <w:tcW w:w="756" w:type="dxa"/>
          </w:tcPr>
          <w:p>
            <w:pPr>
              <w:pStyle w:val="TableParagraph"/>
              <w:rPr>
                <w:rFonts w:ascii="Times New Roman"/>
                <w:sz w:val="20"/>
              </w:rPr>
            </w:pPr>
          </w:p>
        </w:tc>
        <w:tc>
          <w:tcPr>
            <w:tcW w:w="2297" w:type="dxa"/>
          </w:tcPr>
          <w:p>
            <w:pPr>
              <w:pStyle w:val="TableParagraph"/>
              <w:rPr>
                <w:rFonts w:ascii="Times New Roman"/>
                <w:sz w:val="20"/>
              </w:rPr>
            </w:pPr>
          </w:p>
        </w:tc>
        <w:tc>
          <w:tcPr>
            <w:tcW w:w="7080" w:type="dxa"/>
            <w:shd w:val="clear" w:color="auto" w:fill="DADADA"/>
          </w:tcPr>
          <w:p>
            <w:pPr>
              <w:pStyle w:val="TableParagraph"/>
              <w:spacing w:line="262" w:lineRule="exact"/>
              <w:ind w:left="-1" w:right="-15"/>
              <w:jc w:val="center"/>
              <w:rPr>
                <w:sz w:val="21"/>
              </w:rPr>
            </w:pPr>
            <w:r>
              <w:rPr>
                <w:spacing w:val="-2"/>
                <w:sz w:val="21"/>
              </w:rPr>
              <w:t>内首次发病并经</w:t>
            </w:r>
            <w:r>
              <w:rPr>
                <w:rFonts w:ascii="黑体" w:hAnsi="黑体" w:eastAsia="黑体" w:hint="eastAsia"/>
                <w:b/>
                <w:spacing w:val="-10"/>
                <w:sz w:val="21"/>
              </w:rPr>
              <w:t>医院 </w:t>
            </w:r>
            <w:hyperlink w:history="true" w:anchor="_bookmark0">
              <w:r>
                <w:rPr>
                  <w:rFonts w:ascii="黑体" w:hAnsi="黑体" w:eastAsia="黑体" w:hint="eastAsia"/>
                  <w:b/>
                  <w:position w:val="11"/>
                  <w:sz w:val="11"/>
                </w:rPr>
                <w:t>1</w:t>
              </w:r>
            </w:hyperlink>
            <w:r>
              <w:rPr>
                <w:spacing w:val="-4"/>
                <w:sz w:val="21"/>
              </w:rPr>
              <w:t>确诊为本主险合同约定的 </w:t>
            </w:r>
            <w:r>
              <w:rPr>
                <w:rFonts w:ascii="黑体" w:hAnsi="黑体" w:eastAsia="黑体" w:hint="eastAsia"/>
                <w:b/>
                <w:spacing w:val="-2"/>
                <w:sz w:val="21"/>
              </w:rPr>
              <w:t>“重大疾病”</w:t>
            </w:r>
            <w:hyperlink w:history="true" w:anchor="_bookmark1">
              <w:r>
                <w:rPr>
                  <w:rFonts w:ascii="黑体" w:hAnsi="黑体" w:eastAsia="黑体" w:hint="eastAsia"/>
                  <w:b/>
                  <w:spacing w:val="-11"/>
                  <w:position w:val="11"/>
                  <w:sz w:val="11"/>
                </w:rPr>
                <w:t>2</w:t>
              </w:r>
            </w:hyperlink>
            <w:r>
              <w:rPr>
                <w:rFonts w:ascii="黑体" w:hAnsi="黑体" w:eastAsia="黑体" w:hint="eastAsia"/>
                <w:b/>
                <w:spacing w:val="-25"/>
                <w:sz w:val="21"/>
              </w:rPr>
              <w:t>、“白血病”</w:t>
            </w:r>
            <w:hyperlink w:history="true" w:anchor="_bookmark2">
              <w:r>
                <w:rPr>
                  <w:rFonts w:ascii="黑体" w:hAnsi="黑体" w:eastAsia="黑体" w:hint="eastAsia"/>
                  <w:b/>
                  <w:spacing w:val="-8"/>
                  <w:position w:val="11"/>
                  <w:sz w:val="11"/>
                </w:rPr>
                <w:t>3</w:t>
              </w:r>
            </w:hyperlink>
            <w:r>
              <w:rPr>
                <w:spacing w:val="-8"/>
                <w:sz w:val="21"/>
              </w:rPr>
              <w:t>，</w:t>
            </w:r>
          </w:p>
        </w:tc>
      </w:tr>
      <w:tr>
        <w:trPr>
          <w:trHeight w:val="312" w:hRule="atLeast"/>
        </w:trPr>
        <w:tc>
          <w:tcPr>
            <w:tcW w:w="756" w:type="dxa"/>
          </w:tcPr>
          <w:p>
            <w:pPr>
              <w:pStyle w:val="TableParagraph"/>
              <w:rPr>
                <w:rFonts w:ascii="Times New Roman"/>
                <w:sz w:val="20"/>
              </w:rPr>
            </w:pPr>
          </w:p>
        </w:tc>
        <w:tc>
          <w:tcPr>
            <w:tcW w:w="2297" w:type="dxa"/>
          </w:tcPr>
          <w:p>
            <w:pPr>
              <w:pStyle w:val="TableParagraph"/>
              <w:rPr>
                <w:rFonts w:ascii="Times New Roman"/>
                <w:sz w:val="20"/>
              </w:rPr>
            </w:pPr>
          </w:p>
        </w:tc>
        <w:tc>
          <w:tcPr>
            <w:tcW w:w="7080" w:type="dxa"/>
            <w:shd w:val="clear" w:color="auto" w:fill="DADADA"/>
          </w:tcPr>
          <w:p>
            <w:pPr>
              <w:pStyle w:val="TableParagraph"/>
              <w:spacing w:line="262" w:lineRule="exact"/>
              <w:ind w:left="8" w:right="112"/>
              <w:jc w:val="center"/>
              <w:rPr>
                <w:sz w:val="21"/>
              </w:rPr>
            </w:pPr>
            <w:r>
              <w:rPr>
                <w:spacing w:val="-4"/>
                <w:sz w:val="21"/>
              </w:rPr>
              <w:t>我们不承担保险责任，退还本主险合同</w:t>
            </w:r>
            <w:r>
              <w:rPr>
                <w:rFonts w:ascii="黑体" w:eastAsia="黑体" w:hint="eastAsia"/>
                <w:b/>
                <w:spacing w:val="1"/>
                <w:sz w:val="21"/>
              </w:rPr>
              <w:t>净保险费 </w:t>
            </w:r>
            <w:hyperlink w:history="true" w:anchor="_bookmark3">
              <w:r>
                <w:rPr>
                  <w:rFonts w:ascii="黑体" w:eastAsia="黑体" w:hint="eastAsia"/>
                  <w:b/>
                  <w:position w:val="11"/>
                  <w:sz w:val="11"/>
                </w:rPr>
                <w:t>4</w:t>
              </w:r>
            </w:hyperlink>
            <w:r>
              <w:rPr>
                <w:spacing w:val="-1"/>
                <w:sz w:val="21"/>
              </w:rPr>
              <w:t>，本主险合同终止。这 </w:t>
            </w:r>
            <w:r>
              <w:rPr>
                <w:spacing w:val="-5"/>
                <w:sz w:val="21"/>
              </w:rPr>
              <w:t>90</w:t>
            </w:r>
          </w:p>
        </w:tc>
      </w:tr>
      <w:tr>
        <w:trPr>
          <w:trHeight w:val="2297" w:hRule="atLeast"/>
        </w:trPr>
        <w:tc>
          <w:tcPr>
            <w:tcW w:w="756" w:type="dxa"/>
          </w:tcPr>
          <w:p>
            <w:pPr>
              <w:pStyle w:val="TableParagraph"/>
              <w:rPr>
                <w:rFonts w:ascii="Times New Roman"/>
                <w:sz w:val="20"/>
              </w:rPr>
            </w:pPr>
          </w:p>
        </w:tc>
        <w:tc>
          <w:tcPr>
            <w:tcW w:w="2297" w:type="dxa"/>
          </w:tcPr>
          <w:p>
            <w:pPr>
              <w:pStyle w:val="TableParagraph"/>
              <w:rPr>
                <w:sz w:val="24"/>
              </w:rPr>
            </w:pPr>
          </w:p>
          <w:p>
            <w:pPr>
              <w:pStyle w:val="TableParagraph"/>
              <w:rPr>
                <w:sz w:val="24"/>
              </w:rPr>
            </w:pPr>
          </w:p>
          <w:p>
            <w:pPr>
              <w:pStyle w:val="TableParagraph"/>
              <w:spacing w:before="8"/>
              <w:rPr>
                <w:sz w:val="17"/>
              </w:rPr>
            </w:pPr>
          </w:p>
          <w:p>
            <w:pPr>
              <w:pStyle w:val="TableParagraph"/>
              <w:ind w:left="170"/>
              <w:rPr>
                <w:rFonts w:ascii="等线" w:eastAsia="等线" w:hint="eastAsia"/>
                <w:b/>
                <w:sz w:val="24"/>
              </w:rPr>
            </w:pPr>
            <w:r>
              <w:rPr>
                <w:rFonts w:ascii="等线" w:eastAsia="等线" w:hint="eastAsia"/>
                <w:b/>
                <w:sz w:val="24"/>
              </w:rPr>
              <w:t>重大疾病保险金</w:t>
            </w:r>
          </w:p>
        </w:tc>
        <w:tc>
          <w:tcPr>
            <w:tcW w:w="7080" w:type="dxa"/>
          </w:tcPr>
          <w:p>
            <w:pPr>
              <w:pStyle w:val="TableParagraph"/>
              <w:spacing w:line="273" w:lineRule="auto"/>
              <w:ind w:left="-1" w:right="169"/>
              <w:rPr>
                <w:sz w:val="21"/>
              </w:rPr>
            </w:pPr>
            <w:r>
              <w:rPr>
                <w:sz w:val="21"/>
                <w:shd w:fill="DADADA" w:color="auto" w:val="clear"/>
              </w:rPr>
              <w:t>日的时间称为等待期</w:t>
            </w:r>
            <w:r>
              <w:rPr>
                <w:sz w:val="21"/>
              </w:rPr>
              <w:t>；被保险人因</w:t>
            </w:r>
            <w:r>
              <w:rPr>
                <w:rFonts w:ascii="黑体" w:eastAsia="黑体" w:hint="eastAsia"/>
                <w:b/>
                <w:sz w:val="21"/>
              </w:rPr>
              <w:t>意外伤害 </w:t>
            </w:r>
            <w:hyperlink w:history="true" w:anchor="_bookmark4">
              <w:r>
                <w:rPr>
                  <w:rFonts w:ascii="黑体" w:eastAsia="黑体" w:hint="eastAsia"/>
                  <w:b/>
                  <w:position w:val="11"/>
                  <w:sz w:val="11"/>
                </w:rPr>
                <w:t>5</w:t>
              </w:r>
            </w:hyperlink>
            <w:r>
              <w:rPr>
                <w:sz w:val="21"/>
              </w:rPr>
              <w:t>发生上述情形的，无等待期。如果在等待期后发生保险事故，我们按照下列方式给付保险金：</w:t>
            </w:r>
          </w:p>
          <w:p>
            <w:pPr>
              <w:pStyle w:val="TableParagraph"/>
              <w:spacing w:before="2"/>
              <w:rPr>
                <w:sz w:val="23"/>
              </w:rPr>
            </w:pPr>
          </w:p>
          <w:p>
            <w:pPr>
              <w:pStyle w:val="TableParagraph"/>
              <w:spacing w:line="273" w:lineRule="auto"/>
              <w:ind w:left="-1" w:right="99"/>
              <w:rPr>
                <w:sz w:val="21"/>
              </w:rPr>
            </w:pPr>
            <w:r>
              <w:rPr>
                <w:spacing w:val="-12"/>
                <w:sz w:val="21"/>
              </w:rPr>
              <w:t>被保险人经医院确诊初次发生本主险合同约定的“重大疾病”，我们按照本主</w:t>
            </w:r>
            <w:r>
              <w:rPr>
                <w:spacing w:val="-8"/>
                <w:sz w:val="21"/>
              </w:rPr>
              <w:t>险合同基本保险金额给付重大疾病保险金。</w:t>
            </w:r>
          </w:p>
          <w:p>
            <w:pPr>
              <w:pStyle w:val="TableParagraph"/>
              <w:spacing w:line="273" w:lineRule="auto" w:before="7"/>
              <w:ind w:right="2661" w:hanging="1"/>
              <w:rPr>
                <w:sz w:val="21"/>
              </w:rPr>
            </w:pPr>
            <w:r>
              <w:rPr>
                <w:sz w:val="21"/>
              </w:rPr>
              <w:t>我们给付重大疾病保险金后，本主险合同终止。重大疾病保险金给付以一次为限。</w:t>
            </w:r>
          </w:p>
        </w:tc>
      </w:tr>
      <w:tr>
        <w:trPr>
          <w:trHeight w:val="1523" w:hRule="atLeast"/>
        </w:trPr>
        <w:tc>
          <w:tcPr>
            <w:tcW w:w="756" w:type="dxa"/>
          </w:tcPr>
          <w:p>
            <w:pPr>
              <w:pStyle w:val="TableParagraph"/>
              <w:rPr>
                <w:rFonts w:ascii="Times New Roman"/>
                <w:sz w:val="20"/>
              </w:rPr>
            </w:pPr>
          </w:p>
        </w:tc>
        <w:tc>
          <w:tcPr>
            <w:tcW w:w="2297" w:type="dxa"/>
          </w:tcPr>
          <w:p>
            <w:pPr>
              <w:pStyle w:val="TableParagraph"/>
              <w:spacing w:line="235" w:lineRule="auto" w:before="132"/>
              <w:ind w:left="170" w:right="175"/>
              <w:rPr>
                <w:rFonts w:ascii="等线" w:eastAsia="等线" w:hint="eastAsia"/>
                <w:b/>
                <w:sz w:val="24"/>
              </w:rPr>
            </w:pPr>
            <w:r>
              <w:rPr>
                <w:rFonts w:ascii="等线" w:eastAsia="等线" w:hint="eastAsia"/>
                <w:b/>
                <w:sz w:val="24"/>
              </w:rPr>
              <w:t>白血病疾病保险金</w:t>
            </w:r>
          </w:p>
        </w:tc>
        <w:tc>
          <w:tcPr>
            <w:tcW w:w="7080" w:type="dxa"/>
          </w:tcPr>
          <w:p>
            <w:pPr>
              <w:pStyle w:val="TableParagraph"/>
              <w:spacing w:line="273" w:lineRule="auto" w:before="128"/>
              <w:ind w:left="-1" w:right="99"/>
              <w:jc w:val="both"/>
              <w:rPr>
                <w:sz w:val="21"/>
              </w:rPr>
            </w:pPr>
            <w:r>
              <w:rPr>
                <w:spacing w:val="-12"/>
                <w:sz w:val="21"/>
              </w:rPr>
              <w:t>被保险人经医院确诊初次发生本主险合同约定的“白血病”，但此前未发生本</w:t>
            </w:r>
            <w:r>
              <w:rPr>
                <w:spacing w:val="-17"/>
                <w:w w:val="100"/>
                <w:sz w:val="21"/>
              </w:rPr>
              <w:t>主险合同约定的其他“重大疾病”，我们除了给付上述重大疾病保险金外，还</w:t>
            </w:r>
            <w:r>
              <w:rPr>
                <w:spacing w:val="-11"/>
                <w:sz w:val="21"/>
              </w:rPr>
              <w:t>额外按照本主险合同基本保险金额的 </w:t>
            </w:r>
            <w:r>
              <w:rPr>
                <w:sz w:val="21"/>
              </w:rPr>
              <w:t>50</w:t>
            </w:r>
            <w:r>
              <w:rPr>
                <w:spacing w:val="-4"/>
                <w:sz w:val="21"/>
              </w:rPr>
              <w:t>%给付白血病疾病保险金。</w:t>
            </w:r>
          </w:p>
          <w:p>
            <w:pPr>
              <w:pStyle w:val="TableParagraph"/>
              <w:spacing w:before="7"/>
              <w:ind w:left="-1"/>
              <w:jc w:val="both"/>
              <w:rPr>
                <w:sz w:val="21"/>
              </w:rPr>
            </w:pPr>
            <w:r>
              <w:rPr>
                <w:sz w:val="21"/>
              </w:rPr>
              <w:t>我们给付白血病疾病保险金后，本主险合同终止。</w:t>
            </w:r>
          </w:p>
        </w:tc>
      </w:tr>
      <w:tr>
        <w:trPr>
          <w:trHeight w:val="749" w:hRule="atLeast"/>
        </w:trPr>
        <w:tc>
          <w:tcPr>
            <w:tcW w:w="756" w:type="dxa"/>
          </w:tcPr>
          <w:p>
            <w:pPr>
              <w:pStyle w:val="TableParagraph"/>
              <w:rPr>
                <w:rFonts w:ascii="Times New Roman"/>
                <w:sz w:val="20"/>
              </w:rPr>
            </w:pPr>
          </w:p>
        </w:tc>
        <w:tc>
          <w:tcPr>
            <w:tcW w:w="2297" w:type="dxa"/>
          </w:tcPr>
          <w:p>
            <w:pPr>
              <w:pStyle w:val="TableParagraph"/>
              <w:spacing w:line="316" w:lineRule="exact" w:before="123"/>
              <w:ind w:left="170" w:right="175"/>
              <w:rPr>
                <w:rFonts w:ascii="等线" w:eastAsia="等线" w:hint="eastAsia"/>
                <w:b/>
                <w:sz w:val="24"/>
              </w:rPr>
            </w:pPr>
            <w:r>
              <w:rPr>
                <w:rFonts w:ascii="等线" w:eastAsia="等线" w:hint="eastAsia"/>
                <w:b/>
                <w:sz w:val="24"/>
              </w:rPr>
              <w:t>我们所保障的重大疾病</w:t>
            </w:r>
          </w:p>
        </w:tc>
        <w:tc>
          <w:tcPr>
            <w:tcW w:w="7080" w:type="dxa"/>
          </w:tcPr>
          <w:p>
            <w:pPr>
              <w:pStyle w:val="TableParagraph"/>
              <w:spacing w:line="310" w:lineRule="atLeast" w:before="105"/>
              <w:ind w:left="-1" w:right="99"/>
              <w:rPr>
                <w:sz w:val="21"/>
              </w:rPr>
            </w:pPr>
            <w:r>
              <w:rPr>
                <w:spacing w:val="-6"/>
                <w:sz w:val="21"/>
              </w:rPr>
              <w:t>我们提供保障的重大疾病共有 </w:t>
            </w:r>
            <w:r>
              <w:rPr>
                <w:sz w:val="21"/>
              </w:rPr>
              <w:t>76</w:t>
            </w:r>
            <w:r>
              <w:rPr>
                <w:spacing w:val="-9"/>
                <w:sz w:val="21"/>
              </w:rPr>
              <w:t> 种，名称如下，具体释义见</w:t>
            </w:r>
            <w:r>
              <w:rPr>
                <w:sz w:val="21"/>
              </w:rPr>
              <w:t>“6</w:t>
            </w:r>
            <w:r>
              <w:rPr>
                <w:spacing w:val="-9"/>
                <w:sz w:val="21"/>
              </w:rPr>
              <w:t> 重大疾病释</w:t>
            </w:r>
            <w:r>
              <w:rPr>
                <w:spacing w:val="-39"/>
                <w:sz w:val="21"/>
              </w:rPr>
              <w:t>义”。</w:t>
            </w:r>
          </w:p>
        </w:tc>
      </w:tr>
    </w:tbl>
    <w:p>
      <w:pPr>
        <w:pStyle w:val="BodyText"/>
        <w:rPr>
          <w:sz w:val="20"/>
        </w:rPr>
      </w:pPr>
    </w:p>
    <w:p>
      <w:pPr>
        <w:pStyle w:val="BodyText"/>
        <w:spacing w:before="13"/>
        <w:rPr>
          <w:sz w:val="19"/>
        </w:rPr>
      </w:pPr>
      <w:r>
        <w:rPr/>
        <w:pict>
          <v:line style="position:absolute;mso-position-horizontal-relative:page;mso-position-vertical-relative:paragraph;z-index:1144;mso-wrap-distance-left:0;mso-wrap-distance-right:0" from="51.119999pt,15.281563pt" to="195.119999pt,15.281563pt" stroked="true" strokeweight=".481pt" strokecolor="#000000">
            <v:stroke dashstyle="solid"/>
            <w10:wrap type="topAndBottom"/>
          </v:line>
        </w:pict>
      </w:r>
    </w:p>
    <w:p>
      <w:pPr>
        <w:spacing w:line="268" w:lineRule="auto" w:before="29"/>
        <w:ind w:left="366" w:right="184" w:hanging="144"/>
        <w:jc w:val="left"/>
        <w:rPr>
          <w:sz w:val="18"/>
        </w:rPr>
      </w:pPr>
      <w:bookmarkStart w:name="_bookmark0" w:id="1"/>
      <w:bookmarkEnd w:id="1"/>
      <w:r>
        <w:rPr/>
      </w:r>
      <w:r>
        <w:rPr>
          <w:rFonts w:ascii="Microsoft JhengHei" w:eastAsia="Microsoft JhengHei" w:hint="eastAsia"/>
          <w:b/>
          <w:position w:val="9"/>
          <w:sz w:val="9"/>
        </w:rPr>
        <w:t>1</w:t>
      </w:r>
      <w:r>
        <w:rPr>
          <w:rFonts w:ascii="Microsoft JhengHei" w:eastAsia="Microsoft JhengHei" w:hint="eastAsia"/>
          <w:b/>
          <w:spacing w:val="1"/>
          <w:position w:val="9"/>
          <w:sz w:val="9"/>
        </w:rPr>
        <w:t>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5"/>
          <w:sz w:val="18"/>
          <w:shd w:fill="DADADA" w:color="auto" w:val="clear"/>
        </w:rPr>
        <w:t>但不包括精神病院及专供康复、休养、戒毒、戒酒、护理、养老等非以直接诊治病人为目的的医疗机构。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line="278" w:lineRule="exact" w:before="13"/>
        <w:ind w:left="404" w:right="270" w:hanging="183"/>
        <w:jc w:val="both"/>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pacing w:val="-2"/>
          <w:sz w:val="18"/>
        </w:rPr>
        <w:t>重大疾病</w:t>
      </w:r>
      <w:r>
        <w:rPr>
          <w:spacing w:val="-7"/>
          <w:sz w:val="18"/>
        </w:rPr>
        <w:t>指被保险人初次发生符合“</w:t>
      </w:r>
      <w:r>
        <w:rPr>
          <w:sz w:val="18"/>
        </w:rPr>
        <w:t>6</w:t>
      </w:r>
      <w:r>
        <w:rPr>
          <w:spacing w:val="-10"/>
          <w:sz w:val="18"/>
        </w:rPr>
        <w:t> 重大疾病释义”定义的疾病，或初次接受符合</w:t>
      </w:r>
      <w:r>
        <w:rPr>
          <w:sz w:val="18"/>
        </w:rPr>
        <w:t>“6</w:t>
      </w:r>
      <w:r>
        <w:rPr>
          <w:spacing w:val="-10"/>
          <w:sz w:val="18"/>
        </w:rPr>
        <w:t> 重大疾病释义”定义的手术。该疾病</w:t>
      </w:r>
      <w:r>
        <w:rPr>
          <w:spacing w:val="-6"/>
          <w:w w:val="101"/>
          <w:sz w:val="18"/>
        </w:rPr>
        <w:t>或手术应当由专科医生明确诊断。专科医生应当同时满足以下四项资格条件</w:t>
      </w:r>
      <w:r>
        <w:rPr>
          <w:spacing w:val="-106"/>
          <w:w w:val="101"/>
          <w:sz w:val="18"/>
        </w:rPr>
        <w:t>：</w:t>
      </w:r>
      <w:r>
        <w:rPr>
          <w:spacing w:val="-1"/>
          <w:w w:val="101"/>
          <w:sz w:val="18"/>
        </w:rPr>
        <w:t>（</w:t>
      </w:r>
      <w:r>
        <w:rPr>
          <w:w w:val="101"/>
          <w:sz w:val="18"/>
        </w:rPr>
        <w:t>1</w:t>
      </w:r>
      <w:r>
        <w:rPr>
          <w:spacing w:val="-15"/>
          <w:w w:val="101"/>
          <w:sz w:val="18"/>
        </w:rPr>
        <w:t>）</w:t>
      </w:r>
      <w:r>
        <w:rPr>
          <w:spacing w:val="-6"/>
          <w:w w:val="101"/>
          <w:sz w:val="18"/>
        </w:rPr>
        <w:t>具有有效的中华人民共和国《医师资格证</w:t>
      </w:r>
      <w:r>
        <w:rPr>
          <w:spacing w:val="-67"/>
          <w:w w:val="101"/>
          <w:sz w:val="18"/>
        </w:rPr>
        <w:t>书》；</w:t>
      </w:r>
      <w:r>
        <w:rPr>
          <w:w w:val="101"/>
          <w:sz w:val="18"/>
        </w:rPr>
        <w:t>（</w:t>
      </w:r>
      <w:r>
        <w:rPr>
          <w:spacing w:val="-5"/>
          <w:w w:val="101"/>
          <w:sz w:val="18"/>
        </w:rPr>
        <w:t>2）</w:t>
      </w:r>
      <w:r>
        <w:rPr>
          <w:spacing w:val="-14"/>
          <w:w w:val="101"/>
          <w:sz w:val="18"/>
        </w:rPr>
        <w:t>具有有效的中华人民共和国《医师执业证书》，并按期到相关部门登记注册；</w:t>
      </w:r>
      <w:r>
        <w:rPr>
          <w:spacing w:val="-2"/>
          <w:w w:val="101"/>
          <w:sz w:val="18"/>
        </w:rPr>
        <w:t>（</w:t>
      </w:r>
      <w:r>
        <w:rPr>
          <w:spacing w:val="-5"/>
          <w:w w:val="101"/>
          <w:sz w:val="18"/>
        </w:rPr>
        <w:t>3</w:t>
      </w:r>
      <w:r>
        <w:rPr>
          <w:spacing w:val="-10"/>
          <w:w w:val="101"/>
          <w:sz w:val="18"/>
        </w:rPr>
        <w:t>）</w:t>
      </w:r>
      <w:r>
        <w:rPr>
          <w:spacing w:val="-5"/>
          <w:w w:val="101"/>
          <w:sz w:val="18"/>
        </w:rPr>
        <w:t>具有有效的中华人民共和国主治</w:t>
      </w:r>
    </w:p>
    <w:p>
      <w:pPr>
        <w:spacing w:line="204" w:lineRule="exact" w:before="17"/>
        <w:ind w:left="404" w:right="0" w:firstLine="0"/>
        <w:jc w:val="left"/>
        <w:rPr>
          <w:sz w:val="18"/>
        </w:rPr>
      </w:pP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41" w:lineRule="exact" w:before="0"/>
        <w:ind w:left="222" w:right="0" w:firstLine="0"/>
        <w:jc w:val="left"/>
        <w:rPr>
          <w:sz w:val="18"/>
        </w:rPr>
      </w:pPr>
      <w:bookmarkStart w:name="_bookmark2" w:id="3"/>
      <w:bookmarkEnd w:id="3"/>
      <w:r>
        <w:rPr/>
      </w:r>
      <w:r>
        <w:rPr>
          <w:b/>
          <w:position w:val="9"/>
          <w:sz w:val="9"/>
        </w:rPr>
        <w:t>3 </w:t>
      </w:r>
      <w:r>
        <w:rPr>
          <w:rFonts w:ascii="Microsoft JhengHei" w:hAnsi="Microsoft JhengHei" w:eastAsia="Microsoft JhengHei" w:hint="eastAsia"/>
          <w:b/>
          <w:sz w:val="18"/>
        </w:rPr>
        <w:t>白血病</w:t>
      </w:r>
      <w:r>
        <w:rPr>
          <w:sz w:val="18"/>
        </w:rPr>
        <w:t>指被保险人初次发生符合“7 白血病释义”定义的疾病。</w:t>
      </w:r>
    </w:p>
    <w:p>
      <w:pPr>
        <w:spacing w:line="257" w:lineRule="exact" w:before="0"/>
        <w:ind w:left="222" w:right="0" w:firstLine="0"/>
        <w:jc w:val="left"/>
        <w:rPr>
          <w:sz w:val="18"/>
        </w:rPr>
      </w:pPr>
      <w:bookmarkStart w:name="_bookmark3" w:id="4"/>
      <w:bookmarkEnd w:id="4"/>
      <w:r>
        <w:rPr/>
      </w:r>
      <w:r>
        <w:rPr>
          <w:b/>
          <w:position w:val="10"/>
          <w:sz w:val="9"/>
        </w:rPr>
        <w:t>4   </w:t>
      </w:r>
      <w:r>
        <w:rPr>
          <w:rFonts w:ascii="Microsoft JhengHei" w:hAnsi="Microsoft JhengHei" w:eastAsia="Microsoft JhengHei" w:hint="eastAsia"/>
          <w:b/>
          <w:position w:val="1"/>
          <w:sz w:val="18"/>
        </w:rPr>
        <w:t>净保</w:t>
      </w:r>
      <w:r>
        <w:rPr>
          <w:rFonts w:ascii="Microsoft JhengHei" w:hAnsi="Microsoft JhengHei" w:eastAsia="Microsoft JhengHei" w:hint="eastAsia"/>
          <w:b/>
          <w:spacing w:val="-5"/>
          <w:position w:val="1"/>
          <w:sz w:val="18"/>
        </w:rPr>
        <w:t>险</w:t>
      </w:r>
      <w:r>
        <w:rPr>
          <w:rFonts w:ascii="Microsoft JhengHei" w:hAnsi="Microsoft JhengHei" w:eastAsia="Microsoft JhengHei" w:hint="eastAsia"/>
          <w:b/>
          <w:position w:val="1"/>
          <w:sz w:val="18"/>
        </w:rPr>
        <w:t>费</w:t>
      </w:r>
      <w:r>
        <w:rPr>
          <w:spacing w:val="-5"/>
          <w:position w:val="1"/>
          <w:sz w:val="18"/>
        </w:rPr>
        <w:t>指</w:t>
      </w:r>
      <w:r>
        <w:rPr>
          <w:position w:val="1"/>
          <w:sz w:val="18"/>
        </w:rPr>
        <w:t>不</w:t>
      </w:r>
      <w:r>
        <w:rPr>
          <w:spacing w:val="-5"/>
          <w:position w:val="1"/>
          <w:sz w:val="18"/>
        </w:rPr>
        <w:t>包</w:t>
      </w:r>
      <w:r>
        <w:rPr>
          <w:position w:val="1"/>
          <w:sz w:val="18"/>
        </w:rPr>
        <w:t>含</w:t>
      </w:r>
      <w:r>
        <w:rPr>
          <w:spacing w:val="-5"/>
          <w:position w:val="1"/>
          <w:sz w:val="18"/>
        </w:rPr>
        <w:t>公</w:t>
      </w:r>
      <w:r>
        <w:rPr>
          <w:position w:val="1"/>
          <w:sz w:val="18"/>
        </w:rPr>
        <w:t>司</w:t>
      </w:r>
      <w:r>
        <w:rPr>
          <w:spacing w:val="-5"/>
          <w:position w:val="1"/>
          <w:sz w:val="18"/>
        </w:rPr>
        <w:t>营</w:t>
      </w:r>
      <w:r>
        <w:rPr>
          <w:position w:val="1"/>
          <w:sz w:val="18"/>
        </w:rPr>
        <w:t>业</w:t>
      </w:r>
      <w:r>
        <w:rPr>
          <w:spacing w:val="-5"/>
          <w:position w:val="1"/>
          <w:sz w:val="18"/>
        </w:rPr>
        <w:t>费</w:t>
      </w:r>
      <w:r>
        <w:rPr>
          <w:position w:val="1"/>
          <w:sz w:val="18"/>
        </w:rPr>
        <w:t>用</w:t>
      </w:r>
      <w:r>
        <w:rPr>
          <w:spacing w:val="-5"/>
          <w:position w:val="1"/>
          <w:sz w:val="18"/>
        </w:rPr>
        <w:t>、</w:t>
      </w:r>
      <w:r>
        <w:rPr>
          <w:position w:val="1"/>
          <w:sz w:val="18"/>
        </w:rPr>
        <w:t>佣</w:t>
      </w:r>
      <w:r>
        <w:rPr>
          <w:spacing w:val="-5"/>
          <w:position w:val="1"/>
          <w:sz w:val="18"/>
        </w:rPr>
        <w:t>金</w:t>
      </w:r>
      <w:r>
        <w:rPr>
          <w:position w:val="1"/>
          <w:sz w:val="18"/>
        </w:rPr>
        <w:t>等</w:t>
      </w:r>
      <w:r>
        <w:rPr>
          <w:spacing w:val="-5"/>
          <w:position w:val="1"/>
          <w:sz w:val="18"/>
        </w:rPr>
        <w:t>其</w:t>
      </w:r>
      <w:r>
        <w:rPr>
          <w:position w:val="1"/>
          <w:sz w:val="18"/>
        </w:rPr>
        <w:t>他</w:t>
      </w:r>
      <w:r>
        <w:rPr>
          <w:spacing w:val="-5"/>
          <w:position w:val="1"/>
          <w:sz w:val="18"/>
        </w:rPr>
        <w:t>费</w:t>
      </w:r>
      <w:r>
        <w:rPr>
          <w:position w:val="1"/>
          <w:sz w:val="18"/>
        </w:rPr>
        <w:t>用</w:t>
      </w:r>
      <w:r>
        <w:rPr>
          <w:spacing w:val="-5"/>
          <w:position w:val="1"/>
          <w:sz w:val="18"/>
        </w:rPr>
        <w:t>的</w:t>
      </w:r>
      <w:r>
        <w:rPr>
          <w:position w:val="1"/>
          <w:sz w:val="18"/>
        </w:rPr>
        <w:t>保</w:t>
      </w:r>
      <w:r>
        <w:rPr>
          <w:spacing w:val="-5"/>
          <w:position w:val="1"/>
          <w:sz w:val="18"/>
        </w:rPr>
        <w:t>险费</w:t>
      </w:r>
      <w:r>
        <w:rPr>
          <w:position w:val="1"/>
          <w:sz w:val="18"/>
        </w:rPr>
        <w:t>。</w:t>
      </w:r>
      <w:r>
        <w:rPr>
          <w:spacing w:val="-5"/>
          <w:position w:val="1"/>
          <w:sz w:val="18"/>
        </w:rPr>
        <w:t>其</w:t>
      </w:r>
      <w:r>
        <w:rPr>
          <w:position w:val="1"/>
          <w:sz w:val="18"/>
        </w:rPr>
        <w:t>计</w:t>
      </w:r>
      <w:r>
        <w:rPr>
          <w:spacing w:val="-5"/>
          <w:position w:val="1"/>
          <w:sz w:val="18"/>
        </w:rPr>
        <w:t>算</w:t>
      </w:r>
      <w:r>
        <w:rPr>
          <w:position w:val="1"/>
          <w:sz w:val="18"/>
        </w:rPr>
        <w:t>公</w:t>
      </w:r>
      <w:r>
        <w:rPr>
          <w:spacing w:val="-5"/>
          <w:position w:val="1"/>
          <w:sz w:val="18"/>
        </w:rPr>
        <w:t>式</w:t>
      </w:r>
      <w:r>
        <w:rPr>
          <w:position w:val="1"/>
          <w:sz w:val="18"/>
        </w:rPr>
        <w:t>为</w:t>
      </w:r>
      <w:r>
        <w:rPr>
          <w:spacing w:val="-5"/>
          <w:position w:val="1"/>
          <w:sz w:val="18"/>
        </w:rPr>
        <w:t>“</w:t>
      </w:r>
      <w:r>
        <w:rPr>
          <w:position w:val="1"/>
          <w:sz w:val="18"/>
        </w:rPr>
        <w:t>保</w:t>
      </w:r>
      <w:r>
        <w:rPr>
          <w:spacing w:val="-5"/>
          <w:position w:val="1"/>
          <w:sz w:val="18"/>
        </w:rPr>
        <w:t>险</w:t>
      </w:r>
      <w:r>
        <w:rPr>
          <w:position w:val="1"/>
          <w:sz w:val="18"/>
        </w:rPr>
        <w:t>费</w:t>
      </w:r>
      <w:r>
        <w:rPr>
          <w:spacing w:val="5"/>
          <w:w w:val="101"/>
          <w:sz w:val="18"/>
        </w:rPr>
        <w:drawing>
          <wp:inline distT="0" distB="0" distL="0" distR="0">
            <wp:extent cx="50800" cy="88900"/>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50800" cy="88900"/>
                    </a:xfrm>
                    <a:prstGeom prst="rect">
                      <a:avLst/>
                    </a:prstGeom>
                  </pic:spPr>
                </pic:pic>
              </a:graphicData>
            </a:graphic>
          </wp:inline>
        </w:drawing>
      </w:r>
      <w:r>
        <w:rPr>
          <w:spacing w:val="5"/>
          <w:w w:val="101"/>
          <w:sz w:val="18"/>
        </w:rPr>
      </w:r>
      <w:r>
        <w:rPr>
          <w:spacing w:val="-94"/>
          <w:position w:val="1"/>
          <w:sz w:val="18"/>
        </w:rPr>
        <w:t>）”</w:t>
      </w:r>
      <w:r>
        <w:rPr>
          <w:spacing w:val="-96"/>
          <w:position w:val="1"/>
          <w:sz w:val="18"/>
        </w:rPr>
        <w:t>。</w:t>
      </w:r>
    </w:p>
    <w:p>
      <w:pPr>
        <w:spacing w:line="298" w:lineRule="exact" w:before="0"/>
        <w:ind w:left="222"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意外伤害</w:t>
      </w:r>
      <w:r>
        <w:rPr>
          <w:sz w:val="18"/>
        </w:rPr>
        <w:t>指遭受外来的、突发的、非本意的、非疾病的使身体受到伤害的客观事件。</w:t>
      </w:r>
    </w:p>
    <w:p>
      <w:pPr>
        <w:spacing w:after="0" w:line="298" w:lineRule="exact"/>
        <w:jc w:val="left"/>
        <w:rPr>
          <w:sz w:val="18"/>
        </w:rPr>
        <w:sectPr>
          <w:pgSz w:w="11910" w:h="16840"/>
          <w:pgMar w:top="860" w:bottom="280" w:left="800" w:right="740"/>
        </w:sectPr>
      </w:pPr>
    </w:p>
    <w:tbl>
      <w:tblPr>
        <w:tblW w:w="0" w:type="auto"/>
        <w:jc w:val="left"/>
        <w:tblInd w:w="2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5"/>
        <w:gridCol w:w="3850"/>
      </w:tblGrid>
      <w:tr>
        <w:trPr>
          <w:trHeight w:val="330" w:hRule="atLeast"/>
        </w:trPr>
        <w:tc>
          <w:tcPr>
            <w:tcW w:w="6725" w:type="dxa"/>
            <w:gridSpan w:val="2"/>
          </w:tcPr>
          <w:p>
            <w:pPr>
              <w:pStyle w:val="TableParagraph"/>
              <w:spacing w:line="269" w:lineRule="exact"/>
              <w:ind w:left="110"/>
              <w:rPr>
                <w:b/>
                <w:sz w:val="21"/>
              </w:rPr>
            </w:pPr>
            <w:r>
              <w:rPr>
                <w:b/>
                <w:sz w:val="21"/>
              </w:rPr>
              <w:t>第 1 类：与恶性肿瘤相关的疾病</w:t>
            </w:r>
          </w:p>
        </w:tc>
      </w:tr>
      <w:tr>
        <w:trPr>
          <w:trHeight w:val="470" w:hRule="atLeast"/>
        </w:trPr>
        <w:tc>
          <w:tcPr>
            <w:tcW w:w="2875" w:type="dxa"/>
            <w:tcBorders>
              <w:right w:val="nil"/>
            </w:tcBorders>
          </w:tcPr>
          <w:p>
            <w:pPr>
              <w:pStyle w:val="TableParagraph"/>
              <w:spacing w:before="66"/>
              <w:ind w:left="110"/>
              <w:rPr>
                <w:sz w:val="21"/>
              </w:rPr>
            </w:pPr>
            <w:r>
              <w:rPr>
                <w:sz w:val="21"/>
              </w:rPr>
              <w:t>1、恶性肿瘤</w:t>
            </w:r>
          </w:p>
        </w:tc>
        <w:tc>
          <w:tcPr>
            <w:tcW w:w="3850" w:type="dxa"/>
            <w:tcBorders>
              <w:left w:val="nil"/>
            </w:tcBorders>
          </w:tcPr>
          <w:p>
            <w:pPr>
              <w:pStyle w:val="TableParagraph"/>
              <w:spacing w:before="66"/>
              <w:ind w:left="110"/>
              <w:rPr>
                <w:sz w:val="21"/>
              </w:rPr>
            </w:pPr>
            <w:r>
              <w:rPr>
                <w:sz w:val="21"/>
              </w:rPr>
              <w:t>2、侵蚀性葡萄胎（或称恶性葡萄胎）</w:t>
            </w:r>
          </w:p>
        </w:tc>
      </w:tr>
      <w:tr>
        <w:trPr>
          <w:trHeight w:val="325" w:hRule="atLeast"/>
        </w:trPr>
        <w:tc>
          <w:tcPr>
            <w:tcW w:w="6725" w:type="dxa"/>
            <w:gridSpan w:val="2"/>
          </w:tcPr>
          <w:p>
            <w:pPr>
              <w:pStyle w:val="TableParagraph"/>
              <w:spacing w:line="260" w:lineRule="exact"/>
              <w:ind w:left="110"/>
              <w:rPr>
                <w:b/>
                <w:sz w:val="21"/>
              </w:rPr>
            </w:pPr>
            <w:r>
              <w:rPr>
                <w:b/>
                <w:sz w:val="21"/>
              </w:rPr>
              <w:t>第 2 类：与心脏或脑血管相关的疾病</w:t>
            </w:r>
          </w:p>
        </w:tc>
      </w:tr>
      <w:tr>
        <w:trPr>
          <w:trHeight w:val="2188" w:hRule="atLeast"/>
        </w:trPr>
        <w:tc>
          <w:tcPr>
            <w:tcW w:w="2875" w:type="dxa"/>
            <w:tcBorders>
              <w:right w:val="nil"/>
            </w:tcBorders>
          </w:tcPr>
          <w:p>
            <w:pPr>
              <w:pStyle w:val="TableParagraph"/>
              <w:spacing w:line="265" w:lineRule="exact"/>
              <w:ind w:left="110"/>
              <w:rPr>
                <w:sz w:val="21"/>
              </w:rPr>
            </w:pPr>
            <w:r>
              <w:rPr>
                <w:sz w:val="21"/>
              </w:rPr>
              <w:t>3、急性心肌梗塞</w:t>
            </w:r>
          </w:p>
          <w:p>
            <w:pPr>
              <w:pStyle w:val="TableParagraph"/>
              <w:spacing w:before="37"/>
              <w:ind w:left="110"/>
              <w:rPr>
                <w:sz w:val="21"/>
              </w:rPr>
            </w:pPr>
            <w:r>
              <w:rPr>
                <w:sz w:val="21"/>
              </w:rPr>
              <w:t>5、心脏瓣膜手术</w:t>
            </w:r>
          </w:p>
          <w:p>
            <w:pPr>
              <w:pStyle w:val="TableParagraph"/>
              <w:spacing w:before="37"/>
              <w:ind w:left="110"/>
              <w:rPr>
                <w:sz w:val="21"/>
              </w:rPr>
            </w:pPr>
            <w:r>
              <w:rPr>
                <w:sz w:val="21"/>
              </w:rPr>
              <w:t>7、脑中风后遗症</w:t>
            </w:r>
          </w:p>
          <w:p>
            <w:pPr>
              <w:pStyle w:val="TableParagraph"/>
              <w:spacing w:before="37"/>
              <w:ind w:left="110"/>
              <w:rPr>
                <w:sz w:val="21"/>
              </w:rPr>
            </w:pPr>
            <w:r>
              <w:rPr>
                <w:sz w:val="21"/>
              </w:rPr>
              <w:t>9、主动脉手术</w:t>
            </w:r>
          </w:p>
          <w:p>
            <w:pPr>
              <w:pStyle w:val="TableParagraph"/>
              <w:spacing w:before="37"/>
              <w:ind w:left="110"/>
              <w:rPr>
                <w:sz w:val="21"/>
              </w:rPr>
            </w:pPr>
            <w:r>
              <w:rPr>
                <w:sz w:val="21"/>
              </w:rPr>
              <w:t>10、严重感染性心内膜炎</w:t>
            </w:r>
          </w:p>
          <w:p>
            <w:pPr>
              <w:pStyle w:val="TableParagraph"/>
              <w:spacing w:before="37"/>
              <w:ind w:left="110"/>
              <w:rPr>
                <w:sz w:val="21"/>
              </w:rPr>
            </w:pPr>
            <w:r>
              <w:rPr>
                <w:sz w:val="21"/>
              </w:rPr>
              <w:t>12、艾森门格综合征</w:t>
            </w:r>
          </w:p>
          <w:p>
            <w:pPr>
              <w:pStyle w:val="TableParagraph"/>
              <w:spacing w:before="37"/>
              <w:ind w:left="110"/>
              <w:rPr>
                <w:sz w:val="21"/>
              </w:rPr>
            </w:pPr>
            <w:r>
              <w:rPr>
                <w:sz w:val="21"/>
              </w:rPr>
              <w:t>14、严重冠心病</w:t>
            </w:r>
          </w:p>
        </w:tc>
        <w:tc>
          <w:tcPr>
            <w:tcW w:w="3850" w:type="dxa"/>
            <w:tcBorders>
              <w:left w:val="nil"/>
            </w:tcBorders>
          </w:tcPr>
          <w:p>
            <w:pPr>
              <w:pStyle w:val="TableParagraph"/>
              <w:spacing w:line="264" w:lineRule="exact"/>
              <w:ind w:left="110"/>
              <w:rPr>
                <w:sz w:val="21"/>
              </w:rPr>
            </w:pPr>
            <w:r>
              <w:rPr>
                <w:sz w:val="21"/>
              </w:rPr>
              <w:t>4、严重原发性肺动脉高压</w:t>
            </w:r>
          </w:p>
          <w:p>
            <w:pPr>
              <w:pStyle w:val="TableParagraph"/>
              <w:spacing w:before="37"/>
              <w:ind w:left="110"/>
              <w:rPr>
                <w:sz w:val="21"/>
              </w:rPr>
            </w:pPr>
            <w:r>
              <w:rPr>
                <w:sz w:val="21"/>
              </w:rPr>
              <w:t>6、严重的原发性心肌病</w:t>
            </w:r>
          </w:p>
          <w:p>
            <w:pPr>
              <w:pStyle w:val="TableParagraph"/>
              <w:spacing w:line="273" w:lineRule="auto" w:before="37"/>
              <w:ind w:left="427" w:right="34" w:hanging="317"/>
              <w:rPr>
                <w:sz w:val="21"/>
              </w:rPr>
            </w:pPr>
            <w:r>
              <w:rPr>
                <w:sz w:val="21"/>
              </w:rPr>
              <w:t>8、冠状动脉搭桥术（或称冠状动脉旁路移植术）</w:t>
            </w:r>
          </w:p>
          <w:p>
            <w:pPr>
              <w:pStyle w:val="TableParagraph"/>
              <w:spacing w:before="7"/>
              <w:ind w:left="110"/>
              <w:rPr>
                <w:sz w:val="21"/>
              </w:rPr>
            </w:pPr>
            <w:r>
              <w:rPr>
                <w:sz w:val="21"/>
              </w:rPr>
              <w:t>11、严重肺源性心脏病</w:t>
            </w:r>
          </w:p>
          <w:p>
            <w:pPr>
              <w:pStyle w:val="TableParagraph"/>
              <w:spacing w:before="36"/>
              <w:ind w:left="110"/>
              <w:rPr>
                <w:sz w:val="21"/>
              </w:rPr>
            </w:pPr>
            <w:r>
              <w:rPr>
                <w:sz w:val="21"/>
              </w:rPr>
              <w:t>13、严重的Ⅲ度房室传导阻滞</w:t>
            </w:r>
          </w:p>
          <w:p>
            <w:pPr>
              <w:pStyle w:val="TableParagraph"/>
              <w:spacing w:before="36"/>
              <w:ind w:left="110"/>
              <w:rPr>
                <w:sz w:val="21"/>
              </w:rPr>
            </w:pPr>
            <w:r>
              <w:rPr>
                <w:sz w:val="21"/>
              </w:rPr>
              <w:t>15、风湿热导致的心脏瓣膜疾病</w:t>
            </w:r>
          </w:p>
        </w:tc>
      </w:tr>
      <w:tr>
        <w:trPr>
          <w:trHeight w:val="311" w:hRule="atLeast"/>
        </w:trPr>
        <w:tc>
          <w:tcPr>
            <w:tcW w:w="6725" w:type="dxa"/>
            <w:gridSpan w:val="2"/>
          </w:tcPr>
          <w:p>
            <w:pPr>
              <w:pStyle w:val="TableParagraph"/>
              <w:spacing w:line="260" w:lineRule="exact"/>
              <w:ind w:left="110"/>
              <w:rPr>
                <w:b/>
                <w:sz w:val="21"/>
              </w:rPr>
            </w:pPr>
            <w:r>
              <w:rPr>
                <w:b/>
                <w:sz w:val="21"/>
              </w:rPr>
              <w:t>第 3 类：与器官功能严重受损相关的疾病</w:t>
            </w:r>
          </w:p>
        </w:tc>
      </w:tr>
      <w:tr>
        <w:trPr>
          <w:trHeight w:val="4679" w:hRule="atLeast"/>
        </w:trPr>
        <w:tc>
          <w:tcPr>
            <w:tcW w:w="2875" w:type="dxa"/>
            <w:tcBorders>
              <w:right w:val="nil"/>
            </w:tcBorders>
          </w:tcPr>
          <w:p>
            <w:pPr>
              <w:pStyle w:val="TableParagraph"/>
              <w:spacing w:line="260" w:lineRule="exact"/>
              <w:ind w:left="110"/>
              <w:rPr>
                <w:sz w:val="21"/>
              </w:rPr>
            </w:pPr>
            <w:r>
              <w:rPr>
                <w:sz w:val="21"/>
              </w:rPr>
              <w:t>16、重型再生障碍性贫血</w:t>
            </w:r>
          </w:p>
          <w:p>
            <w:pPr>
              <w:pStyle w:val="TableParagraph"/>
              <w:spacing w:before="37"/>
              <w:ind w:left="110"/>
              <w:rPr>
                <w:sz w:val="21"/>
              </w:rPr>
            </w:pPr>
            <w:r>
              <w:rPr>
                <w:sz w:val="21"/>
              </w:rPr>
              <w:t>18、双耳失聪</w:t>
            </w:r>
          </w:p>
          <w:p>
            <w:pPr>
              <w:pStyle w:val="TableParagraph"/>
              <w:spacing w:line="273" w:lineRule="auto" w:before="37"/>
              <w:ind w:left="532" w:right="24" w:hanging="423"/>
              <w:rPr>
                <w:sz w:val="21"/>
              </w:rPr>
            </w:pPr>
            <w:r>
              <w:rPr>
                <w:sz w:val="21"/>
              </w:rPr>
              <w:t>20、系统性红斑狼疮并发肾功能损害</w:t>
            </w:r>
          </w:p>
          <w:p>
            <w:pPr>
              <w:pStyle w:val="TableParagraph"/>
              <w:spacing w:before="7"/>
              <w:ind w:left="110"/>
              <w:rPr>
                <w:sz w:val="21"/>
              </w:rPr>
            </w:pPr>
            <w:r>
              <w:rPr>
                <w:sz w:val="21"/>
              </w:rPr>
              <w:t>23、严重溃疡性结肠炎</w:t>
            </w:r>
          </w:p>
          <w:p>
            <w:pPr>
              <w:pStyle w:val="TableParagraph"/>
              <w:spacing w:before="36"/>
              <w:ind w:left="110"/>
              <w:rPr>
                <w:sz w:val="21"/>
              </w:rPr>
            </w:pPr>
            <w:r>
              <w:rPr>
                <w:sz w:val="21"/>
              </w:rPr>
              <w:t>25、终末期肺病</w:t>
            </w:r>
          </w:p>
          <w:p>
            <w:pPr>
              <w:pStyle w:val="TableParagraph"/>
              <w:spacing w:before="36"/>
              <w:ind w:left="110"/>
              <w:rPr>
                <w:sz w:val="21"/>
              </w:rPr>
            </w:pPr>
            <w:r>
              <w:rPr>
                <w:sz w:val="21"/>
              </w:rPr>
              <w:t>26、胰腺移植</w:t>
            </w:r>
          </w:p>
          <w:p>
            <w:pPr>
              <w:pStyle w:val="TableParagraph"/>
              <w:spacing w:before="36"/>
              <w:ind w:left="110"/>
              <w:rPr>
                <w:sz w:val="21"/>
              </w:rPr>
            </w:pPr>
            <w:r>
              <w:rPr>
                <w:sz w:val="21"/>
              </w:rPr>
              <w:t>28、严重肾髓质囊性病</w:t>
            </w:r>
          </w:p>
          <w:p>
            <w:pPr>
              <w:pStyle w:val="TableParagraph"/>
              <w:spacing w:before="36"/>
              <w:ind w:left="110"/>
              <w:rPr>
                <w:sz w:val="21"/>
              </w:rPr>
            </w:pPr>
            <w:r>
              <w:rPr>
                <w:sz w:val="21"/>
              </w:rPr>
              <w:t>30、严重自身免疫性肝炎</w:t>
            </w:r>
          </w:p>
          <w:p>
            <w:pPr>
              <w:pStyle w:val="TableParagraph"/>
              <w:spacing w:before="36"/>
              <w:ind w:left="110"/>
              <w:rPr>
                <w:sz w:val="21"/>
              </w:rPr>
            </w:pPr>
            <w:r>
              <w:rPr>
                <w:sz w:val="21"/>
              </w:rPr>
              <w:t>32、肺淋巴管肌瘤病</w:t>
            </w:r>
          </w:p>
          <w:p>
            <w:pPr>
              <w:pStyle w:val="TableParagraph"/>
              <w:spacing w:before="36"/>
              <w:ind w:left="110"/>
              <w:rPr>
                <w:sz w:val="21"/>
              </w:rPr>
            </w:pPr>
            <w:r>
              <w:rPr>
                <w:sz w:val="21"/>
              </w:rPr>
              <w:t>34、慢性复发性胰腺炎</w:t>
            </w:r>
          </w:p>
          <w:p>
            <w:pPr>
              <w:pStyle w:val="TableParagraph"/>
              <w:spacing w:before="36"/>
              <w:ind w:left="110"/>
              <w:rPr>
                <w:sz w:val="21"/>
              </w:rPr>
            </w:pPr>
            <w:r>
              <w:rPr>
                <w:sz w:val="21"/>
              </w:rPr>
              <w:t>36、严重小肠疾病并发症</w:t>
            </w:r>
          </w:p>
          <w:p>
            <w:pPr>
              <w:pStyle w:val="TableParagraph"/>
              <w:spacing w:before="36"/>
              <w:ind w:left="110"/>
              <w:rPr>
                <w:sz w:val="21"/>
              </w:rPr>
            </w:pPr>
            <w:r>
              <w:rPr>
                <w:sz w:val="21"/>
              </w:rPr>
              <w:t>38、严重克隆病</w:t>
            </w:r>
          </w:p>
          <w:p>
            <w:pPr>
              <w:pStyle w:val="TableParagraph"/>
              <w:spacing w:before="36"/>
              <w:ind w:left="110"/>
              <w:rPr>
                <w:sz w:val="21"/>
              </w:rPr>
            </w:pPr>
            <w:r>
              <w:rPr>
                <w:sz w:val="21"/>
              </w:rPr>
              <w:t>40、严重哮喘</w:t>
            </w:r>
          </w:p>
          <w:p>
            <w:pPr>
              <w:pStyle w:val="TableParagraph"/>
              <w:spacing w:before="36"/>
              <w:ind w:left="110"/>
              <w:rPr>
                <w:sz w:val="21"/>
              </w:rPr>
            </w:pPr>
            <w:r>
              <w:rPr>
                <w:sz w:val="21"/>
              </w:rPr>
              <w:t>42、胆道重建手术</w:t>
            </w:r>
          </w:p>
        </w:tc>
        <w:tc>
          <w:tcPr>
            <w:tcW w:w="3850" w:type="dxa"/>
            <w:tcBorders>
              <w:left w:val="nil"/>
            </w:tcBorders>
          </w:tcPr>
          <w:p>
            <w:pPr>
              <w:pStyle w:val="TableParagraph"/>
              <w:spacing w:line="259" w:lineRule="exact"/>
              <w:ind w:left="110"/>
              <w:rPr>
                <w:sz w:val="21"/>
              </w:rPr>
            </w:pPr>
            <w:r>
              <w:rPr>
                <w:sz w:val="21"/>
              </w:rPr>
              <w:t>17</w:t>
            </w:r>
            <w:r>
              <w:rPr>
                <w:spacing w:val="-12"/>
                <w:sz w:val="21"/>
              </w:rPr>
              <w:t>、重大器官移植术或造血干细胞移植术</w:t>
            </w:r>
          </w:p>
          <w:p>
            <w:pPr>
              <w:pStyle w:val="TableParagraph"/>
              <w:spacing w:before="38"/>
              <w:ind w:left="110"/>
              <w:rPr>
                <w:sz w:val="21"/>
              </w:rPr>
            </w:pPr>
            <w:r>
              <w:rPr>
                <w:sz w:val="21"/>
              </w:rPr>
              <w:t>19、双目失明</w:t>
            </w:r>
          </w:p>
          <w:p>
            <w:pPr>
              <w:pStyle w:val="TableParagraph"/>
              <w:spacing w:before="37"/>
              <w:ind w:left="110"/>
              <w:rPr>
                <w:sz w:val="21"/>
              </w:rPr>
            </w:pPr>
            <w:r>
              <w:rPr>
                <w:sz w:val="21"/>
              </w:rPr>
              <w:t>21、语言能力丧失</w:t>
            </w:r>
          </w:p>
          <w:p>
            <w:pPr>
              <w:pStyle w:val="TableParagraph"/>
              <w:spacing w:before="37"/>
              <w:ind w:left="110"/>
              <w:rPr>
                <w:sz w:val="21"/>
              </w:rPr>
            </w:pPr>
            <w:r>
              <w:rPr>
                <w:sz w:val="21"/>
              </w:rPr>
              <w:t>22、急性或亚急性重症肝炎</w:t>
            </w:r>
          </w:p>
          <w:p>
            <w:pPr>
              <w:pStyle w:val="TableParagraph"/>
              <w:spacing w:line="273" w:lineRule="auto" w:before="37"/>
              <w:ind w:left="532" w:right="83" w:hanging="423"/>
              <w:rPr>
                <w:sz w:val="21"/>
              </w:rPr>
            </w:pPr>
            <w:r>
              <w:rPr>
                <w:sz w:val="21"/>
              </w:rPr>
              <w:t>24、终末期肾病（或称慢性肾功能衰竭尿毒症期）</w:t>
            </w:r>
          </w:p>
          <w:p>
            <w:pPr>
              <w:pStyle w:val="TableParagraph"/>
              <w:spacing w:before="7"/>
              <w:ind w:left="110"/>
              <w:rPr>
                <w:sz w:val="21"/>
              </w:rPr>
            </w:pPr>
            <w:r>
              <w:rPr>
                <w:sz w:val="21"/>
              </w:rPr>
              <w:t>27、急性坏死性胰腺炎开腹手术</w:t>
            </w:r>
          </w:p>
          <w:p>
            <w:pPr>
              <w:pStyle w:val="TableParagraph"/>
              <w:spacing w:before="36"/>
              <w:ind w:left="110"/>
              <w:rPr>
                <w:sz w:val="21"/>
              </w:rPr>
            </w:pPr>
            <w:r>
              <w:rPr>
                <w:sz w:val="21"/>
              </w:rPr>
              <w:t>29、严重肝豆状核变性（Wilson 病）</w:t>
            </w:r>
          </w:p>
          <w:p>
            <w:pPr>
              <w:pStyle w:val="TableParagraph"/>
              <w:spacing w:before="36"/>
              <w:ind w:left="110"/>
              <w:rPr>
                <w:sz w:val="21"/>
              </w:rPr>
            </w:pPr>
            <w:r>
              <w:rPr>
                <w:sz w:val="21"/>
              </w:rPr>
              <w:t>31、严重弥漫性系统性硬皮病</w:t>
            </w:r>
          </w:p>
          <w:p>
            <w:pPr>
              <w:pStyle w:val="TableParagraph"/>
              <w:spacing w:before="36"/>
              <w:ind w:left="110"/>
              <w:rPr>
                <w:sz w:val="21"/>
              </w:rPr>
            </w:pPr>
            <w:r>
              <w:rPr>
                <w:sz w:val="21"/>
              </w:rPr>
              <w:t>33、肺泡蛋白质沉积症</w:t>
            </w:r>
          </w:p>
          <w:p>
            <w:pPr>
              <w:pStyle w:val="TableParagraph"/>
              <w:spacing w:before="36"/>
              <w:ind w:left="110"/>
              <w:rPr>
                <w:sz w:val="21"/>
              </w:rPr>
            </w:pPr>
            <w:r>
              <w:rPr>
                <w:sz w:val="21"/>
              </w:rPr>
              <w:t>35、特发性慢性肾上腺皮质功能减退</w:t>
            </w:r>
          </w:p>
          <w:p>
            <w:pPr>
              <w:pStyle w:val="TableParagraph"/>
              <w:spacing w:before="36"/>
              <w:ind w:left="110"/>
              <w:rPr>
                <w:sz w:val="21"/>
              </w:rPr>
            </w:pPr>
            <w:r>
              <w:rPr>
                <w:sz w:val="21"/>
              </w:rPr>
              <w:t>37、严重的骨髓增生异常综合征</w:t>
            </w:r>
          </w:p>
          <w:p>
            <w:pPr>
              <w:pStyle w:val="TableParagraph"/>
              <w:spacing w:before="36"/>
              <w:ind w:left="110"/>
              <w:rPr>
                <w:sz w:val="21"/>
              </w:rPr>
            </w:pPr>
            <w:r>
              <w:rPr>
                <w:sz w:val="21"/>
              </w:rPr>
              <w:t>39、骨髓纤维化</w:t>
            </w:r>
          </w:p>
          <w:p>
            <w:pPr>
              <w:pStyle w:val="TableParagraph"/>
              <w:spacing w:before="36"/>
              <w:ind w:left="110"/>
              <w:rPr>
                <w:sz w:val="21"/>
              </w:rPr>
            </w:pPr>
            <w:r>
              <w:rPr>
                <w:sz w:val="21"/>
              </w:rPr>
              <w:t>41、小肠移植</w:t>
            </w:r>
          </w:p>
        </w:tc>
      </w:tr>
      <w:tr>
        <w:trPr>
          <w:trHeight w:val="311" w:hRule="atLeast"/>
        </w:trPr>
        <w:tc>
          <w:tcPr>
            <w:tcW w:w="6725" w:type="dxa"/>
            <w:gridSpan w:val="2"/>
          </w:tcPr>
          <w:p>
            <w:pPr>
              <w:pStyle w:val="TableParagraph"/>
              <w:spacing w:line="260" w:lineRule="exact"/>
              <w:ind w:left="110"/>
              <w:rPr>
                <w:b/>
                <w:sz w:val="21"/>
              </w:rPr>
            </w:pPr>
            <w:r>
              <w:rPr>
                <w:b/>
                <w:sz w:val="21"/>
              </w:rPr>
              <w:t>第 4 类：与神经系统相关的疾病</w:t>
            </w:r>
          </w:p>
        </w:tc>
      </w:tr>
      <w:tr>
        <w:trPr>
          <w:trHeight w:val="2807" w:hRule="atLeast"/>
        </w:trPr>
        <w:tc>
          <w:tcPr>
            <w:tcW w:w="2875" w:type="dxa"/>
            <w:tcBorders>
              <w:right w:val="nil"/>
            </w:tcBorders>
          </w:tcPr>
          <w:p>
            <w:pPr>
              <w:pStyle w:val="TableParagraph"/>
              <w:spacing w:line="260" w:lineRule="exact"/>
              <w:ind w:left="110"/>
              <w:rPr>
                <w:sz w:val="21"/>
              </w:rPr>
            </w:pPr>
            <w:r>
              <w:rPr>
                <w:sz w:val="21"/>
              </w:rPr>
              <w:t>43、良性脑肿瘤</w:t>
            </w:r>
          </w:p>
          <w:p>
            <w:pPr>
              <w:pStyle w:val="TableParagraph"/>
              <w:spacing w:before="37"/>
              <w:ind w:left="110"/>
              <w:rPr>
                <w:sz w:val="21"/>
              </w:rPr>
            </w:pPr>
            <w:r>
              <w:rPr>
                <w:sz w:val="21"/>
              </w:rPr>
              <w:t>45、深度昏迷</w:t>
            </w:r>
          </w:p>
          <w:p>
            <w:pPr>
              <w:pStyle w:val="TableParagraph"/>
              <w:spacing w:before="37"/>
              <w:ind w:left="110"/>
              <w:rPr>
                <w:sz w:val="21"/>
              </w:rPr>
            </w:pPr>
            <w:r>
              <w:rPr>
                <w:sz w:val="21"/>
              </w:rPr>
              <w:t>47、严重的多发性硬化</w:t>
            </w:r>
          </w:p>
          <w:p>
            <w:pPr>
              <w:pStyle w:val="TableParagraph"/>
              <w:spacing w:before="37"/>
              <w:ind w:left="110"/>
              <w:rPr>
                <w:sz w:val="21"/>
              </w:rPr>
            </w:pPr>
            <w:r>
              <w:rPr>
                <w:sz w:val="21"/>
              </w:rPr>
              <w:t>49、严重脑损伤</w:t>
            </w:r>
          </w:p>
          <w:p>
            <w:pPr>
              <w:pStyle w:val="TableParagraph"/>
              <w:spacing w:before="37"/>
              <w:ind w:left="110"/>
              <w:rPr>
                <w:sz w:val="21"/>
              </w:rPr>
            </w:pPr>
            <w:r>
              <w:rPr>
                <w:sz w:val="21"/>
              </w:rPr>
              <w:t>51、植物人状态</w:t>
            </w:r>
          </w:p>
          <w:p>
            <w:pPr>
              <w:pStyle w:val="TableParagraph"/>
              <w:spacing w:before="37"/>
              <w:ind w:left="110"/>
              <w:rPr>
                <w:sz w:val="21"/>
              </w:rPr>
            </w:pPr>
            <w:r>
              <w:rPr>
                <w:sz w:val="21"/>
              </w:rPr>
              <w:t>53、开颅手术</w:t>
            </w:r>
          </w:p>
          <w:p>
            <w:pPr>
              <w:pStyle w:val="TableParagraph"/>
              <w:spacing w:before="37"/>
              <w:ind w:left="110"/>
              <w:rPr>
                <w:sz w:val="21"/>
              </w:rPr>
            </w:pPr>
            <w:r>
              <w:rPr>
                <w:sz w:val="21"/>
              </w:rPr>
              <w:t>55、克雅氏病</w:t>
            </w:r>
          </w:p>
          <w:p>
            <w:pPr>
              <w:pStyle w:val="TableParagraph"/>
              <w:spacing w:before="37"/>
              <w:ind w:left="110"/>
              <w:rPr>
                <w:sz w:val="21"/>
              </w:rPr>
            </w:pPr>
            <w:r>
              <w:rPr>
                <w:sz w:val="21"/>
              </w:rPr>
              <w:t>57、进行性多灶性白质脑病</w:t>
            </w:r>
          </w:p>
          <w:p>
            <w:pPr>
              <w:pStyle w:val="TableParagraph"/>
              <w:spacing w:before="37"/>
              <w:ind w:left="110"/>
              <w:rPr>
                <w:sz w:val="21"/>
              </w:rPr>
            </w:pPr>
            <w:r>
              <w:rPr>
                <w:sz w:val="21"/>
              </w:rPr>
              <w:t>59、脊髓小脑变性症</w:t>
            </w:r>
          </w:p>
        </w:tc>
        <w:tc>
          <w:tcPr>
            <w:tcW w:w="3850" w:type="dxa"/>
            <w:tcBorders>
              <w:left w:val="nil"/>
            </w:tcBorders>
          </w:tcPr>
          <w:p>
            <w:pPr>
              <w:pStyle w:val="TableParagraph"/>
              <w:spacing w:line="259" w:lineRule="exact"/>
              <w:ind w:left="110"/>
              <w:rPr>
                <w:sz w:val="21"/>
              </w:rPr>
            </w:pPr>
            <w:r>
              <w:rPr>
                <w:sz w:val="21"/>
              </w:rPr>
              <w:t>44、脑炎后遗症或脑膜炎后遗症</w:t>
            </w:r>
          </w:p>
          <w:p>
            <w:pPr>
              <w:pStyle w:val="TableParagraph"/>
              <w:spacing w:before="37"/>
              <w:ind w:left="110"/>
              <w:rPr>
                <w:sz w:val="21"/>
              </w:rPr>
            </w:pPr>
            <w:r>
              <w:rPr>
                <w:sz w:val="21"/>
              </w:rPr>
              <w:t>46、瘫痪</w:t>
            </w:r>
          </w:p>
          <w:p>
            <w:pPr>
              <w:pStyle w:val="TableParagraph"/>
              <w:spacing w:before="37"/>
              <w:ind w:left="110"/>
              <w:rPr>
                <w:sz w:val="21"/>
              </w:rPr>
            </w:pPr>
            <w:r>
              <w:rPr>
                <w:sz w:val="21"/>
              </w:rPr>
              <w:t>48、严重运动神经元病</w:t>
            </w:r>
          </w:p>
          <w:p>
            <w:pPr>
              <w:pStyle w:val="TableParagraph"/>
              <w:spacing w:before="37"/>
              <w:ind w:left="110"/>
              <w:rPr>
                <w:sz w:val="21"/>
              </w:rPr>
            </w:pPr>
            <w:r>
              <w:rPr>
                <w:sz w:val="21"/>
              </w:rPr>
              <w:t>50、非阿尔茨海默病所致严重痴呆</w:t>
            </w:r>
          </w:p>
          <w:p>
            <w:pPr>
              <w:pStyle w:val="TableParagraph"/>
              <w:spacing w:before="37"/>
              <w:ind w:left="110"/>
              <w:rPr>
                <w:sz w:val="21"/>
              </w:rPr>
            </w:pPr>
            <w:r>
              <w:rPr>
                <w:sz w:val="21"/>
              </w:rPr>
              <w:t>52、进行性核上性麻痹</w:t>
            </w:r>
          </w:p>
          <w:p>
            <w:pPr>
              <w:pStyle w:val="TableParagraph"/>
              <w:spacing w:before="37"/>
              <w:ind w:left="110"/>
              <w:rPr>
                <w:sz w:val="21"/>
              </w:rPr>
            </w:pPr>
            <w:r>
              <w:rPr>
                <w:sz w:val="21"/>
              </w:rPr>
              <w:t>54、亚急性硬化性全脑炎</w:t>
            </w:r>
          </w:p>
          <w:p>
            <w:pPr>
              <w:pStyle w:val="TableParagraph"/>
              <w:spacing w:before="37"/>
              <w:ind w:left="110"/>
              <w:rPr>
                <w:sz w:val="21"/>
              </w:rPr>
            </w:pPr>
            <w:r>
              <w:rPr>
                <w:sz w:val="21"/>
              </w:rPr>
              <w:t>56、丧失一眼及一肢</w:t>
            </w:r>
          </w:p>
          <w:p>
            <w:pPr>
              <w:pStyle w:val="TableParagraph"/>
              <w:spacing w:before="37"/>
              <w:ind w:left="110"/>
              <w:rPr>
                <w:sz w:val="21"/>
              </w:rPr>
            </w:pPr>
            <w:r>
              <w:rPr>
                <w:sz w:val="21"/>
              </w:rPr>
              <w:t>58、破裂脑动脉瘤夹闭手术</w:t>
            </w:r>
          </w:p>
        </w:tc>
      </w:tr>
      <w:tr>
        <w:trPr>
          <w:trHeight w:val="311" w:hRule="atLeast"/>
        </w:trPr>
        <w:tc>
          <w:tcPr>
            <w:tcW w:w="6725" w:type="dxa"/>
            <w:gridSpan w:val="2"/>
          </w:tcPr>
          <w:p>
            <w:pPr>
              <w:pStyle w:val="TableParagraph"/>
              <w:spacing w:line="260" w:lineRule="exact"/>
              <w:ind w:left="110"/>
              <w:rPr>
                <w:b/>
                <w:sz w:val="21"/>
              </w:rPr>
            </w:pPr>
            <w:r>
              <w:rPr>
                <w:b/>
                <w:sz w:val="21"/>
              </w:rPr>
              <w:t>第 5 类：其他重大疾病</w:t>
            </w:r>
          </w:p>
        </w:tc>
      </w:tr>
      <w:tr>
        <w:trPr>
          <w:trHeight w:val="2174" w:hRule="atLeast"/>
        </w:trPr>
        <w:tc>
          <w:tcPr>
            <w:tcW w:w="2875" w:type="dxa"/>
            <w:tcBorders>
              <w:right w:val="nil"/>
            </w:tcBorders>
          </w:tcPr>
          <w:p>
            <w:pPr>
              <w:pStyle w:val="TableParagraph"/>
              <w:spacing w:line="260" w:lineRule="exact"/>
              <w:ind w:left="110"/>
              <w:rPr>
                <w:sz w:val="21"/>
              </w:rPr>
            </w:pPr>
            <w:r>
              <w:rPr>
                <w:sz w:val="21"/>
              </w:rPr>
              <w:t>60、多个肢体缺失</w:t>
            </w:r>
          </w:p>
          <w:p>
            <w:pPr>
              <w:pStyle w:val="TableParagraph"/>
              <w:spacing w:before="37"/>
              <w:ind w:left="110"/>
              <w:rPr>
                <w:sz w:val="21"/>
              </w:rPr>
            </w:pPr>
            <w:r>
              <w:rPr>
                <w:sz w:val="21"/>
              </w:rPr>
              <w:t>62、严重Ⅲ度烧伤</w:t>
            </w:r>
          </w:p>
          <w:p>
            <w:pPr>
              <w:pStyle w:val="TableParagraph"/>
              <w:spacing w:line="273" w:lineRule="auto" w:before="37"/>
              <w:ind w:left="532" w:right="24" w:hanging="423"/>
              <w:rPr>
                <w:sz w:val="21"/>
              </w:rPr>
            </w:pPr>
            <w:r>
              <w:rPr>
                <w:sz w:val="21"/>
              </w:rPr>
              <w:t>64、经输血导致的艾滋病病毒感染或患艾滋病</w:t>
            </w:r>
          </w:p>
          <w:p>
            <w:pPr>
              <w:pStyle w:val="TableParagraph"/>
              <w:spacing w:line="273" w:lineRule="auto" w:before="7"/>
              <w:ind w:left="532" w:right="24" w:hanging="423"/>
              <w:rPr>
                <w:sz w:val="21"/>
              </w:rPr>
            </w:pPr>
            <w:r>
              <w:rPr>
                <w:sz w:val="21"/>
              </w:rPr>
              <w:t>67、因职业关系导致的艾滋病病毒感染或患艾滋病</w:t>
            </w:r>
          </w:p>
          <w:p>
            <w:pPr>
              <w:pStyle w:val="TableParagraph"/>
              <w:spacing w:before="7"/>
              <w:ind w:left="110"/>
              <w:rPr>
                <w:sz w:val="21"/>
              </w:rPr>
            </w:pPr>
            <w:r>
              <w:rPr>
                <w:sz w:val="21"/>
              </w:rPr>
              <w:t>70、因器官移植导致的艾滋病</w:t>
            </w:r>
          </w:p>
        </w:tc>
        <w:tc>
          <w:tcPr>
            <w:tcW w:w="3850" w:type="dxa"/>
            <w:tcBorders>
              <w:left w:val="nil"/>
            </w:tcBorders>
          </w:tcPr>
          <w:p>
            <w:pPr>
              <w:pStyle w:val="TableParagraph"/>
              <w:spacing w:line="259" w:lineRule="exact"/>
              <w:ind w:left="110"/>
              <w:rPr>
                <w:sz w:val="21"/>
              </w:rPr>
            </w:pPr>
            <w:r>
              <w:rPr>
                <w:sz w:val="21"/>
              </w:rPr>
              <w:t>61、严重的 1 型糖尿病</w:t>
            </w:r>
          </w:p>
          <w:p>
            <w:pPr>
              <w:pStyle w:val="TableParagraph"/>
              <w:spacing w:before="37"/>
              <w:ind w:left="110"/>
              <w:rPr>
                <w:sz w:val="21"/>
              </w:rPr>
            </w:pPr>
            <w:r>
              <w:rPr>
                <w:sz w:val="21"/>
              </w:rPr>
              <w:t>63、象皮病</w:t>
            </w:r>
          </w:p>
          <w:p>
            <w:pPr>
              <w:pStyle w:val="TableParagraph"/>
              <w:spacing w:before="37"/>
              <w:ind w:left="110"/>
              <w:rPr>
                <w:sz w:val="21"/>
              </w:rPr>
            </w:pPr>
            <w:r>
              <w:rPr>
                <w:sz w:val="21"/>
              </w:rPr>
              <w:t>65、严重肌营养不良症</w:t>
            </w:r>
          </w:p>
          <w:p>
            <w:pPr>
              <w:pStyle w:val="TableParagraph"/>
              <w:spacing w:before="37"/>
              <w:ind w:left="110"/>
              <w:rPr>
                <w:sz w:val="21"/>
              </w:rPr>
            </w:pPr>
            <w:r>
              <w:rPr>
                <w:sz w:val="21"/>
              </w:rPr>
              <w:t>66、弥漫性血管内凝血</w:t>
            </w:r>
          </w:p>
          <w:p>
            <w:pPr>
              <w:pStyle w:val="TableParagraph"/>
              <w:spacing w:before="37"/>
              <w:ind w:left="110"/>
              <w:rPr>
                <w:sz w:val="21"/>
              </w:rPr>
            </w:pPr>
            <w:r>
              <w:rPr>
                <w:sz w:val="21"/>
              </w:rPr>
              <w:t>68、嗜铬细胞瘤</w:t>
            </w:r>
          </w:p>
          <w:p>
            <w:pPr>
              <w:pStyle w:val="TableParagraph"/>
              <w:spacing w:before="37"/>
              <w:ind w:left="110"/>
              <w:rPr>
                <w:sz w:val="21"/>
              </w:rPr>
            </w:pPr>
            <w:r>
              <w:rPr>
                <w:sz w:val="21"/>
              </w:rPr>
              <w:t>69、严重的原发性硬化性胆管炎</w:t>
            </w:r>
          </w:p>
          <w:p>
            <w:pPr>
              <w:pStyle w:val="TableParagraph"/>
              <w:spacing w:before="37"/>
              <w:ind w:left="110"/>
              <w:rPr>
                <w:sz w:val="21"/>
              </w:rPr>
            </w:pPr>
            <w:r>
              <w:rPr>
                <w:sz w:val="21"/>
              </w:rPr>
              <w:t>71、严重面部烧伤</w:t>
            </w:r>
          </w:p>
        </w:tc>
      </w:tr>
    </w:tbl>
    <w:p>
      <w:pPr>
        <w:spacing w:after="0"/>
        <w:rPr>
          <w:sz w:val="21"/>
        </w:rPr>
        <w:sectPr>
          <w:pgSz w:w="11910" w:h="16840"/>
          <w:pgMar w:top="1420" w:bottom="280" w:left="168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300"/>
        <w:gridCol w:w="7086"/>
      </w:tblGrid>
      <w:tr>
        <w:trPr>
          <w:trHeight w:val="1247" w:hRule="atLeast"/>
        </w:trPr>
        <w:tc>
          <w:tcPr>
            <w:tcW w:w="756" w:type="dxa"/>
          </w:tcPr>
          <w:p>
            <w:pPr>
              <w:pStyle w:val="TableParagraph"/>
              <w:rPr>
                <w:rFonts w:ascii="Times New Roman"/>
                <w:sz w:val="18"/>
              </w:rPr>
            </w:pPr>
          </w:p>
        </w:tc>
        <w:tc>
          <w:tcPr>
            <w:tcW w:w="2300" w:type="dxa"/>
            <w:tcBorders>
              <w:right w:val="single" w:sz="4" w:space="0" w:color="000000"/>
            </w:tcBorders>
          </w:tcPr>
          <w:p>
            <w:pPr>
              <w:pStyle w:val="TableParagraph"/>
              <w:rPr>
                <w:rFonts w:ascii="Times New Roman"/>
                <w:sz w:val="18"/>
              </w:rPr>
            </w:pPr>
          </w:p>
        </w:tc>
        <w:tc>
          <w:tcPr>
            <w:tcW w:w="7086" w:type="dxa"/>
            <w:tcBorders>
              <w:top w:val="single" w:sz="4" w:space="0" w:color="000000"/>
              <w:left w:val="single" w:sz="4" w:space="0" w:color="000000"/>
              <w:bottom w:val="single" w:sz="4" w:space="0" w:color="000000"/>
            </w:tcBorders>
          </w:tcPr>
          <w:p>
            <w:pPr>
              <w:pStyle w:val="TableParagraph"/>
              <w:tabs>
                <w:tab w:pos="2977" w:val="left" w:leader="none"/>
              </w:tabs>
              <w:spacing w:line="254" w:lineRule="exact"/>
              <w:ind w:left="529"/>
              <w:rPr>
                <w:sz w:val="21"/>
              </w:rPr>
            </w:pPr>
            <w:r>
              <w:rPr>
                <w:sz w:val="21"/>
              </w:rPr>
              <w:t>病毒感染</w:t>
            </w:r>
            <w:r>
              <w:rPr>
                <w:spacing w:val="-5"/>
                <w:sz w:val="21"/>
              </w:rPr>
              <w:t>或</w:t>
            </w:r>
            <w:r>
              <w:rPr>
                <w:sz w:val="21"/>
              </w:rPr>
              <w:t>患艾滋病</w:t>
              <w:tab/>
              <w:t>72、严重</w:t>
            </w:r>
            <w:r>
              <w:rPr>
                <w:spacing w:val="-5"/>
                <w:sz w:val="21"/>
              </w:rPr>
              <w:t>瑞</w:t>
            </w:r>
            <w:r>
              <w:rPr>
                <w:sz w:val="21"/>
              </w:rPr>
              <w:t>氏综合</w:t>
            </w:r>
            <w:r>
              <w:rPr>
                <w:spacing w:val="-5"/>
                <w:sz w:val="21"/>
              </w:rPr>
              <w:t>症</w:t>
            </w:r>
            <w:r>
              <w:rPr>
                <w:sz w:val="21"/>
              </w:rPr>
              <w:t>（Reye</w:t>
            </w:r>
            <w:r>
              <w:rPr>
                <w:spacing w:val="-18"/>
                <w:sz w:val="21"/>
              </w:rPr>
              <w:t> </w:t>
            </w:r>
            <w:r>
              <w:rPr>
                <w:spacing w:val="-5"/>
                <w:sz w:val="21"/>
              </w:rPr>
              <w:t>综</w:t>
            </w:r>
            <w:r>
              <w:rPr>
                <w:sz w:val="21"/>
              </w:rPr>
              <w:t>合征，也</w:t>
            </w:r>
          </w:p>
          <w:p>
            <w:pPr>
              <w:pStyle w:val="TableParagraph"/>
              <w:tabs>
                <w:tab w:pos="3399" w:val="left" w:leader="none"/>
              </w:tabs>
              <w:spacing w:before="37"/>
              <w:ind w:left="106"/>
              <w:rPr>
                <w:sz w:val="21"/>
              </w:rPr>
            </w:pPr>
            <w:r>
              <w:rPr>
                <w:sz w:val="21"/>
              </w:rPr>
              <w:t>73、成骨</w:t>
            </w:r>
            <w:r>
              <w:rPr>
                <w:spacing w:val="-5"/>
                <w:sz w:val="21"/>
              </w:rPr>
              <w:t>不</w:t>
            </w:r>
            <w:r>
              <w:rPr>
                <w:sz w:val="21"/>
              </w:rPr>
              <w:t>全症第</w:t>
            </w:r>
            <w:r>
              <w:rPr>
                <w:spacing w:val="-5"/>
                <w:sz w:val="21"/>
              </w:rPr>
              <w:t>三</w:t>
            </w:r>
            <w:r>
              <w:rPr>
                <w:sz w:val="21"/>
              </w:rPr>
              <w:t>型</w:t>
              <w:tab/>
              <w:t>称赖氏综</w:t>
            </w:r>
            <w:r>
              <w:rPr>
                <w:spacing w:val="-5"/>
                <w:sz w:val="21"/>
              </w:rPr>
              <w:t>合</w:t>
            </w:r>
            <w:r>
              <w:rPr>
                <w:sz w:val="21"/>
              </w:rPr>
              <w:t>征、雷</w:t>
            </w:r>
            <w:r>
              <w:rPr>
                <w:spacing w:val="-5"/>
                <w:sz w:val="21"/>
              </w:rPr>
              <w:t>氏</w:t>
            </w:r>
            <w:r>
              <w:rPr>
                <w:sz w:val="21"/>
              </w:rPr>
              <w:t>综合征）</w:t>
            </w:r>
          </w:p>
          <w:p>
            <w:pPr>
              <w:pStyle w:val="TableParagraph"/>
              <w:tabs>
                <w:tab w:pos="2977" w:val="left" w:leader="none"/>
              </w:tabs>
              <w:spacing w:before="37"/>
              <w:ind w:left="107"/>
              <w:rPr>
                <w:sz w:val="21"/>
              </w:rPr>
            </w:pPr>
            <w:r>
              <w:rPr>
                <w:sz w:val="21"/>
              </w:rPr>
              <w:t>74、多处</w:t>
            </w:r>
            <w:r>
              <w:rPr>
                <w:spacing w:val="-5"/>
                <w:sz w:val="21"/>
              </w:rPr>
              <w:t>臂</w:t>
            </w:r>
            <w:r>
              <w:rPr>
                <w:sz w:val="21"/>
              </w:rPr>
              <w:t>丛神经</w:t>
            </w:r>
            <w:r>
              <w:rPr>
                <w:spacing w:val="-5"/>
                <w:sz w:val="21"/>
              </w:rPr>
              <w:t>根</w:t>
            </w:r>
            <w:r>
              <w:rPr>
                <w:sz w:val="21"/>
              </w:rPr>
              <w:t>性撕脱</w:t>
              <w:tab/>
              <w:t>75、原发</w:t>
            </w:r>
            <w:r>
              <w:rPr>
                <w:spacing w:val="-5"/>
                <w:sz w:val="21"/>
              </w:rPr>
              <w:t>性</w:t>
            </w:r>
            <w:r>
              <w:rPr>
                <w:sz w:val="21"/>
              </w:rPr>
              <w:t>脊柱侧</w:t>
            </w:r>
            <w:r>
              <w:rPr>
                <w:spacing w:val="-5"/>
                <w:sz w:val="21"/>
              </w:rPr>
              <w:t>弯</w:t>
            </w:r>
            <w:r>
              <w:rPr>
                <w:sz w:val="21"/>
              </w:rPr>
              <w:t>的矫正</w:t>
            </w:r>
            <w:r>
              <w:rPr>
                <w:spacing w:val="-5"/>
                <w:sz w:val="21"/>
              </w:rPr>
              <w:t>手</w:t>
            </w:r>
            <w:r>
              <w:rPr>
                <w:sz w:val="21"/>
              </w:rPr>
              <w:t>术</w:t>
            </w:r>
          </w:p>
          <w:p>
            <w:pPr>
              <w:pStyle w:val="TableParagraph"/>
              <w:spacing w:before="37"/>
              <w:ind w:left="107"/>
              <w:rPr>
                <w:sz w:val="21"/>
              </w:rPr>
            </w:pPr>
            <w:r>
              <w:rPr>
                <w:sz w:val="21"/>
              </w:rPr>
              <w:t>76、溶血性链球菌引起的坏疽</w:t>
            </w:r>
          </w:p>
        </w:tc>
      </w:tr>
      <w:tr>
        <w:trPr>
          <w:trHeight w:val="3235" w:hRule="atLeast"/>
        </w:trPr>
        <w:tc>
          <w:tcPr>
            <w:tcW w:w="756" w:type="dxa"/>
          </w:tcPr>
          <w:p>
            <w:pPr>
              <w:pStyle w:val="TableParagraph"/>
              <w:spacing w:before="5"/>
              <w:rPr>
                <w:sz w:val="20"/>
              </w:rPr>
            </w:pPr>
          </w:p>
          <w:p>
            <w:pPr>
              <w:pStyle w:val="TableParagraph"/>
              <w:ind w:left="229" w:right="169"/>
              <w:jc w:val="center"/>
              <w:rPr>
                <w:b/>
                <w:sz w:val="21"/>
              </w:rPr>
            </w:pPr>
            <w:r>
              <w:rPr>
                <w:b/>
                <w:sz w:val="21"/>
              </w:rPr>
              <w:t>1.3</w:t>
            </w:r>
          </w:p>
        </w:tc>
        <w:tc>
          <w:tcPr>
            <w:tcW w:w="2300" w:type="dxa"/>
          </w:tcPr>
          <w:p>
            <w:pPr>
              <w:pStyle w:val="TableParagraph"/>
              <w:spacing w:before="5"/>
              <w:rPr>
                <w:sz w:val="20"/>
              </w:rPr>
            </w:pPr>
          </w:p>
          <w:p>
            <w:pPr>
              <w:pStyle w:val="TableParagraph"/>
              <w:ind w:left="170"/>
              <w:rPr>
                <w:b/>
                <w:sz w:val="21"/>
              </w:rPr>
            </w:pPr>
            <w:r>
              <w:rPr>
                <w:b/>
                <w:sz w:val="21"/>
              </w:rPr>
              <w:t>保险期间和续保</w:t>
            </w:r>
          </w:p>
        </w:tc>
        <w:tc>
          <w:tcPr>
            <w:tcW w:w="7086" w:type="dxa"/>
            <w:tcBorders>
              <w:top w:val="single" w:sz="4" w:space="0" w:color="000000"/>
            </w:tcBorders>
          </w:tcPr>
          <w:p>
            <w:pPr>
              <w:pStyle w:val="TableParagraph"/>
              <w:spacing w:before="5"/>
              <w:rPr>
                <w:sz w:val="20"/>
              </w:rPr>
            </w:pPr>
          </w:p>
          <w:p>
            <w:pPr>
              <w:pStyle w:val="TableParagraph"/>
              <w:ind w:left="-4"/>
              <w:rPr>
                <w:sz w:val="21"/>
              </w:rPr>
            </w:pPr>
            <w:r>
              <w:rPr>
                <w:sz w:val="21"/>
              </w:rPr>
              <w:t>本主险合同的保险期间为 1 年。</w:t>
            </w:r>
          </w:p>
          <w:p>
            <w:pPr>
              <w:pStyle w:val="TableParagraph"/>
              <w:spacing w:line="273" w:lineRule="auto" w:before="36"/>
              <w:ind w:left="-4" w:right="117"/>
              <w:jc w:val="both"/>
              <w:rPr>
                <w:sz w:val="21"/>
              </w:rPr>
            </w:pPr>
            <w:r>
              <w:rPr>
                <w:sz w:val="21"/>
              </w:rPr>
              <w:t>若您在投保时选择了自动续保方式，每一保险期间届满之前，我们按续保时对应年龄的费率收取保险费后本主险合同将延续有效。新续保的合同自期满日次日零时起生效，保险期间为 1 年。</w:t>
            </w:r>
          </w:p>
          <w:p>
            <w:pPr>
              <w:pStyle w:val="TableParagraph"/>
              <w:spacing w:before="7"/>
              <w:ind w:left="-4"/>
              <w:rPr>
                <w:sz w:val="21"/>
              </w:rPr>
            </w:pPr>
            <w:r>
              <w:rPr>
                <w:sz w:val="21"/>
              </w:rPr>
              <w:t>若发生下列情形之一，本主险合同不再接受续保：</w:t>
            </w:r>
          </w:p>
          <w:p>
            <w:pPr>
              <w:pStyle w:val="TableParagraph"/>
              <w:spacing w:before="37"/>
              <w:ind w:left="-4"/>
              <w:rPr>
                <w:sz w:val="21"/>
              </w:rPr>
            </w:pPr>
            <w:r>
              <w:rPr>
                <w:sz w:val="21"/>
              </w:rPr>
              <w:t>（1）保险期间届满时本主险产品已停止销售；</w:t>
            </w:r>
          </w:p>
          <w:p>
            <w:pPr>
              <w:pStyle w:val="TableParagraph"/>
              <w:spacing w:before="37"/>
              <w:ind w:left="-4"/>
              <w:rPr>
                <w:sz w:val="21"/>
              </w:rPr>
            </w:pPr>
            <w:r>
              <w:rPr>
                <w:sz w:val="21"/>
              </w:rPr>
              <w:t>（2）保险期间届满时被保险人已年满 18 </w:t>
            </w:r>
            <w:r>
              <w:rPr>
                <w:rFonts w:ascii="黑体" w:eastAsia="黑体" w:hint="eastAsia"/>
                <w:b/>
                <w:sz w:val="21"/>
              </w:rPr>
              <w:t>周岁 </w:t>
            </w:r>
            <w:hyperlink w:history="true" w:anchor="_bookmark5">
              <w:r>
                <w:rPr>
                  <w:rFonts w:ascii="黑体" w:eastAsia="黑体" w:hint="eastAsia"/>
                  <w:b/>
                  <w:position w:val="11"/>
                  <w:sz w:val="11"/>
                </w:rPr>
                <w:t>6</w:t>
              </w:r>
            </w:hyperlink>
            <w:r>
              <w:rPr>
                <w:sz w:val="21"/>
              </w:rPr>
              <w:t>。</w:t>
            </w:r>
          </w:p>
          <w:p>
            <w:pPr>
              <w:pStyle w:val="TableParagraph"/>
              <w:spacing w:line="273" w:lineRule="auto" w:before="36"/>
              <w:ind w:left="-4" w:right="117"/>
              <w:rPr>
                <w:sz w:val="21"/>
              </w:rPr>
            </w:pPr>
            <w:r>
              <w:rPr>
                <w:sz w:val="21"/>
              </w:rPr>
              <w:t>若因本主险产品停止销售使我们不再接受续保的，我们会在本主险合同保险期间届满之前通知您。</w:t>
            </w:r>
          </w:p>
        </w:tc>
      </w:tr>
      <w:tr>
        <w:trPr>
          <w:trHeight w:val="949" w:hRule="atLeast"/>
        </w:trPr>
        <w:tc>
          <w:tcPr>
            <w:tcW w:w="756" w:type="dxa"/>
            <w:tcBorders>
              <w:bottom w:val="single" w:sz="8" w:space="0" w:color="000000"/>
            </w:tcBorders>
          </w:tcPr>
          <w:p>
            <w:pPr>
              <w:pStyle w:val="TableParagraph"/>
              <w:spacing w:before="146"/>
              <w:ind w:left="60"/>
              <w:jc w:val="center"/>
              <w:rPr>
                <w:rFonts w:ascii="Arial" w:hAnsi="Arial"/>
                <w:b/>
                <w:sz w:val="40"/>
              </w:rPr>
            </w:pPr>
            <w:r>
              <w:rPr>
                <w:rFonts w:ascii="Arial" w:hAnsi="Arial"/>
                <w:b/>
                <w:w w:val="118"/>
                <w:sz w:val="40"/>
              </w:rPr>
              <w:t></w:t>
            </w:r>
          </w:p>
        </w:tc>
        <w:tc>
          <w:tcPr>
            <w:tcW w:w="9386" w:type="dxa"/>
            <w:gridSpan w:val="2"/>
            <w:tcBorders>
              <w:bottom w:val="single" w:sz="8" w:space="0" w:color="000000"/>
            </w:tcBorders>
          </w:tcPr>
          <w:p>
            <w:pPr>
              <w:pStyle w:val="TableParagraph"/>
              <w:spacing w:before="145"/>
              <w:ind w:left="170"/>
              <w:rPr>
                <w:b/>
                <w:sz w:val="24"/>
              </w:rPr>
            </w:pPr>
            <w:r>
              <w:rPr>
                <w:b/>
                <w:w w:val="95"/>
                <w:sz w:val="24"/>
              </w:rPr>
              <w:t>我们不保什么</w:t>
            </w:r>
          </w:p>
          <w:p>
            <w:pPr>
              <w:pStyle w:val="TableParagraph"/>
              <w:spacing w:before="107"/>
              <w:ind w:left="170"/>
              <w:rPr>
                <w:sz w:val="24"/>
              </w:rPr>
            </w:pPr>
            <w:r>
              <w:rPr>
                <w:sz w:val="24"/>
              </w:rPr>
              <w:t>这部分讲的是我们不承担保险责任的情况。</w:t>
            </w:r>
          </w:p>
        </w:tc>
      </w:tr>
      <w:tr>
        <w:trPr>
          <w:trHeight w:val="4579" w:hRule="atLeast"/>
        </w:trPr>
        <w:tc>
          <w:tcPr>
            <w:tcW w:w="756" w:type="dxa"/>
            <w:tcBorders>
              <w:top w:val="single" w:sz="8" w:space="0" w:color="000000"/>
            </w:tcBorders>
          </w:tcPr>
          <w:p>
            <w:pPr>
              <w:pStyle w:val="TableParagraph"/>
              <w:spacing w:before="7"/>
              <w:rPr>
                <w:sz w:val="18"/>
              </w:rPr>
            </w:pPr>
          </w:p>
          <w:p>
            <w:pPr>
              <w:pStyle w:val="TableParagraph"/>
              <w:ind w:left="229" w:right="169"/>
              <w:jc w:val="center"/>
              <w:rPr>
                <w:b/>
                <w:sz w:val="21"/>
              </w:rPr>
            </w:pPr>
            <w:r>
              <w:rPr>
                <w:b/>
                <w:sz w:val="21"/>
              </w:rPr>
              <w:t>2.1</w:t>
            </w:r>
          </w:p>
        </w:tc>
        <w:tc>
          <w:tcPr>
            <w:tcW w:w="2300" w:type="dxa"/>
            <w:tcBorders>
              <w:top w:val="single" w:sz="8" w:space="0" w:color="000000"/>
            </w:tcBorders>
          </w:tcPr>
          <w:p>
            <w:pPr>
              <w:pStyle w:val="TableParagraph"/>
              <w:spacing w:before="7"/>
              <w:rPr>
                <w:sz w:val="18"/>
              </w:rPr>
            </w:pPr>
          </w:p>
          <w:p>
            <w:pPr>
              <w:pStyle w:val="TableParagraph"/>
              <w:ind w:left="170"/>
              <w:rPr>
                <w:b/>
                <w:sz w:val="21"/>
              </w:rPr>
            </w:pPr>
            <w:r>
              <w:rPr>
                <w:b/>
                <w:sz w:val="21"/>
              </w:rPr>
              <w:t>责任免除</w:t>
            </w:r>
          </w:p>
        </w:tc>
        <w:tc>
          <w:tcPr>
            <w:tcW w:w="7086" w:type="dxa"/>
            <w:tcBorders>
              <w:top w:val="single" w:sz="8" w:space="0" w:color="000000"/>
            </w:tcBorders>
          </w:tcPr>
          <w:p>
            <w:pPr>
              <w:pStyle w:val="TableParagraph"/>
              <w:spacing w:before="7"/>
              <w:rPr>
                <w:sz w:val="18"/>
              </w:rPr>
            </w:pPr>
          </w:p>
          <w:p>
            <w:pPr>
              <w:pStyle w:val="TableParagraph"/>
              <w:spacing w:line="273" w:lineRule="auto"/>
              <w:ind w:left="212" w:right="107"/>
              <w:rPr>
                <w:sz w:val="21"/>
              </w:rPr>
            </w:pPr>
            <w:r>
              <w:rPr>
                <w:spacing w:val="-8"/>
                <w:sz w:val="21"/>
                <w:shd w:fill="DADADA" w:color="auto" w:val="clear"/>
              </w:rPr>
              <w:t>因下列情形之一导致被保险人初次发生 “重大疾病”</w:t>
            </w:r>
            <w:r>
              <w:rPr>
                <w:spacing w:val="-18"/>
                <w:sz w:val="21"/>
                <w:shd w:fill="DADADA" w:color="auto" w:val="clear"/>
              </w:rPr>
              <w:t>、“白血病”的，我们</w:t>
            </w:r>
            <w:r>
              <w:rPr>
                <w:spacing w:val="-10"/>
                <w:sz w:val="21"/>
                <w:shd w:fill="DADADA" w:color="auto" w:val="clear"/>
              </w:rPr>
              <w:t>不承担给付保险金的责任：</w:t>
            </w:r>
          </w:p>
          <w:p>
            <w:pPr>
              <w:pStyle w:val="TableParagraph"/>
              <w:spacing w:before="7"/>
              <w:ind w:left="212"/>
              <w:rPr>
                <w:sz w:val="21"/>
              </w:rPr>
            </w:pPr>
            <w:r>
              <w:rPr>
                <w:sz w:val="21"/>
                <w:shd w:fill="DADADA" w:color="auto" w:val="clear"/>
              </w:rPr>
              <w:t>（1）投保人对被保险人的故意杀害、故意伤害；</w:t>
            </w:r>
          </w:p>
          <w:p>
            <w:pPr>
              <w:pStyle w:val="TableParagraph"/>
              <w:spacing w:before="37"/>
              <w:ind w:left="212"/>
              <w:rPr>
                <w:sz w:val="21"/>
              </w:rPr>
            </w:pPr>
            <w:r>
              <w:rPr>
                <w:sz w:val="21"/>
                <w:shd w:fill="DADADA" w:color="auto" w:val="clear"/>
              </w:rPr>
              <w:t>（2）被保险人故意自伤、故意犯罪或者抗拒依法采取的刑事强制措施；</w:t>
            </w:r>
          </w:p>
          <w:p>
            <w:pPr>
              <w:pStyle w:val="TableParagraph"/>
              <w:spacing w:before="37"/>
              <w:ind w:left="212"/>
              <w:rPr>
                <w:sz w:val="21"/>
              </w:rPr>
            </w:pPr>
            <w:r>
              <w:rPr>
                <w:sz w:val="21"/>
              </w:rPr>
              <w:t>（3）被保险人主动吸食或注射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pStyle w:val="TableParagraph"/>
              <w:spacing w:before="37"/>
              <w:ind w:left="212"/>
              <w:rPr>
                <w:sz w:val="21"/>
              </w:rPr>
            </w:pPr>
            <w:r>
              <w:rPr>
                <w:sz w:val="21"/>
              </w:rPr>
              <w:t>（4）被保险人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pStyle w:val="TableParagraph"/>
              <w:spacing w:line="273" w:lineRule="auto" w:before="37"/>
              <w:ind w:left="716" w:right="-15" w:hanging="504"/>
              <w:rPr>
                <w:sz w:val="21"/>
              </w:rPr>
            </w:pPr>
            <w:r>
              <w:rPr>
                <w:w w:val="100"/>
                <w:sz w:val="21"/>
              </w:rPr>
              <w:t>（5</w:t>
            </w:r>
            <w:r>
              <w:rPr>
                <w:spacing w:val="-48"/>
                <w:w w:val="100"/>
                <w:sz w:val="21"/>
              </w:rPr>
              <w:t>）</w:t>
            </w:r>
            <w:r>
              <w:rPr>
                <w:spacing w:val="-3"/>
                <w:w w:val="100"/>
                <w:sz w:val="21"/>
              </w:rPr>
              <w:t>被保险人</w:t>
            </w:r>
            <w:r>
              <w:rPr>
                <w:rFonts w:ascii="黑体" w:eastAsia="黑体" w:hint="eastAsia"/>
                <w:b/>
                <w:w w:val="100"/>
                <w:sz w:val="21"/>
              </w:rPr>
              <w:t>感染艾滋病病毒或患艾滋病</w:t>
            </w:r>
            <w:r>
              <w:rPr>
                <w:rFonts w:ascii="黑体" w:eastAsia="黑体" w:hint="eastAsia"/>
                <w:b/>
                <w:spacing w:val="-49"/>
                <w:sz w:val="21"/>
              </w:rPr>
              <w:t> </w:t>
            </w:r>
            <w:hyperlink w:history="true" w:anchor="_bookmark9">
              <w:r>
                <w:rPr>
                  <w:rFonts w:ascii="黑体" w:eastAsia="黑体" w:hint="eastAsia"/>
                  <w:b/>
                  <w:spacing w:val="6"/>
                  <w:w w:val="99"/>
                  <w:position w:val="11"/>
                  <w:sz w:val="11"/>
                </w:rPr>
                <w:t>1</w:t>
              </w:r>
              <w:r>
                <w:rPr>
                  <w:rFonts w:ascii="黑体" w:eastAsia="黑体" w:hint="eastAsia"/>
                  <w:b/>
                  <w:spacing w:val="-41"/>
                  <w:w w:val="99"/>
                  <w:position w:val="11"/>
                  <w:sz w:val="11"/>
                </w:rPr>
                <w:t>0</w:t>
              </w:r>
            </w:hyperlink>
            <w:r>
              <w:rPr>
                <w:w w:val="100"/>
                <w:sz w:val="21"/>
              </w:rPr>
              <w:t>（</w:t>
            </w:r>
            <w:r>
              <w:rPr>
                <w:spacing w:val="-8"/>
                <w:w w:val="100"/>
                <w:sz w:val="21"/>
              </w:rPr>
              <w:t>不包括经输血、因职业关系、</w:t>
            </w:r>
            <w:r>
              <w:rPr>
                <w:spacing w:val="-6"/>
                <w:w w:val="100"/>
                <w:sz w:val="21"/>
              </w:rPr>
              <w:t>器官移植导致的艾滋病病毒感染或患艾滋病</w:t>
            </w:r>
            <w:r>
              <w:rPr>
                <w:spacing w:val="-106"/>
                <w:w w:val="100"/>
                <w:sz w:val="21"/>
              </w:rPr>
              <w:t>）</w:t>
            </w:r>
            <w:r>
              <w:rPr>
                <w:w w:val="100"/>
                <w:sz w:val="21"/>
              </w:rPr>
              <w:t>；</w:t>
            </w:r>
          </w:p>
          <w:p>
            <w:pPr>
              <w:pStyle w:val="TableParagraph"/>
              <w:spacing w:before="7"/>
              <w:ind w:left="212"/>
              <w:rPr>
                <w:sz w:val="21"/>
              </w:rPr>
            </w:pPr>
            <w:r>
              <w:rPr>
                <w:sz w:val="21"/>
                <w:shd w:fill="DADADA" w:color="auto" w:val="clear"/>
              </w:rPr>
              <w:t>（6）战争、军事冲突、暴乱或武装叛乱；</w:t>
            </w:r>
          </w:p>
          <w:p>
            <w:pPr>
              <w:pStyle w:val="TableParagraph"/>
              <w:spacing w:before="36"/>
              <w:ind w:left="212"/>
              <w:rPr>
                <w:sz w:val="21"/>
              </w:rPr>
            </w:pPr>
            <w:r>
              <w:rPr>
                <w:sz w:val="21"/>
                <w:shd w:fill="DADADA" w:color="auto" w:val="clear"/>
              </w:rPr>
              <w:t>（7）核爆炸、核辐射或核污染；</w:t>
            </w:r>
          </w:p>
          <w:p>
            <w:pPr>
              <w:pStyle w:val="TableParagraph"/>
              <w:spacing w:line="273" w:lineRule="auto" w:before="36"/>
              <w:ind w:left="678" w:right="108" w:hanging="466"/>
              <w:jc w:val="both"/>
              <w:rPr>
                <w:sz w:val="21"/>
              </w:rPr>
            </w:pPr>
            <w:r>
              <w:rPr>
                <w:w w:val="100"/>
                <w:sz w:val="21"/>
              </w:rPr>
              <w:t>（8</w:t>
            </w:r>
            <w:r>
              <w:rPr>
                <w:spacing w:val="-68"/>
                <w:w w:val="100"/>
                <w:sz w:val="21"/>
              </w:rPr>
              <w:t>）</w:t>
            </w:r>
            <w:r>
              <w:rPr>
                <w:rFonts w:ascii="黑体" w:eastAsia="黑体" w:hint="eastAsia"/>
                <w:b/>
                <w:w w:val="100"/>
                <w:sz w:val="21"/>
              </w:rPr>
              <w:t>遗传性疾病</w:t>
            </w:r>
            <w:r>
              <w:rPr>
                <w:rFonts w:ascii="黑体" w:eastAsia="黑体" w:hint="eastAsia"/>
                <w:b/>
                <w:sz w:val="21"/>
              </w:rPr>
              <w:t> </w:t>
            </w:r>
            <w:hyperlink w:history="true" w:anchor="_bookmark10">
              <w:r>
                <w:rPr>
                  <w:rFonts w:ascii="黑体" w:eastAsia="黑体" w:hint="eastAsia"/>
                  <w:b/>
                  <w:spacing w:val="6"/>
                  <w:w w:val="99"/>
                  <w:position w:val="11"/>
                  <w:sz w:val="11"/>
                </w:rPr>
                <w:t>1</w:t>
              </w:r>
              <w:r>
                <w:rPr>
                  <w:rFonts w:ascii="黑体" w:eastAsia="黑体" w:hint="eastAsia"/>
                  <w:b/>
                  <w:spacing w:val="-56"/>
                  <w:w w:val="99"/>
                  <w:position w:val="11"/>
                  <w:sz w:val="11"/>
                </w:rPr>
                <w:t>1</w:t>
              </w:r>
            </w:hyperlink>
            <w:r>
              <w:rPr>
                <w:w w:val="100"/>
                <w:sz w:val="21"/>
              </w:rPr>
              <w:t>（</w:t>
            </w:r>
            <w:r>
              <w:rPr>
                <w:spacing w:val="-11"/>
                <w:w w:val="100"/>
                <w:sz w:val="21"/>
              </w:rPr>
              <w:t>不包括严重肾髓质囊性病、严重肝豆状核变性</w:t>
            </w:r>
            <w:r>
              <w:rPr>
                <w:w w:val="100"/>
                <w:sz w:val="21"/>
              </w:rPr>
              <w:t>（</w:t>
            </w:r>
            <w:r>
              <w:rPr>
                <w:spacing w:val="-5"/>
                <w:w w:val="100"/>
                <w:sz w:val="21"/>
              </w:rPr>
              <w:t>W</w:t>
            </w:r>
            <w:r>
              <w:rPr>
                <w:w w:val="100"/>
                <w:sz w:val="21"/>
              </w:rPr>
              <w:t>il</w:t>
            </w:r>
            <w:r>
              <w:rPr>
                <w:spacing w:val="-5"/>
                <w:w w:val="100"/>
                <w:sz w:val="21"/>
              </w:rPr>
              <w:t>son</w:t>
            </w:r>
            <w:r>
              <w:rPr>
                <w:w w:val="100"/>
                <w:sz w:val="21"/>
              </w:rPr>
              <w:t>病</w:t>
            </w:r>
            <w:r>
              <w:rPr>
                <w:spacing w:val="-106"/>
                <w:w w:val="100"/>
                <w:sz w:val="21"/>
              </w:rPr>
              <w:t>）</w:t>
            </w:r>
            <w:r>
              <w:rPr>
                <w:spacing w:val="-5"/>
                <w:w w:val="100"/>
                <w:sz w:val="21"/>
              </w:rPr>
              <w:t>、艾森门格综合征及成骨不全症第三型</w:t>
            </w:r>
            <w:r>
              <w:rPr>
                <w:spacing w:val="-106"/>
                <w:w w:val="100"/>
                <w:sz w:val="21"/>
              </w:rPr>
              <w:t>）</w:t>
            </w:r>
            <w:r>
              <w:rPr>
                <w:spacing w:val="-10"/>
                <w:w w:val="100"/>
                <w:sz w:val="21"/>
              </w:rPr>
              <w:t>，</w:t>
            </w:r>
            <w:r>
              <w:rPr>
                <w:rFonts w:ascii="黑体" w:eastAsia="黑体" w:hint="eastAsia"/>
                <w:b/>
                <w:spacing w:val="-3"/>
                <w:w w:val="100"/>
                <w:sz w:val="21"/>
                <w:shd w:fill="DADADA" w:color="auto" w:val="clear"/>
              </w:rPr>
              <w:t>先天性畸形、变形或染</w:t>
            </w:r>
            <w:r>
              <w:rPr>
                <w:rFonts w:ascii="黑体" w:eastAsia="黑体" w:hint="eastAsia"/>
                <w:b/>
                <w:spacing w:val="-11"/>
                <w:sz w:val="21"/>
              </w:rPr>
              <w:t>色体异常 </w:t>
            </w:r>
            <w:hyperlink w:history="true" w:anchor="_bookmark11">
              <w:r>
                <w:rPr>
                  <w:rFonts w:ascii="黑体" w:eastAsia="黑体" w:hint="eastAsia"/>
                  <w:b/>
                  <w:spacing w:val="5"/>
                  <w:position w:val="11"/>
                  <w:sz w:val="11"/>
                </w:rPr>
                <w:t>12</w:t>
              </w:r>
            </w:hyperlink>
            <w:r>
              <w:rPr>
                <w:sz w:val="21"/>
              </w:rPr>
              <w:t>。</w:t>
            </w:r>
          </w:p>
          <w:p>
            <w:pPr>
              <w:pStyle w:val="TableParagraph"/>
              <w:spacing w:line="261" w:lineRule="exact" w:before="4"/>
              <w:ind w:left="212"/>
              <w:rPr>
                <w:sz w:val="21"/>
              </w:rPr>
            </w:pPr>
            <w:r>
              <w:rPr>
                <w:spacing w:val="-8"/>
                <w:sz w:val="21"/>
                <w:shd w:fill="DADADA" w:color="auto" w:val="clear"/>
              </w:rPr>
              <w:t>发生上述第</w:t>
            </w:r>
            <w:r>
              <w:rPr>
                <w:spacing w:val="-14"/>
                <w:sz w:val="21"/>
                <w:shd w:fill="DADADA" w:color="auto" w:val="clear"/>
              </w:rPr>
              <w:t>（1）</w:t>
            </w:r>
            <w:r>
              <w:rPr>
                <w:spacing w:val="-13"/>
                <w:sz w:val="21"/>
                <w:shd w:fill="DADADA" w:color="auto" w:val="clear"/>
              </w:rPr>
              <w:t>项情形导致被保险人初次发生“重大疾病”</w:t>
            </w:r>
            <w:r>
              <w:rPr>
                <w:spacing w:val="-25"/>
                <w:sz w:val="21"/>
                <w:shd w:fill="DADADA" w:color="auto" w:val="clear"/>
              </w:rPr>
              <w:t>、“白血病”的，</w:t>
            </w:r>
          </w:p>
        </w:tc>
      </w:tr>
    </w:tbl>
    <w:p>
      <w:pPr>
        <w:pStyle w:val="BodyText"/>
        <w:rPr>
          <w:sz w:val="20"/>
        </w:rPr>
      </w:pPr>
      <w:r>
        <w:rPr/>
        <w:pict>
          <v:line style="position:absolute;mso-position-horizontal-relative:page;mso-position-vertical-relative:page;z-index:-53608" from="534.719971pt,56.639984pt" to="534.719971pt,119.999984pt" stroked="true" strokeweight=".48pt" strokecolor="#000000">
            <v:stroke dashstyle="solid"/>
            <w10:wrap type="none"/>
          </v:line>
        </w:pict>
      </w:r>
      <w:r>
        <w:rPr/>
        <w:pict>
          <v:shape style="position:absolute;margin-left:209.040009pt;margin-top:406.559967pt;width:201.6pt;height:45.15pt;mso-position-horizontal-relative:page;mso-position-vertical-relative:page;z-index:-53584" coordorigin="4181,8131" coordsize="4032,903" path="m7483,8443l4181,8443,4181,8722,7483,8722,7483,8443m7771,8131l4181,8131,4181,8410,7771,8410,7771,8131m8213,8755l4181,8755,4181,9034,8213,9034,8213,8755e" filled="true" fillcolor="#dadada" stroked="false">
            <v:path arrowok="t"/>
            <v:fill type="solid"/>
            <w10:wrap type="none"/>
          </v:shape>
        </w:pict>
      </w:r>
    </w:p>
    <w:p>
      <w:pPr>
        <w:pStyle w:val="BodyText"/>
        <w:spacing w:before="7"/>
        <w:rPr>
          <w:sz w:val="17"/>
        </w:rPr>
      </w:pPr>
      <w:r>
        <w:rPr/>
        <w:pict>
          <v:line style="position:absolute;mso-position-horizontal-relative:page;mso-position-vertical-relative:paragraph;z-index:1192;mso-wrap-distance-left:0;mso-wrap-distance-right:0" from="51.119999pt,13.708563pt" to="195.119999pt,13.708563pt" stroked="true" strokeweight=".481pt" strokecolor="#000000">
            <v:stroke dashstyle="solid"/>
            <w10:wrap type="topAndBottom"/>
          </v:line>
        </w:pict>
      </w:r>
    </w:p>
    <w:p>
      <w:pPr>
        <w:spacing w:line="278" w:lineRule="exact" w:before="0"/>
        <w:ind w:left="222" w:right="0" w:firstLine="0"/>
        <w:jc w:val="left"/>
        <w:rPr>
          <w:sz w:val="18"/>
        </w:rPr>
      </w:pPr>
      <w:bookmarkStart w:name="_bookmark5" w:id="6"/>
      <w:bookmarkEnd w:id="6"/>
      <w:r>
        <w:rPr/>
      </w:r>
      <w:r>
        <w:rPr>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84" w:lineRule="exact" w:before="23"/>
        <w:ind w:left="404" w:right="269" w:hanging="183"/>
        <w:jc w:val="left"/>
        <w:rPr>
          <w:sz w:val="18"/>
        </w:rPr>
      </w:pPr>
      <w:r>
        <w:rPr/>
        <w:pict>
          <v:rect style="position:absolute;margin-left:209.039993pt;margin-top:-101.729996pt;width:85.2pt;height:13.92pt;mso-position-horizontal-relative:page;mso-position-vertical-relative:paragraph;z-index:-53560" filled="true" fillcolor="#dadada" stroked="false">
            <v:fill type="solid"/>
            <w10:wrap type="none"/>
          </v:rect>
        </w:pict>
      </w:r>
      <w:r>
        <w:rPr/>
        <w:pict>
          <v:rect style="position:absolute;margin-left:232.320007pt;margin-top:-70.529999pt;width:62.16pt;height:13.92pt;mso-position-horizontal-relative:page;mso-position-vertical-relative:paragraph;z-index:-53536" filled="true" fillcolor="#dadada" stroked="false">
            <v:fill type="solid"/>
            <w10:wrap type="none"/>
          </v:rect>
        </w:pict>
      </w:r>
      <w:bookmarkStart w:name="_bookmark6" w:id="7"/>
      <w:bookmarkEnd w:id="7"/>
      <w:r>
        <w:rPr/>
      </w:r>
      <w:r>
        <w:rPr>
          <w:rFonts w:ascii="Microsoft JhengHei" w:eastAsia="Microsoft JhengHei" w:hint="eastAsia"/>
          <w:b/>
          <w:position w:val="9"/>
          <w:sz w:val="9"/>
        </w:rPr>
        <w:t>7</w:t>
      </w:r>
      <w:r>
        <w:rPr>
          <w:rFonts w:ascii="Microsoft JhengHei" w:eastAsia="Microsoft JhengHei" w:hint="eastAsia"/>
          <w:b/>
          <w:spacing w:val="2"/>
          <w:position w:val="9"/>
          <w:sz w:val="9"/>
        </w:rPr>
        <w:t>   </w:t>
      </w:r>
      <w:r>
        <w:rPr>
          <w:rFonts w:ascii="Microsoft JhengHei" w:eastAsia="Microsoft JhengHei" w:hint="eastAsia"/>
          <w:b/>
          <w:sz w:val="18"/>
        </w:rPr>
        <w:t>毒品</w:t>
      </w:r>
      <w:r>
        <w:rPr>
          <w:spacing w:val="-10"/>
          <w:sz w:val="18"/>
        </w:rPr>
        <w:t>指《中华人民共和国刑法》规定的鸦片、海洛因、甲基苯丙胺</w:t>
      </w:r>
      <w:r>
        <w:rPr>
          <w:sz w:val="18"/>
        </w:rPr>
        <w:t>（</w:t>
      </w:r>
      <w:r>
        <w:rPr>
          <w:spacing w:val="-3"/>
          <w:sz w:val="18"/>
        </w:rPr>
        <w:t>冰毒</w:t>
      </w:r>
      <w:r>
        <w:rPr>
          <w:spacing w:val="-96"/>
          <w:sz w:val="18"/>
        </w:rPr>
        <w:t>）</w:t>
      </w:r>
      <w:r>
        <w:rPr>
          <w:spacing w:val="-8"/>
          <w:sz w:val="18"/>
        </w:rPr>
        <w:t>、吗啡、大麻、可卡因以及国家规定管制的其他能</w:t>
      </w:r>
      <w:r>
        <w:rPr>
          <w:spacing w:val="-5"/>
          <w:sz w:val="18"/>
        </w:rPr>
        <w:t>够使人形成瘾癖的麻醉药品和精神药品，但不包括由医生开具并遵医嘱使用的用于治疗疾病但含有毒品成分的处方药品。</w:t>
      </w:r>
    </w:p>
    <w:p>
      <w:pPr>
        <w:spacing w:line="267" w:lineRule="exact" w:before="0"/>
        <w:ind w:left="222"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w:t>
      </w:r>
    </w:p>
    <w:p>
      <w:pPr>
        <w:spacing w:line="231" w:lineRule="exact" w:before="22"/>
        <w:ind w:left="404" w:right="0" w:firstLine="0"/>
        <w:jc w:val="left"/>
        <w:rPr>
          <w:sz w:val="18"/>
        </w:rPr>
      </w:pPr>
      <w:r>
        <w:rPr>
          <w:sz w:val="18"/>
        </w:rPr>
        <w:t>部门依据《中华人民共和国道路交通安全法》的规定认定为饮酒后驾驶或醉酒后驾驶。</w:t>
      </w:r>
    </w:p>
    <w:p>
      <w:pPr>
        <w:spacing w:line="291" w:lineRule="exact" w:before="0"/>
        <w:ind w:left="222"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8"/>
        <w:ind w:left="404" w:right="270" w:hanging="183"/>
        <w:jc w:val="left"/>
        <w:rPr>
          <w:sz w:val="18"/>
        </w:rPr>
      </w:pPr>
      <w:bookmarkStart w:name="_bookmark9" w:id="10"/>
      <w:bookmarkEnd w:id="10"/>
      <w:r>
        <w:rPr/>
      </w:r>
      <w:r>
        <w:rPr>
          <w:rFonts w:ascii="Microsoft JhengHei" w:eastAsia="Microsoft JhengHei" w:hint="eastAsia"/>
          <w:b/>
          <w:spacing w:val="2"/>
          <w:position w:val="9"/>
          <w:sz w:val="9"/>
        </w:rPr>
        <w:t>10</w:t>
      </w:r>
      <w:r>
        <w:rPr>
          <w:rFonts w:ascii="Microsoft JhengHei" w:eastAsia="Microsoft JhengHei" w:hint="eastAsia"/>
          <w:b/>
          <w:spacing w:val="1"/>
          <w:position w:val="9"/>
          <w:sz w:val="9"/>
        </w:rPr>
        <w:t> </w:t>
      </w:r>
      <w:r>
        <w:rPr>
          <w:rFonts w:ascii="Microsoft JhengHei" w:eastAsia="Microsoft JhengHei" w:hint="eastAsia"/>
          <w:b/>
          <w:spacing w:val="-5"/>
          <w:sz w:val="18"/>
        </w:rPr>
        <w:t>感染艾滋病病毒或患艾滋病：</w:t>
      </w:r>
      <w:r>
        <w:rPr>
          <w:spacing w:val="-6"/>
          <w:sz w:val="18"/>
        </w:rPr>
        <w:t>艾滋病病毒指人类免疫缺陷病毒，英文缩写为 </w:t>
      </w:r>
      <w:r>
        <w:rPr>
          <w:spacing w:val="-4"/>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7"/>
        <w:ind w:left="433" w:right="270" w:firstLine="0"/>
        <w:jc w:val="left"/>
        <w:rPr>
          <w:sz w:val="18"/>
        </w:rPr>
      </w:pPr>
      <w:r>
        <w:rPr>
          <w:spacing w:val="-8"/>
          <w:sz w:val="18"/>
        </w:rPr>
        <w:t>在人体血液或其它样本中检测到艾滋病病毒或其抗体呈阳性，没有出现临床症状或体征的，为感染艾滋病病毒；如果同时出</w:t>
      </w:r>
      <w:r>
        <w:rPr>
          <w:spacing w:val="-5"/>
          <w:sz w:val="18"/>
        </w:rPr>
        <w:t>现了明显临床症状或体征的，为患艾滋病。</w:t>
      </w:r>
    </w:p>
    <w:p>
      <w:pPr>
        <w:spacing w:line="267" w:lineRule="exact" w:before="0"/>
        <w:ind w:left="222"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8" w:lineRule="exact" w:before="28"/>
        <w:ind w:left="404" w:right="0" w:firstLine="0"/>
        <w:jc w:val="left"/>
        <w:rPr>
          <w:sz w:val="18"/>
        </w:rPr>
      </w:pPr>
      <w:r>
        <w:rPr>
          <w:sz w:val="18"/>
        </w:rPr>
        <w:t>直传递的特征。</w:t>
      </w:r>
    </w:p>
    <w:p>
      <w:pPr>
        <w:spacing w:line="278" w:lineRule="exact" w:before="38"/>
        <w:ind w:left="404" w:right="269" w:hanging="183"/>
        <w:jc w:val="left"/>
        <w:rPr>
          <w:sz w:val="18"/>
        </w:rPr>
      </w:pPr>
      <w:bookmarkStart w:name="_bookmark11" w:id="12"/>
      <w:bookmarkEnd w:id="12"/>
      <w:r>
        <w:rPr/>
      </w:r>
      <w:r>
        <w:rPr>
          <w:rFonts w:ascii="Microsoft JhengHei" w:eastAsia="Microsoft JhengHei" w:hint="eastAsia"/>
          <w:b/>
          <w:spacing w:val="2"/>
          <w:position w:val="9"/>
          <w:sz w:val="9"/>
        </w:rPr>
        <w:t>12</w:t>
      </w:r>
      <w:r>
        <w:rPr>
          <w:rFonts w:ascii="Microsoft JhengHei" w:eastAsia="Microsoft JhengHei" w:hint="eastAsia"/>
          <w:b/>
          <w:spacing w:val="13"/>
          <w:position w:val="9"/>
          <w:sz w:val="9"/>
        </w:rPr>
        <w:t>  </w:t>
      </w:r>
      <w:r>
        <w:rPr>
          <w:rFonts w:ascii="Microsoft JhengHei" w:eastAsia="Microsoft JhengHei" w:hint="eastAsia"/>
          <w:b/>
          <w:spacing w:val="-5"/>
          <w:sz w:val="18"/>
        </w:rPr>
        <w:t>先天性畸形、变形或染色体异常</w:t>
      </w:r>
      <w:r>
        <w:rPr>
          <w:spacing w:val="-8"/>
          <w:sz w:val="18"/>
        </w:rPr>
        <w:t>指被保险人出生时就具有的畸形、变形或染色体异常。先天性畸形、变形和染色体异常依照</w:t>
      </w:r>
      <w:r>
        <w:rPr>
          <w:spacing w:val="-9"/>
          <w:sz w:val="18"/>
        </w:rPr>
        <w:t>世界卫生组织《疾病和有关健康问题的国际统计分类》</w:t>
      </w:r>
      <w:r>
        <w:rPr>
          <w:spacing w:val="-1"/>
          <w:sz w:val="18"/>
        </w:rPr>
        <w:t>（ICD-10）</w:t>
      </w:r>
      <w:r>
        <w:rPr>
          <w:spacing w:val="-2"/>
          <w:sz w:val="18"/>
        </w:rPr>
        <w:t>确定。</w:t>
      </w:r>
    </w:p>
    <w:p>
      <w:pPr>
        <w:spacing w:after="0" w:line="278" w:lineRule="exact"/>
        <w:jc w:val="left"/>
        <w:rPr>
          <w:sz w:val="18"/>
        </w:rPr>
        <w:sectPr>
          <w:pgSz w:w="11910" w:h="16840"/>
          <w:pgMar w:top="1120" w:bottom="280" w:left="800" w:right="740"/>
        </w:sectPr>
      </w:pPr>
    </w:p>
    <w:p>
      <w:pPr>
        <w:pStyle w:val="BodyText"/>
        <w:ind w:left="3380"/>
        <w:rPr>
          <w:sz w:val="20"/>
        </w:rPr>
      </w:pPr>
      <w:r>
        <w:rPr>
          <w:sz w:val="20"/>
        </w:rPr>
        <w:pict>
          <v:shape style="width:335.05pt;height:13.95pt;mso-position-horizontal-relative:char;mso-position-vertical-relative:line" type="#_x0000_t202" filled="true" fillcolor="#dadada" stroked="false">
            <w10:anchorlock/>
            <v:textbox inset="0,0,0,0">
              <w:txbxContent>
                <w:p>
                  <w:pPr>
                    <w:spacing w:line="246" w:lineRule="exact" w:before="0"/>
                    <w:ind w:left="0" w:right="-15" w:firstLine="0"/>
                    <w:jc w:val="left"/>
                    <w:rPr>
                      <w:sz w:val="21"/>
                    </w:rPr>
                  </w:pPr>
                  <w:r>
                    <w:rPr>
                      <w:spacing w:val="-5"/>
                      <w:sz w:val="21"/>
                    </w:rPr>
                    <w:t>本主险合同终止，我们向被保险人退还本主险合同的</w:t>
                  </w:r>
                  <w:r>
                    <w:rPr>
                      <w:rFonts w:ascii="黑体" w:eastAsia="黑体" w:hint="eastAsia"/>
                      <w:b/>
                      <w:spacing w:val="-2"/>
                      <w:sz w:val="21"/>
                    </w:rPr>
                    <w:t>未满期净保险费 </w:t>
                  </w:r>
                  <w:hyperlink w:history="true" w:anchor="_bookmark12">
                    <w:r>
                      <w:rPr>
                        <w:rFonts w:ascii="黑体" w:eastAsia="黑体" w:hint="eastAsia"/>
                        <w:b/>
                        <w:spacing w:val="5"/>
                        <w:position w:val="11"/>
                        <w:sz w:val="11"/>
                      </w:rPr>
                      <w:t>13</w:t>
                    </w:r>
                  </w:hyperlink>
                  <w:r>
                    <w:rPr>
                      <w:sz w:val="21"/>
                    </w:rPr>
                    <w:t>。</w:t>
                  </w:r>
                </w:p>
              </w:txbxContent>
            </v:textbox>
            <v:fill type="solid"/>
          </v:shape>
        </w:pict>
      </w:r>
      <w:r>
        <w:rPr>
          <w:sz w:val="20"/>
        </w:rPr>
      </w:r>
    </w:p>
    <w:p>
      <w:pPr>
        <w:pStyle w:val="BodyText"/>
        <w:spacing w:line="273" w:lineRule="auto"/>
        <w:ind w:left="3380" w:right="222"/>
      </w:pPr>
      <w:r>
        <w:rPr>
          <w:spacing w:val="-10"/>
          <w:shd w:fill="DADADA" w:color="auto" w:val="clear"/>
        </w:rPr>
        <w:t>发生上述其他情形导致被保险人初次发生“重大疾病”、“白血病”的，本</w:t>
      </w:r>
      <w:r>
        <w:rPr>
          <w:spacing w:val="-7"/>
          <w:shd w:fill="DADADA" w:color="auto" w:val="clear"/>
        </w:rPr>
        <w:t>主险合同终止，我们向您退还</w:t>
      </w:r>
      <w:r>
        <w:rPr>
          <w:spacing w:val="-212"/>
          <w:shd w:fill="DADADA" w:color="auto" w:val="clear"/>
        </w:rPr>
        <w:t>本</w:t>
      </w:r>
      <w:r>
        <w:rPr>
          <w:spacing w:val="-4"/>
          <w:shd w:fill="DADADA" w:color="auto" w:val="clear"/>
        </w:rPr>
        <w:t>主险合同的未满期净保险费。</w:t>
      </w:r>
    </w:p>
    <w:p>
      <w:pPr>
        <w:pStyle w:val="BodyText"/>
        <w:spacing w:before="3"/>
        <w:rPr>
          <w:sz w:val="27"/>
        </w:rPr>
      </w:pPr>
    </w:p>
    <w:p>
      <w:pPr>
        <w:tabs>
          <w:tab w:pos="1038" w:val="left" w:leader="none"/>
          <w:tab w:pos="3380" w:val="left" w:leader="none"/>
        </w:tabs>
        <w:spacing w:before="0"/>
        <w:ind w:left="361" w:right="0" w:firstLine="0"/>
        <w:jc w:val="left"/>
        <w:rPr>
          <w:sz w:val="21"/>
        </w:rPr>
      </w:pPr>
      <w:r>
        <w:rPr>
          <w:b/>
          <w:sz w:val="21"/>
        </w:rPr>
        <w:t>2.2</w:t>
        <w:tab/>
        <w:t>其他免责条款</w:t>
        <w:tab/>
      </w:r>
      <w:r>
        <w:rPr>
          <w:sz w:val="21"/>
        </w:rPr>
        <w:t>除“2.1</w:t>
      </w:r>
      <w:r>
        <w:rPr>
          <w:spacing w:val="36"/>
          <w:sz w:val="21"/>
        </w:rPr>
        <w:t> </w:t>
      </w:r>
      <w:r>
        <w:rPr>
          <w:sz w:val="21"/>
        </w:rPr>
        <w:t>责任免除”外，本主险合同中还有一些免除保险人责任的条款，</w:t>
      </w:r>
    </w:p>
    <w:p>
      <w:pPr>
        <w:pStyle w:val="BodyText"/>
        <w:spacing w:line="273" w:lineRule="auto" w:before="36"/>
        <w:ind w:left="3381" w:right="217" w:hanging="1"/>
      </w:pPr>
      <w:r>
        <w:rPr>
          <w:spacing w:val="-3"/>
        </w:rPr>
        <w:t>详见</w:t>
      </w:r>
      <w:r>
        <w:rPr/>
        <w:t>“1.2</w:t>
      </w:r>
      <w:r>
        <w:rPr>
          <w:spacing w:val="-35"/>
        </w:rPr>
        <w:t> 保险责任”、“</w:t>
      </w:r>
      <w:r>
        <w:rPr/>
        <w:t>4.2</w:t>
      </w:r>
      <w:r>
        <w:rPr>
          <w:spacing w:val="-32"/>
        </w:rPr>
        <w:t> 保险事故通知”、</w:t>
      </w:r>
      <w:r>
        <w:rPr/>
        <w:t>“6</w:t>
      </w:r>
      <w:r>
        <w:rPr>
          <w:spacing w:val="-32"/>
        </w:rPr>
        <w:t> 重大疾病释义”、</w:t>
      </w:r>
      <w:r>
        <w:rPr/>
        <w:t>“7</w:t>
      </w:r>
      <w:r>
        <w:rPr>
          <w:spacing w:val="0"/>
        </w:rPr>
        <w:t> 白血</w:t>
      </w:r>
      <w:r>
        <w:rPr>
          <w:spacing w:val="-30"/>
        </w:rPr>
        <w:t>病释义”、“脚注 </w:t>
      </w:r>
      <w:r>
        <w:rPr/>
        <w:t>1</w:t>
      </w:r>
      <w:r>
        <w:rPr>
          <w:spacing w:val="-8"/>
        </w:rPr>
        <w:t> 医院”中背景突出显示的内容。</w:t>
      </w:r>
    </w:p>
    <w:p>
      <w:pPr>
        <w:pStyle w:val="BodyText"/>
        <w:spacing w:before="9"/>
        <w:rPr>
          <w:sz w:val="28"/>
        </w:rPr>
      </w:pPr>
    </w:p>
    <w:p>
      <w:pPr>
        <w:tabs>
          <w:tab w:pos="1038" w:val="left" w:leader="none"/>
        </w:tabs>
        <w:spacing w:line="441" w:lineRule="exact" w:before="0"/>
        <w:ind w:left="342" w:right="0" w:firstLine="0"/>
        <w:jc w:val="left"/>
        <w:rPr>
          <w:b/>
          <w:sz w:val="24"/>
        </w:rPr>
      </w:pPr>
      <w:r>
        <w:rPr>
          <w:rFonts w:ascii="Arial" w:hAnsi="Arial" w:eastAsia="Arial"/>
          <w:b/>
          <w:position w:val="-8"/>
          <w:sz w:val="40"/>
        </w:rPr>
        <w:t></w:t>
        <w:tab/>
      </w:r>
      <w:r>
        <w:rPr>
          <w:b/>
          <w:w w:val="95"/>
          <w:sz w:val="24"/>
        </w:rPr>
        <w:t>如何支付保险费</w:t>
      </w:r>
    </w:p>
    <w:p>
      <w:pPr>
        <w:pStyle w:val="Heading2"/>
        <w:spacing w:line="295" w:lineRule="exact"/>
      </w:pPr>
      <w:r>
        <w:rPr/>
        <w:pict>
          <v:group style="position:absolute;margin-left:45.599998pt;margin-top:17.87867pt;width:506.65pt;height:1pt;mso-position-horizontal-relative:page;mso-position-vertical-relative:paragraph;z-index:1336;mso-wrap-distance-left:0;mso-wrap-distance-right:0" coordorigin="912,358" coordsize="10133,20">
            <v:line style="position:absolute" from="912,367" to="1733,367" stroked="true" strokeweight=".96pt" strokecolor="#000000">
              <v:stroke dashstyle="solid"/>
            </v:line>
            <v:rect style="position:absolute;left:1732;top:357;width:20;height:20" filled="true" fillcolor="#000000" stroked="false">
              <v:fill type="solid"/>
            </v:rect>
            <v:line style="position:absolute" from="1752,367" to="4075,367" stroked="true" strokeweight=".96pt" strokecolor="#000000">
              <v:stroke dashstyle="solid"/>
            </v:line>
            <v:rect style="position:absolute;left:4075;top:357;width:20;height:20" filled="true" fillcolor="#000000" stroked="false">
              <v:fill type="solid"/>
            </v:rect>
            <v:line style="position:absolute" from="4094,367" to="11045,367" stroked="true" strokeweight=".96pt" strokecolor="#000000">
              <v:stroke dashstyle="solid"/>
            </v:line>
            <w10:wrap type="topAndBottom"/>
          </v:group>
        </w:pict>
      </w:r>
      <w:r>
        <w:rPr/>
        <w:t>这部分讲的是您应当按时交纳保险费，如果不及时交费可能会导致合同效力终止。</w:t>
      </w:r>
    </w:p>
    <w:p>
      <w:pPr>
        <w:pStyle w:val="BodyText"/>
        <w:spacing w:before="5"/>
        <w:rPr>
          <w:sz w:val="18"/>
        </w:rPr>
      </w:pPr>
    </w:p>
    <w:p>
      <w:pPr>
        <w:pStyle w:val="ListParagraph"/>
        <w:numPr>
          <w:ilvl w:val="1"/>
          <w:numId w:val="7"/>
        </w:numPr>
        <w:tabs>
          <w:tab w:pos="1038" w:val="left" w:leader="none"/>
          <w:tab w:pos="1039" w:val="left" w:leader="none"/>
          <w:tab w:pos="3380" w:val="left" w:leader="none"/>
        </w:tabs>
        <w:spacing w:line="240" w:lineRule="auto" w:before="36" w:after="0"/>
        <w:ind w:left="1038" w:right="0" w:hanging="677"/>
        <w:jc w:val="left"/>
        <w:rPr>
          <w:sz w:val="21"/>
        </w:rPr>
      </w:pPr>
      <w:r>
        <w:rPr>
          <w:b/>
          <w:sz w:val="21"/>
        </w:rPr>
        <w:t>保险费的支付</w:t>
        <w:tab/>
      </w:r>
      <w:r>
        <w:rPr>
          <w:sz w:val="21"/>
        </w:rPr>
        <w:t>本主险合</w:t>
      </w:r>
      <w:r>
        <w:rPr>
          <w:spacing w:val="-5"/>
          <w:sz w:val="21"/>
        </w:rPr>
        <w:t>同</w:t>
      </w:r>
      <w:r>
        <w:rPr>
          <w:sz w:val="21"/>
        </w:rPr>
        <w:t>的保险</w:t>
      </w:r>
      <w:r>
        <w:rPr>
          <w:spacing w:val="-5"/>
          <w:sz w:val="21"/>
        </w:rPr>
        <w:t>费</w:t>
      </w:r>
      <w:r>
        <w:rPr>
          <w:sz w:val="21"/>
        </w:rPr>
        <w:t>需要您</w:t>
      </w:r>
      <w:r>
        <w:rPr>
          <w:spacing w:val="-5"/>
          <w:sz w:val="21"/>
        </w:rPr>
        <w:t>在</w:t>
      </w:r>
      <w:r>
        <w:rPr>
          <w:sz w:val="21"/>
        </w:rPr>
        <w:t>投保时</w:t>
      </w:r>
      <w:r>
        <w:rPr>
          <w:spacing w:val="-5"/>
          <w:sz w:val="21"/>
        </w:rPr>
        <w:t>一</w:t>
      </w:r>
      <w:r>
        <w:rPr>
          <w:sz w:val="21"/>
        </w:rPr>
        <w:t>次交清。</w:t>
      </w:r>
    </w:p>
    <w:p>
      <w:pPr>
        <w:pStyle w:val="BodyText"/>
        <w:spacing w:before="6"/>
        <w:rPr>
          <w:sz w:val="28"/>
        </w:rPr>
      </w:pPr>
    </w:p>
    <w:p>
      <w:pPr>
        <w:pStyle w:val="ListParagraph"/>
        <w:numPr>
          <w:ilvl w:val="1"/>
          <w:numId w:val="7"/>
        </w:numPr>
        <w:tabs>
          <w:tab w:pos="1038" w:val="left" w:leader="none"/>
          <w:tab w:pos="1039" w:val="left" w:leader="none"/>
          <w:tab w:pos="3380" w:val="left" w:leader="none"/>
        </w:tabs>
        <w:spacing w:line="240" w:lineRule="auto" w:before="0" w:after="0"/>
        <w:ind w:left="1038" w:right="0" w:hanging="677"/>
        <w:jc w:val="left"/>
        <w:rPr>
          <w:sz w:val="21"/>
        </w:rPr>
      </w:pPr>
      <w:r>
        <w:rPr>
          <w:b/>
          <w:sz w:val="21"/>
        </w:rPr>
        <w:t>宽限期</w:t>
        <w:tab/>
      </w:r>
      <w:r>
        <w:rPr>
          <w:sz w:val="21"/>
        </w:rPr>
        <w:t>本主险合同</w:t>
      </w:r>
      <w:r>
        <w:rPr>
          <w:spacing w:val="-20"/>
          <w:sz w:val="21"/>
        </w:rPr>
        <w:t> </w:t>
      </w:r>
      <w:r>
        <w:rPr>
          <w:sz w:val="21"/>
        </w:rPr>
        <w:t>1</w:t>
      </w:r>
      <w:r>
        <w:rPr>
          <w:spacing w:val="-14"/>
          <w:sz w:val="21"/>
        </w:rPr>
        <w:t> </w:t>
      </w:r>
      <w:r>
        <w:rPr>
          <w:sz w:val="21"/>
        </w:rPr>
        <w:t>年</w:t>
      </w:r>
      <w:r>
        <w:rPr>
          <w:spacing w:val="-5"/>
          <w:sz w:val="21"/>
        </w:rPr>
        <w:t>保</w:t>
      </w:r>
      <w:r>
        <w:rPr>
          <w:sz w:val="21"/>
        </w:rPr>
        <w:t>险期间</w:t>
      </w:r>
      <w:r>
        <w:rPr>
          <w:spacing w:val="-5"/>
          <w:sz w:val="21"/>
        </w:rPr>
        <w:t>届</w:t>
      </w:r>
      <w:r>
        <w:rPr>
          <w:sz w:val="21"/>
        </w:rPr>
        <w:t>满时，</w:t>
      </w:r>
      <w:r>
        <w:rPr>
          <w:spacing w:val="-5"/>
          <w:sz w:val="21"/>
        </w:rPr>
        <w:t>若</w:t>
      </w:r>
      <w:r>
        <w:rPr>
          <w:sz w:val="21"/>
        </w:rPr>
        <w:t>我们同</w:t>
      </w:r>
      <w:r>
        <w:rPr>
          <w:spacing w:val="-5"/>
          <w:sz w:val="21"/>
        </w:rPr>
        <w:t>意</w:t>
      </w:r>
      <w:r>
        <w:rPr>
          <w:sz w:val="21"/>
        </w:rPr>
        <w:t>续保</w:t>
      </w:r>
      <w:r>
        <w:rPr>
          <w:spacing w:val="-5"/>
          <w:sz w:val="21"/>
        </w:rPr>
        <w:t>，</w:t>
      </w:r>
      <w:r>
        <w:rPr>
          <w:sz w:val="21"/>
        </w:rPr>
        <w:t>则自期满</w:t>
      </w:r>
      <w:r>
        <w:rPr>
          <w:spacing w:val="-5"/>
          <w:sz w:val="21"/>
        </w:rPr>
        <w:t>日</w:t>
      </w:r>
      <w:r>
        <w:rPr>
          <w:sz w:val="21"/>
        </w:rPr>
        <w:t>的次日零</w:t>
      </w:r>
    </w:p>
    <w:p>
      <w:pPr>
        <w:pStyle w:val="BodyText"/>
        <w:spacing w:before="37"/>
        <w:ind w:left="3380"/>
      </w:pPr>
      <w:r>
        <w:rPr/>
        <w:t>时起 60 日为宽限期。</w:t>
      </w:r>
    </w:p>
    <w:p>
      <w:pPr>
        <w:pStyle w:val="BodyText"/>
        <w:spacing w:line="273" w:lineRule="auto" w:before="37"/>
        <w:ind w:left="3380" w:right="222"/>
      </w:pPr>
      <w:r>
        <w:rPr/>
        <w:t>宽限期内发生的保险事故，我们仍会承担保险责任，但在给付保险金时会扣减您欠交的保险费。</w:t>
      </w:r>
    </w:p>
    <w:p>
      <w:pPr>
        <w:pStyle w:val="BodyText"/>
        <w:spacing w:line="273" w:lineRule="auto" w:before="7"/>
        <w:ind w:left="3380" w:right="222"/>
      </w:pPr>
      <w:r>
        <w:rPr/>
        <w:t>如果您宽限期结束之后仍未支付保险费，则我们自宽限期满的次日零时起不再承担保险责任，本主险合同终止。</w:t>
      </w:r>
    </w:p>
    <w:p>
      <w:pPr>
        <w:pStyle w:val="BodyText"/>
        <w:spacing w:before="9"/>
        <w:rPr>
          <w:sz w:val="28"/>
        </w:rPr>
      </w:pPr>
    </w:p>
    <w:p>
      <w:pPr>
        <w:tabs>
          <w:tab w:pos="1038" w:val="left" w:leader="none"/>
        </w:tabs>
        <w:spacing w:line="456" w:lineRule="exact" w:before="0"/>
        <w:ind w:left="342" w:right="0" w:firstLine="0"/>
        <w:jc w:val="left"/>
        <w:rPr>
          <w:b/>
          <w:sz w:val="24"/>
        </w:rPr>
      </w:pPr>
      <w:r>
        <w:rPr>
          <w:rFonts w:ascii="Arial" w:hAnsi="Arial" w:eastAsia="Arial"/>
          <w:b/>
          <w:position w:val="-8"/>
          <w:sz w:val="40"/>
        </w:rPr>
        <w:t></w:t>
        <w:tab/>
      </w:r>
      <w:r>
        <w:rPr>
          <w:b/>
          <w:w w:val="95"/>
          <w:sz w:val="24"/>
        </w:rPr>
        <w:t>如何领取保险金</w:t>
      </w:r>
    </w:p>
    <w:p>
      <w:pPr>
        <w:pStyle w:val="Heading2"/>
        <w:ind w:left="1022" w:right="2587"/>
        <w:jc w:val="center"/>
      </w:pPr>
      <w:r>
        <w:rPr/>
        <w:t>这部分讲的是发生重大疾病、白血病后受益人如何领取保险金。</w:t>
      </w:r>
    </w:p>
    <w:p>
      <w:pPr>
        <w:pStyle w:val="BodyText"/>
        <w:spacing w:before="6"/>
        <w:rPr>
          <w:sz w:val="13"/>
        </w:rPr>
      </w:pPr>
      <w:r>
        <w:rPr/>
        <w:pict>
          <v:group style="position:absolute;margin-left:45.599998pt;margin-top:10.794874pt;width:506.65pt;height:1pt;mso-position-horizontal-relative:page;mso-position-vertical-relative:paragraph;z-index:1360;mso-wrap-distance-left:0;mso-wrap-distance-right:0" coordorigin="912,216" coordsize="10133,20">
            <v:line style="position:absolute" from="912,225" to="1733,225" stroked="true" strokeweight=".959pt" strokecolor="#000000">
              <v:stroke dashstyle="solid"/>
            </v:line>
            <v:rect style="position:absolute;left:1732;top:215;width:20;height:20" filled="true" fillcolor="#000000" stroked="false">
              <v:fill type="solid"/>
            </v:rect>
            <v:line style="position:absolute" from="1752,225" to="4075,225" stroked="true" strokeweight=".959pt" strokecolor="#000000">
              <v:stroke dashstyle="solid"/>
            </v:line>
            <v:rect style="position:absolute;left:4075;top:215;width:20;height:20" filled="true" fillcolor="#000000" stroked="false">
              <v:fill type="solid"/>
            </v:rect>
            <v:line style="position:absolute" from="4094,225" to="11045,225" stroked="true" strokeweight=".959pt" strokecolor="#000000">
              <v:stroke dashstyle="solid"/>
            </v:line>
            <w10:wrap type="topAndBottom"/>
          </v:group>
        </w:pict>
      </w:r>
    </w:p>
    <w:p>
      <w:pPr>
        <w:pStyle w:val="BodyText"/>
        <w:spacing w:after="1"/>
        <w:rPr>
          <w:sz w:val="26"/>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
        <w:gridCol w:w="2415"/>
        <w:gridCol w:w="6922"/>
      </w:tblGrid>
      <w:tr>
        <w:trPr>
          <w:trHeight w:val="261" w:hRule="atLeast"/>
        </w:trPr>
        <w:tc>
          <w:tcPr>
            <w:tcW w:w="547" w:type="dxa"/>
          </w:tcPr>
          <w:p>
            <w:pPr>
              <w:pStyle w:val="TableParagraph"/>
              <w:spacing w:line="211" w:lineRule="exact"/>
              <w:ind w:left="50"/>
              <w:rPr>
                <w:b/>
                <w:sz w:val="21"/>
              </w:rPr>
            </w:pPr>
            <w:r>
              <w:rPr>
                <w:b/>
                <w:sz w:val="21"/>
              </w:rPr>
              <w:t>4.1</w:t>
            </w:r>
          </w:p>
        </w:tc>
        <w:tc>
          <w:tcPr>
            <w:tcW w:w="2415" w:type="dxa"/>
          </w:tcPr>
          <w:p>
            <w:pPr>
              <w:pStyle w:val="TableParagraph"/>
              <w:spacing w:line="211" w:lineRule="exact"/>
              <w:ind w:left="179"/>
              <w:rPr>
                <w:b/>
                <w:sz w:val="21"/>
              </w:rPr>
            </w:pPr>
            <w:r>
              <w:rPr>
                <w:b/>
                <w:sz w:val="21"/>
              </w:rPr>
              <w:t>受益人</w:t>
            </w:r>
          </w:p>
        </w:tc>
        <w:tc>
          <w:tcPr>
            <w:tcW w:w="6922" w:type="dxa"/>
          </w:tcPr>
          <w:p>
            <w:pPr>
              <w:pStyle w:val="TableParagraph"/>
              <w:spacing w:line="211" w:lineRule="exact"/>
              <w:ind w:left="107"/>
              <w:rPr>
                <w:sz w:val="21"/>
              </w:rPr>
            </w:pPr>
            <w:r>
              <w:rPr>
                <w:sz w:val="21"/>
              </w:rPr>
              <w:t>除另有指定外，重大疾病保险金、白血病疾病保险金受益人为被保险人本</w:t>
            </w:r>
          </w:p>
        </w:tc>
      </w:tr>
      <w:tr>
        <w:trPr>
          <w:trHeight w:val="482"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rPr>
              <w:t>人。</w:t>
            </w:r>
          </w:p>
        </w:tc>
      </w:tr>
      <w:tr>
        <w:trPr>
          <w:trHeight w:val="482" w:hRule="atLeast"/>
        </w:trPr>
        <w:tc>
          <w:tcPr>
            <w:tcW w:w="547" w:type="dxa"/>
          </w:tcPr>
          <w:p>
            <w:pPr>
              <w:pStyle w:val="TableParagraph"/>
              <w:spacing w:before="157"/>
              <w:ind w:left="50"/>
              <w:rPr>
                <w:b/>
                <w:sz w:val="21"/>
              </w:rPr>
            </w:pPr>
            <w:r>
              <w:rPr>
                <w:b/>
                <w:sz w:val="21"/>
              </w:rPr>
              <w:t>4.2</w:t>
            </w:r>
          </w:p>
        </w:tc>
        <w:tc>
          <w:tcPr>
            <w:tcW w:w="2415" w:type="dxa"/>
          </w:tcPr>
          <w:p>
            <w:pPr>
              <w:pStyle w:val="TableParagraph"/>
              <w:spacing w:before="157"/>
              <w:ind w:left="179"/>
              <w:rPr>
                <w:b/>
                <w:sz w:val="21"/>
              </w:rPr>
            </w:pPr>
            <w:r>
              <w:rPr>
                <w:b/>
                <w:sz w:val="21"/>
              </w:rPr>
              <w:t>保险事故通知</w:t>
            </w:r>
          </w:p>
        </w:tc>
        <w:tc>
          <w:tcPr>
            <w:tcW w:w="6922" w:type="dxa"/>
          </w:tcPr>
          <w:p>
            <w:pPr>
              <w:pStyle w:val="TableParagraph"/>
              <w:spacing w:before="157"/>
              <w:ind w:left="107"/>
              <w:rPr>
                <w:sz w:val="21"/>
              </w:rPr>
            </w:pPr>
            <w:r>
              <w:rPr>
                <w:sz w:val="21"/>
              </w:rPr>
              <w:t>请您或受益人在知道保险事故发生后 10 日内通知我们。</w:t>
            </w:r>
          </w:p>
        </w:tc>
      </w:tr>
      <w:tr>
        <w:trPr>
          <w:trHeight w:val="312"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shd w:fill="DADADA" w:color="auto" w:val="clear"/>
              </w:rPr>
              <w:t>如果您或受益人故意或者因重大过失未及时通知，致使保险事故的性质、</w:t>
            </w:r>
          </w:p>
        </w:tc>
      </w:tr>
      <w:tr>
        <w:trPr>
          <w:trHeight w:val="311"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shd w:fill="DADADA" w:color="auto" w:val="clear"/>
              </w:rPr>
              <w:t>原因、损失程度等难以确定的，我们对无法确定的部分，不承担给付保险</w:t>
            </w:r>
          </w:p>
        </w:tc>
      </w:tr>
      <w:tr>
        <w:trPr>
          <w:trHeight w:val="311"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shd w:fill="DADADA" w:color="auto" w:val="clear"/>
              </w:rPr>
              <w:t>金的责任</w:t>
            </w:r>
            <w:r>
              <w:rPr>
                <w:sz w:val="21"/>
              </w:rPr>
              <w:t>，但我们通过其他途径已经及时知道或者应当及时知道保险事故</w:t>
            </w:r>
          </w:p>
        </w:tc>
      </w:tr>
      <w:tr>
        <w:trPr>
          <w:trHeight w:val="311"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rPr>
              <w:t>发生或者虽未及时通知但不影响我们确定保险事故的性质、原因、损失程</w:t>
            </w:r>
          </w:p>
        </w:tc>
      </w:tr>
      <w:tr>
        <w:trPr>
          <w:trHeight w:val="482" w:hRule="atLeast"/>
        </w:trPr>
        <w:tc>
          <w:tcPr>
            <w:tcW w:w="547" w:type="dxa"/>
          </w:tcPr>
          <w:p>
            <w:pPr>
              <w:pStyle w:val="TableParagraph"/>
              <w:rPr>
                <w:rFonts w:ascii="Times New Roman"/>
                <w:sz w:val="20"/>
              </w:rPr>
            </w:pPr>
          </w:p>
        </w:tc>
        <w:tc>
          <w:tcPr>
            <w:tcW w:w="2415" w:type="dxa"/>
          </w:tcPr>
          <w:p>
            <w:pPr>
              <w:pStyle w:val="TableParagraph"/>
              <w:rPr>
                <w:rFonts w:ascii="Times New Roman"/>
                <w:sz w:val="20"/>
              </w:rPr>
            </w:pPr>
          </w:p>
        </w:tc>
        <w:tc>
          <w:tcPr>
            <w:tcW w:w="6922" w:type="dxa"/>
          </w:tcPr>
          <w:p>
            <w:pPr>
              <w:pStyle w:val="TableParagraph"/>
              <w:spacing w:line="261" w:lineRule="exact"/>
              <w:ind w:left="107"/>
              <w:rPr>
                <w:sz w:val="21"/>
              </w:rPr>
            </w:pPr>
            <w:r>
              <w:rPr>
                <w:sz w:val="21"/>
              </w:rPr>
              <w:t>度的除外。</w:t>
            </w:r>
          </w:p>
        </w:tc>
      </w:tr>
      <w:tr>
        <w:trPr>
          <w:trHeight w:val="642" w:hRule="atLeast"/>
        </w:trPr>
        <w:tc>
          <w:tcPr>
            <w:tcW w:w="547" w:type="dxa"/>
          </w:tcPr>
          <w:p>
            <w:pPr>
              <w:pStyle w:val="TableParagraph"/>
              <w:spacing w:before="157"/>
              <w:ind w:left="50"/>
              <w:rPr>
                <w:b/>
                <w:sz w:val="21"/>
              </w:rPr>
            </w:pPr>
            <w:r>
              <w:rPr>
                <w:b/>
                <w:sz w:val="21"/>
              </w:rPr>
              <w:t>4.3</w:t>
            </w:r>
          </w:p>
        </w:tc>
        <w:tc>
          <w:tcPr>
            <w:tcW w:w="2415" w:type="dxa"/>
          </w:tcPr>
          <w:p>
            <w:pPr>
              <w:pStyle w:val="TableParagraph"/>
              <w:spacing w:before="157"/>
              <w:ind w:left="179"/>
              <w:rPr>
                <w:b/>
                <w:sz w:val="21"/>
              </w:rPr>
            </w:pPr>
            <w:r>
              <w:rPr>
                <w:b/>
                <w:sz w:val="21"/>
              </w:rPr>
              <w:t>保险金申请</w:t>
            </w:r>
          </w:p>
        </w:tc>
        <w:tc>
          <w:tcPr>
            <w:tcW w:w="6922" w:type="dxa"/>
          </w:tcPr>
          <w:p>
            <w:pPr>
              <w:pStyle w:val="TableParagraph"/>
              <w:spacing w:before="157"/>
              <w:ind w:left="107"/>
              <w:rPr>
                <w:sz w:val="21"/>
              </w:rPr>
            </w:pPr>
            <w:r>
              <w:rPr>
                <w:sz w:val="21"/>
              </w:rPr>
              <w:t>在申请保险金时，请按照下列方式办理：</w:t>
            </w:r>
          </w:p>
        </w:tc>
      </w:tr>
      <w:tr>
        <w:trPr>
          <w:trHeight w:val="493" w:hRule="atLeast"/>
        </w:trPr>
        <w:tc>
          <w:tcPr>
            <w:tcW w:w="547" w:type="dxa"/>
          </w:tcPr>
          <w:p>
            <w:pPr>
              <w:pStyle w:val="TableParagraph"/>
              <w:rPr>
                <w:rFonts w:ascii="Times New Roman"/>
                <w:sz w:val="20"/>
              </w:rPr>
            </w:pPr>
          </w:p>
        </w:tc>
        <w:tc>
          <w:tcPr>
            <w:tcW w:w="2415" w:type="dxa"/>
          </w:tcPr>
          <w:p>
            <w:pPr>
              <w:pStyle w:val="TableParagraph"/>
              <w:spacing w:before="131"/>
              <w:ind w:left="179"/>
              <w:rPr>
                <w:rFonts w:ascii="等线" w:eastAsia="等线" w:hint="eastAsia"/>
                <w:b/>
                <w:sz w:val="24"/>
              </w:rPr>
            </w:pPr>
            <w:r>
              <w:rPr>
                <w:rFonts w:ascii="等线" w:eastAsia="等线" w:hint="eastAsia"/>
                <w:b/>
                <w:sz w:val="24"/>
              </w:rPr>
              <w:t>重大疾病保险金、白</w:t>
            </w:r>
          </w:p>
        </w:tc>
        <w:tc>
          <w:tcPr>
            <w:tcW w:w="6922" w:type="dxa"/>
          </w:tcPr>
          <w:p>
            <w:pPr>
              <w:pStyle w:val="TableParagraph"/>
              <w:spacing w:before="167"/>
              <w:ind w:left="107"/>
              <w:rPr>
                <w:sz w:val="21"/>
              </w:rPr>
            </w:pPr>
            <w:r>
              <w:rPr>
                <w:sz w:val="21"/>
              </w:rPr>
              <w:t>由受益人填写保险金给付申请书，并提供下列证明和资料：</w:t>
            </w:r>
          </w:p>
        </w:tc>
      </w:tr>
      <w:tr>
        <w:trPr>
          <w:trHeight w:val="636" w:hRule="atLeast"/>
        </w:trPr>
        <w:tc>
          <w:tcPr>
            <w:tcW w:w="547" w:type="dxa"/>
          </w:tcPr>
          <w:p>
            <w:pPr>
              <w:pStyle w:val="TableParagraph"/>
              <w:rPr>
                <w:rFonts w:ascii="Times New Roman"/>
                <w:sz w:val="20"/>
              </w:rPr>
            </w:pPr>
          </w:p>
        </w:tc>
        <w:tc>
          <w:tcPr>
            <w:tcW w:w="2415" w:type="dxa"/>
          </w:tcPr>
          <w:p>
            <w:pPr>
              <w:pStyle w:val="TableParagraph"/>
              <w:spacing w:line="277" w:lineRule="exact"/>
              <w:ind w:left="179"/>
              <w:rPr>
                <w:rFonts w:ascii="等线" w:eastAsia="等线" w:hint="eastAsia"/>
                <w:b/>
                <w:sz w:val="24"/>
              </w:rPr>
            </w:pPr>
            <w:r>
              <w:rPr>
                <w:rFonts w:ascii="等线" w:eastAsia="等线" w:hint="eastAsia"/>
                <w:b/>
                <w:sz w:val="24"/>
              </w:rPr>
              <w:t>血病疾病保险金申</w:t>
            </w:r>
          </w:p>
          <w:p>
            <w:pPr>
              <w:pStyle w:val="TableParagraph"/>
              <w:spacing w:line="322" w:lineRule="exact"/>
              <w:ind w:left="179"/>
              <w:rPr>
                <w:rFonts w:ascii="等线" w:eastAsia="等线" w:hint="eastAsia"/>
                <w:b/>
                <w:sz w:val="24"/>
              </w:rPr>
            </w:pPr>
            <w:r>
              <w:rPr>
                <w:rFonts w:ascii="等线" w:eastAsia="等线" w:hint="eastAsia"/>
                <w:b/>
                <w:sz w:val="24"/>
              </w:rPr>
              <w:t>请</w:t>
            </w:r>
          </w:p>
        </w:tc>
        <w:tc>
          <w:tcPr>
            <w:tcW w:w="6922" w:type="dxa"/>
          </w:tcPr>
          <w:p>
            <w:pPr>
              <w:pStyle w:val="TableParagraph"/>
              <w:spacing w:line="260" w:lineRule="exact"/>
              <w:ind w:left="107"/>
              <w:rPr>
                <w:sz w:val="21"/>
              </w:rPr>
            </w:pPr>
            <w:r>
              <w:rPr>
                <w:sz w:val="21"/>
              </w:rPr>
              <w:t>（1）保险合同；</w:t>
            </w:r>
          </w:p>
          <w:p>
            <w:pPr>
              <w:pStyle w:val="TableParagraph"/>
              <w:spacing w:before="37"/>
              <w:ind w:left="107"/>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tc>
      </w:tr>
      <w:tr>
        <w:trPr>
          <w:trHeight w:val="248" w:hRule="atLeast"/>
        </w:trPr>
        <w:tc>
          <w:tcPr>
            <w:tcW w:w="547" w:type="dxa"/>
          </w:tcPr>
          <w:p>
            <w:pPr>
              <w:pStyle w:val="TableParagraph"/>
              <w:rPr>
                <w:rFonts w:ascii="Times New Roman"/>
                <w:sz w:val="18"/>
              </w:rPr>
            </w:pPr>
          </w:p>
        </w:tc>
        <w:tc>
          <w:tcPr>
            <w:tcW w:w="2415" w:type="dxa"/>
          </w:tcPr>
          <w:p>
            <w:pPr>
              <w:pStyle w:val="TableParagraph"/>
              <w:rPr>
                <w:rFonts w:ascii="Times New Roman"/>
                <w:sz w:val="18"/>
              </w:rPr>
            </w:pPr>
          </w:p>
        </w:tc>
        <w:tc>
          <w:tcPr>
            <w:tcW w:w="6922" w:type="dxa"/>
          </w:tcPr>
          <w:p>
            <w:pPr>
              <w:pStyle w:val="TableParagraph"/>
              <w:spacing w:line="228" w:lineRule="exact"/>
              <w:ind w:left="126"/>
              <w:rPr>
                <w:sz w:val="21"/>
              </w:rPr>
            </w:pPr>
            <w:r>
              <w:rPr>
                <w:spacing w:val="-15"/>
                <w:sz w:val="21"/>
              </w:rPr>
              <w:t>（3）</w:t>
            </w:r>
            <w:r>
              <w:rPr>
                <w:spacing w:val="-7"/>
                <w:sz w:val="21"/>
              </w:rPr>
              <w:t>医院出具的附有病理显微镜检查、血液检验及其他科学方法检验报告</w:t>
            </w:r>
          </w:p>
        </w:tc>
      </w:tr>
    </w:tbl>
    <w:p>
      <w:pPr>
        <w:pStyle w:val="BodyText"/>
        <w:spacing w:before="37"/>
        <w:ind w:left="3923"/>
      </w:pPr>
      <w:r>
        <w:rPr/>
        <w:t>的疾病诊断证明书；</w:t>
      </w:r>
    </w:p>
    <w:p>
      <w:pPr>
        <w:pStyle w:val="BodyText"/>
        <w:spacing w:before="12"/>
        <w:rPr>
          <w:sz w:val="29"/>
        </w:rPr>
      </w:pPr>
      <w:r>
        <w:rPr/>
        <w:pict>
          <v:line style="position:absolute;mso-position-horizontal-relative:page;mso-position-vertical-relative:paragraph;z-index:1384;mso-wrap-distance-left:0;mso-wrap-distance-right:0" from="51.119999pt,21.810255pt" to="195.119999pt,21.810255pt" stroked="true" strokeweight=".481pt" strokecolor="#000000">
            <v:stroke dashstyle="solid"/>
            <w10:wrap type="topAndBottom"/>
          </v:line>
        </w:pict>
      </w:r>
    </w:p>
    <w:p>
      <w:pPr>
        <w:spacing w:line="277" w:lineRule="exact" w:before="0"/>
        <w:ind w:left="222" w:right="0" w:firstLine="0"/>
        <w:jc w:val="left"/>
        <w:rPr>
          <w:sz w:val="18"/>
        </w:rPr>
      </w:pPr>
      <w:bookmarkStart w:name="_bookmark12" w:id="13"/>
      <w:bookmarkEnd w:id="13"/>
      <w:r>
        <w:rPr/>
      </w:r>
      <w:r>
        <w:rPr>
          <w:b/>
          <w:spacing w:val="2"/>
          <w:position w:val="10"/>
          <w:sz w:val="9"/>
        </w:rPr>
        <w:t>13 </w:t>
      </w:r>
      <w:r>
        <w:rPr>
          <w:b/>
          <w:spacing w:val="23"/>
          <w:position w:val="10"/>
          <w:sz w:val="9"/>
        </w:rPr>
        <w:t> </w:t>
      </w:r>
      <w:r>
        <w:rPr>
          <w:rFonts w:ascii="Microsoft JhengHei" w:hAnsi="Microsoft JhengHei" w:eastAsia="Microsoft JhengHei" w:hint="eastAsia"/>
          <w:b/>
          <w:sz w:val="18"/>
        </w:rPr>
        <w:t>未满</w:t>
      </w:r>
      <w:r>
        <w:rPr>
          <w:rFonts w:ascii="Microsoft JhengHei" w:hAnsi="Microsoft JhengHei" w:eastAsia="Microsoft JhengHei" w:hint="eastAsia"/>
          <w:b/>
          <w:spacing w:val="-5"/>
          <w:sz w:val="18"/>
        </w:rPr>
        <w:t>期</w:t>
      </w:r>
      <w:r>
        <w:rPr>
          <w:rFonts w:ascii="Microsoft JhengHei" w:hAnsi="Microsoft JhengHei" w:eastAsia="Microsoft JhengHei" w:hint="eastAsia"/>
          <w:b/>
          <w:sz w:val="18"/>
        </w:rPr>
        <w:t>净保</w:t>
      </w:r>
      <w:r>
        <w:rPr>
          <w:rFonts w:ascii="Microsoft JhengHei" w:hAnsi="Microsoft JhengHei" w:eastAsia="Microsoft JhengHei" w:hint="eastAsia"/>
          <w:b/>
          <w:spacing w:val="-5"/>
          <w:sz w:val="18"/>
        </w:rPr>
        <w:t>险</w:t>
      </w:r>
      <w:r>
        <w:rPr>
          <w:rFonts w:ascii="Microsoft JhengHei" w:hAnsi="Microsoft JhengHei" w:eastAsia="Microsoft JhengHei" w:hint="eastAsia"/>
          <w:b/>
          <w:sz w:val="18"/>
        </w:rPr>
        <w:t>费</w:t>
      </w:r>
      <w:r>
        <w:rPr>
          <w:sz w:val="18"/>
        </w:rPr>
        <w:t>=</w:t>
      </w:r>
      <w:r>
        <w:rPr>
          <w:spacing w:val="-5"/>
          <w:sz w:val="18"/>
        </w:rPr>
        <w:t>保</w:t>
      </w:r>
      <w:r>
        <w:rPr>
          <w:sz w:val="18"/>
        </w:rPr>
        <w:t>险</w:t>
      </w:r>
      <w:r>
        <w:rPr>
          <w:spacing w:val="-5"/>
          <w:sz w:val="18"/>
        </w:rPr>
        <w:t>费</w:t>
      </w:r>
      <w:r>
        <w:rPr>
          <w:sz w:val="18"/>
        </w:rPr>
        <w:t>×[1-(</w:t>
      </w:r>
      <w:r>
        <w:rPr>
          <w:spacing w:val="-5"/>
          <w:sz w:val="18"/>
        </w:rPr>
        <w:t>保险</w:t>
      </w:r>
      <w:r>
        <w:rPr>
          <w:sz w:val="18"/>
        </w:rPr>
        <w:t>单</w:t>
      </w:r>
      <w:r>
        <w:rPr>
          <w:spacing w:val="-5"/>
          <w:sz w:val="18"/>
        </w:rPr>
        <w:t>已</w:t>
      </w:r>
      <w:r>
        <w:rPr>
          <w:sz w:val="18"/>
        </w:rPr>
        <w:t>经</w:t>
      </w:r>
      <w:r>
        <w:rPr>
          <w:spacing w:val="-5"/>
          <w:sz w:val="18"/>
        </w:rPr>
        <w:t>过</w:t>
      </w:r>
      <w:r>
        <w:rPr>
          <w:sz w:val="18"/>
        </w:rPr>
        <w:t>天</w:t>
      </w:r>
      <w:r>
        <w:rPr>
          <w:spacing w:val="-5"/>
          <w:sz w:val="18"/>
        </w:rPr>
        <w:t>数</w:t>
      </w:r>
      <w:r>
        <w:rPr>
          <w:sz w:val="18"/>
        </w:rPr>
        <w:t>÷</w:t>
      </w:r>
      <w:r>
        <w:rPr>
          <w:spacing w:val="-5"/>
          <w:sz w:val="18"/>
        </w:rPr>
        <w:t>保</w:t>
      </w:r>
      <w:r>
        <w:rPr>
          <w:sz w:val="18"/>
        </w:rPr>
        <w:t>险</w:t>
      </w:r>
      <w:r>
        <w:rPr>
          <w:spacing w:val="-5"/>
          <w:sz w:val="18"/>
        </w:rPr>
        <w:t>期间</w:t>
      </w:r>
      <w:r>
        <w:rPr>
          <w:sz w:val="18"/>
        </w:rPr>
        <w:t>天数</w:t>
      </w:r>
      <w:r>
        <w:rPr>
          <w:spacing w:val="-3"/>
          <w:sz w:val="18"/>
        </w:rPr>
        <w:t>)]</w:t>
      </w:r>
      <w:r>
        <w:rPr>
          <w:sz w:val="18"/>
        </w:rPr>
        <w:t> </w:t>
      </w:r>
      <w:r>
        <w:rPr>
          <w:spacing w:val="5"/>
          <w:w w:val="101"/>
          <w:sz w:val="18"/>
        </w:rPr>
        <w:drawing>
          <wp:inline distT="0" distB="0" distL="0" distR="0">
            <wp:extent cx="50800" cy="8890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0800" cy="88900"/>
                    </a:xfrm>
                    <a:prstGeom prst="rect">
                      <a:avLst/>
                    </a:prstGeom>
                  </pic:spPr>
                </pic:pic>
              </a:graphicData>
            </a:graphic>
          </wp:inline>
        </w:drawing>
      </w:r>
      <w:r>
        <w:rPr>
          <w:spacing w:val="5"/>
          <w:w w:val="101"/>
          <w:sz w:val="18"/>
        </w:rPr>
      </w:r>
      <w:r>
        <w:rPr>
          <w:spacing w:val="-96"/>
          <w:sz w:val="18"/>
        </w:rPr>
        <w:t>）</w:t>
      </w:r>
      <w:r>
        <w:rPr>
          <w:sz w:val="18"/>
        </w:rPr>
        <w:t>。</w:t>
      </w:r>
      <w:r>
        <w:rPr>
          <w:spacing w:val="-5"/>
          <w:sz w:val="18"/>
        </w:rPr>
        <w:t>经</w:t>
      </w:r>
      <w:r>
        <w:rPr>
          <w:sz w:val="18"/>
        </w:rPr>
        <w:t>过</w:t>
      </w:r>
      <w:r>
        <w:rPr>
          <w:spacing w:val="-5"/>
          <w:sz w:val="18"/>
        </w:rPr>
        <w:t>天</w:t>
      </w:r>
      <w:r>
        <w:rPr>
          <w:sz w:val="18"/>
        </w:rPr>
        <w:t>数</w:t>
      </w:r>
      <w:r>
        <w:rPr>
          <w:spacing w:val="-5"/>
          <w:sz w:val="18"/>
        </w:rPr>
        <w:t>不</w:t>
      </w:r>
      <w:r>
        <w:rPr>
          <w:sz w:val="18"/>
        </w:rPr>
        <w:t>足</w:t>
      </w:r>
      <w:r>
        <w:rPr>
          <w:spacing w:val="-5"/>
          <w:sz w:val="18"/>
        </w:rPr>
        <w:t>一</w:t>
      </w:r>
      <w:r>
        <w:rPr>
          <w:sz w:val="18"/>
        </w:rPr>
        <w:t>天</w:t>
      </w:r>
      <w:r>
        <w:rPr>
          <w:spacing w:val="-5"/>
          <w:sz w:val="18"/>
        </w:rPr>
        <w:t>的</w:t>
      </w:r>
      <w:r>
        <w:rPr>
          <w:sz w:val="18"/>
        </w:rPr>
        <w:t>按</w:t>
      </w:r>
      <w:r>
        <w:rPr>
          <w:spacing w:val="-5"/>
          <w:sz w:val="18"/>
        </w:rPr>
        <w:t>一</w:t>
      </w:r>
      <w:r>
        <w:rPr>
          <w:sz w:val="18"/>
        </w:rPr>
        <w:t>天</w:t>
      </w:r>
      <w:r>
        <w:rPr>
          <w:spacing w:val="-5"/>
          <w:sz w:val="18"/>
        </w:rPr>
        <w:t>计</w:t>
      </w:r>
      <w:r>
        <w:rPr>
          <w:sz w:val="18"/>
        </w:rPr>
        <w:t>算。</w:t>
      </w:r>
    </w:p>
    <w:p>
      <w:pPr>
        <w:spacing w:line="278" w:lineRule="exact" w:before="27"/>
        <w:ind w:left="404" w:right="189" w:hanging="183"/>
        <w:jc w:val="left"/>
        <w:rPr>
          <w:sz w:val="18"/>
        </w:rPr>
      </w:pPr>
      <w:bookmarkStart w:name="_bookmark13" w:id="14"/>
      <w:bookmarkEnd w:id="14"/>
      <w:r>
        <w:rPr/>
      </w:r>
      <w:r>
        <w:rPr>
          <w:rFonts w:ascii="Microsoft JhengHei" w:eastAsia="Microsoft JhengHei" w:hint="eastAsia"/>
          <w:b/>
          <w:spacing w:val="2"/>
          <w:position w:val="9"/>
          <w:sz w:val="9"/>
        </w:rPr>
        <w:t>14  </w:t>
      </w:r>
      <w:r>
        <w:rPr>
          <w:rFonts w:ascii="Microsoft JhengHei" w:eastAsia="Microsoft JhengHei" w:hint="eastAsia"/>
          <w:b/>
          <w:spacing w:val="-2"/>
          <w:sz w:val="18"/>
        </w:rPr>
        <w:t>有效身份证件</w:t>
      </w:r>
      <w:r>
        <w:rPr>
          <w:spacing w:val="-5"/>
          <w:sz w:val="18"/>
        </w:rPr>
        <w:t>指政府有权机关颁发的能够证明其合法真实身份的证件或文件等，如居民身份证、按规定可使用的有效护照、</w:t>
      </w:r>
      <w:r>
        <w:rPr>
          <w:spacing w:val="-3"/>
          <w:sz w:val="18"/>
        </w:rPr>
        <w:t>营业执照等。</w:t>
      </w:r>
    </w:p>
    <w:p>
      <w:pPr>
        <w:spacing w:after="0" w:line="278" w:lineRule="exact"/>
        <w:jc w:val="left"/>
        <w:rPr>
          <w:sz w:val="18"/>
        </w:rPr>
        <w:sectPr>
          <w:pgSz w:w="11910" w:h="16840"/>
          <w:pgMar w:top="1120" w:bottom="280" w:left="80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2405"/>
        <w:gridCol w:w="6972"/>
      </w:tblGrid>
      <w:tr>
        <w:trPr>
          <w:trHeight w:val="1027" w:hRule="atLeast"/>
        </w:trPr>
        <w:tc>
          <w:tcPr>
            <w:tcW w:w="756" w:type="dxa"/>
          </w:tcPr>
          <w:p>
            <w:pPr>
              <w:pStyle w:val="TableParagraph"/>
              <w:rPr>
                <w:rFonts w:ascii="Times New Roman"/>
                <w:sz w:val="20"/>
              </w:rPr>
            </w:pPr>
          </w:p>
        </w:tc>
        <w:tc>
          <w:tcPr>
            <w:tcW w:w="2405" w:type="dxa"/>
          </w:tcPr>
          <w:p>
            <w:pPr>
              <w:pStyle w:val="TableParagraph"/>
              <w:rPr>
                <w:rFonts w:ascii="Times New Roman"/>
                <w:sz w:val="20"/>
              </w:rPr>
            </w:pPr>
          </w:p>
        </w:tc>
        <w:tc>
          <w:tcPr>
            <w:tcW w:w="6972" w:type="dxa"/>
          </w:tcPr>
          <w:p>
            <w:pPr>
              <w:pStyle w:val="TableParagraph"/>
              <w:spacing w:line="211" w:lineRule="exact"/>
              <w:ind w:left="107"/>
              <w:rPr>
                <w:sz w:val="21"/>
              </w:rPr>
            </w:pPr>
            <w:r>
              <w:rPr>
                <w:sz w:val="21"/>
              </w:rPr>
              <w:t>（4）与确认保险事故的性质、原因等有关的其他证明和资料。</w:t>
            </w:r>
          </w:p>
          <w:p>
            <w:pPr>
              <w:pStyle w:val="TableParagraph"/>
              <w:spacing w:line="273" w:lineRule="auto" w:before="37"/>
              <w:ind w:left="107" w:right="104"/>
              <w:rPr>
                <w:sz w:val="21"/>
              </w:rPr>
            </w:pPr>
            <w:r>
              <w:rPr>
                <w:sz w:val="21"/>
              </w:rPr>
              <w:t>以上证明和资料不完整的，我们将一次性通知受益人补充提供有关证明和资料。</w:t>
            </w:r>
          </w:p>
        </w:tc>
      </w:tr>
      <w:tr>
        <w:trPr>
          <w:trHeight w:val="3746" w:hRule="atLeast"/>
        </w:trPr>
        <w:tc>
          <w:tcPr>
            <w:tcW w:w="756" w:type="dxa"/>
          </w:tcPr>
          <w:p>
            <w:pPr>
              <w:pStyle w:val="TableParagraph"/>
              <w:spacing w:before="128"/>
              <w:ind w:left="229" w:right="169"/>
              <w:jc w:val="center"/>
              <w:rPr>
                <w:b/>
                <w:sz w:val="21"/>
              </w:rPr>
            </w:pPr>
            <w:r>
              <w:rPr>
                <w:b/>
                <w:sz w:val="21"/>
              </w:rPr>
              <w:t>4.4</w:t>
            </w:r>
          </w:p>
        </w:tc>
        <w:tc>
          <w:tcPr>
            <w:tcW w:w="2405" w:type="dxa"/>
          </w:tcPr>
          <w:p>
            <w:pPr>
              <w:pStyle w:val="TableParagraph"/>
              <w:spacing w:before="128"/>
              <w:ind w:left="170"/>
              <w:rPr>
                <w:b/>
                <w:sz w:val="21"/>
              </w:rPr>
            </w:pPr>
            <w:r>
              <w:rPr>
                <w:b/>
                <w:sz w:val="21"/>
              </w:rPr>
              <w:t>保险金的给付</w:t>
            </w:r>
          </w:p>
        </w:tc>
        <w:tc>
          <w:tcPr>
            <w:tcW w:w="6972" w:type="dxa"/>
          </w:tcPr>
          <w:p>
            <w:pPr>
              <w:pStyle w:val="TableParagraph"/>
              <w:spacing w:before="128"/>
              <w:ind w:left="107"/>
              <w:rPr>
                <w:sz w:val="21"/>
              </w:rPr>
            </w:pPr>
            <w:r>
              <w:rPr>
                <w:sz w:val="21"/>
              </w:rPr>
              <w:t>我们在收到保险金给付申请书及上述有关证明和资料后，将在 5 日内作出</w:t>
            </w:r>
          </w:p>
          <w:p>
            <w:pPr>
              <w:pStyle w:val="TableParagraph"/>
              <w:spacing w:before="37"/>
              <w:ind w:left="107"/>
              <w:rPr>
                <w:sz w:val="21"/>
              </w:rPr>
            </w:pPr>
            <w:r>
              <w:rPr>
                <w:sz w:val="21"/>
              </w:rPr>
              <w:t>核定；情形复杂的，在 30 日内作出核定。</w:t>
            </w:r>
          </w:p>
          <w:p>
            <w:pPr>
              <w:pStyle w:val="TableParagraph"/>
              <w:spacing w:line="273" w:lineRule="auto" w:before="37"/>
              <w:ind w:left="108" w:right="103"/>
              <w:jc w:val="both"/>
              <w:rPr>
                <w:sz w:val="21"/>
              </w:rPr>
            </w:pPr>
            <w:r>
              <w:rPr>
                <w:spacing w:val="-8"/>
                <w:sz w:val="21"/>
              </w:rPr>
              <w:t>对属于保险责任的，我们在与受益人达成给付保险金的协议后 </w:t>
            </w:r>
            <w:r>
              <w:rPr>
                <w:sz w:val="21"/>
              </w:rPr>
              <w:t>10</w:t>
            </w:r>
            <w:r>
              <w:rPr>
                <w:spacing w:val="-17"/>
                <w:sz w:val="21"/>
              </w:rPr>
              <w:t> 日内，履行给付保险金义务；若我们在收到保险金给付申请书及上述有关证明和资</w:t>
            </w:r>
            <w:r>
              <w:rPr>
                <w:spacing w:val="-22"/>
                <w:sz w:val="21"/>
              </w:rPr>
              <w:t>料后第 </w:t>
            </w:r>
            <w:r>
              <w:rPr>
                <w:sz w:val="21"/>
              </w:rPr>
              <w:t>30</w:t>
            </w:r>
            <w:r>
              <w:rPr>
                <w:spacing w:val="-9"/>
                <w:sz w:val="21"/>
              </w:rPr>
              <w:t> 日仍未作出核定，除支付保险金外，我们将从第 </w:t>
            </w:r>
            <w:r>
              <w:rPr>
                <w:sz w:val="21"/>
              </w:rPr>
              <w:t>31</w:t>
            </w:r>
            <w:r>
              <w:rPr>
                <w:spacing w:val="-9"/>
                <w:sz w:val="21"/>
              </w:rPr>
              <w:t> 日起按超过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11"/>
                <w:sz w:val="21"/>
              </w:rPr>
              <w:t>和资料的，则上述的 </w:t>
            </w:r>
            <w:r>
              <w:rPr>
                <w:sz w:val="21"/>
              </w:rPr>
              <w:t>30</w:t>
            </w:r>
            <w:r>
              <w:rPr>
                <w:spacing w:val="-7"/>
                <w:sz w:val="21"/>
              </w:rPr>
              <w:t> 日不包括补充提供有关证明和资料的期间。</w:t>
            </w:r>
          </w:p>
          <w:p>
            <w:pPr>
              <w:pStyle w:val="TableParagraph"/>
              <w:spacing w:line="273" w:lineRule="auto" w:before="8"/>
              <w:ind w:left="107" w:right="99"/>
              <w:jc w:val="both"/>
              <w:rPr>
                <w:sz w:val="21"/>
              </w:rPr>
            </w:pPr>
            <w:r>
              <w:rPr>
                <w:spacing w:val="-5"/>
                <w:sz w:val="21"/>
              </w:rPr>
              <w:t>对不属于保险责任的，我们自作出核定之日起 </w:t>
            </w:r>
            <w:r>
              <w:rPr>
                <w:sz w:val="21"/>
              </w:rPr>
              <w:t>3</w:t>
            </w:r>
            <w:r>
              <w:rPr>
                <w:spacing w:val="-5"/>
                <w:sz w:val="21"/>
              </w:rPr>
              <w:t> 日内向受益人发出拒绝给付保险金通知书并说明理由。</w:t>
            </w:r>
          </w:p>
        </w:tc>
      </w:tr>
      <w:tr>
        <w:trPr>
          <w:trHeight w:val="1163" w:hRule="atLeast"/>
        </w:trPr>
        <w:tc>
          <w:tcPr>
            <w:tcW w:w="756" w:type="dxa"/>
            <w:tcBorders>
              <w:bottom w:val="single" w:sz="8" w:space="0" w:color="000000"/>
            </w:tcBorders>
          </w:tcPr>
          <w:p>
            <w:pPr>
              <w:pStyle w:val="TableParagraph"/>
              <w:spacing w:before="183"/>
              <w:ind w:left="60"/>
              <w:jc w:val="center"/>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before="187"/>
              <w:ind w:left="170"/>
              <w:rPr>
                <w:b/>
                <w:sz w:val="24"/>
              </w:rPr>
            </w:pPr>
            <w:r>
              <w:rPr>
                <w:b/>
                <w:w w:val="95"/>
                <w:sz w:val="24"/>
              </w:rPr>
              <w:t>如何退保</w:t>
            </w:r>
          </w:p>
          <w:p>
            <w:pPr>
              <w:pStyle w:val="TableParagraph"/>
              <w:spacing w:before="132"/>
              <w:ind w:left="170"/>
              <w:rPr>
                <w:sz w:val="24"/>
              </w:rPr>
            </w:pPr>
            <w:r>
              <w:rPr>
                <w:sz w:val="24"/>
              </w:rPr>
              <w:t>这部分讲的是您可以随时申请退保，退保会有损失。</w:t>
            </w:r>
          </w:p>
        </w:tc>
      </w:tr>
      <w:tr>
        <w:trPr>
          <w:trHeight w:val="2901" w:hRule="atLeast"/>
        </w:trPr>
        <w:tc>
          <w:tcPr>
            <w:tcW w:w="756" w:type="dxa"/>
            <w:tcBorders>
              <w:top w:val="single" w:sz="8" w:space="0" w:color="000000"/>
            </w:tcBorders>
          </w:tcPr>
          <w:p>
            <w:pPr>
              <w:pStyle w:val="TableParagraph"/>
              <w:rPr>
                <w:sz w:val="19"/>
              </w:rPr>
            </w:pPr>
          </w:p>
          <w:p>
            <w:pPr>
              <w:pStyle w:val="TableParagraph"/>
              <w:ind w:left="229" w:right="169"/>
              <w:jc w:val="center"/>
              <w:rPr>
                <w:b/>
                <w:sz w:val="21"/>
              </w:rPr>
            </w:pPr>
            <w:r>
              <w:rPr>
                <w:b/>
                <w:sz w:val="21"/>
              </w:rPr>
              <w:t>5.1</w:t>
            </w:r>
          </w:p>
        </w:tc>
        <w:tc>
          <w:tcPr>
            <w:tcW w:w="2405" w:type="dxa"/>
            <w:tcBorders>
              <w:top w:val="single" w:sz="8" w:space="0" w:color="000000"/>
            </w:tcBorders>
          </w:tcPr>
          <w:p>
            <w:pPr>
              <w:pStyle w:val="TableParagraph"/>
              <w:rPr>
                <w:sz w:val="19"/>
              </w:rPr>
            </w:pPr>
          </w:p>
          <w:p>
            <w:pPr>
              <w:pStyle w:val="TableParagraph"/>
              <w:spacing w:line="273" w:lineRule="auto"/>
              <w:ind w:left="170" w:right="106"/>
              <w:rPr>
                <w:b/>
                <w:sz w:val="21"/>
              </w:rPr>
            </w:pPr>
            <w:r>
              <w:rPr>
                <w:b/>
                <w:sz w:val="21"/>
              </w:rPr>
              <w:t>您解除合同的手续及风险</w:t>
            </w:r>
          </w:p>
        </w:tc>
        <w:tc>
          <w:tcPr>
            <w:tcW w:w="6972" w:type="dxa"/>
            <w:tcBorders>
              <w:top w:val="single" w:sz="8" w:space="0" w:color="000000"/>
            </w:tcBorders>
          </w:tcPr>
          <w:p>
            <w:pPr>
              <w:pStyle w:val="TableParagraph"/>
              <w:rPr>
                <w:sz w:val="19"/>
              </w:rPr>
            </w:pPr>
          </w:p>
          <w:p>
            <w:pPr>
              <w:pStyle w:val="TableParagraph"/>
              <w:spacing w:line="273" w:lineRule="auto"/>
              <w:ind w:left="107" w:right="103"/>
              <w:rPr>
                <w:sz w:val="21"/>
              </w:rPr>
            </w:pPr>
            <w:r>
              <w:rPr>
                <w:sz w:val="21"/>
              </w:rPr>
              <w:t>您可以申请解除本主险合同，请填写解除合同申请书并向我们提供下列资料：</w:t>
            </w:r>
          </w:p>
          <w:p>
            <w:pPr>
              <w:pStyle w:val="TableParagraph"/>
              <w:spacing w:before="7"/>
              <w:ind w:left="107"/>
              <w:rPr>
                <w:sz w:val="21"/>
              </w:rPr>
            </w:pPr>
            <w:r>
              <w:rPr>
                <w:sz w:val="21"/>
              </w:rPr>
              <w:t>（1）保险合同；</w:t>
            </w:r>
          </w:p>
          <w:p>
            <w:pPr>
              <w:pStyle w:val="TableParagraph"/>
              <w:spacing w:before="36"/>
              <w:ind w:left="107"/>
              <w:rPr>
                <w:sz w:val="21"/>
              </w:rPr>
            </w:pPr>
            <w:r>
              <w:rPr>
                <w:sz w:val="21"/>
              </w:rPr>
              <w:t>（2）您的有效身份证件。</w:t>
            </w:r>
          </w:p>
          <w:p>
            <w:pPr>
              <w:pStyle w:val="TableParagraph"/>
              <w:spacing w:line="273" w:lineRule="auto" w:before="36"/>
              <w:ind w:left="107" w:right="103"/>
              <w:rPr>
                <w:sz w:val="21"/>
              </w:rPr>
            </w:pPr>
            <w:r>
              <w:rPr>
                <w:sz w:val="21"/>
              </w:rPr>
              <w:t>自我们收到解除合同申请书时起，本主险合同终止。我们自收到解除合同申请书之日起 30 日内向您退还本主险合同的未满期净保险费。</w:t>
            </w:r>
          </w:p>
          <w:p>
            <w:pPr>
              <w:pStyle w:val="TableParagraph"/>
              <w:spacing w:before="7"/>
              <w:ind w:left="107"/>
              <w:rPr>
                <w:sz w:val="21"/>
              </w:rPr>
            </w:pPr>
            <w:r>
              <w:rPr>
                <w:sz w:val="21"/>
              </w:rPr>
              <w:t>您解除合同会遭受一定损失。</w:t>
            </w:r>
          </w:p>
          <w:p>
            <w:pPr>
              <w:pStyle w:val="TableParagraph"/>
              <w:spacing w:before="37"/>
              <w:ind w:left="107"/>
              <w:rPr>
                <w:sz w:val="21"/>
              </w:rPr>
            </w:pPr>
            <w:r>
              <w:rPr>
                <w:sz w:val="21"/>
              </w:rPr>
              <w:t>解除合同后，您会失去原有的保障。</w:t>
            </w:r>
          </w:p>
        </w:tc>
      </w:tr>
      <w:tr>
        <w:trPr>
          <w:trHeight w:val="1302" w:hRule="atLeast"/>
        </w:trPr>
        <w:tc>
          <w:tcPr>
            <w:tcW w:w="756" w:type="dxa"/>
            <w:tcBorders>
              <w:bottom w:val="single" w:sz="8" w:space="0" w:color="000000"/>
            </w:tcBorders>
          </w:tcPr>
          <w:p>
            <w:pPr>
              <w:pStyle w:val="TableParagraph"/>
              <w:spacing w:before="155"/>
              <w:ind w:left="60"/>
              <w:jc w:val="center"/>
              <w:rPr>
                <w:rFonts w:ascii="Arial" w:hAnsi="Arial"/>
                <w:b/>
                <w:sz w:val="40"/>
              </w:rPr>
            </w:pPr>
            <w:r>
              <w:rPr>
                <w:rFonts w:ascii="Arial" w:hAnsi="Arial"/>
                <w:b/>
                <w:w w:val="118"/>
                <w:sz w:val="40"/>
              </w:rPr>
              <w:t></w:t>
            </w:r>
          </w:p>
        </w:tc>
        <w:tc>
          <w:tcPr>
            <w:tcW w:w="9377" w:type="dxa"/>
            <w:gridSpan w:val="2"/>
            <w:tcBorders>
              <w:bottom w:val="single" w:sz="8" w:space="0" w:color="000000"/>
            </w:tcBorders>
          </w:tcPr>
          <w:p>
            <w:pPr>
              <w:pStyle w:val="TableParagraph"/>
              <w:spacing w:before="154"/>
              <w:ind w:left="170"/>
              <w:rPr>
                <w:b/>
                <w:sz w:val="24"/>
              </w:rPr>
            </w:pPr>
            <w:r>
              <w:rPr>
                <w:b/>
                <w:w w:val="95"/>
                <w:sz w:val="24"/>
              </w:rPr>
              <w:t>重大疾病释义</w:t>
            </w:r>
          </w:p>
          <w:p>
            <w:pPr>
              <w:pStyle w:val="TableParagraph"/>
              <w:spacing w:line="244" w:lineRule="auto" w:before="137"/>
              <w:ind w:left="170" w:right="54"/>
              <w:rPr>
                <w:sz w:val="24"/>
              </w:rPr>
            </w:pPr>
            <w:r>
              <w:rPr>
                <w:sz w:val="24"/>
              </w:rPr>
              <w:t>这部分讲的是我们提供保障的 76 种重大疾病的定义，其中包含一些免责条款，请您特别留意。</w:t>
            </w:r>
          </w:p>
        </w:tc>
      </w:tr>
      <w:tr>
        <w:trPr>
          <w:trHeight w:val="705" w:hRule="atLeast"/>
        </w:trPr>
        <w:tc>
          <w:tcPr>
            <w:tcW w:w="756" w:type="dxa"/>
            <w:tcBorders>
              <w:top w:val="single" w:sz="8" w:space="0" w:color="000000"/>
            </w:tcBorders>
          </w:tcPr>
          <w:p>
            <w:pPr>
              <w:pStyle w:val="TableParagraph"/>
              <w:rPr>
                <w:rFonts w:ascii="Times New Roman"/>
                <w:sz w:val="20"/>
              </w:rPr>
            </w:pPr>
          </w:p>
        </w:tc>
        <w:tc>
          <w:tcPr>
            <w:tcW w:w="2405" w:type="dxa"/>
            <w:tcBorders>
              <w:top w:val="single" w:sz="8" w:space="0" w:color="000000"/>
            </w:tcBorders>
          </w:tcPr>
          <w:p>
            <w:pPr>
              <w:pStyle w:val="TableParagraph"/>
              <w:spacing w:before="2"/>
              <w:rPr>
                <w:sz w:val="17"/>
              </w:rPr>
            </w:pPr>
          </w:p>
          <w:p>
            <w:pPr>
              <w:pStyle w:val="TableParagraph"/>
              <w:ind w:left="170"/>
              <w:rPr>
                <w:b/>
                <w:sz w:val="21"/>
              </w:rPr>
            </w:pPr>
            <w:r>
              <w:rPr>
                <w:b/>
                <w:sz w:val="21"/>
              </w:rPr>
              <w:t>第 1 类：</w:t>
            </w:r>
          </w:p>
        </w:tc>
        <w:tc>
          <w:tcPr>
            <w:tcW w:w="6972" w:type="dxa"/>
            <w:tcBorders>
              <w:top w:val="single" w:sz="8" w:space="0" w:color="000000"/>
            </w:tcBorders>
          </w:tcPr>
          <w:p>
            <w:pPr>
              <w:pStyle w:val="TableParagraph"/>
              <w:rPr>
                <w:sz w:val="19"/>
              </w:rPr>
            </w:pPr>
          </w:p>
          <w:p>
            <w:pPr>
              <w:pStyle w:val="TableParagraph"/>
              <w:ind w:left="107"/>
              <w:rPr>
                <w:b/>
                <w:sz w:val="21"/>
              </w:rPr>
            </w:pPr>
            <w:r>
              <w:rPr>
                <w:b/>
                <w:sz w:val="21"/>
              </w:rPr>
              <w:t>与恶性肿瘤相关的疾病</w:t>
            </w:r>
          </w:p>
        </w:tc>
      </w:tr>
      <w:tr>
        <w:trPr>
          <w:trHeight w:val="3221" w:hRule="atLeast"/>
        </w:trPr>
        <w:tc>
          <w:tcPr>
            <w:tcW w:w="756" w:type="dxa"/>
          </w:tcPr>
          <w:p>
            <w:pPr>
              <w:pStyle w:val="TableParagraph"/>
              <w:spacing w:before="138"/>
              <w:ind w:left="60"/>
              <w:jc w:val="center"/>
              <w:rPr>
                <w:b/>
                <w:sz w:val="21"/>
              </w:rPr>
            </w:pPr>
            <w:r>
              <w:rPr>
                <w:b/>
                <w:w w:val="99"/>
                <w:sz w:val="21"/>
              </w:rPr>
              <w:t>1</w:t>
            </w:r>
          </w:p>
        </w:tc>
        <w:tc>
          <w:tcPr>
            <w:tcW w:w="2405" w:type="dxa"/>
          </w:tcPr>
          <w:p>
            <w:pPr>
              <w:pStyle w:val="TableParagraph"/>
              <w:spacing w:before="102"/>
              <w:ind w:left="170"/>
              <w:rPr>
                <w:rFonts w:ascii="等线" w:eastAsia="等线" w:hint="eastAsia"/>
                <w:b/>
                <w:sz w:val="24"/>
              </w:rPr>
            </w:pPr>
            <w:r>
              <w:rPr>
                <w:rFonts w:ascii="等线" w:eastAsia="等线" w:hint="eastAsia"/>
                <w:b/>
                <w:sz w:val="24"/>
              </w:rPr>
              <w:t>恶性肿瘤</w:t>
            </w:r>
          </w:p>
        </w:tc>
        <w:tc>
          <w:tcPr>
            <w:tcW w:w="6972" w:type="dxa"/>
          </w:tcPr>
          <w:p>
            <w:pPr>
              <w:pStyle w:val="TableParagraph"/>
              <w:spacing w:line="273" w:lineRule="auto" w:before="138"/>
              <w:ind w:left="107" w:right="103"/>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before="7"/>
              <w:ind w:left="107"/>
              <w:jc w:val="both"/>
              <w:rPr>
                <w:sz w:val="21"/>
              </w:rPr>
            </w:pPr>
            <w:r>
              <w:rPr>
                <w:sz w:val="21"/>
                <w:shd w:fill="DADADA" w:color="auto" w:val="clear"/>
              </w:rPr>
              <w:t>（1）原位癌；</w:t>
            </w:r>
          </w:p>
          <w:p>
            <w:pPr>
              <w:pStyle w:val="TableParagraph"/>
              <w:spacing w:before="36"/>
              <w:ind w:left="107"/>
              <w:jc w:val="both"/>
              <w:rPr>
                <w:sz w:val="21"/>
              </w:rPr>
            </w:pPr>
            <w:r>
              <w:rPr>
                <w:sz w:val="21"/>
                <w:shd w:fill="DADADA" w:color="auto" w:val="clear"/>
              </w:rPr>
              <w:t>（2）相当于 Binet 分期方案 A 期程度的慢性淋巴细胞白血病；</w:t>
            </w:r>
          </w:p>
          <w:p>
            <w:pPr>
              <w:pStyle w:val="TableParagraph"/>
              <w:spacing w:before="36"/>
              <w:ind w:left="107"/>
              <w:jc w:val="both"/>
              <w:rPr>
                <w:sz w:val="21"/>
              </w:rPr>
            </w:pPr>
            <w:r>
              <w:rPr>
                <w:sz w:val="21"/>
                <w:shd w:fill="DADADA" w:color="auto" w:val="clear"/>
              </w:rPr>
              <w:t>（3）相当于 Ann Arbor 分期方案 I 期程度的何杰金氏病；</w:t>
            </w:r>
          </w:p>
          <w:p>
            <w:pPr>
              <w:pStyle w:val="TableParagraph"/>
              <w:spacing w:before="36"/>
              <w:ind w:left="107"/>
              <w:jc w:val="both"/>
              <w:rPr>
                <w:sz w:val="21"/>
              </w:rPr>
            </w:pPr>
            <w:r>
              <w:rPr>
                <w:w w:val="100"/>
                <w:sz w:val="21"/>
                <w:shd w:fill="DADADA" w:color="auto" w:val="clear"/>
              </w:rPr>
              <w:t>（4）</w:t>
            </w:r>
            <w:r>
              <w:rPr>
                <w:spacing w:val="-2"/>
                <w:w w:val="100"/>
                <w:sz w:val="21"/>
                <w:shd w:fill="DADADA" w:color="auto" w:val="clear"/>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ind w:left="107"/>
              <w:jc w:val="both"/>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p>
            <w:pPr>
              <w:pStyle w:val="TableParagraph"/>
              <w:spacing w:line="255" w:lineRule="exact" w:before="37"/>
              <w:ind w:left="107"/>
              <w:jc w:val="both"/>
              <w:rPr>
                <w:sz w:val="21"/>
              </w:rPr>
            </w:pPr>
            <w:r>
              <w:rPr>
                <w:sz w:val="21"/>
                <w:shd w:fill="DADADA" w:color="auto" w:val="clear"/>
              </w:rPr>
              <w:t>（6）感染艾滋病病毒或患艾滋病期间所患恶性肿瘤。</w:t>
            </w:r>
          </w:p>
        </w:tc>
      </w:tr>
    </w:tbl>
    <w:p>
      <w:pPr>
        <w:spacing w:after="0" w:line="255" w:lineRule="exact"/>
        <w:jc w:val="both"/>
        <w:rPr>
          <w:sz w:val="21"/>
        </w:rPr>
        <w:sectPr>
          <w:pgSz w:w="11910" w:h="16840"/>
          <w:pgMar w:top="1160" w:bottom="280" w:left="800" w:right="740"/>
        </w:sect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2481"/>
        <w:gridCol w:w="7056"/>
      </w:tblGrid>
      <w:tr>
        <w:trPr>
          <w:trHeight w:val="753" w:hRule="atLeast"/>
        </w:trPr>
        <w:tc>
          <w:tcPr>
            <w:tcW w:w="538" w:type="dxa"/>
          </w:tcPr>
          <w:p>
            <w:pPr>
              <w:pStyle w:val="TableParagraph"/>
              <w:spacing w:line="231" w:lineRule="exact"/>
              <w:ind w:right="30"/>
              <w:jc w:val="center"/>
              <w:rPr>
                <w:b/>
                <w:sz w:val="21"/>
              </w:rPr>
            </w:pPr>
            <w:r>
              <w:rPr>
                <w:b/>
                <w:w w:val="99"/>
                <w:sz w:val="21"/>
              </w:rPr>
              <w:t>2</w:t>
            </w:r>
          </w:p>
        </w:tc>
        <w:tc>
          <w:tcPr>
            <w:tcW w:w="2481" w:type="dxa"/>
          </w:tcPr>
          <w:p>
            <w:pPr>
              <w:pStyle w:val="TableParagraph"/>
              <w:spacing w:line="242" w:lineRule="exact"/>
              <w:ind w:left="233"/>
              <w:rPr>
                <w:rFonts w:ascii="等线" w:eastAsia="等线" w:hint="eastAsia"/>
                <w:b/>
                <w:sz w:val="24"/>
              </w:rPr>
            </w:pPr>
            <w:r>
              <w:rPr>
                <w:rFonts w:ascii="等线" w:eastAsia="等线" w:hint="eastAsia"/>
                <w:b/>
                <w:sz w:val="24"/>
              </w:rPr>
              <w:t>侵蚀性葡萄胎（或称</w:t>
            </w:r>
          </w:p>
          <w:p>
            <w:pPr>
              <w:pStyle w:val="TableParagraph"/>
              <w:spacing w:line="322" w:lineRule="exact"/>
              <w:ind w:left="233"/>
              <w:rPr>
                <w:rFonts w:ascii="等线" w:eastAsia="等线" w:hint="eastAsia"/>
                <w:b/>
                <w:sz w:val="24"/>
              </w:rPr>
            </w:pPr>
            <w:r>
              <w:rPr>
                <w:rFonts w:ascii="等线" w:eastAsia="等线" w:hint="eastAsia"/>
                <w:b/>
                <w:sz w:val="24"/>
              </w:rPr>
              <w:t>恶性葡萄胎）</w:t>
            </w:r>
          </w:p>
        </w:tc>
        <w:tc>
          <w:tcPr>
            <w:tcW w:w="7056" w:type="dxa"/>
          </w:tcPr>
          <w:p>
            <w:pPr>
              <w:pStyle w:val="TableParagraph"/>
              <w:spacing w:line="231" w:lineRule="exact"/>
              <w:ind w:left="94"/>
              <w:rPr>
                <w:sz w:val="21"/>
              </w:rPr>
            </w:pPr>
            <w:r>
              <w:rPr>
                <w:sz w:val="21"/>
              </w:rPr>
              <w:t>指异常增生的绒毛组织浸润性生长浸入子宫肌层或转移至其他器官或组织</w:t>
            </w:r>
          </w:p>
          <w:p>
            <w:pPr>
              <w:pStyle w:val="TableParagraph"/>
              <w:spacing w:before="37"/>
              <w:ind w:left="94"/>
              <w:rPr>
                <w:sz w:val="21"/>
              </w:rPr>
            </w:pPr>
            <w:r>
              <w:rPr>
                <w:sz w:val="21"/>
              </w:rPr>
              <w:t>的葡萄胎，并已经进行化疗或手术治疗的。</w:t>
            </w:r>
          </w:p>
        </w:tc>
      </w:tr>
      <w:tr>
        <w:trPr>
          <w:trHeight w:val="610" w:hRule="atLeast"/>
        </w:trPr>
        <w:tc>
          <w:tcPr>
            <w:tcW w:w="538" w:type="dxa"/>
          </w:tcPr>
          <w:p>
            <w:pPr>
              <w:pStyle w:val="TableParagraph"/>
              <w:rPr>
                <w:rFonts w:ascii="Times New Roman"/>
                <w:sz w:val="20"/>
              </w:rPr>
            </w:pPr>
          </w:p>
        </w:tc>
        <w:tc>
          <w:tcPr>
            <w:tcW w:w="2481" w:type="dxa"/>
          </w:tcPr>
          <w:p>
            <w:pPr>
              <w:pStyle w:val="TableParagraph"/>
              <w:spacing w:before="124"/>
              <w:ind w:left="233"/>
              <w:rPr>
                <w:b/>
                <w:sz w:val="21"/>
              </w:rPr>
            </w:pPr>
            <w:r>
              <w:rPr>
                <w:b/>
                <w:sz w:val="21"/>
              </w:rPr>
              <w:t>第 2 类：</w:t>
            </w:r>
          </w:p>
        </w:tc>
        <w:tc>
          <w:tcPr>
            <w:tcW w:w="7056" w:type="dxa"/>
          </w:tcPr>
          <w:p>
            <w:pPr>
              <w:pStyle w:val="TableParagraph"/>
              <w:spacing w:before="124"/>
              <w:ind w:left="94"/>
              <w:rPr>
                <w:b/>
                <w:sz w:val="21"/>
              </w:rPr>
            </w:pPr>
            <w:r>
              <w:rPr>
                <w:b/>
                <w:sz w:val="21"/>
              </w:rPr>
              <w:t>与心脏或脑血管相关的疾病</w:t>
            </w:r>
          </w:p>
        </w:tc>
      </w:tr>
      <w:tr>
        <w:trPr>
          <w:trHeight w:val="2834" w:hRule="atLeast"/>
        </w:trPr>
        <w:tc>
          <w:tcPr>
            <w:tcW w:w="538" w:type="dxa"/>
          </w:tcPr>
          <w:p>
            <w:pPr>
              <w:pStyle w:val="TableParagraph"/>
              <w:spacing w:before="167"/>
              <w:ind w:right="30"/>
              <w:jc w:val="center"/>
              <w:rPr>
                <w:b/>
                <w:sz w:val="21"/>
              </w:rPr>
            </w:pPr>
            <w:r>
              <w:rPr>
                <w:b/>
                <w:w w:val="99"/>
                <w:sz w:val="21"/>
              </w:rPr>
              <w:t>3</w:t>
            </w:r>
          </w:p>
        </w:tc>
        <w:tc>
          <w:tcPr>
            <w:tcW w:w="2481" w:type="dxa"/>
          </w:tcPr>
          <w:p>
            <w:pPr>
              <w:pStyle w:val="TableParagraph"/>
              <w:spacing w:before="131"/>
              <w:ind w:left="233"/>
              <w:rPr>
                <w:rFonts w:ascii="等线" w:eastAsia="等线" w:hint="eastAsia"/>
                <w:b/>
                <w:sz w:val="24"/>
              </w:rPr>
            </w:pPr>
            <w:r>
              <w:rPr>
                <w:rFonts w:ascii="等线" w:eastAsia="等线" w:hint="eastAsia"/>
                <w:b/>
                <w:w w:val="105"/>
                <w:sz w:val="24"/>
              </w:rPr>
              <w:t>急性心ft梗塞</w:t>
            </w:r>
          </w:p>
        </w:tc>
        <w:tc>
          <w:tcPr>
            <w:tcW w:w="7056" w:type="dxa"/>
          </w:tcPr>
          <w:p>
            <w:pPr>
              <w:pStyle w:val="TableParagraph"/>
              <w:spacing w:line="273" w:lineRule="auto" w:before="167"/>
              <w:ind w:left="94" w:right="202"/>
              <w:rPr>
                <w:sz w:val="21"/>
              </w:rPr>
            </w:pPr>
            <w:r>
              <w:rPr>
                <w:sz w:val="21"/>
              </w:rPr>
              <w:t>指因冠状动脉阻塞导致的相应区域供血不足造成部分心肌坏死。须满足下列至少三项条件：</w:t>
            </w:r>
          </w:p>
          <w:p>
            <w:pPr>
              <w:pStyle w:val="TableParagraph"/>
              <w:spacing w:before="7"/>
              <w:ind w:left="94"/>
              <w:rPr>
                <w:sz w:val="21"/>
              </w:rPr>
            </w:pPr>
            <w:r>
              <w:rPr>
                <w:sz w:val="21"/>
              </w:rPr>
              <w:t>（1）典型临床表现，例如急性胸痛等；</w:t>
            </w:r>
          </w:p>
          <w:p>
            <w:pPr>
              <w:pStyle w:val="TableParagraph"/>
              <w:spacing w:before="36"/>
              <w:ind w:left="94"/>
              <w:rPr>
                <w:sz w:val="21"/>
              </w:rPr>
            </w:pPr>
            <w:r>
              <w:rPr>
                <w:sz w:val="21"/>
              </w:rPr>
              <w:t>（2）新近的心电图改变提示急性心肌梗塞；</w:t>
            </w:r>
          </w:p>
          <w:p>
            <w:pPr>
              <w:pStyle w:val="TableParagraph"/>
              <w:spacing w:line="273" w:lineRule="auto" w:before="37"/>
              <w:ind w:left="617" w:right="196" w:hanging="524"/>
              <w:rPr>
                <w:sz w:val="21"/>
              </w:rPr>
            </w:pPr>
            <w:r>
              <w:rPr>
                <w:spacing w:val="-12"/>
                <w:sz w:val="21"/>
              </w:rPr>
              <w:t>（3）</w:t>
            </w:r>
            <w:r>
              <w:rPr>
                <w:spacing w:val="-7"/>
                <w:sz w:val="21"/>
              </w:rPr>
              <w:t>心肌酶或肌钙蛋白有诊断意义的升高，或呈符合急性心肌梗塞的动态性变化；</w:t>
            </w:r>
          </w:p>
          <w:p>
            <w:pPr>
              <w:pStyle w:val="TableParagraph"/>
              <w:spacing w:before="8"/>
              <w:ind w:left="94"/>
              <w:rPr>
                <w:sz w:val="21"/>
              </w:rPr>
            </w:pPr>
            <w:r>
              <w:rPr>
                <w:sz w:val="21"/>
              </w:rPr>
              <w:t>（4）发病 90 日后，经检查证实左心室功能降低，如左心室射血分数低于</w:t>
            </w:r>
          </w:p>
          <w:p>
            <w:pPr>
              <w:pStyle w:val="TableParagraph"/>
              <w:spacing w:before="37"/>
              <w:ind w:left="617"/>
              <w:rPr>
                <w:sz w:val="21"/>
              </w:rPr>
            </w:pPr>
            <w:r>
              <w:rPr>
                <w:sz w:val="21"/>
              </w:rPr>
              <w:t>50%。</w:t>
            </w:r>
          </w:p>
        </w:tc>
      </w:tr>
      <w:tr>
        <w:trPr>
          <w:trHeight w:val="1274" w:hRule="atLeast"/>
        </w:trPr>
        <w:tc>
          <w:tcPr>
            <w:tcW w:w="538" w:type="dxa"/>
          </w:tcPr>
          <w:p>
            <w:pPr>
              <w:pStyle w:val="TableParagraph"/>
              <w:spacing w:before="164"/>
              <w:ind w:right="30"/>
              <w:jc w:val="center"/>
              <w:rPr>
                <w:b/>
                <w:sz w:val="21"/>
              </w:rPr>
            </w:pPr>
            <w:r>
              <w:rPr>
                <w:b/>
                <w:w w:val="99"/>
                <w:sz w:val="21"/>
              </w:rPr>
              <w:t>4</w:t>
            </w:r>
          </w:p>
        </w:tc>
        <w:tc>
          <w:tcPr>
            <w:tcW w:w="2481" w:type="dxa"/>
          </w:tcPr>
          <w:p>
            <w:pPr>
              <w:pStyle w:val="TableParagraph"/>
              <w:spacing w:line="235" w:lineRule="auto" w:before="135"/>
              <w:ind w:left="233" w:right="90"/>
              <w:rPr>
                <w:rFonts w:ascii="等线" w:eastAsia="等线" w:hint="eastAsia"/>
                <w:b/>
                <w:sz w:val="24"/>
              </w:rPr>
            </w:pPr>
            <w:r>
              <w:rPr>
                <w:rFonts w:ascii="等线" w:eastAsia="等线" w:hint="eastAsia"/>
                <w:b/>
                <w:sz w:val="24"/>
              </w:rPr>
              <w:t>严重原发性肺动脉高压</w:t>
            </w:r>
          </w:p>
        </w:tc>
        <w:tc>
          <w:tcPr>
            <w:tcW w:w="7056" w:type="dxa"/>
          </w:tcPr>
          <w:p>
            <w:pPr>
              <w:pStyle w:val="TableParagraph"/>
              <w:spacing w:line="273" w:lineRule="auto" w:before="164"/>
              <w:ind w:left="94" w:right="196"/>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心功能状态分级 </w:t>
            </w:r>
            <w:hyperlink w:history="true" w:anchor="_bookmark15">
              <w:r>
                <w:rPr>
                  <w:rFonts w:ascii="黑体" w:eastAsia="黑体" w:hint="eastAsia"/>
                  <w:b/>
                  <w:position w:val="11"/>
                  <w:sz w:val="11"/>
                </w:rPr>
                <w:t>16</w:t>
              </w:r>
            </w:hyperlink>
            <w:r>
              <w:rPr>
                <w:sz w:val="21"/>
              </w:rPr>
              <w:t>IV 级，且静息状态下肺动脉平均压超过 30mmHg。</w:t>
            </w:r>
          </w:p>
        </w:tc>
      </w:tr>
      <w:tr>
        <w:trPr>
          <w:trHeight w:val="964" w:hRule="atLeast"/>
        </w:trPr>
        <w:tc>
          <w:tcPr>
            <w:tcW w:w="538" w:type="dxa"/>
          </w:tcPr>
          <w:p>
            <w:pPr>
              <w:pStyle w:val="TableParagraph"/>
              <w:spacing w:before="167"/>
              <w:ind w:right="30"/>
              <w:jc w:val="center"/>
              <w:rPr>
                <w:b/>
                <w:sz w:val="21"/>
              </w:rPr>
            </w:pPr>
            <w:r>
              <w:rPr>
                <w:b/>
                <w:w w:val="99"/>
                <w:sz w:val="21"/>
              </w:rPr>
              <w:t>5</w:t>
            </w:r>
          </w:p>
        </w:tc>
        <w:tc>
          <w:tcPr>
            <w:tcW w:w="2481" w:type="dxa"/>
          </w:tcPr>
          <w:p>
            <w:pPr>
              <w:pStyle w:val="TableParagraph"/>
              <w:spacing w:before="131"/>
              <w:ind w:left="233"/>
              <w:rPr>
                <w:rFonts w:ascii="等线" w:eastAsia="等线" w:hint="eastAsia"/>
                <w:b/>
                <w:sz w:val="24"/>
              </w:rPr>
            </w:pPr>
            <w:r>
              <w:rPr>
                <w:rFonts w:ascii="等线" w:eastAsia="等线" w:hint="eastAsia"/>
                <w:b/>
                <w:sz w:val="24"/>
              </w:rPr>
              <w:t>心脏瓣膜手术</w:t>
            </w:r>
          </w:p>
        </w:tc>
        <w:tc>
          <w:tcPr>
            <w:tcW w:w="7056" w:type="dxa"/>
          </w:tcPr>
          <w:p>
            <w:pPr>
              <w:pStyle w:val="TableParagraph"/>
              <w:spacing w:line="273" w:lineRule="auto" w:before="167"/>
              <w:ind w:left="94" w:right="202"/>
              <w:rPr>
                <w:sz w:val="21"/>
              </w:rPr>
            </w:pPr>
            <w:r>
              <w:rPr>
                <w:sz w:val="21"/>
              </w:rPr>
              <w:t>指为治疗心脏瓣膜疾病，实际实施了开胸进行的心脏瓣膜置换或修复的手术。</w:t>
            </w:r>
          </w:p>
        </w:tc>
      </w:tr>
      <w:tr>
        <w:trPr>
          <w:trHeight w:val="2212" w:hRule="atLeast"/>
        </w:trPr>
        <w:tc>
          <w:tcPr>
            <w:tcW w:w="538" w:type="dxa"/>
          </w:tcPr>
          <w:p>
            <w:pPr>
              <w:pStyle w:val="TableParagraph"/>
              <w:spacing w:before="167"/>
              <w:ind w:right="30"/>
              <w:jc w:val="center"/>
              <w:rPr>
                <w:b/>
                <w:sz w:val="21"/>
              </w:rPr>
            </w:pPr>
            <w:r>
              <w:rPr>
                <w:b/>
                <w:w w:val="99"/>
                <w:sz w:val="21"/>
              </w:rPr>
              <w:t>6</w:t>
            </w:r>
          </w:p>
        </w:tc>
        <w:tc>
          <w:tcPr>
            <w:tcW w:w="2481" w:type="dxa"/>
          </w:tcPr>
          <w:p>
            <w:pPr>
              <w:pStyle w:val="TableParagraph"/>
              <w:spacing w:line="232" w:lineRule="auto" w:before="141"/>
              <w:ind w:left="233" w:right="90"/>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56" w:type="dxa"/>
          </w:tcPr>
          <w:p>
            <w:pPr>
              <w:pStyle w:val="TableParagraph"/>
              <w:spacing w:line="273" w:lineRule="auto" w:before="167"/>
              <w:ind w:left="94" w:right="196"/>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6"/>
                <w:sz w:val="21"/>
              </w:rPr>
              <w:t>态分级的标准判定，心功能状态已达Ⅳ级</w:t>
            </w:r>
            <w:r>
              <w:rPr>
                <w:spacing w:val="-70"/>
                <w:sz w:val="21"/>
              </w:rPr>
              <w:t>）</w:t>
            </w:r>
            <w:r>
              <w:rPr>
                <w:spacing w:val="-10"/>
                <w:sz w:val="21"/>
              </w:rPr>
              <w:t>，且有相关住院医疗记录显示Ⅳ 级心功能衰竭状态已持续至少 </w:t>
            </w:r>
            <w:r>
              <w:rPr>
                <w:sz w:val="21"/>
              </w:rPr>
              <w:t>180</w:t>
            </w:r>
            <w:r>
              <w:rPr>
                <w:spacing w:val="-7"/>
                <w:sz w:val="21"/>
              </w:rPr>
              <w:t> 日。本病须经专科医生明确诊断。</w:t>
            </w:r>
          </w:p>
          <w:p>
            <w:pPr>
              <w:pStyle w:val="TableParagraph"/>
              <w:spacing w:before="7"/>
              <w:ind w:left="94"/>
              <w:jc w:val="both"/>
              <w:rPr>
                <w:sz w:val="21"/>
              </w:rPr>
            </w:pPr>
            <w:r>
              <w:rPr>
                <w:sz w:val="21"/>
                <w:shd w:fill="DADADA" w:color="auto" w:val="clear"/>
              </w:rPr>
              <w:t>继发于全身性疾病或其它器官系统疾病造成的心肌病变不在保障范围内。</w:t>
            </w:r>
          </w:p>
        </w:tc>
      </w:tr>
      <w:tr>
        <w:trPr>
          <w:trHeight w:val="1690" w:hRule="atLeast"/>
        </w:trPr>
        <w:tc>
          <w:tcPr>
            <w:tcW w:w="538" w:type="dxa"/>
          </w:tcPr>
          <w:p>
            <w:pPr>
              <w:pStyle w:val="TableParagraph"/>
              <w:spacing w:before="167"/>
              <w:ind w:right="30"/>
              <w:jc w:val="center"/>
              <w:rPr>
                <w:b/>
                <w:sz w:val="21"/>
              </w:rPr>
            </w:pPr>
            <w:r>
              <w:rPr>
                <w:b/>
                <w:w w:val="99"/>
                <w:sz w:val="21"/>
              </w:rPr>
              <w:t>7</w:t>
            </w:r>
          </w:p>
        </w:tc>
        <w:tc>
          <w:tcPr>
            <w:tcW w:w="2481" w:type="dxa"/>
          </w:tcPr>
          <w:p>
            <w:pPr>
              <w:pStyle w:val="TableParagraph"/>
              <w:spacing w:before="131"/>
              <w:ind w:left="233"/>
              <w:rPr>
                <w:rFonts w:ascii="等线" w:eastAsia="等线" w:hint="eastAsia"/>
                <w:b/>
                <w:sz w:val="24"/>
              </w:rPr>
            </w:pPr>
            <w:r>
              <w:rPr>
                <w:rFonts w:ascii="等线" w:eastAsia="等线" w:hint="eastAsia"/>
                <w:b/>
                <w:sz w:val="24"/>
              </w:rPr>
              <w:t>脑中风后遗症</w:t>
            </w:r>
          </w:p>
        </w:tc>
        <w:tc>
          <w:tcPr>
            <w:tcW w:w="7056" w:type="dxa"/>
          </w:tcPr>
          <w:p>
            <w:pPr>
              <w:pStyle w:val="TableParagraph"/>
              <w:spacing w:line="273" w:lineRule="auto" w:before="167"/>
              <w:ind w:left="94" w:right="200"/>
              <w:jc w:val="both"/>
              <w:rPr>
                <w:sz w:val="21"/>
              </w:rPr>
            </w:pPr>
            <w:r>
              <w:rPr>
                <w:sz w:val="21"/>
              </w:rPr>
              <w:t>指因脑血管的突发病变引起脑血管出血、栓塞或梗塞，并导致神经系统永</w:t>
            </w:r>
            <w:r>
              <w:rPr>
                <w:spacing w:val="-6"/>
                <w:sz w:val="21"/>
              </w:rPr>
              <w:t>久性的功能障碍。神经系统永久性的功能障碍，指疾病确诊 </w:t>
            </w:r>
            <w:r>
              <w:rPr>
                <w:sz w:val="21"/>
              </w:rPr>
              <w:t>180</w:t>
            </w:r>
            <w:r>
              <w:rPr>
                <w:spacing w:val="-5"/>
                <w:sz w:val="21"/>
              </w:rPr>
              <w:t> 日后，仍遗留下列一种或一种以上障碍：</w:t>
            </w:r>
          </w:p>
          <w:p>
            <w:pPr>
              <w:pStyle w:val="TableParagraph"/>
              <w:spacing w:before="7"/>
              <w:ind w:left="94"/>
              <w:jc w:val="both"/>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pStyle w:val="TableParagraph"/>
              <w:spacing w:line="255" w:lineRule="exact" w:before="36"/>
              <w:ind w:left="94"/>
              <w:jc w:val="both"/>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tc>
      </w:tr>
    </w:tbl>
    <w:p>
      <w:pPr>
        <w:pStyle w:val="BodyText"/>
        <w:rPr>
          <w:sz w:val="20"/>
        </w:rPr>
      </w:pPr>
    </w:p>
    <w:p>
      <w:pPr>
        <w:pStyle w:val="BodyText"/>
        <w:rPr>
          <w:sz w:val="20"/>
        </w:rPr>
      </w:pPr>
    </w:p>
    <w:p>
      <w:pPr>
        <w:pStyle w:val="BodyText"/>
        <w:spacing w:before="3"/>
        <w:rPr>
          <w:sz w:val="13"/>
        </w:rPr>
      </w:pPr>
      <w:r>
        <w:rPr/>
        <w:pict>
          <v:line style="position:absolute;mso-position-horizontal-relative:page;mso-position-vertical-relative:paragraph;z-index:1408;mso-wrap-distance-left:0;mso-wrap-distance-right:0" from="51.119999pt,10.903125pt" to="195.119999pt,10.903125pt" stroked="true" strokeweight=".48pt" strokecolor="#000000">
            <v:stroke dashstyle="solid"/>
            <w10:wrap type="topAndBottom"/>
          </v:line>
        </w:pict>
      </w:r>
    </w:p>
    <w:p>
      <w:pPr>
        <w:spacing w:line="296" w:lineRule="exact" w:before="29"/>
        <w:ind w:left="102"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line="231" w:lineRule="exact" w:before="42"/>
        <w:ind w:left="284" w:right="0" w:firstLine="0"/>
        <w:jc w:val="left"/>
        <w:rPr>
          <w:sz w:val="18"/>
        </w:rPr>
      </w:pPr>
      <w:r>
        <w:rPr>
          <w:sz w:val="18"/>
        </w:rPr>
        <w:t>Ⅳ级：不能从事任何体力活动，休息时亦有症状，体力活动后加重。</w:t>
      </w:r>
    </w:p>
    <w:p>
      <w:pPr>
        <w:spacing w:line="256" w:lineRule="auto" w:before="0"/>
        <w:ind w:left="284" w:right="349" w:hanging="183"/>
        <w:jc w:val="left"/>
        <w:rPr>
          <w:sz w:val="18"/>
        </w:rPr>
      </w:pPr>
      <w:bookmarkStart w:name="_bookmark16" w:id="17"/>
      <w:bookmarkEnd w:id="17"/>
      <w:r>
        <w:rPr/>
      </w:r>
      <w:r>
        <w:rPr>
          <w:rFonts w:ascii="Microsoft JhengHei" w:eastAsia="Microsoft JhengHei" w:hint="eastAsia"/>
          <w:b/>
          <w:spacing w:val="2"/>
          <w:position w:val="9"/>
          <w:sz w:val="9"/>
        </w:rPr>
        <w:t>17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84" w:lineRule="exact" w:before="19"/>
        <w:ind w:left="284" w:right="344" w:hanging="183"/>
        <w:jc w:val="left"/>
        <w:rPr>
          <w:sz w:val="18"/>
        </w:rPr>
      </w:pPr>
      <w:bookmarkStart w:name="_bookmark17" w:id="18"/>
      <w:bookmarkEnd w:id="18"/>
      <w:r>
        <w:rPr/>
      </w:r>
      <w:r>
        <w:rPr>
          <w:rFonts w:ascii="Microsoft JhengHei" w:eastAsia="Microsoft JhengHei" w:hint="eastAsia"/>
          <w:b/>
          <w:spacing w:val="2"/>
          <w:position w:val="9"/>
          <w:sz w:val="9"/>
        </w:rPr>
        <w:t>18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1"/>
        <w:ind w:left="313" w:right="35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after="0" w:line="283" w:lineRule="auto"/>
        <w:jc w:val="left"/>
        <w:rPr>
          <w:sz w:val="18"/>
        </w:rPr>
        <w:sectPr>
          <w:pgSz w:w="11910" w:h="16840"/>
          <w:pgMar w:top="1140" w:bottom="280" w:left="920" w:right="660"/>
        </w:sectPr>
      </w:pPr>
    </w:p>
    <w:p>
      <w:pPr>
        <w:spacing w:line="273" w:lineRule="auto" w:before="39"/>
        <w:ind w:left="3783" w:right="103" w:hanging="524"/>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6"/>
        <w:rPr>
          <w:sz w:val="20"/>
        </w:rPr>
      </w:pPr>
    </w:p>
    <w:p>
      <w:pPr>
        <w:spacing w:after="0"/>
        <w:rPr>
          <w:sz w:val="20"/>
        </w:rPr>
        <w:sectPr>
          <w:pgSz w:w="11910" w:h="16840"/>
          <w:pgMar w:top="1060" w:bottom="280" w:left="920" w:right="780"/>
        </w:sectPr>
      </w:pPr>
    </w:p>
    <w:p>
      <w:pPr>
        <w:pStyle w:val="Heading1"/>
        <w:numPr>
          <w:ilvl w:val="0"/>
          <w:numId w:val="8"/>
        </w:numPr>
        <w:tabs>
          <w:tab w:pos="919" w:val="left" w:leader="none"/>
        </w:tabs>
        <w:spacing w:line="235" w:lineRule="auto" w:before="27" w:after="0"/>
        <w:ind w:left="918" w:right="0" w:hanging="571"/>
        <w:jc w:val="both"/>
      </w:pPr>
      <w:r>
        <w:rPr>
          <w:spacing w:val="-5"/>
          <w:position w:val="1"/>
        </w:rPr>
        <w:t>冠状动脉搭桥术</w:t>
      </w:r>
      <w:r>
        <w:rPr>
          <w:position w:val="1"/>
        </w:rPr>
        <w:t>（或</w:t>
      </w:r>
      <w:r>
        <w:rPr>
          <w:spacing w:val="26"/>
        </w:rPr>
        <w:t>称冠状动脉旁路移</w:t>
      </w:r>
      <w:r>
        <w:rPr/>
        <w:t>植术）</w:t>
      </w:r>
    </w:p>
    <w:p>
      <w:pPr>
        <w:pStyle w:val="BodyText"/>
        <w:spacing w:line="273" w:lineRule="auto" w:before="56"/>
        <w:ind w:left="147" w:right="182"/>
      </w:pPr>
      <w:r>
        <w:rPr/>
        <w:br w:type="column"/>
      </w:r>
      <w:r>
        <w:rPr/>
        <w:t>指为治疗严重的冠心病，实际实施了开胸进行的冠状动脉血管旁路移植的手术。</w:t>
      </w:r>
    </w:p>
    <w:p>
      <w:pPr>
        <w:pStyle w:val="BodyText"/>
        <w:spacing w:line="273" w:lineRule="auto" w:before="7"/>
        <w:ind w:left="147" w:right="182"/>
      </w:pPr>
      <w:r>
        <w:rPr>
          <w:shd w:fill="DADADA" w:color="auto" w:val="clear"/>
        </w:rPr>
        <w:t>冠状动脉支架植入术、心导管球囊扩张术、激光射频技术及其它非开胸的</w:t>
      </w:r>
      <w:r>
        <w:rPr>
          <w:spacing w:val="-212"/>
          <w:shd w:fill="DADADA" w:color="auto" w:val="clear"/>
        </w:rPr>
        <w:t>介</w:t>
      </w:r>
      <w:r>
        <w:rPr>
          <w:spacing w:val="-4"/>
          <w:shd w:fill="DADADA" w:color="auto" w:val="clear"/>
        </w:rPr>
        <w:t>入手术、腔镜手术不在保障范围内。</w:t>
      </w:r>
    </w:p>
    <w:p>
      <w:pPr>
        <w:spacing w:after="0" w:line="273" w:lineRule="auto"/>
        <w:sectPr>
          <w:type w:val="continuous"/>
          <w:pgSz w:w="11910" w:h="16840"/>
          <w:pgMar w:top="480" w:bottom="280" w:left="920" w:right="780"/>
          <w:cols w:num="2" w:equalWidth="0">
            <w:col w:w="3074" w:space="40"/>
            <w:col w:w="7096"/>
          </w:cols>
        </w:sectPr>
      </w:pPr>
    </w:p>
    <w:p>
      <w:pPr>
        <w:pStyle w:val="BodyText"/>
        <w:spacing w:before="3"/>
        <w:rPr>
          <w:sz w:val="22"/>
        </w:rPr>
      </w:pPr>
    </w:p>
    <w:p>
      <w:pPr>
        <w:pStyle w:val="ListParagraph"/>
        <w:numPr>
          <w:ilvl w:val="0"/>
          <w:numId w:val="8"/>
        </w:numPr>
        <w:tabs>
          <w:tab w:pos="918" w:val="left" w:leader="none"/>
          <w:tab w:pos="919" w:val="left" w:leader="none"/>
          <w:tab w:pos="3260" w:val="left" w:leader="none"/>
        </w:tabs>
        <w:spacing w:line="240" w:lineRule="auto" w:before="21" w:after="0"/>
        <w:ind w:left="918" w:right="0" w:hanging="571"/>
        <w:jc w:val="left"/>
        <w:rPr>
          <w:sz w:val="21"/>
        </w:rPr>
      </w:pPr>
      <w:r>
        <w:rPr>
          <w:rFonts w:ascii="等线" w:eastAsia="等线" w:hint="eastAsia"/>
          <w:b/>
          <w:position w:val="1"/>
          <w:sz w:val="24"/>
        </w:rPr>
        <w:t>主动脉手术</w:t>
        <w:tab/>
      </w:r>
      <w:r>
        <w:rPr>
          <w:sz w:val="21"/>
        </w:rPr>
        <w:t>指为治疗主动脉疾病，实际实施了开胸或开腹进行的切除、置换、修补病</w:t>
      </w:r>
    </w:p>
    <w:p>
      <w:pPr>
        <w:pStyle w:val="BodyText"/>
        <w:spacing w:before="21"/>
        <w:ind w:left="3260"/>
      </w:pPr>
      <w:r>
        <w:rPr/>
        <w:t>损主动脉血管的手术。</w:t>
      </w:r>
    </w:p>
    <w:p>
      <w:pPr>
        <w:pStyle w:val="BodyText"/>
        <w:spacing w:line="273" w:lineRule="auto" w:before="37"/>
        <w:ind w:left="3260" w:right="216"/>
      </w:pPr>
      <w:r>
        <w:rPr/>
        <w:t>主动脉指胸主动脉和腹主动脉，</w:t>
      </w:r>
      <w:r>
        <w:rPr>
          <w:shd w:fill="DADADA" w:color="auto" w:val="clear"/>
        </w:rPr>
        <w:t>不包括胸主动脉和腹主动脉的分支血管。动脉内血管成形术不在保障范围内。</w:t>
      </w:r>
    </w:p>
    <w:p>
      <w:pPr>
        <w:pStyle w:val="BodyText"/>
        <w:spacing w:before="12"/>
        <w:rPr>
          <w:sz w:val="17"/>
        </w:rPr>
      </w:pPr>
    </w:p>
    <w:p>
      <w:pPr>
        <w:spacing w:after="0"/>
        <w:rPr>
          <w:sz w:val="17"/>
        </w:rPr>
        <w:sectPr>
          <w:type w:val="continuous"/>
          <w:pgSz w:w="11910" w:h="16840"/>
          <w:pgMar w:top="480" w:bottom="280" w:left="920" w:right="780"/>
        </w:sectPr>
      </w:pPr>
    </w:p>
    <w:p>
      <w:pPr>
        <w:pStyle w:val="Heading1"/>
        <w:numPr>
          <w:ilvl w:val="0"/>
          <w:numId w:val="8"/>
        </w:numPr>
        <w:tabs>
          <w:tab w:pos="918" w:val="left" w:leader="none"/>
          <w:tab w:pos="919" w:val="left" w:leader="none"/>
        </w:tabs>
        <w:spacing w:line="235" w:lineRule="auto" w:before="26" w:after="0"/>
        <w:ind w:left="918" w:right="0" w:hanging="624"/>
        <w:jc w:val="left"/>
      </w:pPr>
      <w:r>
        <w:rPr>
          <w:spacing w:val="26"/>
          <w:position w:val="1"/>
        </w:rPr>
        <w:t>严重感染性心内膜</w:t>
      </w:r>
      <w:r>
        <w:rPr/>
        <w:t>炎</w:t>
      </w:r>
    </w:p>
    <w:p>
      <w:pPr>
        <w:pStyle w:val="BodyText"/>
        <w:spacing w:line="256" w:lineRule="auto" w:before="56"/>
        <w:ind w:left="147" w:right="182"/>
      </w:pPr>
      <w:r>
        <w:rPr/>
        <w:br w:type="column"/>
      </w:r>
      <w:r>
        <w:rPr/>
        <w:t>指因感染性微生物造成心脏内膜发炎，经由专科医生确诊，并符合下</w:t>
      </w:r>
      <w:r>
        <w:rPr>
          <w:rFonts w:ascii="Times New Roman" w:eastAsia="Times New Roman"/>
          <w:w w:val="110"/>
        </w:rPr>
        <w:t>列</w:t>
      </w:r>
      <w:r>
        <w:rPr>
          <w:spacing w:val="-68"/>
        </w:rPr>
        <w:t>所</w:t>
      </w:r>
      <w:r>
        <w:rPr/>
        <w:t>有条件:</w:t>
      </w:r>
    </w:p>
    <w:p>
      <w:pPr>
        <w:pStyle w:val="BodyText"/>
        <w:spacing w:before="22"/>
        <w:ind w:left="147"/>
      </w:pPr>
      <w:r>
        <w:rPr/>
        <w:t>（1）以下方法之一血液培养测试结果为阳性，证实存在感染性微生物：</w:t>
      </w:r>
    </w:p>
    <w:p>
      <w:pPr>
        <w:pStyle w:val="BodyText"/>
        <w:tabs>
          <w:tab w:pos="675" w:val="left" w:leader="none"/>
        </w:tabs>
        <w:spacing w:before="37"/>
        <w:ind w:left="252"/>
      </w:pPr>
      <w:r>
        <w:rPr/>
        <w:t>①</w:t>
        <w:tab/>
      </w:r>
      <w:r>
        <w:rPr>
          <w:spacing w:val="-5"/>
        </w:rPr>
        <w:t>微生物：在赘生物或心脏内脓疡经培养或组织检查证实有微生物；</w:t>
      </w:r>
    </w:p>
    <w:p>
      <w:pPr>
        <w:pStyle w:val="BodyText"/>
        <w:tabs>
          <w:tab w:pos="675" w:val="left" w:leader="none"/>
        </w:tabs>
        <w:spacing w:before="37"/>
        <w:ind w:left="252"/>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675" w:val="left" w:leader="none"/>
        </w:tabs>
        <w:spacing w:before="21"/>
        <w:ind w:left="252"/>
      </w:pPr>
      <w:r>
        <w:rPr/>
        <w:t>③</w:t>
        <w:tab/>
      </w:r>
      <w:r>
        <w:rPr>
          <w:spacing w:val="-5"/>
        </w:rPr>
        <w:t>分别两次血液培养证实有微生物，且与心内膜炎符合。</w:t>
      </w:r>
    </w:p>
    <w:p>
      <w:pPr>
        <w:pStyle w:val="BodyText"/>
        <w:spacing w:line="273" w:lineRule="auto" w:before="37"/>
        <w:ind w:left="670" w:right="178" w:hanging="524"/>
      </w:pPr>
      <w:r>
        <w:rPr>
          <w:spacing w:val="-12"/>
        </w:rPr>
        <w:t>（2）</w:t>
      </w:r>
      <w:r>
        <w:rPr>
          <w:spacing w:val="-7"/>
        </w:rPr>
        <w:t>出现明显的心功能衰竭</w:t>
      </w:r>
      <w:r>
        <w:rPr/>
        <w:t>（</w:t>
      </w:r>
      <w:r>
        <w:rPr>
          <w:spacing w:val="-5"/>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480" w:bottom="280" w:left="920" w:right="780"/>
          <w:cols w:num="2" w:equalWidth="0">
            <w:col w:w="3074" w:space="40"/>
            <w:col w:w="7096"/>
          </w:cols>
        </w:sectPr>
      </w:pPr>
    </w:p>
    <w:p>
      <w:pPr>
        <w:pStyle w:val="BodyText"/>
        <w:spacing w:before="3"/>
        <w:rPr>
          <w:sz w:val="18"/>
        </w:rPr>
      </w:pPr>
    </w:p>
    <w:p>
      <w:pPr>
        <w:pStyle w:val="ListParagraph"/>
        <w:numPr>
          <w:ilvl w:val="0"/>
          <w:numId w:val="8"/>
        </w:numPr>
        <w:tabs>
          <w:tab w:pos="918" w:val="left" w:leader="none"/>
          <w:tab w:pos="919" w:val="left" w:leader="none"/>
          <w:tab w:pos="3260" w:val="left" w:leader="none"/>
        </w:tabs>
        <w:spacing w:line="240" w:lineRule="auto" w:before="20" w:after="0"/>
        <w:ind w:left="918" w:right="0" w:hanging="624"/>
        <w:jc w:val="left"/>
        <w:rPr>
          <w:sz w:val="21"/>
        </w:rPr>
      </w:pPr>
      <w:r>
        <w:rPr>
          <w:rFonts w:ascii="等线" w:eastAsia="等线" w:hint="eastAsia"/>
          <w:b/>
          <w:position w:val="1"/>
          <w:sz w:val="24"/>
        </w:rPr>
        <w:t>严重肺源性心脏病</w:t>
        <w:tab/>
      </w:r>
      <w:r>
        <w:rPr>
          <w:sz w:val="21"/>
        </w:rPr>
        <w:t>指因慢性肺部疾病导致慢性心功能损害造成永久不可逆性的心功能衰竭。</w:t>
      </w:r>
    </w:p>
    <w:p>
      <w:pPr>
        <w:pStyle w:val="BodyText"/>
        <w:spacing w:line="273" w:lineRule="auto" w:before="20"/>
        <w:ind w:left="3260" w:right="182"/>
      </w:pPr>
      <w:r>
        <w:rPr/>
        <w:t>心功能衰竭程度至少达到美国纽约心脏病学会心功能状态分级Ⅳ级。永久不可逆性的体力活动能力受限，不能从事任何体力活动。</w:t>
      </w:r>
    </w:p>
    <w:p>
      <w:pPr>
        <w:pStyle w:val="BodyText"/>
        <w:spacing w:before="6"/>
        <w:rPr>
          <w:sz w:val="23"/>
        </w:rPr>
      </w:pPr>
    </w:p>
    <w:p>
      <w:pPr>
        <w:pStyle w:val="ListParagraph"/>
        <w:numPr>
          <w:ilvl w:val="0"/>
          <w:numId w:val="8"/>
        </w:numPr>
        <w:tabs>
          <w:tab w:pos="918" w:val="left" w:leader="none"/>
          <w:tab w:pos="919" w:val="left" w:leader="none"/>
          <w:tab w:pos="3260" w:val="left" w:leader="none"/>
        </w:tabs>
        <w:spacing w:line="240" w:lineRule="auto" w:before="0" w:after="0"/>
        <w:ind w:left="918" w:right="0" w:hanging="624"/>
        <w:jc w:val="left"/>
        <w:rPr>
          <w:sz w:val="21"/>
        </w:rPr>
      </w:pPr>
      <w:r>
        <w:rPr>
          <w:rFonts w:ascii="等线" w:eastAsia="等线" w:hint="eastAsia"/>
          <w:b/>
          <w:position w:val="1"/>
          <w:sz w:val="24"/>
        </w:rPr>
        <w:t>艾森门格综合征</w:t>
        <w:tab/>
      </w:r>
      <w:r>
        <w:rPr>
          <w:sz w:val="21"/>
        </w:rPr>
        <w:t>指因心脏病导致的严重肺动脉高血压及右向左分流。诊断必须由专科医生</w:t>
      </w:r>
    </w:p>
    <w:p>
      <w:pPr>
        <w:pStyle w:val="BodyText"/>
        <w:spacing w:before="20"/>
        <w:ind w:left="3260"/>
      </w:pPr>
      <w:r>
        <w:rPr/>
        <w:t>经超声心动图和心导管检查证实及需符合以下所有标准:</w:t>
      </w:r>
    </w:p>
    <w:p>
      <w:pPr>
        <w:pStyle w:val="BodyText"/>
        <w:spacing w:before="36"/>
        <w:ind w:left="3260"/>
      </w:pPr>
      <w:r>
        <w:rPr/>
        <w:t>（1）平均肺动脉压高于 40mmHg；</w:t>
      </w:r>
    </w:p>
    <w:p>
      <w:pPr>
        <w:pStyle w:val="BodyText"/>
        <w:spacing w:before="36"/>
        <w:ind w:left="3261"/>
      </w:pPr>
      <w:r>
        <w:rPr>
          <w:w w:val="100"/>
        </w:rPr>
        <w:t>（2）</w:t>
      </w:r>
      <w:r>
        <w:rPr>
          <w:spacing w:val="-3"/>
          <w:w w:val="100"/>
        </w:rPr>
        <w:t>肺血管阻力高于</w:t>
      </w:r>
      <w:r>
        <w:rPr>
          <w:spacing w:val="-53"/>
        </w:rPr>
        <w:t> </w:t>
      </w:r>
      <w:r>
        <w:rPr>
          <w:w w:val="100"/>
        </w:rPr>
        <w:t>3mm/L/</w:t>
      </w:r>
      <w:r>
        <w:rPr>
          <w:spacing w:val="-5"/>
          <w:w w:val="100"/>
        </w:rPr>
        <w:t>m</w:t>
      </w:r>
      <w:r>
        <w:rPr>
          <w:w w:val="100"/>
        </w:rPr>
        <w:t>in（Wood</w:t>
      </w:r>
      <w:r>
        <w:rPr>
          <w:spacing w:val="-57"/>
        </w:rPr>
        <w:t> </w:t>
      </w:r>
      <w:r>
        <w:rPr>
          <w:w w:val="100"/>
        </w:rPr>
        <w:t>单位</w:t>
      </w:r>
      <w:r>
        <w:rPr>
          <w:spacing w:val="-106"/>
          <w:w w:val="100"/>
        </w:rPr>
        <w:t>）</w:t>
      </w:r>
      <w:r>
        <w:rPr>
          <w:w w:val="100"/>
        </w:rPr>
        <w:t>；</w:t>
      </w:r>
    </w:p>
    <w:p>
      <w:pPr>
        <w:pStyle w:val="BodyText"/>
        <w:spacing w:before="36"/>
        <w:ind w:left="3261"/>
      </w:pPr>
      <w:r>
        <w:rPr/>
        <w:t>（3）正常肺微血管楔压低于 15mmHg。</w:t>
      </w:r>
    </w:p>
    <w:p>
      <w:pPr>
        <w:pStyle w:val="BodyText"/>
        <w:spacing w:before="7"/>
        <w:rPr>
          <w:sz w:val="24"/>
        </w:rPr>
      </w:pPr>
    </w:p>
    <w:p>
      <w:pPr>
        <w:spacing w:after="0"/>
        <w:rPr>
          <w:sz w:val="24"/>
        </w:rPr>
        <w:sectPr>
          <w:type w:val="continuous"/>
          <w:pgSz w:w="11910" w:h="16840"/>
          <w:pgMar w:top="480" w:bottom="280" w:left="920" w:right="780"/>
        </w:sectPr>
      </w:pPr>
    </w:p>
    <w:p>
      <w:pPr>
        <w:pStyle w:val="Heading1"/>
        <w:numPr>
          <w:ilvl w:val="0"/>
          <w:numId w:val="8"/>
        </w:numPr>
        <w:tabs>
          <w:tab w:pos="918" w:val="left" w:leader="none"/>
          <w:tab w:pos="919" w:val="left" w:leader="none"/>
        </w:tabs>
        <w:spacing w:line="232" w:lineRule="auto" w:before="30" w:after="0"/>
        <w:ind w:left="918" w:right="0" w:hanging="624"/>
        <w:jc w:val="left"/>
      </w:pPr>
      <w:r>
        <w:rPr>
          <w:spacing w:val="26"/>
          <w:position w:val="1"/>
        </w:rPr>
        <w:t>严重的Ⅲ度房室传</w:t>
      </w:r>
      <w:r>
        <w:rPr/>
        <w:t>导阻滞</w:t>
      </w:r>
    </w:p>
    <w:p>
      <w:pPr>
        <w:pStyle w:val="BodyText"/>
        <w:spacing w:line="273" w:lineRule="auto" w:before="56"/>
        <w:ind w:left="147" w:right="182"/>
      </w:pPr>
      <w:r>
        <w:rPr/>
        <w:br w:type="column"/>
      </w:r>
      <w:r>
        <w:rPr/>
        <w:t>指心房激动在房室交界区、房室束及其分支内发生阻滞，不能正常地传到心室的心脏传导性疾病须满足下列所有条件：</w:t>
      </w:r>
    </w:p>
    <w:p>
      <w:pPr>
        <w:pStyle w:val="BodyText"/>
        <w:spacing w:before="7"/>
        <w:ind w:left="147"/>
      </w:pPr>
      <w:r>
        <w:rPr/>
        <w:t>（1）心电图显示房室搏动彼此独立，心室率&lt;50 次/分钟；</w:t>
      </w:r>
    </w:p>
    <w:p>
      <w:pPr>
        <w:pStyle w:val="BodyText"/>
        <w:spacing w:before="37"/>
        <w:ind w:left="146"/>
      </w:pPr>
      <w:r>
        <w:rPr/>
        <w:t>（2）出现阿-斯综合征或心力衰竭的表现；</w:t>
      </w:r>
    </w:p>
    <w:p>
      <w:pPr>
        <w:pStyle w:val="BodyText"/>
        <w:spacing w:line="273" w:lineRule="auto" w:before="37"/>
        <w:ind w:left="670" w:right="178" w:hanging="524"/>
      </w:pPr>
      <w:r>
        <w:rPr>
          <w:spacing w:val="-12"/>
        </w:rPr>
        <w:t>（3）</w:t>
      </w:r>
      <w:r>
        <w:rPr>
          <w:spacing w:val="-7"/>
        </w:rPr>
        <w:t>必须持续性依赖心脏起搏器维持心脏正常功能，且已经放置心脏起搏器。</w:t>
      </w:r>
    </w:p>
    <w:p>
      <w:pPr>
        <w:spacing w:after="0" w:line="273" w:lineRule="auto"/>
        <w:sectPr>
          <w:type w:val="continuous"/>
          <w:pgSz w:w="11910" w:h="16840"/>
          <w:pgMar w:top="480" w:bottom="280" w:left="920" w:right="780"/>
          <w:cols w:num="2" w:equalWidth="0">
            <w:col w:w="3074" w:space="40"/>
            <w:col w:w="7096"/>
          </w:cols>
        </w:sectPr>
      </w:pPr>
    </w:p>
    <w:p>
      <w:pPr>
        <w:pStyle w:val="BodyText"/>
        <w:rPr>
          <w:sz w:val="20"/>
        </w:rPr>
      </w:pPr>
    </w:p>
    <w:p>
      <w:pPr>
        <w:pStyle w:val="BodyText"/>
        <w:spacing w:before="8"/>
        <w:rPr>
          <w:sz w:val="28"/>
        </w:rPr>
      </w:pPr>
    </w:p>
    <w:p>
      <w:pPr>
        <w:pStyle w:val="BodyText"/>
        <w:spacing w:line="20" w:lineRule="exact"/>
        <w:ind w:left="9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before="44"/>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7"/>
        <w:ind w:left="284" w:right="0" w:firstLine="0"/>
        <w:jc w:val="left"/>
        <w:rPr>
          <w:sz w:val="18"/>
        </w:rPr>
      </w:pPr>
      <w:r>
        <w:rPr>
          <w:sz w:val="18"/>
        </w:rPr>
        <w:t>（1）穿衣：自己能够穿衣及脱衣；</w:t>
      </w:r>
    </w:p>
    <w:p>
      <w:pPr>
        <w:spacing w:before="42"/>
        <w:ind w:left="284" w:right="0" w:firstLine="0"/>
        <w:jc w:val="left"/>
        <w:rPr>
          <w:sz w:val="18"/>
        </w:rPr>
      </w:pPr>
      <w:r>
        <w:rPr>
          <w:sz w:val="18"/>
        </w:rPr>
        <w:t>（2）移动：自己从一个房间到另一个房间；</w:t>
      </w:r>
    </w:p>
    <w:p>
      <w:pPr>
        <w:spacing w:before="42"/>
        <w:ind w:left="284" w:right="0" w:firstLine="0"/>
        <w:jc w:val="left"/>
        <w:rPr>
          <w:sz w:val="18"/>
        </w:rPr>
      </w:pPr>
      <w:r>
        <w:rPr>
          <w:sz w:val="18"/>
        </w:rPr>
        <w:t>（3）行动：自己上下床或上下轮椅；</w:t>
      </w:r>
    </w:p>
    <w:p>
      <w:pPr>
        <w:spacing w:before="47"/>
        <w:ind w:left="284" w:right="0" w:firstLine="0"/>
        <w:jc w:val="left"/>
        <w:rPr>
          <w:sz w:val="18"/>
        </w:rPr>
      </w:pPr>
      <w:r>
        <w:rPr>
          <w:sz w:val="18"/>
        </w:rPr>
        <w:t>（4）如厕：自己控制进行大小便；</w:t>
      </w:r>
    </w:p>
    <w:p>
      <w:pPr>
        <w:spacing w:before="42"/>
        <w:ind w:left="284" w:right="0" w:firstLine="0"/>
        <w:jc w:val="left"/>
        <w:rPr>
          <w:sz w:val="18"/>
        </w:rPr>
      </w:pPr>
      <w:r>
        <w:rPr>
          <w:sz w:val="18"/>
        </w:rPr>
        <w:t>（5）进食：自己从已准备好的碗或碟中取食物放入口中；</w:t>
      </w:r>
    </w:p>
    <w:p>
      <w:pPr>
        <w:spacing w:before="42"/>
        <w:ind w:left="284" w:right="0" w:firstLine="0"/>
        <w:jc w:val="left"/>
        <w:rPr>
          <w:sz w:val="18"/>
        </w:rPr>
      </w:pPr>
      <w:r>
        <w:rPr>
          <w:sz w:val="18"/>
        </w:rPr>
        <w:t>（6）洗澡：自己进行淋浴或盆浴。</w:t>
      </w:r>
    </w:p>
    <w:p>
      <w:pPr>
        <w:spacing w:after="0"/>
        <w:jc w:val="left"/>
        <w:rPr>
          <w:sz w:val="18"/>
        </w:rPr>
        <w:sectPr>
          <w:type w:val="continuous"/>
          <w:pgSz w:w="11910" w:h="16840"/>
          <w:pgMar w:top="480" w:bottom="280" w:left="920" w:right="780"/>
        </w:sectPr>
      </w:pPr>
    </w:p>
    <w:p>
      <w:pPr>
        <w:pStyle w:val="ListParagraph"/>
        <w:numPr>
          <w:ilvl w:val="0"/>
          <w:numId w:val="8"/>
        </w:numPr>
        <w:tabs>
          <w:tab w:pos="738" w:val="left" w:leader="none"/>
          <w:tab w:pos="739" w:val="left" w:leader="none"/>
          <w:tab w:pos="3080" w:val="left" w:leader="none"/>
        </w:tabs>
        <w:spacing w:line="240" w:lineRule="auto" w:before="3" w:after="0"/>
        <w:ind w:left="738" w:right="0" w:hanging="624"/>
        <w:jc w:val="left"/>
        <w:rPr>
          <w:sz w:val="21"/>
        </w:rPr>
      </w:pPr>
      <w:r>
        <w:rPr>
          <w:rFonts w:ascii="等线" w:eastAsia="等线" w:hint="eastAsia"/>
          <w:b/>
          <w:position w:val="1"/>
          <w:sz w:val="24"/>
        </w:rPr>
        <w:t>严重冠心病</w:t>
        <w:tab/>
      </w:r>
      <w:r>
        <w:rPr>
          <w:sz w:val="21"/>
        </w:rPr>
        <w:t>指经冠状动脉造影检查明确诊断为主要血管严重狭窄性病变，须满足下列</w:t>
      </w:r>
    </w:p>
    <w:p>
      <w:pPr>
        <w:pStyle w:val="BodyText"/>
        <w:spacing w:before="20"/>
        <w:ind w:left="3080"/>
      </w:pPr>
      <w:r>
        <w:rPr/>
        <w:t>至少一项条件：</w:t>
      </w:r>
    </w:p>
    <w:p>
      <w:pPr>
        <w:pStyle w:val="BodyText"/>
        <w:spacing w:line="273" w:lineRule="auto" w:before="36"/>
        <w:ind w:left="3603" w:right="156" w:hanging="524"/>
      </w:pPr>
      <w:r>
        <w:rPr/>
        <w:t>（1）左冠状动脉主干和右冠状动脉中，一支血管管腔堵塞 75%以上，另一支血管管腔堵塞 60%以上；</w:t>
      </w:r>
    </w:p>
    <w:p>
      <w:pPr>
        <w:pStyle w:val="BodyText"/>
        <w:spacing w:line="273" w:lineRule="auto" w:before="7"/>
        <w:ind w:left="3604" w:right="112" w:hanging="524"/>
      </w:pPr>
      <w:r>
        <w:rPr>
          <w:spacing w:val="-13"/>
        </w:rPr>
        <w:t>（2）</w:t>
      </w:r>
      <w:r>
        <w:rPr>
          <w:spacing w:val="-11"/>
        </w:rPr>
        <w:t>左前降支、左旋支和右冠状动脉中，至少一支血管管腔堵塞 </w:t>
      </w:r>
      <w:r>
        <w:rPr/>
        <w:t>75%以上， </w:t>
      </w:r>
      <w:r>
        <w:rPr>
          <w:spacing w:val="-6"/>
        </w:rPr>
        <w:t>其他两支血管管腔堵塞 </w:t>
      </w:r>
      <w:r>
        <w:rPr/>
        <w:t>60%</w:t>
      </w:r>
      <w:r>
        <w:rPr>
          <w:spacing w:val="-2"/>
        </w:rPr>
        <w:t>以上。</w:t>
      </w:r>
    </w:p>
    <w:p>
      <w:pPr>
        <w:pStyle w:val="BodyText"/>
        <w:spacing w:line="273" w:lineRule="auto" w:before="7"/>
        <w:ind w:left="3080" w:right="222"/>
      </w:pPr>
      <w:r>
        <w:rPr>
          <w:shd w:fill="DADADA" w:color="auto" w:val="clear"/>
        </w:rPr>
        <w:t>左前降支的分支血管、左旋支的分支血管及右冠状动脉的分支血管的狭窄不作为本保障的衡量指标。</w:t>
      </w:r>
    </w:p>
    <w:p>
      <w:pPr>
        <w:pStyle w:val="BodyText"/>
        <w:spacing w:before="12"/>
        <w:rPr>
          <w:sz w:val="17"/>
        </w:rPr>
      </w:pPr>
    </w:p>
    <w:p>
      <w:pPr>
        <w:spacing w:after="0"/>
        <w:rPr>
          <w:sz w:val="17"/>
        </w:rPr>
        <w:sectPr>
          <w:pgSz w:w="11910" w:h="16840"/>
          <w:pgMar w:top="1060" w:bottom="280" w:left="1100" w:right="740"/>
        </w:sectPr>
      </w:pPr>
    </w:p>
    <w:p>
      <w:pPr>
        <w:pStyle w:val="Heading1"/>
        <w:numPr>
          <w:ilvl w:val="0"/>
          <w:numId w:val="8"/>
        </w:numPr>
        <w:tabs>
          <w:tab w:pos="738" w:val="left" w:leader="none"/>
          <w:tab w:pos="739" w:val="left" w:leader="none"/>
        </w:tabs>
        <w:spacing w:line="235" w:lineRule="auto" w:before="26" w:after="0"/>
        <w:ind w:left="738" w:right="0" w:hanging="624"/>
        <w:jc w:val="left"/>
      </w:pPr>
      <w:r>
        <w:rPr>
          <w:spacing w:val="26"/>
          <w:position w:val="1"/>
        </w:rPr>
        <w:t>风湿热导致的心脏</w:t>
      </w:r>
      <w:r>
        <w:rPr/>
        <w:t>瓣膜疾病</w:t>
      </w:r>
    </w:p>
    <w:p>
      <w:pPr>
        <w:pStyle w:val="BodyText"/>
        <w:spacing w:line="273" w:lineRule="auto" w:before="56"/>
        <w:ind w:left="114" w:right="217"/>
        <w:jc w:val="both"/>
      </w:pPr>
      <w:r>
        <w:rPr/>
        <w:br w:type="column"/>
      </w:r>
      <w:r>
        <w:rPr>
          <w:spacing w:val="-4"/>
        </w:rPr>
        <w:t>指经由专科医生根据已修订的 </w:t>
      </w:r>
      <w:r>
        <w:rPr/>
        <w:t>Jones</w:t>
      </w:r>
      <w:r>
        <w:rPr>
          <w:spacing w:val="-5"/>
        </w:rPr>
        <w:t> 标准诊断证实罹患急性风湿热。且因风湿热所导致一个或以上最少轻度心脏瓣膜关闭不全（</w:t>
      </w:r>
      <w:r>
        <w:rPr/>
        <w:t>即返流部份达 20% 或以上</w:t>
      </w:r>
      <w:r>
        <w:rPr>
          <w:spacing w:val="-5"/>
        </w:rPr>
        <w:t>）</w:t>
      </w:r>
      <w:r>
        <w:rPr>
          <w:spacing w:val="-4"/>
        </w:rPr>
        <w:t>或狭窄的心瓣损伤</w:t>
      </w:r>
      <w:r>
        <w:rPr>
          <w:spacing w:val="-5"/>
        </w:rPr>
        <w:t>（</w:t>
      </w:r>
      <w:r>
        <w:rPr>
          <w:spacing w:val="-6"/>
        </w:rPr>
        <w:t>即心脏瓣面积为正常值的 </w:t>
      </w:r>
      <w:r>
        <w:rPr/>
        <w:t>30%</w:t>
      </w:r>
      <w:r>
        <w:rPr>
          <w:spacing w:val="-2"/>
        </w:rPr>
        <w:t>或以下</w:t>
      </w:r>
      <w:r>
        <w:rPr>
          <w:spacing w:val="-106"/>
        </w:rPr>
        <w:t>）</w:t>
      </w:r>
      <w:r>
        <w:rPr>
          <w:spacing w:val="-2"/>
        </w:rPr>
        <w:t>。有关</w:t>
      </w:r>
      <w:r>
        <w:rPr>
          <w:spacing w:val="-5"/>
        </w:rPr>
        <w:t>诊断须由专科医生根据心瓣功能的定量检查证实。</w:t>
      </w:r>
    </w:p>
    <w:p>
      <w:pPr>
        <w:spacing w:after="0" w:line="273" w:lineRule="auto"/>
        <w:jc w:val="both"/>
        <w:sectPr>
          <w:type w:val="continuous"/>
          <w:pgSz w:w="11910" w:h="16840"/>
          <w:pgMar w:top="480" w:bottom="280" w:left="1100" w:right="740"/>
          <w:cols w:num="2" w:equalWidth="0">
            <w:col w:w="2894" w:space="72"/>
            <w:col w:w="7104"/>
          </w:cols>
        </w:sectPr>
      </w:pPr>
    </w:p>
    <w:p>
      <w:pPr>
        <w:pStyle w:val="BodyText"/>
        <w:spacing w:before="10"/>
        <w:rPr>
          <w:sz w:val="19"/>
        </w:rPr>
      </w:pPr>
    </w:p>
    <w:p>
      <w:pPr>
        <w:pStyle w:val="Heading3"/>
        <w:tabs>
          <w:tab w:pos="3080" w:val="left" w:leader="none"/>
        </w:tabs>
        <w:spacing w:before="37"/>
        <w:ind w:left="738"/>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与器官功能严重受损相关的疾病</w:t>
      </w:r>
    </w:p>
    <w:p>
      <w:pPr>
        <w:pStyle w:val="BodyText"/>
        <w:spacing w:before="13"/>
        <w:rPr>
          <w:b/>
          <w:sz w:val="17"/>
        </w:rPr>
      </w:pPr>
    </w:p>
    <w:p>
      <w:pPr>
        <w:spacing w:after="0"/>
        <w:rPr>
          <w:sz w:val="17"/>
        </w:rPr>
        <w:sectPr>
          <w:type w:val="continuous"/>
          <w:pgSz w:w="11910" w:h="16840"/>
          <w:pgMar w:top="480" w:bottom="280" w:left="1100" w:right="740"/>
        </w:sectPr>
      </w:pPr>
    </w:p>
    <w:p>
      <w:pPr>
        <w:pStyle w:val="ListParagraph"/>
        <w:numPr>
          <w:ilvl w:val="0"/>
          <w:numId w:val="8"/>
        </w:numPr>
        <w:tabs>
          <w:tab w:pos="738" w:val="left" w:leader="none"/>
          <w:tab w:pos="739" w:val="left" w:leader="none"/>
        </w:tabs>
        <w:spacing w:line="232" w:lineRule="auto" w:before="30" w:after="0"/>
        <w:ind w:left="738" w:right="0" w:hanging="624"/>
        <w:jc w:val="left"/>
        <w:rPr>
          <w:rFonts w:ascii="等线" w:eastAsia="等线" w:hint="eastAsia"/>
          <w:b/>
          <w:sz w:val="24"/>
        </w:rPr>
      </w:pPr>
      <w:r>
        <w:rPr>
          <w:rFonts w:ascii="等线" w:eastAsia="等线" w:hint="eastAsia"/>
          <w:b/>
          <w:spacing w:val="26"/>
          <w:position w:val="1"/>
          <w:sz w:val="24"/>
        </w:rPr>
        <w:t>重型再生障碍性贫</w:t>
      </w:r>
      <w:r>
        <w:rPr>
          <w:rFonts w:ascii="等线" w:eastAsia="等线" w:hint="eastAsia"/>
          <w:b/>
          <w:sz w:val="24"/>
        </w:rPr>
        <w:t>血</w:t>
      </w:r>
    </w:p>
    <w:p>
      <w:pPr>
        <w:pStyle w:val="BodyText"/>
        <w:spacing w:line="273" w:lineRule="auto" w:before="56"/>
        <w:ind w:left="114" w:right="222"/>
      </w:pPr>
      <w:r>
        <w:rPr/>
        <w:br w:type="column"/>
      </w:r>
      <w:r>
        <w:rPr/>
        <w:t>指因骨髓造血功能慢性持续性衰竭导致的贫血、中性粒细胞减少及血小板减少。须满足下列全部条件：</w:t>
      </w:r>
    </w:p>
    <w:p>
      <w:pPr>
        <w:pStyle w:val="BodyText"/>
        <w:spacing w:before="7"/>
        <w:ind w:left="114"/>
      </w:pPr>
      <w:r>
        <w:rPr/>
        <w:t>（1）骨髓穿刺检查或骨髓活检结果支持诊断；</w:t>
      </w:r>
    </w:p>
    <w:p>
      <w:pPr>
        <w:pStyle w:val="BodyText"/>
        <w:spacing w:before="36"/>
        <w:ind w:left="114"/>
      </w:pPr>
      <w:r>
        <w:rPr/>
        <w:t>（2）外周血象须具备以下三项条件：</w:t>
      </w:r>
    </w:p>
    <w:p>
      <w:pPr>
        <w:pStyle w:val="BodyText"/>
        <w:tabs>
          <w:tab w:pos="642" w:val="left" w:leader="none"/>
        </w:tabs>
        <w:spacing w:before="36"/>
        <w:ind w:left="220"/>
      </w:pPr>
      <w:r>
        <w:rPr/>
        <w:t>①</w:t>
        <w:tab/>
      </w:r>
      <w:r>
        <w:rPr>
          <w:spacing w:val="-4"/>
        </w:rPr>
        <w:t>中性粒细胞绝对值</w:t>
      </w:r>
      <w:r>
        <w:rPr>
          <w:spacing w:val="-1"/>
        </w:rPr>
        <w:t>≤0.5×10</w:t>
      </w:r>
      <w:r>
        <w:rPr>
          <w:spacing w:val="-1"/>
          <w:position w:val="11"/>
          <w:sz w:val="11"/>
        </w:rPr>
        <w:t>9</w:t>
      </w:r>
      <w:r>
        <w:rPr>
          <w:spacing w:val="-1"/>
        </w:rPr>
        <w:t>/L；</w:t>
      </w:r>
    </w:p>
    <w:p>
      <w:pPr>
        <w:pStyle w:val="BodyText"/>
        <w:tabs>
          <w:tab w:pos="642" w:val="left" w:leader="none"/>
        </w:tabs>
        <w:spacing w:before="36"/>
        <w:ind w:left="219"/>
      </w:pPr>
      <w:r>
        <w:rPr/>
        <w:t>②</w:t>
        <w:tab/>
      </w:r>
      <w:r>
        <w:rPr>
          <w:spacing w:val="-3"/>
        </w:rPr>
        <w:t>网织红细胞</w:t>
      </w:r>
      <w:r>
        <w:rPr>
          <w:spacing w:val="-1"/>
        </w:rPr>
        <w:t>＜1%；</w:t>
      </w:r>
    </w:p>
    <w:p>
      <w:pPr>
        <w:pStyle w:val="BodyText"/>
        <w:tabs>
          <w:tab w:pos="642" w:val="left" w:leader="none"/>
        </w:tabs>
        <w:spacing w:before="36"/>
        <w:ind w:left="219"/>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480" w:bottom="280" w:left="1100" w:right="740"/>
          <w:cols w:num="2" w:equalWidth="0">
            <w:col w:w="2894" w:space="72"/>
            <w:col w:w="7104"/>
          </w:cols>
        </w:sectPr>
      </w:pPr>
    </w:p>
    <w:p>
      <w:pPr>
        <w:pStyle w:val="BodyText"/>
        <w:spacing w:before="1"/>
        <w:rPr>
          <w:sz w:val="20"/>
        </w:rPr>
      </w:pPr>
    </w:p>
    <w:p>
      <w:pPr>
        <w:spacing w:after="0"/>
        <w:rPr>
          <w:sz w:val="20"/>
        </w:rPr>
        <w:sectPr>
          <w:type w:val="continuous"/>
          <w:pgSz w:w="11910" w:h="16840"/>
          <w:pgMar w:top="480" w:bottom="280" w:left="1100" w:right="740"/>
        </w:sectPr>
      </w:pPr>
    </w:p>
    <w:p>
      <w:pPr>
        <w:pStyle w:val="Heading1"/>
        <w:numPr>
          <w:ilvl w:val="0"/>
          <w:numId w:val="8"/>
        </w:numPr>
        <w:tabs>
          <w:tab w:pos="738" w:val="left" w:leader="none"/>
          <w:tab w:pos="739" w:val="left" w:leader="none"/>
        </w:tabs>
        <w:spacing w:line="232" w:lineRule="auto" w:before="31" w:after="0"/>
        <w:ind w:left="738" w:right="0" w:hanging="624"/>
        <w:jc w:val="left"/>
      </w:pPr>
      <w:r>
        <w:rPr>
          <w:spacing w:val="26"/>
          <w:position w:val="1"/>
        </w:rPr>
        <w:t>重大器官移植术或</w:t>
      </w:r>
      <w:r>
        <w:rPr/>
        <w:t>造血干细胞移植术</w:t>
      </w:r>
    </w:p>
    <w:p>
      <w:pPr>
        <w:pStyle w:val="BodyText"/>
        <w:spacing w:line="273" w:lineRule="auto" w:before="57"/>
        <w:ind w:left="114" w:right="222"/>
      </w:pPr>
      <w:r>
        <w:rPr/>
        <w:br w:type="column"/>
      </w:r>
      <w:r>
        <w:rPr/>
        <w:t>重大器官移植术，指因相应器官功能衰竭，已经实施了肾脏、肝脏、心脏或肺脏的异体移植手术。</w:t>
      </w:r>
    </w:p>
    <w:p>
      <w:pPr>
        <w:pStyle w:val="BodyText"/>
        <w:spacing w:line="273" w:lineRule="auto" w:before="7"/>
        <w:ind w:left="114" w:right="112"/>
      </w:pPr>
      <w:r>
        <w:rPr/>
        <w:t>造血干细胞移植术，指因造血功能损害或造血系统恶性肿瘤，已经实施了</w:t>
      </w:r>
      <w:r>
        <w:rPr>
          <w:spacing w:val="-8"/>
        </w:rPr>
        <w:t>造血干细胞</w:t>
      </w:r>
      <w:r>
        <w:rPr/>
        <w:t>（</w:t>
      </w:r>
      <w:r>
        <w:rPr>
          <w:spacing w:val="-7"/>
        </w:rPr>
        <w:t>包括骨髓造血干细胞、外周血造血干细胞和脐血造血干细胞</w:t>
      </w:r>
      <w:r>
        <w:rPr/>
        <w:t>） </w:t>
      </w:r>
      <w:r>
        <w:rPr>
          <w:spacing w:val="-1"/>
        </w:rPr>
        <w:t>的异体移植手术。</w:t>
      </w:r>
    </w:p>
    <w:p>
      <w:pPr>
        <w:spacing w:after="0" w:line="273" w:lineRule="auto"/>
        <w:sectPr>
          <w:type w:val="continuous"/>
          <w:pgSz w:w="11910" w:h="16840"/>
          <w:pgMar w:top="480" w:bottom="280" w:left="1100" w:right="740"/>
          <w:cols w:num="2" w:equalWidth="0">
            <w:col w:w="2894" w:space="72"/>
            <w:col w:w="7104"/>
          </w:cols>
        </w:sectPr>
      </w:pPr>
    </w:p>
    <w:p>
      <w:pPr>
        <w:pStyle w:val="BodyText"/>
        <w:spacing w:before="11"/>
        <w:rPr>
          <w:sz w:val="17"/>
        </w:rPr>
      </w:pPr>
    </w:p>
    <w:p>
      <w:pPr>
        <w:pStyle w:val="ListParagraph"/>
        <w:numPr>
          <w:ilvl w:val="0"/>
          <w:numId w:val="8"/>
        </w:numPr>
        <w:tabs>
          <w:tab w:pos="738" w:val="left" w:leader="none"/>
          <w:tab w:pos="739" w:val="left" w:leader="none"/>
          <w:tab w:pos="3080" w:val="left" w:leader="none"/>
        </w:tabs>
        <w:spacing w:line="240" w:lineRule="auto" w:before="20" w:after="0"/>
        <w:ind w:left="738" w:right="0" w:hanging="624"/>
        <w:jc w:val="left"/>
        <w:rPr>
          <w:sz w:val="21"/>
        </w:rPr>
      </w:pPr>
      <w:r>
        <w:rPr>
          <w:rFonts w:ascii="等线" w:eastAsia="等线" w:hint="eastAsia"/>
          <w:b/>
          <w:position w:val="1"/>
          <w:sz w:val="24"/>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z w:val="21"/>
        </w:rPr>
        <w:t>，在</w:t>
      </w:r>
      <w:r>
        <w:rPr>
          <w:spacing w:val="-17"/>
          <w:sz w:val="21"/>
        </w:rPr>
        <w:t> </w:t>
      </w:r>
      <w:r>
        <w:rPr>
          <w:sz w:val="21"/>
        </w:rPr>
        <w:t>500</w:t>
      </w:r>
      <w:r>
        <w:rPr>
          <w:spacing w:val="-23"/>
          <w:sz w:val="21"/>
        </w:rPr>
        <w:t> </w:t>
      </w:r>
      <w:r>
        <w:rPr>
          <w:sz w:val="21"/>
        </w:rPr>
        <w:t>赫兹、1000</w:t>
      </w:r>
    </w:p>
    <w:p>
      <w:pPr>
        <w:pStyle w:val="BodyText"/>
        <w:spacing w:line="273" w:lineRule="auto" w:before="20"/>
        <w:ind w:left="3080" w:right="117"/>
      </w:pPr>
      <w:r>
        <w:rPr>
          <w:spacing w:val="-11"/>
        </w:rPr>
        <w:t>赫兹和 </w:t>
      </w:r>
      <w:r>
        <w:rPr/>
        <w:t>2000</w:t>
      </w:r>
      <w:r>
        <w:rPr>
          <w:spacing w:val="-13"/>
        </w:rPr>
        <w:t> 赫兹语音频率下，平均听阈大于 </w:t>
      </w:r>
      <w:r>
        <w:rPr/>
        <w:t>90</w:t>
      </w:r>
      <w:r>
        <w:rPr>
          <w:spacing w:val="-10"/>
        </w:rPr>
        <w:t> 分贝，且经纯音听力测试、</w:t>
      </w:r>
      <w:r>
        <w:rPr>
          <w:spacing w:val="-7"/>
        </w:rPr>
        <w:t>声导抗检测或听觉诱发电位检测等证实。</w:t>
      </w:r>
    </w:p>
    <w:p>
      <w:pPr>
        <w:pStyle w:val="BodyText"/>
        <w:spacing w:line="273" w:lineRule="auto" w:before="7"/>
        <w:ind w:left="3080" w:right="217"/>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7"/>
          <w:shd w:fill="DADADA" w:color="auto" w:val="clear"/>
        </w:rPr>
        <w:t> 周岁保单周年日期间双耳失聪，在本主险合同有效期内我们对</w:t>
      </w:r>
      <w:r>
        <w:rPr>
          <w:spacing w:val="-212"/>
          <w:shd w:fill="DADADA" w:color="auto" w:val="clear"/>
        </w:rPr>
        <w:t>双</w:t>
      </w:r>
      <w:r>
        <w:rPr>
          <w:spacing w:val="-3"/>
          <w:shd w:fill="DADADA" w:color="auto" w:val="clear"/>
        </w:rPr>
        <w:t>耳失聪不承担保险责任。</w:t>
      </w:r>
    </w:p>
    <w:p>
      <w:pPr>
        <w:pStyle w:val="BodyText"/>
        <w:spacing w:before="5"/>
        <w:rPr>
          <w:sz w:val="19"/>
        </w:rPr>
      </w:pPr>
    </w:p>
    <w:p>
      <w:pPr>
        <w:pStyle w:val="ListParagraph"/>
        <w:numPr>
          <w:ilvl w:val="0"/>
          <w:numId w:val="8"/>
        </w:numPr>
        <w:tabs>
          <w:tab w:pos="738" w:val="left" w:leader="none"/>
          <w:tab w:pos="739" w:val="left" w:leader="none"/>
          <w:tab w:pos="3080" w:val="left" w:leader="none"/>
        </w:tabs>
        <w:spacing w:line="240" w:lineRule="auto" w:before="0" w:after="0"/>
        <w:ind w:left="738" w:right="0" w:hanging="624"/>
        <w:jc w:val="left"/>
        <w:rPr>
          <w:sz w:val="21"/>
        </w:rPr>
      </w:pPr>
      <w:r>
        <w:rPr>
          <w:rFonts w:ascii="等线" w:eastAsia="等线" w:hint="eastAsia"/>
          <w:b/>
          <w:position w:val="1"/>
          <w:sz w:val="24"/>
        </w:rPr>
        <w:t>双目失明</w:t>
        <w:tab/>
      </w:r>
      <w:r>
        <w:rPr>
          <w:sz w:val="21"/>
        </w:rPr>
        <w:t>指因疾病或意外伤害导致双眼视力永久不可逆性丧失，双眼中较好眼须满</w:t>
      </w:r>
    </w:p>
    <w:p>
      <w:pPr>
        <w:pStyle w:val="BodyText"/>
        <w:spacing w:before="20"/>
        <w:ind w:left="3080"/>
      </w:pPr>
      <w:r>
        <w:rPr/>
        <w:t>足下列至少一项条件：</w:t>
      </w:r>
    </w:p>
    <w:p>
      <w:pPr>
        <w:pStyle w:val="BodyText"/>
        <w:spacing w:before="37"/>
        <w:ind w:left="3080"/>
      </w:pPr>
      <w:r>
        <w:rPr/>
        <w:t>（1）眼球缺失或摘除；</w:t>
      </w:r>
    </w:p>
    <w:p>
      <w:pPr>
        <w:pStyle w:val="BodyText"/>
        <w:spacing w:line="273" w:lineRule="auto" w:before="37"/>
        <w:ind w:left="3603" w:right="222" w:hanging="524"/>
      </w:pPr>
      <w:r>
        <w:rPr/>
        <w:t>（2）</w:t>
      </w:r>
      <w:r>
        <w:rPr>
          <w:spacing w:val="3"/>
        </w:rPr>
        <w:t>矫正视力低于 </w:t>
      </w:r>
      <w:r>
        <w:rPr/>
        <w:t>0.02（采用国际标准视力表，如果使用其它视力表应</w:t>
      </w:r>
      <w:r>
        <w:rPr>
          <w:w w:val="100"/>
        </w:rPr>
        <w:t>进行换算</w:t>
      </w:r>
      <w:r>
        <w:rPr>
          <w:spacing w:val="-106"/>
          <w:w w:val="100"/>
        </w:rPr>
        <w:t>）</w:t>
      </w:r>
      <w:r>
        <w:rPr>
          <w:w w:val="100"/>
        </w:rPr>
        <w:t>；</w:t>
      </w:r>
    </w:p>
    <w:p>
      <w:pPr>
        <w:pStyle w:val="BodyText"/>
        <w:spacing w:before="7"/>
        <w:ind w:left="3080"/>
      </w:pPr>
      <w:r>
        <w:rPr/>
        <w:t>（3）视野半径小于 5 度。</w:t>
      </w:r>
    </w:p>
    <w:p>
      <w:pPr>
        <w:pStyle w:val="BodyText"/>
        <w:spacing w:before="2"/>
        <w:rPr>
          <w:sz w:val="20"/>
        </w:rPr>
      </w:pPr>
    </w:p>
    <w:p>
      <w:pPr>
        <w:spacing w:after="0"/>
        <w:rPr>
          <w:sz w:val="20"/>
        </w:rPr>
        <w:sectPr>
          <w:type w:val="continuous"/>
          <w:pgSz w:w="11910" w:h="16840"/>
          <w:pgMar w:top="480" w:bottom="280" w:left="1100" w:right="740"/>
        </w:sectPr>
      </w:pPr>
    </w:p>
    <w:p>
      <w:pPr>
        <w:pStyle w:val="Heading1"/>
        <w:numPr>
          <w:ilvl w:val="0"/>
          <w:numId w:val="8"/>
        </w:numPr>
        <w:tabs>
          <w:tab w:pos="738" w:val="left" w:leader="none"/>
          <w:tab w:pos="739" w:val="left" w:leader="none"/>
        </w:tabs>
        <w:spacing w:line="235" w:lineRule="auto" w:before="27" w:after="0"/>
        <w:ind w:left="738" w:right="0" w:hanging="624"/>
        <w:jc w:val="left"/>
      </w:pPr>
      <w:r>
        <w:rPr>
          <w:spacing w:val="26"/>
          <w:position w:val="1"/>
        </w:rPr>
        <w:t>系统性红斑狼疮并</w:t>
      </w:r>
      <w:r>
        <w:rPr/>
        <w:t>发肾功能损害</w:t>
      </w:r>
    </w:p>
    <w:p>
      <w:pPr>
        <w:pStyle w:val="BodyText"/>
        <w:spacing w:line="273" w:lineRule="auto" w:before="56"/>
        <w:ind w:left="114" w:right="222"/>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14"/>
        <w:jc w:val="both"/>
      </w:pPr>
      <w:r>
        <w:rPr/>
        <w:t>（1）临床表现至少具备下列条件中的 4 个：</w:t>
      </w:r>
    </w:p>
    <w:p>
      <w:pPr>
        <w:spacing w:after="0"/>
        <w:jc w:val="both"/>
        <w:sectPr>
          <w:type w:val="continuous"/>
          <w:pgSz w:w="11910" w:h="16840"/>
          <w:pgMar w:top="480" w:bottom="280" w:left="1100" w:right="740"/>
          <w:cols w:num="2" w:equalWidth="0">
            <w:col w:w="2894" w:space="72"/>
            <w:col w:w="7104"/>
          </w:cols>
        </w:sectPr>
      </w:pPr>
    </w:p>
    <w:p>
      <w:pPr>
        <w:pStyle w:val="BodyText"/>
        <w:tabs>
          <w:tab w:pos="3608" w:val="left" w:leader="none"/>
        </w:tabs>
        <w:spacing w:before="19"/>
        <w:ind w:left="3186"/>
      </w:pPr>
      <w:r>
        <w:rPr/>
        <w:t>①</w:t>
        <w:tab/>
      </w:r>
      <w:r>
        <w:rPr>
          <w:spacing w:val="-3"/>
        </w:rPr>
        <w:t>蝶形红斑或盘形红斑；</w:t>
      </w:r>
    </w:p>
    <w:p>
      <w:pPr>
        <w:pStyle w:val="BodyText"/>
        <w:tabs>
          <w:tab w:pos="3608" w:val="left" w:leader="none"/>
        </w:tabs>
        <w:spacing w:before="36"/>
        <w:ind w:left="3186"/>
      </w:pPr>
      <w:r>
        <w:rPr/>
        <w:t>②</w:t>
        <w:tab/>
      </w:r>
      <w:r>
        <w:rPr>
          <w:spacing w:val="-2"/>
        </w:rPr>
        <w:t>光敏感；</w:t>
      </w:r>
    </w:p>
    <w:p>
      <w:pPr>
        <w:pStyle w:val="BodyText"/>
        <w:tabs>
          <w:tab w:pos="3608" w:val="left" w:leader="none"/>
        </w:tabs>
        <w:spacing w:before="36"/>
        <w:ind w:left="3186"/>
      </w:pPr>
      <w:r>
        <w:rPr/>
        <w:t>③</w:t>
        <w:tab/>
      </w:r>
      <w:r>
        <w:rPr>
          <w:spacing w:val="-3"/>
        </w:rPr>
        <w:t>口鼻腔黏膜溃疡；</w:t>
      </w:r>
    </w:p>
    <w:p>
      <w:pPr>
        <w:pStyle w:val="BodyText"/>
        <w:tabs>
          <w:tab w:pos="3608" w:val="left" w:leader="none"/>
        </w:tabs>
        <w:spacing w:before="36"/>
        <w:ind w:left="3186"/>
      </w:pPr>
      <w:r>
        <w:rPr/>
        <w:t>④</w:t>
        <w:tab/>
      </w:r>
      <w:r>
        <w:rPr>
          <w:spacing w:val="-4"/>
        </w:rPr>
        <w:t>非畸形性关节炎或多关节痛；</w:t>
      </w:r>
    </w:p>
    <w:p>
      <w:pPr>
        <w:pStyle w:val="BodyText"/>
        <w:tabs>
          <w:tab w:pos="3608" w:val="left" w:leader="none"/>
        </w:tabs>
        <w:spacing w:before="36"/>
        <w:ind w:left="3186"/>
      </w:pPr>
      <w:r>
        <w:rPr/>
        <w:t>⑤</w:t>
        <w:tab/>
      </w:r>
      <w:r>
        <w:rPr>
          <w:spacing w:val="-3"/>
        </w:rPr>
        <w:t>胸膜炎或心包炎；</w:t>
      </w:r>
    </w:p>
    <w:p>
      <w:pPr>
        <w:pStyle w:val="BodyText"/>
        <w:tabs>
          <w:tab w:pos="3608" w:val="left" w:leader="none"/>
        </w:tabs>
        <w:spacing w:before="36"/>
        <w:ind w:left="3186"/>
      </w:pPr>
      <w:r>
        <w:rPr>
          <w:w w:val="100"/>
        </w:rPr>
        <w:t>⑥</w:t>
      </w:r>
      <w:r>
        <w:rPr/>
        <w:tab/>
      </w:r>
      <w:r>
        <w:rPr>
          <w:spacing w:val="-2"/>
          <w:w w:val="100"/>
        </w:rPr>
        <w:t>神经系统损伤</w:t>
      </w:r>
      <w:r>
        <w:rPr>
          <w:spacing w:val="-5"/>
          <w:w w:val="100"/>
        </w:rPr>
        <w:t>（</w:t>
      </w:r>
      <w:r>
        <w:rPr>
          <w:spacing w:val="-2"/>
          <w:w w:val="100"/>
        </w:rPr>
        <w:t>癫痫或精神症状</w:t>
      </w:r>
      <w:r>
        <w:rPr>
          <w:spacing w:val="-106"/>
          <w:w w:val="100"/>
        </w:rPr>
        <w:t>）</w:t>
      </w:r>
      <w:r>
        <w:rPr>
          <w:w w:val="100"/>
        </w:rPr>
        <w:t>；</w:t>
      </w:r>
    </w:p>
    <w:p>
      <w:pPr>
        <w:pStyle w:val="BodyText"/>
        <w:tabs>
          <w:tab w:pos="3608" w:val="left" w:leader="none"/>
        </w:tabs>
        <w:spacing w:line="273" w:lineRule="auto" w:before="36"/>
        <w:ind w:left="3603" w:right="98" w:hanging="418"/>
      </w:pPr>
      <w:r>
        <w:rPr/>
        <w:t>⑦</w:t>
        <w:tab/>
        <w:tab/>
      </w:r>
      <w:r>
        <w:rPr>
          <w:spacing w:val="-19"/>
        </w:rPr>
        <w:t>血象异常</w:t>
      </w:r>
      <w:r>
        <w:rPr/>
        <w:t>（</w:t>
      </w:r>
      <w:r>
        <w:rPr>
          <w:spacing w:val="-10"/>
        </w:rPr>
        <w:t>白细胞小于 </w:t>
      </w:r>
      <w:r>
        <w:rPr/>
        <w:t>4000/μl</w:t>
      </w:r>
      <w:r>
        <w:rPr>
          <w:spacing w:val="-15"/>
        </w:rPr>
        <w:t> 或血小板小于 </w:t>
      </w:r>
      <w:r>
        <w:rPr/>
        <w:t>100000/μl</w:t>
      </w:r>
      <w:r>
        <w:rPr>
          <w:spacing w:val="-12"/>
        </w:rPr>
        <w:t> 或溶血性贫血</w:t>
      </w:r>
      <w:r>
        <w:rPr>
          <w:spacing w:val="-106"/>
        </w:rPr>
        <w:t>）</w:t>
      </w:r>
      <w:r>
        <w:rPr/>
        <w:t>。</w:t>
      </w:r>
    </w:p>
    <w:p>
      <w:pPr>
        <w:pStyle w:val="BodyText"/>
        <w:spacing w:before="7"/>
        <w:ind w:left="3080"/>
      </w:pPr>
      <w:r>
        <w:rPr/>
        <w:t>（2）检测结果至少具备下列条件中的 2 个：</w:t>
      </w:r>
    </w:p>
    <w:p>
      <w:pPr>
        <w:pStyle w:val="BodyText"/>
        <w:tabs>
          <w:tab w:pos="3608" w:val="left" w:leader="none"/>
        </w:tabs>
        <w:spacing w:before="37"/>
        <w:ind w:left="3186"/>
      </w:pPr>
      <w:r>
        <w:rPr/>
        <w:t>①</w:t>
        <w:tab/>
      </w:r>
      <w:r>
        <w:rPr>
          <w:spacing w:val="-26"/>
        </w:rPr>
        <w:t>抗 </w:t>
      </w:r>
      <w:r>
        <w:rPr/>
        <w:t>dsDNA</w:t>
      </w:r>
      <w:r>
        <w:rPr>
          <w:spacing w:val="-10"/>
        </w:rPr>
        <w:t> 抗体阳性；</w:t>
      </w:r>
    </w:p>
    <w:p>
      <w:pPr>
        <w:pStyle w:val="BodyText"/>
        <w:tabs>
          <w:tab w:pos="3608" w:val="left" w:leader="none"/>
        </w:tabs>
        <w:spacing w:before="37"/>
        <w:ind w:left="3186"/>
      </w:pPr>
      <w:r>
        <w:rPr/>
        <w:t>②</w:t>
        <w:tab/>
      </w:r>
      <w:r>
        <w:rPr>
          <w:spacing w:val="-25"/>
        </w:rPr>
        <w:t>抗 </w:t>
      </w:r>
      <w:r>
        <w:rPr/>
        <w:t>Sm</w:t>
      </w:r>
      <w:r>
        <w:rPr>
          <w:spacing w:val="-10"/>
        </w:rPr>
        <w:t> 抗体阳性；</w:t>
      </w:r>
    </w:p>
    <w:p>
      <w:pPr>
        <w:pStyle w:val="BodyText"/>
        <w:tabs>
          <w:tab w:pos="3608" w:val="left" w:leader="none"/>
        </w:tabs>
        <w:spacing w:before="37"/>
        <w:ind w:left="3186"/>
      </w:pPr>
      <w:r>
        <w:rPr/>
        <w:t>③</w:t>
        <w:tab/>
      </w:r>
      <w:r>
        <w:rPr>
          <w:spacing w:val="-2"/>
        </w:rPr>
        <w:t>抗核抗体阳性；</w:t>
      </w:r>
    </w:p>
    <w:p>
      <w:pPr>
        <w:pStyle w:val="BodyText"/>
        <w:tabs>
          <w:tab w:pos="3608" w:val="left" w:leader="none"/>
        </w:tabs>
        <w:spacing w:before="37"/>
        <w:ind w:left="3186"/>
      </w:pPr>
      <w:r>
        <w:rPr/>
        <w:t>④</w:t>
        <w:tab/>
      </w:r>
      <w:r>
        <w:rPr>
          <w:spacing w:val="-3"/>
        </w:rPr>
        <w:t>皮肤狼疮带试验</w:t>
      </w:r>
      <w:r>
        <w:rPr/>
        <w:t>（</w:t>
      </w:r>
      <w:r>
        <w:rPr>
          <w:spacing w:val="-2"/>
        </w:rPr>
        <w:t>非病损部位</w:t>
      </w:r>
      <w:r>
        <w:rPr/>
        <w:t>）</w:t>
      </w:r>
      <w:r>
        <w:rPr>
          <w:spacing w:val="-3"/>
        </w:rPr>
        <w:t>或肾活检阳性；</w:t>
      </w:r>
    </w:p>
    <w:p>
      <w:pPr>
        <w:pStyle w:val="BodyText"/>
        <w:tabs>
          <w:tab w:pos="3608" w:val="left" w:leader="none"/>
        </w:tabs>
        <w:spacing w:before="37"/>
        <w:ind w:left="3186"/>
      </w:pPr>
      <w:r>
        <w:rPr/>
        <w:t>⑤</w:t>
        <w:tab/>
        <w:t>C3</w:t>
      </w:r>
      <w:r>
        <w:rPr>
          <w:spacing w:val="-9"/>
        </w:rPr>
        <w:t> 低于正常值。</w:t>
      </w:r>
    </w:p>
    <w:p>
      <w:pPr>
        <w:pStyle w:val="BodyText"/>
        <w:spacing w:before="37"/>
        <w:ind w:left="3080"/>
      </w:pPr>
      <w:r>
        <w:rPr>
          <w:w w:val="100"/>
        </w:rPr>
        <w:t>（3）</w:t>
      </w:r>
      <w:r>
        <w:rPr>
          <w:spacing w:val="-4"/>
          <w:w w:val="100"/>
        </w:rPr>
        <w:t>狼疮肾炎致使肾功能减退</w:t>
      </w:r>
      <w:r>
        <w:rPr>
          <w:w w:val="100"/>
        </w:rPr>
        <w:t>（</w:t>
      </w:r>
      <w:r>
        <w:rPr>
          <w:spacing w:val="-2"/>
          <w:w w:val="100"/>
        </w:rPr>
        <w:t>或损害</w:t>
      </w:r>
      <w:r>
        <w:rPr>
          <w:spacing w:val="-106"/>
          <w:w w:val="100"/>
        </w:rPr>
        <w:t>）</w:t>
      </w:r>
      <w:r>
        <w:rPr>
          <w:spacing w:val="-4"/>
          <w:w w:val="100"/>
        </w:rPr>
        <w:t>，且符合以下条件之一：</w:t>
      </w:r>
    </w:p>
    <w:p>
      <w:pPr>
        <w:pStyle w:val="BodyText"/>
        <w:tabs>
          <w:tab w:pos="3608" w:val="left" w:leader="none"/>
        </w:tabs>
        <w:spacing w:line="273" w:lineRule="auto" w:before="37"/>
        <w:ind w:left="3603" w:right="98" w:hanging="418"/>
      </w:pPr>
      <w:r>
        <w:rPr/>
        <w:t>①</w:t>
        <w:tab/>
        <w:tab/>
      </w:r>
      <w:r>
        <w:rPr>
          <w:spacing w:val="-6"/>
        </w:rPr>
        <w:t>系统性红斑狼疮造成肾脏功能损害，尿蛋白</w:t>
      </w:r>
      <w:r>
        <w:rPr/>
        <w:t>＞2g/24</w:t>
      </w:r>
      <w:r>
        <w:rPr>
          <w:spacing w:val="-5"/>
        </w:rPr>
        <w:t> 小时且持续性蛋白尿＞+++；</w:t>
      </w:r>
    </w:p>
    <w:p>
      <w:pPr>
        <w:pStyle w:val="BodyText"/>
        <w:tabs>
          <w:tab w:pos="3608" w:val="left" w:leader="none"/>
        </w:tabs>
        <w:spacing w:line="273" w:lineRule="auto" w:before="8"/>
        <w:ind w:left="3080" w:right="1293" w:firstLine="105"/>
      </w:pPr>
      <w:r>
        <w:rPr/>
        <w:t>②</w:t>
        <w:tab/>
      </w:r>
      <w:r>
        <w:rPr>
          <w:spacing w:val="-10"/>
        </w:rPr>
        <w:t>符合下列 </w:t>
      </w:r>
      <w:r>
        <w:rPr/>
        <w:t>WHO</w:t>
      </w:r>
      <w:r>
        <w:rPr>
          <w:spacing w:val="-8"/>
        </w:rPr>
        <w:t> 诊断标准定义的Ⅲ型至Ⅴ型狼疮性肾炎。</w:t>
      </w:r>
      <w:r>
        <w:rPr>
          <w:spacing w:val="-2"/>
        </w:rPr>
        <w:t>世界卫生组织</w:t>
      </w:r>
      <w:r>
        <w:rPr/>
        <w:t>（WHO）</w:t>
      </w:r>
      <w:r>
        <w:rPr>
          <w:spacing w:val="-2"/>
        </w:rPr>
        <w:t>狼疮性肾炎分型：</w:t>
      </w:r>
    </w:p>
    <w:p>
      <w:pPr>
        <w:pStyle w:val="BodyText"/>
        <w:tabs>
          <w:tab w:pos="5182" w:val="left" w:leader="none"/>
        </w:tabs>
        <w:spacing w:before="8"/>
        <w:ind w:left="3080"/>
      </w:pPr>
      <w:r>
        <w:rPr/>
        <w:t>Ⅰ型（微</w:t>
      </w:r>
      <w:r>
        <w:rPr>
          <w:spacing w:val="-5"/>
        </w:rPr>
        <w:t>小</w:t>
      </w:r>
      <w:r>
        <w:rPr/>
        <w:t>病变型）</w:t>
        <w:tab/>
        <w:t>镜下</w:t>
      </w:r>
      <w:r>
        <w:rPr>
          <w:spacing w:val="-5"/>
        </w:rPr>
        <w:t>阴</w:t>
      </w:r>
      <w:r>
        <w:rPr/>
        <w:t>性，尿</w:t>
      </w:r>
      <w:r>
        <w:rPr>
          <w:spacing w:val="-5"/>
        </w:rPr>
        <w:t>液</w:t>
      </w:r>
      <w:r>
        <w:rPr/>
        <w:t>正常；</w:t>
      </w:r>
    </w:p>
    <w:p>
      <w:pPr>
        <w:pStyle w:val="BodyText"/>
        <w:tabs>
          <w:tab w:pos="5182" w:val="left" w:leader="none"/>
        </w:tabs>
        <w:spacing w:before="37"/>
        <w:ind w:left="3080"/>
      </w:pPr>
      <w:r>
        <w:rPr/>
        <w:t>Ⅱ型（系</w:t>
      </w:r>
      <w:r>
        <w:rPr>
          <w:spacing w:val="-5"/>
        </w:rPr>
        <w:t>膜</w:t>
      </w:r>
      <w:r>
        <w:rPr/>
        <w:t>病变型）</w:t>
        <w:tab/>
        <w:t>中度</w:t>
      </w:r>
      <w:r>
        <w:rPr>
          <w:spacing w:val="-5"/>
        </w:rPr>
        <w:t>蛋</w:t>
      </w:r>
      <w:r>
        <w:rPr/>
        <w:t>白尿，</w:t>
      </w:r>
      <w:r>
        <w:rPr>
          <w:spacing w:val="-5"/>
        </w:rPr>
        <w:t>偶</w:t>
      </w:r>
      <w:r>
        <w:rPr/>
        <w:t>有尿沉</w:t>
      </w:r>
      <w:r>
        <w:rPr>
          <w:spacing w:val="-5"/>
        </w:rPr>
        <w:t>渣</w:t>
      </w:r>
      <w:r>
        <w:rPr/>
        <w:t>改</w:t>
      </w:r>
      <w:r>
        <w:rPr>
          <w:spacing w:val="-5"/>
        </w:rPr>
        <w:t>变</w:t>
      </w:r>
      <w:r>
        <w:rPr/>
        <w:t>；</w:t>
      </w:r>
    </w:p>
    <w:p>
      <w:pPr>
        <w:pStyle w:val="BodyText"/>
        <w:tabs>
          <w:tab w:pos="5811" w:val="left" w:leader="none"/>
        </w:tabs>
        <w:spacing w:before="37"/>
        <w:ind w:left="3080"/>
      </w:pPr>
      <w:r>
        <w:rPr/>
        <w:t>Ⅲ型（局</w:t>
      </w:r>
      <w:r>
        <w:rPr>
          <w:spacing w:val="-5"/>
        </w:rPr>
        <w:t>灶</w:t>
      </w:r>
      <w:r>
        <w:rPr/>
        <w:t>及节段</w:t>
      </w:r>
      <w:r>
        <w:rPr>
          <w:spacing w:val="-5"/>
        </w:rPr>
        <w:t>增</w:t>
      </w:r>
      <w:r>
        <w:rPr/>
        <w:t>生型）</w:t>
        <w:tab/>
        <w:t>蛋白尿</w:t>
      </w:r>
      <w:r>
        <w:rPr>
          <w:spacing w:val="-5"/>
        </w:rPr>
        <w:t>，</w:t>
      </w:r>
      <w:r>
        <w:rPr/>
        <w:t>尿沉渣</w:t>
      </w:r>
      <w:r>
        <w:rPr>
          <w:spacing w:val="-5"/>
        </w:rPr>
        <w:t>改</w:t>
      </w:r>
      <w:r>
        <w:rPr/>
        <w:t>变；</w:t>
      </w:r>
    </w:p>
    <w:p>
      <w:pPr>
        <w:pStyle w:val="BodyText"/>
        <w:tabs>
          <w:tab w:pos="5182" w:val="left" w:leader="none"/>
        </w:tabs>
        <w:spacing w:before="37"/>
        <w:ind w:left="3080"/>
      </w:pPr>
      <w:r>
        <w:rPr/>
        <w:t>Ⅳ型（弥</w:t>
      </w:r>
      <w:r>
        <w:rPr>
          <w:spacing w:val="-5"/>
        </w:rPr>
        <w:t>漫</w:t>
      </w:r>
      <w:r>
        <w:rPr/>
        <w:t>增生型）</w:t>
        <w:tab/>
        <w:t>急性</w:t>
      </w:r>
      <w:r>
        <w:rPr>
          <w:spacing w:val="-5"/>
        </w:rPr>
        <w:t>肾</w:t>
      </w:r>
      <w:r>
        <w:rPr/>
        <w:t>炎伴有</w:t>
      </w:r>
      <w:r>
        <w:rPr>
          <w:spacing w:val="-5"/>
        </w:rPr>
        <w:t>尿</w:t>
      </w:r>
      <w:r>
        <w:rPr/>
        <w:t>沉渣改</w:t>
      </w:r>
      <w:r>
        <w:rPr>
          <w:spacing w:val="-5"/>
        </w:rPr>
        <w:t>变</w:t>
      </w:r>
      <w:r>
        <w:rPr/>
        <w:t>及</w:t>
      </w:r>
      <w:r>
        <w:rPr>
          <w:spacing w:val="-5"/>
        </w:rPr>
        <w:t>/</w:t>
      </w:r>
      <w:r>
        <w:rPr/>
        <w:t>或肾病综</w:t>
      </w:r>
      <w:r>
        <w:rPr>
          <w:spacing w:val="-5"/>
        </w:rPr>
        <w:t>合</w:t>
      </w:r>
      <w:r>
        <w:rPr/>
        <w:t>征；</w:t>
      </w:r>
    </w:p>
    <w:p>
      <w:pPr>
        <w:pStyle w:val="BodyText"/>
        <w:tabs>
          <w:tab w:pos="4554" w:val="left" w:leader="none"/>
        </w:tabs>
        <w:spacing w:before="37"/>
        <w:ind w:left="3080"/>
      </w:pPr>
      <w:r>
        <w:rPr/>
        <w:t>Ⅴ型（膜</w:t>
      </w:r>
      <w:r>
        <w:rPr>
          <w:spacing w:val="-5"/>
        </w:rPr>
        <w:t>型</w:t>
      </w:r>
      <w:r>
        <w:rPr/>
        <w:t>）</w:t>
        <w:tab/>
        <w:t>肾</w:t>
      </w:r>
      <w:r>
        <w:rPr>
          <w:spacing w:val="-5"/>
        </w:rPr>
        <w:t>病</w:t>
      </w:r>
      <w:r>
        <w:rPr/>
        <w:t>综合征</w:t>
      </w:r>
      <w:r>
        <w:rPr>
          <w:spacing w:val="-5"/>
        </w:rPr>
        <w:t>或</w:t>
      </w:r>
      <w:r>
        <w:rPr/>
        <w:t>重度蛋</w:t>
      </w:r>
      <w:r>
        <w:rPr>
          <w:spacing w:val="-5"/>
        </w:rPr>
        <w:t>白</w:t>
      </w:r>
      <w:r>
        <w:rPr/>
        <w:t>尿。</w:t>
      </w:r>
    </w:p>
    <w:p>
      <w:pPr>
        <w:pStyle w:val="BodyText"/>
        <w:spacing w:before="2"/>
        <w:rPr>
          <w:sz w:val="26"/>
        </w:rPr>
      </w:pPr>
    </w:p>
    <w:p>
      <w:pPr>
        <w:pStyle w:val="ListParagraph"/>
        <w:numPr>
          <w:ilvl w:val="0"/>
          <w:numId w:val="8"/>
        </w:numPr>
        <w:tabs>
          <w:tab w:pos="738" w:val="left" w:leader="none"/>
          <w:tab w:pos="739" w:val="left" w:leader="none"/>
          <w:tab w:pos="3080" w:val="left" w:leader="none"/>
        </w:tabs>
        <w:spacing w:line="240" w:lineRule="auto" w:before="1" w:after="0"/>
        <w:ind w:left="738" w:right="0" w:hanging="624"/>
        <w:jc w:val="left"/>
        <w:rPr>
          <w:sz w:val="21"/>
        </w:rPr>
      </w:pPr>
      <w:r>
        <w:rPr>
          <w:rFonts w:ascii="等线" w:eastAsia="等线" w:hint="eastAsia"/>
          <w:b/>
          <w:position w:val="1"/>
          <w:sz w:val="24"/>
        </w:rPr>
        <w:t>语言能力丧失</w:t>
        <w:tab/>
      </w:r>
      <w:r>
        <w:rPr>
          <w:sz w:val="21"/>
        </w:rPr>
        <w:t>指因疾病或意外伤害导致完全丧失语言能力，经过积极治疗至少</w:t>
      </w:r>
      <w:r>
        <w:rPr>
          <w:spacing w:val="17"/>
          <w:sz w:val="21"/>
        </w:rPr>
        <w:t> </w:t>
      </w:r>
      <w:r>
        <w:rPr>
          <w:sz w:val="21"/>
        </w:rPr>
        <w:t>12</w:t>
      </w:r>
      <w:r>
        <w:rPr>
          <w:spacing w:val="17"/>
          <w:sz w:val="21"/>
        </w:rPr>
        <w:t> </w:t>
      </w:r>
      <w:r>
        <w:rPr>
          <w:sz w:val="21"/>
        </w:rPr>
        <w:t>个月</w:t>
      </w:r>
    </w:p>
    <w:p>
      <w:pPr>
        <w:pStyle w:val="BodyText"/>
        <w:spacing w:line="273" w:lineRule="auto" w:before="21"/>
        <w:ind w:left="3080" w:right="664"/>
      </w:pPr>
      <w:r>
        <w:rPr>
          <w:w w:val="100"/>
        </w:rPr>
        <w:t>（</w:t>
      </w:r>
      <w:r>
        <w:rPr>
          <w:spacing w:val="-4"/>
          <w:w w:val="100"/>
        </w:rPr>
        <w:t>声带完全切除不受此时间限制</w:t>
      </w:r>
      <w:r>
        <w:rPr>
          <w:spacing w:val="-106"/>
          <w:w w:val="100"/>
        </w:rPr>
        <w:t>）</w:t>
      </w:r>
      <w:r>
        <w:rPr>
          <w:spacing w:val="-5"/>
          <w:w w:val="100"/>
        </w:rPr>
        <w:t>，仍无法通过现有医疗手段恢复。</w:t>
      </w:r>
      <w:r>
        <w:rPr>
          <w:spacing w:val="-5"/>
          <w:shd w:fill="DADADA" w:color="auto" w:val="clear"/>
        </w:rPr>
        <w:t>精神心理因素所致的语言能力丧失不在保障范围内。</w:t>
      </w:r>
    </w:p>
    <w:p>
      <w:pPr>
        <w:pStyle w:val="BodyText"/>
        <w:spacing w:line="273" w:lineRule="auto" w:before="7"/>
        <w:ind w:left="3080" w:right="98"/>
      </w:pPr>
      <w:r>
        <w:rPr>
          <w:spacing w:val="-6"/>
          <w:shd w:fill="DADADA" w:color="auto" w:val="clear"/>
        </w:rPr>
        <w:t>若被保险人在 </w:t>
      </w:r>
      <w:r>
        <w:rPr>
          <w:shd w:fill="DADADA" w:color="auto" w:val="clear"/>
        </w:rPr>
        <w:t>0</w:t>
      </w:r>
      <w:r>
        <w:rPr>
          <w:spacing w:val="-25"/>
          <w:shd w:fill="DADADA" w:color="auto" w:val="clear"/>
        </w:rPr>
        <w:t> 至 </w:t>
      </w:r>
      <w:r>
        <w:rPr>
          <w:shd w:fill="DADADA" w:color="auto" w:val="clear"/>
        </w:rPr>
        <w:t>3</w:t>
      </w:r>
      <w:r>
        <w:rPr>
          <w:spacing w:val="-7"/>
          <w:shd w:fill="DADADA" w:color="auto" w:val="clear"/>
        </w:rPr>
        <w:t> 周岁保单周年日期间语言能力丧失，在本主险合同有</w:t>
      </w:r>
      <w:r>
        <w:rPr>
          <w:spacing w:val="-212"/>
          <w:shd w:fill="DADADA" w:color="auto" w:val="clear"/>
        </w:rPr>
        <w:t>效</w:t>
      </w:r>
      <w:r>
        <w:rPr>
          <w:spacing w:val="-5"/>
          <w:shd w:fill="DADADA" w:color="auto" w:val="clear"/>
        </w:rPr>
        <w:t>期内我们对语言能力丧失不承担保险责任。</w:t>
      </w:r>
    </w:p>
    <w:p>
      <w:pPr>
        <w:pStyle w:val="BodyText"/>
        <w:spacing w:before="3"/>
        <w:rPr>
          <w:sz w:val="22"/>
        </w:rPr>
      </w:pPr>
    </w:p>
    <w:p>
      <w:pPr>
        <w:spacing w:after="0"/>
        <w:rPr>
          <w:sz w:val="22"/>
        </w:rPr>
        <w:sectPr>
          <w:pgSz w:w="11910" w:h="16840"/>
          <w:pgMar w:top="1080" w:bottom="280" w:left="1100" w:right="860"/>
        </w:sectPr>
      </w:pPr>
    </w:p>
    <w:p>
      <w:pPr>
        <w:pStyle w:val="Heading1"/>
        <w:numPr>
          <w:ilvl w:val="0"/>
          <w:numId w:val="8"/>
        </w:numPr>
        <w:tabs>
          <w:tab w:pos="738" w:val="left" w:leader="none"/>
          <w:tab w:pos="739" w:val="left" w:leader="none"/>
        </w:tabs>
        <w:spacing w:line="232" w:lineRule="auto" w:before="31" w:after="0"/>
        <w:ind w:left="738" w:right="0" w:hanging="624"/>
        <w:jc w:val="left"/>
      </w:pPr>
      <w:r>
        <w:rPr>
          <w:spacing w:val="26"/>
          <w:position w:val="1"/>
        </w:rPr>
        <w:t>急性或亚急性重症</w:t>
      </w:r>
      <w:r>
        <w:rPr/>
        <w:t>肝炎</w:t>
      </w:r>
    </w:p>
    <w:p>
      <w:pPr>
        <w:pStyle w:val="BodyText"/>
        <w:spacing w:line="273" w:lineRule="auto" w:before="57"/>
        <w:ind w:left="114" w:right="102"/>
      </w:pPr>
      <w:r>
        <w:rPr/>
        <w:br w:type="column"/>
      </w:r>
      <w:r>
        <w:rPr/>
        <w:t>指因肝炎病毒感染引起肝脏组织弥漫性坏死，导致急性肝功能衰竭，且经血清学或病毒学检查证实，并须满足下列全部条件：</w:t>
      </w:r>
    </w:p>
    <w:p>
      <w:pPr>
        <w:pStyle w:val="BodyText"/>
        <w:spacing w:before="7"/>
        <w:ind w:left="114"/>
      </w:pPr>
      <w:r>
        <w:rPr/>
        <w:t>（1）重度黄疸或黄疸迅速加重；</w:t>
      </w:r>
    </w:p>
    <w:p>
      <w:pPr>
        <w:pStyle w:val="BodyText"/>
        <w:spacing w:before="36"/>
        <w:ind w:left="114"/>
      </w:pPr>
      <w:r>
        <w:rPr/>
        <w:t>（2）肝性脑病；</w:t>
      </w:r>
    </w:p>
    <w:p>
      <w:pPr>
        <w:pStyle w:val="BodyText"/>
        <w:spacing w:before="36"/>
        <w:ind w:left="114"/>
      </w:pPr>
      <w:r>
        <w:rPr/>
        <w:t>（3）B 超或其它影像学检查显示肝脏体积急速萎缩；</w:t>
      </w:r>
    </w:p>
    <w:p>
      <w:pPr>
        <w:pStyle w:val="BodyText"/>
        <w:spacing w:before="36"/>
        <w:ind w:left="114"/>
      </w:pPr>
      <w:r>
        <w:rPr/>
        <w:t>（4）肝功能指标进行性恶化。</w:t>
      </w:r>
    </w:p>
    <w:p>
      <w:pPr>
        <w:spacing w:after="0"/>
        <w:sectPr>
          <w:type w:val="continuous"/>
          <w:pgSz w:w="11910" w:h="16840"/>
          <w:pgMar w:top="480" w:bottom="280" w:left="1100" w:right="860"/>
          <w:cols w:num="2" w:equalWidth="0">
            <w:col w:w="2894" w:space="72"/>
            <w:col w:w="6984"/>
          </w:cols>
        </w:sectPr>
      </w:pPr>
    </w:p>
    <w:p>
      <w:pPr>
        <w:pStyle w:val="BodyText"/>
        <w:spacing w:before="7"/>
        <w:rPr>
          <w:sz w:val="24"/>
        </w:rPr>
      </w:pPr>
    </w:p>
    <w:p>
      <w:pPr>
        <w:pStyle w:val="ListParagraph"/>
        <w:numPr>
          <w:ilvl w:val="0"/>
          <w:numId w:val="8"/>
        </w:numPr>
        <w:tabs>
          <w:tab w:pos="738" w:val="left" w:leader="none"/>
          <w:tab w:pos="739" w:val="left" w:leader="none"/>
          <w:tab w:pos="3080" w:val="left" w:leader="none"/>
        </w:tabs>
        <w:spacing w:line="240" w:lineRule="auto" w:before="20" w:after="0"/>
        <w:ind w:left="738" w:right="0" w:hanging="624"/>
        <w:jc w:val="left"/>
        <w:rPr>
          <w:sz w:val="21"/>
        </w:rPr>
      </w:pPr>
      <w:r>
        <w:rPr>
          <w:rFonts w:ascii="等线" w:eastAsia="等线" w:hint="eastAsia"/>
          <w:b/>
          <w:position w:val="1"/>
          <w:sz w:val="24"/>
        </w:rPr>
        <w:t>严重溃疡性结肠炎</w:t>
        <w:tab/>
      </w:r>
      <w:r>
        <w:rPr>
          <w:sz w:val="21"/>
        </w:rPr>
        <w:t>指伴有致命性电解质紊乱的急性暴发性溃疡性结肠炎，病变累及全结肠，</w:t>
      </w:r>
    </w:p>
    <w:p>
      <w:pPr>
        <w:pStyle w:val="BodyText"/>
        <w:spacing w:line="273" w:lineRule="auto" w:before="20"/>
        <w:ind w:left="3080" w:right="102"/>
        <w:jc w:val="both"/>
      </w:pPr>
      <w:r>
        <w:rPr/>
        <w:t>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3"/>
        <w:rPr>
          <w:sz w:val="22"/>
        </w:rPr>
      </w:pPr>
    </w:p>
    <w:p>
      <w:pPr>
        <w:spacing w:after="0"/>
        <w:rPr>
          <w:sz w:val="22"/>
        </w:rPr>
        <w:sectPr>
          <w:type w:val="continuous"/>
          <w:pgSz w:w="11910" w:h="16840"/>
          <w:pgMar w:top="480" w:bottom="280" w:left="1100" w:right="860"/>
        </w:sectPr>
      </w:pPr>
    </w:p>
    <w:p>
      <w:pPr>
        <w:pStyle w:val="Heading1"/>
        <w:numPr>
          <w:ilvl w:val="0"/>
          <w:numId w:val="8"/>
        </w:numPr>
        <w:tabs>
          <w:tab w:pos="739" w:val="left" w:leader="none"/>
        </w:tabs>
        <w:spacing w:line="232" w:lineRule="auto" w:before="31" w:after="0"/>
        <w:ind w:left="738" w:right="0" w:hanging="624"/>
        <w:jc w:val="both"/>
      </w:pPr>
      <w:r>
        <w:rPr>
          <w:spacing w:val="-7"/>
          <w:position w:val="1"/>
        </w:rPr>
        <w:t>终末期肾病</w:t>
      </w:r>
      <w:r>
        <w:rPr>
          <w:position w:val="1"/>
        </w:rPr>
        <w:t>（或称慢</w:t>
      </w:r>
      <w:r>
        <w:rPr>
          <w:spacing w:val="26"/>
        </w:rPr>
        <w:t>性肾功能衰竭尿毒</w:t>
      </w:r>
      <w:r>
        <w:rPr/>
        <w:t>症期）</w:t>
      </w:r>
    </w:p>
    <w:p>
      <w:pPr>
        <w:pStyle w:val="BodyText"/>
        <w:spacing w:before="57"/>
        <w:ind w:left="114"/>
      </w:pPr>
      <w:r>
        <w:rPr/>
        <w:br w:type="column"/>
      </w:r>
      <w:r>
        <w:rPr/>
        <w:t>指双肾功能慢性不可逆性衰竭，达到尿毒症期，经诊断后已经进行了至少</w:t>
      </w:r>
    </w:p>
    <w:p>
      <w:pPr>
        <w:pStyle w:val="BodyText"/>
        <w:spacing w:before="37"/>
        <w:ind w:left="114"/>
      </w:pPr>
      <w:r>
        <w:rPr/>
        <w:t>90 日的规律性透析治疗或实施了肾脏移植手术。</w:t>
      </w:r>
    </w:p>
    <w:p>
      <w:pPr>
        <w:spacing w:after="0"/>
        <w:sectPr>
          <w:type w:val="continuous"/>
          <w:pgSz w:w="11910" w:h="16840"/>
          <w:pgMar w:top="480" w:bottom="280" w:left="1100" w:right="860"/>
          <w:cols w:num="2" w:equalWidth="0">
            <w:col w:w="2894" w:space="72"/>
            <w:col w:w="6984"/>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455"/>
        <w:gridCol w:w="7119"/>
      </w:tblGrid>
      <w:tr>
        <w:trPr>
          <w:trHeight w:val="1689" w:hRule="atLeast"/>
        </w:trPr>
        <w:tc>
          <w:tcPr>
            <w:tcW w:w="618" w:type="dxa"/>
          </w:tcPr>
          <w:p>
            <w:pPr>
              <w:pStyle w:val="TableParagraph"/>
              <w:spacing w:line="231" w:lineRule="exact"/>
              <w:ind w:left="181" w:right="185"/>
              <w:jc w:val="center"/>
              <w:rPr>
                <w:b/>
                <w:sz w:val="21"/>
              </w:rPr>
            </w:pPr>
            <w:r>
              <w:rPr>
                <w:b/>
                <w:sz w:val="21"/>
              </w:rPr>
              <w:t>25</w:t>
            </w:r>
          </w:p>
        </w:tc>
        <w:tc>
          <w:tcPr>
            <w:tcW w:w="2455" w:type="dxa"/>
          </w:tcPr>
          <w:p>
            <w:pPr>
              <w:pStyle w:val="TableParagraph"/>
              <w:spacing w:line="248" w:lineRule="exact"/>
              <w:ind w:left="205"/>
              <w:rPr>
                <w:rFonts w:ascii="等线" w:eastAsia="等线" w:hint="eastAsia"/>
                <w:b/>
                <w:sz w:val="24"/>
              </w:rPr>
            </w:pPr>
            <w:r>
              <w:rPr>
                <w:rFonts w:ascii="等线" w:eastAsia="等线" w:hint="eastAsia"/>
                <w:b/>
                <w:sz w:val="24"/>
              </w:rPr>
              <w:t>终末期肺病</w:t>
            </w:r>
          </w:p>
        </w:tc>
        <w:tc>
          <w:tcPr>
            <w:tcW w:w="7119" w:type="dxa"/>
          </w:tcPr>
          <w:p>
            <w:pPr>
              <w:pStyle w:val="TableParagraph"/>
              <w:spacing w:line="231" w:lineRule="exact"/>
              <w:ind w:left="93"/>
              <w:rPr>
                <w:sz w:val="21"/>
              </w:rPr>
            </w:pPr>
            <w:r>
              <w:rPr>
                <w:sz w:val="21"/>
              </w:rPr>
              <w:t>指经专科医生明确诊断，且被保险人已出现慢性呼吸功能衰竭，其诊断标</w:t>
            </w:r>
          </w:p>
          <w:p>
            <w:pPr>
              <w:pStyle w:val="TableParagraph"/>
              <w:spacing w:before="37"/>
              <w:ind w:left="93"/>
              <w:rPr>
                <w:sz w:val="21"/>
              </w:rPr>
            </w:pPr>
            <w:r>
              <w:rPr>
                <w:sz w:val="21"/>
              </w:rPr>
              <w:t>准必须满足下列所有条件：</w:t>
            </w:r>
          </w:p>
          <w:p>
            <w:pPr>
              <w:pStyle w:val="TableParagraph"/>
              <w:spacing w:before="37"/>
              <w:ind w:left="93"/>
              <w:rPr>
                <w:sz w:val="21"/>
              </w:rPr>
            </w:pPr>
            <w:r>
              <w:rPr>
                <w:sz w:val="21"/>
              </w:rPr>
              <w:t>（1）肺功能测试其 FEV1 持续低于 1 升；</w:t>
            </w:r>
          </w:p>
          <w:p>
            <w:pPr>
              <w:pStyle w:val="TableParagraph"/>
              <w:spacing w:before="37"/>
              <w:ind w:left="93"/>
              <w:rPr>
                <w:sz w:val="21"/>
              </w:rPr>
            </w:pPr>
            <w:r>
              <w:rPr>
                <w:sz w:val="21"/>
              </w:rPr>
              <w:t>（2）动脉血气分析氧分压低于 55mmHg；</w:t>
            </w:r>
          </w:p>
          <w:p>
            <w:pPr>
              <w:pStyle w:val="TableParagraph"/>
              <w:spacing w:before="37"/>
              <w:ind w:left="93"/>
              <w:rPr>
                <w:sz w:val="21"/>
              </w:rPr>
            </w:pPr>
            <w:r>
              <w:rPr>
                <w:sz w:val="21"/>
              </w:rPr>
              <w:t>（3）病人缺氧必须进行输氧治疗。</w:t>
            </w:r>
          </w:p>
        </w:tc>
      </w:tr>
      <w:tr>
        <w:trPr>
          <w:trHeight w:val="1248" w:hRule="atLeast"/>
        </w:trPr>
        <w:tc>
          <w:tcPr>
            <w:tcW w:w="618" w:type="dxa"/>
          </w:tcPr>
          <w:p>
            <w:pPr>
              <w:pStyle w:val="TableParagraph"/>
              <w:spacing w:before="167"/>
              <w:ind w:left="181" w:right="185"/>
              <w:jc w:val="center"/>
              <w:rPr>
                <w:b/>
                <w:sz w:val="21"/>
              </w:rPr>
            </w:pPr>
            <w:r>
              <w:rPr>
                <w:b/>
                <w:sz w:val="21"/>
              </w:rPr>
              <w:t>26</w:t>
            </w:r>
          </w:p>
        </w:tc>
        <w:tc>
          <w:tcPr>
            <w:tcW w:w="2455" w:type="dxa"/>
          </w:tcPr>
          <w:p>
            <w:pPr>
              <w:pStyle w:val="TableParagraph"/>
              <w:spacing w:before="131"/>
              <w:ind w:left="205"/>
              <w:rPr>
                <w:rFonts w:ascii="等线" w:eastAsia="等线" w:hint="eastAsia"/>
                <w:b/>
                <w:sz w:val="24"/>
              </w:rPr>
            </w:pPr>
            <w:r>
              <w:rPr>
                <w:rFonts w:ascii="等线" w:eastAsia="等线" w:hint="eastAsia"/>
                <w:b/>
                <w:sz w:val="24"/>
              </w:rPr>
              <w:t>胰腺移植</w:t>
            </w:r>
          </w:p>
        </w:tc>
        <w:tc>
          <w:tcPr>
            <w:tcW w:w="7119" w:type="dxa"/>
          </w:tcPr>
          <w:p>
            <w:pPr>
              <w:pStyle w:val="TableParagraph"/>
              <w:spacing w:line="273" w:lineRule="auto" w:before="167"/>
              <w:ind w:left="93" w:right="265"/>
              <w:rPr>
                <w:sz w:val="21"/>
              </w:rPr>
            </w:pPr>
            <w:r>
              <w:rPr>
                <w:sz w:val="21"/>
              </w:rPr>
              <w:t>指因胰腺功能衰竭，已经实施了在全身麻醉下进行的胰腺的异体器官移植手术。</w:t>
            </w:r>
          </w:p>
          <w:p>
            <w:pPr>
              <w:pStyle w:val="TableParagraph"/>
              <w:spacing w:before="7"/>
              <w:ind w:left="93"/>
              <w:rPr>
                <w:sz w:val="21"/>
              </w:rPr>
            </w:pPr>
            <w:r>
              <w:rPr>
                <w:sz w:val="21"/>
                <w:shd w:fill="DADADA" w:color="auto" w:val="clear"/>
              </w:rPr>
              <w:t>单纯胰岛移植、部分胰腺组织或细胞的移植不在保障范围内。</w:t>
            </w:r>
          </w:p>
        </w:tc>
      </w:tr>
      <w:tr>
        <w:trPr>
          <w:trHeight w:val="1531" w:hRule="atLeast"/>
        </w:trPr>
        <w:tc>
          <w:tcPr>
            <w:tcW w:w="618" w:type="dxa"/>
          </w:tcPr>
          <w:p>
            <w:pPr>
              <w:pStyle w:val="TableParagraph"/>
              <w:spacing w:before="138"/>
              <w:ind w:left="181" w:right="185"/>
              <w:jc w:val="center"/>
              <w:rPr>
                <w:b/>
                <w:sz w:val="21"/>
              </w:rPr>
            </w:pPr>
            <w:r>
              <w:rPr>
                <w:b/>
                <w:sz w:val="21"/>
              </w:rPr>
              <w:t>27</w:t>
            </w:r>
          </w:p>
        </w:tc>
        <w:tc>
          <w:tcPr>
            <w:tcW w:w="2455" w:type="dxa"/>
          </w:tcPr>
          <w:p>
            <w:pPr>
              <w:pStyle w:val="TableParagraph"/>
              <w:spacing w:line="232" w:lineRule="auto" w:before="112"/>
              <w:ind w:left="205" w:right="91"/>
              <w:rPr>
                <w:rFonts w:ascii="等线" w:eastAsia="等线" w:hint="eastAsia"/>
                <w:b/>
                <w:sz w:val="24"/>
              </w:rPr>
            </w:pPr>
            <w:r>
              <w:rPr>
                <w:rFonts w:ascii="等线" w:eastAsia="等线" w:hint="eastAsia"/>
                <w:b/>
                <w:sz w:val="24"/>
              </w:rPr>
              <w:t>急性坏死性胰腺炎开腹手术</w:t>
            </w:r>
          </w:p>
        </w:tc>
        <w:tc>
          <w:tcPr>
            <w:tcW w:w="7119" w:type="dxa"/>
          </w:tcPr>
          <w:p>
            <w:pPr>
              <w:pStyle w:val="TableParagraph"/>
              <w:spacing w:line="273" w:lineRule="auto" w:before="138"/>
              <w:ind w:left="93" w:right="265"/>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3" w:right="265"/>
              <w:rPr>
                <w:sz w:val="21"/>
              </w:rPr>
            </w:pPr>
            <w:r>
              <w:rPr>
                <w:sz w:val="21"/>
                <w:shd w:fill="DADADA" w:color="auto" w:val="clear"/>
              </w:rPr>
              <w:t>因酗酒或饮酒过量所致的急性坏死性胰腺炎以及腹腔镜手术不在保障范围内。</w:t>
            </w:r>
          </w:p>
        </w:tc>
      </w:tr>
      <w:tr>
        <w:trPr>
          <w:trHeight w:val="1531" w:hRule="atLeast"/>
        </w:trPr>
        <w:tc>
          <w:tcPr>
            <w:tcW w:w="618" w:type="dxa"/>
          </w:tcPr>
          <w:p>
            <w:pPr>
              <w:pStyle w:val="TableParagraph"/>
              <w:spacing w:before="138"/>
              <w:ind w:left="181" w:right="185"/>
              <w:jc w:val="center"/>
              <w:rPr>
                <w:b/>
                <w:sz w:val="21"/>
              </w:rPr>
            </w:pPr>
            <w:r>
              <w:rPr>
                <w:b/>
                <w:sz w:val="21"/>
              </w:rPr>
              <w:t>28</w:t>
            </w:r>
          </w:p>
        </w:tc>
        <w:tc>
          <w:tcPr>
            <w:tcW w:w="2455" w:type="dxa"/>
          </w:tcPr>
          <w:p>
            <w:pPr>
              <w:pStyle w:val="TableParagraph"/>
              <w:spacing w:before="102"/>
              <w:ind w:left="205"/>
              <w:rPr>
                <w:rFonts w:ascii="等线" w:eastAsia="等线" w:hint="eastAsia"/>
                <w:b/>
                <w:sz w:val="24"/>
              </w:rPr>
            </w:pPr>
            <w:r>
              <w:rPr>
                <w:rFonts w:ascii="等线" w:eastAsia="等线" w:hint="eastAsia"/>
                <w:b/>
                <w:sz w:val="24"/>
              </w:rPr>
              <w:t>严重肾髓质囊性病</w:t>
            </w:r>
          </w:p>
        </w:tc>
        <w:tc>
          <w:tcPr>
            <w:tcW w:w="7119" w:type="dxa"/>
          </w:tcPr>
          <w:p>
            <w:pPr>
              <w:pStyle w:val="TableParagraph"/>
              <w:spacing w:before="138"/>
              <w:ind w:left="93"/>
              <w:rPr>
                <w:sz w:val="21"/>
              </w:rPr>
            </w:pPr>
            <w:r>
              <w:rPr>
                <w:sz w:val="21"/>
              </w:rPr>
              <w:t>指经专科医生明确诊断为肾髓质囊性病，且须同时满足下列条件：</w:t>
            </w:r>
          </w:p>
          <w:p>
            <w:pPr>
              <w:pStyle w:val="TableParagraph"/>
              <w:spacing w:before="37"/>
              <w:ind w:left="93"/>
              <w:rPr>
                <w:sz w:val="21"/>
              </w:rPr>
            </w:pPr>
            <w:r>
              <w:rPr>
                <w:sz w:val="21"/>
              </w:rPr>
              <w:t>（1）肾髓质有囊肿、肾小管萎缩及间质纤维化等病理改变；</w:t>
            </w:r>
          </w:p>
          <w:p>
            <w:pPr>
              <w:pStyle w:val="TableParagraph"/>
              <w:spacing w:before="37"/>
              <w:ind w:left="93"/>
              <w:rPr>
                <w:sz w:val="21"/>
              </w:rPr>
            </w:pPr>
            <w:r>
              <w:rPr>
                <w:sz w:val="21"/>
              </w:rPr>
              <w:t>（2）贫血、多尿及肾功能衰竭等临床表现；</w:t>
            </w:r>
          </w:p>
          <w:p>
            <w:pPr>
              <w:pStyle w:val="TableParagraph"/>
              <w:spacing w:before="37"/>
              <w:ind w:left="93"/>
              <w:rPr>
                <w:sz w:val="21"/>
              </w:rPr>
            </w:pPr>
            <w:r>
              <w:rPr>
                <w:sz w:val="21"/>
              </w:rPr>
              <w:t>（3）诊断须由肾组织活检确定。</w:t>
            </w:r>
          </w:p>
        </w:tc>
      </w:tr>
      <w:tr>
        <w:trPr>
          <w:trHeight w:val="2807" w:hRule="atLeast"/>
        </w:trPr>
        <w:tc>
          <w:tcPr>
            <w:tcW w:w="618" w:type="dxa"/>
          </w:tcPr>
          <w:p>
            <w:pPr>
              <w:pStyle w:val="TableParagraph"/>
              <w:spacing w:before="138"/>
              <w:ind w:left="181" w:right="185"/>
              <w:jc w:val="center"/>
              <w:rPr>
                <w:b/>
                <w:sz w:val="21"/>
              </w:rPr>
            </w:pPr>
            <w:r>
              <w:rPr>
                <w:b/>
                <w:sz w:val="21"/>
              </w:rPr>
              <w:t>29</w:t>
            </w:r>
          </w:p>
        </w:tc>
        <w:tc>
          <w:tcPr>
            <w:tcW w:w="2455" w:type="dxa"/>
          </w:tcPr>
          <w:p>
            <w:pPr>
              <w:pStyle w:val="TableParagraph"/>
              <w:spacing w:line="324" w:lineRule="exact" w:before="102"/>
              <w:ind w:left="205"/>
              <w:rPr>
                <w:rFonts w:ascii="等线" w:eastAsia="等线" w:hint="eastAsia"/>
                <w:b/>
                <w:sz w:val="24"/>
              </w:rPr>
            </w:pPr>
            <w:r>
              <w:rPr>
                <w:rFonts w:ascii="等线" w:eastAsia="等线" w:hint="eastAsia"/>
                <w:b/>
                <w:sz w:val="24"/>
              </w:rPr>
              <w:t>严重肝豆状核变性</w:t>
            </w:r>
          </w:p>
          <w:p>
            <w:pPr>
              <w:pStyle w:val="TableParagraph"/>
              <w:spacing w:line="324" w:lineRule="exact"/>
              <w:ind w:left="205"/>
              <w:rPr>
                <w:rFonts w:ascii="等线" w:eastAsia="等线" w:hint="eastAsia"/>
                <w:b/>
                <w:sz w:val="24"/>
              </w:rPr>
            </w:pPr>
            <w:r>
              <w:rPr>
                <w:rFonts w:ascii="等线" w:eastAsia="等线" w:hint="eastAsia"/>
                <w:b/>
                <w:sz w:val="24"/>
              </w:rPr>
              <w:t>（Wilson 病）</w:t>
            </w:r>
          </w:p>
        </w:tc>
        <w:tc>
          <w:tcPr>
            <w:tcW w:w="7119" w:type="dxa"/>
          </w:tcPr>
          <w:p>
            <w:pPr>
              <w:pStyle w:val="TableParagraph"/>
              <w:spacing w:line="273" w:lineRule="auto" w:before="138"/>
              <w:ind w:left="93" w:right="265"/>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16" w:right="197" w:hanging="524"/>
              <w:rPr>
                <w:sz w:val="21"/>
              </w:rPr>
            </w:pPr>
            <w:r>
              <w:rPr>
                <w:sz w:val="21"/>
              </w:rPr>
              <w:t>（1）临床表现包括：进行性加剧的肢体震颤，肌强直，吞咽及发音困难， 精神异常；</w:t>
            </w:r>
          </w:p>
          <w:p>
            <w:pPr>
              <w:pStyle w:val="TableParagraph"/>
              <w:spacing w:before="7"/>
              <w:ind w:left="93"/>
              <w:rPr>
                <w:sz w:val="21"/>
              </w:rPr>
            </w:pPr>
            <w:r>
              <w:rPr>
                <w:sz w:val="21"/>
              </w:rPr>
              <w:t>（2）</w:t>
            </w:r>
            <w:r>
              <w:rPr>
                <w:spacing w:val="-2"/>
                <w:sz w:val="21"/>
              </w:rPr>
              <w:t>角膜色素环</w:t>
            </w:r>
            <w:r>
              <w:rPr>
                <w:sz w:val="21"/>
              </w:rPr>
              <w:t>（K-F</w:t>
            </w:r>
            <w:r>
              <w:rPr>
                <w:spacing w:val="-22"/>
                <w:sz w:val="21"/>
              </w:rPr>
              <w:t> 环</w:t>
            </w:r>
            <w:r>
              <w:rPr>
                <w:spacing w:val="-106"/>
                <w:sz w:val="21"/>
              </w:rPr>
              <w:t>）；</w:t>
            </w:r>
          </w:p>
          <w:p>
            <w:pPr>
              <w:pStyle w:val="TableParagraph"/>
              <w:spacing w:before="36"/>
              <w:ind w:left="93"/>
              <w:rPr>
                <w:sz w:val="21"/>
              </w:rPr>
            </w:pPr>
            <w:r>
              <w:rPr>
                <w:sz w:val="21"/>
              </w:rPr>
              <w:t>（3）血清铜和血清铜蓝蛋白降低，尿铜增加；</w:t>
            </w:r>
          </w:p>
          <w:p>
            <w:pPr>
              <w:pStyle w:val="TableParagraph"/>
              <w:spacing w:before="36"/>
              <w:ind w:left="93"/>
              <w:rPr>
                <w:sz w:val="21"/>
              </w:rPr>
            </w:pPr>
            <w:r>
              <w:rPr>
                <w:sz w:val="21"/>
              </w:rPr>
              <w:t>（4）食管静脉曲张；</w:t>
            </w:r>
          </w:p>
          <w:p>
            <w:pPr>
              <w:pStyle w:val="TableParagraph"/>
              <w:spacing w:before="36"/>
              <w:ind w:left="93"/>
              <w:rPr>
                <w:sz w:val="21"/>
              </w:rPr>
            </w:pPr>
            <w:r>
              <w:rPr>
                <w:sz w:val="21"/>
              </w:rPr>
              <w:t>（5）腹水。</w:t>
            </w:r>
          </w:p>
        </w:tc>
      </w:tr>
      <w:tr>
        <w:trPr>
          <w:trHeight w:val="2836" w:hRule="atLeast"/>
        </w:trPr>
        <w:tc>
          <w:tcPr>
            <w:tcW w:w="618" w:type="dxa"/>
          </w:tcPr>
          <w:p>
            <w:pPr>
              <w:pStyle w:val="TableParagraph"/>
              <w:spacing w:before="167"/>
              <w:ind w:left="181" w:right="185"/>
              <w:jc w:val="center"/>
              <w:rPr>
                <w:b/>
                <w:sz w:val="21"/>
              </w:rPr>
            </w:pPr>
            <w:r>
              <w:rPr>
                <w:b/>
                <w:sz w:val="21"/>
              </w:rPr>
              <w:t>30</w:t>
            </w:r>
          </w:p>
        </w:tc>
        <w:tc>
          <w:tcPr>
            <w:tcW w:w="2455" w:type="dxa"/>
          </w:tcPr>
          <w:p>
            <w:pPr>
              <w:pStyle w:val="TableParagraph"/>
              <w:spacing w:line="232" w:lineRule="auto" w:before="141"/>
              <w:ind w:left="205" w:right="91"/>
              <w:rPr>
                <w:rFonts w:ascii="等线" w:eastAsia="等线" w:hint="eastAsia"/>
                <w:b/>
                <w:sz w:val="24"/>
              </w:rPr>
            </w:pPr>
            <w:r>
              <w:rPr>
                <w:rFonts w:ascii="等线" w:eastAsia="等线" w:hint="eastAsia"/>
                <w:b/>
                <w:sz w:val="24"/>
              </w:rPr>
              <w:t>严重自身免疫性肝炎</w:t>
            </w:r>
          </w:p>
        </w:tc>
        <w:tc>
          <w:tcPr>
            <w:tcW w:w="7119" w:type="dxa"/>
          </w:tcPr>
          <w:p>
            <w:pPr>
              <w:pStyle w:val="TableParagraph"/>
              <w:spacing w:line="273" w:lineRule="auto" w:before="167"/>
              <w:ind w:left="93" w:right="265"/>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93"/>
              <w:rPr>
                <w:sz w:val="21"/>
              </w:rPr>
            </w:pPr>
            <w:r>
              <w:rPr>
                <w:sz w:val="21"/>
              </w:rPr>
              <w:t>（1）高γ球蛋白血症；</w:t>
            </w:r>
          </w:p>
          <w:p>
            <w:pPr>
              <w:pStyle w:val="TableParagraph"/>
              <w:spacing w:line="273" w:lineRule="auto" w:before="36"/>
              <w:ind w:left="616" w:right="270" w:hanging="524"/>
              <w:rPr>
                <w:sz w:val="21"/>
              </w:rPr>
            </w:pPr>
            <w:r>
              <w:rPr>
                <w:sz w:val="21"/>
              </w:rPr>
              <w:t>（2）</w:t>
            </w:r>
            <w:r>
              <w:rPr>
                <w:spacing w:val="-7"/>
                <w:sz w:val="21"/>
              </w:rPr>
              <w:t>血液中存在高水平的自身免疫抗体，如 </w:t>
            </w:r>
            <w:r>
              <w:rPr>
                <w:spacing w:val="-3"/>
                <w:sz w:val="21"/>
              </w:rPr>
              <w:t>ANA（</w:t>
            </w:r>
            <w:r>
              <w:rPr>
                <w:spacing w:val="-2"/>
                <w:sz w:val="21"/>
              </w:rPr>
              <w:t>抗核抗体</w:t>
            </w:r>
            <w:r>
              <w:rPr>
                <w:spacing w:val="-106"/>
                <w:sz w:val="21"/>
              </w:rPr>
              <w:t>）</w:t>
            </w:r>
            <w:r>
              <w:rPr>
                <w:spacing w:val="-5"/>
                <w:sz w:val="21"/>
              </w:rPr>
              <w:t>、</w:t>
            </w:r>
            <w:r>
              <w:rPr>
                <w:sz w:val="21"/>
              </w:rPr>
              <w:t>SMA（</w:t>
            </w:r>
            <w:r>
              <w:rPr>
                <w:spacing w:val="-5"/>
                <w:sz w:val="21"/>
              </w:rPr>
              <w:t>抗平</w:t>
            </w:r>
            <w:r>
              <w:rPr>
                <w:sz w:val="21"/>
              </w:rPr>
              <w:t>滑肌抗体</w:t>
            </w:r>
            <w:r>
              <w:rPr>
                <w:spacing w:val="-106"/>
                <w:sz w:val="21"/>
              </w:rPr>
              <w:t>）</w:t>
            </w:r>
            <w:r>
              <w:rPr>
                <w:spacing w:val="-18"/>
                <w:sz w:val="21"/>
              </w:rPr>
              <w:t>、抗 </w:t>
            </w:r>
            <w:r>
              <w:rPr>
                <w:sz w:val="21"/>
              </w:rPr>
              <w:t>LKM1</w:t>
            </w:r>
            <w:r>
              <w:rPr>
                <w:spacing w:val="-10"/>
                <w:sz w:val="21"/>
              </w:rPr>
              <w:t> 抗体或抗-</w:t>
            </w:r>
            <w:r>
              <w:rPr>
                <w:sz w:val="21"/>
              </w:rPr>
              <w:t>SLA/LP</w:t>
            </w:r>
            <w:r>
              <w:rPr>
                <w:spacing w:val="-14"/>
                <w:sz w:val="21"/>
              </w:rPr>
              <w:t> 抗体；</w:t>
            </w:r>
          </w:p>
          <w:p>
            <w:pPr>
              <w:pStyle w:val="TableParagraph"/>
              <w:spacing w:before="7"/>
              <w:ind w:left="92"/>
              <w:jc w:val="both"/>
              <w:rPr>
                <w:sz w:val="21"/>
              </w:rPr>
            </w:pPr>
            <w:r>
              <w:rPr>
                <w:sz w:val="21"/>
              </w:rPr>
              <w:t>（3）肝脏活检证实免疫性肝炎；</w:t>
            </w:r>
          </w:p>
          <w:p>
            <w:pPr>
              <w:pStyle w:val="TableParagraph"/>
              <w:spacing w:before="37"/>
              <w:ind w:left="92"/>
              <w:jc w:val="both"/>
              <w:rPr>
                <w:sz w:val="21"/>
              </w:rPr>
            </w:pPr>
            <w:r>
              <w:rPr>
                <w:sz w:val="21"/>
              </w:rPr>
              <w:t>（4）临床已经出现腹水、食道静脉曲张和脾肿大等肝硬化表现。</w:t>
            </w:r>
          </w:p>
        </w:tc>
      </w:tr>
      <w:tr>
        <w:trPr>
          <w:trHeight w:val="2314" w:hRule="atLeast"/>
        </w:trPr>
        <w:tc>
          <w:tcPr>
            <w:tcW w:w="618" w:type="dxa"/>
          </w:tcPr>
          <w:p>
            <w:pPr>
              <w:pStyle w:val="TableParagraph"/>
              <w:spacing w:before="167"/>
              <w:ind w:left="181" w:right="185"/>
              <w:jc w:val="center"/>
              <w:rPr>
                <w:b/>
                <w:sz w:val="21"/>
              </w:rPr>
            </w:pPr>
            <w:r>
              <w:rPr>
                <w:b/>
                <w:sz w:val="21"/>
              </w:rPr>
              <w:t>31</w:t>
            </w:r>
          </w:p>
        </w:tc>
        <w:tc>
          <w:tcPr>
            <w:tcW w:w="2455" w:type="dxa"/>
          </w:tcPr>
          <w:p>
            <w:pPr>
              <w:pStyle w:val="TableParagraph"/>
              <w:spacing w:line="232" w:lineRule="auto" w:before="141"/>
              <w:ind w:left="205" w:right="91"/>
              <w:rPr>
                <w:rFonts w:ascii="等线" w:eastAsia="等线" w:hint="eastAsia"/>
                <w:b/>
                <w:sz w:val="24"/>
              </w:rPr>
            </w:pPr>
            <w:r>
              <w:rPr>
                <w:rFonts w:ascii="等线" w:eastAsia="等线" w:hint="eastAsia"/>
                <w:b/>
                <w:sz w:val="24"/>
              </w:rPr>
              <w:t>严重弥漫性系统性硬皮病</w:t>
            </w:r>
          </w:p>
        </w:tc>
        <w:tc>
          <w:tcPr>
            <w:tcW w:w="7119" w:type="dxa"/>
          </w:tcPr>
          <w:p>
            <w:pPr>
              <w:pStyle w:val="TableParagraph"/>
              <w:spacing w:line="273" w:lineRule="auto" w:before="167"/>
              <w:ind w:left="93" w:right="264"/>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TableParagraph"/>
              <w:spacing w:before="7"/>
              <w:ind w:left="93"/>
              <w:rPr>
                <w:sz w:val="21"/>
              </w:rPr>
            </w:pPr>
            <w:r>
              <w:rPr>
                <w:sz w:val="21"/>
              </w:rPr>
              <w:t>（1）肺纤维化，已经出现肺动脉高压、肺心病；</w:t>
            </w:r>
          </w:p>
          <w:p>
            <w:pPr>
              <w:pStyle w:val="TableParagraph"/>
              <w:spacing w:line="273" w:lineRule="auto" w:before="37"/>
              <w:ind w:left="616" w:right="260" w:hanging="524"/>
              <w:rPr>
                <w:sz w:val="21"/>
              </w:rPr>
            </w:pPr>
            <w:r>
              <w:rPr>
                <w:spacing w:val="-12"/>
                <w:sz w:val="21"/>
              </w:rPr>
              <w:t>（2）</w:t>
            </w:r>
            <w:r>
              <w:rPr>
                <w:spacing w:val="-7"/>
                <w:sz w:val="21"/>
              </w:rPr>
              <w:t>心脏功能损害，心脏功能衰竭程度达到纽约心脏病学会的心功能分级</w:t>
            </w:r>
            <w:r>
              <w:rPr>
                <w:spacing w:val="-12"/>
                <w:sz w:val="21"/>
              </w:rPr>
              <w:t>标准之心功能 </w:t>
            </w:r>
            <w:r>
              <w:rPr>
                <w:sz w:val="21"/>
              </w:rPr>
              <w:t>IV</w:t>
            </w:r>
            <w:r>
              <w:rPr>
                <w:spacing w:val="-16"/>
                <w:sz w:val="21"/>
              </w:rPr>
              <w:t> 级；</w:t>
            </w:r>
          </w:p>
          <w:p>
            <w:pPr>
              <w:pStyle w:val="TableParagraph"/>
              <w:spacing w:line="255" w:lineRule="exact" w:before="8"/>
              <w:ind w:left="93"/>
              <w:jc w:val="both"/>
              <w:rPr>
                <w:sz w:val="21"/>
              </w:rPr>
            </w:pPr>
            <w:r>
              <w:rPr>
                <w:sz w:val="21"/>
              </w:rPr>
              <w:t>（3）肾脏功能损害，已经出现肾功能衰竭。</w:t>
            </w:r>
          </w:p>
        </w:tc>
      </w:tr>
    </w:tbl>
    <w:p>
      <w:pPr>
        <w:spacing w:after="0" w:line="255" w:lineRule="exact"/>
        <w:jc w:val="both"/>
        <w:rPr>
          <w:sz w:val="21"/>
        </w:rPr>
        <w:sectPr>
          <w:pgSz w:w="11910" w:h="16840"/>
          <w:pgMar w:top="1480" w:bottom="280" w:left="900" w:right="580"/>
        </w:sectPr>
      </w:pPr>
    </w:p>
    <w:p>
      <w:pPr>
        <w:pStyle w:val="BodyText"/>
        <w:spacing w:before="19"/>
        <w:ind w:left="3120"/>
        <w:jc w:val="both"/>
      </w:pPr>
      <w:r>
        <w:rPr>
          <w:shd w:fill="DADADA" w:color="auto" w:val="clear"/>
        </w:rPr>
        <w:t>下列疾病不在保障范围内：</w:t>
      </w:r>
    </w:p>
    <w:p>
      <w:pPr>
        <w:pStyle w:val="BodyText"/>
        <w:spacing w:before="36"/>
        <w:ind w:left="3120"/>
        <w:jc w:val="both"/>
      </w:pPr>
      <w:r>
        <w:rPr>
          <w:shd w:fill="DADADA" w:color="auto" w:val="clear"/>
        </w:rPr>
        <w:t>（1）局限硬皮病；</w:t>
      </w:r>
    </w:p>
    <w:p>
      <w:pPr>
        <w:pStyle w:val="BodyText"/>
        <w:spacing w:before="36"/>
        <w:ind w:left="3120"/>
        <w:jc w:val="both"/>
      </w:pPr>
      <w:r>
        <w:rPr>
          <w:shd w:fill="DADADA" w:color="auto" w:val="clear"/>
        </w:rPr>
        <w:t>（2）嗜酸细胞筋膜炎；</w:t>
      </w:r>
    </w:p>
    <w:p>
      <w:pPr>
        <w:pStyle w:val="BodyText"/>
        <w:spacing w:before="36"/>
        <w:ind w:left="3120"/>
        <w:jc w:val="both"/>
      </w:pPr>
      <w:r>
        <w:rPr>
          <w:shd w:fill="DADADA" w:color="auto" w:val="clear"/>
        </w:rPr>
        <w:t>（3）CREST 综合征。</w:t>
      </w:r>
    </w:p>
    <w:p>
      <w:pPr>
        <w:pStyle w:val="BodyText"/>
        <w:spacing w:before="8"/>
      </w:pPr>
    </w:p>
    <w:p>
      <w:pPr>
        <w:pStyle w:val="ListParagraph"/>
        <w:numPr>
          <w:ilvl w:val="0"/>
          <w:numId w:val="9"/>
        </w:numPr>
        <w:tabs>
          <w:tab w:pos="778" w:val="left" w:leader="none"/>
          <w:tab w:pos="779" w:val="left" w:leader="none"/>
          <w:tab w:pos="3120" w:val="left" w:leader="none"/>
        </w:tabs>
        <w:spacing w:line="240" w:lineRule="auto" w:before="0" w:after="0"/>
        <w:ind w:left="778" w:right="0" w:hanging="624"/>
        <w:jc w:val="left"/>
        <w:rPr>
          <w:sz w:val="21"/>
        </w:rPr>
      </w:pPr>
      <w:r>
        <w:rPr>
          <w:rFonts w:ascii="等线" w:eastAsia="等线" w:hint="eastAsia"/>
          <w:b/>
          <w:position w:val="1"/>
          <w:sz w:val="24"/>
        </w:rPr>
        <w:t>肺淋巴管ft瘤病</w:t>
        <w:tab/>
      </w:r>
      <w:r>
        <w:rPr>
          <w:sz w:val="21"/>
        </w:rPr>
        <w:t>是一种弥漫性肺部疾病，主要病理改变为肺间质、支气管、血管和淋巴管</w:t>
      </w:r>
    </w:p>
    <w:p>
      <w:pPr>
        <w:pStyle w:val="BodyText"/>
        <w:spacing w:before="20"/>
        <w:ind w:left="3120"/>
        <w:jc w:val="both"/>
      </w:pPr>
      <w:r>
        <w:rPr/>
        <w:t>内出现未成熟的平滑肌异常增生，并须同时满足下列全部条件：</w:t>
      </w:r>
    </w:p>
    <w:p>
      <w:pPr>
        <w:pStyle w:val="BodyText"/>
        <w:spacing w:before="36"/>
        <w:ind w:left="3120"/>
        <w:jc w:val="both"/>
      </w:pPr>
      <w:r>
        <w:rPr/>
        <w:t>（1）经组织病理学诊断；</w:t>
      </w:r>
    </w:p>
    <w:p>
      <w:pPr>
        <w:pStyle w:val="BodyText"/>
        <w:spacing w:before="36"/>
        <w:ind w:left="3120"/>
        <w:jc w:val="both"/>
      </w:pPr>
      <w:r>
        <w:rPr/>
        <w:t>（2）CT 显示双肺弥漫性囊性改变；</w:t>
      </w:r>
    </w:p>
    <w:p>
      <w:pPr>
        <w:pStyle w:val="BodyText"/>
        <w:spacing w:before="36"/>
        <w:ind w:left="3120"/>
        <w:jc w:val="both"/>
      </w:pPr>
      <w:r>
        <w:rPr/>
        <w:t>（3）血气提示低氧血症。</w:t>
      </w:r>
    </w:p>
    <w:p>
      <w:pPr>
        <w:pStyle w:val="BodyText"/>
        <w:rPr>
          <w:sz w:val="22"/>
        </w:rPr>
      </w:pPr>
    </w:p>
    <w:p>
      <w:pPr>
        <w:pStyle w:val="ListParagraph"/>
        <w:numPr>
          <w:ilvl w:val="0"/>
          <w:numId w:val="9"/>
        </w:numPr>
        <w:tabs>
          <w:tab w:pos="778" w:val="left" w:leader="none"/>
          <w:tab w:pos="779" w:val="left" w:leader="none"/>
          <w:tab w:pos="3120" w:val="left" w:leader="none"/>
        </w:tabs>
        <w:spacing w:line="240" w:lineRule="auto" w:before="0" w:after="0"/>
        <w:ind w:left="778" w:right="0" w:hanging="624"/>
        <w:jc w:val="left"/>
        <w:rPr>
          <w:sz w:val="21"/>
        </w:rPr>
      </w:pPr>
      <w:r>
        <w:rPr>
          <w:rFonts w:ascii="等线" w:eastAsia="等线" w:hint="eastAsia"/>
          <w:b/>
          <w:position w:val="1"/>
          <w:sz w:val="24"/>
        </w:rPr>
        <w:t>肺泡蛋白质沉积症</w:t>
        <w:tab/>
      </w:r>
      <w:r>
        <w:rPr>
          <w:sz w:val="21"/>
        </w:rPr>
        <w:t>指肺泡和</w:t>
      </w:r>
      <w:r>
        <w:rPr>
          <w:spacing w:val="-5"/>
          <w:sz w:val="21"/>
        </w:rPr>
        <w:t>细</w:t>
      </w:r>
      <w:r>
        <w:rPr>
          <w:sz w:val="21"/>
        </w:rPr>
        <w:t>支气管</w:t>
      </w:r>
      <w:r>
        <w:rPr>
          <w:spacing w:val="-5"/>
          <w:sz w:val="21"/>
        </w:rPr>
        <w:t>腔</w:t>
      </w:r>
      <w:r>
        <w:rPr>
          <w:sz w:val="21"/>
        </w:rPr>
        <w:t>内充满</w:t>
      </w:r>
      <w:r>
        <w:rPr>
          <w:spacing w:val="-5"/>
          <w:sz w:val="21"/>
        </w:rPr>
        <w:t>不</w:t>
      </w:r>
      <w:r>
        <w:rPr>
          <w:sz w:val="21"/>
        </w:rPr>
        <w:t>可溶性</w:t>
      </w:r>
      <w:r>
        <w:rPr>
          <w:spacing w:val="-5"/>
          <w:sz w:val="21"/>
        </w:rPr>
        <w:t>富</w:t>
      </w:r>
      <w:r>
        <w:rPr>
          <w:sz w:val="21"/>
        </w:rPr>
        <w:t>磷脂蛋</w:t>
      </w:r>
      <w:r>
        <w:rPr>
          <w:spacing w:val="-5"/>
          <w:sz w:val="21"/>
        </w:rPr>
        <w:t>白</w:t>
      </w:r>
      <w:r>
        <w:rPr>
          <w:sz w:val="21"/>
        </w:rPr>
        <w:t>的</w:t>
      </w:r>
      <w:r>
        <w:rPr>
          <w:spacing w:val="-5"/>
          <w:sz w:val="21"/>
        </w:rPr>
        <w:t>疾</w:t>
      </w:r>
      <w:r>
        <w:rPr>
          <w:sz w:val="21"/>
        </w:rPr>
        <w:t>病，胸部</w:t>
      </w:r>
      <w:r>
        <w:rPr>
          <w:spacing w:val="-20"/>
          <w:sz w:val="21"/>
        </w:rPr>
        <w:t> </w:t>
      </w:r>
      <w:r>
        <w:rPr>
          <w:sz w:val="21"/>
        </w:rPr>
        <w:t>X</w:t>
      </w:r>
      <w:r>
        <w:rPr>
          <w:spacing w:val="-14"/>
          <w:sz w:val="21"/>
        </w:rPr>
        <w:t> </w:t>
      </w:r>
      <w:r>
        <w:rPr>
          <w:sz w:val="21"/>
        </w:rPr>
        <w:t>线呈</w:t>
      </w:r>
      <w:r>
        <w:rPr>
          <w:spacing w:val="-5"/>
          <w:sz w:val="21"/>
        </w:rPr>
        <w:t>双</w:t>
      </w:r>
      <w:r>
        <w:rPr>
          <w:sz w:val="21"/>
        </w:rPr>
        <w:t>肺</w:t>
      </w:r>
    </w:p>
    <w:p>
      <w:pPr>
        <w:pStyle w:val="BodyText"/>
        <w:spacing w:line="273" w:lineRule="auto" w:before="20"/>
        <w:ind w:left="3120" w:right="195"/>
      </w:pPr>
      <w:r>
        <w:rPr/>
        <w:t>弥漫性肺部磨玻璃影，病理学检查肺泡内充满有过碘酸雪夫（PAS）染色阳性的蛋白样物质，并且接受了肺灌洗治疗。</w:t>
      </w:r>
    </w:p>
    <w:p>
      <w:pPr>
        <w:pStyle w:val="BodyText"/>
        <w:spacing w:before="5"/>
        <w:rPr>
          <w:sz w:val="19"/>
        </w:rPr>
      </w:pPr>
    </w:p>
    <w:p>
      <w:pPr>
        <w:pStyle w:val="ListParagraph"/>
        <w:numPr>
          <w:ilvl w:val="0"/>
          <w:numId w:val="9"/>
        </w:numPr>
        <w:tabs>
          <w:tab w:pos="778" w:val="left" w:leader="none"/>
          <w:tab w:pos="779" w:val="left" w:leader="none"/>
          <w:tab w:pos="3120" w:val="left" w:leader="none"/>
        </w:tabs>
        <w:spacing w:line="240" w:lineRule="auto" w:before="0" w:after="0"/>
        <w:ind w:left="778" w:right="0" w:hanging="624"/>
        <w:jc w:val="left"/>
        <w:rPr>
          <w:sz w:val="21"/>
        </w:rPr>
      </w:pPr>
      <w:r>
        <w:rPr>
          <w:rFonts w:ascii="等线" w:eastAsia="等线" w:hint="eastAsia"/>
          <w:b/>
          <w:position w:val="1"/>
          <w:sz w:val="24"/>
        </w:rPr>
        <w:t>慢性复发性胰腺炎</w:t>
        <w:tab/>
      </w:r>
      <w:r>
        <w:rPr>
          <w:sz w:val="21"/>
        </w:rPr>
        <w:t>有腹痛等典型症状的胰腺炎反复发作，导致胰腺进行性破坏、胰腺功能紊</w:t>
      </w:r>
    </w:p>
    <w:p>
      <w:pPr>
        <w:pStyle w:val="BodyText"/>
        <w:spacing w:line="273" w:lineRule="auto" w:before="20"/>
        <w:ind w:left="3120" w:right="258"/>
        <w:jc w:val="both"/>
      </w:pPr>
      <w:r>
        <w:rPr>
          <w:spacing w:val="-4"/>
        </w:rPr>
        <w:t>乱致糖尿病、营养不良。</w:t>
      </w:r>
      <w:r>
        <w:rPr/>
        <w:t>CT</w:t>
      </w:r>
      <w:r>
        <w:rPr>
          <w:spacing w:val="-6"/>
        </w:rPr>
        <w:t> 检查证实胰腺存在广泛钙化，且必须接受酶替</w:t>
      </w:r>
      <w:r>
        <w:rPr>
          <w:spacing w:val="-7"/>
        </w:rPr>
        <w:t>代以及胰岛素替代治疗 </w:t>
      </w:r>
      <w:r>
        <w:rPr/>
        <w:t>6</w:t>
      </w:r>
      <w:r>
        <w:rPr>
          <w:spacing w:val="-5"/>
        </w:rPr>
        <w:t> 个月以上、手术或介入治疗。此病症须经专科医生明确诊断。</w:t>
      </w:r>
    </w:p>
    <w:p>
      <w:pPr>
        <w:pStyle w:val="BodyText"/>
        <w:spacing w:before="7"/>
        <w:ind w:left="3120"/>
        <w:jc w:val="both"/>
      </w:pPr>
      <w:r>
        <w:rPr>
          <w:shd w:fill="DADADA" w:color="auto" w:val="clear"/>
        </w:rPr>
        <w:t>因酗酒或饮酒过量所致的慢性复发性胰腺炎不在保障范围内。</w:t>
      </w:r>
    </w:p>
    <w:p>
      <w:pPr>
        <w:pStyle w:val="BodyText"/>
        <w:spacing w:before="1"/>
        <w:rPr>
          <w:sz w:val="20"/>
        </w:rPr>
      </w:pPr>
    </w:p>
    <w:p>
      <w:pPr>
        <w:spacing w:after="0"/>
        <w:rPr>
          <w:sz w:val="20"/>
        </w:rPr>
        <w:sectPr>
          <w:pgSz w:w="11910" w:h="16840"/>
          <w:pgMar w:top="1080" w:bottom="280" w:left="1060" w:right="700"/>
        </w:sectPr>
      </w:pPr>
    </w:p>
    <w:p>
      <w:pPr>
        <w:pStyle w:val="Heading1"/>
        <w:numPr>
          <w:ilvl w:val="0"/>
          <w:numId w:val="9"/>
        </w:numPr>
        <w:tabs>
          <w:tab w:pos="778" w:val="left" w:leader="none"/>
          <w:tab w:pos="779" w:val="left" w:leader="none"/>
        </w:tabs>
        <w:spacing w:line="232" w:lineRule="auto" w:before="31" w:after="0"/>
        <w:ind w:left="778" w:right="0" w:hanging="624"/>
        <w:jc w:val="left"/>
      </w:pPr>
      <w:r>
        <w:rPr>
          <w:spacing w:val="26"/>
          <w:position w:val="1"/>
        </w:rPr>
        <w:t>特发性慢性肾上腺</w:t>
      </w:r>
      <w:r>
        <w:rPr/>
        <w:t>皮质功能减退</w:t>
      </w:r>
    </w:p>
    <w:p>
      <w:pPr>
        <w:pStyle w:val="BodyText"/>
        <w:spacing w:line="273" w:lineRule="auto" w:before="57"/>
        <w:ind w:left="147" w:right="262"/>
      </w:pPr>
      <w:r>
        <w:rPr/>
        <w:br w:type="column"/>
      </w:r>
      <w:r>
        <w:rPr/>
        <w:t>指原发性自身免疫性肾上腺炎，导致肾上腺萎缩和慢性肾上腺皮质功能减退。必须满足所有以下条件：</w:t>
      </w:r>
    </w:p>
    <w:p>
      <w:pPr>
        <w:pStyle w:val="BodyText"/>
        <w:spacing w:before="7"/>
        <w:ind w:left="147"/>
      </w:pPr>
      <w:r>
        <w:rPr/>
        <w:t>（1）明确诊断，符合所有以下诊断标准：</w:t>
      </w:r>
    </w:p>
    <w:p>
      <w:pPr>
        <w:pStyle w:val="BodyText"/>
        <w:spacing w:before="36"/>
        <w:ind w:left="358"/>
      </w:pPr>
      <w:r>
        <w:rPr/>
        <w:t>① 血浆促肾上腺皮质激素（ACTH）水平测定大于 100pg/ml；</w:t>
      </w:r>
    </w:p>
    <w:p>
      <w:pPr>
        <w:pStyle w:val="BodyText"/>
        <w:spacing w:line="273" w:lineRule="auto" w:before="36"/>
        <w:ind w:left="661" w:right="248" w:hanging="303"/>
        <w:jc w:val="both"/>
      </w:pPr>
      <w:r>
        <w:rPr>
          <w:spacing w:val="-6"/>
        </w:rPr>
        <w:t>② 血浆和尿游离皮质醇及尿 </w:t>
      </w:r>
      <w:r>
        <w:rPr/>
        <w:t>17</w:t>
      </w:r>
      <w:r>
        <w:rPr>
          <w:spacing w:val="-9"/>
        </w:rPr>
        <w:t> 羟皮质类固醇、</w:t>
      </w:r>
      <w:r>
        <w:rPr/>
        <w:t>17</w:t>
      </w:r>
      <w:r>
        <w:rPr>
          <w:spacing w:val="-9"/>
        </w:rPr>
        <w:t> 酮皮质类固醇测定、</w:t>
      </w:r>
      <w:r>
        <w:rPr>
          <w:spacing w:val="-10"/>
        </w:rPr>
        <w:t>血浆肾素活性、血管紧张素Ⅱ和醛固酮测定，显示为原发性肾上腺皮</w:t>
      </w:r>
      <w:r>
        <w:rPr>
          <w:spacing w:val="-7"/>
        </w:rPr>
        <w:t>质功能减退症；</w:t>
      </w:r>
    </w:p>
    <w:p>
      <w:pPr>
        <w:pStyle w:val="BodyText"/>
        <w:spacing w:line="273" w:lineRule="auto" w:before="7"/>
        <w:ind w:left="661" w:right="257" w:hanging="298"/>
        <w:jc w:val="both"/>
      </w:pPr>
      <w:r>
        <w:rPr>
          <w:spacing w:val="-3"/>
        </w:rPr>
        <w:t>③ 促肾上腺皮质激素</w:t>
      </w:r>
      <w:r>
        <w:rPr>
          <w:spacing w:val="-7"/>
        </w:rPr>
        <w:t>（ACTH）</w:t>
      </w:r>
      <w:r>
        <w:rPr>
          <w:spacing w:val="-5"/>
        </w:rPr>
        <w:t>刺激试验显示为原发性肾上腺皮质功能减退症。</w:t>
      </w:r>
    </w:p>
    <w:p>
      <w:pPr>
        <w:pStyle w:val="BodyText"/>
        <w:spacing w:before="7"/>
        <w:ind w:left="147"/>
      </w:pPr>
      <w:r>
        <w:rPr/>
        <w:t>（2）已经采用皮质类固醇替代治疗 180 天以上。</w:t>
      </w:r>
    </w:p>
    <w:p>
      <w:pPr>
        <w:pStyle w:val="BodyText"/>
        <w:spacing w:line="273" w:lineRule="auto" w:before="37"/>
        <w:ind w:left="147" w:right="262"/>
        <w:jc w:val="both"/>
      </w:pPr>
      <w:r>
        <w:rPr>
          <w:shd w:fill="DADADA" w:color="auto" w:val="clear"/>
        </w:rPr>
        <w:t>本保障仅包括由自身免疫功能紊乱所导致的慢性肾上腺功能不全，其他成因（包括但不限于：肾上腺结核、HIV 感染或艾滋病、感染、肿瘤）所致</w:t>
      </w:r>
      <w:r>
        <w:rPr>
          <w:spacing w:val="-212"/>
          <w:shd w:fill="DADADA" w:color="auto" w:val="clear"/>
        </w:rPr>
        <w:t>的</w:t>
      </w:r>
      <w:r>
        <w:rPr>
          <w:shd w:fill="DADADA" w:color="auto" w:val="clear"/>
        </w:rPr>
        <w:t>原发性肾上腺皮质功能减退和继发性肾上腺皮质功能减退均不在保障范围内。</w:t>
      </w:r>
    </w:p>
    <w:p>
      <w:pPr>
        <w:spacing w:after="0" w:line="273" w:lineRule="auto"/>
        <w:jc w:val="both"/>
        <w:sectPr>
          <w:type w:val="continuous"/>
          <w:pgSz w:w="11910" w:h="16840"/>
          <w:pgMar w:top="480" w:bottom="280" w:left="1060" w:right="700"/>
          <w:cols w:num="2" w:equalWidth="0">
            <w:col w:w="2934" w:space="40"/>
            <w:col w:w="7176"/>
          </w:cols>
        </w:sectPr>
      </w:pPr>
    </w:p>
    <w:p>
      <w:pPr>
        <w:pStyle w:val="BodyText"/>
        <w:spacing w:before="7"/>
        <w:rPr>
          <w:sz w:val="2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2456"/>
        <w:gridCol w:w="7008"/>
      </w:tblGrid>
      <w:tr>
        <w:trPr>
          <w:trHeight w:val="604" w:hRule="atLeast"/>
        </w:trPr>
        <w:tc>
          <w:tcPr>
            <w:tcW w:w="468" w:type="dxa"/>
          </w:tcPr>
          <w:p>
            <w:pPr>
              <w:pStyle w:val="TableParagraph"/>
              <w:spacing w:line="231" w:lineRule="exact"/>
              <w:ind w:left="50"/>
              <w:rPr>
                <w:b/>
                <w:sz w:val="21"/>
              </w:rPr>
            </w:pPr>
            <w:r>
              <w:rPr>
                <w:b/>
                <w:sz w:val="21"/>
              </w:rPr>
              <w:t>36</w:t>
            </w:r>
          </w:p>
        </w:tc>
        <w:tc>
          <w:tcPr>
            <w:tcW w:w="2456" w:type="dxa"/>
          </w:tcPr>
          <w:p>
            <w:pPr>
              <w:pStyle w:val="TableParagraph"/>
              <w:spacing w:line="242" w:lineRule="exact"/>
              <w:ind w:left="205"/>
              <w:rPr>
                <w:rFonts w:ascii="等线" w:eastAsia="等线" w:hint="eastAsia"/>
                <w:b/>
                <w:sz w:val="24"/>
              </w:rPr>
            </w:pPr>
            <w:r>
              <w:rPr>
                <w:rFonts w:ascii="等线" w:eastAsia="等线" w:hint="eastAsia"/>
                <w:b/>
                <w:sz w:val="24"/>
              </w:rPr>
              <w:t>严重小肠疾病并发</w:t>
            </w:r>
          </w:p>
          <w:p>
            <w:pPr>
              <w:pStyle w:val="TableParagraph"/>
              <w:spacing w:line="322" w:lineRule="exact"/>
              <w:ind w:left="205"/>
              <w:rPr>
                <w:rFonts w:ascii="等线" w:eastAsia="等线" w:hint="eastAsia"/>
                <w:b/>
                <w:sz w:val="24"/>
              </w:rPr>
            </w:pPr>
            <w:r>
              <w:rPr>
                <w:rFonts w:ascii="等线" w:eastAsia="等线" w:hint="eastAsia"/>
                <w:b/>
                <w:sz w:val="24"/>
              </w:rPr>
              <w:t>症</w:t>
            </w:r>
          </w:p>
        </w:tc>
        <w:tc>
          <w:tcPr>
            <w:tcW w:w="7008" w:type="dxa"/>
          </w:tcPr>
          <w:p>
            <w:pPr>
              <w:pStyle w:val="TableParagraph"/>
              <w:spacing w:line="231" w:lineRule="exact"/>
              <w:ind w:left="92"/>
              <w:rPr>
                <w:sz w:val="21"/>
              </w:rPr>
            </w:pPr>
            <w:r>
              <w:rPr>
                <w:sz w:val="21"/>
              </w:rPr>
              <w:t>指严重肠道疾病或外伤导致小肠损害并发症，满足以下所有条件：</w:t>
            </w:r>
          </w:p>
          <w:p>
            <w:pPr>
              <w:pStyle w:val="TableParagraph"/>
              <w:spacing w:before="37"/>
              <w:ind w:left="92"/>
              <w:rPr>
                <w:sz w:val="21"/>
              </w:rPr>
            </w:pPr>
            <w:r>
              <w:rPr>
                <w:sz w:val="21"/>
              </w:rPr>
              <w:t>（1）切除部分或全部小肠；</w:t>
            </w:r>
          </w:p>
        </w:tc>
      </w:tr>
      <w:tr>
        <w:trPr>
          <w:trHeight w:val="432" w:hRule="atLeast"/>
        </w:trPr>
        <w:tc>
          <w:tcPr>
            <w:tcW w:w="468" w:type="dxa"/>
          </w:tcPr>
          <w:p>
            <w:pPr>
              <w:pStyle w:val="TableParagraph"/>
              <w:rPr>
                <w:rFonts w:ascii="Times New Roman"/>
                <w:sz w:val="20"/>
              </w:rPr>
            </w:pPr>
          </w:p>
        </w:tc>
        <w:tc>
          <w:tcPr>
            <w:tcW w:w="2456" w:type="dxa"/>
          </w:tcPr>
          <w:p>
            <w:pPr>
              <w:pStyle w:val="TableParagraph"/>
              <w:rPr>
                <w:rFonts w:ascii="Times New Roman"/>
                <w:sz w:val="20"/>
              </w:rPr>
            </w:pPr>
          </w:p>
        </w:tc>
        <w:tc>
          <w:tcPr>
            <w:tcW w:w="7008" w:type="dxa"/>
          </w:tcPr>
          <w:p>
            <w:pPr>
              <w:pStyle w:val="TableParagraph"/>
              <w:spacing w:line="250" w:lineRule="exact"/>
              <w:ind w:left="92"/>
              <w:rPr>
                <w:sz w:val="21"/>
              </w:rPr>
            </w:pPr>
            <w:r>
              <w:rPr>
                <w:sz w:val="21"/>
              </w:rPr>
              <w:t>（2）完全肠外营养支持三个月以上。</w:t>
            </w:r>
          </w:p>
        </w:tc>
      </w:tr>
      <w:tr>
        <w:trPr>
          <w:trHeight w:val="786" w:hRule="atLeast"/>
        </w:trPr>
        <w:tc>
          <w:tcPr>
            <w:tcW w:w="468" w:type="dxa"/>
          </w:tcPr>
          <w:p>
            <w:pPr>
              <w:pStyle w:val="TableParagraph"/>
              <w:spacing w:before="138"/>
              <w:ind w:left="50"/>
              <w:rPr>
                <w:b/>
                <w:sz w:val="21"/>
              </w:rPr>
            </w:pPr>
            <w:r>
              <w:rPr>
                <w:b/>
                <w:sz w:val="21"/>
              </w:rPr>
              <w:t>37</w:t>
            </w:r>
          </w:p>
        </w:tc>
        <w:tc>
          <w:tcPr>
            <w:tcW w:w="2456" w:type="dxa"/>
          </w:tcPr>
          <w:p>
            <w:pPr>
              <w:pStyle w:val="TableParagraph"/>
              <w:spacing w:line="232" w:lineRule="auto" w:before="112"/>
              <w:ind w:left="205" w:right="92"/>
              <w:rPr>
                <w:rFonts w:ascii="等线" w:eastAsia="等线" w:hint="eastAsia"/>
                <w:b/>
                <w:sz w:val="24"/>
              </w:rPr>
            </w:pPr>
            <w:r>
              <w:rPr>
                <w:rFonts w:ascii="等线" w:eastAsia="等线" w:hint="eastAsia"/>
                <w:b/>
                <w:sz w:val="24"/>
              </w:rPr>
              <w:t>严重的骨髓增生异常综合征</w:t>
            </w:r>
          </w:p>
        </w:tc>
        <w:tc>
          <w:tcPr>
            <w:tcW w:w="7008" w:type="dxa"/>
          </w:tcPr>
          <w:p>
            <w:pPr>
              <w:pStyle w:val="TableParagraph"/>
              <w:spacing w:before="138"/>
              <w:ind w:left="92"/>
              <w:rPr>
                <w:sz w:val="21"/>
              </w:rPr>
            </w:pPr>
            <w:r>
              <w:rPr>
                <w:sz w:val="21"/>
              </w:rPr>
              <w:t>指起源于造血干细胞的一组骨髓克隆增生异常的疾病，符合世界卫生组织</w:t>
            </w:r>
          </w:p>
          <w:p>
            <w:pPr>
              <w:pStyle w:val="TableParagraph"/>
              <w:spacing w:before="37"/>
              <w:ind w:left="92"/>
              <w:rPr>
                <w:sz w:val="21"/>
              </w:rPr>
            </w:pPr>
            <w:r>
              <w:rPr>
                <w:w w:val="100"/>
                <w:sz w:val="21"/>
              </w:rPr>
              <w:t>（WHO）分型方案中的、难治性贫血伴原始细胞增多-1（RAEB-1</w:t>
            </w:r>
            <w:r>
              <w:rPr>
                <w:spacing w:val="-106"/>
                <w:w w:val="100"/>
                <w:sz w:val="21"/>
              </w:rPr>
              <w:t>）</w:t>
            </w:r>
            <w:r>
              <w:rPr>
                <w:w w:val="100"/>
                <w:sz w:val="21"/>
              </w:rPr>
              <w:t>、难治性</w:t>
            </w:r>
          </w:p>
        </w:tc>
      </w:tr>
      <w:tr>
        <w:trPr>
          <w:trHeight w:val="300" w:hRule="atLeast"/>
        </w:trPr>
        <w:tc>
          <w:tcPr>
            <w:tcW w:w="468" w:type="dxa"/>
          </w:tcPr>
          <w:p>
            <w:pPr>
              <w:pStyle w:val="TableParagraph"/>
              <w:rPr>
                <w:rFonts w:ascii="Times New Roman"/>
                <w:sz w:val="20"/>
              </w:rPr>
            </w:pPr>
          </w:p>
        </w:tc>
        <w:tc>
          <w:tcPr>
            <w:tcW w:w="2456" w:type="dxa"/>
          </w:tcPr>
          <w:p>
            <w:pPr>
              <w:pStyle w:val="TableParagraph"/>
              <w:rPr>
                <w:rFonts w:ascii="Times New Roman"/>
                <w:sz w:val="20"/>
              </w:rPr>
            </w:pPr>
          </w:p>
        </w:tc>
        <w:tc>
          <w:tcPr>
            <w:tcW w:w="7008" w:type="dxa"/>
          </w:tcPr>
          <w:p>
            <w:pPr>
              <w:pStyle w:val="TableParagraph"/>
              <w:spacing w:line="250" w:lineRule="exact"/>
              <w:ind w:left="92"/>
              <w:rPr>
                <w:sz w:val="21"/>
              </w:rPr>
            </w:pPr>
            <w:r>
              <w:rPr>
                <w:spacing w:val="-2"/>
                <w:w w:val="100"/>
                <w:sz w:val="21"/>
              </w:rPr>
              <w:t>贫血伴原始细胞增多-</w:t>
            </w:r>
            <w:r>
              <w:rPr>
                <w:spacing w:val="-20"/>
                <w:w w:val="100"/>
                <w:sz w:val="21"/>
              </w:rPr>
              <w:t>2</w:t>
            </w:r>
            <w:r>
              <w:rPr>
                <w:w w:val="100"/>
                <w:sz w:val="21"/>
              </w:rPr>
              <w:t>（RAEB-2</w:t>
            </w:r>
            <w:r>
              <w:rPr>
                <w:spacing w:val="-106"/>
                <w:w w:val="100"/>
                <w:sz w:val="21"/>
              </w:rPr>
              <w:t>）</w:t>
            </w:r>
            <w:r>
              <w:rPr>
                <w:spacing w:val="-20"/>
                <w:w w:val="100"/>
                <w:sz w:val="21"/>
              </w:rPr>
              <w:t>、</w:t>
            </w:r>
            <w:r>
              <w:rPr>
                <w:w w:val="100"/>
                <w:sz w:val="21"/>
              </w:rPr>
              <w:t>MD</w:t>
            </w:r>
            <w:r>
              <w:rPr>
                <w:spacing w:val="-5"/>
                <w:w w:val="100"/>
                <w:sz w:val="21"/>
              </w:rPr>
              <w:t>S-未分类</w:t>
            </w:r>
            <w:r>
              <w:rPr>
                <w:w w:val="100"/>
                <w:sz w:val="21"/>
              </w:rPr>
              <w:t>（M</w:t>
            </w:r>
            <w:r>
              <w:rPr>
                <w:spacing w:val="-5"/>
                <w:w w:val="100"/>
                <w:sz w:val="21"/>
              </w:rPr>
              <w:t>D</w:t>
            </w:r>
            <w:r>
              <w:rPr>
                <w:spacing w:val="-1"/>
                <w:w w:val="100"/>
                <w:sz w:val="21"/>
              </w:rPr>
              <w:t>S</w:t>
            </w:r>
            <w:r>
              <w:rPr>
                <w:spacing w:val="-5"/>
                <w:w w:val="100"/>
                <w:sz w:val="21"/>
              </w:rPr>
              <w:t>-</w:t>
            </w:r>
            <w:r>
              <w:rPr>
                <w:w w:val="100"/>
                <w:sz w:val="21"/>
              </w:rPr>
              <w:t>U</w:t>
            </w:r>
            <w:r>
              <w:rPr>
                <w:spacing w:val="-106"/>
                <w:w w:val="100"/>
                <w:sz w:val="21"/>
              </w:rPr>
              <w:t>）</w:t>
            </w:r>
            <w:r>
              <w:rPr>
                <w:spacing w:val="-20"/>
                <w:w w:val="100"/>
                <w:sz w:val="21"/>
              </w:rPr>
              <w:t>、</w:t>
            </w:r>
            <w:r>
              <w:rPr>
                <w:w w:val="100"/>
                <w:sz w:val="21"/>
              </w:rPr>
              <w:t>MDS</w:t>
            </w:r>
            <w:r>
              <w:rPr>
                <w:spacing w:val="-53"/>
                <w:sz w:val="21"/>
              </w:rPr>
              <w:t> </w:t>
            </w:r>
            <w:r>
              <w:rPr>
                <w:w w:val="100"/>
                <w:sz w:val="21"/>
              </w:rPr>
              <w:t>伴单纯</w:t>
            </w:r>
            <w:r>
              <w:rPr>
                <w:spacing w:val="-53"/>
                <w:sz w:val="21"/>
              </w:rPr>
              <w:t> </w:t>
            </w:r>
            <w:r>
              <w:rPr>
                <w:spacing w:val="-5"/>
                <w:w w:val="100"/>
                <w:sz w:val="21"/>
              </w:rPr>
              <w:t>5</w:t>
            </w:r>
            <w:r>
              <w:rPr>
                <w:w w:val="100"/>
                <w:sz w:val="21"/>
              </w:rPr>
              <w:t>q-，</w:t>
            </w:r>
          </w:p>
        </w:tc>
      </w:tr>
      <w:tr>
        <w:trPr>
          <w:trHeight w:val="311" w:hRule="atLeast"/>
        </w:trPr>
        <w:tc>
          <w:tcPr>
            <w:tcW w:w="468" w:type="dxa"/>
          </w:tcPr>
          <w:p>
            <w:pPr>
              <w:pStyle w:val="TableParagraph"/>
              <w:rPr>
                <w:rFonts w:ascii="Times New Roman"/>
                <w:sz w:val="20"/>
              </w:rPr>
            </w:pPr>
          </w:p>
        </w:tc>
        <w:tc>
          <w:tcPr>
            <w:tcW w:w="2456" w:type="dxa"/>
          </w:tcPr>
          <w:p>
            <w:pPr>
              <w:pStyle w:val="TableParagraph"/>
              <w:rPr>
                <w:rFonts w:ascii="Times New Roman"/>
                <w:sz w:val="20"/>
              </w:rPr>
            </w:pPr>
          </w:p>
        </w:tc>
        <w:tc>
          <w:tcPr>
            <w:tcW w:w="7008" w:type="dxa"/>
          </w:tcPr>
          <w:p>
            <w:pPr>
              <w:pStyle w:val="TableParagraph"/>
              <w:spacing w:line="261" w:lineRule="exact"/>
              <w:ind w:left="92"/>
              <w:rPr>
                <w:sz w:val="21"/>
              </w:rPr>
            </w:pPr>
            <w:r>
              <w:rPr>
                <w:sz w:val="21"/>
              </w:rPr>
              <w:t>且需满足下列所有条件：</w:t>
            </w:r>
          </w:p>
        </w:tc>
      </w:tr>
      <w:tr>
        <w:trPr>
          <w:trHeight w:val="311" w:hRule="atLeast"/>
        </w:trPr>
        <w:tc>
          <w:tcPr>
            <w:tcW w:w="468" w:type="dxa"/>
          </w:tcPr>
          <w:p>
            <w:pPr>
              <w:pStyle w:val="TableParagraph"/>
              <w:rPr>
                <w:rFonts w:ascii="Times New Roman"/>
                <w:sz w:val="20"/>
              </w:rPr>
            </w:pPr>
          </w:p>
        </w:tc>
        <w:tc>
          <w:tcPr>
            <w:tcW w:w="2456" w:type="dxa"/>
          </w:tcPr>
          <w:p>
            <w:pPr>
              <w:pStyle w:val="TableParagraph"/>
              <w:rPr>
                <w:rFonts w:ascii="Times New Roman"/>
                <w:sz w:val="20"/>
              </w:rPr>
            </w:pPr>
          </w:p>
        </w:tc>
        <w:tc>
          <w:tcPr>
            <w:tcW w:w="7008" w:type="dxa"/>
          </w:tcPr>
          <w:p>
            <w:pPr>
              <w:pStyle w:val="TableParagraph"/>
              <w:spacing w:line="261" w:lineRule="exact"/>
              <w:ind w:left="92"/>
              <w:rPr>
                <w:sz w:val="21"/>
              </w:rPr>
            </w:pPr>
            <w:r>
              <w:rPr>
                <w:sz w:val="21"/>
              </w:rPr>
              <w:t>（1）骨髓穿刺或骨髓活检结果支持诊断；</w:t>
            </w:r>
          </w:p>
        </w:tc>
      </w:tr>
      <w:tr>
        <w:trPr>
          <w:trHeight w:val="311" w:hRule="atLeast"/>
        </w:trPr>
        <w:tc>
          <w:tcPr>
            <w:tcW w:w="468" w:type="dxa"/>
          </w:tcPr>
          <w:p>
            <w:pPr>
              <w:pStyle w:val="TableParagraph"/>
              <w:rPr>
                <w:rFonts w:ascii="Times New Roman"/>
                <w:sz w:val="20"/>
              </w:rPr>
            </w:pPr>
          </w:p>
        </w:tc>
        <w:tc>
          <w:tcPr>
            <w:tcW w:w="2456" w:type="dxa"/>
          </w:tcPr>
          <w:p>
            <w:pPr>
              <w:pStyle w:val="TableParagraph"/>
              <w:rPr>
                <w:rFonts w:ascii="Times New Roman"/>
                <w:sz w:val="20"/>
              </w:rPr>
            </w:pPr>
          </w:p>
        </w:tc>
        <w:tc>
          <w:tcPr>
            <w:tcW w:w="7008" w:type="dxa"/>
          </w:tcPr>
          <w:p>
            <w:pPr>
              <w:pStyle w:val="TableParagraph"/>
              <w:spacing w:line="261" w:lineRule="exact"/>
              <w:ind w:left="92"/>
              <w:rPr>
                <w:sz w:val="21"/>
              </w:rPr>
            </w:pPr>
            <w:r>
              <w:rPr>
                <w:sz w:val="21"/>
              </w:rPr>
              <w:t>（2）已持续接受一个月以上的化疗或已接受骨髓移植治疗。</w:t>
            </w:r>
          </w:p>
        </w:tc>
      </w:tr>
      <w:tr>
        <w:trPr>
          <w:trHeight w:val="261" w:hRule="atLeast"/>
        </w:trPr>
        <w:tc>
          <w:tcPr>
            <w:tcW w:w="468" w:type="dxa"/>
          </w:tcPr>
          <w:p>
            <w:pPr>
              <w:pStyle w:val="TableParagraph"/>
              <w:rPr>
                <w:rFonts w:ascii="Times New Roman"/>
                <w:sz w:val="18"/>
              </w:rPr>
            </w:pPr>
          </w:p>
        </w:tc>
        <w:tc>
          <w:tcPr>
            <w:tcW w:w="2456" w:type="dxa"/>
          </w:tcPr>
          <w:p>
            <w:pPr>
              <w:pStyle w:val="TableParagraph"/>
              <w:rPr>
                <w:rFonts w:ascii="Times New Roman"/>
                <w:sz w:val="18"/>
              </w:rPr>
            </w:pPr>
          </w:p>
        </w:tc>
        <w:tc>
          <w:tcPr>
            <w:tcW w:w="7008" w:type="dxa"/>
          </w:tcPr>
          <w:p>
            <w:pPr>
              <w:pStyle w:val="TableParagraph"/>
              <w:spacing w:line="242" w:lineRule="exact"/>
              <w:ind w:left="92"/>
              <w:rPr>
                <w:sz w:val="21"/>
              </w:rPr>
            </w:pPr>
            <w:r>
              <w:rPr>
                <w:sz w:val="21"/>
              </w:rPr>
              <w:t>此病症须经专科医生明确诊断。</w:t>
            </w:r>
          </w:p>
        </w:tc>
      </w:tr>
    </w:tbl>
    <w:p>
      <w:pPr>
        <w:spacing w:after="0" w:line="242" w:lineRule="exact"/>
        <w:rPr>
          <w:sz w:val="21"/>
        </w:rPr>
        <w:sectPr>
          <w:type w:val="continuous"/>
          <w:pgSz w:w="11910" w:h="16840"/>
          <w:pgMar w:top="480" w:bottom="280" w:left="1060" w:right="7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456"/>
        <w:gridCol w:w="7058"/>
      </w:tblGrid>
      <w:tr>
        <w:trPr>
          <w:trHeight w:val="1037" w:hRule="atLeast"/>
        </w:trPr>
        <w:tc>
          <w:tcPr>
            <w:tcW w:w="618" w:type="dxa"/>
          </w:tcPr>
          <w:p>
            <w:pPr>
              <w:pStyle w:val="TableParagraph"/>
              <w:spacing w:line="231" w:lineRule="exact"/>
              <w:ind w:left="181" w:right="185"/>
              <w:jc w:val="center"/>
              <w:rPr>
                <w:b/>
                <w:sz w:val="21"/>
              </w:rPr>
            </w:pPr>
            <w:r>
              <w:rPr>
                <w:b/>
                <w:sz w:val="21"/>
              </w:rPr>
              <w:t>38</w:t>
            </w:r>
          </w:p>
        </w:tc>
        <w:tc>
          <w:tcPr>
            <w:tcW w:w="2456" w:type="dxa"/>
          </w:tcPr>
          <w:p>
            <w:pPr>
              <w:pStyle w:val="TableParagraph"/>
              <w:spacing w:line="248" w:lineRule="exact"/>
              <w:ind w:left="205"/>
              <w:rPr>
                <w:rFonts w:ascii="等线" w:eastAsia="等线" w:hint="eastAsia"/>
                <w:b/>
                <w:sz w:val="24"/>
              </w:rPr>
            </w:pPr>
            <w:r>
              <w:rPr>
                <w:rFonts w:ascii="等线" w:eastAsia="等线" w:hint="eastAsia"/>
                <w:b/>
                <w:sz w:val="24"/>
              </w:rPr>
              <w:t>严重克隆病</w:t>
            </w:r>
          </w:p>
        </w:tc>
        <w:tc>
          <w:tcPr>
            <w:tcW w:w="7058" w:type="dxa"/>
          </w:tcPr>
          <w:p>
            <w:pPr>
              <w:pStyle w:val="TableParagraph"/>
              <w:spacing w:line="231" w:lineRule="exact"/>
              <w:ind w:left="92"/>
              <w:rPr>
                <w:sz w:val="21"/>
              </w:rPr>
            </w:pPr>
            <w:r>
              <w:rPr>
                <w:sz w:val="21"/>
              </w:rPr>
              <w:t>指一种慢性肉芽肿性肠炎，具有特征性的克隆病病理组织学变化。诊断必</w:t>
            </w:r>
          </w:p>
          <w:p>
            <w:pPr>
              <w:pStyle w:val="TableParagraph"/>
              <w:spacing w:line="273" w:lineRule="auto" w:before="37"/>
              <w:ind w:left="92" w:right="205"/>
              <w:rPr>
                <w:sz w:val="21"/>
              </w:rPr>
            </w:pPr>
            <w:r>
              <w:rPr>
                <w:sz w:val="21"/>
              </w:rPr>
              <w:t>须由病理检查结果证实。被保险人所患的克隆病必须已经造成瘘管形成并伴有肠梗阻或肠穿孔。</w:t>
            </w:r>
          </w:p>
        </w:tc>
      </w:tr>
      <w:tr>
        <w:trPr>
          <w:trHeight w:val="1531" w:hRule="atLeast"/>
        </w:trPr>
        <w:tc>
          <w:tcPr>
            <w:tcW w:w="618" w:type="dxa"/>
          </w:tcPr>
          <w:p>
            <w:pPr>
              <w:pStyle w:val="TableParagraph"/>
              <w:spacing w:before="138"/>
              <w:ind w:left="181" w:right="185"/>
              <w:jc w:val="center"/>
              <w:rPr>
                <w:b/>
                <w:sz w:val="21"/>
              </w:rPr>
            </w:pPr>
            <w:r>
              <w:rPr>
                <w:b/>
                <w:sz w:val="21"/>
              </w:rPr>
              <w:t>39</w:t>
            </w:r>
          </w:p>
        </w:tc>
        <w:tc>
          <w:tcPr>
            <w:tcW w:w="2456" w:type="dxa"/>
          </w:tcPr>
          <w:p>
            <w:pPr>
              <w:pStyle w:val="TableParagraph"/>
              <w:spacing w:before="102"/>
              <w:ind w:left="205"/>
              <w:rPr>
                <w:rFonts w:ascii="等线" w:eastAsia="等线" w:hint="eastAsia"/>
                <w:b/>
                <w:sz w:val="24"/>
              </w:rPr>
            </w:pPr>
            <w:r>
              <w:rPr>
                <w:rFonts w:ascii="等线" w:eastAsia="等线" w:hint="eastAsia"/>
                <w:b/>
                <w:sz w:val="24"/>
              </w:rPr>
              <w:t>骨髓纤维化</w:t>
            </w:r>
          </w:p>
        </w:tc>
        <w:tc>
          <w:tcPr>
            <w:tcW w:w="7058" w:type="dxa"/>
          </w:tcPr>
          <w:p>
            <w:pPr>
              <w:pStyle w:val="TableParagraph"/>
              <w:spacing w:line="273" w:lineRule="auto" w:before="138"/>
              <w:ind w:left="92" w:right="205"/>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ind w:left="92"/>
              <w:jc w:val="both"/>
              <w:rPr>
                <w:sz w:val="21"/>
              </w:rPr>
            </w:pPr>
            <w:r>
              <w:rPr>
                <w:sz w:val="21"/>
              </w:rPr>
              <w:t>此病症须经专科医生明确诊断，并需提供骨髓穿刺检查诊断报告。</w:t>
            </w:r>
          </w:p>
        </w:tc>
      </w:tr>
      <w:tr>
        <w:trPr>
          <w:trHeight w:val="2469" w:hRule="atLeast"/>
        </w:trPr>
        <w:tc>
          <w:tcPr>
            <w:tcW w:w="618" w:type="dxa"/>
          </w:tcPr>
          <w:p>
            <w:pPr>
              <w:pStyle w:val="TableParagraph"/>
              <w:spacing w:before="138"/>
              <w:ind w:left="181" w:right="185"/>
              <w:jc w:val="center"/>
              <w:rPr>
                <w:b/>
                <w:sz w:val="21"/>
              </w:rPr>
            </w:pPr>
            <w:r>
              <w:rPr>
                <w:b/>
                <w:sz w:val="21"/>
              </w:rPr>
              <w:t>40</w:t>
            </w:r>
          </w:p>
        </w:tc>
        <w:tc>
          <w:tcPr>
            <w:tcW w:w="2456" w:type="dxa"/>
          </w:tcPr>
          <w:p>
            <w:pPr>
              <w:pStyle w:val="TableParagraph"/>
              <w:spacing w:before="102"/>
              <w:ind w:left="205"/>
              <w:rPr>
                <w:rFonts w:ascii="等线" w:eastAsia="等线" w:hint="eastAsia"/>
                <w:b/>
                <w:sz w:val="24"/>
              </w:rPr>
            </w:pPr>
            <w:r>
              <w:rPr>
                <w:rFonts w:ascii="等线" w:eastAsia="等线" w:hint="eastAsia"/>
                <w:b/>
                <w:sz w:val="24"/>
              </w:rPr>
              <w:t>严重哮喘</w:t>
            </w:r>
          </w:p>
        </w:tc>
        <w:tc>
          <w:tcPr>
            <w:tcW w:w="7058" w:type="dxa"/>
          </w:tcPr>
          <w:p>
            <w:pPr>
              <w:pStyle w:val="TableParagraph"/>
              <w:spacing w:line="273" w:lineRule="auto" w:before="138"/>
              <w:ind w:left="92" w:right="205"/>
              <w:rPr>
                <w:sz w:val="21"/>
              </w:rPr>
            </w:pPr>
            <w:r>
              <w:rPr>
                <w:sz w:val="21"/>
              </w:rPr>
              <w:t>指经专科医生明确诊断为严重哮喘，并且满足下列标准中的三项或三项以上：</w:t>
            </w:r>
          </w:p>
          <w:p>
            <w:pPr>
              <w:pStyle w:val="TableParagraph"/>
              <w:spacing w:before="7"/>
              <w:ind w:left="92"/>
              <w:rPr>
                <w:sz w:val="21"/>
              </w:rPr>
            </w:pPr>
            <w:r>
              <w:rPr>
                <w:sz w:val="21"/>
              </w:rPr>
              <w:t>（1）过去两年中有哮喘持续状态病史；</w:t>
            </w:r>
          </w:p>
          <w:p>
            <w:pPr>
              <w:pStyle w:val="TableParagraph"/>
              <w:spacing w:line="273" w:lineRule="auto" w:before="36"/>
              <w:ind w:left="615" w:right="200" w:hanging="524"/>
              <w:rPr>
                <w:sz w:val="21"/>
              </w:rPr>
            </w:pPr>
            <w:r>
              <w:rPr>
                <w:spacing w:val="-8"/>
                <w:sz w:val="21"/>
              </w:rPr>
              <w:t>（2）</w:t>
            </w:r>
            <w:r>
              <w:rPr>
                <w:spacing w:val="-6"/>
                <w:sz w:val="21"/>
              </w:rPr>
              <w:t>身体活动耐受能力显著下降，轻微体力活动即有呼吸困难，且持续六个月以上；</w:t>
            </w:r>
          </w:p>
          <w:p>
            <w:pPr>
              <w:pStyle w:val="TableParagraph"/>
              <w:spacing w:before="7"/>
              <w:ind w:left="92"/>
              <w:rPr>
                <w:sz w:val="21"/>
              </w:rPr>
            </w:pPr>
            <w:r>
              <w:rPr>
                <w:sz w:val="21"/>
              </w:rPr>
              <w:t>（3）慢性肺部过度膨涨充气导致的由影像学检查证实的胸廓畸形；</w:t>
            </w:r>
          </w:p>
          <w:p>
            <w:pPr>
              <w:pStyle w:val="TableParagraph"/>
              <w:spacing w:before="37"/>
              <w:ind w:left="92"/>
              <w:rPr>
                <w:sz w:val="21"/>
              </w:rPr>
            </w:pPr>
            <w:r>
              <w:rPr>
                <w:sz w:val="21"/>
              </w:rPr>
              <w:t>（4）每日口服皮质类固醇激素，至少持续六个月以上。</w:t>
            </w:r>
          </w:p>
        </w:tc>
      </w:tr>
      <w:tr>
        <w:trPr>
          <w:trHeight w:val="895" w:hRule="atLeast"/>
        </w:trPr>
        <w:tc>
          <w:tcPr>
            <w:tcW w:w="618" w:type="dxa"/>
          </w:tcPr>
          <w:p>
            <w:pPr>
              <w:pStyle w:val="TableParagraph"/>
              <w:spacing w:before="140"/>
              <w:ind w:left="181" w:right="185"/>
              <w:jc w:val="center"/>
              <w:rPr>
                <w:b/>
                <w:sz w:val="21"/>
              </w:rPr>
            </w:pPr>
            <w:r>
              <w:rPr>
                <w:b/>
                <w:sz w:val="21"/>
              </w:rPr>
              <w:t>41</w:t>
            </w:r>
          </w:p>
        </w:tc>
        <w:tc>
          <w:tcPr>
            <w:tcW w:w="2456" w:type="dxa"/>
          </w:tcPr>
          <w:p>
            <w:pPr>
              <w:pStyle w:val="TableParagraph"/>
              <w:spacing w:before="105"/>
              <w:ind w:left="205"/>
              <w:rPr>
                <w:rFonts w:ascii="等线" w:eastAsia="等线" w:hint="eastAsia"/>
                <w:b/>
                <w:sz w:val="24"/>
              </w:rPr>
            </w:pPr>
            <w:r>
              <w:rPr>
                <w:rFonts w:ascii="等线" w:eastAsia="等线" w:hint="eastAsia"/>
                <w:b/>
                <w:sz w:val="24"/>
              </w:rPr>
              <w:t>小肠移植</w:t>
            </w:r>
          </w:p>
        </w:tc>
        <w:tc>
          <w:tcPr>
            <w:tcW w:w="7058" w:type="dxa"/>
          </w:tcPr>
          <w:p>
            <w:pPr>
              <w:pStyle w:val="TableParagraph"/>
              <w:spacing w:line="273" w:lineRule="auto" w:before="140"/>
              <w:ind w:left="92" w:right="205"/>
              <w:rPr>
                <w:sz w:val="21"/>
              </w:rPr>
            </w:pPr>
            <w:r>
              <w:rPr>
                <w:sz w:val="21"/>
              </w:rPr>
              <w:t>指因肠道疾病或外伤，已经实施了在全身麻醉下进行的小肠的异体器官移植手术。此手术必须由专科医生认为是医学上必需的情况下进行。</w:t>
            </w:r>
          </w:p>
        </w:tc>
      </w:tr>
      <w:tr>
        <w:trPr>
          <w:trHeight w:val="1200" w:hRule="atLeast"/>
        </w:trPr>
        <w:tc>
          <w:tcPr>
            <w:tcW w:w="618" w:type="dxa"/>
          </w:tcPr>
          <w:p>
            <w:pPr>
              <w:pStyle w:val="TableParagraph"/>
              <w:spacing w:before="124"/>
              <w:ind w:left="181" w:right="185"/>
              <w:jc w:val="center"/>
              <w:rPr>
                <w:b/>
                <w:sz w:val="21"/>
              </w:rPr>
            </w:pPr>
            <w:r>
              <w:rPr>
                <w:b/>
                <w:sz w:val="21"/>
              </w:rPr>
              <w:t>42</w:t>
            </w:r>
          </w:p>
        </w:tc>
        <w:tc>
          <w:tcPr>
            <w:tcW w:w="2456" w:type="dxa"/>
          </w:tcPr>
          <w:p>
            <w:pPr>
              <w:pStyle w:val="TableParagraph"/>
              <w:spacing w:before="88"/>
              <w:ind w:left="205"/>
              <w:rPr>
                <w:rFonts w:ascii="等线" w:eastAsia="等线" w:hint="eastAsia"/>
                <w:b/>
                <w:sz w:val="24"/>
              </w:rPr>
            </w:pPr>
            <w:r>
              <w:rPr>
                <w:rFonts w:ascii="等线" w:eastAsia="等线" w:hint="eastAsia"/>
                <w:b/>
                <w:sz w:val="24"/>
              </w:rPr>
              <w:t>胆道重建手术</w:t>
            </w:r>
          </w:p>
        </w:tc>
        <w:tc>
          <w:tcPr>
            <w:tcW w:w="7058" w:type="dxa"/>
          </w:tcPr>
          <w:p>
            <w:pPr>
              <w:pStyle w:val="TableParagraph"/>
              <w:spacing w:line="273" w:lineRule="auto" w:before="124"/>
              <w:ind w:left="92" w:right="205"/>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ind w:left="92"/>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99" w:hRule="atLeast"/>
        </w:trPr>
        <w:tc>
          <w:tcPr>
            <w:tcW w:w="618" w:type="dxa"/>
          </w:tcPr>
          <w:p>
            <w:pPr>
              <w:pStyle w:val="TableParagraph"/>
              <w:rPr>
                <w:rFonts w:ascii="Times New Roman"/>
                <w:sz w:val="20"/>
              </w:rPr>
            </w:pPr>
          </w:p>
        </w:tc>
        <w:tc>
          <w:tcPr>
            <w:tcW w:w="2456" w:type="dxa"/>
          </w:tcPr>
          <w:p>
            <w:pPr>
              <w:pStyle w:val="TableParagraph"/>
              <w:spacing w:before="113"/>
              <w:ind w:left="205"/>
              <w:rPr>
                <w:b/>
                <w:sz w:val="21"/>
              </w:rPr>
            </w:pPr>
            <w:r>
              <w:rPr>
                <w:b/>
                <w:sz w:val="21"/>
              </w:rPr>
              <w:t>第 4 类：</w:t>
            </w:r>
          </w:p>
        </w:tc>
        <w:tc>
          <w:tcPr>
            <w:tcW w:w="7058" w:type="dxa"/>
          </w:tcPr>
          <w:p>
            <w:pPr>
              <w:pStyle w:val="TableParagraph"/>
              <w:spacing w:before="113"/>
              <w:ind w:left="92"/>
              <w:rPr>
                <w:b/>
                <w:sz w:val="21"/>
              </w:rPr>
            </w:pPr>
            <w:r>
              <w:rPr>
                <w:b/>
                <w:sz w:val="21"/>
              </w:rPr>
              <w:t>与神经系统相关的疾病</w:t>
            </w:r>
          </w:p>
        </w:tc>
      </w:tr>
      <w:tr>
        <w:trPr>
          <w:trHeight w:val="2522" w:hRule="atLeast"/>
        </w:trPr>
        <w:tc>
          <w:tcPr>
            <w:tcW w:w="618" w:type="dxa"/>
          </w:tcPr>
          <w:p>
            <w:pPr>
              <w:pStyle w:val="TableParagraph"/>
              <w:spacing w:before="167"/>
              <w:ind w:left="181" w:right="185"/>
              <w:jc w:val="center"/>
              <w:rPr>
                <w:b/>
                <w:sz w:val="21"/>
              </w:rPr>
            </w:pPr>
            <w:r>
              <w:rPr>
                <w:b/>
                <w:sz w:val="21"/>
              </w:rPr>
              <w:t>43</w:t>
            </w:r>
          </w:p>
        </w:tc>
        <w:tc>
          <w:tcPr>
            <w:tcW w:w="2456" w:type="dxa"/>
          </w:tcPr>
          <w:p>
            <w:pPr>
              <w:pStyle w:val="TableParagraph"/>
              <w:spacing w:before="131"/>
              <w:ind w:left="205"/>
              <w:rPr>
                <w:rFonts w:ascii="等线" w:eastAsia="等线" w:hint="eastAsia"/>
                <w:b/>
                <w:sz w:val="24"/>
              </w:rPr>
            </w:pPr>
            <w:r>
              <w:rPr>
                <w:rFonts w:ascii="等线" w:eastAsia="等线" w:hint="eastAsia"/>
                <w:b/>
                <w:sz w:val="24"/>
              </w:rPr>
              <w:t>良性脑肿瘤</w:t>
            </w:r>
          </w:p>
        </w:tc>
        <w:tc>
          <w:tcPr>
            <w:tcW w:w="7058" w:type="dxa"/>
          </w:tcPr>
          <w:p>
            <w:pPr>
              <w:pStyle w:val="TableParagraph"/>
              <w:spacing w:line="273" w:lineRule="auto" w:before="167"/>
              <w:ind w:left="92" w:right="205"/>
              <w:jc w:val="both"/>
              <w:rPr>
                <w:sz w:val="21"/>
              </w:rPr>
            </w:pPr>
            <w:r>
              <w:rPr>
                <w:sz w:val="21"/>
              </w:rPr>
              <w:t>指脑的良性肿瘤，已经引起颅内压增高，临床表现为视神经乳头水肿、精</w:t>
            </w:r>
            <w:r>
              <w:rPr>
                <w:spacing w:val="-5"/>
                <w:w w:val="100"/>
                <w:sz w:val="21"/>
              </w:rPr>
              <w:t>神症状、癫痫及运动感觉障碍等，并危及生命。须由头颅断层扫描</w:t>
            </w:r>
            <w:r>
              <w:rPr>
                <w:w w:val="100"/>
                <w:sz w:val="21"/>
              </w:rPr>
              <w:t>（CT</w:t>
            </w:r>
            <w:r>
              <w:rPr>
                <w:spacing w:val="-111"/>
                <w:w w:val="100"/>
                <w:sz w:val="21"/>
              </w:rPr>
              <w:t>）、</w:t>
            </w:r>
            <w:r>
              <w:rPr>
                <w:sz w:val="21"/>
              </w:rPr>
              <w:t>核磁共振检查（MRI）或正电子发射断层扫描（PET）等影像学检查证实， </w:t>
            </w:r>
            <w:r>
              <w:rPr>
                <w:spacing w:val="-2"/>
                <w:sz w:val="21"/>
              </w:rPr>
              <w:t>并须满足下列至少一项条件：</w:t>
            </w:r>
          </w:p>
          <w:p>
            <w:pPr>
              <w:pStyle w:val="TableParagraph"/>
              <w:spacing w:before="7"/>
              <w:ind w:left="92"/>
              <w:jc w:val="both"/>
              <w:rPr>
                <w:sz w:val="21"/>
              </w:rPr>
            </w:pPr>
            <w:r>
              <w:rPr>
                <w:sz w:val="21"/>
              </w:rPr>
              <w:t>（1）实际实施了开颅进行的脑肿瘤完全切除或部分切除的手术；</w:t>
            </w:r>
          </w:p>
          <w:p>
            <w:pPr>
              <w:pStyle w:val="TableParagraph"/>
              <w:spacing w:before="36"/>
              <w:ind w:left="92"/>
              <w:jc w:val="both"/>
              <w:rPr>
                <w:sz w:val="21"/>
              </w:rPr>
            </w:pPr>
            <w:r>
              <w:rPr>
                <w:sz w:val="21"/>
              </w:rPr>
              <w:t>（2）实际实施了对脑肿瘤进行的放射治疗。</w:t>
            </w:r>
          </w:p>
          <w:p>
            <w:pPr>
              <w:pStyle w:val="TableParagraph"/>
              <w:spacing w:before="37"/>
              <w:ind w:left="92"/>
              <w:jc w:val="both"/>
              <w:rPr>
                <w:sz w:val="21"/>
              </w:rPr>
            </w:pPr>
            <w:r>
              <w:rPr>
                <w:sz w:val="21"/>
                <w:shd w:fill="DADADA" w:color="auto" w:val="clear"/>
              </w:rPr>
              <w:t>脑垂体瘤、脑囊肿、脑血管性疾病不在保障范围内。</w:t>
            </w:r>
          </w:p>
        </w:tc>
      </w:tr>
      <w:tr>
        <w:trPr>
          <w:trHeight w:val="2210" w:hRule="atLeast"/>
        </w:trPr>
        <w:tc>
          <w:tcPr>
            <w:tcW w:w="618" w:type="dxa"/>
          </w:tcPr>
          <w:p>
            <w:pPr>
              <w:pStyle w:val="TableParagraph"/>
              <w:spacing w:before="164"/>
              <w:ind w:left="181" w:right="185"/>
              <w:jc w:val="center"/>
              <w:rPr>
                <w:b/>
                <w:sz w:val="21"/>
              </w:rPr>
            </w:pPr>
            <w:r>
              <w:rPr>
                <w:b/>
                <w:sz w:val="21"/>
              </w:rPr>
              <w:t>44</w:t>
            </w:r>
          </w:p>
        </w:tc>
        <w:tc>
          <w:tcPr>
            <w:tcW w:w="2456" w:type="dxa"/>
          </w:tcPr>
          <w:p>
            <w:pPr>
              <w:pStyle w:val="TableParagraph"/>
              <w:spacing w:line="235" w:lineRule="auto" w:before="135"/>
              <w:ind w:left="205" w:right="92"/>
              <w:rPr>
                <w:rFonts w:ascii="等线" w:eastAsia="等线" w:hint="eastAsia"/>
                <w:b/>
                <w:sz w:val="24"/>
              </w:rPr>
            </w:pPr>
            <w:r>
              <w:rPr>
                <w:rFonts w:ascii="等线" w:eastAsia="等线" w:hint="eastAsia"/>
                <w:b/>
                <w:sz w:val="24"/>
              </w:rPr>
              <w:t>脑炎后遗症或脑膜炎后遗症</w:t>
            </w:r>
          </w:p>
        </w:tc>
        <w:tc>
          <w:tcPr>
            <w:tcW w:w="7058" w:type="dxa"/>
          </w:tcPr>
          <w:p>
            <w:pPr>
              <w:pStyle w:val="TableParagraph"/>
              <w:spacing w:line="273" w:lineRule="auto" w:before="164"/>
              <w:ind w:left="92" w:right="205"/>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5" w:right="200" w:hanging="524"/>
              <w:rPr>
                <w:sz w:val="21"/>
              </w:rPr>
            </w:pPr>
            <w:r>
              <w:rPr>
                <w:spacing w:val="-12"/>
                <w:sz w:val="21"/>
              </w:rPr>
              <w:t>（3）</w:t>
            </w:r>
            <w:r>
              <w:rPr>
                <w:spacing w:val="-7"/>
                <w:sz w:val="21"/>
              </w:rPr>
              <w:t>自主生活能力完全丧失，无法独立完成六项基本日常生活活动中的三</w:t>
            </w:r>
            <w:r>
              <w:rPr>
                <w:spacing w:val="-6"/>
                <w:sz w:val="21"/>
              </w:rPr>
              <w:t>项或三项以上。</w:t>
            </w:r>
          </w:p>
        </w:tc>
      </w:tr>
      <w:tr>
        <w:trPr>
          <w:trHeight w:val="1378" w:hRule="atLeast"/>
        </w:trPr>
        <w:tc>
          <w:tcPr>
            <w:tcW w:w="618" w:type="dxa"/>
          </w:tcPr>
          <w:p>
            <w:pPr>
              <w:pStyle w:val="TableParagraph"/>
              <w:spacing w:before="167"/>
              <w:ind w:left="181" w:right="185"/>
              <w:jc w:val="center"/>
              <w:rPr>
                <w:b/>
                <w:sz w:val="21"/>
              </w:rPr>
            </w:pPr>
            <w:r>
              <w:rPr>
                <w:b/>
                <w:sz w:val="21"/>
              </w:rPr>
              <w:t>45</w:t>
            </w:r>
          </w:p>
        </w:tc>
        <w:tc>
          <w:tcPr>
            <w:tcW w:w="2456" w:type="dxa"/>
          </w:tcPr>
          <w:p>
            <w:pPr>
              <w:pStyle w:val="TableParagraph"/>
              <w:spacing w:before="131"/>
              <w:ind w:left="205"/>
              <w:rPr>
                <w:rFonts w:ascii="等线" w:eastAsia="等线" w:hint="eastAsia"/>
                <w:b/>
                <w:sz w:val="24"/>
              </w:rPr>
            </w:pPr>
            <w:r>
              <w:rPr>
                <w:rFonts w:ascii="等线" w:eastAsia="等线" w:hint="eastAsia"/>
                <w:b/>
                <w:sz w:val="24"/>
              </w:rPr>
              <w:t>深度昏迷</w:t>
            </w:r>
          </w:p>
        </w:tc>
        <w:tc>
          <w:tcPr>
            <w:tcW w:w="7058" w:type="dxa"/>
          </w:tcPr>
          <w:p>
            <w:pPr>
              <w:pStyle w:val="TableParagraph"/>
              <w:spacing w:line="273" w:lineRule="auto" w:before="167"/>
              <w:ind w:left="92" w:right="205"/>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0"/>
                <w:sz w:val="21"/>
              </w:rPr>
              <w:t>结果为 </w:t>
            </w:r>
            <w:r>
              <w:rPr>
                <w:sz w:val="21"/>
              </w:rPr>
              <w:t>5</w:t>
            </w:r>
            <w:r>
              <w:rPr>
                <w:spacing w:val="-22"/>
                <w:sz w:val="21"/>
              </w:rPr>
              <w:t> 分或 </w:t>
            </w:r>
            <w:r>
              <w:rPr>
                <w:sz w:val="21"/>
              </w:rPr>
              <w:t>5</w:t>
            </w:r>
            <w:r>
              <w:rPr>
                <w:spacing w:val="-23"/>
                <w:sz w:val="21"/>
              </w:rPr>
              <w:t> 分</w:t>
            </w:r>
            <w:r>
              <w:rPr>
                <w:spacing w:val="-13"/>
                <w:sz w:val="21"/>
              </w:rPr>
              <w:t>以下，且已经持续使用呼吸机及其它生命维持系统 </w:t>
            </w:r>
            <w:r>
              <w:rPr>
                <w:spacing w:val="-3"/>
                <w:sz w:val="21"/>
              </w:rPr>
              <w:t>96</w:t>
            </w:r>
            <w:r>
              <w:rPr>
                <w:spacing w:val="-7"/>
                <w:sz w:val="21"/>
              </w:rPr>
              <w:t> 小时以上。</w:t>
            </w:r>
          </w:p>
          <w:p>
            <w:pPr>
              <w:pStyle w:val="TableParagraph"/>
              <w:spacing w:line="255" w:lineRule="exact" w:before="8"/>
              <w:ind w:left="92"/>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480" w:bottom="280" w:left="900" w:right="6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455"/>
        <w:gridCol w:w="7158"/>
      </w:tblGrid>
      <w:tr>
        <w:trPr>
          <w:trHeight w:val="1065" w:hRule="atLeast"/>
        </w:trPr>
        <w:tc>
          <w:tcPr>
            <w:tcW w:w="618" w:type="dxa"/>
          </w:tcPr>
          <w:p>
            <w:pPr>
              <w:pStyle w:val="TableParagraph"/>
              <w:spacing w:line="231" w:lineRule="exact"/>
              <w:ind w:left="181" w:right="185"/>
              <w:jc w:val="center"/>
              <w:rPr>
                <w:b/>
                <w:sz w:val="21"/>
              </w:rPr>
            </w:pPr>
            <w:r>
              <w:rPr>
                <w:b/>
                <w:sz w:val="21"/>
              </w:rPr>
              <w:t>46</w:t>
            </w:r>
          </w:p>
        </w:tc>
        <w:tc>
          <w:tcPr>
            <w:tcW w:w="2455" w:type="dxa"/>
          </w:tcPr>
          <w:p>
            <w:pPr>
              <w:pStyle w:val="TableParagraph"/>
              <w:spacing w:line="248" w:lineRule="exact"/>
              <w:ind w:left="205"/>
              <w:rPr>
                <w:rFonts w:ascii="等线" w:eastAsia="等线" w:hint="eastAsia"/>
                <w:b/>
                <w:sz w:val="24"/>
              </w:rPr>
            </w:pPr>
            <w:r>
              <w:rPr>
                <w:rFonts w:ascii="等线" w:eastAsia="等线" w:hint="eastAsia"/>
                <w:b/>
                <w:sz w:val="24"/>
              </w:rPr>
              <w:t>瘫痪</w:t>
            </w:r>
          </w:p>
        </w:tc>
        <w:tc>
          <w:tcPr>
            <w:tcW w:w="7158" w:type="dxa"/>
          </w:tcPr>
          <w:p>
            <w:pPr>
              <w:pStyle w:val="TableParagraph"/>
              <w:spacing w:line="231" w:lineRule="exact"/>
              <w:ind w:left="93"/>
              <w:rPr>
                <w:sz w:val="21"/>
              </w:rPr>
            </w:pPr>
            <w:r>
              <w:rPr>
                <w:sz w:val="21"/>
              </w:rPr>
              <w:t>指因疾病或意外伤害导致两肢或两肢以上肢体机能永久完全丧失。肢体机</w:t>
            </w:r>
          </w:p>
          <w:p>
            <w:pPr>
              <w:pStyle w:val="TableParagraph"/>
              <w:spacing w:line="273" w:lineRule="auto" w:before="37"/>
              <w:ind w:left="93" w:right="299"/>
              <w:rPr>
                <w:sz w:val="21"/>
              </w:rPr>
            </w:pPr>
            <w:r>
              <w:rPr>
                <w:spacing w:val="-5"/>
                <w:sz w:val="21"/>
              </w:rPr>
              <w:t>能永久完全丧失，指疾病确诊 </w:t>
            </w:r>
            <w:r>
              <w:rPr>
                <w:sz w:val="21"/>
              </w:rPr>
              <w:t>180</w:t>
            </w:r>
            <w:r>
              <w:rPr>
                <w:spacing w:val="-10"/>
                <w:sz w:val="21"/>
              </w:rPr>
              <w:t> 日后或意外伤害发生 </w:t>
            </w:r>
            <w:r>
              <w:rPr>
                <w:sz w:val="21"/>
              </w:rPr>
              <w:t>180</w:t>
            </w:r>
            <w:r>
              <w:rPr>
                <w:spacing w:val="-6"/>
                <w:sz w:val="21"/>
              </w:rPr>
              <w:t> 日后，每肢三</w:t>
            </w:r>
            <w:r>
              <w:rPr>
                <w:spacing w:val="-5"/>
                <w:sz w:val="21"/>
              </w:rPr>
              <w:t>大关节中的两大关节仍然完全僵硬，或不能随意识活动。</w:t>
            </w:r>
          </w:p>
        </w:tc>
      </w:tr>
      <w:tr>
        <w:trPr>
          <w:trHeight w:val="2793" w:hRule="atLeast"/>
        </w:trPr>
        <w:tc>
          <w:tcPr>
            <w:tcW w:w="618" w:type="dxa"/>
          </w:tcPr>
          <w:p>
            <w:pPr>
              <w:pStyle w:val="TableParagraph"/>
              <w:spacing w:before="167"/>
              <w:ind w:left="181" w:right="185"/>
              <w:jc w:val="center"/>
              <w:rPr>
                <w:b/>
                <w:sz w:val="21"/>
              </w:rPr>
            </w:pPr>
            <w:r>
              <w:rPr>
                <w:b/>
                <w:sz w:val="21"/>
              </w:rPr>
              <w:t>47</w:t>
            </w:r>
          </w:p>
        </w:tc>
        <w:tc>
          <w:tcPr>
            <w:tcW w:w="2455" w:type="dxa"/>
          </w:tcPr>
          <w:p>
            <w:pPr>
              <w:pStyle w:val="TableParagraph"/>
              <w:spacing w:before="131"/>
              <w:ind w:left="205"/>
              <w:rPr>
                <w:rFonts w:ascii="等线" w:eastAsia="等线" w:hint="eastAsia"/>
                <w:b/>
                <w:sz w:val="24"/>
              </w:rPr>
            </w:pPr>
            <w:r>
              <w:rPr>
                <w:rFonts w:ascii="等线" w:eastAsia="等线" w:hint="eastAsia"/>
                <w:b/>
                <w:sz w:val="24"/>
              </w:rPr>
              <w:t>严重的多发性硬化</w:t>
            </w:r>
          </w:p>
        </w:tc>
        <w:tc>
          <w:tcPr>
            <w:tcW w:w="7158" w:type="dxa"/>
          </w:tcPr>
          <w:p>
            <w:pPr>
              <w:pStyle w:val="TableParagraph"/>
              <w:spacing w:line="273" w:lineRule="auto" w:before="167"/>
              <w:ind w:left="93" w:right="198"/>
              <w:rPr>
                <w:sz w:val="21"/>
              </w:rPr>
            </w:pPr>
            <w:r>
              <w:rPr>
                <w:sz w:val="21"/>
              </w:rPr>
              <w:t>指因中枢神经系统脱髓鞘而导致的不可逆的身体部位的功能障碍，需由神</w:t>
            </w:r>
            <w:r>
              <w:rPr>
                <w:spacing w:val="-15"/>
                <w:w w:val="100"/>
                <w:sz w:val="21"/>
              </w:rPr>
              <w:t>经科专科医生提供明确诊断，并有头颅断层扫描</w:t>
            </w:r>
            <w:r>
              <w:rPr>
                <w:w w:val="100"/>
                <w:sz w:val="21"/>
              </w:rPr>
              <w:t>（CT</w:t>
            </w:r>
            <w:r>
              <w:rPr>
                <w:spacing w:val="-101"/>
                <w:w w:val="100"/>
                <w:sz w:val="21"/>
              </w:rPr>
              <w:t>）</w:t>
            </w:r>
            <w:r>
              <w:rPr>
                <w:spacing w:val="-15"/>
                <w:w w:val="100"/>
                <w:sz w:val="21"/>
              </w:rPr>
              <w:t>或核磁共振检查</w:t>
            </w:r>
            <w:r>
              <w:rPr>
                <w:w w:val="100"/>
                <w:sz w:val="21"/>
              </w:rPr>
              <w:t>（MR</w:t>
            </w:r>
            <w:r>
              <w:rPr>
                <w:spacing w:val="-5"/>
                <w:w w:val="100"/>
                <w:sz w:val="21"/>
              </w:rPr>
              <w:t>I</w:t>
            </w:r>
            <w:r>
              <w:rPr>
                <w:w w:val="100"/>
                <w:sz w:val="21"/>
              </w:rPr>
              <w:t>）</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93"/>
              <w:rPr>
                <w:sz w:val="21"/>
              </w:rPr>
            </w:pPr>
            <w:r>
              <w:rPr>
                <w:sz w:val="21"/>
              </w:rPr>
              <w:t>由神经科专科医生提供的明确诊断必须同时包含下列内容：</w:t>
            </w:r>
          </w:p>
          <w:p>
            <w:pPr>
              <w:pStyle w:val="TableParagraph"/>
              <w:spacing w:before="36"/>
              <w:ind w:left="93"/>
              <w:rPr>
                <w:sz w:val="21"/>
              </w:rPr>
            </w:pPr>
            <w:r>
              <w:rPr>
                <w:sz w:val="21"/>
              </w:rPr>
              <w:t>（1）明确出现因视神经、脑干和脊髓损伤而导致的临床表现；</w:t>
            </w:r>
          </w:p>
          <w:p>
            <w:pPr>
              <w:pStyle w:val="TableParagraph"/>
              <w:spacing w:before="36"/>
              <w:ind w:left="93"/>
              <w:rPr>
                <w:sz w:val="21"/>
              </w:rPr>
            </w:pPr>
            <w:r>
              <w:rPr>
                <w:sz w:val="21"/>
              </w:rPr>
              <w:t>（2）神经系统散在的多部位病变；</w:t>
            </w:r>
          </w:p>
          <w:p>
            <w:pPr>
              <w:pStyle w:val="TableParagraph"/>
              <w:spacing w:before="36"/>
              <w:ind w:left="93"/>
              <w:rPr>
                <w:sz w:val="21"/>
              </w:rPr>
            </w:pPr>
            <w:r>
              <w:rPr>
                <w:sz w:val="21"/>
              </w:rPr>
              <w:t>（3）有明确的上述症状及神经损伤反复恶化、减轻的病史纪录。</w:t>
            </w:r>
          </w:p>
        </w:tc>
      </w:tr>
      <w:tr>
        <w:trPr>
          <w:trHeight w:val="1516" w:hRule="atLeast"/>
        </w:trPr>
        <w:tc>
          <w:tcPr>
            <w:tcW w:w="618" w:type="dxa"/>
          </w:tcPr>
          <w:p>
            <w:pPr>
              <w:pStyle w:val="TableParagraph"/>
              <w:spacing w:before="124"/>
              <w:ind w:left="181" w:right="185"/>
              <w:jc w:val="center"/>
              <w:rPr>
                <w:b/>
                <w:sz w:val="21"/>
              </w:rPr>
            </w:pPr>
            <w:r>
              <w:rPr>
                <w:b/>
                <w:sz w:val="21"/>
              </w:rPr>
              <w:t>48</w:t>
            </w:r>
          </w:p>
        </w:tc>
        <w:tc>
          <w:tcPr>
            <w:tcW w:w="2455" w:type="dxa"/>
          </w:tcPr>
          <w:p>
            <w:pPr>
              <w:pStyle w:val="TableParagraph"/>
              <w:spacing w:before="88"/>
              <w:ind w:left="205"/>
              <w:rPr>
                <w:rFonts w:ascii="等线" w:eastAsia="等线" w:hint="eastAsia"/>
                <w:b/>
                <w:sz w:val="24"/>
              </w:rPr>
            </w:pPr>
            <w:r>
              <w:rPr>
                <w:rFonts w:ascii="等线" w:eastAsia="等线" w:hint="eastAsia"/>
                <w:b/>
                <w:sz w:val="24"/>
              </w:rPr>
              <w:t>严重运动神经元病</w:t>
            </w:r>
          </w:p>
        </w:tc>
        <w:tc>
          <w:tcPr>
            <w:tcW w:w="7158" w:type="dxa"/>
          </w:tcPr>
          <w:p>
            <w:pPr>
              <w:pStyle w:val="TableParagraph"/>
              <w:spacing w:line="273" w:lineRule="auto" w:before="124"/>
              <w:ind w:left="93"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79" w:hRule="atLeast"/>
        </w:trPr>
        <w:tc>
          <w:tcPr>
            <w:tcW w:w="618" w:type="dxa"/>
          </w:tcPr>
          <w:p>
            <w:pPr>
              <w:pStyle w:val="TableParagraph"/>
              <w:spacing w:before="138"/>
              <w:ind w:left="181" w:right="185"/>
              <w:jc w:val="center"/>
              <w:rPr>
                <w:b/>
                <w:sz w:val="21"/>
              </w:rPr>
            </w:pPr>
            <w:r>
              <w:rPr>
                <w:b/>
                <w:sz w:val="21"/>
              </w:rPr>
              <w:t>49</w:t>
            </w:r>
          </w:p>
        </w:tc>
        <w:tc>
          <w:tcPr>
            <w:tcW w:w="2455" w:type="dxa"/>
          </w:tcPr>
          <w:p>
            <w:pPr>
              <w:pStyle w:val="TableParagraph"/>
              <w:spacing w:before="102"/>
              <w:ind w:left="205"/>
              <w:rPr>
                <w:rFonts w:ascii="等线" w:eastAsia="等线" w:hint="eastAsia"/>
                <w:b/>
                <w:sz w:val="24"/>
              </w:rPr>
            </w:pPr>
            <w:r>
              <w:rPr>
                <w:rFonts w:ascii="等线" w:eastAsia="等线" w:hint="eastAsia"/>
                <w:b/>
                <w:sz w:val="24"/>
              </w:rPr>
              <w:t>严重脑损伤</w:t>
            </w:r>
          </w:p>
        </w:tc>
        <w:tc>
          <w:tcPr>
            <w:tcW w:w="7158" w:type="dxa"/>
          </w:tcPr>
          <w:p>
            <w:pPr>
              <w:pStyle w:val="TableParagraph"/>
              <w:spacing w:line="273" w:lineRule="auto" w:before="138"/>
              <w:ind w:left="93" w:right="304"/>
              <w:jc w:val="both"/>
              <w:rPr>
                <w:sz w:val="21"/>
              </w:rPr>
            </w:pPr>
            <w:r>
              <w:rPr>
                <w:sz w:val="21"/>
              </w:rPr>
              <w:t>指因头部遭受机械性外力，引起脑重要部位损伤，导致神经系统永久性的</w:t>
            </w:r>
            <w:r>
              <w:rPr>
                <w:w w:val="100"/>
                <w:sz w:val="21"/>
              </w:rPr>
              <w:t>功能障碍。须由头颅断层扫描（CT</w:t>
            </w:r>
            <w:r>
              <w:rPr>
                <w:spacing w:val="-106"/>
                <w:w w:val="100"/>
                <w:sz w:val="21"/>
              </w:rPr>
              <w:t>）</w:t>
            </w:r>
            <w:r>
              <w:rPr>
                <w:w w:val="100"/>
                <w:sz w:val="21"/>
              </w:rPr>
              <w:t>、核磁共振检查（MRI）或正电子发射</w:t>
            </w:r>
            <w:r>
              <w:rPr>
                <w:spacing w:val="-5"/>
                <w:sz w:val="21"/>
              </w:rPr>
              <w:t>断层扫描</w:t>
            </w:r>
            <w:r>
              <w:rPr>
                <w:spacing w:val="-4"/>
                <w:sz w:val="21"/>
              </w:rPr>
              <w:t>（PET）</w:t>
            </w:r>
            <w:r>
              <w:rPr>
                <w:spacing w:val="-6"/>
                <w:sz w:val="21"/>
              </w:rPr>
              <w: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before="7"/>
              <w:ind w:left="93"/>
              <w:rPr>
                <w:sz w:val="21"/>
              </w:rPr>
            </w:pPr>
            <w:r>
              <w:rPr>
                <w:sz w:val="21"/>
              </w:rPr>
              <w:t>（1）一肢或一肢以上肢体机能完全丧失；</w:t>
            </w:r>
          </w:p>
          <w:p>
            <w:pPr>
              <w:pStyle w:val="TableParagraph"/>
              <w:spacing w:before="36"/>
              <w:ind w:left="93"/>
              <w:rPr>
                <w:sz w:val="21"/>
              </w:rPr>
            </w:pPr>
            <w:r>
              <w:rPr>
                <w:sz w:val="21"/>
              </w:rPr>
              <w:t>（2）语言能力或咀嚼吞咽能力完全丧失；</w:t>
            </w:r>
          </w:p>
          <w:p>
            <w:pPr>
              <w:pStyle w:val="TableParagraph"/>
              <w:spacing w:line="273" w:lineRule="auto" w:before="36"/>
              <w:ind w:left="578" w:right="299" w:hanging="486"/>
              <w:rPr>
                <w:sz w:val="21"/>
              </w:rPr>
            </w:pPr>
            <w:r>
              <w:rPr>
                <w:spacing w:val="-12"/>
                <w:sz w:val="21"/>
              </w:rPr>
              <w:t>（3）</w:t>
            </w:r>
            <w:r>
              <w:rPr>
                <w:spacing w:val="-7"/>
                <w:sz w:val="21"/>
              </w:rPr>
              <w:t>自主生活能力完全丧失，无法独立完成六项基本日常生活活动中的三</w:t>
            </w:r>
            <w:r>
              <w:rPr>
                <w:spacing w:val="-6"/>
                <w:sz w:val="21"/>
              </w:rPr>
              <w:t>项或三项以上。</w:t>
            </w:r>
          </w:p>
        </w:tc>
      </w:tr>
      <w:tr>
        <w:trPr>
          <w:trHeight w:val="2469" w:hRule="atLeast"/>
        </w:trPr>
        <w:tc>
          <w:tcPr>
            <w:tcW w:w="618" w:type="dxa"/>
          </w:tcPr>
          <w:p>
            <w:pPr>
              <w:pStyle w:val="TableParagraph"/>
              <w:spacing w:before="138"/>
              <w:ind w:left="181" w:right="185"/>
              <w:jc w:val="center"/>
              <w:rPr>
                <w:b/>
                <w:sz w:val="21"/>
              </w:rPr>
            </w:pPr>
            <w:r>
              <w:rPr>
                <w:b/>
                <w:sz w:val="21"/>
              </w:rPr>
              <w:t>50</w:t>
            </w:r>
          </w:p>
        </w:tc>
        <w:tc>
          <w:tcPr>
            <w:tcW w:w="2455" w:type="dxa"/>
          </w:tcPr>
          <w:p>
            <w:pPr>
              <w:pStyle w:val="TableParagraph"/>
              <w:spacing w:line="235" w:lineRule="auto" w:before="109"/>
              <w:ind w:left="205" w:right="91"/>
              <w:rPr>
                <w:rFonts w:ascii="等线" w:eastAsia="等线" w:hint="eastAsia"/>
                <w:b/>
                <w:sz w:val="24"/>
              </w:rPr>
            </w:pPr>
            <w:r>
              <w:rPr>
                <w:rFonts w:ascii="等线" w:eastAsia="等线" w:hint="eastAsia"/>
                <w:b/>
                <w:sz w:val="24"/>
              </w:rPr>
              <w:t>非阿尔茨海默病所致严重痴呆</w:t>
            </w:r>
          </w:p>
        </w:tc>
        <w:tc>
          <w:tcPr>
            <w:tcW w:w="7158" w:type="dxa"/>
          </w:tcPr>
          <w:p>
            <w:pPr>
              <w:pStyle w:val="TableParagraph"/>
              <w:spacing w:line="273" w:lineRule="auto" w:before="138"/>
              <w:ind w:left="93" w:right="304"/>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3"/>
              <w:jc w:val="both"/>
              <w:rPr>
                <w:sz w:val="21"/>
              </w:rPr>
            </w:pPr>
            <w:r>
              <w:rPr>
                <w:sz w:val="21"/>
                <w:shd w:fill="DADADA" w:color="auto" w:val="clear"/>
              </w:rPr>
              <w:t>神经官能症、精神疾病及酒精中毒所致脑损害不在保障范围内。</w:t>
            </w:r>
          </w:p>
        </w:tc>
      </w:tr>
      <w:tr>
        <w:trPr>
          <w:trHeight w:val="1533" w:hRule="atLeast"/>
        </w:trPr>
        <w:tc>
          <w:tcPr>
            <w:tcW w:w="618" w:type="dxa"/>
          </w:tcPr>
          <w:p>
            <w:pPr>
              <w:pStyle w:val="TableParagraph"/>
              <w:spacing w:before="140"/>
              <w:ind w:left="181" w:right="185"/>
              <w:jc w:val="center"/>
              <w:rPr>
                <w:b/>
                <w:sz w:val="21"/>
              </w:rPr>
            </w:pPr>
            <w:r>
              <w:rPr>
                <w:b/>
                <w:sz w:val="21"/>
              </w:rPr>
              <w:t>51</w:t>
            </w:r>
          </w:p>
        </w:tc>
        <w:tc>
          <w:tcPr>
            <w:tcW w:w="2455" w:type="dxa"/>
          </w:tcPr>
          <w:p>
            <w:pPr>
              <w:pStyle w:val="TableParagraph"/>
              <w:spacing w:before="104"/>
              <w:ind w:left="205"/>
              <w:rPr>
                <w:rFonts w:ascii="等线" w:eastAsia="等线" w:hint="eastAsia"/>
                <w:b/>
                <w:sz w:val="24"/>
              </w:rPr>
            </w:pPr>
            <w:r>
              <w:rPr>
                <w:rFonts w:ascii="等线" w:eastAsia="等线" w:hint="eastAsia"/>
                <w:b/>
                <w:sz w:val="24"/>
              </w:rPr>
              <w:t>植物人状态</w:t>
            </w:r>
          </w:p>
        </w:tc>
        <w:tc>
          <w:tcPr>
            <w:tcW w:w="7158" w:type="dxa"/>
          </w:tcPr>
          <w:p>
            <w:pPr>
              <w:pStyle w:val="TableParagraph"/>
              <w:spacing w:line="273" w:lineRule="auto" w:before="140"/>
              <w:ind w:left="93" w:right="304"/>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ind w:left="93"/>
              <w:jc w:val="both"/>
              <w:rPr>
                <w:sz w:val="21"/>
              </w:rPr>
            </w:pPr>
            <w:r>
              <w:rPr>
                <w:sz w:val="21"/>
                <w:shd w:fill="DADADA" w:color="auto" w:val="clear"/>
              </w:rPr>
              <w:t>由于酗酒或滥用药物所致的植物人状态不在保障范围内。</w:t>
            </w:r>
          </w:p>
        </w:tc>
      </w:tr>
      <w:tr>
        <w:trPr>
          <w:trHeight w:val="1661" w:hRule="atLeast"/>
        </w:trPr>
        <w:tc>
          <w:tcPr>
            <w:tcW w:w="618" w:type="dxa"/>
          </w:tcPr>
          <w:p>
            <w:pPr>
              <w:pStyle w:val="TableParagraph"/>
              <w:spacing w:before="138"/>
              <w:ind w:left="181" w:right="185"/>
              <w:jc w:val="center"/>
              <w:rPr>
                <w:b/>
                <w:sz w:val="21"/>
              </w:rPr>
            </w:pPr>
            <w:r>
              <w:rPr>
                <w:b/>
                <w:sz w:val="21"/>
              </w:rPr>
              <w:t>52</w:t>
            </w:r>
          </w:p>
        </w:tc>
        <w:tc>
          <w:tcPr>
            <w:tcW w:w="2455" w:type="dxa"/>
          </w:tcPr>
          <w:p>
            <w:pPr>
              <w:pStyle w:val="TableParagraph"/>
              <w:spacing w:before="102"/>
              <w:ind w:left="205"/>
              <w:rPr>
                <w:rFonts w:ascii="等线" w:eastAsia="等线" w:hint="eastAsia"/>
                <w:b/>
                <w:sz w:val="24"/>
              </w:rPr>
            </w:pPr>
            <w:r>
              <w:rPr>
                <w:rFonts w:ascii="等线" w:eastAsia="等线" w:hint="eastAsia"/>
                <w:b/>
                <w:sz w:val="24"/>
              </w:rPr>
              <w:t>进行性核上性麻痹</w:t>
            </w:r>
          </w:p>
        </w:tc>
        <w:tc>
          <w:tcPr>
            <w:tcW w:w="7158" w:type="dxa"/>
          </w:tcPr>
          <w:p>
            <w:pPr>
              <w:pStyle w:val="TableParagraph"/>
              <w:spacing w:line="273" w:lineRule="auto" w:before="138"/>
              <w:ind w:left="93" w:right="304"/>
              <w:rPr>
                <w:sz w:val="21"/>
              </w:rPr>
            </w:pPr>
            <w:r>
              <w:rPr>
                <w:sz w:val="21"/>
              </w:rPr>
              <w:t>指一种隐袭起病、逐渐加重的神经系统变性疾病。此病症须由专科医生明确，并满足以下全部临床特征：</w:t>
            </w:r>
          </w:p>
          <w:p>
            <w:pPr>
              <w:pStyle w:val="TableParagraph"/>
              <w:spacing w:before="7"/>
              <w:ind w:left="93"/>
              <w:rPr>
                <w:sz w:val="21"/>
              </w:rPr>
            </w:pPr>
            <w:r>
              <w:rPr>
                <w:sz w:val="21"/>
              </w:rPr>
              <w:t>（1）步态共济失调；</w:t>
            </w:r>
          </w:p>
          <w:p>
            <w:pPr>
              <w:pStyle w:val="TableParagraph"/>
              <w:spacing w:before="36"/>
              <w:ind w:left="93"/>
              <w:rPr>
                <w:sz w:val="21"/>
              </w:rPr>
            </w:pPr>
            <w:r>
              <w:rPr>
                <w:sz w:val="21"/>
              </w:rPr>
              <w:t>（2）对称性眼球垂直运动障碍；</w:t>
            </w:r>
          </w:p>
          <w:p>
            <w:pPr>
              <w:pStyle w:val="TableParagraph"/>
              <w:spacing w:line="255" w:lineRule="exact" w:before="36"/>
              <w:ind w:left="93"/>
              <w:rPr>
                <w:sz w:val="21"/>
              </w:rPr>
            </w:pPr>
            <w:r>
              <w:rPr>
                <w:sz w:val="21"/>
              </w:rPr>
              <w:t>（3）</w:t>
            </w:r>
            <w:r>
              <w:rPr>
                <w:spacing w:val="-2"/>
                <w:sz w:val="21"/>
              </w:rPr>
              <w:t>假性球麻痹</w:t>
            </w:r>
            <w:r>
              <w:rPr>
                <w:sz w:val="21"/>
              </w:rPr>
              <w:t>（</w:t>
            </w:r>
            <w:r>
              <w:rPr>
                <w:spacing w:val="-4"/>
                <w:sz w:val="21"/>
              </w:rPr>
              <w:t>构音障碍和吞咽困难</w:t>
            </w:r>
            <w:r>
              <w:rPr>
                <w:spacing w:val="-106"/>
                <w:sz w:val="21"/>
              </w:rPr>
              <w:t>）</w:t>
            </w:r>
            <w:r>
              <w:rPr>
                <w:sz w:val="21"/>
              </w:rPr>
              <w:t>。</w:t>
            </w:r>
          </w:p>
        </w:tc>
      </w:tr>
    </w:tbl>
    <w:p>
      <w:pPr>
        <w:spacing w:after="0" w:line="255" w:lineRule="exact"/>
        <w:rPr>
          <w:sz w:val="21"/>
        </w:rPr>
        <w:sectPr>
          <w:pgSz w:w="11910" w:h="16840"/>
          <w:pgMar w:top="1480" w:bottom="280" w:left="900" w:right="540"/>
        </w:sectPr>
      </w:pPr>
    </w:p>
    <w:p>
      <w:pPr>
        <w:pStyle w:val="ListParagraph"/>
        <w:numPr>
          <w:ilvl w:val="0"/>
          <w:numId w:val="10"/>
        </w:numPr>
        <w:tabs>
          <w:tab w:pos="778" w:val="left" w:leader="none"/>
          <w:tab w:pos="779" w:val="left" w:leader="none"/>
          <w:tab w:pos="3120" w:val="left" w:leader="none"/>
        </w:tabs>
        <w:spacing w:line="240" w:lineRule="auto" w:before="3" w:after="0"/>
        <w:ind w:left="778" w:right="0" w:hanging="624"/>
        <w:jc w:val="left"/>
        <w:rPr>
          <w:sz w:val="21"/>
        </w:rPr>
      </w:pPr>
      <w:r>
        <w:rPr>
          <w:rFonts w:ascii="等线" w:eastAsia="等线" w:hint="eastAsia"/>
          <w:b/>
          <w:position w:val="1"/>
          <w:sz w:val="24"/>
        </w:rPr>
        <w:t>开颅手术</w:t>
        <w:tab/>
      </w:r>
      <w:r>
        <w:rPr>
          <w:sz w:val="21"/>
        </w:rPr>
        <w:t>被保险人因疾病或意外已实施全麻下的开颅手术（不包括颅骨钻孔手术和</w:t>
      </w:r>
    </w:p>
    <w:p>
      <w:pPr>
        <w:pStyle w:val="BodyText"/>
        <w:spacing w:before="20"/>
        <w:ind w:left="3120"/>
      </w:pPr>
      <w:r>
        <w:rPr>
          <w:spacing w:val="-1"/>
        </w:rPr>
        <w:t>经鼻蝶窦入颅手术</w:t>
      </w:r>
      <w:r>
        <w:rPr>
          <w:spacing w:val="-106"/>
        </w:rPr>
        <w:t>）</w:t>
      </w:r>
      <w:r>
        <w:rPr/>
        <w:t>。</w:t>
      </w:r>
    </w:p>
    <w:p>
      <w:pPr>
        <w:pStyle w:val="BodyText"/>
        <w:spacing w:before="36"/>
        <w:ind w:left="3120"/>
      </w:pPr>
      <w:r>
        <w:rPr/>
        <w:t>理赔时必须提供由专科医生出具的诊断书及手术证明。</w:t>
      </w:r>
    </w:p>
    <w:p>
      <w:pPr>
        <w:pStyle w:val="BodyText"/>
        <w:spacing w:line="273" w:lineRule="auto" w:before="37"/>
        <w:ind w:left="3120" w:right="162"/>
      </w:pPr>
      <w:r>
        <w:rPr>
          <w:shd w:fill="DADADA" w:color="auto" w:val="clear"/>
        </w:rPr>
        <w:t>因脑垂体瘤、脑囊肿、脑动脉瘤及脑血管瘤而进行的开颅手术不在保障范</w:t>
      </w:r>
      <w:r>
        <w:rPr>
          <w:spacing w:val="-212"/>
          <w:shd w:fill="DADADA" w:color="auto" w:val="clear"/>
        </w:rPr>
        <w:t>围</w:t>
      </w:r>
      <w:r>
        <w:rPr>
          <w:shd w:fill="DADADA" w:color="auto" w:val="clear"/>
        </w:rPr>
        <w:t>内。</w:t>
      </w:r>
    </w:p>
    <w:p>
      <w:pPr>
        <w:pStyle w:val="BodyText"/>
        <w:spacing w:before="12"/>
        <w:rPr>
          <w:sz w:val="17"/>
        </w:rPr>
      </w:pPr>
    </w:p>
    <w:p>
      <w:pPr>
        <w:spacing w:after="0"/>
        <w:rPr>
          <w:sz w:val="17"/>
        </w:rPr>
        <w:sectPr>
          <w:pgSz w:w="11910" w:h="16840"/>
          <w:pgMar w:top="1060" w:bottom="280" w:left="1060" w:right="800"/>
        </w:sectPr>
      </w:pPr>
    </w:p>
    <w:p>
      <w:pPr>
        <w:pStyle w:val="Heading1"/>
        <w:numPr>
          <w:ilvl w:val="0"/>
          <w:numId w:val="10"/>
        </w:numPr>
        <w:tabs>
          <w:tab w:pos="778" w:val="left" w:leader="none"/>
          <w:tab w:pos="779" w:val="left" w:leader="none"/>
        </w:tabs>
        <w:spacing w:line="235" w:lineRule="auto" w:before="27" w:after="0"/>
        <w:ind w:left="778" w:right="0" w:hanging="624"/>
        <w:jc w:val="left"/>
      </w:pPr>
      <w:r>
        <w:rPr>
          <w:spacing w:val="26"/>
          <w:position w:val="1"/>
        </w:rPr>
        <w:t>亚急性硬化性全脑</w:t>
      </w:r>
      <w:r>
        <w:rPr/>
        <w:t>炎</w:t>
      </w:r>
    </w:p>
    <w:p>
      <w:pPr>
        <w:pStyle w:val="BodyText"/>
        <w:spacing w:line="273" w:lineRule="auto" w:before="56"/>
        <w:ind w:left="147" w:right="162"/>
        <w:jc w:val="both"/>
      </w:pPr>
      <w:r>
        <w:rPr/>
        <w:br w:type="column"/>
      </w:r>
      <w:r>
        <w:rPr/>
        <w:t>是麻疹或麻疹样病毒所致的一种中枢神经系统慢性感染。中枢神经系统呈现灰质和白质破坏为特征的慢性和急性混合存在的炎症。必须满足以下所有条件：</w:t>
      </w:r>
    </w:p>
    <w:p>
      <w:pPr>
        <w:pStyle w:val="BodyText"/>
        <w:spacing w:line="273" w:lineRule="auto" w:before="7"/>
        <w:ind w:left="670" w:right="162" w:hanging="524"/>
      </w:pPr>
      <w:r>
        <w:rPr/>
        <w:t>（1）脑电图存在周期性复合波、脑脊液 r-球蛋白升高、脑脊液和血清中麻疹抗体滴定度升高；</w:t>
      </w:r>
    </w:p>
    <w:p>
      <w:pPr>
        <w:pStyle w:val="BodyText"/>
        <w:spacing w:line="273" w:lineRule="auto" w:before="8"/>
        <w:ind w:left="670" w:right="103" w:hanging="524"/>
      </w:pPr>
      <w:r>
        <w:rPr/>
        <w:t>（2）被保险人出现运动障碍，自主生活能力完全丧失，无法独立完成六项基本日常生活活动中的三项或三项以上。</w:t>
      </w:r>
    </w:p>
    <w:p>
      <w:pPr>
        <w:spacing w:after="0" w:line="273" w:lineRule="auto"/>
        <w:sectPr>
          <w:type w:val="continuous"/>
          <w:pgSz w:w="11910" w:h="16840"/>
          <w:pgMar w:top="480" w:bottom="280" w:left="1060" w:right="800"/>
          <w:cols w:num="2" w:equalWidth="0">
            <w:col w:w="2934" w:space="40"/>
            <w:col w:w="7076"/>
          </w:cols>
        </w:sectPr>
      </w:pPr>
    </w:p>
    <w:p>
      <w:pPr>
        <w:pStyle w:val="BodyText"/>
        <w:spacing w:before="5" w:after="1"/>
        <w:rPr>
          <w:sz w:val="2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2455"/>
        <w:gridCol w:w="6902"/>
      </w:tblGrid>
      <w:tr>
        <w:trPr>
          <w:trHeight w:val="294" w:hRule="atLeast"/>
        </w:trPr>
        <w:tc>
          <w:tcPr>
            <w:tcW w:w="468" w:type="dxa"/>
          </w:tcPr>
          <w:p>
            <w:pPr>
              <w:pStyle w:val="TableParagraph"/>
              <w:spacing w:line="211" w:lineRule="exact"/>
              <w:ind w:left="50"/>
              <w:rPr>
                <w:b/>
                <w:sz w:val="21"/>
              </w:rPr>
            </w:pPr>
            <w:r>
              <w:rPr>
                <w:b/>
                <w:sz w:val="21"/>
              </w:rPr>
              <w:t>55</w:t>
            </w:r>
          </w:p>
        </w:tc>
        <w:tc>
          <w:tcPr>
            <w:tcW w:w="2455" w:type="dxa"/>
          </w:tcPr>
          <w:p>
            <w:pPr>
              <w:pStyle w:val="TableParagraph"/>
              <w:spacing w:line="252" w:lineRule="exact"/>
              <w:ind w:left="205"/>
              <w:rPr>
                <w:rFonts w:ascii="等线" w:eastAsia="等线" w:hint="eastAsia"/>
                <w:b/>
                <w:sz w:val="24"/>
              </w:rPr>
            </w:pPr>
            <w:r>
              <w:rPr>
                <w:rFonts w:ascii="等线" w:eastAsia="等线" w:hint="eastAsia"/>
                <w:b/>
                <w:sz w:val="24"/>
              </w:rPr>
              <w:t>克雅氏病</w:t>
            </w:r>
          </w:p>
        </w:tc>
        <w:tc>
          <w:tcPr>
            <w:tcW w:w="6902" w:type="dxa"/>
          </w:tcPr>
          <w:p>
            <w:pPr>
              <w:pStyle w:val="TableParagraph"/>
              <w:spacing w:line="235" w:lineRule="exact"/>
              <w:ind w:left="93"/>
              <w:rPr>
                <w:sz w:val="21"/>
              </w:rPr>
            </w:pPr>
            <w:r>
              <w:rPr>
                <w:sz w:val="21"/>
              </w:rPr>
              <w:t>指一种不可治愈的脑部感染，导致急剧而渐进性的智力功能与活动衰退。</w:t>
            </w:r>
          </w:p>
        </w:tc>
      </w:tr>
      <w:tr>
        <w:trPr>
          <w:trHeight w:val="303"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53" w:lineRule="exact"/>
              <w:ind w:left="93"/>
              <w:rPr>
                <w:sz w:val="21"/>
              </w:rPr>
            </w:pPr>
            <w:r>
              <w:rPr>
                <w:sz w:val="21"/>
              </w:rPr>
              <w:t>须由专科医生根据临床测试、脑电图和影像结果作出诊断，并发现被保险</w:t>
            </w:r>
          </w:p>
        </w:tc>
      </w:tr>
      <w:tr>
        <w:trPr>
          <w:trHeight w:val="429"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3"/>
              <w:rPr>
                <w:sz w:val="21"/>
              </w:rPr>
            </w:pPr>
            <w:r>
              <w:rPr>
                <w:sz w:val="21"/>
              </w:rPr>
              <w:t>人出现神经系统异常及严重的渐进性痴呆。</w:t>
            </w:r>
          </w:p>
        </w:tc>
      </w:tr>
      <w:tr>
        <w:trPr>
          <w:trHeight w:val="457" w:hRule="atLeast"/>
        </w:trPr>
        <w:tc>
          <w:tcPr>
            <w:tcW w:w="468" w:type="dxa"/>
          </w:tcPr>
          <w:p>
            <w:pPr>
              <w:pStyle w:val="TableParagraph"/>
              <w:spacing w:before="124"/>
              <w:ind w:left="50"/>
              <w:rPr>
                <w:b/>
                <w:sz w:val="21"/>
              </w:rPr>
            </w:pPr>
            <w:r>
              <w:rPr>
                <w:b/>
                <w:sz w:val="21"/>
              </w:rPr>
              <w:t>56</w:t>
            </w:r>
          </w:p>
        </w:tc>
        <w:tc>
          <w:tcPr>
            <w:tcW w:w="2455" w:type="dxa"/>
          </w:tcPr>
          <w:p>
            <w:pPr>
              <w:pStyle w:val="TableParagraph"/>
              <w:spacing w:before="88"/>
              <w:ind w:left="205"/>
              <w:rPr>
                <w:rFonts w:ascii="等线" w:eastAsia="等线" w:hint="eastAsia"/>
                <w:b/>
                <w:sz w:val="24"/>
              </w:rPr>
            </w:pPr>
            <w:r>
              <w:rPr>
                <w:rFonts w:ascii="等线" w:eastAsia="等线" w:hint="eastAsia"/>
                <w:b/>
                <w:sz w:val="24"/>
              </w:rPr>
              <w:t>丧失一眼及一肢</w:t>
            </w:r>
          </w:p>
        </w:tc>
        <w:tc>
          <w:tcPr>
            <w:tcW w:w="6902" w:type="dxa"/>
          </w:tcPr>
          <w:p>
            <w:pPr>
              <w:pStyle w:val="TableParagraph"/>
              <w:spacing w:before="124"/>
              <w:ind w:left="93"/>
              <w:rPr>
                <w:sz w:val="21"/>
              </w:rPr>
            </w:pPr>
            <w:r>
              <w:rPr>
                <w:sz w:val="21"/>
              </w:rPr>
              <w:t>指因疾病或意外伤害导致单眼视力丧失及单肢肢体机能完全丧失。</w:t>
            </w:r>
          </w:p>
        </w:tc>
      </w:tr>
      <w:tr>
        <w:trPr>
          <w:trHeight w:val="303"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53" w:lineRule="exact"/>
              <w:ind w:left="93"/>
              <w:rPr>
                <w:sz w:val="21"/>
              </w:rPr>
            </w:pPr>
            <w:r>
              <w:rPr>
                <w:sz w:val="21"/>
              </w:rPr>
              <w:t>单眼视力丧失指单眼视力永久不可逆性丧失，患眼须满足下列至少一项条</w:t>
            </w:r>
          </w:p>
        </w:tc>
      </w:tr>
      <w:tr>
        <w:trPr>
          <w:trHeight w:val="311"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3"/>
              <w:rPr>
                <w:sz w:val="21"/>
              </w:rPr>
            </w:pPr>
            <w:r>
              <w:rPr>
                <w:sz w:val="21"/>
              </w:rPr>
              <w:t>件：</w:t>
            </w:r>
          </w:p>
        </w:tc>
      </w:tr>
      <w:tr>
        <w:trPr>
          <w:trHeight w:val="311"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3"/>
              <w:rPr>
                <w:sz w:val="21"/>
              </w:rPr>
            </w:pPr>
            <w:r>
              <w:rPr>
                <w:sz w:val="21"/>
              </w:rPr>
              <w:t>（1）眼球缺失或摘除；</w:t>
            </w:r>
          </w:p>
        </w:tc>
      </w:tr>
      <w:tr>
        <w:trPr>
          <w:trHeight w:val="261" w:hRule="atLeast"/>
        </w:trPr>
        <w:tc>
          <w:tcPr>
            <w:tcW w:w="468" w:type="dxa"/>
          </w:tcPr>
          <w:p>
            <w:pPr>
              <w:pStyle w:val="TableParagraph"/>
              <w:rPr>
                <w:rFonts w:ascii="Times New Roman"/>
                <w:sz w:val="18"/>
              </w:rPr>
            </w:pPr>
          </w:p>
        </w:tc>
        <w:tc>
          <w:tcPr>
            <w:tcW w:w="2455" w:type="dxa"/>
          </w:tcPr>
          <w:p>
            <w:pPr>
              <w:pStyle w:val="TableParagraph"/>
              <w:rPr>
                <w:rFonts w:ascii="Times New Roman"/>
                <w:sz w:val="18"/>
              </w:rPr>
            </w:pPr>
          </w:p>
        </w:tc>
        <w:tc>
          <w:tcPr>
            <w:tcW w:w="6902" w:type="dxa"/>
          </w:tcPr>
          <w:p>
            <w:pPr>
              <w:pStyle w:val="TableParagraph"/>
              <w:spacing w:line="242" w:lineRule="exact"/>
              <w:ind w:left="93"/>
              <w:rPr>
                <w:sz w:val="21"/>
              </w:rPr>
            </w:pPr>
            <w:r>
              <w:rPr>
                <w:sz w:val="21"/>
              </w:rPr>
              <w:t>（2）矫正视力低于 0.02（采用国际标准视力表，如果使用其它视力表应</w:t>
            </w:r>
          </w:p>
        </w:tc>
      </w:tr>
      <w:tr>
        <w:trPr>
          <w:trHeight w:val="362"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before="37"/>
              <w:ind w:left="616"/>
              <w:rPr>
                <w:sz w:val="21"/>
              </w:rPr>
            </w:pPr>
            <w:r>
              <w:rPr>
                <w:w w:val="100"/>
                <w:sz w:val="21"/>
              </w:rPr>
              <w:t>进行换算</w:t>
            </w:r>
            <w:r>
              <w:rPr>
                <w:spacing w:val="-106"/>
                <w:w w:val="100"/>
                <w:sz w:val="21"/>
              </w:rPr>
              <w:t>）</w:t>
            </w:r>
            <w:r>
              <w:rPr>
                <w:w w:val="100"/>
                <w:sz w:val="21"/>
              </w:rPr>
              <w:t>；</w:t>
            </w:r>
          </w:p>
        </w:tc>
      </w:tr>
      <w:tr>
        <w:trPr>
          <w:trHeight w:val="311"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3"/>
              <w:rPr>
                <w:sz w:val="21"/>
              </w:rPr>
            </w:pPr>
            <w:r>
              <w:rPr>
                <w:sz w:val="21"/>
              </w:rPr>
              <w:t>（3）视野半径小于 5 度。</w:t>
            </w:r>
          </w:p>
        </w:tc>
      </w:tr>
      <w:tr>
        <w:trPr>
          <w:trHeight w:val="311"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2"/>
              <w:rPr>
                <w:sz w:val="21"/>
              </w:rPr>
            </w:pPr>
            <w:r>
              <w:rPr>
                <w:sz w:val="21"/>
              </w:rPr>
              <w:t>单肢肢体机能完全丧失，须满足下列至少一项条件：</w:t>
            </w:r>
          </w:p>
        </w:tc>
      </w:tr>
      <w:tr>
        <w:trPr>
          <w:trHeight w:val="311"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2"/>
              <w:rPr>
                <w:sz w:val="21"/>
              </w:rPr>
            </w:pPr>
            <w:r>
              <w:rPr>
                <w:sz w:val="21"/>
              </w:rPr>
              <w:t>（1）任何一肢自腕关节或踝关节近端（靠近躯干端）以上完全性断离；</w:t>
            </w:r>
          </w:p>
        </w:tc>
      </w:tr>
      <w:tr>
        <w:trPr>
          <w:trHeight w:val="429"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2"/>
              <w:rPr>
                <w:sz w:val="21"/>
              </w:rPr>
            </w:pPr>
            <w:r>
              <w:rPr>
                <w:sz w:val="21"/>
              </w:rPr>
              <w:t>（2）任何一肢肢体机能完全丧失。</w:t>
            </w:r>
          </w:p>
        </w:tc>
      </w:tr>
      <w:tr>
        <w:trPr>
          <w:trHeight w:val="894" w:hRule="atLeast"/>
        </w:trPr>
        <w:tc>
          <w:tcPr>
            <w:tcW w:w="468" w:type="dxa"/>
          </w:tcPr>
          <w:p>
            <w:pPr>
              <w:pStyle w:val="TableParagraph"/>
              <w:spacing w:before="124"/>
              <w:ind w:left="50"/>
              <w:rPr>
                <w:b/>
                <w:sz w:val="21"/>
              </w:rPr>
            </w:pPr>
            <w:r>
              <w:rPr>
                <w:b/>
                <w:sz w:val="21"/>
              </w:rPr>
              <w:t>57</w:t>
            </w:r>
          </w:p>
        </w:tc>
        <w:tc>
          <w:tcPr>
            <w:tcW w:w="2455" w:type="dxa"/>
          </w:tcPr>
          <w:p>
            <w:pPr>
              <w:pStyle w:val="TableParagraph"/>
              <w:spacing w:line="232" w:lineRule="auto" w:before="98"/>
              <w:ind w:left="205" w:right="91"/>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6902" w:type="dxa"/>
          </w:tcPr>
          <w:p>
            <w:pPr>
              <w:pStyle w:val="TableParagraph"/>
              <w:spacing w:line="273" w:lineRule="auto" w:before="124"/>
              <w:ind w:left="93" w:right="48"/>
              <w:rPr>
                <w:sz w:val="21"/>
              </w:rPr>
            </w:pPr>
            <w:r>
              <w:rPr>
                <w:sz w:val="21"/>
              </w:rPr>
              <w:t>是一种亚急性脱髓鞘性脑病，常常发现于免疫缺陷的病人。必须由神经科专科医生根据脑组织活检确诊。</w:t>
            </w:r>
          </w:p>
        </w:tc>
      </w:tr>
      <w:tr>
        <w:trPr>
          <w:trHeight w:val="766" w:hRule="atLeast"/>
        </w:trPr>
        <w:tc>
          <w:tcPr>
            <w:tcW w:w="468" w:type="dxa"/>
          </w:tcPr>
          <w:p>
            <w:pPr>
              <w:pStyle w:val="TableParagraph"/>
              <w:spacing w:before="117"/>
              <w:ind w:left="50"/>
              <w:rPr>
                <w:b/>
                <w:sz w:val="21"/>
              </w:rPr>
            </w:pPr>
            <w:r>
              <w:rPr>
                <w:b/>
                <w:sz w:val="21"/>
              </w:rPr>
              <w:t>58</w:t>
            </w:r>
          </w:p>
        </w:tc>
        <w:tc>
          <w:tcPr>
            <w:tcW w:w="2455" w:type="dxa"/>
          </w:tcPr>
          <w:p>
            <w:pPr>
              <w:pStyle w:val="TableParagraph"/>
              <w:spacing w:line="232" w:lineRule="auto" w:before="91"/>
              <w:ind w:left="205" w:right="91"/>
              <w:rPr>
                <w:rFonts w:ascii="等线" w:eastAsia="等线" w:hint="eastAsia"/>
                <w:b/>
                <w:sz w:val="24"/>
              </w:rPr>
            </w:pPr>
            <w:r>
              <w:rPr>
                <w:rFonts w:ascii="等线" w:eastAsia="等线" w:hint="eastAsia"/>
                <w:b/>
                <w:sz w:val="24"/>
              </w:rPr>
              <w:t>破裂脑动脉瘤夹闭手术</w:t>
            </w:r>
          </w:p>
        </w:tc>
        <w:tc>
          <w:tcPr>
            <w:tcW w:w="6902" w:type="dxa"/>
          </w:tcPr>
          <w:p>
            <w:pPr>
              <w:pStyle w:val="TableParagraph"/>
              <w:spacing w:line="273" w:lineRule="auto" w:before="117"/>
              <w:ind w:left="93" w:right="48"/>
              <w:rPr>
                <w:sz w:val="21"/>
              </w:rPr>
            </w:pPr>
            <w:r>
              <w:rPr>
                <w:sz w:val="21"/>
              </w:rPr>
              <w:t>指因脑动脉瘤破裂造成蛛网膜下腔出血，被保险人已经实施了在全麻下进行的开颅动脉瘤夹闭手术。</w:t>
            </w:r>
          </w:p>
        </w:tc>
      </w:tr>
      <w:tr>
        <w:trPr>
          <w:trHeight w:val="300"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50" w:lineRule="exact"/>
              <w:ind w:left="93"/>
              <w:rPr>
                <w:sz w:val="21"/>
              </w:rPr>
            </w:pPr>
            <w:r>
              <w:rPr>
                <w:sz w:val="21"/>
                <w:shd w:fill="DADADA" w:color="auto" w:val="clear"/>
              </w:rPr>
              <w:t>脑动脉瘤（未破裂）预防性手术、颅骨打孔手术、动脉瘤栓塞手术、血管</w:t>
            </w:r>
          </w:p>
        </w:tc>
      </w:tr>
      <w:tr>
        <w:trPr>
          <w:trHeight w:val="427"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61" w:lineRule="exact"/>
              <w:ind w:left="93"/>
              <w:rPr>
                <w:sz w:val="21"/>
              </w:rPr>
            </w:pPr>
            <w:r>
              <w:rPr>
                <w:sz w:val="21"/>
                <w:shd w:fill="DADADA" w:color="auto" w:val="clear"/>
              </w:rPr>
              <w:t>内手术及其他颅脑手术不在本保障范围内。</w:t>
            </w:r>
          </w:p>
        </w:tc>
      </w:tr>
      <w:tr>
        <w:trPr>
          <w:trHeight w:val="459" w:hRule="atLeast"/>
        </w:trPr>
        <w:tc>
          <w:tcPr>
            <w:tcW w:w="468" w:type="dxa"/>
          </w:tcPr>
          <w:p>
            <w:pPr>
              <w:pStyle w:val="TableParagraph"/>
              <w:spacing w:before="102"/>
              <w:ind w:left="50"/>
              <w:rPr>
                <w:b/>
                <w:sz w:val="21"/>
              </w:rPr>
            </w:pPr>
            <w:r>
              <w:rPr>
                <w:b/>
                <w:sz w:val="21"/>
              </w:rPr>
              <w:t>59</w:t>
            </w:r>
          </w:p>
        </w:tc>
        <w:tc>
          <w:tcPr>
            <w:tcW w:w="2455" w:type="dxa"/>
          </w:tcPr>
          <w:p>
            <w:pPr>
              <w:pStyle w:val="TableParagraph"/>
              <w:spacing w:before="90"/>
              <w:ind w:left="205"/>
              <w:rPr>
                <w:rFonts w:ascii="等线" w:eastAsia="等线" w:hint="eastAsia"/>
                <w:b/>
                <w:sz w:val="24"/>
              </w:rPr>
            </w:pPr>
            <w:r>
              <w:rPr>
                <w:rFonts w:ascii="等线" w:eastAsia="等线" w:hint="eastAsia"/>
                <w:b/>
                <w:sz w:val="24"/>
              </w:rPr>
              <w:t>脊髓小脑变性症</w:t>
            </w:r>
          </w:p>
        </w:tc>
        <w:tc>
          <w:tcPr>
            <w:tcW w:w="6902" w:type="dxa"/>
          </w:tcPr>
          <w:p>
            <w:pPr>
              <w:pStyle w:val="TableParagraph"/>
              <w:spacing w:before="126"/>
              <w:ind w:left="93"/>
              <w:rPr>
                <w:sz w:val="21"/>
              </w:rPr>
            </w:pPr>
            <w:r>
              <w:rPr>
                <w:sz w:val="21"/>
              </w:rPr>
              <w:t>脊髓小脑变性症为一组以小脑萎缩和共济失调为主要临床特点的疾病。必</w:t>
            </w:r>
          </w:p>
        </w:tc>
      </w:tr>
      <w:tr>
        <w:trPr>
          <w:trHeight w:val="303" w:hRule="atLeast"/>
        </w:trPr>
        <w:tc>
          <w:tcPr>
            <w:tcW w:w="468" w:type="dxa"/>
          </w:tcPr>
          <w:p>
            <w:pPr>
              <w:pStyle w:val="TableParagraph"/>
              <w:rPr>
                <w:rFonts w:ascii="Times New Roman"/>
                <w:sz w:val="20"/>
              </w:rPr>
            </w:pPr>
          </w:p>
        </w:tc>
        <w:tc>
          <w:tcPr>
            <w:tcW w:w="2455" w:type="dxa"/>
          </w:tcPr>
          <w:p>
            <w:pPr>
              <w:pStyle w:val="TableParagraph"/>
              <w:rPr>
                <w:rFonts w:ascii="Times New Roman"/>
                <w:sz w:val="20"/>
              </w:rPr>
            </w:pPr>
          </w:p>
        </w:tc>
        <w:tc>
          <w:tcPr>
            <w:tcW w:w="6902" w:type="dxa"/>
          </w:tcPr>
          <w:p>
            <w:pPr>
              <w:pStyle w:val="TableParagraph"/>
              <w:spacing w:line="253" w:lineRule="exact"/>
              <w:ind w:left="93"/>
              <w:rPr>
                <w:sz w:val="21"/>
              </w:rPr>
            </w:pPr>
            <w:r>
              <w:rPr>
                <w:sz w:val="21"/>
              </w:rPr>
              <w:t>须符合所有以下条件：</w:t>
            </w:r>
          </w:p>
        </w:tc>
      </w:tr>
      <w:tr>
        <w:trPr>
          <w:trHeight w:val="261" w:hRule="atLeast"/>
        </w:trPr>
        <w:tc>
          <w:tcPr>
            <w:tcW w:w="468" w:type="dxa"/>
          </w:tcPr>
          <w:p>
            <w:pPr>
              <w:pStyle w:val="TableParagraph"/>
              <w:rPr>
                <w:rFonts w:ascii="Times New Roman"/>
                <w:sz w:val="18"/>
              </w:rPr>
            </w:pPr>
          </w:p>
        </w:tc>
        <w:tc>
          <w:tcPr>
            <w:tcW w:w="2455" w:type="dxa"/>
          </w:tcPr>
          <w:p>
            <w:pPr>
              <w:pStyle w:val="TableParagraph"/>
              <w:rPr>
                <w:rFonts w:ascii="Times New Roman"/>
                <w:sz w:val="18"/>
              </w:rPr>
            </w:pPr>
          </w:p>
        </w:tc>
        <w:tc>
          <w:tcPr>
            <w:tcW w:w="6902" w:type="dxa"/>
          </w:tcPr>
          <w:p>
            <w:pPr>
              <w:pStyle w:val="TableParagraph"/>
              <w:spacing w:line="242" w:lineRule="exact"/>
              <w:ind w:left="93"/>
              <w:rPr>
                <w:sz w:val="21"/>
              </w:rPr>
            </w:pPr>
            <w:r>
              <w:rPr>
                <w:sz w:val="21"/>
              </w:rPr>
              <w:t>（1）脊髓小脑变性症必须由医院诊断，并有以下证据支持：</w:t>
            </w:r>
          </w:p>
        </w:tc>
      </w:tr>
    </w:tbl>
    <w:p>
      <w:pPr>
        <w:pStyle w:val="BodyText"/>
        <w:spacing w:before="37"/>
        <w:ind w:left="3332"/>
      </w:pPr>
      <w:r>
        <w:rPr/>
        <w:t>① 影像学检查证实存在小脑萎缩；</w:t>
      </w:r>
    </w:p>
    <w:p>
      <w:pPr>
        <w:pStyle w:val="BodyText"/>
        <w:spacing w:before="37"/>
        <w:ind w:left="3332"/>
      </w:pPr>
      <w:r>
        <w:rPr/>
        <w:t>② 临床表现存在共济失调、语言障碍和肌张力异常。</w:t>
      </w:r>
    </w:p>
    <w:p>
      <w:pPr>
        <w:pStyle w:val="BodyText"/>
        <w:spacing w:line="273" w:lineRule="auto" w:before="37"/>
        <w:ind w:left="3644" w:right="103" w:hanging="524"/>
      </w:pPr>
      <w:r>
        <w:rPr/>
        <w:t>（2）被保险人运动功能严重障碍，自主生活能力完全丧失，无法独立完成六项基本日常生活活动中的三项或三项以上。</w:t>
      </w:r>
    </w:p>
    <w:p>
      <w:pPr>
        <w:pStyle w:val="BodyText"/>
        <w:spacing w:before="8"/>
        <w:rPr>
          <w:sz w:val="26"/>
        </w:rPr>
      </w:pPr>
    </w:p>
    <w:p>
      <w:pPr>
        <w:pStyle w:val="Heading3"/>
        <w:tabs>
          <w:tab w:pos="3120" w:val="left" w:leader="none"/>
        </w:tabs>
        <w:ind w:left="778"/>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5</w:t>
      </w:r>
      <w:r>
        <w:rPr>
          <w:rFonts w:ascii="宋体" w:eastAsia="宋体" w:hint="eastAsia"/>
          <w:spacing w:val="-54"/>
        </w:rPr>
        <w:t> </w:t>
      </w:r>
      <w:r>
        <w:rPr>
          <w:rFonts w:ascii="宋体" w:eastAsia="宋体" w:hint="eastAsia"/>
        </w:rPr>
        <w:t>类：</w:t>
        <w:tab/>
        <w:t>其他重大疾病</w:t>
      </w:r>
    </w:p>
    <w:p>
      <w:pPr>
        <w:spacing w:after="0"/>
        <w:rPr>
          <w:rFonts w:ascii="宋体" w:eastAsia="宋体" w:hint="eastAsia"/>
        </w:rPr>
        <w:sectPr>
          <w:type w:val="continuous"/>
          <w:pgSz w:w="11910" w:h="16840"/>
          <w:pgMar w:top="480" w:bottom="280" w:left="106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456"/>
        <w:gridCol w:w="7058"/>
      </w:tblGrid>
      <w:tr>
        <w:trPr>
          <w:trHeight w:val="754" w:hRule="atLeast"/>
        </w:trPr>
        <w:tc>
          <w:tcPr>
            <w:tcW w:w="618" w:type="dxa"/>
          </w:tcPr>
          <w:p>
            <w:pPr>
              <w:pStyle w:val="TableParagraph"/>
              <w:spacing w:line="231" w:lineRule="exact"/>
              <w:ind w:left="181" w:right="185"/>
              <w:jc w:val="center"/>
              <w:rPr>
                <w:b/>
                <w:sz w:val="21"/>
              </w:rPr>
            </w:pPr>
            <w:r>
              <w:rPr>
                <w:b/>
                <w:sz w:val="21"/>
              </w:rPr>
              <w:t>60</w:t>
            </w:r>
          </w:p>
        </w:tc>
        <w:tc>
          <w:tcPr>
            <w:tcW w:w="2456" w:type="dxa"/>
          </w:tcPr>
          <w:p>
            <w:pPr>
              <w:pStyle w:val="TableParagraph"/>
              <w:spacing w:line="248" w:lineRule="exact"/>
              <w:ind w:left="205"/>
              <w:rPr>
                <w:rFonts w:ascii="等线" w:eastAsia="等线" w:hint="eastAsia"/>
                <w:b/>
                <w:sz w:val="24"/>
              </w:rPr>
            </w:pPr>
            <w:r>
              <w:rPr>
                <w:rFonts w:ascii="等线" w:eastAsia="等线" w:hint="eastAsia"/>
                <w:b/>
                <w:sz w:val="24"/>
              </w:rPr>
              <w:t>多个肢体缺失</w:t>
            </w:r>
          </w:p>
        </w:tc>
        <w:tc>
          <w:tcPr>
            <w:tcW w:w="7058" w:type="dxa"/>
          </w:tcPr>
          <w:p>
            <w:pPr>
              <w:pStyle w:val="TableParagraph"/>
              <w:spacing w:line="231" w:lineRule="exact"/>
              <w:ind w:left="92"/>
              <w:rPr>
                <w:sz w:val="21"/>
              </w:rPr>
            </w:pPr>
            <w:r>
              <w:rPr>
                <w:sz w:val="21"/>
              </w:rPr>
              <w:t>指因疾病或意外伤害导致两个或两个以上肢体自腕关节或踝关节近端（靠</w:t>
            </w:r>
          </w:p>
          <w:p>
            <w:pPr>
              <w:pStyle w:val="TableParagraph"/>
              <w:spacing w:before="37"/>
              <w:ind w:left="92"/>
              <w:rPr>
                <w:sz w:val="21"/>
              </w:rPr>
            </w:pPr>
            <w:r>
              <w:rPr>
                <w:sz w:val="21"/>
              </w:rPr>
              <w:t>近躯干端）以上完全性断离。</w:t>
            </w:r>
          </w:p>
        </w:tc>
      </w:tr>
      <w:tr>
        <w:trPr>
          <w:trHeight w:val="2524" w:hRule="atLeast"/>
        </w:trPr>
        <w:tc>
          <w:tcPr>
            <w:tcW w:w="618" w:type="dxa"/>
          </w:tcPr>
          <w:p>
            <w:pPr>
              <w:pStyle w:val="TableParagraph"/>
              <w:spacing w:before="167"/>
              <w:ind w:left="181" w:right="185"/>
              <w:jc w:val="center"/>
              <w:rPr>
                <w:b/>
                <w:sz w:val="21"/>
              </w:rPr>
            </w:pPr>
            <w:r>
              <w:rPr>
                <w:b/>
                <w:sz w:val="21"/>
              </w:rPr>
              <w:t>61</w:t>
            </w:r>
          </w:p>
        </w:tc>
        <w:tc>
          <w:tcPr>
            <w:tcW w:w="2456" w:type="dxa"/>
          </w:tcPr>
          <w:p>
            <w:pPr>
              <w:pStyle w:val="TableParagraph"/>
              <w:spacing w:before="131"/>
              <w:ind w:left="205"/>
              <w:rPr>
                <w:rFonts w:ascii="等线" w:eastAsia="等线" w:hint="eastAsia"/>
                <w:b/>
                <w:sz w:val="24"/>
              </w:rPr>
            </w:pPr>
            <w:r>
              <w:rPr>
                <w:rFonts w:ascii="等线" w:eastAsia="等线" w:hint="eastAsia"/>
                <w:b/>
                <w:sz w:val="24"/>
              </w:rPr>
              <w:t>严重的 1 型糖尿病</w:t>
            </w:r>
          </w:p>
        </w:tc>
        <w:tc>
          <w:tcPr>
            <w:tcW w:w="7058" w:type="dxa"/>
          </w:tcPr>
          <w:p>
            <w:pPr>
              <w:pStyle w:val="TableParagraph"/>
              <w:spacing w:line="273" w:lineRule="auto" w:before="167"/>
              <w:ind w:left="92" w:right="200"/>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1"/>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肽测定，结果异常，并由内分泌科专科医生明确诊断。并须在本主险合同保险</w:t>
            </w:r>
            <w:r>
              <w:rPr>
                <w:spacing w:val="-13"/>
                <w:sz w:val="21"/>
              </w:rPr>
              <w:t>期间内，满足下列至少 </w:t>
            </w:r>
            <w:r>
              <w:rPr>
                <w:sz w:val="21"/>
              </w:rPr>
              <w:t>1</w:t>
            </w:r>
            <w:r>
              <w:rPr>
                <w:spacing w:val="-11"/>
                <w:sz w:val="21"/>
              </w:rPr>
              <w:t> 个条件：</w:t>
            </w:r>
          </w:p>
          <w:p>
            <w:pPr>
              <w:pStyle w:val="TableParagraph"/>
              <w:spacing w:before="7"/>
              <w:ind w:left="92"/>
              <w:jc w:val="both"/>
              <w:rPr>
                <w:sz w:val="21"/>
              </w:rPr>
            </w:pPr>
            <w:r>
              <w:rPr>
                <w:sz w:val="21"/>
              </w:rPr>
              <w:t>（1）已出现增殖性视网膜病变；</w:t>
            </w:r>
          </w:p>
          <w:p>
            <w:pPr>
              <w:pStyle w:val="TableParagraph"/>
              <w:spacing w:before="36"/>
              <w:ind w:left="92"/>
              <w:jc w:val="both"/>
              <w:rPr>
                <w:sz w:val="21"/>
              </w:rPr>
            </w:pPr>
            <w:r>
              <w:rPr>
                <w:sz w:val="21"/>
              </w:rPr>
              <w:t>（2）须植入心脏起搏器治疗心脏病；</w:t>
            </w:r>
          </w:p>
          <w:p>
            <w:pPr>
              <w:pStyle w:val="TableParagraph"/>
              <w:spacing w:before="36"/>
              <w:ind w:left="92"/>
              <w:jc w:val="both"/>
              <w:rPr>
                <w:sz w:val="21"/>
              </w:rPr>
            </w:pPr>
            <w:r>
              <w:rPr>
                <w:sz w:val="21"/>
              </w:rPr>
              <w:t>（3）因坏疽需切除至少一个脚趾。</w:t>
            </w:r>
          </w:p>
        </w:tc>
      </w:tr>
      <w:tr>
        <w:trPr>
          <w:trHeight w:val="936" w:hRule="atLeast"/>
        </w:trPr>
        <w:tc>
          <w:tcPr>
            <w:tcW w:w="618" w:type="dxa"/>
          </w:tcPr>
          <w:p>
            <w:pPr>
              <w:pStyle w:val="TableParagraph"/>
              <w:spacing w:before="167"/>
              <w:ind w:left="181" w:right="185"/>
              <w:jc w:val="center"/>
              <w:rPr>
                <w:b/>
                <w:sz w:val="21"/>
              </w:rPr>
            </w:pPr>
            <w:r>
              <w:rPr>
                <w:b/>
                <w:sz w:val="21"/>
              </w:rPr>
              <w:t>62</w:t>
            </w:r>
          </w:p>
        </w:tc>
        <w:tc>
          <w:tcPr>
            <w:tcW w:w="2456" w:type="dxa"/>
          </w:tcPr>
          <w:p>
            <w:pPr>
              <w:pStyle w:val="TableParagraph"/>
              <w:spacing w:before="131"/>
              <w:ind w:left="205"/>
              <w:rPr>
                <w:rFonts w:ascii="等线" w:hAnsi="等线" w:eastAsia="等线" w:hint="eastAsia"/>
                <w:b/>
                <w:sz w:val="24"/>
              </w:rPr>
            </w:pPr>
            <w:r>
              <w:rPr>
                <w:rFonts w:ascii="等线" w:hAnsi="等线" w:eastAsia="等线" w:hint="eastAsia"/>
                <w:b/>
                <w:sz w:val="24"/>
              </w:rPr>
              <w:t>严重Ⅲ度烧伤</w:t>
            </w:r>
          </w:p>
        </w:tc>
        <w:tc>
          <w:tcPr>
            <w:tcW w:w="7058" w:type="dxa"/>
          </w:tcPr>
          <w:p>
            <w:pPr>
              <w:pStyle w:val="TableParagraph"/>
              <w:spacing w:line="273" w:lineRule="auto" w:before="167"/>
              <w:ind w:left="92" w:right="205"/>
              <w:rPr>
                <w:sz w:val="21"/>
              </w:rPr>
            </w:pPr>
            <w:r>
              <w:rPr>
                <w:sz w:val="21"/>
              </w:rPr>
              <w:t>指烧伤程度为Ⅲ度，且Ⅲ度烧伤的面积达到全身体表面积的 20%或 20%以上。体表面积根据《中国新九分法》计算。</w:t>
            </w:r>
          </w:p>
        </w:tc>
      </w:tr>
      <w:tr>
        <w:trPr>
          <w:trHeight w:val="1219" w:hRule="atLeast"/>
        </w:trPr>
        <w:tc>
          <w:tcPr>
            <w:tcW w:w="618" w:type="dxa"/>
          </w:tcPr>
          <w:p>
            <w:pPr>
              <w:pStyle w:val="TableParagraph"/>
              <w:spacing w:before="138"/>
              <w:ind w:left="181" w:right="185"/>
              <w:jc w:val="center"/>
              <w:rPr>
                <w:b/>
                <w:sz w:val="21"/>
              </w:rPr>
            </w:pPr>
            <w:r>
              <w:rPr>
                <w:b/>
                <w:sz w:val="21"/>
              </w:rPr>
              <w:t>63</w:t>
            </w:r>
          </w:p>
        </w:tc>
        <w:tc>
          <w:tcPr>
            <w:tcW w:w="2456" w:type="dxa"/>
          </w:tcPr>
          <w:p>
            <w:pPr>
              <w:pStyle w:val="TableParagraph"/>
              <w:spacing w:before="102"/>
              <w:ind w:left="205"/>
              <w:rPr>
                <w:rFonts w:ascii="等线" w:eastAsia="等线" w:hint="eastAsia"/>
                <w:b/>
                <w:sz w:val="24"/>
              </w:rPr>
            </w:pPr>
            <w:r>
              <w:rPr>
                <w:rFonts w:ascii="等线" w:eastAsia="等线" w:hint="eastAsia"/>
                <w:b/>
                <w:sz w:val="24"/>
              </w:rPr>
              <w:t>象皮病</w:t>
            </w:r>
          </w:p>
        </w:tc>
        <w:tc>
          <w:tcPr>
            <w:tcW w:w="7058" w:type="dxa"/>
          </w:tcPr>
          <w:p>
            <w:pPr>
              <w:pStyle w:val="TableParagraph"/>
              <w:spacing w:line="273" w:lineRule="auto" w:before="138"/>
              <w:ind w:left="92" w:right="205"/>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120" w:hRule="atLeast"/>
        </w:trPr>
        <w:tc>
          <w:tcPr>
            <w:tcW w:w="618" w:type="dxa"/>
          </w:tcPr>
          <w:p>
            <w:pPr>
              <w:pStyle w:val="TableParagraph"/>
              <w:spacing w:before="138"/>
              <w:ind w:left="181" w:right="185"/>
              <w:jc w:val="center"/>
              <w:rPr>
                <w:b/>
                <w:sz w:val="21"/>
              </w:rPr>
            </w:pPr>
            <w:r>
              <w:rPr>
                <w:b/>
                <w:sz w:val="21"/>
              </w:rPr>
              <w:t>64</w:t>
            </w:r>
          </w:p>
        </w:tc>
        <w:tc>
          <w:tcPr>
            <w:tcW w:w="2456" w:type="dxa"/>
          </w:tcPr>
          <w:p>
            <w:pPr>
              <w:pStyle w:val="TableParagraph"/>
              <w:spacing w:line="235" w:lineRule="auto" w:before="109"/>
              <w:ind w:left="205" w:right="92"/>
              <w:jc w:val="both"/>
              <w:rPr>
                <w:rFonts w:ascii="等线" w:eastAsia="等线" w:hint="eastAsia"/>
                <w:b/>
                <w:sz w:val="24"/>
              </w:rPr>
            </w:pPr>
            <w:r>
              <w:rPr>
                <w:rFonts w:ascii="等线" w:eastAsia="等线" w:hint="eastAsia"/>
                <w:b/>
                <w:sz w:val="24"/>
              </w:rPr>
              <w:t>经输血导致的艾滋病病毒感染或患艾滋病</w:t>
            </w:r>
          </w:p>
        </w:tc>
        <w:tc>
          <w:tcPr>
            <w:tcW w:w="7058" w:type="dxa"/>
          </w:tcPr>
          <w:p>
            <w:pPr>
              <w:pStyle w:val="TableParagraph"/>
              <w:spacing w:line="273" w:lineRule="auto" w:before="138"/>
              <w:ind w:left="92" w:right="130"/>
              <w:rPr>
                <w:sz w:val="21"/>
              </w:rPr>
            </w:pPr>
            <w:r>
              <w:rPr>
                <w:sz w:val="21"/>
              </w:rPr>
              <w:t>指被保险人因输血而感染上人类免疫缺陷病毒（HIV）或患艾滋病必须满足以下全部条件：</w:t>
            </w:r>
          </w:p>
          <w:p>
            <w:pPr>
              <w:pStyle w:val="TableParagraph"/>
              <w:spacing w:before="7"/>
              <w:ind w:left="92"/>
              <w:rPr>
                <w:sz w:val="21"/>
              </w:rPr>
            </w:pPr>
            <w:r>
              <w:rPr>
                <w:sz w:val="21"/>
              </w:rPr>
              <w:t>（1）被保险人因输血而感染 HIV 或患艾滋病；</w:t>
            </w:r>
          </w:p>
          <w:p>
            <w:pPr>
              <w:pStyle w:val="TableParagraph"/>
              <w:spacing w:line="273" w:lineRule="auto" w:before="36"/>
              <w:ind w:left="615" w:right="200" w:hanging="523"/>
              <w:rPr>
                <w:sz w:val="21"/>
              </w:rPr>
            </w:pPr>
            <w:r>
              <w:rPr>
                <w:spacing w:val="-23"/>
                <w:sz w:val="21"/>
              </w:rPr>
              <w:t>（2）</w:t>
            </w:r>
            <w:r>
              <w:rPr>
                <w:spacing w:val="-5"/>
                <w:sz w:val="21"/>
              </w:rPr>
              <w:t>提供输血治疗的输血中心或医院出具该项输血感染属医疗责任事故的报告，或者法院终审裁定为医疗责任；</w:t>
            </w:r>
          </w:p>
          <w:p>
            <w:pPr>
              <w:pStyle w:val="TableParagraph"/>
              <w:spacing w:before="7"/>
              <w:ind w:left="92"/>
              <w:rPr>
                <w:sz w:val="21"/>
              </w:rPr>
            </w:pPr>
            <w:r>
              <w:rPr>
                <w:sz w:val="21"/>
              </w:rPr>
              <w:t>（3）受感染的被保险人不是血友病患者。</w:t>
            </w:r>
          </w:p>
          <w:p>
            <w:pPr>
              <w:pStyle w:val="TableParagraph"/>
              <w:spacing w:line="273" w:lineRule="auto" w:before="37"/>
              <w:ind w:left="92" w:right="205"/>
              <w:jc w:val="both"/>
              <w:rPr>
                <w:sz w:val="21"/>
              </w:rPr>
            </w:pPr>
            <w:r>
              <w:rPr>
                <w:spacing w:val="-2"/>
                <w:sz w:val="21"/>
                <w:shd w:fill="DADADA" w:color="auto" w:val="clear"/>
              </w:rPr>
              <w:t>任何因其他传播方式</w:t>
            </w:r>
            <w:r>
              <w:rPr>
                <w:sz w:val="21"/>
                <w:shd w:fill="DADADA" w:color="auto" w:val="clear"/>
              </w:rPr>
              <w:t>（</w:t>
            </w:r>
            <w:r>
              <w:rPr>
                <w:spacing w:val="-5"/>
                <w:sz w:val="21"/>
                <w:shd w:fill="DADADA" w:color="auto" w:val="clear"/>
              </w:rPr>
              <w:t>包括：性传播或静脉注射毒品等</w:t>
            </w:r>
            <w:r>
              <w:rPr>
                <w:sz w:val="21"/>
                <w:shd w:fill="DADADA" w:color="auto" w:val="clear"/>
              </w:rPr>
              <w:t>）</w:t>
            </w:r>
            <w:r>
              <w:rPr>
                <w:spacing w:val="-6"/>
                <w:sz w:val="21"/>
                <w:shd w:fill="DADADA" w:color="auto" w:val="clear"/>
              </w:rPr>
              <w:t>导致的 </w:t>
            </w:r>
            <w:r>
              <w:rPr>
                <w:sz w:val="21"/>
                <w:shd w:fill="DADADA" w:color="auto" w:val="clear"/>
              </w:rPr>
              <w:t>HIV</w:t>
            </w:r>
            <w:r>
              <w:rPr>
                <w:spacing w:val="-9"/>
                <w:sz w:val="21"/>
                <w:shd w:fill="DADADA" w:color="auto" w:val="clear"/>
              </w:rPr>
              <w:t> 感染</w:t>
            </w:r>
            <w:r>
              <w:rPr>
                <w:sz w:val="21"/>
                <w:shd w:fill="DADADA" w:color="auto" w:val="clear"/>
              </w:rPr>
              <w:t>或患艾滋病不在保障范围内。</w:t>
            </w:r>
            <w:r>
              <w:rPr>
                <w:sz w:val="21"/>
              </w:rPr>
              <w:t>本公司具有获得使用被保险人的所有血液样</w:t>
            </w:r>
            <w:r>
              <w:rPr>
                <w:spacing w:val="-5"/>
                <w:sz w:val="21"/>
              </w:rPr>
              <w:t>本的权利和能够对这些样本进行独立检验的权利。</w:t>
            </w:r>
          </w:p>
        </w:tc>
      </w:tr>
      <w:tr>
        <w:trPr>
          <w:trHeight w:val="2212" w:hRule="atLeast"/>
        </w:trPr>
        <w:tc>
          <w:tcPr>
            <w:tcW w:w="618" w:type="dxa"/>
          </w:tcPr>
          <w:p>
            <w:pPr>
              <w:pStyle w:val="TableParagraph"/>
              <w:spacing w:before="167"/>
              <w:ind w:left="181" w:right="185"/>
              <w:jc w:val="center"/>
              <w:rPr>
                <w:b/>
                <w:sz w:val="21"/>
              </w:rPr>
            </w:pPr>
            <w:r>
              <w:rPr>
                <w:b/>
                <w:sz w:val="21"/>
              </w:rPr>
              <w:t>65</w:t>
            </w:r>
          </w:p>
        </w:tc>
        <w:tc>
          <w:tcPr>
            <w:tcW w:w="2456" w:type="dxa"/>
          </w:tcPr>
          <w:p>
            <w:pPr>
              <w:pStyle w:val="TableParagraph"/>
              <w:spacing w:before="131"/>
              <w:ind w:left="205"/>
              <w:rPr>
                <w:rFonts w:ascii="等线" w:eastAsia="等线" w:hint="eastAsia"/>
                <w:b/>
                <w:sz w:val="24"/>
              </w:rPr>
            </w:pPr>
            <w:r>
              <w:rPr>
                <w:rFonts w:ascii="等线" w:eastAsia="等线" w:hint="eastAsia"/>
                <w:b/>
                <w:sz w:val="24"/>
              </w:rPr>
              <w:t>严重ft营养不良症</w:t>
            </w:r>
          </w:p>
        </w:tc>
        <w:tc>
          <w:tcPr>
            <w:tcW w:w="7058" w:type="dxa"/>
          </w:tcPr>
          <w:p>
            <w:pPr>
              <w:pStyle w:val="TableParagraph"/>
              <w:spacing w:line="273" w:lineRule="auto" w:before="167"/>
              <w:ind w:left="92" w:right="205"/>
              <w:rPr>
                <w:sz w:val="21"/>
              </w:rPr>
            </w:pPr>
            <w:r>
              <w:rPr>
                <w:sz w:val="21"/>
              </w:rPr>
              <w:t>指一组原发于肌肉的疾病，临床表现为与神经系统无关的肌肉无力和肌肉萎缩。且须满足下列全部条件：</w:t>
            </w:r>
          </w:p>
          <w:p>
            <w:pPr>
              <w:pStyle w:val="TableParagraph"/>
              <w:spacing w:line="273" w:lineRule="auto" w:before="7"/>
              <w:ind w:left="615" w:right="200" w:hanging="524"/>
              <w:rPr>
                <w:sz w:val="21"/>
              </w:rPr>
            </w:pPr>
            <w:r>
              <w:rPr>
                <w:spacing w:val="-12"/>
                <w:sz w:val="21"/>
              </w:rPr>
              <w:t>（1）</w:t>
            </w:r>
            <w:r>
              <w:rPr>
                <w:spacing w:val="-7"/>
                <w:sz w:val="21"/>
              </w:rPr>
              <w:t>肌肉组织活检结果满足肌营养不良症的肌肉细胞变性、坏死等阳性改变；</w:t>
            </w:r>
          </w:p>
          <w:p>
            <w:pPr>
              <w:pStyle w:val="TableParagraph"/>
              <w:spacing w:line="273" w:lineRule="auto" w:before="7"/>
              <w:ind w:left="615" w:right="200" w:hanging="524"/>
              <w:rPr>
                <w:sz w:val="21"/>
              </w:rPr>
            </w:pPr>
            <w:r>
              <w:rPr>
                <w:spacing w:val="-12"/>
                <w:sz w:val="21"/>
              </w:rPr>
              <w:t>（2）</w:t>
            </w:r>
            <w:r>
              <w:rPr>
                <w:spacing w:val="-7"/>
                <w:sz w:val="21"/>
              </w:rPr>
              <w:t>自主生活能力完全丧失，无法独立完成六项基本日常生活活动中的三</w:t>
            </w:r>
            <w:r>
              <w:rPr>
                <w:spacing w:val="-6"/>
                <w:sz w:val="21"/>
              </w:rPr>
              <w:t>项或三项以上。</w:t>
            </w:r>
          </w:p>
        </w:tc>
      </w:tr>
      <w:tr>
        <w:trPr>
          <w:trHeight w:val="905" w:hRule="atLeast"/>
        </w:trPr>
        <w:tc>
          <w:tcPr>
            <w:tcW w:w="618" w:type="dxa"/>
          </w:tcPr>
          <w:p>
            <w:pPr>
              <w:pStyle w:val="TableParagraph"/>
              <w:spacing w:before="167"/>
              <w:ind w:left="181" w:right="185"/>
              <w:jc w:val="center"/>
              <w:rPr>
                <w:b/>
                <w:sz w:val="21"/>
              </w:rPr>
            </w:pPr>
            <w:r>
              <w:rPr>
                <w:b/>
                <w:sz w:val="21"/>
              </w:rPr>
              <w:t>66</w:t>
            </w:r>
          </w:p>
        </w:tc>
        <w:tc>
          <w:tcPr>
            <w:tcW w:w="2456" w:type="dxa"/>
          </w:tcPr>
          <w:p>
            <w:pPr>
              <w:pStyle w:val="TableParagraph"/>
              <w:spacing w:before="131"/>
              <w:ind w:left="205"/>
              <w:rPr>
                <w:rFonts w:ascii="等线" w:eastAsia="等线" w:hint="eastAsia"/>
                <w:b/>
                <w:sz w:val="24"/>
              </w:rPr>
            </w:pPr>
            <w:r>
              <w:rPr>
                <w:rFonts w:ascii="等线" w:eastAsia="等线" w:hint="eastAsia"/>
                <w:b/>
                <w:sz w:val="24"/>
              </w:rPr>
              <w:t>弥漫性血管内凝血</w:t>
            </w:r>
          </w:p>
        </w:tc>
        <w:tc>
          <w:tcPr>
            <w:tcW w:w="7058" w:type="dxa"/>
          </w:tcPr>
          <w:p>
            <w:pPr>
              <w:pStyle w:val="TableParagraph"/>
              <w:spacing w:line="273" w:lineRule="auto" w:before="167"/>
              <w:ind w:left="92" w:right="205"/>
              <w:rPr>
                <w:sz w:val="21"/>
              </w:rPr>
            </w:pPr>
            <w:r>
              <w:rPr>
                <w:sz w:val="21"/>
              </w:rPr>
              <w:t>指血液凝固系统和纤溶系统的过度活动导致微血管血栓形成、血小板及凝血因子耗竭和严重出血，需要输注血浆和浓缩血小板进行治疗。</w:t>
            </w:r>
          </w:p>
        </w:tc>
      </w:tr>
      <w:tr>
        <w:trPr>
          <w:trHeight w:val="2814" w:hRule="atLeast"/>
        </w:trPr>
        <w:tc>
          <w:tcPr>
            <w:tcW w:w="618" w:type="dxa"/>
          </w:tcPr>
          <w:p>
            <w:pPr>
              <w:pStyle w:val="TableParagraph"/>
              <w:spacing w:before="87"/>
              <w:ind w:left="181" w:right="185"/>
              <w:jc w:val="center"/>
              <w:rPr>
                <w:b/>
                <w:sz w:val="21"/>
              </w:rPr>
            </w:pPr>
            <w:r>
              <w:rPr>
                <w:b/>
                <w:sz w:val="21"/>
              </w:rPr>
              <w:t>67</w:t>
            </w:r>
          </w:p>
        </w:tc>
        <w:tc>
          <w:tcPr>
            <w:tcW w:w="2456" w:type="dxa"/>
          </w:tcPr>
          <w:p>
            <w:pPr>
              <w:pStyle w:val="TableParagraph"/>
              <w:spacing w:line="232" w:lineRule="auto" w:before="85"/>
              <w:ind w:left="205" w:right="92"/>
              <w:jc w:val="both"/>
              <w:rPr>
                <w:rFonts w:ascii="等线" w:eastAsia="等线" w:hint="eastAsia"/>
                <w:b/>
                <w:sz w:val="24"/>
              </w:rPr>
            </w:pPr>
            <w:r>
              <w:rPr>
                <w:rFonts w:ascii="等线" w:eastAsia="等线" w:hint="eastAsia"/>
                <w:b/>
                <w:sz w:val="24"/>
              </w:rPr>
              <w:t>因职业关系导致的艾滋病病毒感染或患艾滋病</w:t>
            </w:r>
          </w:p>
        </w:tc>
        <w:tc>
          <w:tcPr>
            <w:tcW w:w="7058" w:type="dxa"/>
          </w:tcPr>
          <w:p>
            <w:pPr>
              <w:pStyle w:val="TableParagraph"/>
              <w:spacing w:before="87"/>
              <w:ind w:left="92" w:right="200"/>
              <w:jc w:val="both"/>
              <w:rPr>
                <w:sz w:val="21"/>
              </w:rPr>
            </w:pPr>
            <w:r>
              <w:rPr>
                <w:sz w:val="21"/>
              </w:rPr>
              <w:t>被保险人在其常规职业工作过程中遭遇外伤，或者职业需要处理血液或者</w:t>
            </w:r>
            <w:r>
              <w:rPr>
                <w:spacing w:val="-5"/>
                <w:sz w:val="21"/>
              </w:rPr>
              <w:t>其他体液时感染上人类免疫缺陷病毒</w:t>
            </w:r>
            <w:r>
              <w:rPr>
                <w:spacing w:val="-6"/>
                <w:sz w:val="21"/>
              </w:rPr>
              <w:t>（HIV）或患艾滋病。必须满足下列全部条件：</w:t>
            </w:r>
          </w:p>
          <w:p>
            <w:pPr>
              <w:pStyle w:val="TableParagraph"/>
              <w:ind w:left="615" w:right="200" w:hanging="524"/>
              <w:rPr>
                <w:sz w:val="21"/>
              </w:rPr>
            </w:pPr>
            <w:r>
              <w:rPr>
                <w:spacing w:val="-12"/>
                <w:sz w:val="21"/>
              </w:rPr>
              <w:t>（1）</w:t>
            </w:r>
            <w:r>
              <w:rPr>
                <w:spacing w:val="-7"/>
                <w:sz w:val="21"/>
              </w:rPr>
              <w:t>感染必须是在被保险人正在从事其职业工作中发生，该职业必须属于</w:t>
            </w:r>
            <w:r>
              <w:rPr>
                <w:spacing w:val="-6"/>
                <w:sz w:val="21"/>
              </w:rPr>
              <w:t>以下列表内的职业；</w:t>
            </w:r>
          </w:p>
          <w:p>
            <w:pPr>
              <w:pStyle w:val="TableParagraph"/>
              <w:spacing w:before="5"/>
              <w:ind w:left="615" w:right="200" w:hanging="524"/>
              <w:rPr>
                <w:sz w:val="21"/>
              </w:rPr>
            </w:pPr>
            <w:r>
              <w:rPr>
                <w:spacing w:val="-12"/>
                <w:sz w:val="21"/>
              </w:rPr>
              <w:t>（2）</w:t>
            </w:r>
            <w:r>
              <w:rPr>
                <w:spacing w:val="-7"/>
                <w:sz w:val="21"/>
              </w:rPr>
              <w:t>必须提供被保险人在所报事故发生后的 </w:t>
            </w:r>
            <w:r>
              <w:rPr>
                <w:sz w:val="21"/>
              </w:rPr>
              <w:t>5</w:t>
            </w:r>
            <w:r>
              <w:rPr>
                <w:spacing w:val="-10"/>
                <w:sz w:val="21"/>
              </w:rPr>
              <w:t> 天以内进行的检查报告，该</w:t>
            </w:r>
            <w:r>
              <w:rPr>
                <w:spacing w:val="-11"/>
                <w:sz w:val="21"/>
              </w:rPr>
              <w:t>报告必须显示被保险人血液 </w:t>
            </w:r>
            <w:r>
              <w:rPr>
                <w:sz w:val="21"/>
              </w:rPr>
              <w:t>HIV</w:t>
            </w:r>
            <w:r>
              <w:rPr>
                <w:spacing w:val="-10"/>
                <w:sz w:val="21"/>
              </w:rPr>
              <w:t> 病毒阴性和</w:t>
            </w:r>
            <w:r>
              <w:rPr>
                <w:sz w:val="21"/>
              </w:rPr>
              <w:t>/</w:t>
            </w:r>
            <w:r>
              <w:rPr>
                <w:spacing w:val="-24"/>
                <w:sz w:val="21"/>
              </w:rPr>
              <w:t>或 </w:t>
            </w:r>
            <w:r>
              <w:rPr>
                <w:sz w:val="21"/>
              </w:rPr>
              <w:t>HIV</w:t>
            </w:r>
            <w:r>
              <w:rPr>
                <w:spacing w:val="-10"/>
                <w:sz w:val="21"/>
              </w:rPr>
              <w:t> 抗体阴性；</w:t>
            </w:r>
          </w:p>
          <w:p>
            <w:pPr>
              <w:pStyle w:val="TableParagraph"/>
              <w:spacing w:line="268" w:lineRule="exact"/>
              <w:ind w:left="92"/>
              <w:jc w:val="both"/>
              <w:rPr>
                <w:sz w:val="21"/>
              </w:rPr>
            </w:pPr>
            <w:r>
              <w:rPr>
                <w:sz w:val="21"/>
              </w:rPr>
              <w:t>（3）</w:t>
            </w:r>
            <w:r>
              <w:rPr>
                <w:spacing w:val="-14"/>
                <w:sz w:val="21"/>
              </w:rPr>
              <w:t>必须在事故发生后的 </w:t>
            </w:r>
            <w:r>
              <w:rPr>
                <w:sz w:val="21"/>
              </w:rPr>
              <w:t>6</w:t>
            </w:r>
            <w:r>
              <w:rPr>
                <w:spacing w:val="-18"/>
                <w:sz w:val="21"/>
              </w:rPr>
              <w:t> 个月内证实被保险人体内存在 </w:t>
            </w:r>
            <w:r>
              <w:rPr>
                <w:spacing w:val="-4"/>
                <w:sz w:val="21"/>
              </w:rPr>
              <w:t>HIV</w:t>
            </w:r>
            <w:r>
              <w:rPr>
                <w:spacing w:val="-23"/>
                <w:sz w:val="21"/>
              </w:rPr>
              <w:t> 病毒或者 </w:t>
            </w:r>
            <w:r>
              <w:rPr>
                <w:spacing w:val="-5"/>
                <w:sz w:val="21"/>
              </w:rPr>
              <w:t>HIV</w:t>
            </w:r>
          </w:p>
          <w:p>
            <w:pPr>
              <w:pStyle w:val="TableParagraph"/>
              <w:spacing w:line="274" w:lineRule="exact"/>
              <w:ind w:left="598" w:right="5789"/>
              <w:jc w:val="center"/>
              <w:rPr>
                <w:sz w:val="21"/>
              </w:rPr>
            </w:pPr>
            <w:r>
              <w:rPr>
                <w:sz w:val="21"/>
              </w:rPr>
              <w:t>抗体。</w:t>
            </w:r>
          </w:p>
          <w:p>
            <w:pPr>
              <w:pStyle w:val="TableParagraph"/>
              <w:spacing w:line="254" w:lineRule="exact"/>
              <w:ind w:left="92"/>
              <w:jc w:val="both"/>
              <w:rPr>
                <w:sz w:val="21"/>
              </w:rPr>
            </w:pPr>
            <w:r>
              <w:rPr>
                <w:sz w:val="21"/>
              </w:rPr>
              <w:t>职业限制如下所示:</w:t>
            </w:r>
          </w:p>
        </w:tc>
      </w:tr>
    </w:tbl>
    <w:p>
      <w:pPr>
        <w:spacing w:after="0" w:line="254" w:lineRule="exact"/>
        <w:jc w:val="both"/>
        <w:rPr>
          <w:sz w:val="21"/>
        </w:rPr>
        <w:sectPr>
          <w:pgSz w:w="11910" w:h="16840"/>
          <w:pgMar w:top="1140" w:bottom="280" w:left="900" w:right="6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553"/>
        <w:gridCol w:w="7023"/>
      </w:tblGrid>
      <w:tr>
        <w:trPr>
          <w:trHeight w:val="1401" w:hRule="atLeast"/>
        </w:trPr>
        <w:tc>
          <w:tcPr>
            <w:tcW w:w="618" w:type="dxa"/>
          </w:tcPr>
          <w:p>
            <w:pPr>
              <w:pStyle w:val="TableParagraph"/>
              <w:rPr>
                <w:rFonts w:ascii="Times New Roman"/>
                <w:sz w:val="20"/>
              </w:rPr>
            </w:pPr>
          </w:p>
        </w:tc>
        <w:tc>
          <w:tcPr>
            <w:tcW w:w="2553" w:type="dxa"/>
            <w:tcBorders>
              <w:right w:val="single" w:sz="4" w:space="0" w:color="000000"/>
            </w:tcBorders>
          </w:tcPr>
          <w:p>
            <w:pPr>
              <w:pStyle w:val="TableParagraph"/>
              <w:rPr>
                <w:rFonts w:ascii="Times New Roman"/>
                <w:sz w:val="20"/>
              </w:rPr>
            </w:pPr>
          </w:p>
        </w:tc>
        <w:tc>
          <w:tcPr>
            <w:tcW w:w="7023" w:type="dxa"/>
            <w:tcBorders>
              <w:top w:val="single" w:sz="4" w:space="0" w:color="000000"/>
              <w:left w:val="single" w:sz="4" w:space="0" w:color="000000"/>
              <w:bottom w:val="single" w:sz="4" w:space="0" w:color="000000"/>
            </w:tcBorders>
          </w:tcPr>
          <w:p>
            <w:pPr>
              <w:pStyle w:val="TableParagraph"/>
              <w:tabs>
                <w:tab w:pos="3475" w:val="left" w:leader="none"/>
              </w:tabs>
              <w:spacing w:line="230" w:lineRule="exact"/>
              <w:ind w:left="100"/>
              <w:rPr>
                <w:sz w:val="21"/>
              </w:rPr>
            </w:pPr>
            <w:r>
              <w:rPr>
                <w:sz w:val="21"/>
              </w:rPr>
              <w:t>医生和牙</w:t>
            </w:r>
            <w:r>
              <w:rPr>
                <w:spacing w:val="-5"/>
                <w:sz w:val="21"/>
              </w:rPr>
              <w:t>科</w:t>
            </w:r>
            <w:r>
              <w:rPr>
                <w:sz w:val="21"/>
              </w:rPr>
              <w:t>医生</w:t>
              <w:tab/>
              <w:t>护士</w:t>
            </w:r>
          </w:p>
          <w:p>
            <w:pPr>
              <w:pStyle w:val="TableParagraph"/>
              <w:tabs>
                <w:tab w:pos="3475" w:val="left" w:leader="none"/>
              </w:tabs>
              <w:spacing w:before="8"/>
              <w:ind w:left="100"/>
              <w:rPr>
                <w:sz w:val="21"/>
              </w:rPr>
            </w:pPr>
            <w:r>
              <w:rPr>
                <w:sz w:val="21"/>
              </w:rPr>
              <w:t>医院化验</w:t>
            </w:r>
            <w:r>
              <w:rPr>
                <w:spacing w:val="-5"/>
                <w:sz w:val="21"/>
              </w:rPr>
              <w:t>室</w:t>
            </w:r>
            <w:r>
              <w:rPr>
                <w:sz w:val="21"/>
              </w:rPr>
              <w:t>工作人员</w:t>
              <w:tab/>
              <w:t>医院护工</w:t>
            </w:r>
          </w:p>
          <w:p>
            <w:pPr>
              <w:pStyle w:val="TableParagraph"/>
              <w:tabs>
                <w:tab w:pos="3475" w:val="left" w:leader="none"/>
              </w:tabs>
              <w:spacing w:before="8"/>
              <w:ind w:left="100"/>
              <w:rPr>
                <w:sz w:val="21"/>
              </w:rPr>
            </w:pPr>
            <w:r>
              <w:rPr>
                <w:sz w:val="21"/>
              </w:rPr>
              <w:t>医生助理</w:t>
            </w:r>
            <w:r>
              <w:rPr>
                <w:spacing w:val="-5"/>
                <w:sz w:val="21"/>
              </w:rPr>
              <w:t>和</w:t>
            </w:r>
            <w:r>
              <w:rPr>
                <w:sz w:val="21"/>
              </w:rPr>
              <w:t>牙医助理</w:t>
              <w:tab/>
              <w:t>救护车工</w:t>
            </w:r>
            <w:r>
              <w:rPr>
                <w:spacing w:val="-5"/>
                <w:sz w:val="21"/>
              </w:rPr>
              <w:t>作</w:t>
            </w:r>
            <w:r>
              <w:rPr>
                <w:sz w:val="21"/>
              </w:rPr>
              <w:t>人员</w:t>
            </w:r>
          </w:p>
          <w:p>
            <w:pPr>
              <w:pStyle w:val="TableParagraph"/>
              <w:tabs>
                <w:tab w:pos="3475" w:val="left" w:leader="none"/>
              </w:tabs>
              <w:spacing w:before="8"/>
              <w:ind w:left="100"/>
              <w:rPr>
                <w:sz w:val="21"/>
              </w:rPr>
            </w:pPr>
            <w:r>
              <w:rPr>
                <w:sz w:val="21"/>
              </w:rPr>
              <w:t>助产士</w:t>
              <w:tab/>
              <w:t>消防队员</w:t>
            </w:r>
          </w:p>
          <w:p>
            <w:pPr>
              <w:pStyle w:val="TableParagraph"/>
              <w:tabs>
                <w:tab w:pos="3475" w:val="left" w:leader="none"/>
              </w:tabs>
              <w:spacing w:before="8"/>
              <w:ind w:left="100"/>
              <w:rPr>
                <w:sz w:val="21"/>
              </w:rPr>
            </w:pPr>
            <w:r>
              <w:rPr>
                <w:sz w:val="21"/>
              </w:rPr>
              <w:t>警察</w:t>
              <w:tab/>
              <w:t>狱警</w:t>
            </w:r>
          </w:p>
        </w:tc>
      </w:tr>
      <w:tr>
        <w:trPr>
          <w:trHeight w:val="1380" w:hRule="atLeast"/>
        </w:trPr>
        <w:tc>
          <w:tcPr>
            <w:tcW w:w="618" w:type="dxa"/>
          </w:tcPr>
          <w:p>
            <w:pPr>
              <w:pStyle w:val="TableParagraph"/>
              <w:spacing w:before="6"/>
              <w:rPr>
                <w:b/>
                <w:sz w:val="24"/>
              </w:rPr>
            </w:pPr>
          </w:p>
          <w:p>
            <w:pPr>
              <w:pStyle w:val="TableParagraph"/>
              <w:ind w:left="181" w:right="185"/>
              <w:jc w:val="center"/>
              <w:rPr>
                <w:b/>
                <w:sz w:val="21"/>
              </w:rPr>
            </w:pPr>
            <w:r>
              <w:rPr>
                <w:b/>
                <w:sz w:val="21"/>
              </w:rPr>
              <w:t>68</w:t>
            </w:r>
          </w:p>
        </w:tc>
        <w:tc>
          <w:tcPr>
            <w:tcW w:w="2553" w:type="dxa"/>
          </w:tcPr>
          <w:p>
            <w:pPr>
              <w:pStyle w:val="TableParagraph"/>
              <w:spacing w:before="9"/>
              <w:rPr>
                <w:b/>
                <w:sz w:val="21"/>
              </w:rPr>
            </w:pPr>
          </w:p>
          <w:p>
            <w:pPr>
              <w:pStyle w:val="TableParagraph"/>
              <w:ind w:left="205"/>
              <w:rPr>
                <w:rFonts w:ascii="等线" w:eastAsia="等线" w:hint="eastAsia"/>
                <w:b/>
                <w:sz w:val="24"/>
              </w:rPr>
            </w:pPr>
            <w:r>
              <w:rPr>
                <w:rFonts w:ascii="等线" w:eastAsia="等线" w:hint="eastAsia"/>
                <w:b/>
                <w:sz w:val="24"/>
              </w:rPr>
              <w:t>嗜铬细胞瘤</w:t>
            </w:r>
          </w:p>
        </w:tc>
        <w:tc>
          <w:tcPr>
            <w:tcW w:w="7023" w:type="dxa"/>
            <w:tcBorders>
              <w:top w:val="single" w:sz="4" w:space="0" w:color="000000"/>
            </w:tcBorders>
          </w:tcPr>
          <w:p>
            <w:pPr>
              <w:pStyle w:val="TableParagraph"/>
              <w:spacing w:before="6"/>
              <w:rPr>
                <w:b/>
                <w:sz w:val="24"/>
              </w:rPr>
            </w:pPr>
          </w:p>
          <w:p>
            <w:pPr>
              <w:pStyle w:val="TableParagraph"/>
              <w:spacing w:line="256" w:lineRule="auto"/>
              <w:ind w:left="-5" w:right="267"/>
              <w:jc w:val="both"/>
              <w:rPr>
                <w:sz w:val="21"/>
              </w:rPr>
            </w:pPr>
            <w:r>
              <w:rPr>
                <w:sz w:val="21"/>
              </w:rPr>
              <w:t>指肾上腺或肾上腺外嗜铬组织出现神经内分泌肿瘤，并分</w:t>
            </w:r>
            <w:r>
              <w:rPr>
                <w:rFonts w:ascii="Times New Roman" w:eastAsia="Times New Roman"/>
                <w:w w:val="110"/>
                <w:sz w:val="21"/>
              </w:rPr>
              <w:t>泌</w:t>
            </w:r>
            <w:r>
              <w:rPr>
                <w:spacing w:val="-12"/>
                <w:sz w:val="21"/>
              </w:rPr>
              <w:t>过多的儿茶酚</w:t>
            </w:r>
            <w:r>
              <w:rPr>
                <w:sz w:val="21"/>
              </w:rPr>
              <w:t>胺类的疾病。且已经由组织病理检查证实，并已经进</w:t>
            </w:r>
            <w:r>
              <w:rPr>
                <w:rFonts w:ascii="Times New Roman" w:eastAsia="Times New Roman"/>
                <w:w w:val="110"/>
                <w:sz w:val="21"/>
              </w:rPr>
              <w:t>行</w:t>
            </w:r>
            <w:r>
              <w:rPr>
                <w:sz w:val="21"/>
              </w:rPr>
              <w:t>了切除嗜铬细胞 </w:t>
            </w:r>
            <w:r>
              <w:rPr>
                <w:spacing w:val="-5"/>
                <w:sz w:val="21"/>
              </w:rPr>
              <w:t>肿瘤的手术治疗。嗜铬细胞瘤须经专科医生明确诊断。</w:t>
            </w:r>
          </w:p>
        </w:tc>
      </w:tr>
      <w:tr>
        <w:trPr>
          <w:trHeight w:val="2412" w:hRule="atLeast"/>
        </w:trPr>
        <w:tc>
          <w:tcPr>
            <w:tcW w:w="618" w:type="dxa"/>
          </w:tcPr>
          <w:p>
            <w:pPr>
              <w:pStyle w:val="TableParagraph"/>
              <w:spacing w:before="106"/>
              <w:ind w:left="181" w:right="185"/>
              <w:jc w:val="center"/>
              <w:rPr>
                <w:b/>
                <w:sz w:val="21"/>
              </w:rPr>
            </w:pPr>
            <w:r>
              <w:rPr>
                <w:b/>
                <w:sz w:val="21"/>
              </w:rPr>
              <w:t>69</w:t>
            </w:r>
          </w:p>
        </w:tc>
        <w:tc>
          <w:tcPr>
            <w:tcW w:w="2553" w:type="dxa"/>
          </w:tcPr>
          <w:p>
            <w:pPr>
              <w:pStyle w:val="TableParagraph"/>
              <w:spacing w:line="232" w:lineRule="auto" w:before="80"/>
              <w:ind w:left="205" w:right="189"/>
              <w:rPr>
                <w:rFonts w:ascii="等线" w:eastAsia="等线" w:hint="eastAsia"/>
                <w:b/>
                <w:sz w:val="24"/>
              </w:rPr>
            </w:pPr>
            <w:r>
              <w:rPr>
                <w:rFonts w:ascii="等线" w:eastAsia="等线" w:hint="eastAsia"/>
                <w:b/>
                <w:sz w:val="24"/>
              </w:rPr>
              <w:t>严重的原发性硬化性胆管炎</w:t>
            </w:r>
          </w:p>
        </w:tc>
        <w:tc>
          <w:tcPr>
            <w:tcW w:w="7023" w:type="dxa"/>
          </w:tcPr>
          <w:p>
            <w:pPr>
              <w:pStyle w:val="TableParagraph"/>
              <w:spacing w:line="273" w:lineRule="auto" w:before="106"/>
              <w:ind w:left="-5" w:right="267"/>
              <w:jc w:val="both"/>
              <w:rPr>
                <w:sz w:val="21"/>
              </w:rPr>
            </w:pPr>
            <w:r>
              <w:rPr>
                <w:sz w:val="21"/>
              </w:rPr>
              <w:t>指一种胆汁淤积综合征，其特征是肝内、肝外胆道因纤维化性炎症逐渐狭窄，并最终导致完全阻塞而发展为肝硬化。须经内镜逆行胰胆管造影等影像学检查证实，并须满足下列全部条件：</w:t>
            </w:r>
          </w:p>
          <w:p>
            <w:pPr>
              <w:pStyle w:val="TableParagraph"/>
              <w:spacing w:before="7"/>
              <w:ind w:left="-5"/>
              <w:jc w:val="both"/>
              <w:rPr>
                <w:sz w:val="21"/>
              </w:rPr>
            </w:pPr>
            <w:r>
              <w:rPr>
                <w:sz w:val="21"/>
              </w:rPr>
              <w:t>（1）总胆红素和直接胆红素同时升高，血清 ALP&gt;200U/L；</w:t>
            </w:r>
          </w:p>
          <w:p>
            <w:pPr>
              <w:pStyle w:val="TableParagraph"/>
              <w:spacing w:before="36"/>
              <w:ind w:left="-5"/>
              <w:jc w:val="both"/>
              <w:rPr>
                <w:sz w:val="21"/>
              </w:rPr>
            </w:pPr>
            <w:r>
              <w:rPr>
                <w:sz w:val="21"/>
              </w:rPr>
              <w:t>（2）持续性黄疸病史；</w:t>
            </w:r>
          </w:p>
          <w:p>
            <w:pPr>
              <w:pStyle w:val="TableParagraph"/>
              <w:spacing w:before="36"/>
              <w:ind w:left="-5"/>
              <w:jc w:val="both"/>
              <w:rPr>
                <w:sz w:val="21"/>
              </w:rPr>
            </w:pPr>
            <w:r>
              <w:rPr>
                <w:sz w:val="21"/>
              </w:rPr>
              <w:t>（3）出现胆汁性肝硬化或门脉高压。</w:t>
            </w:r>
          </w:p>
          <w:p>
            <w:pPr>
              <w:pStyle w:val="TableParagraph"/>
              <w:spacing w:before="37"/>
              <w:ind w:left="-5"/>
              <w:jc w:val="both"/>
              <w:rPr>
                <w:sz w:val="21"/>
              </w:rPr>
            </w:pPr>
            <w:r>
              <w:rPr>
                <w:sz w:val="21"/>
                <w:shd w:fill="DADADA" w:color="auto" w:val="clear"/>
              </w:rPr>
              <w:t>因肿瘤或胆管损伤等继发性的硬化性胆管炎不在保障范围内。</w:t>
            </w:r>
          </w:p>
        </w:tc>
      </w:tr>
      <w:tr>
        <w:trPr>
          <w:trHeight w:val="3345" w:hRule="atLeast"/>
        </w:trPr>
        <w:tc>
          <w:tcPr>
            <w:tcW w:w="618" w:type="dxa"/>
          </w:tcPr>
          <w:p>
            <w:pPr>
              <w:pStyle w:val="TableParagraph"/>
              <w:spacing w:before="104"/>
              <w:ind w:left="181" w:right="185"/>
              <w:jc w:val="center"/>
              <w:rPr>
                <w:b/>
                <w:sz w:val="21"/>
              </w:rPr>
            </w:pPr>
            <w:r>
              <w:rPr>
                <w:b/>
                <w:sz w:val="21"/>
              </w:rPr>
              <w:t>70</w:t>
            </w:r>
          </w:p>
        </w:tc>
        <w:tc>
          <w:tcPr>
            <w:tcW w:w="2553" w:type="dxa"/>
          </w:tcPr>
          <w:p>
            <w:pPr>
              <w:pStyle w:val="TableParagraph"/>
              <w:spacing w:line="232" w:lineRule="auto" w:before="77"/>
              <w:ind w:left="205" w:right="189"/>
              <w:jc w:val="both"/>
              <w:rPr>
                <w:rFonts w:ascii="等线" w:eastAsia="等线" w:hint="eastAsia"/>
                <w:b/>
                <w:sz w:val="24"/>
              </w:rPr>
            </w:pPr>
            <w:r>
              <w:rPr>
                <w:rFonts w:ascii="等线" w:eastAsia="等线" w:hint="eastAsia"/>
                <w:b/>
                <w:sz w:val="24"/>
              </w:rPr>
              <w:t>因器官移植导致艾滋病病毒感染或患艾滋病</w:t>
            </w:r>
          </w:p>
        </w:tc>
        <w:tc>
          <w:tcPr>
            <w:tcW w:w="7023" w:type="dxa"/>
          </w:tcPr>
          <w:p>
            <w:pPr>
              <w:pStyle w:val="TableParagraph"/>
              <w:spacing w:line="273" w:lineRule="auto" w:before="104"/>
              <w:ind w:left="-5" w:right="192"/>
              <w:rPr>
                <w:sz w:val="21"/>
              </w:rPr>
            </w:pPr>
            <w:r>
              <w:rPr>
                <w:sz w:val="21"/>
              </w:rPr>
              <w:t>指因进行器官移植而感染上人类免疫缺陷病毒（HIV）或患艾滋病，且须满足下列全部条件：</w:t>
            </w:r>
          </w:p>
          <w:p>
            <w:pPr>
              <w:pStyle w:val="TableParagraph"/>
              <w:spacing w:line="273" w:lineRule="auto" w:before="8"/>
              <w:ind w:left="518" w:right="199" w:hanging="524"/>
              <w:jc w:val="both"/>
              <w:rPr>
                <w:sz w:val="21"/>
              </w:rPr>
            </w:pPr>
            <w:r>
              <w:rPr>
                <w:sz w:val="21"/>
              </w:rPr>
              <w:t>（1）在保障起始日或复效日之后，被保险人因治疗必需而实施器官移植， 并且因器官移植而感染人类免疫缺陷病毒或患艾滋病；</w:t>
            </w:r>
          </w:p>
          <w:p>
            <w:pPr>
              <w:pStyle w:val="TableParagraph"/>
              <w:spacing w:line="273" w:lineRule="auto" w:before="8"/>
              <w:ind w:left="518" w:right="262" w:hanging="524"/>
              <w:jc w:val="both"/>
              <w:rPr>
                <w:sz w:val="21"/>
              </w:rPr>
            </w:pPr>
            <w:r>
              <w:rPr>
                <w:spacing w:val="-23"/>
                <w:sz w:val="21"/>
              </w:rPr>
              <w:t>（2）</w:t>
            </w:r>
            <w:r>
              <w:rPr>
                <w:spacing w:val="-5"/>
                <w:sz w:val="21"/>
              </w:rPr>
              <w:t>提供器官移植治疗的器官移植中心或医院出具的此次因器官移植感染</w:t>
            </w:r>
            <w:r>
              <w:rPr>
                <w:spacing w:val="-10"/>
                <w:sz w:val="21"/>
              </w:rPr>
              <w:t>人类免疫缺陷病毒或患艾滋病，属于医疗事故的报告，或者法院终审</w:t>
            </w:r>
            <w:r>
              <w:rPr>
                <w:spacing w:val="-7"/>
                <w:sz w:val="21"/>
              </w:rPr>
              <w:t>裁定为医疗事故并且不准上诉；</w:t>
            </w:r>
          </w:p>
          <w:p>
            <w:pPr>
              <w:pStyle w:val="TableParagraph"/>
              <w:spacing w:line="273" w:lineRule="auto" w:before="8"/>
              <w:ind w:left="-5" w:right="197"/>
              <w:rPr>
                <w:sz w:val="21"/>
              </w:rPr>
            </w:pPr>
            <w:r>
              <w:rPr>
                <w:sz w:val="21"/>
              </w:rPr>
              <w:t>（3）提供器官移植治疗的器官移植中心或医院必须拥有合法经营执照。</w:t>
            </w:r>
            <w:r>
              <w:rPr>
                <w:sz w:val="21"/>
                <w:shd w:fill="DADADA" w:color="auto" w:val="clear"/>
              </w:rPr>
              <w:t>任何因其他传播方式（包括：性传播或静脉注射毒品）导致的 HIV 感染或患艾滋病不在保障范围内。</w:t>
            </w:r>
          </w:p>
        </w:tc>
      </w:tr>
      <w:tr>
        <w:trPr>
          <w:trHeight w:val="849" w:hRule="atLeast"/>
        </w:trPr>
        <w:tc>
          <w:tcPr>
            <w:tcW w:w="618" w:type="dxa"/>
          </w:tcPr>
          <w:p>
            <w:pPr>
              <w:pStyle w:val="TableParagraph"/>
              <w:spacing w:before="104"/>
              <w:ind w:left="181" w:right="185"/>
              <w:jc w:val="center"/>
              <w:rPr>
                <w:b/>
                <w:sz w:val="21"/>
              </w:rPr>
            </w:pPr>
            <w:r>
              <w:rPr>
                <w:b/>
                <w:sz w:val="21"/>
              </w:rPr>
              <w:t>71</w:t>
            </w:r>
          </w:p>
        </w:tc>
        <w:tc>
          <w:tcPr>
            <w:tcW w:w="2553" w:type="dxa"/>
          </w:tcPr>
          <w:p>
            <w:pPr>
              <w:pStyle w:val="TableParagraph"/>
              <w:spacing w:before="68"/>
              <w:ind w:left="205"/>
              <w:rPr>
                <w:rFonts w:ascii="等线" w:eastAsia="等线" w:hint="eastAsia"/>
                <w:b/>
                <w:sz w:val="24"/>
              </w:rPr>
            </w:pPr>
            <w:r>
              <w:rPr>
                <w:rFonts w:ascii="等线" w:eastAsia="等线" w:hint="eastAsia"/>
                <w:b/>
                <w:sz w:val="24"/>
              </w:rPr>
              <w:t>严重面部烧伤</w:t>
            </w:r>
          </w:p>
        </w:tc>
        <w:tc>
          <w:tcPr>
            <w:tcW w:w="7023" w:type="dxa"/>
          </w:tcPr>
          <w:p>
            <w:pPr>
              <w:pStyle w:val="TableParagraph"/>
              <w:spacing w:line="273" w:lineRule="auto" w:before="104"/>
              <w:ind w:left="-5" w:right="267" w:hanging="1"/>
              <w:rPr>
                <w:sz w:val="21"/>
              </w:rPr>
            </w:pPr>
            <w:r>
              <w:rPr>
                <w:sz w:val="21"/>
              </w:rPr>
              <w:t>指面部烧伤程度为Ⅲ度，且Ⅲ度烧伤的面积达到面部表面积的 80％或者80％以上。</w:t>
            </w:r>
          </w:p>
        </w:tc>
      </w:tr>
      <w:tr>
        <w:trPr>
          <w:trHeight w:val="2440" w:hRule="atLeast"/>
        </w:trPr>
        <w:tc>
          <w:tcPr>
            <w:tcW w:w="618" w:type="dxa"/>
          </w:tcPr>
          <w:p>
            <w:pPr>
              <w:pStyle w:val="TableParagraph"/>
              <w:spacing w:before="104"/>
              <w:ind w:left="181" w:right="185"/>
              <w:jc w:val="center"/>
              <w:rPr>
                <w:b/>
                <w:sz w:val="21"/>
              </w:rPr>
            </w:pPr>
            <w:r>
              <w:rPr>
                <w:b/>
                <w:sz w:val="21"/>
              </w:rPr>
              <w:t>72</w:t>
            </w:r>
          </w:p>
        </w:tc>
        <w:tc>
          <w:tcPr>
            <w:tcW w:w="2553" w:type="dxa"/>
          </w:tcPr>
          <w:p>
            <w:pPr>
              <w:pStyle w:val="TableParagraph"/>
              <w:spacing w:line="324" w:lineRule="exact" w:before="68"/>
              <w:ind w:left="205"/>
              <w:rPr>
                <w:rFonts w:ascii="等线" w:eastAsia="等线" w:hint="eastAsia"/>
                <w:b/>
                <w:sz w:val="24"/>
              </w:rPr>
            </w:pPr>
            <w:r>
              <w:rPr>
                <w:rFonts w:ascii="等线" w:eastAsia="等线" w:hint="eastAsia"/>
                <w:b/>
                <w:sz w:val="24"/>
              </w:rPr>
              <w:t>严 重 瑞 氏 综 合 症 </w:t>
            </w:r>
          </w:p>
          <w:p>
            <w:pPr>
              <w:pStyle w:val="TableParagraph"/>
              <w:spacing w:line="232" w:lineRule="auto" w:before="7"/>
              <w:ind w:left="205" w:right="204"/>
              <w:jc w:val="both"/>
              <w:rPr>
                <w:rFonts w:ascii="等线" w:eastAsia="等线" w:hint="eastAsia"/>
                <w:b/>
                <w:sz w:val="24"/>
              </w:rPr>
            </w:pPr>
            <w:r>
              <w:rPr>
                <w:rFonts w:ascii="等线" w:eastAsia="等线" w:hint="eastAsia"/>
                <w:b/>
                <w:sz w:val="24"/>
              </w:rPr>
              <w:t>（Reye</w:t>
            </w:r>
            <w:r>
              <w:rPr>
                <w:rFonts w:ascii="等线" w:eastAsia="等线" w:hint="eastAsia"/>
                <w:b/>
                <w:spacing w:val="3"/>
                <w:sz w:val="24"/>
              </w:rPr>
              <w:t> 综合征，也</w:t>
            </w:r>
            <w:r>
              <w:rPr>
                <w:rFonts w:ascii="等线" w:eastAsia="等线" w:hint="eastAsia"/>
                <w:b/>
                <w:spacing w:val="-5"/>
                <w:sz w:val="24"/>
              </w:rPr>
              <w:t>称赖氏综合征、雷氏综合征）</w:t>
            </w:r>
          </w:p>
        </w:tc>
        <w:tc>
          <w:tcPr>
            <w:tcW w:w="7023" w:type="dxa"/>
          </w:tcPr>
          <w:p>
            <w:pPr>
              <w:pStyle w:val="TableParagraph"/>
              <w:spacing w:line="273" w:lineRule="auto" w:before="104"/>
              <w:ind w:left="-5" w:right="267"/>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TableParagraph"/>
              <w:spacing w:before="8"/>
              <w:ind w:left="-5"/>
              <w:jc w:val="both"/>
              <w:rPr>
                <w:sz w:val="21"/>
              </w:rPr>
            </w:pPr>
            <w:r>
              <w:rPr>
                <w:sz w:val="21"/>
              </w:rPr>
              <w:t>（1）有脑水肿和颅内压升高的脑脊液检查和影像学检查证据；</w:t>
            </w:r>
          </w:p>
          <w:p>
            <w:pPr>
              <w:pStyle w:val="TableParagraph"/>
              <w:spacing w:before="37"/>
              <w:ind w:left="-5"/>
              <w:jc w:val="both"/>
              <w:rPr>
                <w:sz w:val="21"/>
              </w:rPr>
            </w:pPr>
            <w:r>
              <w:rPr>
                <w:sz w:val="21"/>
              </w:rPr>
              <w:t>（2）血氨超过正常值的 3 倍；</w:t>
            </w:r>
          </w:p>
          <w:p>
            <w:pPr>
              <w:pStyle w:val="TableParagraph"/>
              <w:spacing w:before="37"/>
              <w:ind w:left="-5"/>
              <w:jc w:val="both"/>
              <w:rPr>
                <w:sz w:val="21"/>
              </w:rPr>
            </w:pPr>
            <w:r>
              <w:rPr>
                <w:sz w:val="21"/>
              </w:rPr>
              <w:t>（3）临床出现昏迷，病程至少达到疾病分期的第 3 期。</w:t>
            </w:r>
          </w:p>
        </w:tc>
      </w:tr>
      <w:tr>
        <w:trPr>
          <w:trHeight w:val="1533" w:hRule="atLeast"/>
        </w:trPr>
        <w:tc>
          <w:tcPr>
            <w:tcW w:w="618" w:type="dxa"/>
          </w:tcPr>
          <w:p>
            <w:pPr>
              <w:pStyle w:val="TableParagraph"/>
              <w:spacing w:before="135"/>
              <w:ind w:left="181" w:right="185"/>
              <w:jc w:val="center"/>
              <w:rPr>
                <w:b/>
                <w:sz w:val="21"/>
              </w:rPr>
            </w:pPr>
            <w:r>
              <w:rPr>
                <w:b/>
                <w:sz w:val="21"/>
              </w:rPr>
              <w:t>73</w:t>
            </w:r>
          </w:p>
        </w:tc>
        <w:tc>
          <w:tcPr>
            <w:tcW w:w="2553" w:type="dxa"/>
          </w:tcPr>
          <w:p>
            <w:pPr>
              <w:pStyle w:val="TableParagraph"/>
              <w:spacing w:before="99"/>
              <w:ind w:left="205"/>
              <w:rPr>
                <w:rFonts w:ascii="等线" w:eastAsia="等线" w:hint="eastAsia"/>
                <w:b/>
                <w:sz w:val="24"/>
              </w:rPr>
            </w:pPr>
            <w:r>
              <w:rPr>
                <w:rFonts w:ascii="等线" w:eastAsia="等线" w:hint="eastAsia"/>
                <w:b/>
                <w:sz w:val="24"/>
              </w:rPr>
              <w:t>成骨不全症第三型</w:t>
            </w:r>
          </w:p>
        </w:tc>
        <w:tc>
          <w:tcPr>
            <w:tcW w:w="7023" w:type="dxa"/>
          </w:tcPr>
          <w:p>
            <w:pPr>
              <w:pStyle w:val="TableParagraph"/>
              <w:spacing w:before="135"/>
              <w:ind w:left="-5"/>
              <w:rPr>
                <w:sz w:val="21"/>
              </w:rPr>
            </w:pPr>
            <w:r>
              <w:rPr>
                <w:sz w:val="21"/>
              </w:rPr>
              <w:t>成骨不全症第三型须由专科医生明确诊断，同时符合下列所有条件：</w:t>
            </w:r>
          </w:p>
          <w:p>
            <w:pPr>
              <w:pStyle w:val="TableParagraph"/>
              <w:spacing w:before="37"/>
              <w:ind w:left="-5"/>
              <w:rPr>
                <w:sz w:val="21"/>
              </w:rPr>
            </w:pPr>
            <w:r>
              <w:rPr>
                <w:sz w:val="21"/>
              </w:rPr>
              <w:t>（1）就成骨不全症第三型之诊断进行的皮肤切片的病理检查结果为阳性；</w:t>
            </w:r>
          </w:p>
          <w:p>
            <w:pPr>
              <w:pStyle w:val="TableParagraph"/>
              <w:spacing w:before="37"/>
              <w:ind w:left="-5"/>
              <w:rPr>
                <w:sz w:val="21"/>
              </w:rPr>
            </w:pPr>
            <w:r>
              <w:rPr>
                <w:sz w:val="21"/>
              </w:rPr>
              <w:t>（2）X 光片结果显示多处骨折及逐步脊柱后侧凸畸形；</w:t>
            </w:r>
          </w:p>
          <w:p>
            <w:pPr>
              <w:pStyle w:val="TableParagraph"/>
              <w:spacing w:before="36"/>
              <w:ind w:left="-5"/>
              <w:rPr>
                <w:sz w:val="21"/>
              </w:rPr>
            </w:pPr>
            <w:r>
              <w:rPr>
                <w:sz w:val="21"/>
              </w:rPr>
              <w:t>（3）有证明是因此疾病引致发育迟缓及听力损伤。</w:t>
            </w:r>
          </w:p>
        </w:tc>
      </w:tr>
      <w:tr>
        <w:trPr>
          <w:trHeight w:val="1037" w:hRule="atLeast"/>
        </w:trPr>
        <w:tc>
          <w:tcPr>
            <w:tcW w:w="618" w:type="dxa"/>
          </w:tcPr>
          <w:p>
            <w:pPr>
              <w:pStyle w:val="TableParagraph"/>
              <w:spacing w:before="132"/>
              <w:ind w:left="181" w:right="185"/>
              <w:jc w:val="center"/>
              <w:rPr>
                <w:b/>
                <w:sz w:val="21"/>
              </w:rPr>
            </w:pPr>
            <w:r>
              <w:rPr>
                <w:b/>
                <w:sz w:val="21"/>
              </w:rPr>
              <w:t>74</w:t>
            </w:r>
          </w:p>
        </w:tc>
        <w:tc>
          <w:tcPr>
            <w:tcW w:w="2553" w:type="dxa"/>
          </w:tcPr>
          <w:p>
            <w:pPr>
              <w:pStyle w:val="TableParagraph"/>
              <w:spacing w:line="232" w:lineRule="auto" w:before="106"/>
              <w:ind w:left="205" w:right="189"/>
              <w:rPr>
                <w:rFonts w:ascii="等线" w:eastAsia="等线" w:hint="eastAsia"/>
                <w:b/>
                <w:sz w:val="24"/>
              </w:rPr>
            </w:pPr>
            <w:r>
              <w:rPr>
                <w:rFonts w:ascii="等线" w:eastAsia="等线" w:hint="eastAsia"/>
                <w:b/>
                <w:sz w:val="24"/>
              </w:rPr>
              <w:t>多处臂丛神经根性撕脱</w:t>
            </w:r>
          </w:p>
        </w:tc>
        <w:tc>
          <w:tcPr>
            <w:tcW w:w="7023" w:type="dxa"/>
          </w:tcPr>
          <w:p>
            <w:pPr>
              <w:pStyle w:val="TableParagraph"/>
              <w:spacing w:line="310" w:lineRule="atLeast" w:before="97"/>
              <w:ind w:left="-5" w:right="267"/>
              <w:jc w:val="both"/>
              <w:rPr>
                <w:sz w:val="21"/>
              </w:rPr>
            </w:pPr>
            <w:r>
              <w:rPr>
                <w:sz w:val="21"/>
              </w:rPr>
              <w:t>指由于疾病或意外导致至少两根臂丛神经根性撕脱，所造成的手臂感觉功能与运动功能完全永久性丧失。该病须由医院专科医生明确诊断，并且有电生理检查结果证实。</w:t>
            </w:r>
          </w:p>
        </w:tc>
      </w:tr>
    </w:tbl>
    <w:p>
      <w:pPr>
        <w:rPr>
          <w:sz w:val="2"/>
          <w:szCs w:val="2"/>
        </w:rPr>
      </w:pPr>
      <w:r>
        <w:rPr/>
        <w:pict>
          <v:group style="position:absolute;margin-left:209.520004pt;margin-top:56.639984pt;width:337.45pt;height:71.05pt;mso-position-horizontal-relative:page;mso-position-vertical-relative:page;z-index:-53368" coordorigin="4190,1133" coordsize="6749,1421">
            <v:shape style="position:absolute;left:4190;top:1420;width:6740;height:2" coordorigin="4190,1421" coordsize="6740,0" path="m4190,1421l7555,1421m7565,1421l10930,1421e" filled="false" stroked="true" strokeweight=".48pt" strokecolor="#000000">
              <v:path arrowok="t"/>
              <v:stroke dashstyle="solid"/>
            </v:shape>
            <v:shape style="position:absolute;left:4190;top:1703;width:6740;height:2" coordorigin="4190,1704" coordsize="6740,0" path="m4190,1704l7555,1704m7565,1704l10930,1704e" filled="false" stroked="true" strokeweight=".481pt" strokecolor="#000000">
              <v:path arrowok="t"/>
              <v:stroke dashstyle="solid"/>
            </v:shape>
            <v:shape style="position:absolute;left:4190;top:1987;width:6740;height:284" coordorigin="4190,1987" coordsize="6740,284" path="m4190,1987l7555,1987m7565,1987l10930,1987m4190,2270l7555,2270m7565,2270l10930,2270e" filled="false" stroked="true" strokeweight=".48pt" strokecolor="#000000">
              <v:path arrowok="t"/>
              <v:stroke dashstyle="solid"/>
            </v:shape>
            <v:line style="position:absolute" from="7560,1133" to="7560,2554" stroked="true" strokeweight=".481pt" strokecolor="#000000">
              <v:stroke dashstyle="solid"/>
            </v:line>
            <v:line style="position:absolute" from="10934,1133" to="10934,2554" stroked="true" strokeweight=".48pt" strokecolor="#000000">
              <v:stroke dashstyle="solid"/>
            </v:line>
            <w10:wrap type="none"/>
          </v:group>
        </w:pict>
      </w:r>
    </w:p>
    <w:p>
      <w:pPr>
        <w:spacing w:after="0"/>
        <w:rPr>
          <w:sz w:val="2"/>
          <w:szCs w:val="2"/>
        </w:rPr>
        <w:sectPr>
          <w:pgSz w:w="11910" w:h="16840"/>
          <w:pgMar w:top="1120" w:bottom="280" w:left="900" w:right="580"/>
        </w:sectPr>
      </w:pPr>
    </w:p>
    <w:p>
      <w:pPr>
        <w:pStyle w:val="ListParagraph"/>
        <w:numPr>
          <w:ilvl w:val="1"/>
          <w:numId w:val="10"/>
        </w:numPr>
        <w:tabs>
          <w:tab w:pos="1038" w:val="left" w:leader="none"/>
          <w:tab w:pos="1039" w:val="left" w:leader="none"/>
        </w:tabs>
        <w:spacing w:line="232" w:lineRule="auto" w:before="14" w:after="0"/>
        <w:ind w:left="1038" w:right="0" w:hanging="624"/>
        <w:jc w:val="left"/>
        <w:rPr>
          <w:rFonts w:ascii="等线" w:eastAsia="等线" w:hint="eastAsia"/>
          <w:b/>
          <w:sz w:val="24"/>
        </w:rPr>
      </w:pPr>
      <w:r>
        <w:rPr>
          <w:rFonts w:ascii="等线" w:eastAsia="等线" w:hint="eastAsia"/>
          <w:b/>
          <w:spacing w:val="26"/>
          <w:position w:val="1"/>
          <w:sz w:val="24"/>
        </w:rPr>
        <w:t>原发性脊柱侧弯的</w:t>
      </w:r>
      <w:r>
        <w:rPr>
          <w:rFonts w:ascii="等线" w:eastAsia="等线" w:hint="eastAsia"/>
          <w:b/>
          <w:sz w:val="24"/>
        </w:rPr>
        <w:t>矫正手术</w:t>
      </w:r>
    </w:p>
    <w:p>
      <w:pPr>
        <w:pStyle w:val="BodyText"/>
        <w:spacing w:line="273" w:lineRule="auto" w:before="40"/>
        <w:ind w:left="147" w:right="222"/>
        <w:jc w:val="both"/>
      </w:pPr>
      <w:r>
        <w:rPr/>
        <w:br w:type="column"/>
      </w:r>
      <w:r>
        <w:rPr/>
        <w:t>指被保险人因原发性脊柱侧弯，实际实施了对该病的矫正外科手术。</w:t>
      </w:r>
      <w:r>
        <w:rPr>
          <w:shd w:fill="DADADA" w:color="auto" w:val="clear"/>
        </w:rPr>
        <w:t>但由于先天性脊柱侧弯以及其他疾病或意外导致的继发性脊柱侧弯而进行的手</w:t>
      </w:r>
      <w:r>
        <w:rPr>
          <w:spacing w:val="-212"/>
          <w:shd w:fill="DADADA" w:color="auto" w:val="clear"/>
        </w:rPr>
        <w:t>术</w:t>
      </w:r>
      <w:r>
        <w:rPr>
          <w:spacing w:val="-3"/>
          <w:shd w:fill="DADADA" w:color="auto" w:val="clear"/>
        </w:rPr>
        <w:t>治疗不属于本保障责任。</w:t>
      </w:r>
    </w:p>
    <w:p>
      <w:pPr>
        <w:spacing w:after="0" w:line="273" w:lineRule="auto"/>
        <w:jc w:val="both"/>
        <w:sectPr>
          <w:pgSz w:w="11910" w:h="16840"/>
          <w:pgMar w:top="1400" w:bottom="280" w:left="800" w:right="740"/>
          <w:cols w:num="2" w:equalWidth="0">
            <w:col w:w="3194" w:space="40"/>
            <w:col w:w="7136"/>
          </w:cols>
        </w:sectPr>
      </w:pPr>
    </w:p>
    <w:p>
      <w:pPr>
        <w:pStyle w:val="BodyText"/>
        <w:spacing w:before="4"/>
        <w:rPr>
          <w:sz w:val="22"/>
        </w:rPr>
      </w:pPr>
    </w:p>
    <w:p>
      <w:pPr>
        <w:spacing w:after="0"/>
        <w:rPr>
          <w:sz w:val="22"/>
        </w:rPr>
        <w:sectPr>
          <w:type w:val="continuous"/>
          <w:pgSz w:w="11910" w:h="16840"/>
          <w:pgMar w:top="480" w:bottom="280" w:left="800" w:right="740"/>
        </w:sectPr>
      </w:pPr>
    </w:p>
    <w:p>
      <w:pPr>
        <w:pStyle w:val="Heading1"/>
        <w:numPr>
          <w:ilvl w:val="1"/>
          <w:numId w:val="10"/>
        </w:numPr>
        <w:tabs>
          <w:tab w:pos="1038" w:val="left" w:leader="none"/>
          <w:tab w:pos="1039" w:val="left" w:leader="none"/>
        </w:tabs>
        <w:spacing w:line="232" w:lineRule="auto" w:before="30" w:after="0"/>
        <w:ind w:left="1038" w:right="0" w:hanging="624"/>
        <w:jc w:val="left"/>
      </w:pPr>
      <w:r>
        <w:rPr>
          <w:spacing w:val="26"/>
          <w:position w:val="1"/>
        </w:rPr>
        <w:t>溶血性链球菌引起</w:t>
      </w:r>
      <w:r>
        <w:rPr/>
        <w:t>的坏疽</w:t>
      </w:r>
    </w:p>
    <w:p>
      <w:pPr>
        <w:pStyle w:val="BodyText"/>
        <w:rPr>
          <w:rFonts w:ascii="等线"/>
          <w:b/>
          <w:sz w:val="24"/>
        </w:rPr>
      </w:pPr>
    </w:p>
    <w:p>
      <w:pPr>
        <w:pStyle w:val="BodyText"/>
        <w:spacing w:before="11"/>
        <w:rPr>
          <w:rFonts w:ascii="等线"/>
          <w:b/>
          <w:sz w:val="22"/>
        </w:rPr>
      </w:pPr>
    </w:p>
    <w:p>
      <w:pPr>
        <w:tabs>
          <w:tab w:pos="1038" w:val="left" w:leader="none"/>
        </w:tabs>
        <w:spacing w:before="0"/>
        <w:ind w:left="342" w:right="0" w:firstLine="0"/>
        <w:jc w:val="left"/>
        <w:rPr>
          <w:b/>
          <w:sz w:val="24"/>
        </w:rPr>
      </w:pPr>
      <w:r>
        <w:rPr>
          <w:rFonts w:ascii="Arial" w:hAnsi="Arial" w:eastAsia="Arial"/>
          <w:b/>
          <w:w w:val="105"/>
          <w:position w:val="-9"/>
          <w:sz w:val="40"/>
        </w:rPr>
        <w:t></w:t>
        <w:tab/>
      </w:r>
      <w:r>
        <w:rPr>
          <w:b/>
          <w:w w:val="95"/>
          <w:sz w:val="24"/>
        </w:rPr>
        <w:t>白血病释义</w:t>
      </w:r>
    </w:p>
    <w:p>
      <w:pPr>
        <w:pStyle w:val="BodyText"/>
        <w:spacing w:line="273" w:lineRule="auto" w:before="56"/>
        <w:ind w:left="147" w:right="222"/>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480" w:bottom="280" w:left="800" w:right="740"/>
          <w:cols w:num="2" w:equalWidth="0">
            <w:col w:w="3194" w:space="40"/>
            <w:col w:w="7136"/>
          </w:cols>
        </w:sectPr>
      </w:pPr>
    </w:p>
    <w:p>
      <w:pPr>
        <w:pStyle w:val="Heading2"/>
        <w:spacing w:line="300" w:lineRule="exact"/>
      </w:pPr>
      <w:r>
        <w:rPr/>
        <w:pict>
          <v:group style="position:absolute;margin-left:45.599998pt;margin-top:18.121134pt;width:506.65pt;height:1pt;mso-position-horizontal-relative:page;mso-position-vertical-relative:paragraph;z-index:1480;mso-wrap-distance-left:0;mso-wrap-distance-right:0" coordorigin="912,362" coordsize="10133,20">
            <v:line style="position:absolute" from="912,372" to="1733,372" stroked="true" strokeweight=".96pt" strokecolor="#000000">
              <v:stroke dashstyle="solid"/>
            </v:line>
            <v:rect style="position:absolute;left:1732;top:362;width:20;height:20" filled="true" fillcolor="#000000" stroked="false">
              <v:fill type="solid"/>
            </v:rect>
            <v:line style="position:absolute" from="1752,372" to="4075,372" stroked="true" strokeweight=".96pt" strokecolor="#000000">
              <v:stroke dashstyle="solid"/>
            </v:line>
            <v:rect style="position:absolute;left:4075;top:362;width:20;height:20" filled="true" fillcolor="#000000" stroked="false">
              <v:fill type="solid"/>
            </v:rect>
            <v:line style="position:absolute" from="4094,372" to="11045,372" stroked="true" strokeweight=".96pt" strokecolor="#000000">
              <v:stroke dashstyle="solid"/>
            </v:line>
            <w10:wrap type="topAndBottom"/>
          </v:group>
        </w:pict>
      </w:r>
      <w:r>
        <w:rPr/>
        <w:t>这部分讲的是我们提供保障的白血病的定义，其中包含一些免责条款，请您特别留意。</w:t>
      </w:r>
    </w:p>
    <w:p>
      <w:pPr>
        <w:pStyle w:val="BodyText"/>
        <w:spacing w:before="11"/>
        <w:rPr>
          <w:sz w:val="16"/>
        </w:rPr>
      </w:pPr>
    </w:p>
    <w:p>
      <w:pPr>
        <w:pStyle w:val="BodyText"/>
        <w:tabs>
          <w:tab w:pos="1038" w:val="left" w:leader="none"/>
          <w:tab w:pos="3380" w:val="left" w:leader="none"/>
        </w:tabs>
        <w:spacing w:before="20"/>
        <w:ind w:left="361"/>
      </w:pPr>
      <w:r>
        <w:rPr>
          <w:b/>
        </w:rPr>
        <w:t>7.1</w:t>
        <w:tab/>
      </w:r>
      <w:r>
        <w:rPr>
          <w:rFonts w:ascii="等线" w:eastAsia="等线" w:hint="eastAsia"/>
          <w:b/>
          <w:position w:val="1"/>
          <w:sz w:val="24"/>
        </w:rPr>
        <w:t>白血病</w:t>
        <w:tab/>
      </w:r>
      <w:r>
        <w:rPr/>
        <w:t>是一组系造血干细胞或祖细胞突变引起的造血系统恶性肿瘤。必须经专科</w:t>
      </w:r>
    </w:p>
    <w:p>
      <w:pPr>
        <w:pStyle w:val="BodyText"/>
        <w:spacing w:line="273" w:lineRule="auto" w:before="20"/>
        <w:ind w:left="3380" w:right="222"/>
      </w:pPr>
      <w:r>
        <w:rPr/>
        <w:t>医生诊断并且经血涂片和骨髓象检查确诊，属于世界卫生组织《疾病和有关健康问题的国际统计分类》（ICD-10）的白血病范畴。</w:t>
      </w:r>
    </w:p>
    <w:p>
      <w:pPr>
        <w:pStyle w:val="BodyText"/>
        <w:spacing w:before="7"/>
        <w:ind w:left="3380"/>
      </w:pPr>
      <w:r>
        <w:rPr>
          <w:shd w:fill="DADADA" w:color="auto" w:val="clear"/>
        </w:rPr>
        <w:t>相当于 Binet 分期方案 A 期程度的慢性淋巴细胞白血病不在保障范围内。</w:t>
      </w:r>
    </w:p>
    <w:p>
      <w:pPr>
        <w:pStyle w:val="BodyText"/>
        <w:spacing w:before="12"/>
      </w:pPr>
    </w:p>
    <w:p>
      <w:pPr>
        <w:pStyle w:val="Heading1"/>
        <w:tabs>
          <w:tab w:pos="1038" w:val="left" w:leader="none"/>
        </w:tabs>
        <w:spacing w:line="456" w:lineRule="exact" w:before="60"/>
        <w:ind w:left="342" w:firstLine="0"/>
        <w:rPr>
          <w:rFonts w:ascii="宋体" w:hAnsi="宋体" w:eastAsia="宋体" w:hint="eastAsia"/>
        </w:rPr>
      </w:pPr>
      <w:r>
        <w:rPr>
          <w:rFonts w:ascii="Arial" w:hAnsi="Arial" w:eastAsia="Arial"/>
          <w:position w:val="-8"/>
          <w:sz w:val="40"/>
        </w:rPr>
        <w:t></w:t>
        <w:tab/>
      </w:r>
      <w:r>
        <w:rPr>
          <w:rFonts w:ascii="宋体" w:hAnsi="宋体" w:eastAsia="宋体" w:hint="eastAsia"/>
          <w:w w:val="95"/>
        </w:rPr>
        <w:t>需关注的其他内容</w:t>
      </w:r>
    </w:p>
    <w:p>
      <w:pPr>
        <w:pStyle w:val="Heading2"/>
      </w:pPr>
      <w:r>
        <w:rPr/>
        <w:t>这部分讲的是您应当注意的其他事项。</w:t>
      </w:r>
    </w:p>
    <w:p>
      <w:pPr>
        <w:pStyle w:val="BodyText"/>
        <w:spacing w:before="6"/>
        <w:rPr>
          <w:sz w:val="13"/>
        </w:rPr>
      </w:pPr>
      <w:r>
        <w:rPr/>
        <w:pict>
          <v:group style="position:absolute;margin-left:45.599998pt;margin-top:10.808817pt;width:506.65pt;height:1pt;mso-position-horizontal-relative:page;mso-position-vertical-relative:paragraph;z-index:1504;mso-wrap-distance-left:0;mso-wrap-distance-right:0" coordorigin="912,216" coordsize="10133,20">
            <v:line style="position:absolute" from="912,226" to="1733,226" stroked="true" strokeweight=".96pt" strokecolor="#000000">
              <v:stroke dashstyle="solid"/>
            </v:line>
            <v:rect style="position:absolute;left:1732;top:216;width:20;height:20" filled="true" fillcolor="#000000" stroked="false">
              <v:fill type="solid"/>
            </v:rect>
            <v:line style="position:absolute" from="1752,226" to="4075,226" stroked="true" strokeweight=".96pt" strokecolor="#000000">
              <v:stroke dashstyle="solid"/>
            </v:line>
            <v:rect style="position:absolute;left:4075;top:216;width:20;height:20" filled="true" fillcolor="#000000" stroked="false">
              <v:fill type="solid"/>
            </v:rect>
            <v:line style="position:absolute" from="4094,226" to="11045,226" stroked="true" strokeweight=".96pt" strokecolor="#000000">
              <v:stroke dashstyle="solid"/>
            </v:line>
            <w10:wrap type="topAndBottom"/>
          </v:group>
        </w:pict>
      </w:r>
    </w:p>
    <w:p>
      <w:pPr>
        <w:pStyle w:val="BodyText"/>
        <w:spacing w:before="5"/>
        <w:rPr>
          <w:sz w:val="18"/>
        </w:rPr>
      </w:pPr>
    </w:p>
    <w:p>
      <w:pPr>
        <w:pStyle w:val="ListParagraph"/>
        <w:numPr>
          <w:ilvl w:val="1"/>
          <w:numId w:val="11"/>
        </w:numPr>
        <w:tabs>
          <w:tab w:pos="1038" w:val="left" w:leader="none"/>
          <w:tab w:pos="1039" w:val="left" w:leader="none"/>
          <w:tab w:pos="3380" w:val="left" w:leader="none"/>
        </w:tabs>
        <w:spacing w:line="240" w:lineRule="auto" w:before="36" w:after="0"/>
        <w:ind w:left="1038" w:right="0" w:hanging="677"/>
        <w:jc w:val="left"/>
        <w:rPr>
          <w:sz w:val="21"/>
        </w:rPr>
      </w:pPr>
      <w:r>
        <w:rPr>
          <w:b/>
          <w:sz w:val="21"/>
        </w:rPr>
        <w:t>合同构成</w:t>
        <w:tab/>
      </w:r>
      <w:r>
        <w:rPr>
          <w:sz w:val="21"/>
        </w:rPr>
        <w:t>本保险条款、保险单或其他保险凭证、投保书、与保险合同有关的投保文</w:t>
      </w:r>
    </w:p>
    <w:p>
      <w:pPr>
        <w:pStyle w:val="BodyText"/>
        <w:spacing w:line="273" w:lineRule="auto" w:before="36"/>
        <w:ind w:left="3380" w:right="222"/>
      </w:pPr>
      <w:r>
        <w:rPr/>
        <w:t>件、合法有效的声明、批注、批单、附加险合同、其他书面协议都是您与我们之间订立的保险合同的构成部分。</w:t>
      </w:r>
    </w:p>
    <w:p>
      <w:pPr>
        <w:pStyle w:val="BodyText"/>
        <w:spacing w:before="2"/>
        <w:rPr>
          <w:sz w:val="22"/>
        </w:rPr>
      </w:pPr>
    </w:p>
    <w:p>
      <w:pPr>
        <w:pStyle w:val="ListParagraph"/>
        <w:numPr>
          <w:ilvl w:val="1"/>
          <w:numId w:val="11"/>
        </w:numPr>
        <w:tabs>
          <w:tab w:pos="1038" w:val="left" w:leader="none"/>
          <w:tab w:pos="1039" w:val="left" w:leader="none"/>
          <w:tab w:pos="3380" w:val="left" w:leader="none"/>
        </w:tabs>
        <w:spacing w:line="240" w:lineRule="auto" w:before="1" w:after="0"/>
        <w:ind w:left="1038" w:right="0" w:hanging="677"/>
        <w:jc w:val="left"/>
        <w:rPr>
          <w:sz w:val="21"/>
        </w:rPr>
      </w:pPr>
      <w:r>
        <w:rPr>
          <w:b/>
          <w:sz w:val="21"/>
        </w:rPr>
        <w:t>合同成立与生效</w:t>
        <w:tab/>
      </w:r>
      <w:r>
        <w:rPr>
          <w:sz w:val="21"/>
        </w:rPr>
        <w:t>您提出保</w:t>
      </w:r>
      <w:r>
        <w:rPr>
          <w:spacing w:val="-5"/>
          <w:sz w:val="21"/>
        </w:rPr>
        <w:t>险</w:t>
      </w:r>
      <w:r>
        <w:rPr>
          <w:sz w:val="21"/>
        </w:rPr>
        <w:t>申请、</w:t>
      </w:r>
      <w:r>
        <w:rPr>
          <w:spacing w:val="-5"/>
          <w:sz w:val="21"/>
        </w:rPr>
        <w:t>我</w:t>
      </w:r>
      <w:r>
        <w:rPr>
          <w:sz w:val="21"/>
        </w:rPr>
        <w:t>们同意</w:t>
      </w:r>
      <w:r>
        <w:rPr>
          <w:spacing w:val="-5"/>
          <w:sz w:val="21"/>
        </w:rPr>
        <w:t>承</w:t>
      </w:r>
      <w:r>
        <w:rPr>
          <w:sz w:val="21"/>
        </w:rPr>
        <w:t>保，本</w:t>
      </w:r>
      <w:r>
        <w:rPr>
          <w:spacing w:val="-5"/>
          <w:sz w:val="21"/>
        </w:rPr>
        <w:t>主</w:t>
      </w:r>
      <w:r>
        <w:rPr>
          <w:sz w:val="21"/>
        </w:rPr>
        <w:t>险合同</w:t>
      </w:r>
      <w:r>
        <w:rPr>
          <w:spacing w:val="-5"/>
          <w:sz w:val="21"/>
        </w:rPr>
        <w:t>成</w:t>
      </w:r>
      <w:r>
        <w:rPr>
          <w:sz w:val="21"/>
        </w:rPr>
        <w:t>立。</w:t>
      </w:r>
    </w:p>
    <w:p>
      <w:pPr>
        <w:pStyle w:val="BodyText"/>
        <w:spacing w:line="273" w:lineRule="auto" w:before="37"/>
        <w:ind w:left="3380" w:right="222"/>
      </w:pPr>
      <w:r>
        <w:rPr/>
        <w:t>本主险合同自我们同意承保、收取保险费并签发保险单开始生效，具体生效日以保险单所载的日期为准。</w:t>
      </w:r>
    </w:p>
    <w:p>
      <w:pPr>
        <w:pStyle w:val="BodyText"/>
        <w:spacing w:before="2"/>
        <w:rPr>
          <w:sz w:val="22"/>
        </w:rPr>
      </w:pPr>
    </w:p>
    <w:p>
      <w:pPr>
        <w:pStyle w:val="ListParagraph"/>
        <w:numPr>
          <w:ilvl w:val="1"/>
          <w:numId w:val="11"/>
        </w:numPr>
        <w:tabs>
          <w:tab w:pos="1038" w:val="left" w:leader="none"/>
          <w:tab w:pos="1039" w:val="left" w:leader="none"/>
          <w:tab w:pos="3380" w:val="left" w:leader="none"/>
        </w:tabs>
        <w:spacing w:line="240" w:lineRule="auto" w:before="1" w:after="0"/>
        <w:ind w:left="1038" w:right="0" w:hanging="677"/>
        <w:jc w:val="left"/>
        <w:rPr>
          <w:sz w:val="21"/>
        </w:rPr>
      </w:pPr>
      <w:r>
        <w:rPr>
          <w:b/>
          <w:sz w:val="21"/>
        </w:rPr>
        <w:t>投保年龄</w:t>
        <w:tab/>
      </w:r>
      <w:r>
        <w:rPr>
          <w:sz w:val="21"/>
        </w:rPr>
        <w:t>指投保时被保险人的年龄，投保年龄以周岁计算。本主险合同接受的投保</w:t>
      </w:r>
    </w:p>
    <w:p>
      <w:pPr>
        <w:pStyle w:val="BodyText"/>
        <w:spacing w:before="37"/>
        <w:ind w:left="3380"/>
      </w:pPr>
      <w:r>
        <w:rPr>
          <w:spacing w:val="-11"/>
        </w:rPr>
        <w:t>年龄为 </w:t>
      </w:r>
      <w:r>
        <w:rPr/>
        <w:t>0</w:t>
      </w:r>
      <w:r>
        <w:rPr>
          <w:spacing w:val="-20"/>
        </w:rPr>
        <w:t> 周岁至 </w:t>
      </w:r>
      <w:r>
        <w:rPr/>
        <w:t>17</w:t>
      </w:r>
      <w:r>
        <w:rPr>
          <w:spacing w:val="-12"/>
        </w:rPr>
        <w:t> 周岁，最高可续保至 </w:t>
      </w:r>
      <w:r>
        <w:rPr/>
        <w:t>17</w:t>
      </w:r>
      <w:r>
        <w:rPr>
          <w:spacing w:val="-11"/>
        </w:rPr>
        <w:t> 周岁。投保时被保险人为 </w:t>
      </w:r>
      <w:r>
        <w:rPr/>
        <w:t>0</w:t>
      </w:r>
      <w:r>
        <w:rPr>
          <w:spacing w:val="-22"/>
        </w:rPr>
        <w:t> 周</w:t>
      </w:r>
    </w:p>
    <w:p>
      <w:pPr>
        <w:pStyle w:val="BodyText"/>
        <w:spacing w:before="37"/>
        <w:ind w:left="3380"/>
      </w:pPr>
      <w:r>
        <w:rPr/>
        <w:t>岁的，应当为出生满 60 日且已健康出院的婴儿。</w:t>
      </w:r>
    </w:p>
    <w:p>
      <w:pPr>
        <w:pStyle w:val="BodyText"/>
        <w:spacing w:before="6"/>
        <w:rPr>
          <w:sz w:val="24"/>
        </w:rPr>
      </w:pPr>
    </w:p>
    <w:p>
      <w:pPr>
        <w:pStyle w:val="ListParagraph"/>
        <w:numPr>
          <w:ilvl w:val="1"/>
          <w:numId w:val="11"/>
        </w:numPr>
        <w:tabs>
          <w:tab w:pos="1038" w:val="left" w:leader="none"/>
          <w:tab w:pos="1039" w:val="left" w:leader="none"/>
          <w:tab w:pos="3380" w:val="left" w:leader="none"/>
        </w:tabs>
        <w:spacing w:line="240" w:lineRule="auto" w:before="0" w:after="0"/>
        <w:ind w:left="1038" w:right="0" w:hanging="677"/>
        <w:jc w:val="left"/>
        <w:rPr>
          <w:sz w:val="21"/>
        </w:rPr>
      </w:pPr>
      <w:r>
        <w:rPr>
          <w:b/>
          <w:sz w:val="21"/>
        </w:rPr>
        <w:t>年龄错误</w:t>
        <w:tab/>
      </w:r>
      <w:r>
        <w:rPr>
          <w:sz w:val="21"/>
        </w:rPr>
        <w:t>您在申请投保时，应将与有效身份证件相符的被保险人的出生日期在投保</w:t>
      </w:r>
    </w:p>
    <w:p>
      <w:pPr>
        <w:pStyle w:val="BodyText"/>
        <w:spacing w:before="36"/>
        <w:ind w:left="3380"/>
      </w:pPr>
      <w:r>
        <w:rPr/>
        <w:t>书上填明，如果发生错误按照下列方式办理：</w:t>
      </w:r>
    </w:p>
    <w:p>
      <w:pPr>
        <w:pStyle w:val="BodyText"/>
        <w:spacing w:line="273" w:lineRule="auto" w:before="36"/>
        <w:ind w:left="3884" w:right="117" w:hanging="504"/>
      </w:pPr>
      <w:r>
        <w:rPr>
          <w:spacing w:val="-12"/>
        </w:rPr>
        <w:t>（1）</w:t>
      </w:r>
      <w:r>
        <w:rPr>
          <w:spacing w:val="-7"/>
        </w:rPr>
        <w:t>您申报的被保险人年龄不真实，并且其真实年龄不符合本主险合同约</w:t>
      </w:r>
      <w:r>
        <w:rPr>
          <w:spacing w:val="-11"/>
        </w:rPr>
        <w:t>定投保年龄限制的，我们有权解除合同，并向您退还本主险合同的未</w:t>
      </w:r>
      <w:r>
        <w:rPr>
          <w:spacing w:val="-14"/>
        </w:rPr>
        <w:t>满期净保险费。我们行使合同解除权适用</w:t>
      </w:r>
      <w:r>
        <w:rPr/>
        <w:t>“8.5</w:t>
      </w:r>
      <w:r>
        <w:rPr>
          <w:spacing w:val="-6"/>
        </w:rPr>
        <w:t> 明确说明与如实告知” </w:t>
      </w:r>
      <w:r>
        <w:rPr>
          <w:spacing w:val="-5"/>
        </w:rPr>
        <w:t>中合同解除权限制的规定；</w:t>
      </w:r>
    </w:p>
    <w:p>
      <w:pPr>
        <w:pStyle w:val="BodyText"/>
        <w:spacing w:line="273" w:lineRule="auto" w:before="7"/>
        <w:ind w:left="3884" w:right="112" w:hanging="504"/>
      </w:pPr>
      <w:r>
        <w:rPr>
          <w:w w:val="100"/>
        </w:rPr>
        <w:t>（</w:t>
      </w:r>
      <w:r>
        <w:rPr>
          <w:spacing w:val="-1"/>
          <w:w w:val="100"/>
        </w:rPr>
        <w:t>2</w:t>
      </w:r>
      <w:r>
        <w:rPr>
          <w:spacing w:val="-87"/>
          <w:w w:val="100"/>
        </w:rPr>
        <w:t>）</w:t>
      </w:r>
      <w:r>
        <w:rPr>
          <w:spacing w:val="-11"/>
          <w:w w:val="100"/>
        </w:rPr>
        <w:t>您申报的被保险人年龄不真实，致使您实付保险费少于应付保险费的，</w:t>
      </w:r>
      <w:r>
        <w:rPr>
          <w:spacing w:val="1"/>
        </w:rPr>
        <w:t>我们有权更正并要求您补交保险费或在给付保险金时扣除您欠交的</w:t>
      </w:r>
      <w:r>
        <w:rPr/>
        <w:t>保险费；</w:t>
      </w:r>
    </w:p>
    <w:p>
      <w:pPr>
        <w:pStyle w:val="BodyText"/>
        <w:spacing w:line="273" w:lineRule="auto" w:before="7"/>
        <w:ind w:left="3884" w:right="112" w:hanging="505"/>
      </w:pPr>
      <w:r>
        <w:rPr>
          <w:w w:val="100"/>
        </w:rPr>
        <w:t>（3</w:t>
      </w:r>
      <w:r>
        <w:rPr>
          <w:spacing w:val="-87"/>
          <w:w w:val="100"/>
        </w:rPr>
        <w:t>）</w:t>
      </w:r>
      <w:r>
        <w:rPr>
          <w:spacing w:val="-11"/>
          <w:w w:val="100"/>
        </w:rPr>
        <w:t>您申报的被保险人年龄不真实，致使您实付保险费多于应付保险费的，</w:t>
      </w:r>
      <w:r>
        <w:rPr>
          <w:spacing w:val="-7"/>
        </w:rPr>
        <w:t>我们会将多收的保险费退还给您。</w:t>
      </w:r>
    </w:p>
    <w:p>
      <w:pPr>
        <w:spacing w:after="0" w:line="273" w:lineRule="auto"/>
        <w:sectPr>
          <w:type w:val="continuous"/>
          <w:pgSz w:w="11910" w:h="16840"/>
          <w:pgMar w:top="480" w:bottom="280" w:left="80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2302"/>
        <w:gridCol w:w="7290"/>
      </w:tblGrid>
      <w:tr>
        <w:trPr>
          <w:trHeight w:val="4444" w:hRule="atLeast"/>
        </w:trPr>
        <w:tc>
          <w:tcPr>
            <w:tcW w:w="697" w:type="dxa"/>
          </w:tcPr>
          <w:p>
            <w:pPr>
              <w:pStyle w:val="TableParagraph"/>
              <w:spacing w:line="211" w:lineRule="exact"/>
              <w:ind w:left="179" w:right="160"/>
              <w:jc w:val="center"/>
              <w:rPr>
                <w:b/>
                <w:sz w:val="21"/>
              </w:rPr>
            </w:pPr>
            <w:r>
              <w:rPr>
                <w:b/>
                <w:sz w:val="21"/>
              </w:rPr>
              <w:t>8.5</w:t>
            </w:r>
          </w:p>
        </w:tc>
        <w:tc>
          <w:tcPr>
            <w:tcW w:w="2302" w:type="dxa"/>
          </w:tcPr>
          <w:p>
            <w:pPr>
              <w:pStyle w:val="TableParagraph"/>
              <w:spacing w:line="211" w:lineRule="exact"/>
              <w:ind w:left="179"/>
              <w:rPr>
                <w:b/>
                <w:sz w:val="21"/>
              </w:rPr>
            </w:pPr>
            <w:r>
              <w:rPr>
                <w:b/>
                <w:sz w:val="21"/>
              </w:rPr>
              <w:t>明确说明与如实告知</w:t>
            </w:r>
          </w:p>
        </w:tc>
        <w:tc>
          <w:tcPr>
            <w:tcW w:w="7290" w:type="dxa"/>
          </w:tcPr>
          <w:p>
            <w:pPr>
              <w:pStyle w:val="TableParagraph"/>
              <w:spacing w:line="211" w:lineRule="exact"/>
              <w:ind w:left="220"/>
              <w:rPr>
                <w:sz w:val="21"/>
              </w:rPr>
            </w:pPr>
            <w:r>
              <w:rPr>
                <w:sz w:val="21"/>
              </w:rPr>
              <w:t>订立本主险合同时，我们会向您说明本主险合同的内容。对本主险合同中</w:t>
            </w:r>
          </w:p>
          <w:p>
            <w:pPr>
              <w:pStyle w:val="TableParagraph"/>
              <w:spacing w:line="273" w:lineRule="auto" w:before="37"/>
              <w:ind w:left="220" w:right="309"/>
              <w:jc w:val="both"/>
              <w:rPr>
                <w:sz w:val="21"/>
              </w:rPr>
            </w:pPr>
            <w:r>
              <w:rPr>
                <w:sz w:val="21"/>
              </w:rPr>
              <w:t>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TableParagraph"/>
              <w:spacing w:before="7"/>
              <w:ind w:left="220"/>
              <w:rPr>
                <w:sz w:val="21"/>
              </w:rPr>
            </w:pPr>
            <w:r>
              <w:rPr>
                <w:sz w:val="21"/>
              </w:rPr>
              <w:t>我们就您和被保险人的有关情况提出询问，您应当如实告知。</w:t>
            </w:r>
          </w:p>
          <w:p>
            <w:pPr>
              <w:pStyle w:val="TableParagraph"/>
              <w:spacing w:line="273" w:lineRule="auto" w:before="36"/>
              <w:ind w:left="220" w:right="309"/>
              <w:rPr>
                <w:sz w:val="21"/>
              </w:rPr>
            </w:pPr>
            <w:r>
              <w:rPr>
                <w:sz w:val="21"/>
              </w:rPr>
              <w:t>如果您故意或者因重大过失未履行前款规定的如实告知义务，足以影响我们决定是否同意承保或者提高保险费率的，我们有权解除本主险合同。</w:t>
            </w:r>
          </w:p>
          <w:p>
            <w:pPr>
              <w:pStyle w:val="TableParagraph"/>
              <w:spacing w:line="273" w:lineRule="auto" w:before="7"/>
              <w:ind w:left="220" w:right="198"/>
              <w:rPr>
                <w:sz w:val="21"/>
              </w:rPr>
            </w:pPr>
            <w:r>
              <w:rPr>
                <w:spacing w:val="-8"/>
                <w:sz w:val="21"/>
              </w:rPr>
              <w:t>如果您故意不履行如实告知义务，对于本主险合同解除前发生的保险事故， </w:t>
            </w:r>
            <w:r>
              <w:rPr>
                <w:spacing w:val="-6"/>
                <w:sz w:val="21"/>
              </w:rPr>
              <w:t>我们不承担给付保险金的责任，并不退还保险费。</w:t>
            </w:r>
          </w:p>
          <w:p>
            <w:pPr>
              <w:pStyle w:val="TableParagraph"/>
              <w:spacing w:line="273" w:lineRule="auto" w:before="7"/>
              <w:ind w:left="220" w:right="199"/>
              <w:rPr>
                <w:sz w:val="21"/>
              </w:rPr>
            </w:pPr>
            <w:r>
              <w:rPr>
                <w:spacing w:val="-8"/>
                <w:sz w:val="21"/>
              </w:rPr>
              <w:t>如果您因重大过失未履行如实告知义务，对保险事故的发生有严重影响的， 对于本主险合同解除前发生的保险事故，我们不承担给付保险金的责任， </w:t>
            </w:r>
            <w:r>
              <w:rPr>
                <w:spacing w:val="-6"/>
                <w:sz w:val="21"/>
              </w:rPr>
              <w:t>但会退还保险费。</w:t>
            </w:r>
          </w:p>
          <w:p>
            <w:pPr>
              <w:pStyle w:val="TableParagraph"/>
              <w:spacing w:line="273" w:lineRule="auto" w:before="7"/>
              <w:ind w:left="220" w:right="309"/>
              <w:rPr>
                <w:sz w:val="21"/>
              </w:rPr>
            </w:pPr>
            <w:r>
              <w:rPr>
                <w:sz w:val="21"/>
              </w:rPr>
              <w:t>我们在合同订立时已经知道您未如实告知的情况的，我们不得解除合同； 发生保险事故的，我们承担给付保险金的责任。</w:t>
            </w:r>
          </w:p>
        </w:tc>
      </w:tr>
      <w:tr>
        <w:trPr>
          <w:trHeight w:val="2111" w:hRule="atLeast"/>
        </w:trPr>
        <w:tc>
          <w:tcPr>
            <w:tcW w:w="697" w:type="dxa"/>
          </w:tcPr>
          <w:p>
            <w:pPr>
              <w:pStyle w:val="TableParagraph"/>
              <w:spacing w:before="114"/>
              <w:ind w:left="179" w:right="160"/>
              <w:jc w:val="center"/>
              <w:rPr>
                <w:b/>
                <w:sz w:val="21"/>
              </w:rPr>
            </w:pPr>
            <w:r>
              <w:rPr>
                <w:b/>
                <w:sz w:val="21"/>
              </w:rPr>
              <w:t>8.6</w:t>
            </w:r>
          </w:p>
        </w:tc>
        <w:tc>
          <w:tcPr>
            <w:tcW w:w="2302" w:type="dxa"/>
          </w:tcPr>
          <w:p>
            <w:pPr>
              <w:pStyle w:val="TableParagraph"/>
              <w:spacing w:before="114"/>
              <w:ind w:left="179"/>
              <w:rPr>
                <w:b/>
                <w:sz w:val="21"/>
              </w:rPr>
            </w:pPr>
            <w:r>
              <w:rPr>
                <w:b/>
                <w:sz w:val="21"/>
              </w:rPr>
              <w:t>合同内容变更</w:t>
            </w:r>
          </w:p>
        </w:tc>
        <w:tc>
          <w:tcPr>
            <w:tcW w:w="7290" w:type="dxa"/>
          </w:tcPr>
          <w:p>
            <w:pPr>
              <w:pStyle w:val="TableParagraph"/>
              <w:spacing w:line="273" w:lineRule="auto" w:before="114"/>
              <w:ind w:left="220" w:right="309"/>
              <w:jc w:val="both"/>
              <w:rPr>
                <w:sz w:val="21"/>
              </w:rPr>
            </w:pPr>
            <w:r>
              <w:rPr>
                <w:sz w:val="21"/>
              </w:rPr>
              <w:t>在本主险合同保险期间内，经您与我们协商一致，可以变更本主险合同的有关内容。</w:t>
            </w:r>
          </w:p>
          <w:p>
            <w:pPr>
              <w:pStyle w:val="TableParagraph"/>
              <w:spacing w:line="273" w:lineRule="auto" w:before="8"/>
              <w:ind w:left="220" w:right="309"/>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请及时以书面形式或双方认可的其他形式通知我们。若您未以书面形式或双方认可的其他形式通知我们，我们按本主险合同载明的最后住所或通讯地址所发送的有关通知，均视为已送达给您。</w:t>
            </w:r>
          </w:p>
        </w:tc>
      </w:tr>
      <w:tr>
        <w:trPr>
          <w:trHeight w:val="686" w:hRule="atLeast"/>
        </w:trPr>
        <w:tc>
          <w:tcPr>
            <w:tcW w:w="697" w:type="dxa"/>
          </w:tcPr>
          <w:p>
            <w:pPr>
              <w:pStyle w:val="TableParagraph"/>
              <w:spacing w:before="99"/>
              <w:ind w:left="179" w:right="160"/>
              <w:jc w:val="center"/>
              <w:rPr>
                <w:b/>
                <w:sz w:val="21"/>
              </w:rPr>
            </w:pPr>
            <w:r>
              <w:rPr>
                <w:b/>
                <w:sz w:val="21"/>
              </w:rPr>
              <w:t>8.7</w:t>
            </w:r>
          </w:p>
        </w:tc>
        <w:tc>
          <w:tcPr>
            <w:tcW w:w="2302" w:type="dxa"/>
          </w:tcPr>
          <w:p>
            <w:pPr>
              <w:pStyle w:val="TableParagraph"/>
              <w:spacing w:before="99"/>
              <w:ind w:left="179"/>
              <w:rPr>
                <w:b/>
                <w:sz w:val="21"/>
              </w:rPr>
            </w:pPr>
            <w:r>
              <w:rPr>
                <w:b/>
                <w:sz w:val="21"/>
              </w:rPr>
              <w:t>争议处理</w:t>
            </w:r>
          </w:p>
        </w:tc>
        <w:tc>
          <w:tcPr>
            <w:tcW w:w="7290" w:type="dxa"/>
          </w:tcPr>
          <w:p>
            <w:pPr>
              <w:pStyle w:val="TableParagraph"/>
              <w:spacing w:line="310" w:lineRule="atLeast" w:before="64"/>
              <w:ind w:left="220" w:right="309"/>
              <w:rPr>
                <w:sz w:val="21"/>
              </w:rPr>
            </w:pPr>
            <w:r>
              <w:rPr>
                <w:sz w:val="21"/>
              </w:rPr>
              <w:t>本主险合同履行过程中，双方发生争议不能协商解决的，可以达成仲裁协议通过仲裁解决，也可依法直接向法院提起诉讼。</w:t>
            </w:r>
          </w:p>
        </w:tc>
      </w:tr>
    </w:tbl>
    <w:p>
      <w:pPr>
        <w:spacing w:after="0" w:line="310" w:lineRule="atLeast"/>
        <w:rPr>
          <w:sz w:val="21"/>
        </w:rPr>
        <w:sectPr>
          <w:pgSz w:w="11910" w:h="16840"/>
          <w:pgMar w:top="1160" w:bottom="280" w:left="860" w:right="540"/>
        </w:sectPr>
      </w:pPr>
    </w:p>
    <w:p>
      <w:pPr>
        <w:pStyle w:val="Heading1"/>
        <w:spacing w:before="14"/>
        <w:ind w:left="222" w:firstLine="0"/>
        <w:rPr>
          <w:rFonts w:ascii="宋体" w:eastAsia="宋体" w:hint="eastAsia"/>
        </w:rPr>
      </w:pPr>
      <w:r>
        <w:rPr>
          <w:rFonts w:ascii="宋体" w:eastAsia="宋体" w:hint="eastAsia"/>
          <w:w w:val="95"/>
        </w:rPr>
        <w:t>附表：</w:t>
      </w:r>
    </w:p>
    <w:p>
      <w:pPr>
        <w:pStyle w:val="BodyText"/>
        <w:rPr>
          <w:b/>
          <w:sz w:val="20"/>
        </w:rPr>
      </w:pPr>
    </w:p>
    <w:p>
      <w:pPr>
        <w:spacing w:before="174"/>
        <w:ind w:left="2599" w:right="2617" w:firstLine="0"/>
        <w:jc w:val="center"/>
        <w:rPr>
          <w:b/>
          <w:sz w:val="28"/>
        </w:rPr>
      </w:pPr>
      <w:r>
        <w:rPr>
          <w:b/>
          <w:w w:val="95"/>
          <w:sz w:val="28"/>
        </w:rPr>
        <w:t>平安保宝福一年期少儿重大疾病保险费率表</w:t>
      </w:r>
    </w:p>
    <w:p>
      <w:pPr>
        <w:pStyle w:val="BodyText"/>
        <w:spacing w:before="156"/>
        <w:ind w:left="2599" w:right="2607"/>
        <w:jc w:val="center"/>
      </w:pPr>
      <w:r>
        <w:rPr/>
        <w:t>（每份）</w:t>
      </w:r>
    </w:p>
    <w:p>
      <w:pPr>
        <w:pStyle w:val="BodyText"/>
        <w:spacing w:before="11"/>
        <w:rPr>
          <w:sz w:val="23"/>
        </w:rPr>
      </w:pPr>
    </w:p>
    <w:p>
      <w:pPr>
        <w:pStyle w:val="BodyText"/>
        <w:spacing w:before="36" w:after="52"/>
        <w:ind w:right="230"/>
        <w:jc w:val="right"/>
      </w:pPr>
      <w:r>
        <w:rPr/>
        <w:t>单位：人民币元</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2016"/>
        <w:gridCol w:w="2016"/>
        <w:gridCol w:w="2016"/>
        <w:gridCol w:w="2016"/>
      </w:tblGrid>
      <w:tr>
        <w:trPr>
          <w:trHeight w:val="311" w:hRule="atLeast"/>
        </w:trPr>
        <w:tc>
          <w:tcPr>
            <w:tcW w:w="2021" w:type="dxa"/>
            <w:vMerge w:val="restart"/>
          </w:tcPr>
          <w:p>
            <w:pPr>
              <w:pStyle w:val="TableParagraph"/>
              <w:spacing w:before="155"/>
              <w:ind w:left="786" w:right="782"/>
              <w:jc w:val="center"/>
              <w:rPr>
                <w:b/>
                <w:sz w:val="20"/>
              </w:rPr>
            </w:pPr>
            <w:r>
              <w:rPr>
                <w:b/>
                <w:sz w:val="20"/>
              </w:rPr>
              <w:t>年龄</w:t>
            </w:r>
          </w:p>
        </w:tc>
        <w:tc>
          <w:tcPr>
            <w:tcW w:w="4032" w:type="dxa"/>
            <w:gridSpan w:val="2"/>
          </w:tcPr>
          <w:p>
            <w:pPr>
              <w:pStyle w:val="TableParagraph"/>
              <w:spacing w:line="254" w:lineRule="exact"/>
              <w:ind w:left="858"/>
              <w:rPr>
                <w:b/>
                <w:sz w:val="20"/>
              </w:rPr>
            </w:pPr>
            <w:r>
              <w:rPr>
                <w:b/>
                <w:sz w:val="20"/>
              </w:rPr>
              <w:t>首次投保/非连续投保费率</w:t>
            </w:r>
          </w:p>
        </w:tc>
        <w:tc>
          <w:tcPr>
            <w:tcW w:w="4032" w:type="dxa"/>
            <w:gridSpan w:val="2"/>
          </w:tcPr>
          <w:p>
            <w:pPr>
              <w:pStyle w:val="TableParagraph"/>
              <w:spacing w:line="254" w:lineRule="exact"/>
              <w:ind w:left="1593" w:right="1584"/>
              <w:jc w:val="center"/>
              <w:rPr>
                <w:b/>
                <w:sz w:val="20"/>
              </w:rPr>
            </w:pPr>
            <w:r>
              <w:rPr>
                <w:b/>
                <w:sz w:val="20"/>
              </w:rPr>
              <w:t>续保费率</w:t>
            </w:r>
          </w:p>
        </w:tc>
      </w:tr>
      <w:tr>
        <w:trPr>
          <w:trHeight w:val="311" w:hRule="atLeast"/>
        </w:trPr>
        <w:tc>
          <w:tcPr>
            <w:tcW w:w="2021" w:type="dxa"/>
            <w:vMerge/>
            <w:tcBorders>
              <w:top w:val="nil"/>
            </w:tcBorders>
          </w:tcPr>
          <w:p>
            <w:pPr>
              <w:rPr>
                <w:sz w:val="2"/>
                <w:szCs w:val="2"/>
              </w:rPr>
            </w:pPr>
          </w:p>
        </w:tc>
        <w:tc>
          <w:tcPr>
            <w:tcW w:w="2016" w:type="dxa"/>
          </w:tcPr>
          <w:p>
            <w:pPr>
              <w:pStyle w:val="TableParagraph"/>
              <w:spacing w:line="254" w:lineRule="exact"/>
              <w:ind w:left="901"/>
              <w:rPr>
                <w:b/>
                <w:sz w:val="20"/>
              </w:rPr>
            </w:pPr>
            <w:r>
              <w:rPr>
                <w:b/>
                <w:w w:val="100"/>
                <w:sz w:val="20"/>
              </w:rPr>
              <w:t>男</w:t>
            </w:r>
          </w:p>
        </w:tc>
        <w:tc>
          <w:tcPr>
            <w:tcW w:w="2016" w:type="dxa"/>
          </w:tcPr>
          <w:p>
            <w:pPr>
              <w:pStyle w:val="TableParagraph"/>
              <w:spacing w:line="254" w:lineRule="exact"/>
              <w:jc w:val="center"/>
              <w:rPr>
                <w:b/>
                <w:sz w:val="20"/>
              </w:rPr>
            </w:pPr>
            <w:r>
              <w:rPr>
                <w:b/>
                <w:w w:val="100"/>
                <w:sz w:val="20"/>
              </w:rPr>
              <w:t>女</w:t>
            </w:r>
          </w:p>
        </w:tc>
        <w:tc>
          <w:tcPr>
            <w:tcW w:w="2016" w:type="dxa"/>
          </w:tcPr>
          <w:p>
            <w:pPr>
              <w:pStyle w:val="TableParagraph"/>
              <w:spacing w:line="254" w:lineRule="exact"/>
              <w:ind w:left="902"/>
              <w:rPr>
                <w:b/>
                <w:sz w:val="20"/>
              </w:rPr>
            </w:pPr>
            <w:r>
              <w:rPr>
                <w:b/>
                <w:w w:val="100"/>
                <w:sz w:val="20"/>
              </w:rPr>
              <w:t>男</w:t>
            </w:r>
          </w:p>
        </w:tc>
        <w:tc>
          <w:tcPr>
            <w:tcW w:w="2016" w:type="dxa"/>
          </w:tcPr>
          <w:p>
            <w:pPr>
              <w:pStyle w:val="TableParagraph"/>
              <w:spacing w:line="254" w:lineRule="exact"/>
              <w:jc w:val="center"/>
              <w:rPr>
                <w:b/>
                <w:sz w:val="20"/>
              </w:rPr>
            </w:pPr>
            <w:r>
              <w:rPr>
                <w:b/>
                <w:w w:val="100"/>
                <w:sz w:val="20"/>
              </w:rPr>
              <w:t>女</w:t>
            </w:r>
          </w:p>
        </w:tc>
      </w:tr>
      <w:tr>
        <w:trPr>
          <w:trHeight w:val="311" w:hRule="atLeast"/>
        </w:trPr>
        <w:tc>
          <w:tcPr>
            <w:tcW w:w="2021" w:type="dxa"/>
          </w:tcPr>
          <w:p>
            <w:pPr>
              <w:pStyle w:val="TableParagraph"/>
              <w:spacing w:line="254" w:lineRule="exact"/>
              <w:ind w:left="9"/>
              <w:jc w:val="center"/>
              <w:rPr>
                <w:sz w:val="20"/>
              </w:rPr>
            </w:pPr>
            <w:r>
              <w:rPr>
                <w:w w:val="100"/>
                <w:sz w:val="20"/>
              </w:rPr>
              <w:t>0</w:t>
            </w:r>
          </w:p>
        </w:tc>
        <w:tc>
          <w:tcPr>
            <w:tcW w:w="2016" w:type="dxa"/>
          </w:tcPr>
          <w:p>
            <w:pPr>
              <w:pStyle w:val="TableParagraph"/>
              <w:spacing w:line="254" w:lineRule="exact"/>
              <w:ind w:left="854"/>
              <w:rPr>
                <w:sz w:val="20"/>
              </w:rPr>
            </w:pPr>
            <w:r>
              <w:rPr>
                <w:sz w:val="20"/>
              </w:rPr>
              <w:t>174</w:t>
            </w:r>
          </w:p>
        </w:tc>
        <w:tc>
          <w:tcPr>
            <w:tcW w:w="2016" w:type="dxa"/>
          </w:tcPr>
          <w:p>
            <w:pPr>
              <w:pStyle w:val="TableParagraph"/>
              <w:spacing w:line="254" w:lineRule="exact"/>
              <w:ind w:left="145" w:right="141"/>
              <w:jc w:val="center"/>
              <w:rPr>
                <w:sz w:val="20"/>
              </w:rPr>
            </w:pPr>
            <w:r>
              <w:rPr>
                <w:sz w:val="20"/>
              </w:rPr>
              <w:t>179</w:t>
            </w:r>
          </w:p>
        </w:tc>
        <w:tc>
          <w:tcPr>
            <w:tcW w:w="2016" w:type="dxa"/>
          </w:tcPr>
          <w:p>
            <w:pPr>
              <w:pStyle w:val="TableParagraph"/>
              <w:spacing w:line="254" w:lineRule="exact"/>
              <w:ind w:left="4"/>
              <w:jc w:val="center"/>
              <w:rPr>
                <w:sz w:val="20"/>
              </w:rPr>
            </w:pPr>
            <w:r>
              <w:rPr>
                <w:w w:val="100"/>
                <w:sz w:val="20"/>
              </w:rPr>
              <w:t>-</w:t>
            </w:r>
          </w:p>
        </w:tc>
        <w:tc>
          <w:tcPr>
            <w:tcW w:w="2016" w:type="dxa"/>
          </w:tcPr>
          <w:p>
            <w:pPr>
              <w:pStyle w:val="TableParagraph"/>
              <w:spacing w:line="254" w:lineRule="exact"/>
              <w:ind w:left="4"/>
              <w:jc w:val="center"/>
              <w:rPr>
                <w:sz w:val="20"/>
              </w:rPr>
            </w:pPr>
            <w:r>
              <w:rPr>
                <w:w w:val="100"/>
                <w:sz w:val="20"/>
              </w:rPr>
              <w:t>-</w:t>
            </w:r>
          </w:p>
        </w:tc>
      </w:tr>
      <w:tr>
        <w:trPr>
          <w:trHeight w:val="316" w:hRule="atLeast"/>
        </w:trPr>
        <w:tc>
          <w:tcPr>
            <w:tcW w:w="2021" w:type="dxa"/>
          </w:tcPr>
          <w:p>
            <w:pPr>
              <w:pStyle w:val="TableParagraph"/>
              <w:spacing w:line="258" w:lineRule="exact"/>
              <w:ind w:left="9"/>
              <w:jc w:val="center"/>
              <w:rPr>
                <w:sz w:val="20"/>
              </w:rPr>
            </w:pPr>
            <w:r>
              <w:rPr>
                <w:w w:val="100"/>
                <w:sz w:val="20"/>
              </w:rPr>
              <w:t>1</w:t>
            </w:r>
          </w:p>
        </w:tc>
        <w:tc>
          <w:tcPr>
            <w:tcW w:w="2016" w:type="dxa"/>
          </w:tcPr>
          <w:p>
            <w:pPr>
              <w:pStyle w:val="TableParagraph"/>
              <w:spacing w:line="258" w:lineRule="exact"/>
              <w:ind w:left="854"/>
              <w:rPr>
                <w:sz w:val="20"/>
              </w:rPr>
            </w:pPr>
            <w:r>
              <w:rPr>
                <w:sz w:val="20"/>
              </w:rPr>
              <w:t>155</w:t>
            </w:r>
          </w:p>
        </w:tc>
        <w:tc>
          <w:tcPr>
            <w:tcW w:w="2016" w:type="dxa"/>
          </w:tcPr>
          <w:p>
            <w:pPr>
              <w:pStyle w:val="TableParagraph"/>
              <w:spacing w:line="258" w:lineRule="exact"/>
              <w:ind w:left="145" w:right="141"/>
              <w:jc w:val="center"/>
              <w:rPr>
                <w:sz w:val="20"/>
              </w:rPr>
            </w:pPr>
            <w:r>
              <w:rPr>
                <w:sz w:val="20"/>
              </w:rPr>
              <w:t>153</w:t>
            </w:r>
          </w:p>
        </w:tc>
        <w:tc>
          <w:tcPr>
            <w:tcW w:w="2016" w:type="dxa"/>
          </w:tcPr>
          <w:p>
            <w:pPr>
              <w:pStyle w:val="TableParagraph"/>
              <w:spacing w:line="258" w:lineRule="exact"/>
              <w:ind w:left="854"/>
              <w:rPr>
                <w:sz w:val="20"/>
              </w:rPr>
            </w:pPr>
            <w:r>
              <w:rPr>
                <w:sz w:val="20"/>
              </w:rPr>
              <w:t>158</w:t>
            </w:r>
          </w:p>
        </w:tc>
        <w:tc>
          <w:tcPr>
            <w:tcW w:w="2016" w:type="dxa"/>
          </w:tcPr>
          <w:p>
            <w:pPr>
              <w:pStyle w:val="TableParagraph"/>
              <w:spacing w:line="258" w:lineRule="exact"/>
              <w:ind w:left="145" w:right="141"/>
              <w:jc w:val="center"/>
              <w:rPr>
                <w:sz w:val="20"/>
              </w:rPr>
            </w:pPr>
            <w:r>
              <w:rPr>
                <w:sz w:val="20"/>
              </w:rPr>
              <w:t>157</w:t>
            </w:r>
          </w:p>
        </w:tc>
      </w:tr>
      <w:tr>
        <w:trPr>
          <w:trHeight w:val="311" w:hRule="atLeast"/>
        </w:trPr>
        <w:tc>
          <w:tcPr>
            <w:tcW w:w="2021" w:type="dxa"/>
          </w:tcPr>
          <w:p>
            <w:pPr>
              <w:pStyle w:val="TableParagraph"/>
              <w:spacing w:line="254" w:lineRule="exact"/>
              <w:ind w:left="9"/>
              <w:jc w:val="center"/>
              <w:rPr>
                <w:sz w:val="20"/>
              </w:rPr>
            </w:pPr>
            <w:r>
              <w:rPr>
                <w:w w:val="100"/>
                <w:sz w:val="20"/>
              </w:rPr>
              <w:t>2</w:t>
            </w:r>
          </w:p>
        </w:tc>
        <w:tc>
          <w:tcPr>
            <w:tcW w:w="2016" w:type="dxa"/>
          </w:tcPr>
          <w:p>
            <w:pPr>
              <w:pStyle w:val="TableParagraph"/>
              <w:spacing w:line="254" w:lineRule="exact"/>
              <w:ind w:left="854"/>
              <w:rPr>
                <w:sz w:val="20"/>
              </w:rPr>
            </w:pPr>
            <w:r>
              <w:rPr>
                <w:sz w:val="20"/>
              </w:rPr>
              <w:t>144</w:t>
            </w:r>
          </w:p>
        </w:tc>
        <w:tc>
          <w:tcPr>
            <w:tcW w:w="2016" w:type="dxa"/>
          </w:tcPr>
          <w:p>
            <w:pPr>
              <w:pStyle w:val="TableParagraph"/>
              <w:spacing w:line="254" w:lineRule="exact"/>
              <w:ind w:left="145" w:right="141"/>
              <w:jc w:val="center"/>
              <w:rPr>
                <w:sz w:val="20"/>
              </w:rPr>
            </w:pPr>
            <w:r>
              <w:rPr>
                <w:sz w:val="20"/>
              </w:rPr>
              <w:t>142</w:t>
            </w:r>
          </w:p>
        </w:tc>
        <w:tc>
          <w:tcPr>
            <w:tcW w:w="2016" w:type="dxa"/>
          </w:tcPr>
          <w:p>
            <w:pPr>
              <w:pStyle w:val="TableParagraph"/>
              <w:spacing w:line="254" w:lineRule="exact"/>
              <w:ind w:left="854"/>
              <w:rPr>
                <w:sz w:val="20"/>
              </w:rPr>
            </w:pPr>
            <w:r>
              <w:rPr>
                <w:sz w:val="20"/>
              </w:rPr>
              <w:t>147</w:t>
            </w:r>
          </w:p>
        </w:tc>
        <w:tc>
          <w:tcPr>
            <w:tcW w:w="2016" w:type="dxa"/>
          </w:tcPr>
          <w:p>
            <w:pPr>
              <w:pStyle w:val="TableParagraph"/>
              <w:spacing w:line="254" w:lineRule="exact"/>
              <w:ind w:left="145" w:right="141"/>
              <w:jc w:val="center"/>
              <w:rPr>
                <w:sz w:val="20"/>
              </w:rPr>
            </w:pPr>
            <w:r>
              <w:rPr>
                <w:sz w:val="20"/>
              </w:rPr>
              <w:t>145</w:t>
            </w:r>
          </w:p>
        </w:tc>
      </w:tr>
      <w:tr>
        <w:trPr>
          <w:trHeight w:val="311" w:hRule="atLeast"/>
        </w:trPr>
        <w:tc>
          <w:tcPr>
            <w:tcW w:w="2021" w:type="dxa"/>
          </w:tcPr>
          <w:p>
            <w:pPr>
              <w:pStyle w:val="TableParagraph"/>
              <w:spacing w:line="254" w:lineRule="exact"/>
              <w:ind w:left="9"/>
              <w:jc w:val="center"/>
              <w:rPr>
                <w:sz w:val="20"/>
              </w:rPr>
            </w:pPr>
            <w:r>
              <w:rPr>
                <w:w w:val="100"/>
                <w:sz w:val="20"/>
              </w:rPr>
              <w:t>3</w:t>
            </w:r>
          </w:p>
        </w:tc>
        <w:tc>
          <w:tcPr>
            <w:tcW w:w="2016" w:type="dxa"/>
          </w:tcPr>
          <w:p>
            <w:pPr>
              <w:pStyle w:val="TableParagraph"/>
              <w:spacing w:line="254" w:lineRule="exact"/>
              <w:ind w:left="854"/>
              <w:rPr>
                <w:sz w:val="20"/>
              </w:rPr>
            </w:pPr>
            <w:r>
              <w:rPr>
                <w:sz w:val="20"/>
              </w:rPr>
              <w:t>131</w:t>
            </w:r>
          </w:p>
        </w:tc>
        <w:tc>
          <w:tcPr>
            <w:tcW w:w="2016" w:type="dxa"/>
          </w:tcPr>
          <w:p>
            <w:pPr>
              <w:pStyle w:val="TableParagraph"/>
              <w:spacing w:line="254" w:lineRule="exact"/>
              <w:ind w:left="145" w:right="141"/>
              <w:jc w:val="center"/>
              <w:rPr>
                <w:sz w:val="20"/>
              </w:rPr>
            </w:pPr>
            <w:r>
              <w:rPr>
                <w:sz w:val="20"/>
              </w:rPr>
              <w:t>131</w:t>
            </w:r>
          </w:p>
        </w:tc>
        <w:tc>
          <w:tcPr>
            <w:tcW w:w="2016" w:type="dxa"/>
          </w:tcPr>
          <w:p>
            <w:pPr>
              <w:pStyle w:val="TableParagraph"/>
              <w:spacing w:line="254" w:lineRule="exact"/>
              <w:ind w:left="854"/>
              <w:rPr>
                <w:sz w:val="20"/>
              </w:rPr>
            </w:pPr>
            <w:r>
              <w:rPr>
                <w:sz w:val="20"/>
              </w:rPr>
              <w:t>133</w:t>
            </w:r>
          </w:p>
        </w:tc>
        <w:tc>
          <w:tcPr>
            <w:tcW w:w="2016" w:type="dxa"/>
          </w:tcPr>
          <w:p>
            <w:pPr>
              <w:pStyle w:val="TableParagraph"/>
              <w:spacing w:line="254" w:lineRule="exact"/>
              <w:ind w:left="145" w:right="141"/>
              <w:jc w:val="center"/>
              <w:rPr>
                <w:sz w:val="20"/>
              </w:rPr>
            </w:pPr>
            <w:r>
              <w:rPr>
                <w:sz w:val="20"/>
              </w:rPr>
              <w:t>133</w:t>
            </w:r>
          </w:p>
        </w:tc>
      </w:tr>
      <w:tr>
        <w:trPr>
          <w:trHeight w:val="311" w:hRule="atLeast"/>
        </w:trPr>
        <w:tc>
          <w:tcPr>
            <w:tcW w:w="2021" w:type="dxa"/>
          </w:tcPr>
          <w:p>
            <w:pPr>
              <w:pStyle w:val="TableParagraph"/>
              <w:spacing w:line="254" w:lineRule="exact"/>
              <w:ind w:left="9"/>
              <w:jc w:val="center"/>
              <w:rPr>
                <w:sz w:val="20"/>
              </w:rPr>
            </w:pPr>
            <w:r>
              <w:rPr>
                <w:w w:val="100"/>
                <w:sz w:val="20"/>
              </w:rPr>
              <w:t>4</w:t>
            </w:r>
          </w:p>
        </w:tc>
        <w:tc>
          <w:tcPr>
            <w:tcW w:w="2016" w:type="dxa"/>
          </w:tcPr>
          <w:p>
            <w:pPr>
              <w:pStyle w:val="TableParagraph"/>
              <w:spacing w:line="254" w:lineRule="exact"/>
              <w:ind w:left="854"/>
              <w:rPr>
                <w:sz w:val="20"/>
              </w:rPr>
            </w:pPr>
            <w:r>
              <w:rPr>
                <w:sz w:val="20"/>
              </w:rPr>
              <w:t>121</w:t>
            </w:r>
          </w:p>
        </w:tc>
        <w:tc>
          <w:tcPr>
            <w:tcW w:w="2016" w:type="dxa"/>
          </w:tcPr>
          <w:p>
            <w:pPr>
              <w:pStyle w:val="TableParagraph"/>
              <w:spacing w:line="254" w:lineRule="exact"/>
              <w:ind w:left="145" w:right="141"/>
              <w:jc w:val="center"/>
              <w:rPr>
                <w:sz w:val="20"/>
              </w:rPr>
            </w:pPr>
            <w:r>
              <w:rPr>
                <w:sz w:val="20"/>
              </w:rPr>
              <w:t>121</w:t>
            </w:r>
          </w:p>
        </w:tc>
        <w:tc>
          <w:tcPr>
            <w:tcW w:w="2016" w:type="dxa"/>
          </w:tcPr>
          <w:p>
            <w:pPr>
              <w:pStyle w:val="TableParagraph"/>
              <w:spacing w:line="254" w:lineRule="exact"/>
              <w:ind w:left="854"/>
              <w:rPr>
                <w:sz w:val="20"/>
              </w:rPr>
            </w:pPr>
            <w:r>
              <w:rPr>
                <w:sz w:val="20"/>
              </w:rPr>
              <w:t>123</w:t>
            </w:r>
          </w:p>
        </w:tc>
        <w:tc>
          <w:tcPr>
            <w:tcW w:w="2016" w:type="dxa"/>
          </w:tcPr>
          <w:p>
            <w:pPr>
              <w:pStyle w:val="TableParagraph"/>
              <w:spacing w:line="254" w:lineRule="exact"/>
              <w:ind w:left="145" w:right="141"/>
              <w:jc w:val="center"/>
              <w:rPr>
                <w:sz w:val="20"/>
              </w:rPr>
            </w:pPr>
            <w:r>
              <w:rPr>
                <w:sz w:val="20"/>
              </w:rPr>
              <w:t>123</w:t>
            </w:r>
          </w:p>
        </w:tc>
      </w:tr>
      <w:tr>
        <w:trPr>
          <w:trHeight w:val="311" w:hRule="atLeast"/>
        </w:trPr>
        <w:tc>
          <w:tcPr>
            <w:tcW w:w="2021" w:type="dxa"/>
          </w:tcPr>
          <w:p>
            <w:pPr>
              <w:pStyle w:val="TableParagraph"/>
              <w:spacing w:line="254" w:lineRule="exact"/>
              <w:ind w:left="9"/>
              <w:jc w:val="center"/>
              <w:rPr>
                <w:sz w:val="20"/>
              </w:rPr>
            </w:pPr>
            <w:r>
              <w:rPr>
                <w:w w:val="100"/>
                <w:sz w:val="20"/>
              </w:rPr>
              <w:t>5</w:t>
            </w:r>
          </w:p>
        </w:tc>
        <w:tc>
          <w:tcPr>
            <w:tcW w:w="2016" w:type="dxa"/>
          </w:tcPr>
          <w:p>
            <w:pPr>
              <w:pStyle w:val="TableParagraph"/>
              <w:spacing w:line="254" w:lineRule="exact"/>
              <w:ind w:left="854"/>
              <w:rPr>
                <w:sz w:val="20"/>
              </w:rPr>
            </w:pPr>
            <w:r>
              <w:rPr>
                <w:sz w:val="20"/>
              </w:rPr>
              <w:t>104</w:t>
            </w:r>
          </w:p>
        </w:tc>
        <w:tc>
          <w:tcPr>
            <w:tcW w:w="2016" w:type="dxa"/>
          </w:tcPr>
          <w:p>
            <w:pPr>
              <w:pStyle w:val="TableParagraph"/>
              <w:spacing w:line="254" w:lineRule="exact"/>
              <w:ind w:left="145" w:right="141"/>
              <w:jc w:val="center"/>
              <w:rPr>
                <w:sz w:val="20"/>
              </w:rPr>
            </w:pPr>
            <w:r>
              <w:rPr>
                <w:sz w:val="20"/>
              </w:rPr>
              <w:t>105</w:t>
            </w:r>
          </w:p>
        </w:tc>
        <w:tc>
          <w:tcPr>
            <w:tcW w:w="2016" w:type="dxa"/>
          </w:tcPr>
          <w:p>
            <w:pPr>
              <w:pStyle w:val="TableParagraph"/>
              <w:spacing w:line="254" w:lineRule="exact"/>
              <w:ind w:left="854"/>
              <w:rPr>
                <w:sz w:val="20"/>
              </w:rPr>
            </w:pPr>
            <w:r>
              <w:rPr>
                <w:sz w:val="20"/>
              </w:rPr>
              <w:t>106</w:t>
            </w:r>
          </w:p>
        </w:tc>
        <w:tc>
          <w:tcPr>
            <w:tcW w:w="2016" w:type="dxa"/>
          </w:tcPr>
          <w:p>
            <w:pPr>
              <w:pStyle w:val="TableParagraph"/>
              <w:spacing w:line="254" w:lineRule="exact"/>
              <w:ind w:left="145" w:right="141"/>
              <w:jc w:val="center"/>
              <w:rPr>
                <w:sz w:val="20"/>
              </w:rPr>
            </w:pPr>
            <w:r>
              <w:rPr>
                <w:sz w:val="20"/>
              </w:rPr>
              <w:t>107</w:t>
            </w:r>
          </w:p>
        </w:tc>
      </w:tr>
      <w:tr>
        <w:trPr>
          <w:trHeight w:val="311" w:hRule="atLeast"/>
        </w:trPr>
        <w:tc>
          <w:tcPr>
            <w:tcW w:w="2021" w:type="dxa"/>
          </w:tcPr>
          <w:p>
            <w:pPr>
              <w:pStyle w:val="TableParagraph"/>
              <w:spacing w:line="254" w:lineRule="exact"/>
              <w:ind w:left="9"/>
              <w:jc w:val="center"/>
              <w:rPr>
                <w:sz w:val="20"/>
              </w:rPr>
            </w:pPr>
            <w:r>
              <w:rPr>
                <w:w w:val="100"/>
                <w:sz w:val="20"/>
              </w:rPr>
              <w:t>6</w:t>
            </w:r>
          </w:p>
        </w:tc>
        <w:tc>
          <w:tcPr>
            <w:tcW w:w="2016" w:type="dxa"/>
          </w:tcPr>
          <w:p>
            <w:pPr>
              <w:pStyle w:val="TableParagraph"/>
              <w:spacing w:line="254" w:lineRule="exact"/>
              <w:ind w:left="854"/>
              <w:rPr>
                <w:sz w:val="20"/>
              </w:rPr>
            </w:pPr>
            <w:r>
              <w:rPr>
                <w:sz w:val="20"/>
              </w:rPr>
              <w:t>103</w:t>
            </w:r>
          </w:p>
        </w:tc>
        <w:tc>
          <w:tcPr>
            <w:tcW w:w="2016" w:type="dxa"/>
          </w:tcPr>
          <w:p>
            <w:pPr>
              <w:pStyle w:val="TableParagraph"/>
              <w:spacing w:line="254" w:lineRule="exact"/>
              <w:ind w:left="145" w:right="141"/>
              <w:jc w:val="center"/>
              <w:rPr>
                <w:sz w:val="20"/>
              </w:rPr>
            </w:pPr>
            <w:r>
              <w:rPr>
                <w:sz w:val="20"/>
              </w:rPr>
              <w:t>107</w:t>
            </w:r>
          </w:p>
        </w:tc>
        <w:tc>
          <w:tcPr>
            <w:tcW w:w="2016" w:type="dxa"/>
          </w:tcPr>
          <w:p>
            <w:pPr>
              <w:pStyle w:val="TableParagraph"/>
              <w:spacing w:line="254" w:lineRule="exact"/>
              <w:ind w:left="854"/>
              <w:rPr>
                <w:sz w:val="20"/>
              </w:rPr>
            </w:pPr>
            <w:r>
              <w:rPr>
                <w:sz w:val="20"/>
              </w:rPr>
              <w:t>105</w:t>
            </w:r>
          </w:p>
        </w:tc>
        <w:tc>
          <w:tcPr>
            <w:tcW w:w="2016" w:type="dxa"/>
          </w:tcPr>
          <w:p>
            <w:pPr>
              <w:pStyle w:val="TableParagraph"/>
              <w:spacing w:line="254" w:lineRule="exact"/>
              <w:ind w:left="145" w:right="141"/>
              <w:jc w:val="center"/>
              <w:rPr>
                <w:sz w:val="20"/>
              </w:rPr>
            </w:pPr>
            <w:r>
              <w:rPr>
                <w:sz w:val="20"/>
              </w:rPr>
              <w:t>109</w:t>
            </w:r>
          </w:p>
        </w:tc>
      </w:tr>
      <w:tr>
        <w:trPr>
          <w:trHeight w:val="311" w:hRule="atLeast"/>
        </w:trPr>
        <w:tc>
          <w:tcPr>
            <w:tcW w:w="2021" w:type="dxa"/>
          </w:tcPr>
          <w:p>
            <w:pPr>
              <w:pStyle w:val="TableParagraph"/>
              <w:spacing w:line="254" w:lineRule="exact"/>
              <w:ind w:left="9"/>
              <w:jc w:val="center"/>
              <w:rPr>
                <w:sz w:val="20"/>
              </w:rPr>
            </w:pPr>
            <w:r>
              <w:rPr>
                <w:w w:val="100"/>
                <w:sz w:val="20"/>
              </w:rPr>
              <w:t>7</w:t>
            </w:r>
          </w:p>
        </w:tc>
        <w:tc>
          <w:tcPr>
            <w:tcW w:w="2016" w:type="dxa"/>
          </w:tcPr>
          <w:p>
            <w:pPr>
              <w:pStyle w:val="TableParagraph"/>
              <w:spacing w:line="254" w:lineRule="exact"/>
              <w:ind w:left="901"/>
              <w:rPr>
                <w:sz w:val="20"/>
              </w:rPr>
            </w:pPr>
            <w:r>
              <w:rPr>
                <w:sz w:val="20"/>
              </w:rPr>
              <w:t>92</w:t>
            </w:r>
          </w:p>
        </w:tc>
        <w:tc>
          <w:tcPr>
            <w:tcW w:w="2016" w:type="dxa"/>
          </w:tcPr>
          <w:p>
            <w:pPr>
              <w:pStyle w:val="TableParagraph"/>
              <w:spacing w:line="254" w:lineRule="exact"/>
              <w:ind w:left="141" w:right="141"/>
              <w:jc w:val="center"/>
              <w:rPr>
                <w:sz w:val="20"/>
              </w:rPr>
            </w:pPr>
            <w:r>
              <w:rPr>
                <w:sz w:val="20"/>
              </w:rPr>
              <w:t>96</w:t>
            </w:r>
          </w:p>
        </w:tc>
        <w:tc>
          <w:tcPr>
            <w:tcW w:w="2016" w:type="dxa"/>
          </w:tcPr>
          <w:p>
            <w:pPr>
              <w:pStyle w:val="TableParagraph"/>
              <w:spacing w:line="254" w:lineRule="exact"/>
              <w:ind w:left="901"/>
              <w:rPr>
                <w:sz w:val="20"/>
              </w:rPr>
            </w:pPr>
            <w:r>
              <w:rPr>
                <w:sz w:val="20"/>
              </w:rPr>
              <w:t>94</w:t>
            </w:r>
          </w:p>
        </w:tc>
        <w:tc>
          <w:tcPr>
            <w:tcW w:w="2016" w:type="dxa"/>
          </w:tcPr>
          <w:p>
            <w:pPr>
              <w:pStyle w:val="TableParagraph"/>
              <w:spacing w:line="254" w:lineRule="exact"/>
              <w:ind w:left="141" w:right="141"/>
              <w:jc w:val="center"/>
              <w:rPr>
                <w:sz w:val="20"/>
              </w:rPr>
            </w:pPr>
            <w:r>
              <w:rPr>
                <w:sz w:val="20"/>
              </w:rPr>
              <w:t>98</w:t>
            </w:r>
          </w:p>
        </w:tc>
      </w:tr>
      <w:tr>
        <w:trPr>
          <w:trHeight w:val="311" w:hRule="atLeast"/>
        </w:trPr>
        <w:tc>
          <w:tcPr>
            <w:tcW w:w="2021" w:type="dxa"/>
          </w:tcPr>
          <w:p>
            <w:pPr>
              <w:pStyle w:val="TableParagraph"/>
              <w:spacing w:line="254" w:lineRule="exact"/>
              <w:ind w:left="9"/>
              <w:jc w:val="center"/>
              <w:rPr>
                <w:sz w:val="20"/>
              </w:rPr>
            </w:pPr>
            <w:r>
              <w:rPr>
                <w:w w:val="100"/>
                <w:sz w:val="20"/>
              </w:rPr>
              <w:t>8</w:t>
            </w:r>
          </w:p>
        </w:tc>
        <w:tc>
          <w:tcPr>
            <w:tcW w:w="2016" w:type="dxa"/>
          </w:tcPr>
          <w:p>
            <w:pPr>
              <w:pStyle w:val="TableParagraph"/>
              <w:spacing w:line="254" w:lineRule="exact"/>
              <w:ind w:left="901"/>
              <w:rPr>
                <w:sz w:val="20"/>
              </w:rPr>
            </w:pPr>
            <w:r>
              <w:rPr>
                <w:sz w:val="20"/>
              </w:rPr>
              <w:t>85</w:t>
            </w:r>
          </w:p>
        </w:tc>
        <w:tc>
          <w:tcPr>
            <w:tcW w:w="2016" w:type="dxa"/>
          </w:tcPr>
          <w:p>
            <w:pPr>
              <w:pStyle w:val="TableParagraph"/>
              <w:spacing w:line="254" w:lineRule="exact"/>
              <w:ind w:left="141" w:right="141"/>
              <w:jc w:val="center"/>
              <w:rPr>
                <w:sz w:val="20"/>
              </w:rPr>
            </w:pPr>
            <w:r>
              <w:rPr>
                <w:sz w:val="20"/>
              </w:rPr>
              <w:t>90</w:t>
            </w:r>
          </w:p>
        </w:tc>
        <w:tc>
          <w:tcPr>
            <w:tcW w:w="2016" w:type="dxa"/>
          </w:tcPr>
          <w:p>
            <w:pPr>
              <w:pStyle w:val="TableParagraph"/>
              <w:spacing w:line="254" w:lineRule="exact"/>
              <w:ind w:left="901"/>
              <w:rPr>
                <w:sz w:val="20"/>
              </w:rPr>
            </w:pPr>
            <w:r>
              <w:rPr>
                <w:sz w:val="20"/>
              </w:rPr>
              <w:t>87</w:t>
            </w:r>
          </w:p>
        </w:tc>
        <w:tc>
          <w:tcPr>
            <w:tcW w:w="2016" w:type="dxa"/>
          </w:tcPr>
          <w:p>
            <w:pPr>
              <w:pStyle w:val="TableParagraph"/>
              <w:spacing w:line="254" w:lineRule="exact"/>
              <w:ind w:left="141" w:right="141"/>
              <w:jc w:val="center"/>
              <w:rPr>
                <w:sz w:val="20"/>
              </w:rPr>
            </w:pPr>
            <w:r>
              <w:rPr>
                <w:sz w:val="20"/>
              </w:rPr>
              <w:t>91</w:t>
            </w:r>
          </w:p>
        </w:tc>
      </w:tr>
      <w:tr>
        <w:trPr>
          <w:trHeight w:val="311" w:hRule="atLeast"/>
        </w:trPr>
        <w:tc>
          <w:tcPr>
            <w:tcW w:w="2021" w:type="dxa"/>
          </w:tcPr>
          <w:p>
            <w:pPr>
              <w:pStyle w:val="TableParagraph"/>
              <w:spacing w:line="254" w:lineRule="exact"/>
              <w:ind w:left="9"/>
              <w:jc w:val="center"/>
              <w:rPr>
                <w:sz w:val="20"/>
              </w:rPr>
            </w:pPr>
            <w:r>
              <w:rPr>
                <w:w w:val="100"/>
                <w:sz w:val="20"/>
              </w:rPr>
              <w:t>9</w:t>
            </w:r>
          </w:p>
        </w:tc>
        <w:tc>
          <w:tcPr>
            <w:tcW w:w="2016" w:type="dxa"/>
          </w:tcPr>
          <w:p>
            <w:pPr>
              <w:pStyle w:val="TableParagraph"/>
              <w:spacing w:line="254" w:lineRule="exact"/>
              <w:ind w:left="901"/>
              <w:rPr>
                <w:sz w:val="20"/>
              </w:rPr>
            </w:pPr>
            <w:r>
              <w:rPr>
                <w:sz w:val="20"/>
              </w:rPr>
              <w:t>80</w:t>
            </w:r>
          </w:p>
        </w:tc>
        <w:tc>
          <w:tcPr>
            <w:tcW w:w="2016" w:type="dxa"/>
          </w:tcPr>
          <w:p>
            <w:pPr>
              <w:pStyle w:val="TableParagraph"/>
              <w:spacing w:line="254" w:lineRule="exact"/>
              <w:ind w:left="141" w:right="141"/>
              <w:jc w:val="center"/>
              <w:rPr>
                <w:sz w:val="20"/>
              </w:rPr>
            </w:pPr>
            <w:r>
              <w:rPr>
                <w:sz w:val="20"/>
              </w:rPr>
              <w:t>85</w:t>
            </w:r>
          </w:p>
        </w:tc>
        <w:tc>
          <w:tcPr>
            <w:tcW w:w="2016" w:type="dxa"/>
          </w:tcPr>
          <w:p>
            <w:pPr>
              <w:pStyle w:val="TableParagraph"/>
              <w:spacing w:line="254" w:lineRule="exact"/>
              <w:ind w:left="901"/>
              <w:rPr>
                <w:sz w:val="20"/>
              </w:rPr>
            </w:pPr>
            <w:r>
              <w:rPr>
                <w:sz w:val="20"/>
              </w:rPr>
              <w:t>82</w:t>
            </w:r>
          </w:p>
        </w:tc>
        <w:tc>
          <w:tcPr>
            <w:tcW w:w="2016" w:type="dxa"/>
          </w:tcPr>
          <w:p>
            <w:pPr>
              <w:pStyle w:val="TableParagraph"/>
              <w:spacing w:line="254" w:lineRule="exact"/>
              <w:ind w:left="141" w:right="141"/>
              <w:jc w:val="center"/>
              <w:rPr>
                <w:sz w:val="20"/>
              </w:rPr>
            </w:pPr>
            <w:r>
              <w:rPr>
                <w:sz w:val="20"/>
              </w:rPr>
              <w:t>86</w:t>
            </w:r>
          </w:p>
        </w:tc>
      </w:tr>
      <w:tr>
        <w:trPr>
          <w:trHeight w:val="311" w:hRule="atLeast"/>
        </w:trPr>
        <w:tc>
          <w:tcPr>
            <w:tcW w:w="2021" w:type="dxa"/>
          </w:tcPr>
          <w:p>
            <w:pPr>
              <w:pStyle w:val="TableParagraph"/>
              <w:spacing w:line="254" w:lineRule="exact"/>
              <w:ind w:left="786" w:right="782"/>
              <w:jc w:val="center"/>
              <w:rPr>
                <w:sz w:val="20"/>
              </w:rPr>
            </w:pPr>
            <w:r>
              <w:rPr>
                <w:sz w:val="20"/>
              </w:rPr>
              <w:t>10</w:t>
            </w:r>
          </w:p>
        </w:tc>
        <w:tc>
          <w:tcPr>
            <w:tcW w:w="2016" w:type="dxa"/>
          </w:tcPr>
          <w:p>
            <w:pPr>
              <w:pStyle w:val="TableParagraph"/>
              <w:spacing w:line="254" w:lineRule="exact"/>
              <w:ind w:left="901"/>
              <w:rPr>
                <w:sz w:val="20"/>
              </w:rPr>
            </w:pPr>
            <w:r>
              <w:rPr>
                <w:sz w:val="20"/>
              </w:rPr>
              <w:t>79</w:t>
            </w:r>
          </w:p>
        </w:tc>
        <w:tc>
          <w:tcPr>
            <w:tcW w:w="2016" w:type="dxa"/>
          </w:tcPr>
          <w:p>
            <w:pPr>
              <w:pStyle w:val="TableParagraph"/>
              <w:spacing w:line="254" w:lineRule="exact"/>
              <w:ind w:left="141" w:right="141"/>
              <w:jc w:val="center"/>
              <w:rPr>
                <w:sz w:val="20"/>
              </w:rPr>
            </w:pPr>
            <w:r>
              <w:rPr>
                <w:sz w:val="20"/>
              </w:rPr>
              <w:t>85</w:t>
            </w:r>
          </w:p>
        </w:tc>
        <w:tc>
          <w:tcPr>
            <w:tcW w:w="2016" w:type="dxa"/>
          </w:tcPr>
          <w:p>
            <w:pPr>
              <w:pStyle w:val="TableParagraph"/>
              <w:spacing w:line="254" w:lineRule="exact"/>
              <w:ind w:left="902"/>
              <w:rPr>
                <w:sz w:val="20"/>
              </w:rPr>
            </w:pPr>
            <w:r>
              <w:rPr>
                <w:sz w:val="20"/>
              </w:rPr>
              <w:t>81</w:t>
            </w:r>
          </w:p>
        </w:tc>
        <w:tc>
          <w:tcPr>
            <w:tcW w:w="2016" w:type="dxa"/>
          </w:tcPr>
          <w:p>
            <w:pPr>
              <w:pStyle w:val="TableParagraph"/>
              <w:spacing w:line="254" w:lineRule="exact"/>
              <w:ind w:left="141" w:right="141"/>
              <w:jc w:val="center"/>
              <w:rPr>
                <w:sz w:val="20"/>
              </w:rPr>
            </w:pPr>
            <w:r>
              <w:rPr>
                <w:sz w:val="20"/>
              </w:rPr>
              <w:t>86</w:t>
            </w:r>
          </w:p>
        </w:tc>
      </w:tr>
      <w:tr>
        <w:trPr>
          <w:trHeight w:val="311" w:hRule="atLeast"/>
        </w:trPr>
        <w:tc>
          <w:tcPr>
            <w:tcW w:w="2021" w:type="dxa"/>
          </w:tcPr>
          <w:p>
            <w:pPr>
              <w:pStyle w:val="TableParagraph"/>
              <w:spacing w:line="254" w:lineRule="exact"/>
              <w:ind w:left="786" w:right="782"/>
              <w:jc w:val="center"/>
              <w:rPr>
                <w:sz w:val="20"/>
              </w:rPr>
            </w:pPr>
            <w:r>
              <w:rPr>
                <w:sz w:val="20"/>
              </w:rPr>
              <w:t>11</w:t>
            </w:r>
          </w:p>
        </w:tc>
        <w:tc>
          <w:tcPr>
            <w:tcW w:w="2016" w:type="dxa"/>
          </w:tcPr>
          <w:p>
            <w:pPr>
              <w:pStyle w:val="TableParagraph"/>
              <w:spacing w:line="254" w:lineRule="exact"/>
              <w:ind w:left="901"/>
              <w:rPr>
                <w:sz w:val="20"/>
              </w:rPr>
            </w:pPr>
            <w:r>
              <w:rPr>
                <w:sz w:val="20"/>
              </w:rPr>
              <w:t>79</w:t>
            </w:r>
          </w:p>
        </w:tc>
        <w:tc>
          <w:tcPr>
            <w:tcW w:w="2016" w:type="dxa"/>
          </w:tcPr>
          <w:p>
            <w:pPr>
              <w:pStyle w:val="TableParagraph"/>
              <w:spacing w:line="254" w:lineRule="exact"/>
              <w:ind w:left="141" w:right="141"/>
              <w:jc w:val="center"/>
              <w:rPr>
                <w:sz w:val="20"/>
              </w:rPr>
            </w:pPr>
            <w:r>
              <w:rPr>
                <w:sz w:val="20"/>
              </w:rPr>
              <w:t>85</w:t>
            </w:r>
          </w:p>
        </w:tc>
        <w:tc>
          <w:tcPr>
            <w:tcW w:w="2016" w:type="dxa"/>
          </w:tcPr>
          <w:p>
            <w:pPr>
              <w:pStyle w:val="TableParagraph"/>
              <w:spacing w:line="254" w:lineRule="exact"/>
              <w:ind w:left="902"/>
              <w:rPr>
                <w:sz w:val="20"/>
              </w:rPr>
            </w:pPr>
            <w:r>
              <w:rPr>
                <w:sz w:val="20"/>
              </w:rPr>
              <w:t>81</w:t>
            </w:r>
          </w:p>
        </w:tc>
        <w:tc>
          <w:tcPr>
            <w:tcW w:w="2016" w:type="dxa"/>
          </w:tcPr>
          <w:p>
            <w:pPr>
              <w:pStyle w:val="TableParagraph"/>
              <w:spacing w:line="254" w:lineRule="exact"/>
              <w:ind w:left="141" w:right="141"/>
              <w:jc w:val="center"/>
              <w:rPr>
                <w:sz w:val="20"/>
              </w:rPr>
            </w:pPr>
            <w:r>
              <w:rPr>
                <w:sz w:val="20"/>
              </w:rPr>
              <w:t>87</w:t>
            </w:r>
          </w:p>
        </w:tc>
      </w:tr>
      <w:tr>
        <w:trPr>
          <w:trHeight w:val="311" w:hRule="atLeast"/>
        </w:trPr>
        <w:tc>
          <w:tcPr>
            <w:tcW w:w="2021" w:type="dxa"/>
          </w:tcPr>
          <w:p>
            <w:pPr>
              <w:pStyle w:val="TableParagraph"/>
              <w:spacing w:line="254" w:lineRule="exact"/>
              <w:ind w:left="786" w:right="782"/>
              <w:jc w:val="center"/>
              <w:rPr>
                <w:sz w:val="20"/>
              </w:rPr>
            </w:pPr>
            <w:r>
              <w:rPr>
                <w:sz w:val="20"/>
              </w:rPr>
              <w:t>12</w:t>
            </w:r>
          </w:p>
        </w:tc>
        <w:tc>
          <w:tcPr>
            <w:tcW w:w="2016" w:type="dxa"/>
          </w:tcPr>
          <w:p>
            <w:pPr>
              <w:pStyle w:val="TableParagraph"/>
              <w:spacing w:line="254" w:lineRule="exact"/>
              <w:ind w:left="901"/>
              <w:rPr>
                <w:sz w:val="20"/>
              </w:rPr>
            </w:pPr>
            <w:r>
              <w:rPr>
                <w:sz w:val="20"/>
              </w:rPr>
              <w:t>80</w:t>
            </w:r>
          </w:p>
        </w:tc>
        <w:tc>
          <w:tcPr>
            <w:tcW w:w="2016" w:type="dxa"/>
          </w:tcPr>
          <w:p>
            <w:pPr>
              <w:pStyle w:val="TableParagraph"/>
              <w:spacing w:line="254" w:lineRule="exact"/>
              <w:ind w:left="141" w:right="141"/>
              <w:jc w:val="center"/>
              <w:rPr>
                <w:sz w:val="20"/>
              </w:rPr>
            </w:pPr>
            <w:r>
              <w:rPr>
                <w:sz w:val="20"/>
              </w:rPr>
              <w:t>87</w:t>
            </w:r>
          </w:p>
        </w:tc>
        <w:tc>
          <w:tcPr>
            <w:tcW w:w="2016" w:type="dxa"/>
          </w:tcPr>
          <w:p>
            <w:pPr>
              <w:pStyle w:val="TableParagraph"/>
              <w:spacing w:line="254" w:lineRule="exact"/>
              <w:ind w:left="902"/>
              <w:rPr>
                <w:sz w:val="20"/>
              </w:rPr>
            </w:pPr>
            <w:r>
              <w:rPr>
                <w:sz w:val="20"/>
              </w:rPr>
              <w:t>82</w:t>
            </w:r>
          </w:p>
        </w:tc>
        <w:tc>
          <w:tcPr>
            <w:tcW w:w="2016" w:type="dxa"/>
          </w:tcPr>
          <w:p>
            <w:pPr>
              <w:pStyle w:val="TableParagraph"/>
              <w:spacing w:line="254" w:lineRule="exact"/>
              <w:ind w:left="141" w:right="141"/>
              <w:jc w:val="center"/>
              <w:rPr>
                <w:sz w:val="20"/>
              </w:rPr>
            </w:pPr>
            <w:r>
              <w:rPr>
                <w:sz w:val="20"/>
              </w:rPr>
              <w:t>88</w:t>
            </w:r>
          </w:p>
        </w:tc>
      </w:tr>
      <w:tr>
        <w:trPr>
          <w:trHeight w:val="316" w:hRule="atLeast"/>
        </w:trPr>
        <w:tc>
          <w:tcPr>
            <w:tcW w:w="2021" w:type="dxa"/>
          </w:tcPr>
          <w:p>
            <w:pPr>
              <w:pStyle w:val="TableParagraph"/>
              <w:spacing w:line="258" w:lineRule="exact"/>
              <w:ind w:left="786" w:right="782"/>
              <w:jc w:val="center"/>
              <w:rPr>
                <w:sz w:val="20"/>
              </w:rPr>
            </w:pPr>
            <w:r>
              <w:rPr>
                <w:sz w:val="20"/>
              </w:rPr>
              <w:t>13</w:t>
            </w:r>
          </w:p>
        </w:tc>
        <w:tc>
          <w:tcPr>
            <w:tcW w:w="2016" w:type="dxa"/>
          </w:tcPr>
          <w:p>
            <w:pPr>
              <w:pStyle w:val="TableParagraph"/>
              <w:spacing w:line="258" w:lineRule="exact"/>
              <w:ind w:left="901"/>
              <w:rPr>
                <w:sz w:val="20"/>
              </w:rPr>
            </w:pPr>
            <w:r>
              <w:rPr>
                <w:sz w:val="20"/>
              </w:rPr>
              <w:t>81</w:t>
            </w:r>
          </w:p>
        </w:tc>
        <w:tc>
          <w:tcPr>
            <w:tcW w:w="2016" w:type="dxa"/>
          </w:tcPr>
          <w:p>
            <w:pPr>
              <w:pStyle w:val="TableParagraph"/>
              <w:spacing w:line="258" w:lineRule="exact"/>
              <w:ind w:left="141" w:right="141"/>
              <w:jc w:val="center"/>
              <w:rPr>
                <w:sz w:val="20"/>
              </w:rPr>
            </w:pPr>
            <w:r>
              <w:rPr>
                <w:sz w:val="20"/>
              </w:rPr>
              <w:t>88</w:t>
            </w:r>
          </w:p>
        </w:tc>
        <w:tc>
          <w:tcPr>
            <w:tcW w:w="2016" w:type="dxa"/>
          </w:tcPr>
          <w:p>
            <w:pPr>
              <w:pStyle w:val="TableParagraph"/>
              <w:spacing w:line="258" w:lineRule="exact"/>
              <w:ind w:left="902"/>
              <w:rPr>
                <w:sz w:val="20"/>
              </w:rPr>
            </w:pPr>
            <w:r>
              <w:rPr>
                <w:sz w:val="20"/>
              </w:rPr>
              <w:t>82</w:t>
            </w:r>
          </w:p>
        </w:tc>
        <w:tc>
          <w:tcPr>
            <w:tcW w:w="2016" w:type="dxa"/>
          </w:tcPr>
          <w:p>
            <w:pPr>
              <w:pStyle w:val="TableParagraph"/>
              <w:spacing w:line="258" w:lineRule="exact"/>
              <w:ind w:left="141" w:right="141"/>
              <w:jc w:val="center"/>
              <w:rPr>
                <w:sz w:val="20"/>
              </w:rPr>
            </w:pPr>
            <w:r>
              <w:rPr>
                <w:sz w:val="20"/>
              </w:rPr>
              <w:t>89</w:t>
            </w:r>
          </w:p>
        </w:tc>
      </w:tr>
      <w:tr>
        <w:trPr>
          <w:trHeight w:val="311" w:hRule="atLeast"/>
        </w:trPr>
        <w:tc>
          <w:tcPr>
            <w:tcW w:w="2021" w:type="dxa"/>
          </w:tcPr>
          <w:p>
            <w:pPr>
              <w:pStyle w:val="TableParagraph"/>
              <w:spacing w:line="254" w:lineRule="exact"/>
              <w:ind w:left="786" w:right="782"/>
              <w:jc w:val="center"/>
              <w:rPr>
                <w:sz w:val="20"/>
              </w:rPr>
            </w:pPr>
            <w:r>
              <w:rPr>
                <w:sz w:val="20"/>
              </w:rPr>
              <w:t>14</w:t>
            </w:r>
          </w:p>
        </w:tc>
        <w:tc>
          <w:tcPr>
            <w:tcW w:w="2016" w:type="dxa"/>
          </w:tcPr>
          <w:p>
            <w:pPr>
              <w:pStyle w:val="TableParagraph"/>
              <w:spacing w:line="254" w:lineRule="exact"/>
              <w:ind w:left="901"/>
              <w:rPr>
                <w:sz w:val="20"/>
              </w:rPr>
            </w:pPr>
            <w:r>
              <w:rPr>
                <w:sz w:val="20"/>
              </w:rPr>
              <w:t>80</w:t>
            </w:r>
          </w:p>
        </w:tc>
        <w:tc>
          <w:tcPr>
            <w:tcW w:w="2016" w:type="dxa"/>
          </w:tcPr>
          <w:p>
            <w:pPr>
              <w:pStyle w:val="TableParagraph"/>
              <w:spacing w:line="254" w:lineRule="exact"/>
              <w:ind w:left="141" w:right="141"/>
              <w:jc w:val="center"/>
              <w:rPr>
                <w:sz w:val="20"/>
              </w:rPr>
            </w:pPr>
            <w:r>
              <w:rPr>
                <w:sz w:val="20"/>
              </w:rPr>
              <w:t>89</w:t>
            </w:r>
          </w:p>
        </w:tc>
        <w:tc>
          <w:tcPr>
            <w:tcW w:w="2016" w:type="dxa"/>
          </w:tcPr>
          <w:p>
            <w:pPr>
              <w:pStyle w:val="TableParagraph"/>
              <w:spacing w:line="254" w:lineRule="exact"/>
              <w:ind w:left="902"/>
              <w:rPr>
                <w:sz w:val="20"/>
              </w:rPr>
            </w:pPr>
            <w:r>
              <w:rPr>
                <w:sz w:val="20"/>
              </w:rPr>
              <w:t>81</w:t>
            </w:r>
          </w:p>
        </w:tc>
        <w:tc>
          <w:tcPr>
            <w:tcW w:w="2016" w:type="dxa"/>
          </w:tcPr>
          <w:p>
            <w:pPr>
              <w:pStyle w:val="TableParagraph"/>
              <w:spacing w:line="254" w:lineRule="exact"/>
              <w:ind w:left="141" w:right="141"/>
              <w:jc w:val="center"/>
              <w:rPr>
                <w:sz w:val="20"/>
              </w:rPr>
            </w:pPr>
            <w:r>
              <w:rPr>
                <w:sz w:val="20"/>
              </w:rPr>
              <w:t>91</w:t>
            </w:r>
          </w:p>
        </w:tc>
      </w:tr>
      <w:tr>
        <w:trPr>
          <w:trHeight w:val="311" w:hRule="atLeast"/>
        </w:trPr>
        <w:tc>
          <w:tcPr>
            <w:tcW w:w="2021" w:type="dxa"/>
          </w:tcPr>
          <w:p>
            <w:pPr>
              <w:pStyle w:val="TableParagraph"/>
              <w:spacing w:line="254" w:lineRule="exact"/>
              <w:ind w:left="786" w:right="782"/>
              <w:jc w:val="center"/>
              <w:rPr>
                <w:sz w:val="20"/>
              </w:rPr>
            </w:pPr>
            <w:r>
              <w:rPr>
                <w:sz w:val="20"/>
              </w:rPr>
              <w:t>15</w:t>
            </w:r>
          </w:p>
        </w:tc>
        <w:tc>
          <w:tcPr>
            <w:tcW w:w="2016" w:type="dxa"/>
          </w:tcPr>
          <w:p>
            <w:pPr>
              <w:pStyle w:val="TableParagraph"/>
              <w:spacing w:line="254" w:lineRule="exact"/>
              <w:ind w:left="901"/>
              <w:rPr>
                <w:sz w:val="20"/>
              </w:rPr>
            </w:pPr>
            <w:r>
              <w:rPr>
                <w:sz w:val="20"/>
              </w:rPr>
              <w:t>84</w:t>
            </w:r>
          </w:p>
        </w:tc>
        <w:tc>
          <w:tcPr>
            <w:tcW w:w="2016" w:type="dxa"/>
          </w:tcPr>
          <w:p>
            <w:pPr>
              <w:pStyle w:val="TableParagraph"/>
              <w:spacing w:line="254" w:lineRule="exact"/>
              <w:ind w:left="141" w:right="141"/>
              <w:jc w:val="center"/>
              <w:rPr>
                <w:sz w:val="20"/>
              </w:rPr>
            </w:pPr>
            <w:r>
              <w:rPr>
                <w:sz w:val="20"/>
              </w:rPr>
              <w:t>92</w:t>
            </w:r>
          </w:p>
        </w:tc>
        <w:tc>
          <w:tcPr>
            <w:tcW w:w="2016" w:type="dxa"/>
          </w:tcPr>
          <w:p>
            <w:pPr>
              <w:pStyle w:val="TableParagraph"/>
              <w:spacing w:line="254" w:lineRule="exact"/>
              <w:ind w:left="902"/>
              <w:rPr>
                <w:sz w:val="20"/>
              </w:rPr>
            </w:pPr>
            <w:r>
              <w:rPr>
                <w:sz w:val="20"/>
              </w:rPr>
              <w:t>85</w:t>
            </w:r>
          </w:p>
        </w:tc>
        <w:tc>
          <w:tcPr>
            <w:tcW w:w="2016" w:type="dxa"/>
          </w:tcPr>
          <w:p>
            <w:pPr>
              <w:pStyle w:val="TableParagraph"/>
              <w:spacing w:line="254" w:lineRule="exact"/>
              <w:ind w:left="141" w:right="141"/>
              <w:jc w:val="center"/>
              <w:rPr>
                <w:sz w:val="20"/>
              </w:rPr>
            </w:pPr>
            <w:r>
              <w:rPr>
                <w:sz w:val="20"/>
              </w:rPr>
              <w:t>94</w:t>
            </w:r>
          </w:p>
        </w:tc>
      </w:tr>
      <w:tr>
        <w:trPr>
          <w:trHeight w:val="311" w:hRule="atLeast"/>
        </w:trPr>
        <w:tc>
          <w:tcPr>
            <w:tcW w:w="2021" w:type="dxa"/>
          </w:tcPr>
          <w:p>
            <w:pPr>
              <w:pStyle w:val="TableParagraph"/>
              <w:spacing w:line="254" w:lineRule="exact"/>
              <w:ind w:left="786" w:right="782"/>
              <w:jc w:val="center"/>
              <w:rPr>
                <w:sz w:val="20"/>
              </w:rPr>
            </w:pPr>
            <w:r>
              <w:rPr>
                <w:sz w:val="20"/>
              </w:rPr>
              <w:t>16</w:t>
            </w:r>
          </w:p>
        </w:tc>
        <w:tc>
          <w:tcPr>
            <w:tcW w:w="2016" w:type="dxa"/>
          </w:tcPr>
          <w:p>
            <w:pPr>
              <w:pStyle w:val="TableParagraph"/>
              <w:spacing w:line="254" w:lineRule="exact"/>
              <w:ind w:left="901"/>
              <w:rPr>
                <w:sz w:val="20"/>
              </w:rPr>
            </w:pPr>
            <w:r>
              <w:rPr>
                <w:sz w:val="20"/>
              </w:rPr>
              <w:t>86</w:t>
            </w:r>
          </w:p>
        </w:tc>
        <w:tc>
          <w:tcPr>
            <w:tcW w:w="2016" w:type="dxa"/>
          </w:tcPr>
          <w:p>
            <w:pPr>
              <w:pStyle w:val="TableParagraph"/>
              <w:spacing w:line="254" w:lineRule="exact"/>
              <w:ind w:left="141" w:right="141"/>
              <w:jc w:val="center"/>
              <w:rPr>
                <w:sz w:val="20"/>
              </w:rPr>
            </w:pPr>
            <w:r>
              <w:rPr>
                <w:sz w:val="20"/>
              </w:rPr>
              <w:t>95</w:t>
            </w:r>
          </w:p>
        </w:tc>
        <w:tc>
          <w:tcPr>
            <w:tcW w:w="2016" w:type="dxa"/>
          </w:tcPr>
          <w:p>
            <w:pPr>
              <w:pStyle w:val="TableParagraph"/>
              <w:spacing w:line="254" w:lineRule="exact"/>
              <w:ind w:left="902"/>
              <w:rPr>
                <w:sz w:val="20"/>
              </w:rPr>
            </w:pPr>
            <w:r>
              <w:rPr>
                <w:sz w:val="20"/>
              </w:rPr>
              <w:t>88</w:t>
            </w:r>
          </w:p>
        </w:tc>
        <w:tc>
          <w:tcPr>
            <w:tcW w:w="2016" w:type="dxa"/>
          </w:tcPr>
          <w:p>
            <w:pPr>
              <w:pStyle w:val="TableParagraph"/>
              <w:spacing w:line="254" w:lineRule="exact"/>
              <w:ind w:left="141" w:right="141"/>
              <w:jc w:val="center"/>
              <w:rPr>
                <w:sz w:val="20"/>
              </w:rPr>
            </w:pPr>
            <w:r>
              <w:rPr>
                <w:sz w:val="20"/>
              </w:rPr>
              <w:t>97</w:t>
            </w:r>
          </w:p>
        </w:tc>
      </w:tr>
      <w:tr>
        <w:trPr>
          <w:trHeight w:val="311" w:hRule="atLeast"/>
        </w:trPr>
        <w:tc>
          <w:tcPr>
            <w:tcW w:w="2021" w:type="dxa"/>
          </w:tcPr>
          <w:p>
            <w:pPr>
              <w:pStyle w:val="TableParagraph"/>
              <w:spacing w:line="254" w:lineRule="exact"/>
              <w:ind w:left="786" w:right="782"/>
              <w:jc w:val="center"/>
              <w:rPr>
                <w:sz w:val="20"/>
              </w:rPr>
            </w:pPr>
            <w:r>
              <w:rPr>
                <w:sz w:val="20"/>
              </w:rPr>
              <w:t>17</w:t>
            </w:r>
          </w:p>
        </w:tc>
        <w:tc>
          <w:tcPr>
            <w:tcW w:w="2016" w:type="dxa"/>
          </w:tcPr>
          <w:p>
            <w:pPr>
              <w:pStyle w:val="TableParagraph"/>
              <w:spacing w:line="254" w:lineRule="exact"/>
              <w:ind w:left="901"/>
              <w:rPr>
                <w:sz w:val="20"/>
              </w:rPr>
            </w:pPr>
            <w:r>
              <w:rPr>
                <w:sz w:val="20"/>
              </w:rPr>
              <w:t>88</w:t>
            </w:r>
          </w:p>
        </w:tc>
        <w:tc>
          <w:tcPr>
            <w:tcW w:w="2016" w:type="dxa"/>
          </w:tcPr>
          <w:p>
            <w:pPr>
              <w:pStyle w:val="TableParagraph"/>
              <w:spacing w:line="254" w:lineRule="exact"/>
              <w:ind w:left="145" w:right="141"/>
              <w:jc w:val="center"/>
              <w:rPr>
                <w:sz w:val="20"/>
              </w:rPr>
            </w:pPr>
            <w:r>
              <w:rPr>
                <w:sz w:val="20"/>
              </w:rPr>
              <w:t>100</w:t>
            </w:r>
          </w:p>
        </w:tc>
        <w:tc>
          <w:tcPr>
            <w:tcW w:w="2016" w:type="dxa"/>
          </w:tcPr>
          <w:p>
            <w:pPr>
              <w:pStyle w:val="TableParagraph"/>
              <w:spacing w:line="254" w:lineRule="exact"/>
              <w:ind w:left="902"/>
              <w:rPr>
                <w:sz w:val="20"/>
              </w:rPr>
            </w:pPr>
            <w:r>
              <w:rPr>
                <w:sz w:val="20"/>
              </w:rPr>
              <w:t>90</w:t>
            </w:r>
          </w:p>
        </w:tc>
        <w:tc>
          <w:tcPr>
            <w:tcW w:w="2016" w:type="dxa"/>
          </w:tcPr>
          <w:p>
            <w:pPr>
              <w:pStyle w:val="TableParagraph"/>
              <w:spacing w:line="254" w:lineRule="exact"/>
              <w:ind w:left="145" w:right="141"/>
              <w:jc w:val="center"/>
              <w:rPr>
                <w:sz w:val="20"/>
              </w:rPr>
            </w:pPr>
            <w:r>
              <w:rPr>
                <w:sz w:val="20"/>
              </w:rPr>
              <w:t>102</w:t>
            </w:r>
          </w:p>
        </w:tc>
      </w:tr>
    </w:tbl>
    <w:p>
      <w:pPr>
        <w:pStyle w:val="BodyText"/>
        <w:ind w:left="222"/>
      </w:pPr>
      <w:r>
        <w:rPr/>
        <w:t>注：续保费率是客户续保时对应年龄的费率。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ind w:left="2599" w:right="2293"/>
        <w:jc w:val="center"/>
      </w:pPr>
      <w:r>
        <w:rPr/>
        <w:t>（完）</w:t>
      </w:r>
    </w:p>
    <w:sectPr>
      <w:pgSz w:w="11910" w:h="16840"/>
      <w:pgMar w:top="106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8"/>
      <w:numFmt w:val="decimal"/>
      <w:lvlText w:val="%1"/>
      <w:lvlJc w:val="left"/>
      <w:pPr>
        <w:ind w:left="1038" w:hanging="677"/>
        <w:jc w:val="left"/>
      </w:pPr>
      <w:rPr>
        <w:rFonts w:hint="default"/>
      </w:rPr>
    </w:lvl>
    <w:lvl w:ilvl="1">
      <w:start w:val="1"/>
      <w:numFmt w:val="decimal"/>
      <w:lvlText w:val="%1.%2"/>
      <w:lvlJc w:val="left"/>
      <w:pPr>
        <w:ind w:left="1038" w:hanging="677"/>
        <w:jc w:val="left"/>
      </w:pPr>
      <w:rPr>
        <w:rFonts w:hint="default" w:ascii="宋体" w:hAnsi="宋体" w:eastAsia="宋体" w:cs="宋体"/>
        <w:b/>
        <w:bCs/>
        <w:w w:val="99"/>
        <w:sz w:val="21"/>
        <w:szCs w:val="21"/>
      </w:rPr>
    </w:lvl>
    <w:lvl w:ilvl="2">
      <w:start w:val="0"/>
      <w:numFmt w:val="bullet"/>
      <w:lvlText w:val="•"/>
      <w:lvlJc w:val="left"/>
      <w:pPr>
        <w:ind w:left="2904" w:hanging="677"/>
      </w:pPr>
      <w:rPr>
        <w:rFonts w:hint="default"/>
      </w:rPr>
    </w:lvl>
    <w:lvl w:ilvl="3">
      <w:start w:val="0"/>
      <w:numFmt w:val="bullet"/>
      <w:lvlText w:val="•"/>
      <w:lvlJc w:val="left"/>
      <w:pPr>
        <w:ind w:left="3837" w:hanging="677"/>
      </w:pPr>
      <w:rPr>
        <w:rFonts w:hint="default"/>
      </w:rPr>
    </w:lvl>
    <w:lvl w:ilvl="4">
      <w:start w:val="0"/>
      <w:numFmt w:val="bullet"/>
      <w:lvlText w:val="•"/>
      <w:lvlJc w:val="left"/>
      <w:pPr>
        <w:ind w:left="4769" w:hanging="677"/>
      </w:pPr>
      <w:rPr>
        <w:rFonts w:hint="default"/>
      </w:rPr>
    </w:lvl>
    <w:lvl w:ilvl="5">
      <w:start w:val="0"/>
      <w:numFmt w:val="bullet"/>
      <w:lvlText w:val="•"/>
      <w:lvlJc w:val="left"/>
      <w:pPr>
        <w:ind w:left="5702" w:hanging="677"/>
      </w:pPr>
      <w:rPr>
        <w:rFonts w:hint="default"/>
      </w:rPr>
    </w:lvl>
    <w:lvl w:ilvl="6">
      <w:start w:val="0"/>
      <w:numFmt w:val="bullet"/>
      <w:lvlText w:val="•"/>
      <w:lvlJc w:val="left"/>
      <w:pPr>
        <w:ind w:left="6634" w:hanging="677"/>
      </w:pPr>
      <w:rPr>
        <w:rFonts w:hint="default"/>
      </w:rPr>
    </w:lvl>
    <w:lvl w:ilvl="7">
      <w:start w:val="0"/>
      <w:numFmt w:val="bullet"/>
      <w:lvlText w:val="•"/>
      <w:lvlJc w:val="left"/>
      <w:pPr>
        <w:ind w:left="7566" w:hanging="677"/>
      </w:pPr>
      <w:rPr>
        <w:rFonts w:hint="default"/>
      </w:rPr>
    </w:lvl>
    <w:lvl w:ilvl="8">
      <w:start w:val="0"/>
      <w:numFmt w:val="bullet"/>
      <w:lvlText w:val="•"/>
      <w:lvlJc w:val="left"/>
      <w:pPr>
        <w:ind w:left="8499" w:hanging="677"/>
      </w:pPr>
      <w:rPr>
        <w:rFonts w:hint="default"/>
      </w:rPr>
    </w:lvl>
  </w:abstractNum>
  <w:abstractNum w:abstractNumId="9">
    <w:multiLevelType w:val="hybridMultilevel"/>
    <w:lvl w:ilvl="0">
      <w:start w:val="53"/>
      <w:numFmt w:val="decimal"/>
      <w:lvlText w:val="%1"/>
      <w:lvlJc w:val="left"/>
      <w:pPr>
        <w:ind w:left="778" w:hanging="624"/>
        <w:jc w:val="left"/>
      </w:pPr>
      <w:rPr>
        <w:rFonts w:hint="default" w:ascii="宋体" w:hAnsi="宋体" w:eastAsia="宋体" w:cs="宋体"/>
        <w:b/>
        <w:bCs/>
        <w:w w:val="99"/>
        <w:sz w:val="21"/>
        <w:szCs w:val="21"/>
      </w:rPr>
    </w:lvl>
    <w:lvl w:ilvl="1">
      <w:start w:val="75"/>
      <w:numFmt w:val="decimal"/>
      <w:lvlText w:val="%2"/>
      <w:lvlJc w:val="left"/>
      <w:pPr>
        <w:ind w:left="1038" w:hanging="624"/>
        <w:jc w:val="left"/>
      </w:pPr>
      <w:rPr>
        <w:rFonts w:hint="default" w:ascii="宋体" w:hAnsi="宋体" w:eastAsia="宋体" w:cs="宋体"/>
        <w:b/>
        <w:bCs/>
        <w:w w:val="99"/>
        <w:sz w:val="21"/>
        <w:szCs w:val="21"/>
      </w:rPr>
    </w:lvl>
    <w:lvl w:ilvl="2">
      <w:start w:val="0"/>
      <w:numFmt w:val="bullet"/>
      <w:lvlText w:val="•"/>
      <w:lvlJc w:val="left"/>
      <w:pPr>
        <w:ind w:left="1250" w:hanging="624"/>
      </w:pPr>
      <w:rPr>
        <w:rFonts w:hint="default"/>
      </w:rPr>
    </w:lvl>
    <w:lvl w:ilvl="3">
      <w:start w:val="0"/>
      <w:numFmt w:val="bullet"/>
      <w:lvlText w:val="•"/>
      <w:lvlJc w:val="left"/>
      <w:pPr>
        <w:ind w:left="1460" w:hanging="624"/>
      </w:pPr>
      <w:rPr>
        <w:rFonts w:hint="default"/>
      </w:rPr>
    </w:lvl>
    <w:lvl w:ilvl="4">
      <w:start w:val="0"/>
      <w:numFmt w:val="bullet"/>
      <w:lvlText w:val="•"/>
      <w:lvlJc w:val="left"/>
      <w:pPr>
        <w:ind w:left="1671" w:hanging="624"/>
      </w:pPr>
      <w:rPr>
        <w:rFonts w:hint="default"/>
      </w:rPr>
    </w:lvl>
    <w:lvl w:ilvl="5">
      <w:start w:val="0"/>
      <w:numFmt w:val="bullet"/>
      <w:lvlText w:val="•"/>
      <w:lvlJc w:val="left"/>
      <w:pPr>
        <w:ind w:left="1881" w:hanging="624"/>
      </w:pPr>
      <w:rPr>
        <w:rFonts w:hint="default"/>
      </w:rPr>
    </w:lvl>
    <w:lvl w:ilvl="6">
      <w:start w:val="0"/>
      <w:numFmt w:val="bullet"/>
      <w:lvlText w:val="•"/>
      <w:lvlJc w:val="left"/>
      <w:pPr>
        <w:ind w:left="2092" w:hanging="624"/>
      </w:pPr>
      <w:rPr>
        <w:rFonts w:hint="default"/>
      </w:rPr>
    </w:lvl>
    <w:lvl w:ilvl="7">
      <w:start w:val="0"/>
      <w:numFmt w:val="bullet"/>
      <w:lvlText w:val="•"/>
      <w:lvlJc w:val="left"/>
      <w:pPr>
        <w:ind w:left="2302" w:hanging="624"/>
      </w:pPr>
      <w:rPr>
        <w:rFonts w:hint="default"/>
      </w:rPr>
    </w:lvl>
    <w:lvl w:ilvl="8">
      <w:start w:val="0"/>
      <w:numFmt w:val="bullet"/>
      <w:lvlText w:val="•"/>
      <w:lvlJc w:val="left"/>
      <w:pPr>
        <w:ind w:left="2512" w:hanging="624"/>
      </w:pPr>
      <w:rPr>
        <w:rFonts w:hint="default"/>
      </w:rPr>
    </w:lvl>
  </w:abstractNum>
  <w:abstractNum w:abstractNumId="8">
    <w:multiLevelType w:val="hybridMultilevel"/>
    <w:lvl w:ilvl="0">
      <w:start w:val="32"/>
      <w:numFmt w:val="decimal"/>
      <w:lvlText w:val="%1"/>
      <w:lvlJc w:val="left"/>
      <w:pPr>
        <w:ind w:left="778" w:hanging="624"/>
        <w:jc w:val="left"/>
      </w:pPr>
      <w:rPr>
        <w:rFonts w:hint="default" w:ascii="宋体" w:hAnsi="宋体" w:eastAsia="宋体" w:cs="宋体"/>
        <w:b/>
        <w:bCs/>
        <w:w w:val="99"/>
        <w:sz w:val="21"/>
        <w:szCs w:val="21"/>
      </w:rPr>
    </w:lvl>
    <w:lvl w:ilvl="1">
      <w:start w:val="0"/>
      <w:numFmt w:val="bullet"/>
      <w:lvlText w:val="•"/>
      <w:lvlJc w:val="left"/>
      <w:pPr>
        <w:ind w:left="1716" w:hanging="624"/>
      </w:pPr>
      <w:rPr>
        <w:rFonts w:hint="default"/>
      </w:rPr>
    </w:lvl>
    <w:lvl w:ilvl="2">
      <w:start w:val="0"/>
      <w:numFmt w:val="bullet"/>
      <w:lvlText w:val="•"/>
      <w:lvlJc w:val="left"/>
      <w:pPr>
        <w:ind w:left="2652" w:hanging="624"/>
      </w:pPr>
      <w:rPr>
        <w:rFonts w:hint="default"/>
      </w:rPr>
    </w:lvl>
    <w:lvl w:ilvl="3">
      <w:start w:val="0"/>
      <w:numFmt w:val="bullet"/>
      <w:lvlText w:val="•"/>
      <w:lvlJc w:val="left"/>
      <w:pPr>
        <w:ind w:left="3589" w:hanging="624"/>
      </w:pPr>
      <w:rPr>
        <w:rFonts w:hint="default"/>
      </w:rPr>
    </w:lvl>
    <w:lvl w:ilvl="4">
      <w:start w:val="0"/>
      <w:numFmt w:val="bullet"/>
      <w:lvlText w:val="•"/>
      <w:lvlJc w:val="left"/>
      <w:pPr>
        <w:ind w:left="4525" w:hanging="624"/>
      </w:pPr>
      <w:rPr>
        <w:rFonts w:hint="default"/>
      </w:rPr>
    </w:lvl>
    <w:lvl w:ilvl="5">
      <w:start w:val="0"/>
      <w:numFmt w:val="bullet"/>
      <w:lvlText w:val="•"/>
      <w:lvlJc w:val="left"/>
      <w:pPr>
        <w:ind w:left="5462" w:hanging="624"/>
      </w:pPr>
      <w:rPr>
        <w:rFonts w:hint="default"/>
      </w:rPr>
    </w:lvl>
    <w:lvl w:ilvl="6">
      <w:start w:val="0"/>
      <w:numFmt w:val="bullet"/>
      <w:lvlText w:val="•"/>
      <w:lvlJc w:val="left"/>
      <w:pPr>
        <w:ind w:left="6398" w:hanging="624"/>
      </w:pPr>
      <w:rPr>
        <w:rFonts w:hint="default"/>
      </w:rPr>
    </w:lvl>
    <w:lvl w:ilvl="7">
      <w:start w:val="0"/>
      <w:numFmt w:val="bullet"/>
      <w:lvlText w:val="•"/>
      <w:lvlJc w:val="left"/>
      <w:pPr>
        <w:ind w:left="7334" w:hanging="624"/>
      </w:pPr>
      <w:rPr>
        <w:rFonts w:hint="default"/>
      </w:rPr>
    </w:lvl>
    <w:lvl w:ilvl="8">
      <w:start w:val="0"/>
      <w:numFmt w:val="bullet"/>
      <w:lvlText w:val="•"/>
      <w:lvlJc w:val="left"/>
      <w:pPr>
        <w:ind w:left="8271" w:hanging="624"/>
      </w:pPr>
      <w:rPr>
        <w:rFonts w:hint="default"/>
      </w:rPr>
    </w:lvl>
  </w:abstractNum>
  <w:abstractNum w:abstractNumId="7">
    <w:multiLevelType w:val="hybridMultilevel"/>
    <w:lvl w:ilvl="0">
      <w:start w:val="8"/>
      <w:numFmt w:val="decimal"/>
      <w:lvlText w:val="%1"/>
      <w:lvlJc w:val="left"/>
      <w:pPr>
        <w:ind w:left="918" w:hanging="572"/>
        <w:jc w:val="right"/>
      </w:pPr>
      <w:rPr>
        <w:rFonts w:hint="default" w:ascii="宋体" w:hAnsi="宋体" w:eastAsia="宋体" w:cs="宋体"/>
        <w:b/>
        <w:bCs/>
        <w:w w:val="99"/>
        <w:sz w:val="21"/>
        <w:szCs w:val="21"/>
      </w:rPr>
    </w:lvl>
    <w:lvl w:ilvl="1">
      <w:start w:val="0"/>
      <w:numFmt w:val="bullet"/>
      <w:lvlText w:val="•"/>
      <w:lvlJc w:val="left"/>
      <w:pPr>
        <w:ind w:left="1135" w:hanging="572"/>
      </w:pPr>
      <w:rPr>
        <w:rFonts w:hint="default"/>
      </w:rPr>
    </w:lvl>
    <w:lvl w:ilvl="2">
      <w:start w:val="0"/>
      <w:numFmt w:val="bullet"/>
      <w:lvlText w:val="•"/>
      <w:lvlJc w:val="left"/>
      <w:pPr>
        <w:ind w:left="1350" w:hanging="572"/>
      </w:pPr>
      <w:rPr>
        <w:rFonts w:hint="default"/>
      </w:rPr>
    </w:lvl>
    <w:lvl w:ilvl="3">
      <w:start w:val="0"/>
      <w:numFmt w:val="bullet"/>
      <w:lvlText w:val="•"/>
      <w:lvlJc w:val="left"/>
      <w:pPr>
        <w:ind w:left="1566" w:hanging="572"/>
      </w:pPr>
      <w:rPr>
        <w:rFonts w:hint="default"/>
      </w:rPr>
    </w:lvl>
    <w:lvl w:ilvl="4">
      <w:start w:val="0"/>
      <w:numFmt w:val="bullet"/>
      <w:lvlText w:val="•"/>
      <w:lvlJc w:val="left"/>
      <w:pPr>
        <w:ind w:left="1781" w:hanging="572"/>
      </w:pPr>
      <w:rPr>
        <w:rFonts w:hint="default"/>
      </w:rPr>
    </w:lvl>
    <w:lvl w:ilvl="5">
      <w:start w:val="0"/>
      <w:numFmt w:val="bullet"/>
      <w:lvlText w:val="•"/>
      <w:lvlJc w:val="left"/>
      <w:pPr>
        <w:ind w:left="1996" w:hanging="572"/>
      </w:pPr>
      <w:rPr>
        <w:rFonts w:hint="default"/>
      </w:rPr>
    </w:lvl>
    <w:lvl w:ilvl="6">
      <w:start w:val="0"/>
      <w:numFmt w:val="bullet"/>
      <w:lvlText w:val="•"/>
      <w:lvlJc w:val="left"/>
      <w:pPr>
        <w:ind w:left="2212" w:hanging="572"/>
      </w:pPr>
      <w:rPr>
        <w:rFonts w:hint="default"/>
      </w:rPr>
    </w:lvl>
    <w:lvl w:ilvl="7">
      <w:start w:val="0"/>
      <w:numFmt w:val="bullet"/>
      <w:lvlText w:val="•"/>
      <w:lvlJc w:val="left"/>
      <w:pPr>
        <w:ind w:left="2427" w:hanging="572"/>
      </w:pPr>
      <w:rPr>
        <w:rFonts w:hint="default"/>
      </w:rPr>
    </w:lvl>
    <w:lvl w:ilvl="8">
      <w:start w:val="0"/>
      <w:numFmt w:val="bullet"/>
      <w:lvlText w:val="•"/>
      <w:lvlJc w:val="left"/>
      <w:pPr>
        <w:ind w:left="2642" w:hanging="572"/>
      </w:pPr>
      <w:rPr>
        <w:rFonts w:hint="default"/>
      </w:rPr>
    </w:lvl>
  </w:abstractNum>
  <w:abstractNum w:abstractNumId="6">
    <w:multiLevelType w:val="hybridMultilevel"/>
    <w:lvl w:ilvl="0">
      <w:start w:val="3"/>
      <w:numFmt w:val="decimal"/>
      <w:lvlText w:val="%1"/>
      <w:lvlJc w:val="left"/>
      <w:pPr>
        <w:ind w:left="1038" w:hanging="677"/>
        <w:jc w:val="left"/>
      </w:pPr>
      <w:rPr>
        <w:rFonts w:hint="default"/>
      </w:rPr>
    </w:lvl>
    <w:lvl w:ilvl="1">
      <w:start w:val="1"/>
      <w:numFmt w:val="decimal"/>
      <w:lvlText w:val="%1.%2"/>
      <w:lvlJc w:val="left"/>
      <w:pPr>
        <w:ind w:left="1038" w:hanging="677"/>
        <w:jc w:val="left"/>
      </w:pPr>
      <w:rPr>
        <w:rFonts w:hint="default" w:ascii="宋体" w:hAnsi="宋体" w:eastAsia="宋体" w:cs="宋体"/>
        <w:b/>
        <w:bCs/>
        <w:w w:val="99"/>
        <w:sz w:val="21"/>
        <w:szCs w:val="21"/>
      </w:rPr>
    </w:lvl>
    <w:lvl w:ilvl="2">
      <w:start w:val="0"/>
      <w:numFmt w:val="bullet"/>
      <w:lvlText w:val="•"/>
      <w:lvlJc w:val="left"/>
      <w:pPr>
        <w:ind w:left="2904" w:hanging="677"/>
      </w:pPr>
      <w:rPr>
        <w:rFonts w:hint="default"/>
      </w:rPr>
    </w:lvl>
    <w:lvl w:ilvl="3">
      <w:start w:val="0"/>
      <w:numFmt w:val="bullet"/>
      <w:lvlText w:val="•"/>
      <w:lvlJc w:val="left"/>
      <w:pPr>
        <w:ind w:left="3837" w:hanging="677"/>
      </w:pPr>
      <w:rPr>
        <w:rFonts w:hint="default"/>
      </w:rPr>
    </w:lvl>
    <w:lvl w:ilvl="4">
      <w:start w:val="0"/>
      <w:numFmt w:val="bullet"/>
      <w:lvlText w:val="•"/>
      <w:lvlJc w:val="left"/>
      <w:pPr>
        <w:ind w:left="4769" w:hanging="677"/>
      </w:pPr>
      <w:rPr>
        <w:rFonts w:hint="default"/>
      </w:rPr>
    </w:lvl>
    <w:lvl w:ilvl="5">
      <w:start w:val="0"/>
      <w:numFmt w:val="bullet"/>
      <w:lvlText w:val="•"/>
      <w:lvlJc w:val="left"/>
      <w:pPr>
        <w:ind w:left="5702" w:hanging="677"/>
      </w:pPr>
      <w:rPr>
        <w:rFonts w:hint="default"/>
      </w:rPr>
    </w:lvl>
    <w:lvl w:ilvl="6">
      <w:start w:val="0"/>
      <w:numFmt w:val="bullet"/>
      <w:lvlText w:val="•"/>
      <w:lvlJc w:val="left"/>
      <w:pPr>
        <w:ind w:left="6634" w:hanging="677"/>
      </w:pPr>
      <w:rPr>
        <w:rFonts w:hint="default"/>
      </w:rPr>
    </w:lvl>
    <w:lvl w:ilvl="7">
      <w:start w:val="0"/>
      <w:numFmt w:val="bullet"/>
      <w:lvlText w:val="•"/>
      <w:lvlJc w:val="left"/>
      <w:pPr>
        <w:ind w:left="7566" w:hanging="677"/>
      </w:pPr>
      <w:rPr>
        <w:rFonts w:hint="default"/>
      </w:rPr>
    </w:lvl>
    <w:lvl w:ilvl="8">
      <w:start w:val="0"/>
      <w:numFmt w:val="bullet"/>
      <w:lvlText w:val="•"/>
      <w:lvlJc w:val="left"/>
      <w:pPr>
        <w:ind w:left="8499" w:hanging="677"/>
      </w:pPr>
      <w:rPr>
        <w:rFonts w:hint="default"/>
      </w:rPr>
    </w:lvl>
  </w:abstractNum>
  <w:abstractNum w:abstractNumId="5">
    <w:multiLevelType w:val="hybridMultilevel"/>
    <w:lvl w:ilvl="0">
      <w:start w:val="8"/>
      <w:numFmt w:val="decimal"/>
      <w:lvlText w:val="%1"/>
      <w:lvlJc w:val="left"/>
      <w:pPr>
        <w:ind w:left="2298" w:hanging="423"/>
        <w:jc w:val="left"/>
      </w:pPr>
      <w:rPr>
        <w:rFonts w:hint="default"/>
      </w:rPr>
    </w:lvl>
    <w:lvl w:ilvl="1">
      <w:start w:val="1"/>
      <w:numFmt w:val="decimal"/>
      <w:lvlText w:val="%1.%2"/>
      <w:lvlJc w:val="left"/>
      <w:pPr>
        <w:ind w:left="2298" w:hanging="423"/>
        <w:jc w:val="left"/>
      </w:pPr>
      <w:rPr>
        <w:rFonts w:hint="default" w:ascii="宋体" w:hAnsi="宋体" w:eastAsia="宋体" w:cs="宋体"/>
        <w:w w:val="100"/>
        <w:sz w:val="21"/>
        <w:szCs w:val="21"/>
      </w:rPr>
    </w:lvl>
    <w:lvl w:ilvl="2">
      <w:start w:val="0"/>
      <w:numFmt w:val="bullet"/>
      <w:lvlText w:val="•"/>
      <w:lvlJc w:val="left"/>
      <w:pPr>
        <w:ind w:left="3060" w:hanging="423"/>
      </w:pPr>
      <w:rPr>
        <w:rFonts w:hint="default"/>
      </w:rPr>
    </w:lvl>
    <w:lvl w:ilvl="3">
      <w:start w:val="0"/>
      <w:numFmt w:val="bullet"/>
      <w:lvlText w:val="•"/>
      <w:lvlJc w:val="left"/>
      <w:pPr>
        <w:ind w:left="3441" w:hanging="423"/>
      </w:pPr>
      <w:rPr>
        <w:rFonts w:hint="default"/>
      </w:rPr>
    </w:lvl>
    <w:lvl w:ilvl="4">
      <w:start w:val="0"/>
      <w:numFmt w:val="bullet"/>
      <w:lvlText w:val="•"/>
      <w:lvlJc w:val="left"/>
      <w:pPr>
        <w:ind w:left="3821" w:hanging="423"/>
      </w:pPr>
      <w:rPr>
        <w:rFonts w:hint="default"/>
      </w:rPr>
    </w:lvl>
    <w:lvl w:ilvl="5">
      <w:start w:val="0"/>
      <w:numFmt w:val="bullet"/>
      <w:lvlText w:val="•"/>
      <w:lvlJc w:val="left"/>
      <w:pPr>
        <w:ind w:left="4202" w:hanging="423"/>
      </w:pPr>
      <w:rPr>
        <w:rFonts w:hint="default"/>
      </w:rPr>
    </w:lvl>
    <w:lvl w:ilvl="6">
      <w:start w:val="0"/>
      <w:numFmt w:val="bullet"/>
      <w:lvlText w:val="•"/>
      <w:lvlJc w:val="left"/>
      <w:pPr>
        <w:ind w:left="4582" w:hanging="423"/>
      </w:pPr>
      <w:rPr>
        <w:rFonts w:hint="default"/>
      </w:rPr>
    </w:lvl>
    <w:lvl w:ilvl="7">
      <w:start w:val="0"/>
      <w:numFmt w:val="bullet"/>
      <w:lvlText w:val="•"/>
      <w:lvlJc w:val="left"/>
      <w:pPr>
        <w:ind w:left="4962" w:hanging="423"/>
      </w:pPr>
      <w:rPr>
        <w:rFonts w:hint="default"/>
      </w:rPr>
    </w:lvl>
    <w:lvl w:ilvl="8">
      <w:start w:val="0"/>
      <w:numFmt w:val="bullet"/>
      <w:lvlText w:val="•"/>
      <w:lvlJc w:val="left"/>
      <w:pPr>
        <w:ind w:left="5343" w:hanging="423"/>
      </w:pPr>
      <w:rPr>
        <w:rFonts w:hint="default"/>
      </w:rPr>
    </w:lvl>
  </w:abstractNum>
  <w:abstractNum w:abstractNumId="4">
    <w:multiLevelType w:val="hybridMultilevel"/>
    <w:lvl w:ilvl="0">
      <w:start w:val="4"/>
      <w:numFmt w:val="decimal"/>
      <w:lvlText w:val="%1"/>
      <w:lvlJc w:val="left"/>
      <w:pPr>
        <w:ind w:left="2298" w:hanging="423"/>
        <w:jc w:val="left"/>
      </w:pPr>
      <w:rPr>
        <w:rFonts w:hint="default"/>
      </w:rPr>
    </w:lvl>
    <w:lvl w:ilvl="1">
      <w:start w:val="1"/>
      <w:numFmt w:val="decimal"/>
      <w:lvlText w:val="%1.%2"/>
      <w:lvlJc w:val="left"/>
      <w:pPr>
        <w:ind w:left="2298" w:hanging="423"/>
        <w:jc w:val="left"/>
      </w:pPr>
      <w:rPr>
        <w:rFonts w:hint="default" w:ascii="宋体" w:hAnsi="宋体" w:eastAsia="宋体" w:cs="宋体"/>
        <w:w w:val="100"/>
        <w:sz w:val="21"/>
        <w:szCs w:val="21"/>
      </w:rPr>
    </w:lvl>
    <w:lvl w:ilvl="2">
      <w:start w:val="0"/>
      <w:numFmt w:val="bullet"/>
      <w:lvlText w:val="•"/>
      <w:lvlJc w:val="left"/>
      <w:pPr>
        <w:ind w:left="2595" w:hanging="423"/>
      </w:pPr>
      <w:rPr>
        <w:rFonts w:hint="default"/>
      </w:rPr>
    </w:lvl>
    <w:lvl w:ilvl="3">
      <w:start w:val="0"/>
      <w:numFmt w:val="bullet"/>
      <w:lvlText w:val="•"/>
      <w:lvlJc w:val="left"/>
      <w:pPr>
        <w:ind w:left="2743" w:hanging="423"/>
      </w:pPr>
      <w:rPr>
        <w:rFonts w:hint="default"/>
      </w:rPr>
    </w:lvl>
    <w:lvl w:ilvl="4">
      <w:start w:val="0"/>
      <w:numFmt w:val="bullet"/>
      <w:lvlText w:val="•"/>
      <w:lvlJc w:val="left"/>
      <w:pPr>
        <w:ind w:left="2890" w:hanging="423"/>
      </w:pPr>
      <w:rPr>
        <w:rFonts w:hint="default"/>
      </w:rPr>
    </w:lvl>
    <w:lvl w:ilvl="5">
      <w:start w:val="0"/>
      <w:numFmt w:val="bullet"/>
      <w:lvlText w:val="•"/>
      <w:lvlJc w:val="left"/>
      <w:pPr>
        <w:ind w:left="3038" w:hanging="423"/>
      </w:pPr>
      <w:rPr>
        <w:rFonts w:hint="default"/>
      </w:rPr>
    </w:lvl>
    <w:lvl w:ilvl="6">
      <w:start w:val="0"/>
      <w:numFmt w:val="bullet"/>
      <w:lvlText w:val="•"/>
      <w:lvlJc w:val="left"/>
      <w:pPr>
        <w:ind w:left="3186" w:hanging="423"/>
      </w:pPr>
      <w:rPr>
        <w:rFonts w:hint="default"/>
      </w:rPr>
    </w:lvl>
    <w:lvl w:ilvl="7">
      <w:start w:val="0"/>
      <w:numFmt w:val="bullet"/>
      <w:lvlText w:val="•"/>
      <w:lvlJc w:val="left"/>
      <w:pPr>
        <w:ind w:left="3333" w:hanging="423"/>
      </w:pPr>
      <w:rPr>
        <w:rFonts w:hint="default"/>
      </w:rPr>
    </w:lvl>
    <w:lvl w:ilvl="8">
      <w:start w:val="0"/>
      <w:numFmt w:val="bullet"/>
      <w:lvlText w:val="•"/>
      <w:lvlJc w:val="left"/>
      <w:pPr>
        <w:ind w:left="3481" w:hanging="423"/>
      </w:pPr>
      <w:rPr>
        <w:rFonts w:hint="default"/>
      </w:rPr>
    </w:lvl>
  </w:abstractNum>
  <w:abstractNum w:abstractNumId="3">
    <w:multiLevelType w:val="hybridMultilevel"/>
    <w:lvl w:ilvl="0">
      <w:start w:val="3"/>
      <w:numFmt w:val="decimal"/>
      <w:lvlText w:val="%1"/>
      <w:lvlJc w:val="left"/>
      <w:pPr>
        <w:ind w:left="2298" w:hanging="423"/>
        <w:jc w:val="left"/>
      </w:pPr>
      <w:rPr>
        <w:rFonts w:hint="default"/>
      </w:rPr>
    </w:lvl>
    <w:lvl w:ilvl="1">
      <w:start w:val="1"/>
      <w:numFmt w:val="decimal"/>
      <w:lvlText w:val="%1.%2"/>
      <w:lvlJc w:val="left"/>
      <w:pPr>
        <w:ind w:left="2298" w:hanging="423"/>
        <w:jc w:val="left"/>
      </w:pPr>
      <w:rPr>
        <w:rFonts w:hint="default" w:ascii="宋体" w:hAnsi="宋体" w:eastAsia="宋体" w:cs="宋体"/>
        <w:w w:val="100"/>
        <w:sz w:val="21"/>
        <w:szCs w:val="21"/>
      </w:rPr>
    </w:lvl>
    <w:lvl w:ilvl="2">
      <w:start w:val="0"/>
      <w:numFmt w:val="bullet"/>
      <w:lvlText w:val="•"/>
      <w:lvlJc w:val="left"/>
      <w:pPr>
        <w:ind w:left="2595" w:hanging="423"/>
      </w:pPr>
      <w:rPr>
        <w:rFonts w:hint="default"/>
      </w:rPr>
    </w:lvl>
    <w:lvl w:ilvl="3">
      <w:start w:val="0"/>
      <w:numFmt w:val="bullet"/>
      <w:lvlText w:val="•"/>
      <w:lvlJc w:val="left"/>
      <w:pPr>
        <w:ind w:left="2743" w:hanging="423"/>
      </w:pPr>
      <w:rPr>
        <w:rFonts w:hint="default"/>
      </w:rPr>
    </w:lvl>
    <w:lvl w:ilvl="4">
      <w:start w:val="0"/>
      <w:numFmt w:val="bullet"/>
      <w:lvlText w:val="•"/>
      <w:lvlJc w:val="left"/>
      <w:pPr>
        <w:ind w:left="2890" w:hanging="423"/>
      </w:pPr>
      <w:rPr>
        <w:rFonts w:hint="default"/>
      </w:rPr>
    </w:lvl>
    <w:lvl w:ilvl="5">
      <w:start w:val="0"/>
      <w:numFmt w:val="bullet"/>
      <w:lvlText w:val="•"/>
      <w:lvlJc w:val="left"/>
      <w:pPr>
        <w:ind w:left="3038" w:hanging="423"/>
      </w:pPr>
      <w:rPr>
        <w:rFonts w:hint="default"/>
      </w:rPr>
    </w:lvl>
    <w:lvl w:ilvl="6">
      <w:start w:val="0"/>
      <w:numFmt w:val="bullet"/>
      <w:lvlText w:val="•"/>
      <w:lvlJc w:val="left"/>
      <w:pPr>
        <w:ind w:left="3186" w:hanging="423"/>
      </w:pPr>
      <w:rPr>
        <w:rFonts w:hint="default"/>
      </w:rPr>
    </w:lvl>
    <w:lvl w:ilvl="7">
      <w:start w:val="0"/>
      <w:numFmt w:val="bullet"/>
      <w:lvlText w:val="•"/>
      <w:lvlJc w:val="left"/>
      <w:pPr>
        <w:ind w:left="3333" w:hanging="423"/>
      </w:pPr>
      <w:rPr>
        <w:rFonts w:hint="default"/>
      </w:rPr>
    </w:lvl>
    <w:lvl w:ilvl="8">
      <w:start w:val="0"/>
      <w:numFmt w:val="bullet"/>
      <w:lvlText w:val="•"/>
      <w:lvlJc w:val="left"/>
      <w:pPr>
        <w:ind w:left="3481" w:hanging="423"/>
      </w:pPr>
      <w:rPr>
        <w:rFonts w:hint="default"/>
      </w:rPr>
    </w:lvl>
  </w:abstractNum>
  <w:abstractNum w:abstractNumId="2">
    <w:multiLevelType w:val="hybridMultilevel"/>
    <w:lvl w:ilvl="0">
      <w:start w:val="2"/>
      <w:numFmt w:val="decimal"/>
      <w:lvlText w:val="%1"/>
      <w:lvlJc w:val="left"/>
      <w:pPr>
        <w:ind w:left="2298" w:hanging="423"/>
        <w:jc w:val="left"/>
      </w:pPr>
      <w:rPr>
        <w:rFonts w:hint="default"/>
      </w:rPr>
    </w:lvl>
    <w:lvl w:ilvl="1">
      <w:start w:val="1"/>
      <w:numFmt w:val="decimal"/>
      <w:lvlText w:val="%1.%2"/>
      <w:lvlJc w:val="left"/>
      <w:pPr>
        <w:ind w:left="2298" w:hanging="423"/>
        <w:jc w:val="left"/>
      </w:pPr>
      <w:rPr>
        <w:rFonts w:hint="default" w:ascii="宋体" w:hAnsi="宋体" w:eastAsia="宋体" w:cs="宋体"/>
        <w:w w:val="100"/>
        <w:sz w:val="21"/>
        <w:szCs w:val="21"/>
      </w:rPr>
    </w:lvl>
    <w:lvl w:ilvl="2">
      <w:start w:val="0"/>
      <w:numFmt w:val="bullet"/>
      <w:lvlText w:val="•"/>
      <w:lvlJc w:val="left"/>
      <w:pPr>
        <w:ind w:left="2595" w:hanging="423"/>
      </w:pPr>
      <w:rPr>
        <w:rFonts w:hint="default"/>
      </w:rPr>
    </w:lvl>
    <w:lvl w:ilvl="3">
      <w:start w:val="0"/>
      <w:numFmt w:val="bullet"/>
      <w:lvlText w:val="•"/>
      <w:lvlJc w:val="left"/>
      <w:pPr>
        <w:ind w:left="2743" w:hanging="423"/>
      </w:pPr>
      <w:rPr>
        <w:rFonts w:hint="default"/>
      </w:rPr>
    </w:lvl>
    <w:lvl w:ilvl="4">
      <w:start w:val="0"/>
      <w:numFmt w:val="bullet"/>
      <w:lvlText w:val="•"/>
      <w:lvlJc w:val="left"/>
      <w:pPr>
        <w:ind w:left="2890" w:hanging="423"/>
      </w:pPr>
      <w:rPr>
        <w:rFonts w:hint="default"/>
      </w:rPr>
    </w:lvl>
    <w:lvl w:ilvl="5">
      <w:start w:val="0"/>
      <w:numFmt w:val="bullet"/>
      <w:lvlText w:val="•"/>
      <w:lvlJc w:val="left"/>
      <w:pPr>
        <w:ind w:left="3038" w:hanging="423"/>
      </w:pPr>
      <w:rPr>
        <w:rFonts w:hint="default"/>
      </w:rPr>
    </w:lvl>
    <w:lvl w:ilvl="6">
      <w:start w:val="0"/>
      <w:numFmt w:val="bullet"/>
      <w:lvlText w:val="•"/>
      <w:lvlJc w:val="left"/>
      <w:pPr>
        <w:ind w:left="3186" w:hanging="423"/>
      </w:pPr>
      <w:rPr>
        <w:rFonts w:hint="default"/>
      </w:rPr>
    </w:lvl>
    <w:lvl w:ilvl="7">
      <w:start w:val="0"/>
      <w:numFmt w:val="bullet"/>
      <w:lvlText w:val="•"/>
      <w:lvlJc w:val="left"/>
      <w:pPr>
        <w:ind w:left="3333" w:hanging="423"/>
      </w:pPr>
      <w:rPr>
        <w:rFonts w:hint="default"/>
      </w:rPr>
    </w:lvl>
    <w:lvl w:ilvl="8">
      <w:start w:val="0"/>
      <w:numFmt w:val="bullet"/>
      <w:lvlText w:val="•"/>
      <w:lvlJc w:val="left"/>
      <w:pPr>
        <w:ind w:left="3481" w:hanging="423"/>
      </w:pPr>
      <w:rPr>
        <w:rFonts w:hint="default"/>
      </w:rPr>
    </w:lvl>
  </w:abstractNum>
  <w:abstractNum w:abstractNumId="1">
    <w:multiLevelType w:val="hybridMultilevel"/>
    <w:lvl w:ilvl="0">
      <w:start w:val="1"/>
      <w:numFmt w:val="decimal"/>
      <w:lvlText w:val="%1"/>
      <w:lvlJc w:val="left"/>
      <w:pPr>
        <w:ind w:left="2298" w:hanging="423"/>
        <w:jc w:val="left"/>
      </w:pPr>
      <w:rPr>
        <w:rFonts w:hint="default"/>
      </w:rPr>
    </w:lvl>
    <w:lvl w:ilvl="1">
      <w:start w:val="1"/>
      <w:numFmt w:val="decimal"/>
      <w:lvlText w:val="%1.%2"/>
      <w:lvlJc w:val="left"/>
      <w:pPr>
        <w:ind w:left="2298" w:hanging="423"/>
        <w:jc w:val="left"/>
      </w:pPr>
      <w:rPr>
        <w:rFonts w:hint="default" w:ascii="宋体" w:hAnsi="宋体" w:eastAsia="宋体" w:cs="宋体"/>
        <w:w w:val="100"/>
        <w:sz w:val="21"/>
        <w:szCs w:val="21"/>
      </w:rPr>
    </w:lvl>
    <w:lvl w:ilvl="2">
      <w:start w:val="0"/>
      <w:numFmt w:val="bullet"/>
      <w:lvlText w:val="•"/>
      <w:lvlJc w:val="left"/>
      <w:pPr>
        <w:ind w:left="2595" w:hanging="423"/>
      </w:pPr>
      <w:rPr>
        <w:rFonts w:hint="default"/>
      </w:rPr>
    </w:lvl>
    <w:lvl w:ilvl="3">
      <w:start w:val="0"/>
      <w:numFmt w:val="bullet"/>
      <w:lvlText w:val="•"/>
      <w:lvlJc w:val="left"/>
      <w:pPr>
        <w:ind w:left="2743" w:hanging="423"/>
      </w:pPr>
      <w:rPr>
        <w:rFonts w:hint="default"/>
      </w:rPr>
    </w:lvl>
    <w:lvl w:ilvl="4">
      <w:start w:val="0"/>
      <w:numFmt w:val="bullet"/>
      <w:lvlText w:val="•"/>
      <w:lvlJc w:val="left"/>
      <w:pPr>
        <w:ind w:left="2890" w:hanging="423"/>
      </w:pPr>
      <w:rPr>
        <w:rFonts w:hint="default"/>
      </w:rPr>
    </w:lvl>
    <w:lvl w:ilvl="5">
      <w:start w:val="0"/>
      <w:numFmt w:val="bullet"/>
      <w:lvlText w:val="•"/>
      <w:lvlJc w:val="left"/>
      <w:pPr>
        <w:ind w:left="3038" w:hanging="423"/>
      </w:pPr>
      <w:rPr>
        <w:rFonts w:hint="default"/>
      </w:rPr>
    </w:lvl>
    <w:lvl w:ilvl="6">
      <w:start w:val="0"/>
      <w:numFmt w:val="bullet"/>
      <w:lvlText w:val="•"/>
      <w:lvlJc w:val="left"/>
      <w:pPr>
        <w:ind w:left="3186" w:hanging="423"/>
      </w:pPr>
      <w:rPr>
        <w:rFonts w:hint="default"/>
      </w:rPr>
    </w:lvl>
    <w:lvl w:ilvl="7">
      <w:start w:val="0"/>
      <w:numFmt w:val="bullet"/>
      <w:lvlText w:val="•"/>
      <w:lvlJc w:val="left"/>
      <w:pPr>
        <w:ind w:left="3333" w:hanging="423"/>
      </w:pPr>
      <w:rPr>
        <w:rFonts w:hint="default"/>
      </w:rPr>
    </w:lvl>
    <w:lvl w:ilvl="8">
      <w:start w:val="0"/>
      <w:numFmt w:val="bullet"/>
      <w:lvlText w:val="•"/>
      <w:lvlJc w:val="left"/>
      <w:pPr>
        <w:ind w:left="3481" w:hanging="423"/>
      </w:pPr>
      <w:rPr>
        <w:rFonts w:hint="default"/>
      </w:rPr>
    </w:lvl>
  </w:abstractNum>
  <w:abstractNum w:abstractNumId="0">
    <w:multiLevelType w:val="hybridMultilevel"/>
    <w:lvl w:ilvl="0">
      <w:start w:val="0"/>
      <w:numFmt w:val="bullet"/>
      <w:lvlText w:val=""/>
      <w:lvlJc w:val="left"/>
      <w:pPr>
        <w:ind w:left="1189" w:hanging="418"/>
      </w:pPr>
      <w:rPr>
        <w:rFonts w:hint="default" w:ascii="Wingdings" w:hAnsi="Wingdings" w:eastAsia="Wingdings" w:cs="Wingdings"/>
        <w:w w:val="100"/>
        <w:sz w:val="21"/>
        <w:szCs w:val="21"/>
      </w:rPr>
    </w:lvl>
    <w:lvl w:ilvl="1">
      <w:start w:val="0"/>
      <w:numFmt w:val="bullet"/>
      <w:lvlText w:val="•"/>
      <w:lvlJc w:val="left"/>
      <w:pPr>
        <w:ind w:left="2080" w:hanging="418"/>
      </w:pPr>
      <w:rPr>
        <w:rFonts w:hint="default"/>
      </w:rPr>
    </w:lvl>
    <w:lvl w:ilvl="2">
      <w:start w:val="0"/>
      <w:numFmt w:val="bullet"/>
      <w:lvlText w:val="•"/>
      <w:lvlJc w:val="left"/>
      <w:pPr>
        <w:ind w:left="2980" w:hanging="418"/>
      </w:pPr>
      <w:rPr>
        <w:rFonts w:hint="default"/>
      </w:rPr>
    </w:lvl>
    <w:lvl w:ilvl="3">
      <w:start w:val="0"/>
      <w:numFmt w:val="bullet"/>
      <w:lvlText w:val="•"/>
      <w:lvlJc w:val="left"/>
      <w:pPr>
        <w:ind w:left="3881" w:hanging="418"/>
      </w:pPr>
      <w:rPr>
        <w:rFonts w:hint="default"/>
      </w:rPr>
    </w:lvl>
    <w:lvl w:ilvl="4">
      <w:start w:val="0"/>
      <w:numFmt w:val="bullet"/>
      <w:lvlText w:val="•"/>
      <w:lvlJc w:val="left"/>
      <w:pPr>
        <w:ind w:left="4781" w:hanging="418"/>
      </w:pPr>
      <w:rPr>
        <w:rFonts w:hint="default"/>
      </w:rPr>
    </w:lvl>
    <w:lvl w:ilvl="5">
      <w:start w:val="0"/>
      <w:numFmt w:val="bullet"/>
      <w:lvlText w:val="•"/>
      <w:lvlJc w:val="left"/>
      <w:pPr>
        <w:ind w:left="5682" w:hanging="418"/>
      </w:pPr>
      <w:rPr>
        <w:rFonts w:hint="default"/>
      </w:rPr>
    </w:lvl>
    <w:lvl w:ilvl="6">
      <w:start w:val="0"/>
      <w:numFmt w:val="bullet"/>
      <w:lvlText w:val="•"/>
      <w:lvlJc w:val="left"/>
      <w:pPr>
        <w:ind w:left="6582" w:hanging="418"/>
      </w:pPr>
      <w:rPr>
        <w:rFonts w:hint="default"/>
      </w:rPr>
    </w:lvl>
    <w:lvl w:ilvl="7">
      <w:start w:val="0"/>
      <w:numFmt w:val="bullet"/>
      <w:lvlText w:val="•"/>
      <w:lvlJc w:val="left"/>
      <w:pPr>
        <w:ind w:left="7482" w:hanging="418"/>
      </w:pPr>
      <w:rPr>
        <w:rFonts w:hint="default"/>
      </w:rPr>
    </w:lvl>
    <w:lvl w:ilvl="8">
      <w:start w:val="0"/>
      <w:numFmt w:val="bullet"/>
      <w:lvlText w:val="•"/>
      <w:lvlJc w:val="left"/>
      <w:pPr>
        <w:ind w:left="8383" w:hanging="418"/>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1"/>
      <w:ind w:left="738" w:hanging="624"/>
      <w:outlineLvl w:val="1"/>
    </w:pPr>
    <w:rPr>
      <w:rFonts w:ascii="等线" w:hAnsi="等线" w:eastAsia="等线" w:cs="等线"/>
      <w:b/>
      <w:bCs/>
      <w:sz w:val="24"/>
      <w:szCs w:val="24"/>
    </w:rPr>
  </w:style>
  <w:style w:styleId="Heading2" w:type="paragraph">
    <w:name w:val="Heading 2"/>
    <w:basedOn w:val="Normal"/>
    <w:uiPriority w:val="1"/>
    <w:qFormat/>
    <w:pPr>
      <w:spacing w:line="310" w:lineRule="exact"/>
      <w:ind w:left="1038"/>
      <w:outlineLvl w:val="2"/>
    </w:pPr>
    <w:rPr>
      <w:rFonts w:ascii="宋体" w:hAnsi="宋体" w:eastAsia="宋体" w:cs="宋体"/>
      <w:sz w:val="24"/>
      <w:szCs w:val="24"/>
    </w:rPr>
  </w:style>
  <w:style w:styleId="Heading3" w:type="paragraph">
    <w:name w:val="Heading 3"/>
    <w:basedOn w:val="Normal"/>
    <w:uiPriority w:val="1"/>
    <w:qFormat/>
    <w:pPr>
      <w:ind w:left="1664"/>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298" w:hanging="6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2018-10-20T07:54:54Z</dcterms:created>
  <dcterms:modified xsi:type="dcterms:W3CDTF">2018-10-20T07:54:54Z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Acrobat PDFMaker 11 Word 版</vt:lpwstr>
  </property>
  <property fmtid="{D5CDD505-2E9C-101B-9397-08002B2CF9AE}" pid="4" name="LastSaved">
    <vt:filetime>2018-10-19T00:00:00Z</vt:filetime>
  </property>
</Properties>
</file>