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after="69"/>
        <w:ind w:left="0" w:right="244" w:firstLine="0"/>
        <w:jc w:val="right"/>
        <w:rPr>
          <w:sz w:val="18"/>
        </w:rPr>
      </w:pPr>
      <w:r>
        <w:rPr>
          <w:sz w:val="18"/>
        </w:rPr>
        <w:t>工银安盛人寿〔</w:t>
      </w:r>
      <w:r>
        <w:rPr>
          <w:rFonts w:ascii="Arial" w:eastAsia="Arial"/>
          <w:sz w:val="18"/>
        </w:rPr>
        <w:t>2016</w:t>
      </w:r>
      <w:r>
        <w:rPr>
          <w:sz w:val="18"/>
        </w:rPr>
        <w:t>〕疾病保险 </w:t>
      </w:r>
      <w:r>
        <w:rPr>
          <w:rFonts w:ascii="Arial" w:eastAsia="Arial"/>
          <w:sz w:val="18"/>
        </w:rPr>
        <w:t>022 </w:t>
      </w:r>
      <w:r>
        <w:rPr>
          <w:sz w:val="18"/>
        </w:rPr>
        <w:t>号</w:t>
      </w:r>
    </w:p>
    <w:p>
      <w:pPr>
        <w:pStyle w:val="BodyText"/>
        <w:ind w:left="881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60" w:bottom="280" w:left="820" w:right="880"/>
        </w:sectPr>
      </w:pPr>
    </w:p>
    <w:p>
      <w:pPr>
        <w:pStyle w:val="Heading1"/>
        <w:spacing w:before="239"/>
        <w:ind w:left="0"/>
        <w:jc w:val="right"/>
        <w:rPr>
          <w:rFonts w:ascii="微软雅黑" w:eastAsia="微软雅黑" w:hint="eastAsia"/>
        </w:rPr>
      </w:pPr>
      <w:r>
        <w:rPr>
          <w:rFonts w:ascii="微软雅黑" w:eastAsia="微软雅黑" w:hint="eastAsia"/>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60" w:bottom="280" w:left="820" w:right="880"/>
          <w:cols w:num="2" w:equalWidth="0">
            <w:col w:w="6013" w:space="40"/>
            <w:col w:w="4147"/>
          </w:cols>
        </w:sectPr>
      </w:pPr>
    </w:p>
    <w:p>
      <w:pPr>
        <w:pStyle w:val="BodyText"/>
        <w:ind w:left="0"/>
        <w:rPr>
          <w:sz w:val="12"/>
        </w:rPr>
      </w:pPr>
    </w:p>
    <w:p>
      <w:pPr>
        <w:pStyle w:val="BodyText"/>
        <w:spacing w:line="280" w:lineRule="auto" w:before="37"/>
        <w:ind w:left="312" w:right="182"/>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79"/>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52"/>
          <w:w w:val="100"/>
        </w:rPr>
        <w:t>见</w:t>
      </w:r>
      <w:r>
        <w:rPr>
          <w:spacing w:val="-70"/>
          <w:w w:val="100"/>
          <w:position w:val="-7"/>
        </w:rPr>
        <w:t>．</w:t>
      </w:r>
      <w:r>
        <w:rPr>
          <w:spacing w:val="-147"/>
          <w:w w:val="100"/>
        </w:rPr>
        <w:t>“</w:t>
      </w:r>
      <w:r>
        <w:rPr>
          <w:spacing w:val="-65"/>
          <w:w w:val="100"/>
          <w:position w:val="-7"/>
        </w:rPr>
        <w:t>．</w:t>
      </w:r>
      <w:r>
        <w:rPr>
          <w:spacing w:val="-152"/>
          <w:w w:val="100"/>
        </w:rPr>
        <w:t>工</w:t>
      </w:r>
      <w:r>
        <w:rPr>
          <w:spacing w:val="-63"/>
          <w:w w:val="100"/>
          <w:position w:val="-7"/>
        </w:rPr>
        <w:t>．</w:t>
      </w:r>
      <w:r>
        <w:rPr>
          <w:spacing w:val="-149"/>
          <w:w w:val="100"/>
        </w:rPr>
        <w:t>银</w:t>
      </w:r>
      <w:r>
        <w:rPr>
          <w:spacing w:val="-63"/>
          <w:w w:val="100"/>
          <w:position w:val="-7"/>
        </w:rPr>
        <w:t>．</w:t>
      </w:r>
      <w:r>
        <w:rPr>
          <w:spacing w:val="-152"/>
          <w:w w:val="100"/>
        </w:rPr>
        <w:t>安</w:t>
      </w:r>
      <w:r>
        <w:rPr>
          <w:spacing w:val="-63"/>
          <w:w w:val="100"/>
          <w:position w:val="-7"/>
        </w:rPr>
        <w:t>．</w:t>
      </w:r>
      <w:r>
        <w:rPr>
          <w:spacing w:val="-149"/>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豁</w:t>
      </w:r>
      <w:r>
        <w:rPr>
          <w:spacing w:val="-63"/>
          <w:w w:val="100"/>
          <w:position w:val="-7"/>
        </w:rPr>
        <w:t>．</w:t>
      </w:r>
      <w:r>
        <w:rPr>
          <w:spacing w:val="-149"/>
          <w:w w:val="100"/>
        </w:rPr>
        <w:t>免</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2"/>
          <w:w w:val="100"/>
        </w:rPr>
        <w:t>费</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4"/>
          <w:w w:val="100"/>
        </w:rPr>
        <w:t>”</w:t>
      </w:r>
      <w:r>
        <w:rPr>
          <w:spacing w:val="-68"/>
          <w:w w:val="100"/>
          <w:position w:val="-7"/>
        </w:rPr>
        <w:t>．</w:t>
      </w:r>
      <w:r>
        <w:rPr>
          <w:spacing w:val="-152"/>
          <w:w w:val="100"/>
        </w:rPr>
        <w:t>条</w:t>
      </w:r>
      <w:r>
        <w:rPr>
          <w:w w:val="100"/>
          <w:position w:val="-7"/>
        </w:rPr>
        <w:t>．</w:t>
      </w:r>
      <w:r>
        <w:rPr>
          <w:spacing w:val="-149"/>
        </w:rPr>
        <w:t>款</w:t>
      </w:r>
      <w:r>
        <w:rPr>
          <w:spacing w:val="-63"/>
          <w:position w:val="-7"/>
        </w:rPr>
        <w:t>．</w:t>
      </w:r>
      <w:r>
        <w:rPr>
          <w:spacing w:val="-149"/>
        </w:rPr>
        <w:t>表</w:t>
      </w:r>
      <w:r>
        <w:rPr>
          <w:spacing w:val="-63"/>
          <w:position w:val="-7"/>
        </w:rPr>
        <w:t>．</w:t>
      </w:r>
      <w:r>
        <w:rPr>
          <w:spacing w:val="-152"/>
        </w:rPr>
        <w:t>述</w:t>
      </w:r>
      <w:r>
        <w:rPr>
          <w:spacing w:val="-63"/>
          <w:position w:val="-7"/>
        </w:rPr>
        <w:t>．</w:t>
      </w:r>
      <w:r>
        <w:rPr/>
        <w:t>。</w:t>
      </w:r>
    </w:p>
    <w:p>
      <w:pPr>
        <w:pStyle w:val="BodyText"/>
        <w:ind w:left="0"/>
        <w:rPr>
          <w:sz w:val="20"/>
        </w:rPr>
      </w:pPr>
    </w:p>
    <w:p>
      <w:pPr>
        <w:pStyle w:val="BodyText"/>
        <w:spacing w:before="11"/>
        <w:ind w:left="0"/>
        <w:rPr>
          <w:sz w:val="13"/>
        </w:rPr>
      </w:pPr>
    </w:p>
    <w:p>
      <w:pPr>
        <w:tabs>
          <w:tab w:pos="1080" w:val="left" w:leader="none"/>
        </w:tabs>
        <w:spacing w:before="58"/>
        <w:ind w:left="343" w:right="0" w:firstLine="0"/>
        <w:jc w:val="left"/>
        <w:rPr>
          <w:rFonts w:ascii="Microsoft JhengHei" w:hAnsi="Microsoft JhengHei" w:eastAsia="Microsoft JhengHei" w:hint="eastAsia"/>
          <w:b/>
          <w:sz w:val="18"/>
        </w:rPr>
      </w:pPr>
      <w:r>
        <w:rPr/>
        <w:pict>
          <v:group style="position:absolute;margin-left:46.559521pt;margin-top:-6.103894pt;width:498.85pt;height:560.3pt;mso-position-horizontal-relative:page;mso-position-vertical-relative:paragraph;z-index:-21928" coordorigin="931,-122" coordsize="9977,11206">
            <v:shape style="position:absolute;left:931;top:-123;width:9977;height:11206" type="#_x0000_t75" stroked="false">
              <v:imagedata r:id="rId6" o:title=""/>
            </v:shape>
            <v:rect style="position:absolute;left:1175;top:8112;width:9452;height:2705" filled="false" stroked="true" strokeweight=".75pt" strokecolor="#000000">
              <v:stroke dashstyle="dash"/>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08" w:val="left" w:leader="none"/>
        </w:tabs>
        <w:spacing w:line="313" w:lineRule="exact" w:before="32" w:after="0"/>
        <w:ind w:left="1407" w:right="0" w:hanging="339"/>
        <w:jc w:val="left"/>
        <w:rPr>
          <w:sz w:val="18"/>
        </w:rPr>
      </w:pPr>
      <w:r>
        <w:rPr>
          <w:rFonts w:ascii="Microsoft JhengHei" w:eastAsia="Microsoft JhengHei" w:hint="eastAsia"/>
          <w:b/>
          <w:w w:val="95"/>
          <w:sz w:val="18"/>
        </w:rPr>
        <w:t>保险责任条款</w:t>
      </w:r>
      <w:r>
        <w:rPr>
          <w:w w:val="95"/>
          <w:sz w:val="18"/>
        </w:rPr>
        <w:t>----向您介绍该附加合同的基本构成、该附加合同所提供的保险责任以及责任免除事项。</w:t>
      </w:r>
    </w:p>
    <w:p>
      <w:pPr>
        <w:pStyle w:val="ListParagraph"/>
        <w:numPr>
          <w:ilvl w:val="0"/>
          <w:numId w:val="1"/>
        </w:numPr>
        <w:tabs>
          <w:tab w:pos="1405" w:val="left" w:leader="none"/>
        </w:tabs>
        <w:spacing w:line="312" w:lineRule="exact" w:before="0" w:after="0"/>
        <w:ind w:left="1404" w:right="0" w:hanging="338"/>
        <w:jc w:val="left"/>
        <w:rPr>
          <w:sz w:val="18"/>
        </w:rPr>
      </w:pPr>
      <w:r>
        <w:rPr>
          <w:rFonts w:ascii="Microsoft JhengHei" w:eastAsia="Microsoft JhengHei" w:hint="eastAsia"/>
          <w:b/>
          <w:w w:val="95"/>
          <w:sz w:val="18"/>
        </w:rPr>
        <w:t>一般条款</w:t>
      </w:r>
      <w:r>
        <w:rPr>
          <w:spacing w:val="-1"/>
          <w:w w:val="95"/>
          <w:sz w:val="18"/>
        </w:rPr>
        <w:t>----向您介绍您对该附加合同所拥有的权益和义务，以及保单服务、理赔的具体要求。</w:t>
      </w:r>
    </w:p>
    <w:p>
      <w:pPr>
        <w:pStyle w:val="ListParagraph"/>
        <w:numPr>
          <w:ilvl w:val="0"/>
          <w:numId w:val="1"/>
        </w:numPr>
        <w:tabs>
          <w:tab w:pos="1405" w:val="left" w:leader="none"/>
        </w:tabs>
        <w:spacing w:line="313" w:lineRule="exact" w:before="0" w:after="0"/>
        <w:ind w:left="1404" w:right="0" w:hanging="338"/>
        <w:jc w:val="left"/>
        <w:rPr>
          <w:sz w:val="18"/>
        </w:rPr>
      </w:pPr>
      <w:r>
        <w:rPr>
          <w:rFonts w:ascii="Microsoft JhengHei" w:eastAsia="Microsoft JhengHei" w:hint="eastAsia"/>
          <w:b/>
          <w:w w:val="95"/>
          <w:sz w:val="18"/>
        </w:rPr>
        <w:t>名词释义</w:t>
      </w:r>
      <w:r>
        <w:rPr>
          <w:spacing w:val="-1"/>
          <w:w w:val="95"/>
          <w:sz w:val="18"/>
        </w:rPr>
        <w:t>----向您解释该附加合同条款中所提到的一些专用名词，便于您更好的理解该附加合同。</w:t>
      </w:r>
    </w:p>
    <w:p>
      <w:pPr>
        <w:tabs>
          <w:tab w:pos="1075" w:val="left" w:leader="none"/>
        </w:tabs>
        <w:spacing w:before="83"/>
        <w:ind w:left="343"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08" w:val="left" w:leader="none"/>
        </w:tabs>
        <w:spacing w:line="313" w:lineRule="exact" w:before="32" w:after="0"/>
        <w:ind w:left="1407" w:right="0" w:hanging="339"/>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05" w:val="left" w:leader="none"/>
        </w:tabs>
        <w:spacing w:line="312" w:lineRule="exact" w:before="0" w:after="0"/>
        <w:ind w:left="1404" w:right="0" w:hanging="338"/>
        <w:jc w:val="left"/>
        <w:rPr>
          <w:sz w:val="18"/>
        </w:rPr>
      </w:pPr>
      <w:r>
        <w:rPr>
          <w:rFonts w:ascii="Microsoft JhengHei" w:eastAsia="Microsoft JhengHei" w:hint="eastAsia"/>
          <w:b/>
          <w:sz w:val="18"/>
        </w:rPr>
        <w:t>我们</w:t>
      </w:r>
      <w:r>
        <w:rPr>
          <w:spacing w:val="-1"/>
          <w:sz w:val="18"/>
        </w:rPr>
        <w:t>----指工银安盛人寿保险有限公司。</w:t>
      </w:r>
    </w:p>
    <w:p>
      <w:pPr>
        <w:pStyle w:val="ListParagraph"/>
        <w:numPr>
          <w:ilvl w:val="0"/>
          <w:numId w:val="1"/>
        </w:numPr>
        <w:tabs>
          <w:tab w:pos="1405" w:val="left" w:leader="none"/>
        </w:tabs>
        <w:spacing w:line="312" w:lineRule="exact" w:before="0" w:after="0"/>
        <w:ind w:left="1404" w:right="0" w:hanging="338"/>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05" w:val="left" w:leader="none"/>
        </w:tabs>
        <w:spacing w:line="313" w:lineRule="exact" w:before="0" w:after="0"/>
        <w:ind w:left="1404" w:right="0" w:hanging="338"/>
        <w:jc w:val="left"/>
        <w:rPr>
          <w:sz w:val="18"/>
        </w:rPr>
      </w:pPr>
      <w:r>
        <w:rPr>
          <w:rFonts w:ascii="Microsoft JhengHei" w:eastAsia="Microsoft JhengHei" w:hint="eastAsia"/>
          <w:b/>
          <w:sz w:val="18"/>
        </w:rPr>
        <w:t>受益人</w:t>
      </w:r>
      <w:r>
        <w:rPr>
          <w:spacing w:val="-1"/>
          <w:sz w:val="18"/>
        </w:rPr>
        <w:t>----指发生保险事故后享有请求保障利益权的人。</w:t>
      </w:r>
    </w:p>
    <w:p>
      <w:pPr>
        <w:tabs>
          <w:tab w:pos="1075" w:val="left" w:leader="none"/>
        </w:tabs>
        <w:spacing w:before="84"/>
        <w:ind w:left="343"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10" w:val="left" w:leader="none"/>
          <w:tab w:pos="9601" w:val="right" w:leader="dot"/>
        </w:tabs>
        <w:spacing w:line="240" w:lineRule="auto" w:before="89" w:after="0"/>
        <w:ind w:left="1409" w:right="0" w:hanging="341"/>
        <w:jc w:val="left"/>
        <w:rPr>
          <w:sz w:val="18"/>
        </w:rPr>
      </w:pPr>
      <w:r>
        <w:rPr>
          <w:sz w:val="18"/>
        </w:rPr>
        <w:t>签收该附加合</w:t>
      </w:r>
      <w:r>
        <w:rPr>
          <w:spacing w:val="-3"/>
          <w:sz w:val="18"/>
        </w:rPr>
        <w:t>同</w:t>
      </w:r>
      <w:r>
        <w:rPr>
          <w:sz w:val="18"/>
        </w:rPr>
        <w:t>后</w:t>
      </w:r>
      <w:r>
        <w:rPr>
          <w:spacing w:val="-46"/>
          <w:sz w:val="18"/>
        </w:rPr>
        <w:t> </w:t>
      </w:r>
      <w:r>
        <w:rPr>
          <w:sz w:val="18"/>
        </w:rPr>
        <w:t>15</w:t>
      </w:r>
      <w:r>
        <w:rPr>
          <w:spacing w:val="-45"/>
          <w:sz w:val="18"/>
        </w:rPr>
        <w:t> </w:t>
      </w:r>
      <w:r>
        <w:rPr>
          <w:sz w:val="18"/>
        </w:rPr>
        <w:t>日内您可以要求全额退</w:t>
      </w:r>
      <w:r>
        <w:rPr>
          <w:spacing w:val="-3"/>
          <w:sz w:val="18"/>
        </w:rPr>
        <w:t>还</w:t>
      </w:r>
      <w:r>
        <w:rPr>
          <w:sz w:val="18"/>
        </w:rPr>
        <w:t>保险费</w:t>
        <w:tab/>
        <w:t>1.4</w:t>
      </w:r>
    </w:p>
    <w:p>
      <w:pPr>
        <w:pStyle w:val="ListParagraph"/>
        <w:numPr>
          <w:ilvl w:val="0"/>
          <w:numId w:val="1"/>
        </w:numPr>
        <w:tabs>
          <w:tab w:pos="1408" w:val="left" w:leader="none"/>
          <w:tab w:pos="9598" w:val="right" w:leader="dot"/>
        </w:tabs>
        <w:spacing w:line="240" w:lineRule="auto" w:before="75" w:after="0"/>
        <w:ind w:left="1407" w:right="0" w:hanging="341"/>
        <w:jc w:val="left"/>
        <w:rPr>
          <w:sz w:val="18"/>
        </w:rPr>
      </w:pPr>
      <w:r>
        <w:rPr>
          <w:sz w:val="18"/>
        </w:rPr>
        <w:t>被保险人可以</w:t>
      </w:r>
      <w:r>
        <w:rPr>
          <w:spacing w:val="-3"/>
          <w:sz w:val="18"/>
        </w:rPr>
        <w:t>享</w:t>
      </w:r>
      <w:r>
        <w:rPr>
          <w:sz w:val="18"/>
        </w:rPr>
        <w:t>受该附加合同提供的保障</w:t>
        <w:tab/>
        <w:t>1.5</w:t>
      </w:r>
    </w:p>
    <w:p>
      <w:pPr>
        <w:pStyle w:val="ListParagraph"/>
        <w:numPr>
          <w:ilvl w:val="0"/>
          <w:numId w:val="1"/>
        </w:numPr>
        <w:tabs>
          <w:tab w:pos="1408" w:val="left" w:leader="none"/>
          <w:tab w:pos="9599" w:val="right" w:leader="dot"/>
        </w:tabs>
        <w:spacing w:line="240" w:lineRule="auto" w:before="75" w:after="0"/>
        <w:ind w:left="1407" w:right="0" w:hanging="341"/>
        <w:jc w:val="left"/>
        <w:rPr>
          <w:sz w:val="18"/>
        </w:rPr>
      </w:pPr>
      <w:r>
        <w:rPr>
          <w:sz w:val="18"/>
        </w:rPr>
        <w:t>您有解除合同</w:t>
      </w:r>
      <w:r>
        <w:rPr>
          <w:spacing w:val="-3"/>
          <w:sz w:val="18"/>
        </w:rPr>
        <w:t>的</w:t>
      </w:r>
      <w:r>
        <w:rPr>
          <w:sz w:val="18"/>
        </w:rPr>
        <w:t>权利</w:t>
        <w:tab/>
        <w:t>2.5</w:t>
      </w:r>
    </w:p>
    <w:p>
      <w:pPr>
        <w:tabs>
          <w:tab w:pos="1075" w:val="left" w:leader="none"/>
        </w:tabs>
        <w:spacing w:before="103"/>
        <w:ind w:left="343"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08" w:val="left" w:leader="none"/>
          <w:tab w:pos="9598" w:val="right" w:leader="dot"/>
        </w:tabs>
        <w:spacing w:line="240" w:lineRule="auto" w:before="89" w:after="0"/>
        <w:ind w:left="1407" w:right="0" w:hanging="341"/>
        <w:jc w:val="left"/>
        <w:rPr>
          <w:sz w:val="18"/>
        </w:rPr>
      </w:pPr>
      <w:r>
        <w:rPr>
          <w:sz w:val="18"/>
        </w:rPr>
        <w:t>您需要按期足</w:t>
      </w:r>
      <w:r>
        <w:rPr>
          <w:spacing w:val="-3"/>
          <w:sz w:val="18"/>
        </w:rPr>
        <w:t>额</w:t>
      </w:r>
      <w:r>
        <w:rPr>
          <w:sz w:val="18"/>
        </w:rPr>
        <w:t>交纳保险费</w:t>
        <w:tab/>
        <w:t>2.1</w:t>
      </w:r>
    </w:p>
    <w:p>
      <w:pPr>
        <w:pStyle w:val="ListParagraph"/>
        <w:numPr>
          <w:ilvl w:val="0"/>
          <w:numId w:val="1"/>
        </w:numPr>
        <w:tabs>
          <w:tab w:pos="1408" w:val="left" w:leader="none"/>
          <w:tab w:pos="9598" w:val="right" w:leader="dot"/>
        </w:tabs>
        <w:spacing w:line="240" w:lineRule="auto" w:before="76" w:after="0"/>
        <w:ind w:left="1407" w:right="0" w:hanging="341"/>
        <w:jc w:val="left"/>
        <w:rPr>
          <w:sz w:val="18"/>
        </w:rPr>
      </w:pPr>
      <w:r>
        <w:rPr>
          <w:sz w:val="18"/>
        </w:rPr>
        <w:t>发生保险事故</w:t>
      </w:r>
      <w:r>
        <w:rPr>
          <w:spacing w:val="-3"/>
          <w:sz w:val="18"/>
        </w:rPr>
        <w:t>时</w:t>
      </w:r>
      <w:r>
        <w:rPr>
          <w:sz w:val="18"/>
        </w:rPr>
        <w:t>您应及早通知我们</w:t>
        <w:tab/>
        <w:t>2.8</w:t>
      </w:r>
    </w:p>
    <w:p>
      <w:pPr>
        <w:pStyle w:val="ListParagraph"/>
        <w:numPr>
          <w:ilvl w:val="0"/>
          <w:numId w:val="1"/>
        </w:numPr>
        <w:tabs>
          <w:tab w:pos="1408" w:val="left" w:leader="none"/>
          <w:tab w:pos="9598" w:val="right" w:leader="dot"/>
        </w:tabs>
        <w:spacing w:line="240" w:lineRule="auto" w:before="76" w:after="0"/>
        <w:ind w:left="1407" w:right="0" w:hanging="341"/>
        <w:jc w:val="left"/>
        <w:rPr>
          <w:sz w:val="18"/>
        </w:rPr>
      </w:pPr>
      <w:r>
        <w:rPr>
          <w:sz w:val="18"/>
        </w:rPr>
        <w:t>对于我们的询</w:t>
      </w:r>
      <w:r>
        <w:rPr>
          <w:spacing w:val="-3"/>
          <w:sz w:val="18"/>
        </w:rPr>
        <w:t>问</w:t>
      </w:r>
      <w:r>
        <w:rPr>
          <w:sz w:val="18"/>
        </w:rPr>
        <w:t>，您有如实告知的义务</w:t>
        <w:tab/>
        <w:t>2.12</w:t>
      </w:r>
    </w:p>
    <w:p>
      <w:pPr>
        <w:tabs>
          <w:tab w:pos="979" w:val="left" w:leader="none"/>
        </w:tabs>
        <w:spacing w:before="104"/>
        <w:ind w:left="343"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08" w:val="left" w:leader="none"/>
          <w:tab w:pos="9598" w:val="right" w:leader="dot"/>
        </w:tabs>
        <w:spacing w:line="240" w:lineRule="auto" w:before="90" w:after="0"/>
        <w:ind w:left="1407" w:right="0" w:hanging="341"/>
        <w:jc w:val="left"/>
        <w:rPr>
          <w:sz w:val="18"/>
        </w:rPr>
      </w:pPr>
      <w:r>
        <w:rPr>
          <w:sz w:val="18"/>
        </w:rPr>
        <w:t>我们不承担保</w:t>
      </w:r>
      <w:r>
        <w:rPr>
          <w:spacing w:val="-3"/>
          <w:sz w:val="18"/>
        </w:rPr>
        <w:t>险</w:t>
      </w:r>
      <w:r>
        <w:rPr>
          <w:sz w:val="18"/>
        </w:rPr>
        <w:t>责任的限制</w:t>
        <w:tab/>
        <w:t>1.6</w:t>
      </w:r>
    </w:p>
    <w:p>
      <w:pPr>
        <w:tabs>
          <w:tab w:pos="979" w:val="left" w:leader="none"/>
        </w:tabs>
        <w:spacing w:before="104"/>
        <w:ind w:left="343"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6" w:after="1"/>
        <w:ind w:left="0"/>
        <w:rPr>
          <w:rFonts w:ascii="Microsoft JhengHei"/>
          <w:b/>
          <w:sz w:val="11"/>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2425"/>
        <w:gridCol w:w="3014"/>
        <w:gridCol w:w="1320"/>
      </w:tblGrid>
      <w:tr>
        <w:trPr>
          <w:trHeight w:val="257" w:hRule="atLeast"/>
        </w:trPr>
        <w:tc>
          <w:tcPr>
            <w:tcW w:w="1564" w:type="dxa"/>
          </w:tcPr>
          <w:p>
            <w:pPr>
              <w:pStyle w:val="TableParagraph"/>
              <w:spacing w:line="187" w:lineRule="exact" w:before="0"/>
              <w:rPr>
                <w:sz w:val="18"/>
              </w:rPr>
            </w:pPr>
            <w:r>
              <w:rPr>
                <w:rFonts w:ascii="MS UI Gothic" w:eastAsia="MS UI Gothic" w:hint="eastAsia"/>
                <w:w w:val="105"/>
                <w:sz w:val="18"/>
              </w:rPr>
              <w:t>O </w:t>
            </w:r>
            <w:r>
              <w:rPr>
                <w:w w:val="105"/>
                <w:sz w:val="18"/>
              </w:rPr>
              <w:t>保险责任条款</w:t>
            </w:r>
          </w:p>
        </w:tc>
        <w:tc>
          <w:tcPr>
            <w:tcW w:w="2425" w:type="dxa"/>
          </w:tcPr>
          <w:p>
            <w:pPr>
              <w:pStyle w:val="TableParagraph"/>
              <w:spacing w:line="201" w:lineRule="exact" w:before="0"/>
              <w:ind w:left="182"/>
              <w:rPr>
                <w:sz w:val="18"/>
              </w:rPr>
            </w:pPr>
            <w:r>
              <w:rPr>
                <w:rFonts w:ascii="Times New Roman" w:eastAsia="Times New Roman"/>
                <w:sz w:val="18"/>
              </w:rPr>
              <w:t>2.1 </w:t>
            </w:r>
            <w:r>
              <w:rPr>
                <w:sz w:val="18"/>
              </w:rPr>
              <w:t>保险费的交付及宽限期</w:t>
            </w:r>
          </w:p>
        </w:tc>
        <w:tc>
          <w:tcPr>
            <w:tcW w:w="3014" w:type="dxa"/>
          </w:tcPr>
          <w:p>
            <w:pPr>
              <w:pStyle w:val="TableParagraph"/>
              <w:spacing w:line="201" w:lineRule="exact" w:before="0"/>
              <w:ind w:left="217"/>
              <w:rPr>
                <w:sz w:val="18"/>
              </w:rPr>
            </w:pPr>
            <w:r>
              <w:rPr>
                <w:rFonts w:ascii="Times New Roman" w:eastAsia="Times New Roman"/>
                <w:sz w:val="18"/>
              </w:rPr>
              <w:t>2.9  </w:t>
            </w:r>
            <w:r>
              <w:rPr>
                <w:sz w:val="18"/>
              </w:rPr>
              <w:t>豁免保险费的申请</w:t>
            </w:r>
          </w:p>
        </w:tc>
        <w:tc>
          <w:tcPr>
            <w:tcW w:w="1320" w:type="dxa"/>
          </w:tcPr>
          <w:p>
            <w:pPr>
              <w:pStyle w:val="TableParagraph"/>
              <w:spacing w:line="201" w:lineRule="exact" w:before="0"/>
              <w:ind w:left="143"/>
              <w:rPr>
                <w:sz w:val="18"/>
              </w:rPr>
            </w:pPr>
            <w:r>
              <w:rPr>
                <w:rFonts w:ascii="Times New Roman" w:eastAsia="Times New Roman"/>
                <w:sz w:val="18"/>
              </w:rPr>
              <w:t>2.17  </w:t>
            </w:r>
            <w:r>
              <w:rPr>
                <w:sz w:val="18"/>
              </w:rPr>
              <w:t>借款</w:t>
            </w:r>
          </w:p>
        </w:tc>
      </w:tr>
      <w:tr>
        <w:trPr>
          <w:trHeight w:val="311" w:hRule="atLeast"/>
        </w:trPr>
        <w:tc>
          <w:tcPr>
            <w:tcW w:w="1564" w:type="dxa"/>
          </w:tcPr>
          <w:p>
            <w:pPr>
              <w:pStyle w:val="TableParagraph"/>
              <w:rPr>
                <w:sz w:val="18"/>
              </w:rPr>
            </w:pPr>
            <w:r>
              <w:rPr>
                <w:rFonts w:ascii="Times New Roman" w:eastAsia="Times New Roman"/>
                <w:sz w:val="18"/>
              </w:rPr>
              <w:t>1.1  </w:t>
            </w:r>
            <w:r>
              <w:rPr>
                <w:sz w:val="18"/>
              </w:rPr>
              <w:t>合同的构成</w:t>
            </w:r>
          </w:p>
        </w:tc>
        <w:tc>
          <w:tcPr>
            <w:tcW w:w="2425" w:type="dxa"/>
          </w:tcPr>
          <w:p>
            <w:pPr>
              <w:pStyle w:val="TableParagraph"/>
              <w:ind w:left="182"/>
              <w:rPr>
                <w:sz w:val="18"/>
              </w:rPr>
            </w:pPr>
            <w:r>
              <w:rPr>
                <w:rFonts w:ascii="Times New Roman" w:eastAsia="Times New Roman"/>
                <w:sz w:val="18"/>
              </w:rPr>
              <w:t>2.2  </w:t>
            </w:r>
            <w:r>
              <w:rPr>
                <w:sz w:val="18"/>
              </w:rPr>
              <w:t>垫交保险费</w:t>
            </w:r>
          </w:p>
        </w:tc>
        <w:tc>
          <w:tcPr>
            <w:tcW w:w="3014" w:type="dxa"/>
          </w:tcPr>
          <w:p>
            <w:pPr>
              <w:pStyle w:val="TableParagraph"/>
              <w:ind w:left="126"/>
              <w:rPr>
                <w:sz w:val="18"/>
              </w:rPr>
            </w:pPr>
            <w:r>
              <w:rPr>
                <w:rFonts w:ascii="Times New Roman" w:eastAsia="Times New Roman"/>
                <w:sz w:val="18"/>
              </w:rPr>
              <w:t>2.10 </w:t>
            </w:r>
            <w:r>
              <w:rPr>
                <w:sz w:val="18"/>
              </w:rPr>
              <w:t>豁免保险费的履行</w:t>
            </w:r>
          </w:p>
        </w:tc>
        <w:tc>
          <w:tcPr>
            <w:tcW w:w="1320" w:type="dxa"/>
          </w:tcPr>
          <w:p>
            <w:pPr>
              <w:pStyle w:val="TableParagraph"/>
              <w:ind w:left="143"/>
              <w:rPr>
                <w:sz w:val="18"/>
              </w:rPr>
            </w:pPr>
            <w:r>
              <w:rPr>
                <w:rFonts w:ascii="Times New Roman" w:eastAsia="Times New Roman"/>
                <w:sz w:val="18"/>
              </w:rPr>
              <w:t>2.18  </w:t>
            </w:r>
            <w:r>
              <w:rPr>
                <w:sz w:val="18"/>
              </w:rPr>
              <w:t>争议处理</w:t>
            </w:r>
          </w:p>
        </w:tc>
      </w:tr>
      <w:tr>
        <w:trPr>
          <w:trHeight w:val="311" w:hRule="atLeast"/>
        </w:trPr>
        <w:tc>
          <w:tcPr>
            <w:tcW w:w="1564" w:type="dxa"/>
          </w:tcPr>
          <w:p>
            <w:pPr>
              <w:pStyle w:val="TableParagraph"/>
              <w:rPr>
                <w:sz w:val="18"/>
              </w:rPr>
            </w:pPr>
            <w:r>
              <w:rPr>
                <w:rFonts w:ascii="Times New Roman" w:eastAsia="Times New Roman"/>
                <w:sz w:val="18"/>
              </w:rPr>
              <w:t>1.2  </w:t>
            </w:r>
            <w:r>
              <w:rPr>
                <w:sz w:val="18"/>
              </w:rPr>
              <w:t>投保范围</w:t>
            </w:r>
          </w:p>
        </w:tc>
        <w:tc>
          <w:tcPr>
            <w:tcW w:w="2425" w:type="dxa"/>
          </w:tcPr>
          <w:p>
            <w:pPr>
              <w:pStyle w:val="TableParagraph"/>
              <w:ind w:left="182"/>
              <w:rPr>
                <w:sz w:val="18"/>
              </w:rPr>
            </w:pPr>
            <w:r>
              <w:rPr>
                <w:rFonts w:ascii="Times New Roman" w:eastAsia="Times New Roman"/>
                <w:sz w:val="18"/>
              </w:rPr>
              <w:t>2.3  </w:t>
            </w:r>
            <w:r>
              <w:rPr>
                <w:sz w:val="18"/>
              </w:rPr>
              <w:t>合同效力的中止</w:t>
            </w:r>
          </w:p>
        </w:tc>
        <w:tc>
          <w:tcPr>
            <w:tcW w:w="3014" w:type="dxa"/>
          </w:tcPr>
          <w:p>
            <w:pPr>
              <w:pStyle w:val="TableParagraph"/>
              <w:ind w:left="126"/>
              <w:rPr>
                <w:sz w:val="18"/>
              </w:rPr>
            </w:pPr>
            <w:r>
              <w:rPr>
                <w:rFonts w:ascii="Times New Roman" w:eastAsia="Times New Roman"/>
                <w:sz w:val="18"/>
              </w:rPr>
              <w:t>2.11  </w:t>
            </w:r>
            <w:r>
              <w:rPr>
                <w:sz w:val="18"/>
              </w:rPr>
              <w:t>诉讼时效</w:t>
            </w:r>
          </w:p>
        </w:tc>
        <w:tc>
          <w:tcPr>
            <w:tcW w:w="1320" w:type="dxa"/>
          </w:tcPr>
          <w:p>
            <w:pPr>
              <w:pStyle w:val="TableParagraph"/>
              <w:spacing w:before="0"/>
              <w:ind w:left="0"/>
              <w:rPr>
                <w:rFonts w:ascii="Times New Roman"/>
                <w:sz w:val="18"/>
              </w:rPr>
            </w:pPr>
          </w:p>
        </w:tc>
      </w:tr>
      <w:tr>
        <w:trPr>
          <w:trHeight w:val="311" w:hRule="atLeast"/>
        </w:trPr>
        <w:tc>
          <w:tcPr>
            <w:tcW w:w="1564" w:type="dxa"/>
          </w:tcPr>
          <w:p>
            <w:pPr>
              <w:pStyle w:val="TableParagraph"/>
              <w:rPr>
                <w:sz w:val="18"/>
              </w:rPr>
            </w:pPr>
            <w:r>
              <w:rPr>
                <w:rFonts w:ascii="Times New Roman" w:eastAsia="Times New Roman"/>
                <w:sz w:val="18"/>
              </w:rPr>
              <w:t>1.3  </w:t>
            </w:r>
            <w:r>
              <w:rPr>
                <w:sz w:val="18"/>
              </w:rPr>
              <w:t>保险期间</w:t>
            </w:r>
          </w:p>
        </w:tc>
        <w:tc>
          <w:tcPr>
            <w:tcW w:w="2425" w:type="dxa"/>
          </w:tcPr>
          <w:p>
            <w:pPr>
              <w:pStyle w:val="TableParagraph"/>
              <w:ind w:left="182"/>
              <w:rPr>
                <w:sz w:val="18"/>
              </w:rPr>
            </w:pPr>
            <w:r>
              <w:rPr>
                <w:rFonts w:ascii="Times New Roman" w:eastAsia="Times New Roman"/>
                <w:sz w:val="18"/>
              </w:rPr>
              <w:t>2.4  </w:t>
            </w:r>
            <w:r>
              <w:rPr>
                <w:sz w:val="18"/>
              </w:rPr>
              <w:t>合同效力的恢复</w:t>
            </w:r>
          </w:p>
        </w:tc>
        <w:tc>
          <w:tcPr>
            <w:tcW w:w="3014" w:type="dxa"/>
          </w:tcPr>
          <w:p>
            <w:pPr>
              <w:pStyle w:val="TableParagraph"/>
              <w:ind w:left="126"/>
              <w:rPr>
                <w:sz w:val="18"/>
              </w:rPr>
            </w:pPr>
            <w:r>
              <w:rPr>
                <w:rFonts w:ascii="Times New Roman" w:eastAsia="Times New Roman"/>
                <w:sz w:val="18"/>
              </w:rPr>
              <w:t>2.12  </w:t>
            </w:r>
            <w:r>
              <w:rPr>
                <w:sz w:val="18"/>
              </w:rPr>
              <w:t>如实告知</w:t>
            </w:r>
          </w:p>
        </w:tc>
        <w:tc>
          <w:tcPr>
            <w:tcW w:w="1320" w:type="dxa"/>
          </w:tcPr>
          <w:p>
            <w:pPr>
              <w:pStyle w:val="TableParagraph"/>
              <w:spacing w:before="0"/>
              <w:ind w:left="0"/>
              <w:rPr>
                <w:rFonts w:ascii="Times New Roman"/>
                <w:sz w:val="18"/>
              </w:rPr>
            </w:pPr>
          </w:p>
        </w:tc>
      </w:tr>
      <w:tr>
        <w:trPr>
          <w:trHeight w:val="311" w:hRule="atLeast"/>
        </w:trPr>
        <w:tc>
          <w:tcPr>
            <w:tcW w:w="1564" w:type="dxa"/>
          </w:tcPr>
          <w:p>
            <w:pPr>
              <w:pStyle w:val="TableParagraph"/>
              <w:rPr>
                <w:sz w:val="18"/>
              </w:rPr>
            </w:pPr>
            <w:r>
              <w:rPr>
                <w:rFonts w:ascii="Times New Roman" w:eastAsia="Times New Roman"/>
                <w:sz w:val="18"/>
              </w:rPr>
              <w:t>1.4  </w:t>
            </w:r>
            <w:r>
              <w:rPr>
                <w:sz w:val="18"/>
              </w:rPr>
              <w:t>犹豫期</w:t>
            </w:r>
          </w:p>
        </w:tc>
        <w:tc>
          <w:tcPr>
            <w:tcW w:w="2425" w:type="dxa"/>
          </w:tcPr>
          <w:p>
            <w:pPr>
              <w:pStyle w:val="TableParagraph"/>
              <w:ind w:left="182"/>
              <w:rPr>
                <w:sz w:val="18"/>
              </w:rPr>
            </w:pPr>
            <w:r>
              <w:rPr>
                <w:rFonts w:ascii="Times New Roman" w:eastAsia="Times New Roman"/>
                <w:sz w:val="18"/>
              </w:rPr>
              <w:t>2.5  </w:t>
            </w:r>
            <w:r>
              <w:rPr>
                <w:sz w:val="18"/>
              </w:rPr>
              <w:t>合同的解除</w:t>
            </w:r>
          </w:p>
        </w:tc>
        <w:tc>
          <w:tcPr>
            <w:tcW w:w="3014" w:type="dxa"/>
          </w:tcPr>
          <w:p>
            <w:pPr>
              <w:pStyle w:val="TableParagraph"/>
              <w:ind w:left="126"/>
              <w:rPr>
                <w:sz w:val="18"/>
              </w:rPr>
            </w:pPr>
            <w:r>
              <w:rPr>
                <w:rFonts w:ascii="Times New Roman" w:eastAsia="Times New Roman"/>
                <w:sz w:val="18"/>
              </w:rPr>
              <w:t>2.13 </w:t>
            </w:r>
            <w:r>
              <w:rPr>
                <w:sz w:val="18"/>
              </w:rPr>
              <w:t>合同解除权的限制</w:t>
            </w:r>
          </w:p>
        </w:tc>
        <w:tc>
          <w:tcPr>
            <w:tcW w:w="1320" w:type="dxa"/>
          </w:tcPr>
          <w:p>
            <w:pPr>
              <w:pStyle w:val="TableParagraph"/>
              <w:spacing w:before="0"/>
              <w:ind w:left="0"/>
              <w:rPr>
                <w:rFonts w:ascii="Times New Roman"/>
                <w:sz w:val="18"/>
              </w:rPr>
            </w:pPr>
          </w:p>
        </w:tc>
      </w:tr>
      <w:tr>
        <w:trPr>
          <w:trHeight w:val="311" w:hRule="atLeast"/>
        </w:trPr>
        <w:tc>
          <w:tcPr>
            <w:tcW w:w="1564" w:type="dxa"/>
          </w:tcPr>
          <w:p>
            <w:pPr>
              <w:pStyle w:val="TableParagraph"/>
              <w:rPr>
                <w:sz w:val="18"/>
              </w:rPr>
            </w:pPr>
            <w:r>
              <w:rPr>
                <w:rFonts w:ascii="Times New Roman" w:eastAsia="Times New Roman"/>
                <w:sz w:val="18"/>
              </w:rPr>
              <w:t>1.5  </w:t>
            </w:r>
            <w:r>
              <w:rPr>
                <w:sz w:val="18"/>
              </w:rPr>
              <w:t>保险责任</w:t>
            </w:r>
          </w:p>
        </w:tc>
        <w:tc>
          <w:tcPr>
            <w:tcW w:w="2425" w:type="dxa"/>
          </w:tcPr>
          <w:p>
            <w:pPr>
              <w:pStyle w:val="TableParagraph"/>
              <w:ind w:left="182"/>
              <w:rPr>
                <w:sz w:val="18"/>
              </w:rPr>
            </w:pPr>
            <w:r>
              <w:rPr>
                <w:rFonts w:ascii="Times New Roman" w:eastAsia="Times New Roman"/>
                <w:sz w:val="18"/>
              </w:rPr>
              <w:t>2.6  </w:t>
            </w:r>
            <w:r>
              <w:rPr>
                <w:sz w:val="18"/>
              </w:rPr>
              <w:t>合同效力的终止</w:t>
            </w:r>
          </w:p>
        </w:tc>
        <w:tc>
          <w:tcPr>
            <w:tcW w:w="3014" w:type="dxa"/>
          </w:tcPr>
          <w:p>
            <w:pPr>
              <w:pStyle w:val="TableParagraph"/>
              <w:ind w:left="126"/>
              <w:rPr>
                <w:sz w:val="18"/>
              </w:rPr>
            </w:pPr>
            <w:r>
              <w:rPr>
                <w:rFonts w:ascii="Times New Roman" w:eastAsia="Times New Roman"/>
                <w:sz w:val="18"/>
              </w:rPr>
              <w:t>2.14 </w:t>
            </w:r>
            <w:r>
              <w:rPr>
                <w:sz w:val="18"/>
              </w:rPr>
              <w:t>年龄及性别的确定与错误处理</w:t>
            </w:r>
          </w:p>
        </w:tc>
        <w:tc>
          <w:tcPr>
            <w:tcW w:w="1320" w:type="dxa"/>
          </w:tcPr>
          <w:p>
            <w:pPr>
              <w:pStyle w:val="TableParagraph"/>
              <w:spacing w:before="0"/>
              <w:ind w:left="0"/>
              <w:rPr>
                <w:rFonts w:ascii="Times New Roman"/>
                <w:sz w:val="18"/>
              </w:rPr>
            </w:pPr>
          </w:p>
        </w:tc>
      </w:tr>
      <w:tr>
        <w:trPr>
          <w:trHeight w:val="311" w:hRule="atLeast"/>
        </w:trPr>
        <w:tc>
          <w:tcPr>
            <w:tcW w:w="1564" w:type="dxa"/>
          </w:tcPr>
          <w:p>
            <w:pPr>
              <w:pStyle w:val="TableParagraph"/>
              <w:rPr>
                <w:sz w:val="18"/>
              </w:rPr>
            </w:pPr>
            <w:r>
              <w:rPr>
                <w:rFonts w:ascii="Times New Roman" w:eastAsia="Times New Roman"/>
                <w:sz w:val="18"/>
              </w:rPr>
              <w:t>1.6  </w:t>
            </w:r>
            <w:r>
              <w:rPr>
                <w:sz w:val="18"/>
              </w:rPr>
              <w:t>责任免除</w:t>
            </w:r>
          </w:p>
        </w:tc>
        <w:tc>
          <w:tcPr>
            <w:tcW w:w="2425" w:type="dxa"/>
          </w:tcPr>
          <w:p>
            <w:pPr>
              <w:pStyle w:val="TableParagraph"/>
              <w:ind w:left="182"/>
              <w:rPr>
                <w:sz w:val="18"/>
              </w:rPr>
            </w:pPr>
            <w:r>
              <w:rPr>
                <w:rFonts w:ascii="Times New Roman" w:eastAsia="Times New Roman"/>
                <w:sz w:val="18"/>
              </w:rPr>
              <w:t>2.7  </w:t>
            </w:r>
            <w:r>
              <w:rPr>
                <w:sz w:val="18"/>
              </w:rPr>
              <w:t>受益人的指定</w:t>
            </w:r>
          </w:p>
        </w:tc>
        <w:tc>
          <w:tcPr>
            <w:tcW w:w="3014" w:type="dxa"/>
          </w:tcPr>
          <w:p>
            <w:pPr>
              <w:pStyle w:val="TableParagraph"/>
              <w:ind w:left="126"/>
              <w:rPr>
                <w:sz w:val="18"/>
              </w:rPr>
            </w:pPr>
            <w:r>
              <w:rPr>
                <w:rFonts w:ascii="Times New Roman" w:eastAsia="Times New Roman"/>
                <w:sz w:val="18"/>
              </w:rPr>
              <w:t>2.15  </w:t>
            </w:r>
            <w:r>
              <w:rPr>
                <w:sz w:val="18"/>
              </w:rPr>
              <w:t>合同内容的变更</w:t>
            </w:r>
          </w:p>
        </w:tc>
        <w:tc>
          <w:tcPr>
            <w:tcW w:w="1320" w:type="dxa"/>
          </w:tcPr>
          <w:p>
            <w:pPr>
              <w:pStyle w:val="TableParagraph"/>
              <w:spacing w:before="0"/>
              <w:ind w:left="0"/>
              <w:rPr>
                <w:rFonts w:ascii="Times New Roman"/>
                <w:sz w:val="18"/>
              </w:rPr>
            </w:pPr>
          </w:p>
        </w:tc>
      </w:tr>
      <w:tr>
        <w:trPr>
          <w:trHeight w:val="256" w:hRule="atLeast"/>
        </w:trPr>
        <w:tc>
          <w:tcPr>
            <w:tcW w:w="1564" w:type="dxa"/>
          </w:tcPr>
          <w:p>
            <w:pPr>
              <w:pStyle w:val="TableParagraph"/>
              <w:spacing w:line="229" w:lineRule="exact" w:before="7"/>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2425" w:type="dxa"/>
          </w:tcPr>
          <w:p>
            <w:pPr>
              <w:pStyle w:val="TableParagraph"/>
              <w:spacing w:line="229" w:lineRule="exact" w:before="7"/>
              <w:ind w:left="182"/>
              <w:rPr>
                <w:sz w:val="18"/>
              </w:rPr>
            </w:pPr>
            <w:r>
              <w:rPr>
                <w:rFonts w:ascii="Times New Roman" w:eastAsia="Times New Roman"/>
                <w:sz w:val="18"/>
              </w:rPr>
              <w:t>2.8  </w:t>
            </w:r>
            <w:r>
              <w:rPr>
                <w:sz w:val="18"/>
              </w:rPr>
              <w:t>保险事故的通知</w:t>
            </w:r>
          </w:p>
        </w:tc>
        <w:tc>
          <w:tcPr>
            <w:tcW w:w="3014" w:type="dxa"/>
          </w:tcPr>
          <w:p>
            <w:pPr>
              <w:pStyle w:val="TableParagraph"/>
              <w:spacing w:line="229" w:lineRule="exact" w:before="7"/>
              <w:ind w:left="126"/>
              <w:rPr>
                <w:sz w:val="18"/>
              </w:rPr>
            </w:pPr>
            <w:r>
              <w:rPr>
                <w:rFonts w:ascii="Times New Roman" w:eastAsia="Times New Roman"/>
                <w:sz w:val="18"/>
              </w:rPr>
              <w:t>2.16  </w:t>
            </w:r>
            <w:r>
              <w:rPr>
                <w:sz w:val="18"/>
              </w:rPr>
              <w:t>联系方式的变更</w:t>
            </w:r>
          </w:p>
        </w:tc>
        <w:tc>
          <w:tcPr>
            <w:tcW w:w="1320" w:type="dxa"/>
          </w:tcPr>
          <w:p>
            <w:pPr>
              <w:pStyle w:val="TableParagraph"/>
              <w:spacing w:before="0"/>
              <w:ind w:left="0"/>
              <w:rPr>
                <w:rFonts w:ascii="Times New Roman"/>
                <w:sz w:val="18"/>
              </w:rPr>
            </w:pPr>
          </w:p>
        </w:tc>
      </w:tr>
    </w:tbl>
    <w:p>
      <w:pPr>
        <w:spacing w:after="0"/>
        <w:rPr>
          <w:rFonts w:ascii="Times New Roman"/>
          <w:sz w:val="18"/>
        </w:rPr>
        <w:sectPr>
          <w:type w:val="continuous"/>
          <w:pgSz w:w="11900" w:h="16840"/>
          <w:pgMar w:top="1060" w:bottom="280" w:left="820" w:right="880"/>
        </w:sectPr>
      </w:pPr>
    </w:p>
    <w:p>
      <w:pPr>
        <w:pStyle w:val="Heading1"/>
        <w:spacing w:line="545" w:lineRule="exact"/>
        <w:ind w:right="1647"/>
      </w:pPr>
      <w:r>
        <w:rPr/>
        <w:t>工银安盛人寿保险有限公司</w:t>
      </w:r>
    </w:p>
    <w:p>
      <w:pPr>
        <w:spacing w:before="67"/>
        <w:ind w:left="1650" w:right="1649" w:firstLine="0"/>
        <w:jc w:val="center"/>
        <w:rPr>
          <w:rFonts w:ascii="Microsoft JhengHei" w:eastAsia="Microsoft JhengHei" w:hint="eastAsia"/>
          <w:b/>
          <w:sz w:val="32"/>
        </w:rPr>
      </w:pPr>
      <w:r>
        <w:rPr>
          <w:rFonts w:ascii="Microsoft JhengHei" w:eastAsia="Microsoft JhengHei" w:hint="eastAsia"/>
          <w:b/>
          <w:sz w:val="32"/>
        </w:rPr>
        <w:t>工银安盛人寿附加豁免保险费重大疾病保险条款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48">
            <wp:simplePos x="0" y="0"/>
            <wp:positionH relativeFrom="page">
              <wp:posOffset>650741</wp:posOffset>
            </wp:positionH>
            <wp:positionV relativeFrom="paragraph">
              <wp:posOffset>249977</wp:posOffset>
            </wp:positionV>
            <wp:extent cx="6257550" cy="3810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72;mso-wrap-distance-left:0;mso-wrap-distance-right:0" from="51.239517pt,7.477839pt" to="543.959506pt,7.477839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73" w:lineRule="auto"/>
        <w:ind w:right="202" w:firstLine="419"/>
      </w:pPr>
      <w:r>
        <w:rPr>
          <w:spacing w:val="-3"/>
          <w:w w:val="100"/>
        </w:rPr>
        <w:t>《工银安盛人寿附加豁免保险费重大疾病保险合同</w:t>
      </w:r>
      <w:r>
        <w:rPr>
          <w:spacing w:val="-113"/>
          <w:w w:val="100"/>
        </w:rPr>
        <w:t>》</w:t>
      </w:r>
      <w:r>
        <w:rPr>
          <w:w w:val="100"/>
        </w:rPr>
        <w:t>（</w:t>
      </w:r>
      <w:r>
        <w:rPr>
          <w:spacing w:val="-14"/>
          <w:w w:val="100"/>
        </w:rPr>
        <w:t>以下简称“本附加合同”</w:t>
      </w:r>
      <w:r>
        <w:rPr>
          <w:spacing w:val="-5"/>
          <w:w w:val="100"/>
        </w:rPr>
        <w:t>）</w:t>
      </w:r>
      <w:r>
        <w:rPr>
          <w:spacing w:val="-4"/>
          <w:w w:val="100"/>
        </w:rPr>
        <w:t>依您的申请，附加于主保险合同</w:t>
      </w:r>
      <w:r>
        <w:rPr>
          <w:w w:val="100"/>
        </w:rPr>
        <w:t>（</w:t>
      </w:r>
      <w:r>
        <w:rPr>
          <w:spacing w:val="-4"/>
          <w:w w:val="100"/>
        </w:rPr>
        <w:t>以下简称“主合同</w:t>
      </w:r>
      <w:r>
        <w:rPr>
          <w:spacing w:val="-106"/>
          <w:w w:val="100"/>
        </w:rPr>
        <w:t>”）</w:t>
      </w:r>
      <w:r>
        <w:rPr>
          <w:spacing w:val="-5"/>
          <w:w w:val="100"/>
        </w:rPr>
        <w:t>，并列于主合同保险单后。本附加合同由所附条款、与本附加合同有关</w:t>
      </w:r>
    </w:p>
    <w:p>
      <w:pPr>
        <w:spacing w:line="204" w:lineRule="auto" w:before="0"/>
        <w:ind w:left="212" w:right="206" w:firstLine="0"/>
        <w:jc w:val="left"/>
        <w:rPr>
          <w:sz w:val="21"/>
        </w:rPr>
      </w:pPr>
      <w:r>
        <w:rPr>
          <w:spacing w:val="-7"/>
          <w:sz w:val="21"/>
        </w:rPr>
        <w:t>的投保文件、声明、批注、附贴批单及其他书面协议构成。</w:t>
      </w:r>
      <w:r>
        <w:rPr>
          <w:rFonts w:ascii="Microsoft JhengHei" w:eastAsia="Microsoft JhengHei" w:hint="eastAsia"/>
          <w:b/>
          <w:spacing w:val="-3"/>
          <w:sz w:val="21"/>
        </w:rPr>
        <w:t>主合同的条款也适用于本附加合同。若本附加合同的条款与主合同的条款互有冲突，则以本附加合同条款为准</w:t>
      </w:r>
      <w:r>
        <w:rPr>
          <w:sz w:val="21"/>
        </w:rPr>
        <w:t>。</w:t>
      </w:r>
    </w:p>
    <w:p>
      <w:pPr>
        <w:pStyle w:val="BodyText"/>
        <w:spacing w:line="273" w:lineRule="auto" w:before="16"/>
        <w:ind w:right="202" w:firstLine="419"/>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spacing w:before="7"/>
        <w:ind w:left="632" w:right="0" w:firstLine="0"/>
        <w:jc w:val="left"/>
        <w:rPr>
          <w:sz w:val="21"/>
        </w:rPr>
      </w:pPr>
      <w:r>
        <w:rPr>
          <w:sz w:val="21"/>
        </w:rPr>
        <w:t>本附加合同的英文代码 </w:t>
      </w:r>
      <w:r>
        <w:rPr>
          <w:rFonts w:ascii="Arial" w:eastAsia="Arial"/>
          <w:sz w:val="20"/>
        </w:rPr>
        <w:t>ACIWP</w:t>
      </w:r>
      <w:r>
        <w:rPr>
          <w:sz w:val="21"/>
        </w:rPr>
        <w:t>。</w:t>
      </w:r>
    </w:p>
    <w:p>
      <w:pPr>
        <w:pStyle w:val="BodyText"/>
        <w:ind w:left="0"/>
        <w:rPr>
          <w:sz w:val="20"/>
        </w:rPr>
      </w:pPr>
    </w:p>
    <w:p>
      <w:pPr>
        <w:pStyle w:val="BodyText"/>
        <w:spacing w:before="5"/>
        <w:ind w:left="0"/>
        <w:rPr>
          <w:sz w:val="25"/>
        </w:rPr>
      </w:pPr>
    </w:p>
    <w:p>
      <w:pPr>
        <w:pStyle w:val="Heading2"/>
        <w:numPr>
          <w:ilvl w:val="1"/>
          <w:numId w:val="2"/>
        </w:numPr>
        <w:tabs>
          <w:tab w:pos="937" w:val="left" w:leader="none"/>
          <w:tab w:pos="938" w:val="left" w:leader="none"/>
          <w:tab w:pos="9879" w:val="left" w:leader="none"/>
        </w:tabs>
        <w:spacing w:line="335" w:lineRule="exact" w:before="0" w:after="0"/>
        <w:ind w:left="937" w:right="0" w:hanging="725"/>
        <w:jc w:val="left"/>
      </w:pPr>
      <w:r>
        <w:rPr>
          <w:shd w:fill="E6E6E6" w:color="auto" w:val="clear"/>
        </w:rPr>
        <w:t>投保范围</w:t>
        <w:tab/>
      </w:r>
    </w:p>
    <w:p>
      <w:pPr>
        <w:pStyle w:val="BodyText"/>
        <w:spacing w:line="389" w:lineRule="exact"/>
        <w:ind w:left="635"/>
      </w:pPr>
      <w:r>
        <w:rPr/>
        <w:pict>
          <v:shape style="position:absolute;margin-left:170.639343pt;margin-top:8.960855pt;width:10.6pt;height:10.6pt;mso-position-horizontal-relative:page;mso-position-vertical-relative:paragraph;z-index:-21856" type="#_x0000_t202" filled="false" stroked="false">
            <v:textbox inset="0,0,0,0">
              <w:txbxContent>
                <w:p>
                  <w:pPr>
                    <w:pStyle w:val="BodyText"/>
                    <w:spacing w:line="211" w:lineRule="exact"/>
                    <w:ind w:left="0"/>
                  </w:pPr>
                  <w:r>
                    <w:rPr>
                      <w:w w:val="100"/>
                    </w:rPr>
                    <w:t>．</w:t>
                  </w:r>
                </w:p>
              </w:txbxContent>
            </v:textbox>
            <w10:wrap type="none"/>
          </v:shape>
        </w:pict>
      </w:r>
      <w:r>
        <w:rPr>
          <w:spacing w:val="-9"/>
        </w:rPr>
        <w:t>凡年满 </w:t>
      </w:r>
      <w:r>
        <w:rPr>
          <w:rFonts w:ascii="Arial" w:eastAsia="Arial"/>
        </w:rPr>
        <w:t>18 </w:t>
      </w:r>
      <w:r>
        <w:rPr>
          <w:spacing w:val="-14"/>
        </w:rPr>
        <w:t>至 </w:t>
      </w:r>
      <w:r>
        <w:rPr>
          <w:rFonts w:ascii="Arial" w:eastAsia="Arial"/>
        </w:rPr>
        <w:t>60 </w:t>
      </w:r>
      <w:r>
        <w:rPr>
          <w:rFonts w:ascii="Microsoft JhengHei" w:eastAsia="Microsoft JhengHei" w:hint="eastAsia"/>
          <w:b/>
          <w:spacing w:val="-149"/>
        </w:rPr>
        <w:t>周</w:t>
      </w:r>
      <w:r>
        <w:rPr>
          <w:spacing w:val="-63"/>
          <w:position w:val="-7"/>
        </w:rPr>
        <w:t>．</w:t>
      </w:r>
      <w:r>
        <w:rPr>
          <w:rFonts w:ascii="Microsoft JhengHei" w:eastAsia="Microsoft JhengHei" w:hint="eastAsia"/>
          <w:b/>
        </w:rPr>
        <w:t>岁</w:t>
      </w:r>
      <w:r>
        <w:rPr>
          <w:rFonts w:ascii="Times New Roman" w:eastAsia="Times New Roman"/>
          <w:b/>
          <w:vertAlign w:val="superscript"/>
        </w:rPr>
        <w:t>1</w:t>
      </w:r>
      <w:r>
        <w:rPr>
          <w:rFonts w:ascii="Times New Roman" w:eastAsia="Times New Roman"/>
          <w:b/>
          <w:vertAlign w:val="baseline"/>
        </w:rPr>
      </w:r>
      <w:r>
        <w:rPr>
          <w:spacing w:val="-3"/>
          <w:vertAlign w:val="baseline"/>
        </w:rPr>
        <w:t>且身体健康的人，可作为被保险人参加本保险。主合同的投保人即为本附加合</w:t>
      </w:r>
    </w:p>
    <w:p>
      <w:pPr>
        <w:pStyle w:val="BodyText"/>
        <w:spacing w:before="24"/>
      </w:pPr>
      <w:r>
        <w:rPr>
          <w:spacing w:val="-2"/>
        </w:rPr>
        <w:t>同的被保险人</w:t>
      </w:r>
      <w:r>
        <w:rPr>
          <w:spacing w:val="-3"/>
        </w:rPr>
        <w:t>（以下简称“被保险人</w:t>
      </w:r>
      <w:r>
        <w:rPr>
          <w:spacing w:val="-106"/>
        </w:rPr>
        <w:t>”）</w:t>
      </w:r>
      <w:r>
        <w:rPr/>
        <w:t>。</w:t>
      </w:r>
    </w:p>
    <w:p>
      <w:pPr>
        <w:pStyle w:val="BodyText"/>
        <w:ind w:left="0"/>
        <w:rPr>
          <w:sz w:val="20"/>
        </w:rPr>
      </w:pPr>
    </w:p>
    <w:p>
      <w:pPr>
        <w:pStyle w:val="BodyText"/>
        <w:spacing w:before="5"/>
        <w:ind w:left="0"/>
        <w:rPr>
          <w:sz w:val="26"/>
        </w:rPr>
      </w:pPr>
    </w:p>
    <w:p>
      <w:pPr>
        <w:pStyle w:val="Heading2"/>
        <w:numPr>
          <w:ilvl w:val="1"/>
          <w:numId w:val="2"/>
        </w:numPr>
        <w:tabs>
          <w:tab w:pos="937" w:val="left" w:leader="none"/>
          <w:tab w:pos="938" w:val="left" w:leader="none"/>
          <w:tab w:pos="9879" w:val="left" w:leader="none"/>
        </w:tabs>
        <w:spacing w:line="356" w:lineRule="exact" w:before="0" w:after="0"/>
        <w:ind w:left="937" w:right="0" w:hanging="725"/>
        <w:jc w:val="left"/>
      </w:pPr>
      <w:r>
        <w:rPr>
          <w:shd w:fill="E6E6E6" w:color="auto" w:val="clear"/>
        </w:rPr>
        <w:t>保险期间</w:t>
        <w:tab/>
      </w:r>
    </w:p>
    <w:p>
      <w:pPr>
        <w:pStyle w:val="BodyText"/>
        <w:spacing w:line="237" w:lineRule="auto"/>
        <w:ind w:right="202" w:firstLine="420"/>
        <w:jc w:val="both"/>
      </w:pPr>
      <w:r>
        <w:rPr>
          <w:spacing w:val="-7"/>
        </w:rPr>
        <w:t>您提出保险申请、经我们同意承保，本附加合同成立。本附加合同自我们同意承保、并签发保险合同开始生效。若本附加合同与主合同同时投保，则以保险单上所载的主合同的生效日期为本附加合同的生效</w:t>
      </w:r>
      <w:r>
        <w:rPr>
          <w:spacing w:val="-5"/>
        </w:rPr>
        <w:t>日期；若您于主合同有效期内申请投保本附加合同，则以附贴批单上所载的生效日期为准。</w:t>
      </w:r>
    </w:p>
    <w:p>
      <w:pPr>
        <w:pStyle w:val="BodyText"/>
        <w:spacing w:line="223" w:lineRule="auto" w:before="121"/>
        <w:ind w:right="202" w:firstLine="419"/>
        <w:jc w:val="both"/>
      </w:pPr>
      <w:r>
        <w:rPr>
          <w:spacing w:val="-3"/>
        </w:rPr>
        <w:t>除非有另外的约定，本附加合同的保险期间自保险单</w:t>
      </w:r>
      <w:r>
        <w:rPr>
          <w:rFonts w:ascii="Times New Roman" w:eastAsia="Times New Roman"/>
        </w:rPr>
        <w:t>/</w:t>
      </w:r>
      <w:r>
        <w:rPr>
          <w:spacing w:val="-6"/>
        </w:rPr>
        <w:t>附贴批单所载生效日当日 </w:t>
      </w:r>
      <w:r>
        <w:rPr>
          <w:rFonts w:ascii="Arial" w:eastAsia="Arial"/>
        </w:rPr>
        <w:t>24 </w:t>
      </w:r>
      <w:r>
        <w:rPr>
          <w:spacing w:val="-3"/>
        </w:rPr>
        <w:t>时起，至主合同保险期间届满日止。</w:t>
      </w:r>
    </w:p>
    <w:p>
      <w:pPr>
        <w:pStyle w:val="BodyText"/>
        <w:ind w:left="0"/>
        <w:rPr>
          <w:sz w:val="20"/>
        </w:rPr>
      </w:pPr>
    </w:p>
    <w:p>
      <w:pPr>
        <w:pStyle w:val="BodyText"/>
        <w:spacing w:before="9"/>
        <w:ind w:left="0"/>
        <w:rPr>
          <w:sz w:val="26"/>
        </w:rPr>
      </w:pPr>
    </w:p>
    <w:p>
      <w:pPr>
        <w:pStyle w:val="Heading2"/>
        <w:numPr>
          <w:ilvl w:val="1"/>
          <w:numId w:val="2"/>
        </w:numPr>
        <w:tabs>
          <w:tab w:pos="937" w:val="left" w:leader="none"/>
          <w:tab w:pos="938" w:val="left" w:leader="none"/>
          <w:tab w:pos="9879" w:val="left" w:leader="none"/>
        </w:tabs>
        <w:spacing w:line="356" w:lineRule="exact" w:before="0" w:after="0"/>
        <w:ind w:left="937" w:right="0" w:hanging="725"/>
        <w:jc w:val="left"/>
      </w:pPr>
      <w:r>
        <w:rPr>
          <w:shd w:fill="E6E6E6" w:color="auto" w:val="clear"/>
        </w:rPr>
        <w:t>犹豫期</w:t>
        <w:tab/>
      </w:r>
    </w:p>
    <w:p>
      <w:pPr>
        <w:pStyle w:val="BodyText"/>
        <w:spacing w:line="278" w:lineRule="exact"/>
        <w:ind w:left="632"/>
      </w:pPr>
      <w:r>
        <w:rPr/>
        <w:t>我们给予您 </w:t>
      </w:r>
      <w:r>
        <w:rPr>
          <w:rFonts w:ascii="Arial" w:eastAsia="Arial"/>
        </w:rPr>
        <w:t>15 </w:t>
      </w:r>
      <w:r>
        <w:rPr/>
        <w:t>日的犹豫期，自您签收保险合同之日起算。</w:t>
      </w:r>
    </w:p>
    <w:p>
      <w:pPr>
        <w:pStyle w:val="BodyText"/>
        <w:spacing w:line="273" w:lineRule="auto" w:before="3"/>
        <w:ind w:right="202" w:firstLine="420"/>
        <w:jc w:val="both"/>
      </w:pPr>
      <w:r>
        <w:rPr>
          <w:spacing w:val="-5"/>
        </w:rPr>
        <w:t>在此期间如果您确定此保险合同与您的需求不相符，可向我们书面提出解除合同的申请，并将本附加</w:t>
      </w:r>
      <w:r>
        <w:rPr>
          <w:spacing w:val="-7"/>
        </w:rPr>
        <w:t>合同退还我们。本附加合同自我们收到书面申请之日正式解除，我们自始不承担保险责任，并无息退还已</w:t>
      </w:r>
      <w:r>
        <w:rPr>
          <w:spacing w:val="-5"/>
        </w:rPr>
        <w:t>收本附加合同全部保险费。</w:t>
      </w:r>
    </w:p>
    <w:p>
      <w:pPr>
        <w:pStyle w:val="BodyText"/>
        <w:spacing w:line="254" w:lineRule="auto" w:before="7"/>
        <w:ind w:left="632" w:right="1018"/>
      </w:pPr>
      <w:r>
        <w:rPr/>
        <w:t>但如果您或受益人曾向我们提出理赔申请，则不得在上述规定的犹豫期内行使合同解除权。您要求解除本附加合同时，请填写解除合同申请书并向我们提供下列资料：</w:t>
      </w:r>
    </w:p>
    <w:p>
      <w:pPr>
        <w:pStyle w:val="BodyText"/>
        <w:spacing w:line="259" w:lineRule="exact"/>
        <w:ind w:left="632"/>
      </w:pPr>
      <w:r>
        <w:rPr/>
        <w:t>一、保险合同原件；</w:t>
      </w:r>
    </w:p>
    <w:p>
      <w:pPr>
        <w:pStyle w:val="BodyText"/>
        <w:spacing w:line="273" w:lineRule="exact"/>
        <w:ind w:left="632"/>
      </w:pPr>
      <w:r>
        <w:rPr/>
        <w:t>二、您的有效身份证件。</w:t>
      </w:r>
    </w:p>
    <w:p>
      <w:pPr>
        <w:pStyle w:val="BodyText"/>
        <w:ind w:left="0"/>
        <w:rPr>
          <w:sz w:val="20"/>
        </w:rPr>
      </w:pPr>
    </w:p>
    <w:p>
      <w:pPr>
        <w:pStyle w:val="BodyText"/>
        <w:ind w:left="0"/>
        <w:rPr>
          <w:sz w:val="25"/>
        </w:rPr>
      </w:pPr>
    </w:p>
    <w:p>
      <w:pPr>
        <w:pStyle w:val="Heading2"/>
        <w:numPr>
          <w:ilvl w:val="1"/>
          <w:numId w:val="2"/>
        </w:numPr>
        <w:tabs>
          <w:tab w:pos="937" w:val="left" w:leader="none"/>
          <w:tab w:pos="938" w:val="left" w:leader="none"/>
          <w:tab w:pos="9879" w:val="left" w:leader="none"/>
        </w:tabs>
        <w:spacing w:line="335" w:lineRule="exact" w:before="0" w:after="0"/>
        <w:ind w:left="937" w:right="0" w:hanging="725"/>
        <w:jc w:val="left"/>
      </w:pPr>
      <w:r>
        <w:rPr>
          <w:shd w:fill="E6E6E6" w:color="auto" w:val="clear"/>
        </w:rPr>
        <w:t>保险责任</w:t>
        <w:tab/>
      </w:r>
    </w:p>
    <w:p>
      <w:pPr>
        <w:spacing w:line="179" w:lineRule="exact" w:before="0"/>
        <w:ind w:left="632" w:right="0" w:firstLine="0"/>
        <w:jc w:val="left"/>
        <w:rPr>
          <w:sz w:val="21"/>
        </w:rPr>
      </w:pPr>
      <w:r>
        <w:rPr>
          <w:sz w:val="21"/>
        </w:rPr>
        <w:t>在本附加合同有效期内，若被保险人在</w:t>
      </w:r>
      <w:r>
        <w:rPr>
          <w:rFonts w:ascii="Microsoft JhengHei" w:eastAsia="Microsoft JhengHei" w:hint="eastAsia"/>
          <w:b/>
          <w:sz w:val="21"/>
        </w:rPr>
        <w:t>等待期</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专科医生</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首次确诊患有本附加合同</w:t>
      </w:r>
    </w:p>
    <w:p>
      <w:pPr>
        <w:pStyle w:val="BodyText"/>
        <w:tabs>
          <w:tab w:pos="5581" w:val="left" w:leader="none"/>
          <w:tab w:pos="6690" w:val="left" w:leader="none"/>
        </w:tabs>
        <w:spacing w:line="211" w:lineRule="exact"/>
        <w:ind w:left="4249"/>
      </w:pPr>
      <w:r>
        <w:rPr/>
        <w:t>．．．</w:t>
        <w:tab/>
        <w:t>．．</w:t>
        <w:tab/>
        <w:t>．．．．</w:t>
      </w:r>
    </w:p>
    <w:p>
      <w:pPr>
        <w:pStyle w:val="BodyText"/>
        <w:spacing w:line="321" w:lineRule="exact"/>
      </w:pPr>
      <w:r>
        <w:rPr/>
        <w:pict>
          <v:shape style="position:absolute;margin-left:122.880531pt;margin-top:8.408436pt;width:42.15pt;height:10.6pt;mso-position-horizontal-relative:page;mso-position-vertical-relative:paragraph;z-index:-21832" type="#_x0000_t202" filled="false" stroked="false">
            <v:textbox inset="0,0,0,0">
              <w:txbxContent>
                <w:p>
                  <w:pPr>
                    <w:pStyle w:val="BodyText"/>
                    <w:spacing w:line="211" w:lineRule="exact"/>
                    <w:ind w:left="0"/>
                  </w:pPr>
                  <w:r>
                    <w:rPr/>
                    <w:t>．．．．</w:t>
                  </w:r>
                </w:p>
              </w:txbxContent>
            </v:textbox>
            <w10:wrap type="none"/>
          </v:shape>
        </w:pict>
      </w:r>
      <w:r>
        <w:rPr>
          <w:spacing w:val="-2"/>
          <w:w w:val="100"/>
        </w:rPr>
        <w:t>定义的六十种</w:t>
      </w:r>
      <w:r>
        <w:rPr>
          <w:rFonts w:ascii="Microsoft JhengHei" w:eastAsia="Microsoft JhengHei" w:hint="eastAsia"/>
          <w:b/>
          <w:spacing w:val="-1"/>
          <w:w w:val="100"/>
        </w:rPr>
        <w:t>重大疾病</w:t>
      </w:r>
      <w:r>
        <w:rPr>
          <w:rFonts w:ascii="Times New Roman" w:eastAsia="Times New Roman"/>
          <w:b/>
          <w:w w:val="97"/>
          <w:vertAlign w:val="superscript"/>
        </w:rPr>
        <w:t>5</w:t>
      </w:r>
      <w:r>
        <w:rPr>
          <w:rFonts w:ascii="Times New Roman" w:eastAsia="Times New Roman"/>
          <w:b/>
          <w:w w:val="97"/>
          <w:vertAlign w:val="baseline"/>
        </w:rPr>
      </w:r>
      <w:r>
        <w:rPr>
          <w:w w:val="100"/>
          <w:vertAlign w:val="baseline"/>
        </w:rPr>
        <w:t>（</w:t>
      </w:r>
      <w:r>
        <w:rPr>
          <w:spacing w:val="-2"/>
          <w:w w:val="100"/>
          <w:vertAlign w:val="baseline"/>
        </w:rPr>
        <w:t>无论一种或多种</w:t>
      </w:r>
      <w:r>
        <w:rPr>
          <w:spacing w:val="-106"/>
          <w:w w:val="100"/>
          <w:vertAlign w:val="baseline"/>
        </w:rPr>
        <w:t>）</w:t>
      </w:r>
      <w:r>
        <w:rPr>
          <w:spacing w:val="-3"/>
          <w:w w:val="100"/>
          <w:vertAlign w:val="baseline"/>
        </w:rPr>
        <w:t>，则我们将自重大疾病确诊后的首个保险费到期日起，豁免保</w:t>
      </w:r>
    </w:p>
    <w:p>
      <w:pPr>
        <w:spacing w:after="0" w:line="321" w:lineRule="exact"/>
        <w:sectPr>
          <w:headerReference w:type="default" r:id="rId7"/>
          <w:footerReference w:type="default" r:id="rId8"/>
          <w:pgSz w:w="11900" w:h="16840"/>
          <w:pgMar w:header="892" w:footer="547" w:top="1080" w:bottom="740" w:left="920" w:right="920"/>
          <w:pgNumType w:start="1"/>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line="273" w:lineRule="auto" w:before="16"/>
        <w:ind w:right="195"/>
      </w:pPr>
      <w:r>
        <w:rPr/>
        <w:t>险单上所载明有相对应约定责任的合同的剩余交费期的应付续期保险费，获豁免的合同的保险费视为已支付，且保险合同继续有效。同时本附加合同效力终止。</w:t>
      </w:r>
    </w:p>
    <w:p>
      <w:pPr>
        <w:pStyle w:val="BodyText"/>
        <w:spacing w:line="365" w:lineRule="exact"/>
        <w:ind w:left="632"/>
      </w:pPr>
      <w:r>
        <w:rPr/>
        <w:pict>
          <v:shape style="position:absolute;margin-left:206.999268pt;margin-top:7.778403pt;width:10.6pt;height:10.6pt;mso-position-horizontal-relative:page;mso-position-vertical-relative:paragraph;z-index:-21760" type="#_x0000_t202" filled="false" stroked="false">
            <v:textbox inset="0,0,0,0">
              <w:txbxContent>
                <w:p>
                  <w:pPr>
                    <w:pStyle w:val="BodyText"/>
                    <w:spacing w:line="211" w:lineRule="exact"/>
                    <w:ind w:left="0"/>
                  </w:pPr>
                  <w:r>
                    <w:rPr>
                      <w:w w:val="100"/>
                    </w:rPr>
                    <w:t>．</w:t>
                  </w:r>
                </w:p>
              </w:txbxContent>
            </v:textbox>
            <w10:wrap type="none"/>
          </v:shape>
        </w:pict>
      </w:r>
      <w:r>
        <w:rPr>
          <w:spacing w:val="-3"/>
        </w:rPr>
        <w:t>被保险人因遭受</w:t>
      </w:r>
      <w:r>
        <w:rPr>
          <w:rFonts w:ascii="Microsoft JhengHei" w:eastAsia="Microsoft JhengHei" w:hint="eastAsia"/>
          <w:b/>
          <w:spacing w:val="-149"/>
        </w:rPr>
        <w:t>意</w:t>
      </w:r>
      <w:r>
        <w:rPr>
          <w:spacing w:val="-63"/>
          <w:position w:val="-7"/>
        </w:rPr>
        <w:t>．</w:t>
      </w:r>
      <w:r>
        <w:rPr>
          <w:rFonts w:ascii="Microsoft JhengHei" w:eastAsia="Microsoft JhengHei" w:hint="eastAsia"/>
          <w:b/>
          <w:spacing w:val="-149"/>
        </w:rPr>
        <w:t>外</w:t>
      </w:r>
      <w:r>
        <w:rPr>
          <w:spacing w:val="-63"/>
          <w:position w:val="-7"/>
        </w:rPr>
        <w:t>．</w:t>
      </w:r>
      <w:r>
        <w:rPr>
          <w:rFonts w:ascii="Microsoft JhengHei" w:eastAsia="Microsoft JhengHei" w:hint="eastAsia"/>
          <w:b/>
          <w:spacing w:val="-149"/>
        </w:rPr>
        <w:t>伤</w:t>
      </w:r>
      <w:r>
        <w:rPr>
          <w:spacing w:val="-63"/>
          <w:position w:val="-7"/>
        </w:rPr>
        <w:t>．</w:t>
      </w:r>
      <w:r>
        <w:rPr>
          <w:rFonts w:ascii="Microsoft JhengHei" w:eastAsia="Microsoft JhengHei" w:hint="eastAsia"/>
          <w:b/>
          <w:spacing w:val="-152"/>
        </w:rPr>
        <w:t>害</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6</w:t>
      </w:r>
      <w:r>
        <w:rPr>
          <w:rFonts w:ascii="Times New Roman" w:eastAsia="Times New Roman"/>
          <w:b/>
          <w:vertAlign w:val="baseline"/>
        </w:rPr>
      </w:r>
      <w:r>
        <w:rPr>
          <w:spacing w:val="-3"/>
          <w:vertAlign w:val="baseline"/>
        </w:rPr>
        <w:t>导致重大疾病的，不受等待期限制。</w:t>
      </w:r>
    </w:p>
    <w:p>
      <w:pPr>
        <w:pStyle w:val="Heading3"/>
        <w:spacing w:before="51"/>
        <w:ind w:left="635"/>
      </w:pPr>
      <w:r>
        <w:rPr>
          <w:spacing w:val="-13"/>
        </w:rPr>
        <w:t>豁免保险费期间，保险费获豁免的主合同或附加合同的保险计划、基本保险金额和交费年限不得变更。</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34"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pStyle w:val="Heading3"/>
        <w:spacing w:line="206" w:lineRule="auto" w:before="17"/>
        <w:ind w:left="647" w:right="2684" w:hanging="12"/>
      </w:pPr>
      <w:r>
        <w:rPr/>
        <w:pict>
          <v:shape style="position:absolute;margin-left:228.958008pt;margin-top:55.820824pt;width:10.6pt;height:10.6pt;mso-position-horizontal-relative:page;mso-position-vertical-relative:paragraph;z-index:-21736" type="#_x0000_t202" filled="false" stroked="false">
            <v:textbox inset="0,0,0,0">
              <w:txbxContent>
                <w:p>
                  <w:pPr>
                    <w:pStyle w:val="BodyText"/>
                    <w:spacing w:line="211" w:lineRule="exact"/>
                    <w:ind w:left="0"/>
                  </w:pPr>
                  <w:r>
                    <w:rPr>
                      <w:w w:val="100"/>
                    </w:rPr>
                    <w:t>．</w:t>
                  </w:r>
                </w:p>
              </w:txbxContent>
            </v:textbox>
            <w10:wrap type="none"/>
          </v:shape>
        </w:pict>
      </w:r>
      <w:r>
        <w:rPr>
          <w:spacing w:val="-3"/>
        </w:rPr>
        <w:t>因下列情形之一，导致被保险人罹患重大疾病的，我们不承担保险责任： 一、主合同的被保险人对本附加合同的被保险人的故意杀害、故意伤害； 二、被保险人故意自伤、故意犯罪或者抗拒依法采取的刑事强制措施； 三、被保险人主动吸食或注射</w:t>
      </w:r>
      <w:r>
        <w:rPr>
          <w:spacing w:val="-149"/>
        </w:rPr>
        <w:t>毒</w:t>
      </w:r>
      <w:r>
        <w:rPr>
          <w:rFonts w:ascii="宋体" w:eastAsia="宋体" w:hint="eastAsia"/>
          <w:b w:val="0"/>
          <w:spacing w:val="-63"/>
          <w:position w:val="-7"/>
        </w:rPr>
        <w:t>．</w:t>
      </w:r>
      <w:r>
        <w:rPr>
          <w:spacing w:val="-3"/>
        </w:rPr>
        <w:t>品</w:t>
      </w:r>
      <w:r>
        <w:rPr>
          <w:position w:val="11"/>
          <w:sz w:val="11"/>
        </w:rPr>
        <w:t>7</w:t>
      </w:r>
      <w:r>
        <w:rPr/>
        <w:t>；</w:t>
      </w:r>
    </w:p>
    <w:p>
      <w:pPr>
        <w:spacing w:line="178" w:lineRule="exact" w:before="0"/>
        <w:ind w:left="647" w:right="0" w:firstLine="0"/>
        <w:jc w:val="left"/>
        <w:rPr>
          <w:rFonts w:ascii="Microsoft JhengHei" w:eastAsia="Microsoft JhengHei" w:hint="eastAsia"/>
          <w:b/>
          <w:sz w:val="21"/>
        </w:rPr>
      </w:pPr>
      <w:r>
        <w:rPr>
          <w:rFonts w:ascii="Microsoft JhengHei" w:eastAsia="Microsoft JhengHei" w:hint="eastAsia"/>
          <w:b/>
          <w:sz w:val="21"/>
        </w:rPr>
        <w:t>四、被保险人酒后驾驶</w:t>
      </w:r>
      <w:r>
        <w:rPr>
          <w:rFonts w:ascii="Microsoft JhengHei" w:eastAsia="Microsoft JhengHei" w:hint="eastAsia"/>
          <w:b/>
          <w:position w:val="11"/>
          <w:sz w:val="11"/>
        </w:rPr>
        <w:t>8</w:t>
      </w:r>
      <w:r>
        <w:rPr>
          <w:rFonts w:ascii="Microsoft JhengHei" w:eastAsia="Microsoft JhengHei" w:hint="eastAsia"/>
          <w:b/>
          <w:sz w:val="21"/>
        </w:rPr>
        <w:t>，无合法有效驾驶证驾驶</w:t>
      </w:r>
      <w:r>
        <w:rPr>
          <w:rFonts w:ascii="Microsoft JhengHei" w:eastAsia="Microsoft JhengHei" w:hint="eastAsia"/>
          <w:b/>
          <w:position w:val="11"/>
          <w:sz w:val="11"/>
        </w:rPr>
        <w:t>9</w:t>
      </w:r>
      <w:r>
        <w:rPr>
          <w:rFonts w:ascii="Microsoft JhengHei" w:eastAsia="Microsoft JhengHei" w:hint="eastAsia"/>
          <w:b/>
          <w:sz w:val="21"/>
        </w:rPr>
        <w:t>，或驾驶无有效行驶证</w:t>
      </w:r>
      <w:r>
        <w:rPr>
          <w:rFonts w:ascii="Microsoft JhengHei" w:eastAsia="Microsoft JhengHei" w:hint="eastAsia"/>
          <w:b/>
          <w:position w:val="11"/>
          <w:sz w:val="11"/>
        </w:rPr>
        <w:t>10</w:t>
      </w:r>
      <w:r>
        <w:rPr>
          <w:rFonts w:ascii="Microsoft JhengHei" w:eastAsia="Microsoft JhengHei" w:hint="eastAsia"/>
          <w:b/>
          <w:sz w:val="21"/>
        </w:rPr>
        <w:t>的机动车；</w:t>
      </w:r>
    </w:p>
    <w:p>
      <w:pPr>
        <w:spacing w:after="0" w:line="178" w:lineRule="exact"/>
        <w:jc w:val="left"/>
        <w:rPr>
          <w:rFonts w:ascii="Microsoft JhengHei" w:eastAsia="Microsoft JhengHei" w:hint="eastAsia"/>
          <w:sz w:val="21"/>
        </w:rPr>
        <w:sectPr>
          <w:headerReference w:type="default" r:id="rId10"/>
          <w:pgSz w:w="11900" w:h="16840"/>
          <w:pgMar w:header="844" w:footer="547" w:top="1040" w:bottom="740" w:left="920" w:right="900"/>
        </w:sectPr>
      </w:pPr>
    </w:p>
    <w:p>
      <w:pPr>
        <w:pStyle w:val="BodyText"/>
        <w:spacing w:line="211" w:lineRule="exact"/>
        <w:ind w:left="0"/>
        <w:jc w:val="right"/>
      </w:pPr>
      <w:r>
        <w:rPr/>
        <w:t>．．．．</w:t>
      </w:r>
    </w:p>
    <w:p>
      <w:pPr>
        <w:pStyle w:val="BodyText"/>
        <w:spacing w:line="211" w:lineRule="exact"/>
        <w:ind w:left="228"/>
      </w:pPr>
      <w:r>
        <w:rPr/>
        <w:br w:type="column"/>
      </w:r>
      <w:r>
        <w:rPr/>
        <w:t>．．．．．．．．．．</w:t>
      </w:r>
    </w:p>
    <w:p>
      <w:pPr>
        <w:pStyle w:val="BodyText"/>
        <w:spacing w:line="211" w:lineRule="exact"/>
        <w:ind w:left="862"/>
      </w:pPr>
      <w:r>
        <w:rPr/>
        <w:br w:type="column"/>
      </w:r>
      <w:r>
        <w:rPr/>
        <w:t>．．．．．．</w:t>
      </w:r>
    </w:p>
    <w:p>
      <w:pPr>
        <w:spacing w:after="0" w:line="211" w:lineRule="exact"/>
        <w:sectPr>
          <w:type w:val="continuous"/>
          <w:pgSz w:w="11900" w:h="16840"/>
          <w:pgMar w:top="1060" w:bottom="280" w:left="920" w:right="900"/>
          <w:cols w:num="3" w:equalWidth="0">
            <w:col w:w="2817" w:space="40"/>
            <w:col w:w="2337" w:space="39"/>
            <w:col w:w="4847"/>
          </w:cols>
        </w:sectPr>
      </w:pPr>
    </w:p>
    <w:p>
      <w:pPr>
        <w:spacing w:line="216" w:lineRule="auto" w:before="0"/>
        <w:ind w:left="647" w:right="5310" w:firstLine="0"/>
        <w:jc w:val="left"/>
        <w:rPr>
          <w:rFonts w:ascii="Microsoft JhengHei" w:eastAsia="Microsoft JhengHei" w:hint="eastAsia"/>
          <w:b/>
          <w:sz w:val="21"/>
        </w:rPr>
      </w:pPr>
      <w:r>
        <w:rPr/>
        <w:pict>
          <v:shape style="position:absolute;margin-left:260.639496pt;margin-top:9.062408pt;width:10.6pt;height:10.6pt;mso-position-horizontal-relative:page;mso-position-vertical-relative:paragraph;z-index:-21712"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sz w:val="21"/>
        </w:rPr>
        <w:t>五、被保险人</w:t>
      </w:r>
      <w:r>
        <w:rPr>
          <w:rFonts w:ascii="Microsoft JhengHei" w:eastAsia="Microsoft JhengHei" w:hint="eastAsia"/>
          <w:b/>
          <w:spacing w:val="-149"/>
          <w:sz w:val="21"/>
        </w:rPr>
        <w:t>感</w:t>
      </w:r>
      <w:r>
        <w:rPr>
          <w:spacing w:val="-63"/>
          <w:position w:val="-7"/>
          <w:sz w:val="21"/>
        </w:rPr>
        <w:t>．</w:t>
      </w:r>
      <w:r>
        <w:rPr>
          <w:rFonts w:ascii="Microsoft JhengHei" w:eastAsia="Microsoft JhengHei" w:hint="eastAsia"/>
          <w:b/>
          <w:spacing w:val="-149"/>
          <w:sz w:val="21"/>
        </w:rPr>
        <w:t>染</w:t>
      </w:r>
      <w:r>
        <w:rPr>
          <w:spacing w:val="-63"/>
          <w:position w:val="-7"/>
          <w:sz w:val="21"/>
        </w:rPr>
        <w:t>．</w:t>
      </w:r>
      <w:r>
        <w:rPr>
          <w:rFonts w:ascii="Microsoft JhengHei" w:eastAsia="Microsoft JhengHei" w:hint="eastAsia"/>
          <w:b/>
          <w:spacing w:val="-152"/>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152"/>
          <w:sz w:val="21"/>
        </w:rPr>
        <w:t>病</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49"/>
          <w:sz w:val="21"/>
        </w:rPr>
        <w:t>毒</w:t>
      </w:r>
      <w:r>
        <w:rPr>
          <w:spacing w:val="-63"/>
          <w:position w:val="-7"/>
          <w:sz w:val="21"/>
        </w:rPr>
        <w:t>．</w:t>
      </w:r>
      <w:r>
        <w:rPr>
          <w:rFonts w:ascii="Microsoft JhengHei" w:eastAsia="Microsoft JhengHei" w:hint="eastAsia"/>
          <w:b/>
          <w:spacing w:val="-149"/>
          <w:sz w:val="21"/>
        </w:rPr>
        <w:t>或</w:t>
      </w:r>
      <w:r>
        <w:rPr>
          <w:spacing w:val="-63"/>
          <w:position w:val="-7"/>
          <w:sz w:val="21"/>
        </w:rPr>
        <w:t>．</w:t>
      </w:r>
      <w:r>
        <w:rPr>
          <w:rFonts w:ascii="Microsoft JhengHei" w:eastAsia="Microsoft JhengHei" w:hint="eastAsia"/>
          <w:b/>
          <w:spacing w:val="-149"/>
          <w:sz w:val="21"/>
        </w:rPr>
        <w:t>患</w:t>
      </w:r>
      <w:r>
        <w:rPr>
          <w:spacing w:val="-63"/>
          <w:position w:val="-7"/>
          <w:sz w:val="21"/>
        </w:rPr>
        <w:t>．</w:t>
      </w:r>
      <w:r>
        <w:rPr>
          <w:rFonts w:ascii="Microsoft JhengHei" w:eastAsia="Microsoft JhengHei" w:hint="eastAsia"/>
          <w:b/>
          <w:spacing w:val="-149"/>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3"/>
          <w:sz w:val="21"/>
        </w:rPr>
        <w:t>病</w:t>
      </w:r>
      <w:r>
        <w:rPr>
          <w:rFonts w:ascii="Microsoft JhengHei" w:eastAsia="Microsoft JhengHei" w:hint="eastAsia"/>
          <w:b/>
          <w:position w:val="11"/>
          <w:sz w:val="11"/>
        </w:rPr>
        <w:t>11</w:t>
      </w:r>
      <w:r>
        <w:rPr>
          <w:rFonts w:ascii="Microsoft JhengHei" w:eastAsia="Microsoft JhengHei" w:hint="eastAsia"/>
          <w:b/>
          <w:sz w:val="21"/>
        </w:rPr>
        <w:t>； </w:t>
      </w:r>
      <w:r>
        <w:rPr>
          <w:rFonts w:ascii="Microsoft JhengHei" w:eastAsia="Microsoft JhengHei" w:hint="eastAsia"/>
          <w:b/>
          <w:spacing w:val="-2"/>
          <w:sz w:val="21"/>
        </w:rPr>
        <w:t>六、战争、军事冲突、暴乱或武装叛乱；</w:t>
      </w:r>
    </w:p>
    <w:p>
      <w:pPr>
        <w:pStyle w:val="Heading3"/>
        <w:spacing w:line="286" w:lineRule="exact" w:before="13"/>
        <w:ind w:left="647"/>
      </w:pPr>
      <w:r>
        <w:rPr/>
        <w:t>七、核爆炸、核辐射或核污染；</w:t>
      </w:r>
    </w:p>
    <w:p>
      <w:pPr>
        <w:spacing w:line="187"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1"/>
        </w:rPr>
        <w:t>12</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13</w:t>
      </w:r>
      <w:r>
        <w:rPr>
          <w:rFonts w:ascii="Microsoft JhengHei" w:eastAsia="Microsoft JhengHei" w:hint="eastAsia"/>
          <w:b/>
          <w:w w:val="95"/>
          <w:sz w:val="21"/>
        </w:rPr>
        <w:t>。</w:t>
      </w:r>
    </w:p>
    <w:p>
      <w:pPr>
        <w:pStyle w:val="BodyText"/>
        <w:tabs>
          <w:tab w:pos="2511" w:val="left" w:leader="none"/>
        </w:tabs>
        <w:spacing w:line="211" w:lineRule="exact"/>
        <w:ind w:left="1131"/>
      </w:pPr>
      <w:r>
        <w:rPr/>
        <w:t>．．．．．</w:t>
        <w:tab/>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9"/>
        </w:rPr>
      </w:pPr>
    </w:p>
    <w:p>
      <w:pPr>
        <w:spacing w:line="458" w:lineRule="exact" w:before="0"/>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168;mso-wrap-distance-left:0;mso-wrap-distance-right:0" from="51.239517pt,7.477944pt" to="543.959506pt,7.477944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保险费的交付及宽限期</w:t>
        <w:tab/>
      </w:r>
    </w:p>
    <w:p>
      <w:pPr>
        <w:pStyle w:val="BodyText"/>
        <w:spacing w:line="273" w:lineRule="auto"/>
        <w:ind w:right="222" w:firstLine="419"/>
      </w:pPr>
      <w:r>
        <w:rPr>
          <w:spacing w:val="-5"/>
        </w:rPr>
        <w:t>您应当按照本附加合同约定向我们分期支付保险费。在您支付首期保险费后，应当在约定的保险费到</w:t>
      </w:r>
      <w:r>
        <w:rPr>
          <w:spacing w:val="-4"/>
        </w:rPr>
        <w:t>期日前支付续期保险费。</w:t>
      </w:r>
    </w:p>
    <w:p>
      <w:pPr>
        <w:pStyle w:val="BodyText"/>
        <w:spacing w:before="8"/>
        <w:ind w:left="632"/>
      </w:pPr>
      <w:r>
        <w:rPr/>
        <w:t>续期保险费应按本附加合同约定的方法及日期交付。如到期未交付的，自保险费到期日当日 </w:t>
      </w:r>
      <w:r>
        <w:rPr>
          <w:rFonts w:ascii="Arial" w:eastAsia="Arial"/>
        </w:rPr>
        <w:t>24 </w:t>
      </w:r>
      <w:r>
        <w:rPr/>
        <w:t>时起</w:t>
      </w:r>
    </w:p>
    <w:p>
      <w:pPr>
        <w:pStyle w:val="BodyText"/>
        <w:spacing w:line="271" w:lineRule="exact" w:before="21"/>
      </w:pPr>
      <w:r>
        <w:rPr>
          <w:rFonts w:ascii="Arial" w:eastAsia="Arial"/>
        </w:rPr>
        <w:t>60 </w:t>
      </w:r>
      <w:r>
        <w:rPr/>
        <w:t>日为宽限期。</w:t>
      </w:r>
    </w:p>
    <w:p>
      <w:pPr>
        <w:pStyle w:val="BodyText"/>
        <w:spacing w:line="403" w:lineRule="exact"/>
        <w:ind w:left="632"/>
      </w:pPr>
      <w:r>
        <w:rPr/>
        <w:pict>
          <v:shape style="position:absolute;margin-left:217.439804pt;margin-top:9.674677pt;width:10.6pt;height:10.6pt;mso-position-horizontal-relative:page;mso-position-vertical-relative:paragraph;z-index:-21688" type="#_x0000_t202" filled="false" stroked="false">
            <v:textbox inset="0,0,0,0">
              <w:txbxContent>
                <w:p>
                  <w:pPr>
                    <w:pStyle w:val="BodyText"/>
                    <w:spacing w:line="211" w:lineRule="exact"/>
                    <w:ind w:left="0"/>
                  </w:pPr>
                  <w:r>
                    <w:rPr>
                      <w:w w:val="100"/>
                    </w:rPr>
                    <w:t>．</w:t>
                  </w:r>
                </w:p>
              </w:txbxContent>
            </v:textbox>
            <w10:wrap type="none"/>
          </v:shape>
        </w:pict>
      </w:r>
      <w:r>
        <w:rPr>
          <w:spacing w:val="-3"/>
        </w:rPr>
        <w:t>宽限期内被保险人发生</w:t>
      </w:r>
      <w:r>
        <w:rPr>
          <w:rFonts w:ascii="Microsoft JhengHei" w:eastAsia="Microsoft JhengHei" w:hint="eastAsia"/>
          <w:b/>
          <w:spacing w:val="-149"/>
        </w:rPr>
        <w:t>保</w:t>
      </w:r>
      <w:r>
        <w:rPr>
          <w:spacing w:val="-63"/>
          <w:position w:val="-7"/>
        </w:rPr>
        <w:t>．</w:t>
      </w:r>
      <w:r>
        <w:rPr>
          <w:rFonts w:ascii="Microsoft JhengHei" w:eastAsia="Microsoft JhengHei" w:hint="eastAsia"/>
          <w:b/>
          <w:spacing w:val="-149"/>
        </w:rPr>
        <w:t>险</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position w:val="11"/>
          <w:sz w:val="16"/>
        </w:rPr>
        <w:t>14</w:t>
      </w:r>
      <w:r>
        <w:rPr>
          <w:spacing w:val="-3"/>
        </w:rPr>
        <w:t>的，我们仍会承担保险责任，但您应当补交应交的保险费。</w:t>
      </w:r>
    </w:p>
    <w:p>
      <w:pPr>
        <w:pStyle w:val="BodyText"/>
        <w:ind w:left="0"/>
        <w:rPr>
          <w:sz w:val="20"/>
        </w:rPr>
      </w:pPr>
    </w:p>
    <w:p>
      <w:pPr>
        <w:pStyle w:val="BodyText"/>
        <w:spacing w:before="4"/>
        <w:ind w:left="0"/>
        <w:rPr>
          <w:sz w:val="25"/>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垫交保险费</w:t>
        <w:tab/>
      </w:r>
    </w:p>
    <w:p>
      <w:pPr>
        <w:pStyle w:val="BodyText"/>
        <w:spacing w:line="274" w:lineRule="exact"/>
        <w:ind w:left="632"/>
      </w:pPr>
      <w:r>
        <w:rPr/>
        <w:t>本附加合同不单独提供垫交保险费选择。</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23" w:lineRule="exact" w:before="0" w:after="0"/>
        <w:ind w:left="937" w:right="0" w:hanging="725"/>
        <w:jc w:val="left"/>
      </w:pPr>
      <w:r>
        <w:rPr>
          <w:shd w:fill="E6E6E6" w:color="auto" w:val="clear"/>
        </w:rPr>
        <w:t>合同效力的中止</w:t>
        <w:tab/>
      </w:r>
    </w:p>
    <w:p>
      <w:pPr>
        <w:pStyle w:val="Heading3"/>
        <w:spacing w:line="273" w:lineRule="exact"/>
        <w:ind w:left="637"/>
      </w:pPr>
      <w:r>
        <w:rPr/>
        <w:t>除本附加合同另有约定外，您逾宽限期仍未交付续期保险费的，则本附加合同自宽限期期满当日的</w:t>
      </w:r>
    </w:p>
    <w:p>
      <w:pPr>
        <w:spacing w:line="318" w:lineRule="exact" w:before="0"/>
        <w:ind w:left="212" w:right="0" w:firstLine="0"/>
        <w:jc w:val="left"/>
        <w:rPr>
          <w:rFonts w:ascii="Microsoft JhengHei" w:eastAsia="Microsoft JhengHei" w:hint="eastAsia"/>
          <w:b/>
          <w:sz w:val="21"/>
        </w:rPr>
      </w:pPr>
      <w:r>
        <w:rPr>
          <w:rFonts w:ascii="Microsoft JhengHei" w:eastAsia="Microsoft JhengHei" w:hint="eastAsia"/>
          <w:b/>
          <w:sz w:val="21"/>
        </w:rPr>
        <w:t>24 时起中止效力。在合同效力中止期间，我们不承担保险责任。</w:t>
      </w:r>
    </w:p>
    <w:p>
      <w:pPr>
        <w:pStyle w:val="BodyText"/>
        <w:ind w:left="0"/>
        <w:rPr>
          <w:rFonts w:ascii="Microsoft JhengHei"/>
          <w:b/>
          <w:sz w:val="20"/>
        </w:rPr>
      </w:pPr>
    </w:p>
    <w:p>
      <w:pPr>
        <w:pStyle w:val="BodyText"/>
        <w:spacing w:before="9"/>
        <w:ind w:left="0"/>
        <w:rPr>
          <w:rFonts w:ascii="Microsoft JhengHei"/>
          <w:b/>
          <w:sz w:val="12"/>
        </w:rPr>
      </w:pPr>
    </w:p>
    <w:p>
      <w:pPr>
        <w:pStyle w:val="ListParagraph"/>
        <w:numPr>
          <w:ilvl w:val="1"/>
          <w:numId w:val="3"/>
        </w:numPr>
        <w:tabs>
          <w:tab w:pos="937" w:val="left" w:leader="none"/>
          <w:tab w:pos="938" w:val="left" w:leader="none"/>
          <w:tab w:pos="9879" w:val="left" w:leader="none"/>
        </w:tabs>
        <w:spacing w:line="356"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合同效力的恢复</w:t>
        <w:tab/>
      </w:r>
    </w:p>
    <w:p>
      <w:pPr>
        <w:pStyle w:val="BodyText"/>
        <w:spacing w:line="182" w:lineRule="auto" w:before="58"/>
        <w:ind w:right="226" w:firstLine="424"/>
      </w:pPr>
      <w:r>
        <w:rPr/>
        <w:pict>
          <v:shape style="position:absolute;margin-left:248.880249pt;margin-top:20.251366pt;width:21pt;height:10.6pt;mso-position-horizontal-relative:page;mso-position-vertical-relative:paragraph;z-index:-21664" type="#_x0000_t202" filled="false" stroked="false">
            <v:textbox inset="0,0,0,0">
              <w:txbxContent>
                <w:p>
                  <w:pPr>
                    <w:pStyle w:val="BodyText"/>
                    <w:spacing w:line="211" w:lineRule="exact"/>
                    <w:ind w:left="0"/>
                  </w:pPr>
                  <w:r>
                    <w:rPr>
                      <w:spacing w:val="-2"/>
                    </w:rPr>
                    <w:t>．．</w:t>
                  </w:r>
                </w:p>
              </w:txbxContent>
            </v:textbox>
            <w10:wrap type="none"/>
          </v:shape>
        </w:pict>
      </w:r>
      <w:r>
        <w:rPr>
          <w:spacing w:val="-6"/>
        </w:rPr>
        <w:t>本附加合同效力中止后 </w:t>
      </w:r>
      <w:r>
        <w:rPr>
          <w:rFonts w:ascii="Arial" w:eastAsia="Arial"/>
        </w:rPr>
        <w:t>2 </w:t>
      </w:r>
      <w:r>
        <w:rPr>
          <w:spacing w:val="-7"/>
        </w:rPr>
        <w:t>年内，您可以申请恢复合同效力。经我们与您协商并达成协议，在您补交欠</w:t>
      </w:r>
      <w:r>
        <w:rPr>
          <w:spacing w:val="-5"/>
        </w:rPr>
        <w:t>交的保险费</w:t>
      </w:r>
      <w:r>
        <w:rPr/>
        <w:t>（</w:t>
      </w:r>
      <w:r>
        <w:rPr>
          <w:spacing w:val="-3"/>
        </w:rPr>
        <w:t>包括自动垫交的保险费</w:t>
      </w:r>
      <w:r>
        <w:rPr/>
        <w:t>）</w:t>
      </w:r>
      <w:r>
        <w:rPr>
          <w:spacing w:val="-3"/>
        </w:rPr>
        <w:t>及</w:t>
      </w:r>
      <w:r>
        <w:rPr>
          <w:rFonts w:ascii="Microsoft JhengHei" w:eastAsia="Microsoft JhengHei" w:hint="eastAsia"/>
          <w:b/>
          <w:spacing w:val="-2"/>
        </w:rPr>
        <w:t>利息</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5</w:t>
      </w:r>
      <w:r>
        <w:rPr>
          <w:rFonts w:ascii="Times New Roman" w:eastAsia="Times New Roman"/>
          <w:b/>
          <w:vertAlign w:val="baseline"/>
        </w:rPr>
      </w:r>
      <w:r>
        <w:rPr>
          <w:spacing w:val="-3"/>
          <w:vertAlign w:val="baseline"/>
        </w:rPr>
        <w:t>、借款及利息之日，合同效力恢复。</w:t>
      </w:r>
    </w:p>
    <w:p>
      <w:pPr>
        <w:pStyle w:val="BodyText"/>
        <w:spacing w:line="182" w:lineRule="auto" w:before="111"/>
        <w:ind w:right="119" w:firstLine="424"/>
      </w:pPr>
      <w:r>
        <w:rPr/>
        <w:pict>
          <v:shape style="position:absolute;margin-left:238.319458pt;margin-top:22.901365pt;width:42.15pt;height:10.6pt;mso-position-horizontal-relative:page;mso-position-vertical-relative:paragraph;z-index:-21640" type="#_x0000_t202" filled="false" stroked="false">
            <v:textbox inset="0,0,0,0">
              <w:txbxContent>
                <w:p>
                  <w:pPr>
                    <w:pStyle w:val="BodyText"/>
                    <w:spacing w:line="211" w:lineRule="exact"/>
                    <w:ind w:left="0"/>
                  </w:pPr>
                  <w:r>
                    <w:rPr/>
                    <w:t>．．．．</w:t>
                  </w:r>
                </w:p>
              </w:txbxContent>
            </v:textbox>
            <w10:wrap type="none"/>
          </v:shape>
        </w:pict>
      </w:r>
      <w:r>
        <w:rPr/>
        <w:t>自本附加合同效力中止之日起满 </w:t>
      </w:r>
      <w:r>
        <w:rPr>
          <w:rFonts w:ascii="Arial" w:eastAsia="Arial"/>
        </w:rPr>
        <w:t>2 </w:t>
      </w:r>
      <w:r>
        <w:rPr/>
        <w:t>年您和我们未达成协议的，我们有权解除合同。我们解除合同的， 向您退还合同效力中止时本附加合同的</w:t>
      </w:r>
      <w:r>
        <w:rPr>
          <w:rFonts w:ascii="Microsoft JhengHei" w:eastAsia="Microsoft JhengHei" w:hint="eastAsia"/>
          <w:b/>
        </w:rPr>
        <w:t>现金价值</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6</w:t>
      </w:r>
      <w:r>
        <w:rPr>
          <w:rFonts w:ascii="Times New Roman" w:eastAsia="Times New Roman"/>
          <w:b/>
          <w:vertAlign w:val="baseline"/>
        </w:rPr>
      </w:r>
      <w:r>
        <w:rPr>
          <w:vertAlign w:val="baseline"/>
        </w:rPr>
        <w:t>。</w:t>
      </w:r>
    </w:p>
    <w:p>
      <w:pPr>
        <w:pStyle w:val="Heading3"/>
        <w:spacing w:before="68"/>
        <w:ind w:left="637"/>
      </w:pPr>
      <w:r>
        <w:rPr>
          <w:w w:val="95"/>
        </w:rPr>
        <w:t>我们对合同中止日至复效日期间所发Th的保险事故不承担保险责任。</w:t>
      </w:r>
    </w:p>
    <w:p>
      <w:pPr>
        <w:spacing w:after="0"/>
        <w:sectPr>
          <w:type w:val="continuous"/>
          <w:pgSz w:w="11900" w:h="16840"/>
          <w:pgMar w:top="1060" w:bottom="280" w:left="920" w:right="900"/>
        </w:sectPr>
      </w:pPr>
    </w:p>
    <w:p>
      <w:pPr>
        <w:pStyle w:val="BodyText"/>
        <w:ind w:left="0"/>
        <w:rPr>
          <w:rFonts w:ascii="Microsoft JhengHei"/>
          <w:b/>
          <w:sz w:val="20"/>
        </w:rPr>
      </w:pPr>
    </w:p>
    <w:p>
      <w:pPr>
        <w:pStyle w:val="BodyText"/>
        <w:spacing w:before="4"/>
        <w:ind w:left="0"/>
        <w:rPr>
          <w:rFonts w:ascii="Microsoft JhengHei"/>
          <w:b/>
          <w:sz w:val="1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合同的解除</w:t>
        <w:tab/>
      </w:r>
    </w:p>
    <w:p>
      <w:pPr>
        <w:pStyle w:val="BodyText"/>
        <w:spacing w:line="273" w:lineRule="auto"/>
        <w:ind w:left="632" w:right="1438" w:firstLine="2"/>
      </w:pPr>
      <w:r>
        <w:rPr/>
        <w:t>如您在犹豫期后申请解除本附加合同，请填写解除合同申请书并向我们提供下列资料： 一、保险合同原件；</w:t>
      </w:r>
    </w:p>
    <w:p>
      <w:pPr>
        <w:pStyle w:val="BodyText"/>
        <w:spacing w:before="8"/>
        <w:ind w:left="635"/>
      </w:pPr>
      <w:r>
        <w:rPr/>
        <w:t>二、您的有效身份证件。</w:t>
      </w:r>
    </w:p>
    <w:p>
      <w:pPr>
        <w:pStyle w:val="BodyText"/>
        <w:spacing w:before="36"/>
        <w:ind w:left="632"/>
      </w:pPr>
      <w:r>
        <w:rPr/>
        <w:t>自我们收到完整的解除合同申请材料之日 </w:t>
      </w:r>
      <w:r>
        <w:rPr>
          <w:rFonts w:ascii="Arial" w:eastAsia="Arial"/>
        </w:rPr>
        <w:t>24 </w:t>
      </w:r>
      <w:r>
        <w:rPr/>
        <w:t>时起，本附加合同效力终止。我们自收到完整的解除合</w:t>
      </w:r>
    </w:p>
    <w:p>
      <w:pPr>
        <w:pStyle w:val="BodyText"/>
        <w:spacing w:before="21"/>
      </w:pPr>
      <w:r>
        <w:rPr/>
        <w:t>同申请材料之日起 </w:t>
      </w:r>
      <w:r>
        <w:rPr>
          <w:rFonts w:ascii="Arial" w:eastAsia="Arial"/>
        </w:rPr>
        <w:t>10 </w:t>
      </w:r>
      <w:r>
        <w:rPr/>
        <w:t>日内向您退还本附加合同的现金价值。</w:t>
      </w:r>
    </w:p>
    <w:p>
      <w:pPr>
        <w:pStyle w:val="Heading3"/>
        <w:spacing w:before="27"/>
        <w:ind w:left="632"/>
      </w:pPr>
      <w:r>
        <w:rPr/>
        <w:t>您在犹豫期后解除合同会受到一定损失。</w:t>
      </w:r>
    </w:p>
    <w:p>
      <w:pPr>
        <w:pStyle w:val="BodyText"/>
        <w:spacing w:line="237" w:lineRule="auto" w:before="71"/>
        <w:ind w:left="635" w:right="4589" w:hanging="1"/>
      </w:pPr>
      <w:r>
        <w:rPr/>
        <w:t>发生下列情况之一的，我们按解除本附加合同处理： 一、您解除主合同；</w:t>
      </w:r>
    </w:p>
    <w:p>
      <w:pPr>
        <w:pStyle w:val="BodyText"/>
        <w:ind w:left="635" w:right="182" w:hanging="1"/>
      </w:pPr>
      <w:r>
        <w:rPr/>
        <w:t>二、您解除保险单上所载明有相对应约定责任的附加合同，则本附加合同与之对应的部分视为退保； 三、主合同的被保险人身故；</w:t>
      </w:r>
    </w:p>
    <w:p>
      <w:pPr>
        <w:pStyle w:val="BodyText"/>
        <w:spacing w:line="271" w:lineRule="exact" w:before="4"/>
        <w:ind w:left="635"/>
      </w:pPr>
      <w:r>
        <w:rPr/>
        <w:t>四、本附加合同的被保险人身故；</w:t>
      </w:r>
    </w:p>
    <w:p>
      <w:pPr>
        <w:pStyle w:val="BodyText"/>
        <w:spacing w:line="272" w:lineRule="exact"/>
        <w:ind w:left="635"/>
      </w:pPr>
      <w:r>
        <w:rPr/>
        <w:t>五、保险单上所载明有相对应约定责任的合同的保险费已开始被豁免；</w:t>
      </w:r>
    </w:p>
    <w:p>
      <w:pPr>
        <w:pStyle w:val="BodyText"/>
        <w:spacing w:line="288" w:lineRule="exact"/>
        <w:ind w:left="635"/>
      </w:pPr>
      <w:r>
        <w:rPr/>
        <w:t>六、本附加合同自效力中止之日起满两年，且未能按本附加合同第 </w:t>
      </w:r>
      <w:r>
        <w:rPr>
          <w:rFonts w:ascii="Arial" w:eastAsia="Arial"/>
        </w:rPr>
        <w:t>2.4 </w:t>
      </w:r>
      <w:r>
        <w:rPr/>
        <w:t>条办理复效的。</w:t>
      </w:r>
    </w:p>
    <w:p>
      <w:pPr>
        <w:pStyle w:val="BodyText"/>
        <w:ind w:left="0"/>
        <w:rPr>
          <w:sz w:val="20"/>
        </w:rPr>
      </w:pPr>
    </w:p>
    <w:p>
      <w:pPr>
        <w:pStyle w:val="BodyText"/>
        <w:spacing w:before="12"/>
        <w:ind w:left="0"/>
        <w:rPr>
          <w:sz w:val="23"/>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合同效力的终止</w:t>
        <w:tab/>
      </w:r>
    </w:p>
    <w:p>
      <w:pPr>
        <w:pStyle w:val="BodyText"/>
        <w:spacing w:line="274" w:lineRule="exact"/>
        <w:ind w:left="635"/>
      </w:pPr>
      <w:r>
        <w:rPr/>
        <w:t>发生下列情况之一时，本附加合同效力终止：</w:t>
      </w:r>
    </w:p>
    <w:p>
      <w:pPr>
        <w:pStyle w:val="BodyText"/>
        <w:spacing w:line="237" w:lineRule="auto" w:before="18"/>
        <w:ind w:left="632" w:right="4380" w:hanging="1"/>
      </w:pPr>
      <w:r>
        <w:rPr/>
        <w:t>一、您于合同有效期内向我们申请解除本附加合同的； 二、主合同效力终止时；</w:t>
      </w:r>
    </w:p>
    <w:p>
      <w:pPr>
        <w:pStyle w:val="BodyText"/>
        <w:spacing w:line="272" w:lineRule="exact"/>
        <w:ind w:left="632"/>
      </w:pPr>
      <w:r>
        <w:rPr/>
        <w:t>三、本附加合同的被保险人身故时；</w:t>
      </w:r>
    </w:p>
    <w:p>
      <w:pPr>
        <w:pStyle w:val="BodyText"/>
        <w:spacing w:line="280" w:lineRule="exact"/>
        <w:ind w:left="632"/>
      </w:pPr>
      <w:r>
        <w:rPr/>
        <w:t>四、本附加合同保险期间届满当日 </w:t>
      </w:r>
      <w:r>
        <w:rPr>
          <w:rFonts w:ascii="Arial" w:eastAsia="Arial"/>
        </w:rPr>
        <w:t>24 </w:t>
      </w:r>
      <w:r>
        <w:rPr/>
        <w:t>时；</w:t>
      </w:r>
    </w:p>
    <w:p>
      <w:pPr>
        <w:pStyle w:val="BodyText"/>
        <w:spacing w:line="230" w:lineRule="auto" w:before="2"/>
        <w:ind w:left="632" w:right="2909"/>
      </w:pPr>
      <w:r>
        <w:rPr>
          <w:spacing w:val="-3"/>
        </w:rPr>
        <w:t>五、保险单上所载明有相对应约定责任的合同的保险费已开始被豁免； </w:t>
      </w:r>
      <w:r>
        <w:rPr>
          <w:spacing w:val="-4"/>
        </w:rPr>
        <w:t>六、本附加合同效力中止且未能按本附加合同第 </w:t>
      </w:r>
      <w:r>
        <w:rPr>
          <w:rFonts w:ascii="Arial" w:eastAsia="Arial"/>
        </w:rPr>
        <w:t>2.4</w:t>
      </w:r>
      <w:r>
        <w:rPr>
          <w:rFonts w:ascii="Arial" w:eastAsia="Arial"/>
          <w:spacing w:val="27"/>
        </w:rPr>
        <w:t> </w:t>
      </w:r>
      <w:r>
        <w:rPr>
          <w:spacing w:val="-3"/>
        </w:rPr>
        <w:t>条办理复效的； 七、本附加合同约定的其他效力终止的情况。</w:t>
      </w:r>
    </w:p>
    <w:p>
      <w:pPr>
        <w:pStyle w:val="BodyText"/>
        <w:ind w:left="0"/>
        <w:rPr>
          <w:sz w:val="20"/>
        </w:rPr>
      </w:pPr>
    </w:p>
    <w:p>
      <w:pPr>
        <w:pStyle w:val="BodyText"/>
        <w:spacing w:before="11"/>
        <w:ind w:left="0"/>
        <w:rPr>
          <w:sz w:val="2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受益人的指定</w:t>
        <w:tab/>
      </w:r>
    </w:p>
    <w:p>
      <w:pPr>
        <w:pStyle w:val="BodyText"/>
        <w:spacing w:line="274" w:lineRule="exact"/>
        <w:ind w:left="632"/>
      </w:pPr>
      <w:r>
        <w:rPr/>
        <w:t>除有特殊约定，本附加合同的受益人为被保险人本人。</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34" w:lineRule="exact" w:before="0" w:after="0"/>
        <w:ind w:left="937" w:right="0" w:hanging="725"/>
        <w:jc w:val="left"/>
      </w:pPr>
      <w:r>
        <w:rPr>
          <w:shd w:fill="E6E6E6" w:color="auto" w:val="clear"/>
        </w:rPr>
        <w:t>保险事故的通知</w:t>
        <w:tab/>
      </w:r>
    </w:p>
    <w:p>
      <w:pPr>
        <w:pStyle w:val="Heading3"/>
        <w:spacing w:line="204" w:lineRule="auto" w:before="20"/>
        <w:ind w:right="206" w:firstLine="422"/>
        <w:jc w:val="both"/>
      </w:pPr>
      <w:r>
        <w:rPr>
          <w:spacing w:val="-2"/>
        </w:rPr>
        <w:t>您、被保险人或受益人应于知道保险事故发</w:t>
      </w:r>
      <w:r>
        <w:rPr/>
        <w:t>Th</w:t>
      </w:r>
      <w:r>
        <w:rPr>
          <w:spacing w:val="-1"/>
        </w:rPr>
        <w:t>之日起 </w:t>
      </w:r>
      <w:r>
        <w:rPr/>
        <w:t>10</w:t>
      </w:r>
      <w:r>
        <w:rPr>
          <w:spacing w:val="-3"/>
        </w:rPr>
        <w:t> 日内通知我们。如果您、被保险人或受益人</w:t>
      </w:r>
      <w:r>
        <w:rPr>
          <w:spacing w:val="-7"/>
        </w:rPr>
        <w:t>故意或者因重大过失未及时通知，致使保险事故的性质、原因、损失程度等难以确定的，我们对无法确定</w:t>
      </w:r>
      <w:r>
        <w:rPr>
          <w:spacing w:val="-10"/>
        </w:rPr>
        <w:t>的部分，不承担保险责任，但我们通过其他途径已经及时知道或者应当及时知道保险事故发</w:t>
      </w:r>
      <w:r>
        <w:rPr/>
        <w:t>Th</w:t>
      </w:r>
      <w:r>
        <w:rPr>
          <w:spacing w:val="-3"/>
        </w:rPr>
        <w:t>或者虽未及时通知但不影响我们确定保险事故的性质、原因、损失程度的除外。</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56"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豁免保险费的申请</w:t>
        <w:tab/>
      </w:r>
    </w:p>
    <w:p>
      <w:pPr>
        <w:pStyle w:val="BodyText"/>
        <w:ind w:left="229" w:right="202" w:firstLine="405"/>
      </w:pPr>
      <w:r>
        <w:rPr>
          <w:spacing w:val="-6"/>
        </w:rPr>
        <w:t>一、本附加合同有效期内，被保险人被确诊患有重大疾病的，由被保险人作为申请人填写保险金给付</w:t>
      </w:r>
      <w:r>
        <w:rPr>
          <w:spacing w:val="-4"/>
        </w:rPr>
        <w:t>申请书，并向我们提供下列证明文件、资料原件：</w:t>
      </w:r>
    </w:p>
    <w:p>
      <w:pPr>
        <w:pStyle w:val="BodyText"/>
        <w:spacing w:line="279" w:lineRule="exact" w:before="11"/>
        <w:ind w:left="932"/>
      </w:pPr>
      <w:r>
        <w:rPr>
          <w:rFonts w:ascii="Times New Roman" w:eastAsia="Times New Roman"/>
        </w:rPr>
        <w:t>1</w:t>
      </w:r>
      <w:r>
        <w:rPr/>
        <w:t>、保险合同；</w:t>
      </w:r>
    </w:p>
    <w:p>
      <w:pPr>
        <w:pStyle w:val="BodyText"/>
        <w:spacing w:line="239" w:lineRule="exact"/>
        <w:ind w:left="932"/>
      </w:pPr>
      <w:r>
        <w:rPr>
          <w:rFonts w:ascii="Times New Roman" w:eastAsia="Times New Roman"/>
        </w:rPr>
        <w:t>2</w:t>
      </w:r>
      <w:r>
        <w:rPr/>
        <w:t>、被保险人的有效身份证件；</w:t>
      </w:r>
    </w:p>
    <w:p>
      <w:pPr>
        <w:pStyle w:val="BodyText"/>
        <w:spacing w:line="322" w:lineRule="exact"/>
        <w:ind w:left="932"/>
      </w:pPr>
      <w:r>
        <w:rPr/>
        <w:pict>
          <v:shape style="position:absolute;margin-left:111.478722pt;margin-top:8.451599pt;width:21.15pt;height:10.6pt;mso-position-horizontal-relative:page;mso-position-vertical-relative:paragraph;z-index:-21616"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3</w:t>
      </w:r>
      <w:r>
        <w:rPr/>
        <w:t>、</w:t>
      </w:r>
      <w:r>
        <w:rPr>
          <w:rFonts w:ascii="Microsoft JhengHei" w:eastAsia="Microsoft JhengHei" w:hint="eastAsia"/>
          <w:b/>
        </w:rPr>
        <w:t>医院</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7</w:t>
      </w:r>
      <w:r>
        <w:rPr>
          <w:rFonts w:ascii="Times New Roman" w:eastAsia="Times New Roman"/>
          <w:b/>
          <w:vertAlign w:val="baseline"/>
        </w:rPr>
      </w:r>
      <w:r>
        <w:rPr>
          <w:vertAlign w:val="baseline"/>
        </w:rPr>
        <w:t>出具的病历、必要病理检验、血液检验及其他科学诊断报告、诊断书；</w:t>
      </w:r>
    </w:p>
    <w:p>
      <w:pPr>
        <w:pStyle w:val="BodyText"/>
        <w:spacing w:line="300" w:lineRule="auto" w:before="41"/>
        <w:ind w:left="632" w:right="614" w:firstLine="300"/>
      </w:pPr>
      <w:r>
        <w:rPr>
          <w:rFonts w:ascii="Times New Roman" w:eastAsia="Times New Roman"/>
        </w:rPr>
        <w:t>4</w:t>
      </w:r>
      <w:r>
        <w:rPr/>
        <w:t>、被保险人所能提供的与确认保险事故的性质、原因、伤害程度等有关的其他证明和资料。二、以上证明和资料不完整的，我们将及时一次性通知申请人补充提供有关证明和资料。</w:t>
      </w:r>
    </w:p>
    <w:p>
      <w:pPr>
        <w:pStyle w:val="BodyText"/>
        <w:spacing w:before="39"/>
        <w:ind w:left="632"/>
      </w:pPr>
      <w:r>
        <w:rPr/>
        <w:t>三、受益人为无民事行为能力人或限制民事行为能力人的，由其父母或监护人作为申请人向我们申请</w:t>
      </w:r>
    </w:p>
    <w:p>
      <w:pPr>
        <w:spacing w:after="0"/>
        <w:sectPr>
          <w:headerReference w:type="default" r:id="rId11"/>
          <w:pgSz w:w="11900" w:h="16840"/>
          <w:pgMar w:header="892" w:footer="547" w:top="108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pPr>
      <w:r>
        <w:rPr/>
        <w:t>豁免保险费。</w:t>
      </w:r>
    </w:p>
    <w:p>
      <w:pPr>
        <w:pStyle w:val="BodyText"/>
        <w:ind w:left="0"/>
        <w:rPr>
          <w:sz w:val="20"/>
        </w:rPr>
      </w:pPr>
    </w:p>
    <w:p>
      <w:pPr>
        <w:pStyle w:val="BodyText"/>
        <w:spacing w:before="1"/>
        <w:ind w:left="0"/>
        <w:rPr>
          <w:sz w:val="25"/>
        </w:rPr>
      </w:pPr>
    </w:p>
    <w:p>
      <w:pPr>
        <w:pStyle w:val="Heading2"/>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豁免保险费的履行</w:t>
        <w:tab/>
      </w:r>
    </w:p>
    <w:p>
      <w:pPr>
        <w:pStyle w:val="BodyText"/>
        <w:spacing w:line="266" w:lineRule="auto"/>
        <w:ind w:left="200" w:right="101" w:firstLine="432"/>
      </w:pPr>
      <w:r>
        <w:rPr>
          <w:spacing w:val="-7"/>
        </w:rPr>
        <w:t>我们在收到保险金给付申请书及合同约定的证明和资料后，将在 </w:t>
      </w:r>
      <w:r>
        <w:rPr>
          <w:rFonts w:ascii="Arial" w:eastAsia="Arial"/>
        </w:rPr>
        <w:t>5 </w:t>
      </w:r>
      <w:r>
        <w:rPr>
          <w:spacing w:val="-14"/>
        </w:rPr>
        <w:t>日内作出核定；情形复杂的，在 </w:t>
      </w:r>
      <w:r>
        <w:rPr>
          <w:rFonts w:ascii="Arial" w:eastAsia="Arial"/>
        </w:rPr>
        <w:t>30 </w:t>
      </w:r>
      <w:r>
        <w:rPr>
          <w:spacing w:val="-15"/>
        </w:rPr>
        <w:t>日内作出核定</w:t>
      </w:r>
      <w:r>
        <w:rPr>
          <w:spacing w:val="-3"/>
        </w:rPr>
        <w:t>（</w:t>
      </w:r>
      <w:r>
        <w:rPr>
          <w:spacing w:val="-15"/>
        </w:rPr>
        <w:t>若需补充资料，计算期间将扣除您、被保险人或者受益人补充提供有关证明和资料的期间</w:t>
      </w:r>
      <w:r>
        <w:rPr>
          <w:spacing w:val="-108"/>
        </w:rPr>
        <w:t>）</w:t>
      </w:r>
      <w:r>
        <w:rPr/>
        <w:t>。</w:t>
      </w:r>
      <w:r>
        <w:rPr>
          <w:spacing w:val="-4"/>
        </w:rPr>
        <w:t>对属于保险责任的，我们在与受益人达成豁免保险费的协议后 </w:t>
      </w:r>
      <w:r>
        <w:rPr>
          <w:rFonts w:ascii="Arial" w:eastAsia="Arial"/>
        </w:rPr>
        <w:t>10 </w:t>
      </w:r>
      <w:r>
        <w:rPr>
          <w:spacing w:val="-3"/>
        </w:rPr>
        <w:t>日内，履行豁免保险费的义务。</w:t>
      </w:r>
    </w:p>
    <w:p>
      <w:pPr>
        <w:pStyle w:val="BodyText"/>
        <w:spacing w:line="271" w:lineRule="exact"/>
        <w:ind w:left="635"/>
      </w:pPr>
      <w:r>
        <w:rPr/>
        <w:t>我们未及时履行前款规定义务的，除豁免保险费外，应当赔偿受益人因此受到的损失。</w:t>
      </w:r>
    </w:p>
    <w:p>
      <w:pPr>
        <w:pStyle w:val="BodyText"/>
        <w:spacing w:before="36"/>
        <w:ind w:left="659"/>
      </w:pPr>
      <w:r>
        <w:rPr/>
        <w:t>对不属于保险责任的，我们自作出核定之日起 </w:t>
      </w:r>
      <w:r>
        <w:rPr>
          <w:rFonts w:ascii="Arial" w:eastAsia="Arial"/>
        </w:rPr>
        <w:t>3 </w:t>
      </w:r>
      <w:r>
        <w:rPr/>
        <w:t>日内向受益人发出拒绝豁免保险费通知书并说明理</w:t>
      </w:r>
    </w:p>
    <w:p>
      <w:pPr>
        <w:pStyle w:val="BodyText"/>
        <w:spacing w:before="21"/>
      </w:pPr>
      <w:r>
        <w:rPr/>
        <w:t>由。</w:t>
      </w:r>
    </w:p>
    <w:p>
      <w:pPr>
        <w:pStyle w:val="BodyText"/>
        <w:ind w:left="0"/>
        <w:rPr>
          <w:sz w:val="20"/>
        </w:rPr>
      </w:pPr>
    </w:p>
    <w:p>
      <w:pPr>
        <w:pStyle w:val="BodyText"/>
        <w:spacing w:before="4"/>
        <w:ind w:left="0"/>
        <w:rPr>
          <w:sz w:val="26"/>
        </w:rPr>
      </w:pPr>
    </w:p>
    <w:p>
      <w:pPr>
        <w:pStyle w:val="Heading2"/>
        <w:numPr>
          <w:ilvl w:val="1"/>
          <w:numId w:val="3"/>
        </w:numPr>
        <w:tabs>
          <w:tab w:pos="1059" w:val="left" w:leader="none"/>
          <w:tab w:pos="1060" w:val="left" w:leader="none"/>
          <w:tab w:pos="9879" w:val="left" w:leader="none"/>
        </w:tabs>
        <w:spacing w:line="356" w:lineRule="exact" w:before="0" w:after="0"/>
        <w:ind w:left="1059" w:right="0" w:hanging="847"/>
        <w:jc w:val="left"/>
      </w:pPr>
      <w:r>
        <w:rPr>
          <w:shd w:fill="E6E6E6" w:color="auto" w:val="clear"/>
        </w:rPr>
        <w:t>诉讼时效</w:t>
        <w:tab/>
      </w:r>
    </w:p>
    <w:p>
      <w:pPr>
        <w:pStyle w:val="BodyText"/>
        <w:spacing w:line="278" w:lineRule="exact"/>
        <w:ind w:left="632"/>
      </w:pPr>
      <w:r>
        <w:rPr/>
        <w:t>受益人向我们请求豁免保险费的诉讼时效期间为 </w:t>
      </w:r>
      <w:r>
        <w:rPr>
          <w:rFonts w:ascii="Arial" w:eastAsia="Arial"/>
        </w:rPr>
        <w:t>2 </w:t>
      </w:r>
      <w:r>
        <w:rPr/>
        <w:t>年，自其知道或者应当知道保险事故发生之日起计</w:t>
      </w:r>
    </w:p>
    <w:p>
      <w:pPr>
        <w:pStyle w:val="BodyText"/>
        <w:spacing w:line="256" w:lineRule="exact"/>
        <w:ind w:left="200"/>
      </w:pPr>
      <w:r>
        <w:rPr/>
        <w:t>算。</w:t>
      </w:r>
    </w:p>
    <w:p>
      <w:pPr>
        <w:pStyle w:val="BodyText"/>
        <w:ind w:left="0"/>
        <w:rPr>
          <w:sz w:val="20"/>
        </w:rPr>
      </w:pPr>
    </w:p>
    <w:p>
      <w:pPr>
        <w:pStyle w:val="BodyText"/>
        <w:spacing w:before="1"/>
        <w:ind w:left="0"/>
        <w:rPr>
          <w:sz w:val="25"/>
        </w:rPr>
      </w:pPr>
    </w:p>
    <w:p>
      <w:pPr>
        <w:pStyle w:val="Heading2"/>
        <w:numPr>
          <w:ilvl w:val="1"/>
          <w:numId w:val="3"/>
        </w:numPr>
        <w:tabs>
          <w:tab w:pos="1059" w:val="left" w:leader="none"/>
          <w:tab w:pos="1060" w:val="left" w:leader="none"/>
          <w:tab w:pos="9879" w:val="left" w:leader="none"/>
        </w:tabs>
        <w:spacing w:line="334" w:lineRule="exact" w:before="0" w:after="0"/>
        <w:ind w:left="1059" w:right="0" w:hanging="847"/>
        <w:jc w:val="left"/>
      </w:pPr>
      <w:r>
        <w:rPr>
          <w:shd w:fill="E6E6E6" w:color="auto" w:val="clear"/>
        </w:rPr>
        <w:t>如实告知</w:t>
        <w:tab/>
      </w:r>
    </w:p>
    <w:p>
      <w:pPr>
        <w:pStyle w:val="Heading3"/>
        <w:spacing w:line="305" w:lineRule="exact"/>
        <w:ind w:left="635"/>
      </w:pPr>
      <w:r>
        <w:rPr/>
        <w:t>订立本附加合同时，我们应向您说明本附加合同的内容。</w:t>
      </w:r>
    </w:p>
    <w:p>
      <w:pPr>
        <w:spacing w:line="204" w:lineRule="auto" w:before="28"/>
        <w:ind w:left="212" w:right="20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8"/>
          <w:w w:val="95"/>
          <w:sz w:val="21"/>
        </w:rPr>
        <w:t>说明的，该条款不产</w:t>
      </w:r>
      <w:r>
        <w:rPr>
          <w:rFonts w:ascii="Microsoft JhengHei" w:eastAsia="Microsoft JhengHei" w:hint="eastAsia"/>
          <w:b/>
          <w:w w:val="95"/>
          <w:sz w:val="21"/>
        </w:rPr>
        <w:t>Th</w:t>
      </w:r>
      <w:r>
        <w:rPr>
          <w:rFonts w:ascii="Microsoft JhengHei" w:eastAsia="Microsoft JhengHei" w:hint="eastAsia"/>
          <w:b/>
          <w:spacing w:val="-2"/>
          <w:w w:val="95"/>
          <w:sz w:val="21"/>
        </w:rPr>
        <w:t>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如果您故意或者因重大过失未履行前款规定的如实告知义务，足以影响我们决定是否同意承保或者提高保险费率的，我们有权解除本附加合同。</w:t>
      </w:r>
    </w:p>
    <w:p>
      <w:pPr>
        <w:spacing w:line="204" w:lineRule="auto" w:before="1"/>
        <w:ind w:left="212" w:right="204" w:firstLine="422"/>
        <w:jc w:val="left"/>
        <w:rPr>
          <w:rFonts w:ascii="Microsoft JhengHei" w:eastAsia="Microsoft JhengHei" w:hint="eastAsia"/>
          <w:b/>
          <w:sz w:val="21"/>
        </w:rPr>
      </w:pPr>
      <w:r>
        <w:rPr>
          <w:rFonts w:ascii="Microsoft JhengHei" w:eastAsia="Microsoft JhengHei" w:hint="eastAsia"/>
          <w:b/>
          <w:spacing w:val="-4"/>
          <w:sz w:val="21"/>
        </w:rPr>
        <w:t>如果您故意不履行如实告知义务，对于本附加合同解除前发</w:t>
      </w:r>
      <w:r>
        <w:rPr>
          <w:rFonts w:ascii="Microsoft JhengHei" w:eastAsia="Microsoft JhengHei" w:hint="eastAsia"/>
          <w:b/>
          <w:sz w:val="21"/>
        </w:rPr>
        <w:t>Th</w:t>
      </w:r>
      <w:r>
        <w:rPr>
          <w:rFonts w:ascii="Microsoft JhengHei" w:eastAsia="Microsoft JhengHei" w:hint="eastAsia"/>
          <w:b/>
          <w:spacing w:val="-6"/>
          <w:sz w:val="21"/>
        </w:rPr>
        <w:t>的保险事故，我们不承担豁免保险费的责任，并不退还保险费。</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如果您因重大过失未履行如实告知义务，对保险事故的发Th有严重影响的，对于本附加合同解除前发</w:t>
      </w:r>
    </w:p>
    <w:p>
      <w:pPr>
        <w:spacing w:line="312" w:lineRule="exact" w:before="0"/>
        <w:ind w:left="212"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Th的保险事故，我们不承担豁免保险费的责任，但应当退还保险费。</w:t>
      </w:r>
    </w:p>
    <w:p>
      <w:pPr>
        <w:spacing w:line="204" w:lineRule="auto" w:before="27"/>
        <w:ind w:left="212" w:right="139" w:firstLine="422"/>
        <w:jc w:val="left"/>
        <w:rPr>
          <w:rFonts w:ascii="Microsoft JhengHei" w:eastAsia="Microsoft JhengHei" w:hint="eastAsia"/>
          <w:b/>
          <w:sz w:val="21"/>
        </w:rPr>
      </w:pPr>
      <w:r>
        <w:rPr>
          <w:rFonts w:ascii="Microsoft JhengHei" w:eastAsia="Microsoft JhengHei" w:hint="eastAsia"/>
          <w:b/>
          <w:sz w:val="21"/>
        </w:rPr>
        <w:t>我们在合同订立时已经知道您未如实告知的情况的，我们不得解除合同；发Th保险事故的，我们承担豁免保险费的责任。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日不行使而消灭。自本附加合同成</w:t>
      </w:r>
    </w:p>
    <w:p>
      <w:pPr>
        <w:pStyle w:val="BodyText"/>
        <w:spacing w:before="22"/>
      </w:pPr>
      <w:r>
        <w:rPr/>
        <w:t>立之日起超过 </w:t>
      </w:r>
      <w:r>
        <w:rPr>
          <w:rFonts w:ascii="Arial" w:eastAsia="Arial"/>
        </w:rPr>
        <w:t>2 </w:t>
      </w:r>
      <w:r>
        <w:rPr/>
        <w:t>年的，我们不得解除合同；发生保险事故的，我们承担保险责任。</w:t>
      </w:r>
    </w:p>
    <w:p>
      <w:pPr>
        <w:pStyle w:val="BodyText"/>
        <w:ind w:left="0"/>
        <w:rPr>
          <w:sz w:val="20"/>
        </w:rPr>
      </w:pPr>
    </w:p>
    <w:p>
      <w:pPr>
        <w:pStyle w:val="BodyText"/>
        <w:spacing w:before="3"/>
        <w:ind w:left="0"/>
        <w:rPr>
          <w:sz w:val="25"/>
        </w:rPr>
      </w:pPr>
    </w:p>
    <w:p>
      <w:pPr>
        <w:pStyle w:val="Heading2"/>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年龄及性别的确定与错误处理</w:t>
        <w:tab/>
      </w:r>
    </w:p>
    <w:p>
      <w:pPr>
        <w:pStyle w:val="BodyText"/>
        <w:spacing w:line="274" w:lineRule="exact"/>
        <w:ind w:left="635"/>
      </w:pPr>
      <w:r>
        <w:rPr/>
        <w:t>一、被保险人的年龄以周岁计算。</w:t>
      </w:r>
    </w:p>
    <w:p>
      <w:pPr>
        <w:pStyle w:val="BodyText"/>
        <w:spacing w:before="130"/>
        <w:ind w:left="627"/>
      </w:pPr>
      <w:r>
        <w:rPr/>
        <w:t>二、您在申请投保时，应将与有效身份证件相符的被保险人的年龄及性别在投保单上写明。</w:t>
      </w:r>
    </w:p>
    <w:p>
      <w:pPr>
        <w:pStyle w:val="BodyText"/>
        <w:spacing w:line="271" w:lineRule="auto" w:before="130"/>
        <w:ind w:left="217" w:right="202" w:firstLine="400"/>
      </w:pPr>
      <w:r>
        <w:rPr>
          <w:spacing w:val="-5"/>
        </w:rPr>
        <w:t>三、如果您申报的被保险人年龄不真实，并且其真实年龄不符合我们规定的投保年龄限制的，我们可以解除合同，并退还现金价值。我们行使合同解除权时，适用于本附加合同第 </w:t>
      </w:r>
      <w:r>
        <w:rPr>
          <w:rFonts w:ascii="Arial" w:eastAsia="Arial"/>
        </w:rPr>
        <w:t>2.13 </w:t>
      </w:r>
      <w:r>
        <w:rPr>
          <w:spacing w:val="-3"/>
        </w:rPr>
        <w:t>条的规定。</w:t>
      </w:r>
    </w:p>
    <w:p>
      <w:pPr>
        <w:pStyle w:val="Heading3"/>
        <w:spacing w:line="339" w:lineRule="exact" w:before="18"/>
        <w:ind w:left="627"/>
      </w:pPr>
      <w:r>
        <w:rPr/>
        <w:t>四、如果您申报的被保险人年龄或性别不真实，我们可以根据其真实年龄或性别进行如下调整：</w:t>
      </w:r>
    </w:p>
    <w:p>
      <w:pPr>
        <w:spacing w:line="204" w:lineRule="auto" w:before="27"/>
        <w:ind w:left="1273" w:right="206" w:hanging="322"/>
        <w:jc w:val="left"/>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7"/>
          <w:sz w:val="21"/>
        </w:rPr>
        <w:t>、您申报的被保险人年龄或性别不真实，致使实交保险费少于应交保险费的，我们有权更正并要求您补交保险费。</w:t>
      </w:r>
    </w:p>
    <w:p>
      <w:pPr>
        <w:spacing w:after="0" w:line="204" w:lineRule="auto"/>
        <w:jc w:val="left"/>
        <w:rPr>
          <w:rFonts w:ascii="Microsoft JhengHei" w:eastAsia="Microsoft JhengHei" w:hint="eastAsia"/>
          <w:sz w:val="21"/>
        </w:rPr>
        <w:sectPr>
          <w:headerReference w:type="default" r:id="rId12"/>
          <w:pgSz w:w="11900" w:h="16840"/>
          <w:pgMar w:header="844" w:footer="547" w:top="1040" w:bottom="740" w:left="920" w:right="92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spacing w:line="204" w:lineRule="auto" w:before="4"/>
        <w:ind w:left="1273" w:right="224" w:hanging="322"/>
        <w:jc w:val="left"/>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spacing w:val="-5"/>
          <w:w w:val="100"/>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22" w:firstLine="420"/>
      </w:pPr>
      <w:r>
        <w:rPr>
          <w:spacing w:val="-6"/>
        </w:rPr>
        <w:t>在本附加合同有效期内，您申请变更本附加合同的有关内容，经我们审核同意后，应当由我们在保险</w:t>
      </w:r>
      <w:r>
        <w:rPr>
          <w:spacing w:val="-4"/>
        </w:rPr>
        <w:t>单或者其他保险凭证上批注或者附贴批单，或者由您和我们订立变更合同内容的书面协议。</w:t>
      </w:r>
    </w:p>
    <w:p>
      <w:pPr>
        <w:pStyle w:val="BodyText"/>
        <w:ind w:left="0"/>
        <w:rPr>
          <w:sz w:val="20"/>
        </w:rPr>
      </w:pPr>
    </w:p>
    <w:p>
      <w:pPr>
        <w:pStyle w:val="BodyText"/>
        <w:spacing w:before="3"/>
        <w:ind w:left="0"/>
        <w:rPr>
          <w:sz w:val="24"/>
        </w:rPr>
      </w:pPr>
    </w:p>
    <w:p>
      <w:pPr>
        <w:pStyle w:val="Heading2"/>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联系方式的变更</w:t>
        <w:tab/>
      </w:r>
    </w:p>
    <w:p>
      <w:pPr>
        <w:pStyle w:val="BodyText"/>
        <w:spacing w:line="273" w:lineRule="auto"/>
        <w:ind w:right="118" w:firstLine="420"/>
      </w:pPr>
      <w:r>
        <w:rPr>
          <w:spacing w:val="-6"/>
        </w:rPr>
        <w:t>您的住所、通讯地址或电话等联系方式变更时，应及时以书面或双方认可的其他形式通知我们。您未以书面或双方认可的其他形式通知的，我们按保险单</w:t>
      </w:r>
      <w:r>
        <w:rPr/>
        <w:t>/</w:t>
      </w:r>
      <w:r>
        <w:rPr>
          <w:spacing w:val="-3"/>
        </w:rPr>
        <w:t>附贴批单所载最后住所或通讯地址发送的有关通知， 均视为已送达您。</w:t>
      </w:r>
    </w:p>
    <w:p>
      <w:pPr>
        <w:pStyle w:val="BodyText"/>
        <w:ind w:left="0"/>
        <w:rPr>
          <w:sz w:val="20"/>
        </w:rPr>
      </w:pPr>
    </w:p>
    <w:p>
      <w:pPr>
        <w:pStyle w:val="BodyText"/>
        <w:spacing w:before="3"/>
        <w:ind w:left="0"/>
        <w:rPr>
          <w:sz w:val="24"/>
        </w:rPr>
      </w:pPr>
    </w:p>
    <w:p>
      <w:pPr>
        <w:pStyle w:val="Heading2"/>
        <w:numPr>
          <w:ilvl w:val="1"/>
          <w:numId w:val="3"/>
        </w:numPr>
        <w:tabs>
          <w:tab w:pos="1059" w:val="left" w:leader="none"/>
          <w:tab w:pos="1060" w:val="left" w:leader="none"/>
          <w:tab w:pos="9879" w:val="left" w:leader="none"/>
        </w:tabs>
        <w:spacing w:line="367" w:lineRule="exact" w:before="0" w:after="0"/>
        <w:ind w:left="1059" w:right="0" w:hanging="847"/>
        <w:jc w:val="left"/>
      </w:pPr>
      <w:r>
        <w:rPr>
          <w:w w:val="95"/>
          <w:shd w:fill="E6E6E6" w:color="auto" w:val="clear"/>
        </w:rPr>
        <w:t>借款</w:t>
      </w:r>
      <w:r>
        <w:rPr>
          <w:shd w:fill="E6E6E6" w:color="auto" w:val="clear"/>
        </w:rPr>
        <w:tab/>
      </w:r>
    </w:p>
    <w:p>
      <w:pPr>
        <w:pStyle w:val="BodyText"/>
        <w:spacing w:line="274" w:lineRule="exact"/>
        <w:ind w:left="632"/>
      </w:pPr>
      <w:r>
        <w:rPr/>
        <w:t>本附加合同不提供借款。</w:t>
      </w:r>
    </w:p>
    <w:p>
      <w:pPr>
        <w:pStyle w:val="BodyText"/>
        <w:ind w:left="0"/>
        <w:rPr>
          <w:sz w:val="20"/>
        </w:rPr>
      </w:pPr>
    </w:p>
    <w:p>
      <w:pPr>
        <w:pStyle w:val="BodyText"/>
        <w:spacing w:before="5"/>
        <w:ind w:left="0"/>
        <w:rPr>
          <w:sz w:val="26"/>
        </w:rPr>
      </w:pPr>
    </w:p>
    <w:p>
      <w:pPr>
        <w:pStyle w:val="Heading2"/>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争议处理</w:t>
        <w:tab/>
      </w:r>
    </w:p>
    <w:p>
      <w:pPr>
        <w:pStyle w:val="BodyText"/>
        <w:spacing w:line="273" w:lineRule="auto"/>
        <w:ind w:right="222" w:firstLine="419"/>
      </w:pPr>
      <w:r>
        <w:rPr>
          <w:spacing w:val="-5"/>
        </w:rPr>
        <w:t>在本附加合同履行过程中发生任何争议，其解决方式由当事人根据合同约定从下列两种方式中选择一种：</w:t>
      </w:r>
    </w:p>
    <w:p>
      <w:pPr>
        <w:pStyle w:val="BodyText"/>
        <w:spacing w:before="80"/>
        <w:ind w:right="224" w:firstLine="422"/>
      </w:pPr>
      <w:r>
        <w:rPr>
          <w:spacing w:val="-6"/>
        </w:rPr>
        <w:t>一、因履行本附加合同发生的争议，由当事人协商解决，协商不成的，提交双方共同选择的仲裁委员</w:t>
      </w:r>
      <w:r>
        <w:rPr>
          <w:spacing w:val="-4"/>
        </w:rPr>
        <w:t>会仲裁；</w:t>
      </w:r>
    </w:p>
    <w:p>
      <w:pPr>
        <w:pStyle w:val="BodyText"/>
        <w:spacing w:before="89"/>
        <w:ind w:left="635"/>
      </w:pPr>
      <w:r>
        <w:rPr/>
        <w:t>二、因履行本附加合同发生的争议，由当事人协商解决，协商不成的，依法向人民法院起诉。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4"/>
        </w:rPr>
      </w:pPr>
      <w:r>
        <w:rPr/>
        <w:drawing>
          <wp:anchor distT="0" distB="0" distL="0" distR="0" allowOverlap="1" layoutInCell="1" locked="0" behindDoc="0" simplePos="0" relativeHeight="1408">
            <wp:simplePos x="0" y="0"/>
            <wp:positionH relativeFrom="page">
              <wp:posOffset>650741</wp:posOffset>
            </wp:positionH>
            <wp:positionV relativeFrom="paragraph">
              <wp:posOffset>146790</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sz w:val="20"/>
        </w:rPr>
      </w:pPr>
    </w:p>
    <w:p>
      <w:pPr>
        <w:pStyle w:val="BodyText"/>
        <w:spacing w:before="11"/>
        <w:ind w:left="0"/>
        <w:rPr>
          <w:sz w:val="15"/>
        </w:rPr>
      </w:pPr>
      <w:r>
        <w:rPr/>
        <w:pict>
          <v:line style="position:absolute;mso-position-horizontal-relative:page;mso-position-vertical-relative:paragraph;z-index:1432;mso-wrap-distance-left:0;mso-wrap-distance-right:0" from="56.639519pt,12.583104pt" to="200.639516pt,12.583104pt" stroked="true" strokeweight=".479531pt" strokecolor="#000000">
            <v:stroke dashstyle="solid"/>
            <w10:wrap type="topAndBottom"/>
          </v:line>
        </w:pict>
      </w:r>
    </w:p>
    <w:p>
      <w:pPr>
        <w:pStyle w:val="BodyText"/>
        <w:spacing w:line="290" w:lineRule="exact"/>
      </w:pPr>
      <w:r>
        <w:rPr>
          <w:rFonts w:ascii="Times New Roman" w:eastAsia="Times New Roman"/>
          <w:position w:val="10"/>
          <w:sz w:val="14"/>
        </w:rPr>
        <w:t>1    </w:t>
      </w:r>
      <w:r>
        <w:rPr>
          <w:rFonts w:ascii="微软雅黑" w:eastAsia="微软雅黑" w:hint="eastAsia"/>
          <w:b/>
        </w:rPr>
        <w:t>周岁</w:t>
      </w:r>
      <w:r>
        <w:rPr/>
        <w:t>：以有效身份证件中记载的出生日期为计算基础，满一年为一周岁，不足一年的不计。</w:t>
      </w:r>
    </w:p>
    <w:p>
      <w:pPr>
        <w:pStyle w:val="BodyText"/>
        <w:spacing w:line="272" w:lineRule="exact"/>
      </w:pPr>
      <w:r>
        <w:rPr>
          <w:rFonts w:ascii="Times New Roman" w:eastAsia="Times New Roman"/>
          <w:position w:val="10"/>
          <w:sz w:val="14"/>
        </w:rPr>
        <w:t>2   </w:t>
      </w:r>
      <w:r>
        <w:rPr>
          <w:rFonts w:ascii="微软雅黑" w:eastAsia="微软雅黑" w:hint="eastAsia"/>
          <w:b/>
        </w:rPr>
        <w:t>等待期</w:t>
      </w:r>
      <w:r>
        <w:rPr/>
        <w:t>：本附加合同生效日或复效日（以较迟者为准）起 90 天内（含第 90 天）为等待期。</w:t>
      </w:r>
    </w:p>
    <w:p>
      <w:pPr>
        <w:pStyle w:val="BodyText"/>
        <w:spacing w:line="213" w:lineRule="auto"/>
        <w:ind w:right="116"/>
        <w:rPr>
          <w:rFonts w:ascii="微软雅黑" w:eastAsia="微软雅黑" w:hint="eastAsia"/>
        </w:rPr>
      </w:pPr>
      <w:r>
        <w:rPr>
          <w:rFonts w:ascii="Times New Roman" w:eastAsia="Times New Roman"/>
          <w:position w:val="10"/>
          <w:sz w:val="14"/>
        </w:rPr>
        <w:t>3 </w:t>
      </w:r>
      <w:r>
        <w:rPr>
          <w:rFonts w:ascii="微软雅黑" w:eastAsia="微软雅黑" w:hint="eastAsia"/>
          <w:b/>
        </w:rPr>
        <w:t>发病</w:t>
      </w:r>
      <w:r>
        <w:rPr>
          <w:spacing w:val="-11"/>
        </w:rPr>
        <w:t>：指被保险人出现重大疾病的前兆或异常的身体状况，或已经显现促使一般人引起关注并寻求诊断、</w:t>
      </w:r>
      <w:r>
        <w:rPr>
          <w:spacing w:val="-6"/>
        </w:rPr>
        <w:t>治疗或护理的病症</w:t>
      </w:r>
      <w:r>
        <w:rPr>
          <w:rFonts w:ascii="微软雅黑" w:eastAsia="微软雅黑" w:hint="eastAsia"/>
        </w:rPr>
        <w:t>。</w:t>
      </w:r>
    </w:p>
    <w:p>
      <w:pPr>
        <w:spacing w:line="295" w:lineRule="exact" w:before="4"/>
        <w:ind w:left="212" w:right="0" w:firstLine="0"/>
        <w:jc w:val="both"/>
        <w:rPr>
          <w:sz w:val="21"/>
        </w:rPr>
      </w:pPr>
      <w:r>
        <w:rPr>
          <w:rFonts w:ascii="Times New Roman" w:eastAsia="Times New Roman"/>
          <w:position w:val="10"/>
          <w:sz w:val="14"/>
        </w:rPr>
        <w:t>4   </w:t>
      </w:r>
      <w:r>
        <w:rPr>
          <w:rFonts w:ascii="微软雅黑" w:eastAsia="微软雅黑" w:hint="eastAsia"/>
          <w:b/>
          <w:sz w:val="21"/>
        </w:rPr>
        <w:t>专科医生</w:t>
      </w:r>
      <w:r>
        <w:rPr>
          <w:sz w:val="21"/>
        </w:rPr>
        <w:t>：专科医生应当同时满足以下四项资格条件：</w:t>
      </w:r>
    </w:p>
    <w:p>
      <w:pPr>
        <w:pStyle w:val="BodyText"/>
        <w:spacing w:line="258" w:lineRule="exact"/>
        <w:ind w:left="318"/>
      </w:pPr>
      <w:r>
        <w:rPr/>
        <w:t>（1）具有有效的中华人民共和国《医师资格证书》；</w:t>
      </w:r>
    </w:p>
    <w:p>
      <w:pPr>
        <w:pStyle w:val="BodyText"/>
        <w:spacing w:line="272" w:lineRule="exact"/>
        <w:ind w:left="318"/>
      </w:pPr>
      <w:r>
        <w:rPr/>
        <w:t>（2）具有有效的中华人民共和国《医师执业证书》，并按期到相关部门登记注册；</w:t>
      </w:r>
    </w:p>
    <w:p>
      <w:pPr>
        <w:pStyle w:val="BodyText"/>
        <w:spacing w:line="272" w:lineRule="exact"/>
        <w:ind w:left="318"/>
      </w:pPr>
      <w:r>
        <w:rPr/>
        <w:t>（3）具有有效的中华人民共和国主治医师或主治医师以上职称的《医师职称证书》；</w:t>
      </w:r>
    </w:p>
    <w:p>
      <w:pPr>
        <w:pStyle w:val="BodyText"/>
        <w:spacing w:line="241" w:lineRule="exact"/>
        <w:ind w:left="318"/>
      </w:pPr>
      <w:r>
        <w:rPr/>
        <w:t>（4）在二级或二级以上医院的相应科室从事临床工作三年以上。</w:t>
      </w:r>
    </w:p>
    <w:p>
      <w:pPr>
        <w:spacing w:line="285" w:lineRule="exact" w:before="0"/>
        <w:ind w:left="212" w:right="0" w:firstLine="0"/>
        <w:jc w:val="both"/>
        <w:rPr>
          <w:sz w:val="21"/>
        </w:rPr>
      </w:pPr>
      <w:r>
        <w:rPr>
          <w:rFonts w:ascii="Times New Roman" w:eastAsia="Times New Roman"/>
          <w:position w:val="10"/>
          <w:sz w:val="14"/>
        </w:rPr>
        <w:t>5   </w:t>
      </w:r>
      <w:r>
        <w:rPr>
          <w:rFonts w:ascii="微软雅黑" w:eastAsia="微软雅黑" w:hint="eastAsia"/>
          <w:b/>
          <w:sz w:val="21"/>
        </w:rPr>
        <w:t>重大疾病</w:t>
      </w:r>
      <w:r>
        <w:rPr>
          <w:sz w:val="21"/>
        </w:rPr>
        <w:t>：</w:t>
      </w:r>
    </w:p>
    <w:p>
      <w:pPr>
        <w:spacing w:line="304" w:lineRule="exact" w:before="0"/>
        <w:ind w:left="318"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22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（ICD-10）</w:t>
      </w:r>
      <w:r>
        <w:rPr>
          <w:spacing w:val="-3"/>
        </w:rPr>
        <w:t>的恶性肿瘤范畴。</w:t>
      </w:r>
    </w:p>
    <w:p>
      <w:pPr>
        <w:pStyle w:val="BodyText"/>
        <w:spacing w:line="239" w:lineRule="exact" w:before="11"/>
        <w:jc w:val="both"/>
      </w:pPr>
      <w:r>
        <w:rPr/>
        <w:t>下列疾病不在保障范围内：</w:t>
      </w:r>
    </w:p>
    <w:p>
      <w:pPr>
        <w:spacing w:line="331" w:lineRule="exact" w:before="0"/>
        <w:ind w:left="424" w:right="0" w:firstLine="0"/>
        <w:jc w:val="left"/>
        <w:rPr>
          <w:sz w:val="21"/>
        </w:rPr>
      </w:pPr>
      <w:r>
        <w:rPr/>
        <w:pict>
          <v:shape style="position:absolute;margin-left:86.040176pt;margin-top:8.800041pt;width:31.7pt;height:10.6pt;mso-position-horizontal-relative:page;mso-position-vertical-relative:paragraph;z-index:-21496" type="#_x0000_t202" filled="false" stroked="false">
            <v:textbox inset="0,0,0,0">
              <w:txbxContent>
                <w:p>
                  <w:pPr>
                    <w:pStyle w:val="BodyText"/>
                    <w:spacing w:line="211" w:lineRule="exact"/>
                    <w:ind w:left="0"/>
                  </w:pPr>
                  <w:r>
                    <w:rPr/>
                    <w:t>．．．</w:t>
                  </w:r>
                </w:p>
              </w:txbxContent>
            </v:textbox>
            <w10:wrap type="none"/>
          </v:shape>
        </w:pict>
      </w:r>
      <w:r>
        <w:rPr>
          <w:sz w:val="21"/>
        </w:rPr>
        <w:t>Ⅰ </w:t>
      </w:r>
      <w:r>
        <w:rPr>
          <w:rFonts w:ascii="微软雅黑" w:hAnsi="微软雅黑" w:eastAsia="微软雅黑" w:hint="eastAsia"/>
          <w:b/>
          <w:sz w:val="21"/>
        </w:rPr>
        <w:t>原位癌 </w:t>
      </w:r>
      <w:r>
        <w:rPr>
          <w:rFonts w:ascii="Times New Roman" w:hAnsi="Times New Roman" w:eastAsia="Times New Roman"/>
          <w:sz w:val="21"/>
          <w:vertAlign w:val="superscript"/>
        </w:rPr>
        <w:t>1</w:t>
      </w:r>
      <w:r>
        <w:rPr>
          <w:rFonts w:ascii="Times New Roman" w:hAnsi="Times New Roman" w:eastAsia="Times New Roman"/>
          <w:sz w:val="21"/>
          <w:vertAlign w:val="baseline"/>
        </w:rPr>
      </w:r>
      <w:r>
        <w:rPr>
          <w:rFonts w:ascii="Times New Roman" w:hAnsi="Times New Roman" w:eastAsia="Times New Roman"/>
          <w:sz w:val="21"/>
          <w:vertAlign w:val="superscript"/>
        </w:rPr>
        <w:t>8</w:t>
      </w:r>
      <w:r>
        <w:rPr>
          <w:rFonts w:ascii="Times New Roman" w:hAnsi="Times New Roman" w:eastAsia="Times New Roman"/>
          <w:sz w:val="21"/>
          <w:vertAlign w:val="baseline"/>
        </w:rPr>
      </w:r>
      <w:r>
        <w:rPr>
          <w:sz w:val="21"/>
          <w:vertAlign w:val="baseline"/>
        </w:rPr>
        <w:t>；</w:t>
      </w:r>
    </w:p>
    <w:p>
      <w:pPr>
        <w:pStyle w:val="BodyText"/>
        <w:spacing w:line="273" w:lineRule="exact" w:before="40"/>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line="273" w:lineRule="exact"/>
        <w:ind w:left="424"/>
      </w:pPr>
      <w:r>
        <w:rPr/>
        <w:t>Ⅲ 相当于 Ann Arbor 分期方案 I 期程度的何杰金氏病；</w:t>
      </w:r>
    </w:p>
    <w:p>
      <w:pPr>
        <w:spacing w:after="0" w:line="273" w:lineRule="exact"/>
        <w:sectPr>
          <w:pgSz w:w="11900" w:h="16840"/>
          <w:pgMar w:header="844" w:footer="547" w:top="1040" w:bottom="740" w:left="920" w:right="90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54"/>
        <w:ind w:left="424" w:right="4023" w:hanging="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1"/>
          <w:position w:val="1"/>
        </w:rPr>
        <w:t>Ⅴ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pStyle w:val="BodyText"/>
        <w:spacing w:line="240" w:lineRule="exact"/>
        <w:ind w:left="424"/>
      </w:pPr>
      <w:r>
        <w:rPr/>
        <w:t>Ⅵ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58" w:lineRule="exact"/>
      </w:pPr>
      <w:r>
        <w:rPr/>
        <w:t>指因冠状动脉阻塞导致的相应区域供血不足造成部分心肌坏死。须满足下列至少三项条件：</w:t>
      </w:r>
    </w:p>
    <w:p>
      <w:pPr>
        <w:pStyle w:val="BodyText"/>
        <w:spacing w:line="272" w:lineRule="exact"/>
        <w:ind w:left="424"/>
      </w:pPr>
      <w:r>
        <w:rPr/>
        <w:t>Ⅰ 典型临床表现，例如急性胸痛等；</w:t>
      </w:r>
    </w:p>
    <w:p>
      <w:pPr>
        <w:pStyle w:val="BodyText"/>
        <w:spacing w:line="272" w:lineRule="exact"/>
        <w:ind w:left="424"/>
      </w:pPr>
      <w:r>
        <w:rPr>
          <w:w w:val="110"/>
        </w:rPr>
        <w:t>" </w:t>
      </w:r>
      <w:r>
        <w:rPr>
          <w:w w:val="105"/>
        </w:rPr>
        <w:t>新近的心电图改变提示急性心肌梗塞；</w:t>
      </w:r>
    </w:p>
    <w:p>
      <w:pPr>
        <w:pStyle w:val="BodyText"/>
        <w:spacing w:line="272" w:lineRule="exact"/>
        <w:ind w:left="424"/>
      </w:pPr>
      <w:r>
        <w:rPr/>
        <w:t>Ⅲ 心肌酶或肌钙蛋白有诊断意义的升高，或呈符合急性心肌梗塞的动态性变化；</w:t>
      </w:r>
    </w:p>
    <w:p>
      <w:pPr>
        <w:pStyle w:val="BodyText"/>
        <w:spacing w:line="241" w:lineRule="exact"/>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16"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37" w:lineRule="auto"/>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315" w:lineRule="exact" w:before="10"/>
        <w:ind w:left="424" w:right="0" w:firstLine="0"/>
        <w:jc w:val="left"/>
        <w:rPr>
          <w:sz w:val="21"/>
        </w:rPr>
      </w:pPr>
      <w:r>
        <w:rPr/>
        <w:pict>
          <v:shape style="position:absolute;margin-left:233.399872pt;margin-top:7.708456pt;width:10.6pt;height:10.6pt;mso-position-horizontal-relative:page;mso-position-vertical-relative:paragraph;z-index:-21448"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Ⅰ 一肢或一肢以上</w:t>
      </w:r>
      <w:r>
        <w:rPr>
          <w:rFonts w:ascii="微软雅黑" w:hAnsi="微软雅黑" w:eastAsia="微软雅黑" w:hint="eastAsia"/>
          <w:b/>
          <w:spacing w:val="-149"/>
          <w:sz w:val="21"/>
        </w:rPr>
        <w:t>肢</w:t>
      </w:r>
      <w:r>
        <w:rPr>
          <w:spacing w:val="-63"/>
          <w:position w:val="-7"/>
          <w:sz w:val="21"/>
        </w:rPr>
        <w:t>．</w:t>
      </w:r>
      <w:r>
        <w:rPr>
          <w:rFonts w:ascii="微软雅黑" w:hAnsi="微软雅黑" w:eastAsia="微软雅黑" w:hint="eastAsia"/>
          <w:b/>
          <w:spacing w:val="-149"/>
          <w:sz w:val="21"/>
        </w:rPr>
        <w:t>体</w:t>
      </w:r>
      <w:r>
        <w:rPr>
          <w:spacing w:val="-63"/>
          <w:position w:val="-7"/>
          <w:sz w:val="21"/>
        </w:rPr>
        <w:t>．</w:t>
      </w:r>
      <w:r>
        <w:rPr>
          <w:rFonts w:ascii="微软雅黑" w:hAnsi="微软雅黑" w:eastAsia="微软雅黑" w:hint="eastAsia"/>
          <w:b/>
          <w:spacing w:val="-149"/>
          <w:sz w:val="21"/>
        </w:rPr>
        <w:t>机</w:t>
      </w:r>
      <w:r>
        <w:rPr>
          <w:spacing w:val="-63"/>
          <w:position w:val="-7"/>
          <w:sz w:val="21"/>
        </w:rPr>
        <w:t>．</w:t>
      </w:r>
      <w:r>
        <w:rPr>
          <w:rFonts w:ascii="微软雅黑" w:hAnsi="微软雅黑" w:eastAsia="微软雅黑" w:hint="eastAsia"/>
          <w:b/>
          <w:spacing w:val="-149"/>
          <w:sz w:val="21"/>
        </w:rPr>
        <w:t>能</w:t>
      </w:r>
      <w:r>
        <w:rPr>
          <w:spacing w:val="-63"/>
          <w:position w:val="-7"/>
          <w:sz w:val="21"/>
        </w:rPr>
        <w:t>．</w:t>
      </w:r>
      <w:r>
        <w:rPr>
          <w:rFonts w:ascii="微软雅黑" w:hAnsi="微软雅黑" w:eastAsia="微软雅黑" w:hint="eastAsia"/>
          <w:b/>
          <w:spacing w:val="-149"/>
          <w:sz w:val="21"/>
        </w:rPr>
        <w:t>完</w:t>
      </w:r>
      <w:r>
        <w:rPr>
          <w:spacing w:val="-63"/>
          <w:position w:val="-7"/>
          <w:sz w:val="21"/>
        </w:rPr>
        <w:t>．</w:t>
      </w:r>
      <w:r>
        <w:rPr>
          <w:rFonts w:ascii="微软雅黑" w:hAnsi="微软雅黑" w:eastAsia="微软雅黑" w:hint="eastAsia"/>
          <w:b/>
          <w:spacing w:val="-149"/>
          <w:sz w:val="21"/>
        </w:rPr>
        <w:t>全</w:t>
      </w:r>
      <w:r>
        <w:rPr>
          <w:spacing w:val="-63"/>
          <w:position w:val="-7"/>
          <w:sz w:val="21"/>
        </w:rPr>
        <w:t>．</w:t>
      </w:r>
      <w:r>
        <w:rPr>
          <w:rFonts w:ascii="微软雅黑" w:hAnsi="微软雅黑" w:eastAsia="微软雅黑" w:hint="eastAsia"/>
          <w:b/>
          <w:spacing w:val="-149"/>
          <w:sz w:val="21"/>
        </w:rPr>
        <w:t>丧</w:t>
      </w:r>
      <w:r>
        <w:rPr>
          <w:spacing w:val="-63"/>
          <w:position w:val="-7"/>
          <w:sz w:val="21"/>
        </w:rPr>
        <w:t>．</w:t>
      </w:r>
      <w:r>
        <w:rPr>
          <w:rFonts w:ascii="微软雅黑" w:hAnsi="微软雅黑" w:eastAsia="微软雅黑" w:hint="eastAsia"/>
          <w:b/>
          <w:spacing w:val="-2"/>
          <w:sz w:val="21"/>
        </w:rPr>
        <w:t>失 </w:t>
      </w:r>
      <w:r>
        <w:rPr>
          <w:rFonts w:ascii="Times New Roman" w:hAnsi="Times New Roman" w:eastAsia="Times New Roman"/>
          <w:sz w:val="21"/>
          <w:vertAlign w:val="superscript"/>
        </w:rPr>
        <w:t>1</w:t>
      </w:r>
      <w:r>
        <w:rPr>
          <w:rFonts w:ascii="Times New Roman" w:hAnsi="Times New Roman" w:eastAsia="Times New Roman"/>
          <w:sz w:val="21"/>
          <w:vertAlign w:val="baseline"/>
        </w:rPr>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w:t>
      </w:r>
    </w:p>
    <w:p>
      <w:pPr>
        <w:spacing w:line="341" w:lineRule="exact" w:before="0"/>
        <w:ind w:left="424" w:right="0" w:firstLine="0"/>
        <w:jc w:val="left"/>
        <w:rPr>
          <w:sz w:val="21"/>
        </w:rPr>
      </w:pPr>
      <w:r>
        <w:rPr/>
        <w:pict>
          <v:shape style="position:absolute;margin-left:233.64006pt;margin-top:8.480042pt;width:10.6pt;height:10.6pt;mso-position-horizontal-relative:page;mso-position-vertical-relative:paragraph;z-index:-21424" type="#_x0000_t202" filled="false" stroked="false">
            <v:textbox inset="0,0,0,0">
              <w:txbxContent>
                <w:p>
                  <w:pPr>
                    <w:pStyle w:val="BodyText"/>
                    <w:spacing w:line="211" w:lineRule="exact"/>
                    <w:ind w:left="0"/>
                  </w:pPr>
                  <w:r>
                    <w:rPr>
                      <w:w w:val="100"/>
                    </w:rPr>
                    <w:t>．</w:t>
                  </w:r>
                </w:p>
              </w:txbxContent>
            </v:textbox>
            <w10:wrap type="none"/>
          </v:shape>
        </w:pict>
      </w:r>
      <w:r>
        <w:rPr>
          <w:spacing w:val="42"/>
          <w:sz w:val="21"/>
        </w:rPr>
        <w:t>" </w:t>
      </w:r>
      <w:r>
        <w:rPr>
          <w:rFonts w:ascii="微软雅黑" w:eastAsia="微软雅黑" w:hint="eastAsia"/>
          <w:b/>
          <w:spacing w:val="-149"/>
          <w:sz w:val="21"/>
        </w:rPr>
        <w:t>语</w:t>
      </w:r>
      <w:r>
        <w:rPr>
          <w:spacing w:val="-63"/>
          <w:position w:val="-7"/>
          <w:sz w:val="21"/>
        </w:rPr>
        <w:t>．</w:t>
      </w:r>
      <w:r>
        <w:rPr>
          <w:rFonts w:ascii="微软雅黑" w:eastAsia="微软雅黑" w:hint="eastAsia"/>
          <w:b/>
          <w:spacing w:val="-149"/>
          <w:sz w:val="21"/>
        </w:rPr>
        <w:t>言</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或</w:t>
      </w:r>
      <w:r>
        <w:rPr>
          <w:spacing w:val="-63"/>
          <w:position w:val="-7"/>
          <w:sz w:val="21"/>
        </w:rPr>
        <w:t>．</w:t>
      </w:r>
      <w:r>
        <w:rPr>
          <w:rFonts w:ascii="微软雅黑" w:eastAsia="微软雅黑" w:hint="eastAsia"/>
          <w:b/>
          <w:spacing w:val="-149"/>
          <w:sz w:val="21"/>
        </w:rPr>
        <w:t>咀</w:t>
      </w:r>
      <w:r>
        <w:rPr>
          <w:spacing w:val="-63"/>
          <w:position w:val="-7"/>
          <w:sz w:val="21"/>
        </w:rPr>
        <w:t>．</w:t>
      </w:r>
      <w:r>
        <w:rPr>
          <w:rFonts w:ascii="微软雅黑" w:eastAsia="微软雅黑" w:hint="eastAsia"/>
          <w:b/>
          <w:spacing w:val="-149"/>
          <w:sz w:val="21"/>
        </w:rPr>
        <w:t>嚼</w:t>
      </w:r>
      <w:r>
        <w:rPr>
          <w:spacing w:val="-63"/>
          <w:position w:val="-7"/>
          <w:sz w:val="21"/>
        </w:rPr>
        <w:t>．</w:t>
      </w:r>
      <w:r>
        <w:rPr>
          <w:rFonts w:ascii="微软雅黑" w:eastAsia="微软雅黑" w:hint="eastAsia"/>
          <w:b/>
          <w:spacing w:val="-152"/>
          <w:sz w:val="21"/>
        </w:rPr>
        <w:t>吞</w:t>
      </w:r>
      <w:r>
        <w:rPr>
          <w:spacing w:val="-63"/>
          <w:position w:val="-7"/>
          <w:sz w:val="21"/>
        </w:rPr>
        <w:t>．</w:t>
      </w:r>
      <w:r>
        <w:rPr>
          <w:rFonts w:ascii="微软雅黑" w:eastAsia="微软雅黑" w:hint="eastAsia"/>
          <w:b/>
          <w:spacing w:val="-152"/>
          <w:sz w:val="21"/>
        </w:rPr>
        <w:t>咽</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完</w:t>
      </w:r>
      <w:r>
        <w:rPr>
          <w:spacing w:val="-63"/>
          <w:position w:val="-7"/>
          <w:sz w:val="21"/>
        </w:rPr>
        <w:t>．</w:t>
      </w:r>
      <w:r>
        <w:rPr>
          <w:rFonts w:ascii="微软雅黑" w:eastAsia="微软雅黑" w:hint="eastAsia"/>
          <w:b/>
          <w:spacing w:val="-149"/>
          <w:sz w:val="21"/>
        </w:rPr>
        <w:t>全</w:t>
      </w:r>
      <w:r>
        <w:rPr>
          <w:spacing w:val="-63"/>
          <w:position w:val="-7"/>
          <w:sz w:val="21"/>
        </w:rPr>
        <w:t>．</w:t>
      </w:r>
      <w:r>
        <w:rPr>
          <w:rFonts w:ascii="微软雅黑" w:eastAsia="微软雅黑" w:hint="eastAsia"/>
          <w:b/>
          <w:spacing w:val="-149"/>
          <w:sz w:val="21"/>
        </w:rPr>
        <w:t>丧</w:t>
      </w:r>
      <w:r>
        <w:rPr>
          <w:spacing w:val="-63"/>
          <w:position w:val="-7"/>
          <w:sz w:val="21"/>
        </w:rPr>
        <w:t>．</w:t>
      </w:r>
      <w:r>
        <w:rPr>
          <w:rFonts w:ascii="微软雅黑" w:eastAsia="微软雅黑" w:hint="eastAsia"/>
          <w:b/>
          <w:spacing w:val="16"/>
          <w:sz w:val="21"/>
        </w:rPr>
        <w:t>失 </w:t>
      </w:r>
      <w:r>
        <w:rPr>
          <w:rFonts w:ascii="Times New Roman" w:eastAsia="Times New Roman"/>
          <w:sz w:val="21"/>
          <w:vertAlign w:val="superscript"/>
        </w:rPr>
        <w:t>2</w:t>
      </w:r>
      <w:r>
        <w:rPr>
          <w:rFonts w:ascii="Times New Roman" w:eastAsia="Times New Roman"/>
          <w:sz w:val="21"/>
          <w:vertAlign w:val="baseline"/>
        </w:rPr>
      </w:r>
      <w:r>
        <w:rPr>
          <w:rFonts w:ascii="Times New Roman" w:eastAsia="Times New Roman"/>
          <w:sz w:val="21"/>
          <w:vertAlign w:val="superscript"/>
        </w:rPr>
        <w:t>0</w:t>
      </w:r>
      <w:r>
        <w:rPr>
          <w:rFonts w:ascii="Times New Roman" w:eastAsia="Times New Roman"/>
          <w:sz w:val="21"/>
          <w:vertAlign w:val="baseline"/>
        </w:rPr>
      </w:r>
      <w:r>
        <w:rPr>
          <w:sz w:val="21"/>
          <w:vertAlign w:val="baseline"/>
        </w:rPr>
        <w:t>；</w:t>
      </w:r>
    </w:p>
    <w:p>
      <w:pPr>
        <w:spacing w:line="379" w:lineRule="exact" w:before="0"/>
        <w:ind w:left="424" w:right="0" w:firstLine="0"/>
        <w:jc w:val="left"/>
        <w:rPr>
          <w:sz w:val="21"/>
        </w:rPr>
      </w:pPr>
      <w:r>
        <w:rPr/>
        <w:pict>
          <v:shape style="position:absolute;margin-left:359.519287pt;margin-top:8.480026pt;width:10.6pt;height:10.6pt;mso-position-horizontal-relative:page;mso-position-vertical-relative:paragraph;z-index:-21400"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Ⅲ 自主生活能力完全丧失，无法独立完成</w:t>
      </w:r>
      <w:r>
        <w:rPr>
          <w:rFonts w:ascii="微软雅黑" w:hAnsi="微软雅黑" w:eastAsia="微软雅黑" w:hint="eastAsia"/>
          <w:b/>
          <w:spacing w:val="-149"/>
          <w:sz w:val="21"/>
        </w:rPr>
        <w:t>六</w:t>
      </w:r>
      <w:r>
        <w:rPr>
          <w:spacing w:val="-63"/>
          <w:position w:val="-7"/>
          <w:sz w:val="21"/>
        </w:rPr>
        <w:t>．</w:t>
      </w:r>
      <w:r>
        <w:rPr>
          <w:rFonts w:ascii="微软雅黑" w:hAnsi="微软雅黑" w:eastAsia="微软雅黑" w:hint="eastAsia"/>
          <w:b/>
          <w:spacing w:val="-149"/>
          <w:sz w:val="21"/>
        </w:rPr>
        <w:t>项</w:t>
      </w:r>
      <w:r>
        <w:rPr>
          <w:spacing w:val="-63"/>
          <w:position w:val="-7"/>
          <w:sz w:val="21"/>
        </w:rPr>
        <w:t>．</w:t>
      </w:r>
      <w:r>
        <w:rPr>
          <w:rFonts w:ascii="微软雅黑" w:hAnsi="微软雅黑" w:eastAsia="微软雅黑" w:hint="eastAsia"/>
          <w:b/>
          <w:spacing w:val="-149"/>
          <w:sz w:val="21"/>
        </w:rPr>
        <w:t>基</w:t>
      </w:r>
      <w:r>
        <w:rPr>
          <w:spacing w:val="-63"/>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9"/>
          <w:sz w:val="21"/>
        </w:rPr>
        <w:t>日</w:t>
      </w:r>
      <w:r>
        <w:rPr>
          <w:spacing w:val="-63"/>
          <w:position w:val="-7"/>
          <w:sz w:val="21"/>
        </w:rPr>
        <w:t>．</w:t>
      </w:r>
      <w:r>
        <w:rPr>
          <w:rFonts w:ascii="微软雅黑" w:hAnsi="微软雅黑" w:eastAsia="微软雅黑" w:hint="eastAsia"/>
          <w:b/>
          <w:spacing w:val="-149"/>
          <w:sz w:val="21"/>
        </w:rPr>
        <w:t>常</w:t>
      </w:r>
      <w:r>
        <w:rPr>
          <w:spacing w:val="-63"/>
          <w:position w:val="-7"/>
          <w:sz w:val="21"/>
        </w:rPr>
        <w:t>．</w:t>
      </w:r>
      <w:r>
        <w:rPr>
          <w:rFonts w:ascii="微软雅黑" w:hAnsi="微软雅黑" w:eastAsia="微软雅黑" w:hint="eastAsia"/>
          <w:b/>
          <w:spacing w:val="-149"/>
          <w:sz w:val="21"/>
        </w:rPr>
        <w:t>生</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0"/>
          <w:sz w:val="21"/>
        </w:rPr>
        <w:t>动 </w:t>
      </w:r>
      <w:r>
        <w:rPr>
          <w:rFonts w:ascii="Times New Roman" w:hAnsi="Times New Roman" w:eastAsia="Times New Roman"/>
          <w:sz w:val="21"/>
          <w:vertAlign w:val="superscript"/>
        </w:rPr>
        <w:t>2</w:t>
      </w:r>
      <w:r>
        <w:rPr>
          <w:rFonts w:ascii="Times New Roman" w:hAnsi="Times New Roman" w:eastAsia="Times New Roman"/>
          <w:sz w:val="21"/>
          <w:vertAlign w:val="baseline"/>
        </w:rPr>
      </w:r>
      <w:r>
        <w:rPr>
          <w:rFonts w:ascii="Times New Roman" w:hAnsi="Times New Roman" w:eastAsia="Times New Roman"/>
          <w:sz w:val="21"/>
          <w:vertAlign w:val="superscript"/>
        </w:rPr>
        <w:t>1</w:t>
      </w:r>
      <w:r>
        <w:rPr>
          <w:rFonts w:ascii="Times New Roman" w:hAnsi="Times New Roman" w:eastAsia="Times New Roman"/>
          <w:sz w:val="21"/>
          <w:vertAlign w:val="baseline"/>
        </w:rPr>
        <w:t> </w:t>
      </w:r>
      <w:r>
        <w:rPr>
          <w:spacing w:val="-3"/>
          <w:sz w:val="21"/>
          <w:vertAlign w:val="baseline"/>
        </w:rPr>
        <w:t>中的三项或三项以上。</w:t>
      </w:r>
    </w:p>
    <w:p>
      <w:pPr>
        <w:pStyle w:val="Heading3"/>
        <w:spacing w:line="281" w:lineRule="exact"/>
        <w:ind w:left="318"/>
        <w:rPr>
          <w:rFonts w:ascii="微软雅黑" w:eastAsia="微软雅黑" w:hint="eastAsia"/>
        </w:rPr>
      </w:pPr>
      <w:r>
        <w:rPr>
          <w:rFonts w:ascii="宋体" w:eastAsia="宋体" w:hint="eastAsia"/>
          <w:b w:val="0"/>
        </w:rPr>
        <w:t>（4）</w:t>
      </w:r>
      <w:r>
        <w:rPr>
          <w:rFonts w:ascii="微软雅黑" w:eastAsia="微软雅黑" w:hint="eastAsia"/>
          <w:u w:val="single"/>
        </w:rPr>
        <w:t>重大器官移植术或造血干细胞移植术</w:t>
      </w:r>
    </w:p>
    <w:p>
      <w:pPr>
        <w:pStyle w:val="BodyText"/>
        <w:spacing w:line="272" w:lineRule="exact"/>
        <w:ind w:left="203"/>
      </w:pPr>
      <w:r>
        <w:rPr/>
        <w:t>重大器官移植术，指因相应器官功能衰竭，已经实施了肾脏、肝脏、心脏或肺脏的异体移植手术。</w:t>
      </w:r>
    </w:p>
    <w:p>
      <w:pPr>
        <w:pStyle w:val="BodyText"/>
        <w:spacing w:line="273" w:lineRule="auto" w:before="37"/>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3"/>
        <w:spacing w:line="251" w:lineRule="exact"/>
        <w:ind w:left="318"/>
        <w:rPr>
          <w:rFonts w:ascii="微软雅黑" w:eastAsia="微软雅黑" w:hint="eastAsia"/>
        </w:rPr>
      </w:pPr>
      <w:r>
        <w:rPr>
          <w:rFonts w:ascii="宋体" w:eastAsia="宋体" w:hint="eastAsia"/>
          <w:b w:val="0"/>
        </w:rPr>
        <w:t>（5）</w:t>
      </w:r>
      <w:r>
        <w:rPr>
          <w:rFonts w:ascii="微软雅黑" w:eastAsia="微软雅黑" w:hint="eastAsia"/>
          <w:u w:val="single"/>
        </w:rPr>
        <w:t>冠状动脉搭桥术（或称冠状动脉旁路移植术）</w:t>
      </w:r>
    </w:p>
    <w:p>
      <w:pPr>
        <w:spacing w:line="206" w:lineRule="auto" w:before="16"/>
        <w:ind w:left="212" w:right="19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3"/>
        <w:spacing w:line="312" w:lineRule="exact"/>
        <w:ind w:left="318"/>
        <w:rPr>
          <w:rFonts w:ascii="微软雅黑" w:eastAsia="微软雅黑" w:hint="eastAsia"/>
        </w:rPr>
      </w:pPr>
      <w:r>
        <w:rPr>
          <w:rFonts w:ascii="宋体" w:eastAsia="宋体" w:hint="eastAsia"/>
          <w:b w:val="0"/>
        </w:rPr>
        <w:t>（6）</w:t>
      </w:r>
      <w:r>
        <w:rPr>
          <w:rFonts w:ascii="微软雅黑" w:eastAsia="微软雅黑" w:hint="eastAsia"/>
          <w:u w:val="single"/>
        </w:rPr>
        <w:t>终末期肾病（或称慢性肾功能衰竭尿毒症期）</w:t>
      </w:r>
    </w:p>
    <w:p>
      <w:pPr>
        <w:pStyle w:val="BodyText"/>
        <w:spacing w:line="273" w:lineRule="auto" w:before="11"/>
        <w:ind w:right="162" w:hanging="10"/>
      </w:pPr>
      <w:r>
        <w:rPr/>
        <w:t>指双肾功能慢性不可逆性衰竭，达到尿毒症期，经诊断后已经进行了至少 90 天的规律性透析治疗或实施了肾脏移植手术。</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51" w:lineRule="exact" w:before="12"/>
        <w:ind w:left="203"/>
      </w:pPr>
      <w:r>
        <w:rPr/>
        <w:t>指因疾病或意外伤害导致两个或两个以上肢体自腕关节或踝关节近端（靠近躯干端）以上完全性断离。</w:t>
      </w:r>
    </w:p>
    <w:p>
      <w:pPr>
        <w:spacing w:line="326"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37" w:lineRule="auto"/>
        <w:ind w:right="20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line="272" w:lineRule="exact" w:before="10"/>
        <w:ind w:left="414"/>
      </w:pPr>
      <w:r>
        <w:rPr/>
        <w:t>Ⅰ 重度黄疸或黄疸迅速加重；</w:t>
      </w:r>
    </w:p>
    <w:p>
      <w:pPr>
        <w:pStyle w:val="BodyText"/>
        <w:spacing w:line="272" w:lineRule="exact"/>
        <w:ind w:left="414"/>
      </w:pPr>
      <w:r>
        <w:rPr>
          <w:spacing w:val="-72"/>
          <w:w w:val="170"/>
        </w:rPr>
        <w:t>" </w:t>
      </w:r>
      <w:r>
        <w:rPr>
          <w:spacing w:val="-3"/>
          <w:w w:val="110"/>
        </w:rPr>
        <w:t>肝性脑病；</w:t>
      </w:r>
    </w:p>
    <w:p>
      <w:pPr>
        <w:pStyle w:val="BodyText"/>
        <w:spacing w:line="272" w:lineRule="exact"/>
        <w:ind w:left="414"/>
      </w:pPr>
      <w:r>
        <w:rPr/>
        <w:t>Ⅲ B 超或其它影像学检查显示肝脏体积急速萎缩；</w:t>
      </w:r>
    </w:p>
    <w:p>
      <w:pPr>
        <w:pStyle w:val="BodyText"/>
        <w:spacing w:line="241" w:lineRule="exact"/>
        <w:ind w:left="414"/>
      </w:pPr>
      <w:r>
        <w:rPr/>
        <w:t>Ⅳ 肝功能指标进行性恶化。</w:t>
      </w:r>
    </w:p>
    <w:p>
      <w:pPr>
        <w:spacing w:line="316"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37" w:lineRule="auto"/>
        <w:ind w:right="101" w:hanging="10"/>
      </w:pPr>
      <w:r>
        <w:rPr>
          <w:spacing w:val="-11"/>
        </w:rPr>
        <w:t>指脑的良性肿瘤，已经引起颅内压增高，临床表现为视神经乳头水肿、精神症状、癫痫及运动感觉障碍等， </w:t>
      </w:r>
      <w:r>
        <w:rPr>
          <w:w w:val="100"/>
        </w:rPr>
        <w:t>并危及生命。须由头颅断层扫描</w:t>
      </w:r>
      <w:r>
        <w:rPr>
          <w:spacing w:val="1"/>
          <w:w w:val="100"/>
        </w:rPr>
        <w:t>（</w:t>
      </w:r>
      <w:r>
        <w:rPr>
          <w:spacing w:val="-3"/>
          <w:w w:val="100"/>
        </w:rPr>
        <w:t>C</w:t>
      </w:r>
      <w:r>
        <w:rPr>
          <w:spacing w:val="1"/>
          <w:w w:val="100"/>
        </w:rPr>
        <w:t>T</w:t>
      </w:r>
      <w:r>
        <w:rPr>
          <w:spacing w:val="-106"/>
          <w:w w:val="100"/>
        </w:rPr>
        <w:t>）</w:t>
      </w:r>
      <w:r>
        <w:rPr>
          <w:w w:val="100"/>
        </w:rPr>
        <w:t>、核磁共振检查（MRI）或正电子发射断层扫描</w:t>
      </w:r>
      <w:r>
        <w:rPr>
          <w:spacing w:val="1"/>
          <w:w w:val="100"/>
        </w:rPr>
        <w:t>（</w:t>
      </w:r>
      <w:r>
        <w:rPr>
          <w:w w:val="100"/>
        </w:rPr>
        <w:t>P</w:t>
      </w:r>
      <w:r>
        <w:rPr>
          <w:spacing w:val="-3"/>
          <w:w w:val="100"/>
        </w:rPr>
        <w:t>E</w:t>
      </w:r>
      <w:r>
        <w:rPr>
          <w:spacing w:val="1"/>
          <w:w w:val="100"/>
        </w:rPr>
        <w:t>T</w:t>
      </w:r>
      <w:r>
        <w:rPr>
          <w:w w:val="100"/>
        </w:rPr>
        <w:t>）等影像学检</w:t>
      </w:r>
      <w:r>
        <w:rPr>
          <w:spacing w:val="-3"/>
        </w:rPr>
        <w:t>查证实，并须满足下列至少一项条件：</w:t>
      </w:r>
    </w:p>
    <w:p>
      <w:pPr>
        <w:pStyle w:val="BodyText"/>
        <w:spacing w:line="272" w:lineRule="exact" w:before="11"/>
        <w:ind w:left="414"/>
      </w:pPr>
      <w:r>
        <w:rPr/>
        <w:t>Ⅰ 实际实施了开颅进行的脑肿瘤完全切除或部分切除的手术；</w:t>
      </w:r>
    </w:p>
    <w:p>
      <w:pPr>
        <w:pStyle w:val="BodyText"/>
        <w:spacing w:line="241" w:lineRule="exact"/>
        <w:ind w:left="414"/>
      </w:pPr>
      <w:r>
        <w:rPr>
          <w:w w:val="110"/>
        </w:rPr>
        <w:t>" </w:t>
      </w:r>
      <w:r>
        <w:rPr>
          <w:w w:val="105"/>
        </w:rPr>
        <w:t>实际实施了对脑肿瘤进行的放射治疗。</w:t>
      </w:r>
    </w:p>
    <w:p>
      <w:pPr>
        <w:pStyle w:val="Heading3"/>
        <w:spacing w:line="285" w:lineRule="exact"/>
        <w:rPr>
          <w:rFonts w:ascii="微软雅黑" w:eastAsia="微软雅黑" w:hint="eastAsia"/>
        </w:rPr>
      </w:pPr>
      <w:r>
        <w:rPr>
          <w:rFonts w:ascii="微软雅黑" w:eastAsia="微软雅黑" w:hint="eastAsia"/>
        </w:rPr>
        <w:t>脑垂体瘤、脑囊肿、脑血管性疾病不在保障范围内。</w:t>
      </w:r>
    </w:p>
    <w:p>
      <w:pPr>
        <w:spacing w:line="302"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line="260" w:lineRule="exact"/>
        <w:ind w:left="203"/>
      </w:pPr>
      <w:r>
        <w:rPr/>
        <w:t>指因慢性肝脏疾病导致肝功能衰竭。须满足下列全部条件：</w:t>
      </w:r>
    </w:p>
    <w:p>
      <w:pPr>
        <w:pStyle w:val="BodyText"/>
        <w:spacing w:line="272" w:lineRule="exact"/>
        <w:ind w:left="414"/>
      </w:pPr>
      <w:r>
        <w:rPr/>
        <w:t>Ⅰ 持续性黄疸；</w:t>
      </w:r>
    </w:p>
    <w:p>
      <w:pPr>
        <w:pStyle w:val="BodyText"/>
        <w:spacing w:line="272" w:lineRule="exact"/>
        <w:ind w:left="414"/>
      </w:pPr>
      <w:r>
        <w:rPr>
          <w:spacing w:val="-68"/>
          <w:w w:val="185"/>
        </w:rPr>
        <w:t>" </w:t>
      </w:r>
      <w:r>
        <w:rPr>
          <w:spacing w:val="-2"/>
          <w:w w:val="110"/>
        </w:rPr>
        <w:t>腹水；</w:t>
      </w:r>
    </w:p>
    <w:p>
      <w:pPr>
        <w:pStyle w:val="BodyText"/>
        <w:spacing w:line="272" w:lineRule="exact"/>
        <w:ind w:left="414"/>
      </w:pPr>
      <w:r>
        <w:rPr/>
        <w:t>Ⅲ 肝性脑病；</w:t>
      </w:r>
    </w:p>
    <w:p>
      <w:pPr>
        <w:spacing w:line="194" w:lineRule="auto" w:before="51"/>
        <w:ind w:left="203" w:right="4706"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69"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ind w:right="20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spacing w:after="0" w:line="273" w:lineRule="auto"/>
        <w:sectPr>
          <w:headerReference w:type="default" r:id="rId13"/>
          <w:pgSz w:w="11900" w:h="16840"/>
          <w:pgMar w:header="892" w:footer="547"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51" w:lineRule="exact" w:before="36"/>
        <w:ind w:left="414"/>
      </w:pPr>
      <w:r>
        <w:rPr/>
        <w:t>Ⅲ 自主生活能力完全丧失，无法独立完成六项基本日常生活活动中的三项或三项以上。</w:t>
      </w:r>
    </w:p>
    <w:p>
      <w:pPr>
        <w:spacing w:line="337"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line="272" w:lineRule="exact"/>
        <w:ind w:left="203"/>
        <w:jc w:val="both"/>
      </w:pPr>
      <w:r>
        <w:rPr/>
        <w:t>指因疾病或意外伤害导致意识丧失,对外界刺激和体内需求均无反应,昏迷程度按照格拉斯哥昏迷分级</w:t>
      </w:r>
    </w:p>
    <w:p>
      <w:pPr>
        <w:spacing w:line="223" w:lineRule="auto" w:before="55"/>
        <w:ind w:left="212" w:right="204" w:hanging="1"/>
        <w:jc w:val="left"/>
        <w:rPr>
          <w:rFonts w:ascii="微软雅黑" w:eastAsia="微软雅黑" w:hint="eastAsia"/>
          <w:b/>
          <w:sz w:val="21"/>
        </w:rPr>
      </w:pPr>
      <w:r>
        <w:rPr>
          <w:sz w:val="21"/>
        </w:rPr>
        <w:t>（Glasgow coma scale）</w:t>
      </w:r>
      <w:r>
        <w:rPr>
          <w:spacing w:val="-15"/>
          <w:sz w:val="21"/>
        </w:rPr>
        <w:t>结果为 </w:t>
      </w:r>
      <w:r>
        <w:rPr>
          <w:sz w:val="21"/>
        </w:rPr>
        <w:t>5</w:t>
      </w:r>
      <w:r>
        <w:rPr>
          <w:spacing w:val="-13"/>
          <w:sz w:val="21"/>
        </w:rPr>
        <w:t> 分或 </w:t>
      </w:r>
      <w:r>
        <w:rPr>
          <w:sz w:val="21"/>
        </w:rPr>
        <w:t>5</w:t>
      </w:r>
      <w:r>
        <w:rPr>
          <w:spacing w:val="-5"/>
          <w:sz w:val="21"/>
        </w:rPr>
        <w:t> 分以下，且已经持续使用呼吸机及其它生命维持系统 </w:t>
      </w:r>
      <w:r>
        <w:rPr>
          <w:sz w:val="21"/>
        </w:rPr>
        <w:t>96</w:t>
      </w:r>
      <w:r>
        <w:rPr>
          <w:spacing w:val="-1"/>
          <w:sz w:val="21"/>
        </w:rPr>
        <w:t> 小时以</w:t>
      </w:r>
      <w:r>
        <w:rPr>
          <w:spacing w:val="-2"/>
          <w:sz w:val="21"/>
        </w:rPr>
        <w:t>上。</w:t>
      </w:r>
      <w:r>
        <w:rPr>
          <w:rFonts w:ascii="微软雅黑" w:eastAsia="微软雅黑" w:hint="eastAsia"/>
          <w:b/>
          <w:spacing w:val="-3"/>
          <w:sz w:val="21"/>
        </w:rPr>
        <w:t>因酗酒或药物滥用导致的深度昏迷不在保障范围内。</w:t>
      </w:r>
    </w:p>
    <w:p>
      <w:pPr>
        <w:spacing w:line="25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line="384" w:lineRule="exact"/>
        <w:ind w:left="203"/>
      </w:pPr>
      <w:r>
        <w:rPr>
          <w:spacing w:val="-3"/>
        </w:rPr>
        <w:t>指因疾病或意外伤害导致双耳听力</w:t>
      </w:r>
      <w:r>
        <w:rPr>
          <w:rFonts w:ascii="微软雅黑" w:eastAsia="微软雅黑" w:hint="eastAsia"/>
          <w:b/>
          <w:spacing w:val="-149"/>
        </w:rPr>
        <w:t>永</w:t>
      </w:r>
      <w:r>
        <w:rPr>
          <w:spacing w:val="-63"/>
          <w:position w:val="-7"/>
        </w:rPr>
        <w:t>．</w:t>
      </w:r>
      <w:r>
        <w:rPr>
          <w:rFonts w:ascii="微软雅黑" w:eastAsia="微软雅黑" w:hint="eastAsia"/>
          <w:b/>
          <w:spacing w:val="-149"/>
        </w:rPr>
        <w:t>久</w:t>
      </w:r>
      <w:r>
        <w:rPr>
          <w:spacing w:val="-63"/>
          <w:position w:val="-7"/>
        </w:rPr>
        <w:t>．</w:t>
      </w:r>
      <w:r>
        <w:rPr>
          <w:rFonts w:ascii="微软雅黑" w:eastAsia="微软雅黑" w:hint="eastAsia"/>
          <w:b/>
          <w:spacing w:val="-149"/>
        </w:rPr>
        <w:t>不</w:t>
      </w:r>
      <w:r>
        <w:rPr>
          <w:spacing w:val="-63"/>
          <w:position w:val="-7"/>
        </w:rPr>
        <w:t>．</w:t>
      </w:r>
      <w:r>
        <w:rPr>
          <w:rFonts w:ascii="微软雅黑" w:eastAsia="微软雅黑" w:hint="eastAsia"/>
          <w:b/>
          <w:spacing w:val="-149"/>
        </w:rPr>
        <w:t>可</w:t>
      </w:r>
      <w:r>
        <w:rPr>
          <w:spacing w:val="-63"/>
          <w:position w:val="-7"/>
        </w:rPr>
        <w:t>．</w:t>
      </w:r>
      <w:r>
        <w:rPr>
          <w:rFonts w:ascii="微软雅黑" w:eastAsia="微软雅黑" w:hint="eastAsia"/>
          <w:b/>
          <w:spacing w:val="-149"/>
        </w:rPr>
        <w:t>逆</w:t>
      </w:r>
      <w:r>
        <w:rPr>
          <w:spacing w:val="2"/>
          <w:position w:val="-7"/>
        </w:rPr>
        <w:t>．</w:t>
      </w:r>
      <w:r>
        <w:rPr>
          <w:rFonts w:ascii="Times New Roman" w:eastAsia="Times New Roman"/>
          <w:spacing w:val="2"/>
          <w:position w:val="10"/>
          <w:sz w:val="14"/>
        </w:rPr>
        <w:t>22</w:t>
      </w:r>
      <w:r>
        <w:rPr>
          <w:rFonts w:ascii="Times New Roman" w:eastAsia="Times New Roman"/>
          <w:spacing w:val="1"/>
          <w:position w:val="10"/>
          <w:sz w:val="14"/>
        </w:rPr>
        <w:t> </w:t>
      </w:r>
      <w:r>
        <w:rPr>
          <w:spacing w:val="-7"/>
        </w:rPr>
        <w:t>性丧失，在 </w:t>
      </w:r>
      <w:r>
        <w:rPr/>
        <w:t>500 赫兹、1000</w:t>
      </w:r>
      <w:r>
        <w:rPr>
          <w:spacing w:val="-5"/>
        </w:rPr>
        <w:t> 赫兹和 </w:t>
      </w:r>
      <w:r>
        <w:rPr/>
        <w:t>2000</w:t>
      </w:r>
      <w:r>
        <w:rPr>
          <w:spacing w:val="-2"/>
        </w:rPr>
        <w:t> 赫兹语音频率</w:t>
      </w:r>
    </w:p>
    <w:p>
      <w:pPr>
        <w:spacing w:line="223" w:lineRule="auto" w:before="40"/>
        <w:ind w:left="203" w:right="1428" w:firstLine="9"/>
        <w:jc w:val="left"/>
        <w:rPr>
          <w:rFonts w:ascii="微软雅黑" w:eastAsia="微软雅黑" w:hint="eastAsia"/>
          <w:b/>
          <w:sz w:val="21"/>
        </w:rPr>
      </w:pPr>
      <w:r>
        <w:rPr>
          <w:sz w:val="21"/>
        </w:rPr>
        <w:t>下，平均听阈大于 90 分贝，且经纯音听力测试、声导抗检测或听觉诱发电位检测等证实。</w:t>
      </w:r>
      <w:r>
        <w:rPr>
          <w:rFonts w:ascii="微软雅黑" w:eastAsia="微软雅黑" w:hint="eastAsia"/>
          <w:b/>
          <w:sz w:val="21"/>
        </w:rPr>
        <w:t>申请理赔时需提供被保险人的听力丧失诊断及相关检查报告。</w:t>
      </w:r>
    </w:p>
    <w:p>
      <w:pPr>
        <w:spacing w:line="288"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line="272" w:lineRule="exact"/>
        <w:ind w:left="203"/>
        <w:jc w:val="both"/>
      </w:pPr>
      <w:r>
        <w:rPr/>
        <w:t>指因疾病或意外伤害导致双眼视力永久不可逆性丧失，双眼中较好眼须满足下列至少一项条件：</w:t>
      </w:r>
    </w:p>
    <w:p>
      <w:pPr>
        <w:pStyle w:val="BodyText"/>
        <w:spacing w:before="36"/>
        <w:ind w:left="414"/>
      </w:pPr>
      <w:r>
        <w:rPr/>
        <w:t>Ⅰ 眼球缺失或摘除；</w:t>
      </w:r>
    </w:p>
    <w:p>
      <w:pPr>
        <w:pStyle w:val="BodyText"/>
        <w:spacing w:before="36"/>
        <w:ind w:left="414"/>
      </w:pPr>
      <w:r>
        <w:rPr>
          <w:w w:val="201"/>
        </w:rPr>
        <w:t>"</w:t>
      </w:r>
      <w:r>
        <w:rPr>
          <w:spacing w:val="-2"/>
        </w:rPr>
        <w:t> </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2" w:lineRule="exact" w:before="36"/>
        <w:ind w:left="414"/>
      </w:pPr>
      <w:r>
        <w:rPr/>
        <w:t>Ⅲ 视野半径小于 5 度。</w:t>
      </w:r>
    </w:p>
    <w:p>
      <w:pPr>
        <w:pStyle w:val="Heading3"/>
        <w:spacing w:line="314" w:lineRule="exact"/>
        <w:ind w:left="203"/>
        <w:jc w:val="both"/>
        <w:rPr>
          <w:rFonts w:ascii="微软雅黑" w:eastAsia="微软雅黑" w:hint="eastAsia"/>
        </w:rPr>
      </w:pPr>
      <w:r>
        <w:rPr>
          <w:rFonts w:ascii="微软雅黑" w:eastAsia="微软雅黑" w:hint="eastAsia"/>
        </w:rPr>
        <w:t>申请理赔时需提供被保险人的视力丧失诊断及相关检查报告，双侧眼球摘除不受此时间限制。</w:t>
      </w:r>
    </w:p>
    <w:p>
      <w:pPr>
        <w:spacing w:line="323"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line="271" w:lineRule="exact"/>
        <w:ind w:left="203"/>
        <w:jc w:val="both"/>
      </w:pPr>
      <w:r>
        <w:rPr>
          <w:spacing w:val="-9"/>
        </w:rPr>
        <w:t>指因疾病或意外伤害导致两肢或两肢以上肢体机能永久完全丧失。肢体机能永久完全丧失，指疾病确诊 </w:t>
      </w:r>
      <w:r>
        <w:rPr/>
        <w:t>180</w:t>
      </w:r>
    </w:p>
    <w:p>
      <w:pPr>
        <w:pStyle w:val="BodyText"/>
        <w:spacing w:line="251" w:lineRule="exact" w:before="38"/>
        <w:jc w:val="both"/>
      </w:pPr>
      <w:r>
        <w:rPr/>
        <w:t>天后或意外伤害发生 180 天后，每肢三大关节中的两大关节仍然完全僵硬，或不能随意识活动。</w:t>
      </w:r>
    </w:p>
    <w:p>
      <w:pPr>
        <w:spacing w:line="337"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49" w:lineRule="exact"/>
        <w:ind w:left="203"/>
        <w:jc w:val="both"/>
      </w:pPr>
      <w:r>
        <w:rPr/>
        <w:t>指为治疗心脏瓣膜疾病，实际实施了开胸进行的心脏瓣膜置换或修复的手术。</w:t>
      </w:r>
    </w:p>
    <w:p>
      <w:pPr>
        <w:spacing w:line="336"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严重阿尔茨海默症</w:t>
      </w:r>
    </w:p>
    <w:p>
      <w:pPr>
        <w:pStyle w:val="BodyText"/>
        <w:spacing w:line="273" w:lineRule="auto"/>
        <w:ind w:right="202" w:hanging="10"/>
        <w:jc w:val="both"/>
      </w:pPr>
      <w:r>
        <w:rPr>
          <w:spacing w:val="-5"/>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2"/>
        </w:rPr>
        <w:t>电子发射断层扫描（PET）等影像学检查证实，且自主生活能力完全丧失，无法独立完成六项基本日常生</w:t>
      </w:r>
      <w:r>
        <w:rPr>
          <w:spacing w:val="-3"/>
        </w:rPr>
        <w:t>活活动中的三项或三项以上。</w:t>
      </w:r>
    </w:p>
    <w:p>
      <w:pPr>
        <w:pStyle w:val="Heading3"/>
        <w:spacing w:line="283" w:lineRule="exact" w:before="4"/>
        <w:ind w:left="203"/>
        <w:jc w:val="both"/>
        <w:rPr>
          <w:rFonts w:ascii="微软雅黑" w:eastAsia="微软雅黑" w:hint="eastAsia"/>
        </w:rPr>
      </w:pPr>
      <w:r>
        <w:rPr>
          <w:rFonts w:ascii="微软雅黑" w:eastAsia="微软雅黑" w:hint="eastAsia"/>
        </w:rPr>
        <w:t>神经官能症和精神疾病不在保障范围内。</w:t>
      </w:r>
    </w:p>
    <w:p>
      <w:pPr>
        <w:spacing w:line="301" w:lineRule="exact" w:before="0"/>
        <w:ind w:left="203"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24"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line="272" w:lineRule="exact"/>
        <w:ind w:left="203"/>
        <w:jc w:val="both"/>
      </w:pPr>
      <w:r>
        <w:rPr/>
        <w:t>指因头部遭受机械性外力，引起脑重要部位损伤，导致神经系统永久性的功能障碍。须由头颅断层扫描</w:t>
      </w:r>
    </w:p>
    <w:p>
      <w:pPr>
        <w:pStyle w:val="BodyText"/>
        <w:spacing w:line="273" w:lineRule="auto" w:before="37"/>
        <w:ind w:right="204" w:hanging="1"/>
      </w:pP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）等影像学检查证实。神经系统永久性的功能</w:t>
      </w:r>
      <w:r>
        <w:rPr>
          <w:spacing w:val="-9"/>
        </w:rPr>
        <w:t>障碍，指脑损伤 </w:t>
      </w:r>
      <w:r>
        <w:rPr/>
        <w:t>180</w:t>
      </w:r>
      <w:r>
        <w:rPr>
          <w:spacing w:val="-3"/>
        </w:rPr>
        <w:t> 天后，仍遗留下列一种或一种以上障碍：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51" w:lineRule="exact" w:before="36"/>
        <w:ind w:left="414"/>
      </w:pPr>
      <w:r>
        <w:rPr/>
        <w:t>Ⅲ 自主生活能力完全丧失，无法独立完成六项基本日常生活活动中的三项或三项以上。</w:t>
      </w:r>
    </w:p>
    <w:p>
      <w:pPr>
        <w:spacing w:line="336"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line="271" w:lineRule="exact"/>
        <w:ind w:left="203"/>
        <w:jc w:val="both"/>
      </w:pPr>
      <w:r>
        <w:rPr/>
        <w:t>是一种中枢神经系统的退行性疾病，临床表现为震颤麻痹、共济失调等。须满足下列全部条件：</w:t>
      </w:r>
    </w:p>
    <w:p>
      <w:pPr>
        <w:pStyle w:val="BodyText"/>
        <w:spacing w:before="36"/>
        <w:ind w:left="414"/>
      </w:pPr>
      <w:r>
        <w:rPr/>
        <w:t>Ⅰ 药物治疗无法控制病情；</w:t>
      </w:r>
    </w:p>
    <w:p>
      <w:pPr>
        <w:spacing w:line="223" w:lineRule="auto" w:before="56"/>
        <w:ind w:left="203" w:right="1481" w:firstLine="211"/>
        <w:jc w:val="left"/>
        <w:rPr>
          <w:rFonts w:ascii="微软雅黑" w:eastAsia="微软雅黑" w:hint="eastAsia"/>
          <w:b/>
          <w:sz w:val="21"/>
        </w:rPr>
      </w:pPr>
      <w:r>
        <w:rPr>
          <w:w w:val="185"/>
          <w:sz w:val="21"/>
        </w:rPr>
        <w:t>" </w:t>
      </w:r>
      <w:r>
        <w:rPr>
          <w:sz w:val="21"/>
        </w:rPr>
        <w:t>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Heading3"/>
        <w:spacing w:line="276" w:lineRule="exact"/>
        <w:ind w:left="203"/>
        <w:rPr>
          <w:rFonts w:ascii="微软雅黑" w:eastAsia="微软雅黑" w:hint="eastAsia"/>
        </w:rPr>
      </w:pPr>
      <w:r>
        <w:rPr>
          <w:rFonts w:ascii="微软雅黑" w:eastAsia="微软雅黑" w:hint="eastAsia"/>
        </w:rPr>
        <w:t>我们只对被保险人在 70 周岁前被确诊患有本病承担保险责任。</w:t>
      </w:r>
    </w:p>
    <w:p>
      <w:pPr>
        <w:spacing w:line="324"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ind w:right="158" w:hanging="10"/>
      </w:pPr>
      <w:r>
        <w:rPr/>
        <w:t>指烧伤程度为Ⅲ度，且Ⅲ度烧伤的面积达到全身体表面积的 20％或 20％以上。体表面积根据《中国新九分法》计算。</w:t>
      </w:r>
    </w:p>
    <w:p>
      <w:pPr>
        <w:spacing w:line="283" w:lineRule="exact" w:before="2"/>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after="0" w:line="273" w:lineRule="auto"/>
        <w:sectPr>
          <w:pgSz w:w="11900" w:h="16840"/>
          <w:pgMar w:header="892" w:footer="547"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52"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283" w:lineRule="exact" w:before="2"/>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ind w:right="98" w:hanging="10"/>
      </w:pPr>
      <w:r>
        <w:rPr>
          <w:spacing w:val="-8"/>
          <w:w w:val="100"/>
        </w:rPr>
        <w:t>指因疾病或意外伤害导致完全丧失语言能力，经过积极治疗至少</w:t>
      </w:r>
      <w:r>
        <w:rPr>
          <w:spacing w:val="-8"/>
        </w:rPr>
        <w:t> </w:t>
      </w:r>
      <w:r>
        <w:rPr>
          <w:w w:val="100"/>
        </w:rPr>
        <w:t>12</w:t>
      </w:r>
      <w:r>
        <w:rPr/>
        <w:t> </w:t>
      </w:r>
      <w:r>
        <w:rPr>
          <w:spacing w:val="-44"/>
          <w:w w:val="100"/>
        </w:rPr>
        <w:t>个月</w:t>
      </w:r>
      <w:r>
        <w:rPr>
          <w:spacing w:val="-3"/>
          <w:w w:val="100"/>
        </w:rPr>
        <w:t>（声带完全切除不受此时间限制</w:t>
      </w:r>
      <w:r>
        <w:rPr>
          <w:spacing w:val="-108"/>
          <w:w w:val="100"/>
        </w:rPr>
        <w:t>）</w:t>
      </w:r>
      <w:r>
        <w:rPr>
          <w:w w:val="100"/>
        </w:rPr>
        <w:t>，</w:t>
      </w:r>
      <w:r>
        <w:rPr>
          <w:spacing w:val="-3"/>
        </w:rPr>
        <w:t>仍无法通过现有医疗手段恢复。</w:t>
      </w:r>
    </w:p>
    <w:p>
      <w:pPr>
        <w:pStyle w:val="Heading3"/>
        <w:spacing w:line="206" w:lineRule="auto"/>
        <w:ind w:left="203" w:right="3730" w:firstLine="9"/>
        <w:rPr>
          <w:rFonts w:ascii="微软雅黑" w:eastAsia="微软雅黑" w:hint="eastAsia"/>
        </w:rPr>
      </w:pPr>
      <w:r>
        <w:rPr>
          <w:rFonts w:ascii="微软雅黑" w:eastAsia="微软雅黑" w:hint="eastAsia"/>
        </w:rPr>
        <w:t>申请理赔时需提供被保险人的语言能力丧失诊断及相关检查报告。精神心理因素所致的语言能力丧失不在保障范围内。</w:t>
      </w:r>
    </w:p>
    <w:p>
      <w:pPr>
        <w:spacing w:line="288"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line="272" w:lineRule="exact"/>
        <w:ind w:left="203"/>
        <w:jc w:val="both"/>
      </w:pPr>
      <w:r>
        <w:rPr/>
        <w:t>指因骨髓造血功能慢性持续性衰竭导致的贫血、中性粒细胞减少及血小板减少。须满足下列全部条件：</w:t>
      </w:r>
    </w:p>
    <w:p>
      <w:pPr>
        <w:pStyle w:val="BodyText"/>
        <w:spacing w:before="37"/>
        <w:ind w:left="414"/>
      </w:pPr>
      <w:r>
        <w:rPr/>
        <w:t>Ⅰ 骨髓穿刺检查或骨髓活检结果支持诊断；</w:t>
      </w:r>
    </w:p>
    <w:p>
      <w:pPr>
        <w:pStyle w:val="BodyText"/>
        <w:spacing w:before="37"/>
        <w:ind w:left="414"/>
      </w:pPr>
      <w:r>
        <w:rPr>
          <w:spacing w:val="-56"/>
          <w:w w:val="140"/>
        </w:rPr>
        <w:t>" </w:t>
      </w:r>
      <w:r>
        <w:rPr>
          <w:spacing w:val="-3"/>
          <w:w w:val="105"/>
        </w:rPr>
        <w:t>外周血象须具备以下三项条件：</w:t>
      </w:r>
    </w:p>
    <w:p>
      <w:pPr>
        <w:pStyle w:val="BodyText"/>
        <w:spacing w:before="37"/>
        <w:ind w:left="728"/>
      </w:pPr>
      <w:r>
        <w:rPr/>
        <w:t>①中性粒细胞绝对值 ≤0.5×10</w:t>
      </w:r>
      <w:r>
        <w:rPr>
          <w:position w:val="11"/>
          <w:sz w:val="11"/>
        </w:rPr>
        <w:t>9</w:t>
      </w:r>
      <w:r>
        <w:rPr/>
        <w:t>/L ；</w:t>
      </w:r>
    </w:p>
    <w:p>
      <w:pPr>
        <w:pStyle w:val="BodyText"/>
        <w:spacing w:before="37"/>
        <w:ind w:left="728"/>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51" w:lineRule="exact" w:before="37"/>
        <w:ind w:left="728"/>
      </w:pPr>
      <w:r>
        <w:rPr/>
        <w:t>③血小板绝对值 ≤20×10</w:t>
      </w:r>
      <w:r>
        <w:rPr>
          <w:position w:val="11"/>
          <w:sz w:val="11"/>
        </w:rPr>
        <w:t>9</w:t>
      </w:r>
      <w:r>
        <w:rPr/>
        <w:t>/L。</w:t>
      </w:r>
    </w:p>
    <w:p>
      <w:pPr>
        <w:spacing w:line="336"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3"/>
        <w:spacing w:line="272" w:lineRule="exact" w:before="4"/>
        <w:ind w:left="203"/>
        <w:rPr>
          <w:rFonts w:ascii="微软雅黑" w:eastAsia="微软雅黑" w:hint="eastAsia"/>
        </w:rPr>
      </w:pPr>
      <w:r>
        <w:rPr>
          <w:rFonts w:ascii="微软雅黑" w:eastAsia="微软雅黑" w:hint="eastAsia"/>
        </w:rPr>
        <w:t>动脉内血管成形术不在保障范围内。</w:t>
      </w:r>
    </w:p>
    <w:p>
      <w:pPr>
        <w:spacing w:line="323"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慢性呼吸功能衰竭</w:t>
      </w:r>
    </w:p>
    <w:p>
      <w:pPr>
        <w:pStyle w:val="BodyText"/>
        <w:spacing w:line="273" w:lineRule="auto"/>
        <w:ind w:right="186" w:hanging="10"/>
      </w:pPr>
      <w:r>
        <w:rPr/>
        <w:t>慢性肺部疾病导致永久不可逆性的慢性呼吸功能衰竭。慢性呼吸功能衰竭必须明确诊断并满足下列全部条件：</w:t>
      </w:r>
    </w:p>
    <w:p>
      <w:pPr>
        <w:pStyle w:val="BodyText"/>
        <w:spacing w:before="11"/>
        <w:ind w:left="414"/>
      </w:pPr>
      <w:r>
        <w:rPr>
          <w:position w:val="1"/>
        </w:rPr>
        <w:t>Ⅰ 动脉血氧分压（PaO</w:t>
      </w:r>
      <w:r>
        <w:rPr>
          <w:sz w:val="11"/>
        </w:rPr>
        <w:t>2</w:t>
      </w:r>
      <w:r>
        <w:rPr>
          <w:position w:val="1"/>
        </w:rPr>
        <w:t>）&lt;50mmHg；</w:t>
      </w:r>
    </w:p>
    <w:p>
      <w:pPr>
        <w:pStyle w:val="BodyText"/>
        <w:spacing w:before="37"/>
        <w:ind w:left="414"/>
      </w:pPr>
      <w:r>
        <w:rPr>
          <w:w w:val="105"/>
          <w:position w:val="1"/>
        </w:rPr>
        <w:t>" 动脉血氧饱和度（SaO</w:t>
      </w:r>
      <w:r>
        <w:rPr>
          <w:w w:val="105"/>
          <w:sz w:val="11"/>
        </w:rPr>
        <w:t>2</w:t>
      </w:r>
      <w:r>
        <w:rPr>
          <w:w w:val="105"/>
          <w:position w:val="1"/>
        </w:rPr>
        <w:t>）&lt;80％；</w:t>
      </w:r>
    </w:p>
    <w:p>
      <w:pPr>
        <w:pStyle w:val="BodyText"/>
        <w:spacing w:line="262" w:lineRule="exact" w:before="37"/>
        <w:ind w:left="414"/>
      </w:pPr>
      <w:r>
        <w:rPr/>
        <w:t>Ⅲ 因缺氧必须接受持续的输氧治疗。</w:t>
      </w:r>
    </w:p>
    <w:p>
      <w:pPr>
        <w:pStyle w:val="Heading3"/>
        <w:spacing w:line="314" w:lineRule="exact"/>
        <w:ind w:left="203"/>
        <w:jc w:val="both"/>
        <w:rPr>
          <w:rFonts w:ascii="微软雅黑" w:eastAsia="微软雅黑" w:hint="eastAsia"/>
        </w:rPr>
      </w:pPr>
      <w:r>
        <w:rPr>
          <w:rFonts w:ascii="微软雅黑" w:eastAsia="微软雅黑" w:hint="eastAsia"/>
        </w:rPr>
        <w:t>理赔时必须提供以上三项相应的证明文件或检查报告。</w:t>
      </w:r>
    </w:p>
    <w:p>
      <w:pPr>
        <w:spacing w:line="324" w:lineRule="exact" w:before="0"/>
        <w:ind w:left="318" w:right="0" w:firstLine="0"/>
        <w:jc w:val="left"/>
        <w:rPr>
          <w:rFonts w:ascii="微软雅黑" w:eastAsia="微软雅黑" w:hint="eastAsia"/>
          <w:b/>
          <w:sz w:val="21"/>
        </w:rPr>
      </w:pPr>
      <w:r>
        <w:rPr>
          <w:w w:val="100"/>
          <w:sz w:val="21"/>
        </w:rPr>
        <w:t>（2</w:t>
      </w:r>
      <w:r>
        <w:rPr>
          <w:spacing w:val="-3"/>
          <w:w w:val="100"/>
          <w:sz w:val="21"/>
        </w:rPr>
        <w:t>7）</w:t>
      </w:r>
      <w:r>
        <w:rPr>
          <w:rFonts w:ascii="微软雅黑" w:eastAsia="微软雅黑" w:hint="eastAsia"/>
          <w:b/>
          <w:spacing w:val="-1"/>
          <w:w w:val="100"/>
          <w:sz w:val="21"/>
          <w:u w:val="single"/>
        </w:rPr>
        <w:t>经输血导致的人类免疫缺陷病毒</w:t>
      </w:r>
      <w:r>
        <w:rPr>
          <w:rFonts w:ascii="微软雅黑" w:eastAsia="微软雅黑" w:hint="eastAsia"/>
          <w:b/>
          <w:w w:val="100"/>
          <w:sz w:val="21"/>
          <w:u w:val="single"/>
        </w:rPr>
        <w:t>（</w:t>
      </w:r>
      <w:r>
        <w:rPr>
          <w:rFonts w:ascii="微软雅黑" w:eastAsia="微软雅黑" w:hint="eastAsia"/>
          <w:b/>
          <w:w w:val="61"/>
          <w:sz w:val="21"/>
          <w:u w:val="single"/>
        </w:rPr>
        <w:t>H</w:t>
      </w:r>
      <w:r>
        <w:rPr>
          <w:rFonts w:ascii="微软雅黑" w:eastAsia="微软雅黑" w:hint="eastAsia"/>
          <w:b/>
          <w:w w:val="149"/>
          <w:sz w:val="21"/>
          <w:u w:val="single"/>
        </w:rPr>
        <w:t>I</w:t>
      </w:r>
      <w:r>
        <w:rPr>
          <w:rFonts w:ascii="微软雅黑" w:eastAsia="微软雅黑" w:hint="eastAsia"/>
          <w:b/>
          <w:w w:val="70"/>
          <w:sz w:val="21"/>
          <w:u w:val="single"/>
        </w:rPr>
        <w:t>V</w:t>
      </w:r>
      <w:r>
        <w:rPr>
          <w:rFonts w:ascii="微软雅黑" w:eastAsia="微软雅黑" w:hint="eastAsia"/>
          <w:b/>
          <w:w w:val="100"/>
          <w:sz w:val="21"/>
          <w:u w:val="single"/>
        </w:rPr>
        <w:t>）感染</w:t>
      </w:r>
    </w:p>
    <w:p>
      <w:pPr>
        <w:pStyle w:val="BodyText"/>
        <w:spacing w:line="272" w:lineRule="exact"/>
        <w:ind w:left="203"/>
        <w:jc w:val="both"/>
      </w:pPr>
      <w:r>
        <w:rPr/>
        <w:t>被保险人因输血而感染上人类免疫缺陷病毒（HIV）必须满足以下的条件：</w:t>
      </w:r>
    </w:p>
    <w:p>
      <w:pPr>
        <w:pStyle w:val="BodyText"/>
        <w:spacing w:before="38"/>
        <w:ind w:left="414"/>
      </w:pPr>
      <w:r>
        <w:rPr/>
        <w:t>Ⅰ 在保障起始日或复效日之后，被保险人因输血而感染 HIV；</w:t>
      </w:r>
    </w:p>
    <w:p>
      <w:pPr>
        <w:pStyle w:val="BodyText"/>
        <w:spacing w:line="262" w:lineRule="exact" w:before="37"/>
        <w:ind w:left="414"/>
      </w:pPr>
      <w:r>
        <w:rPr>
          <w:w w:val="105"/>
        </w:rPr>
        <w:t>" 提供输血前一个月内 HIV 检查阴性的报告以及输血后 HIV 检查阳性的报告。</w:t>
      </w:r>
    </w:p>
    <w:p>
      <w:pPr>
        <w:pStyle w:val="Heading3"/>
        <w:spacing w:line="206" w:lineRule="auto" w:before="37"/>
        <w:ind w:left="203" w:right="523" w:hanging="1"/>
        <w:rPr>
          <w:rFonts w:ascii="微软雅黑" w:eastAsia="微软雅黑" w:hint="eastAsia"/>
        </w:rPr>
      </w:pPr>
      <w:r>
        <w:rPr>
          <w:rFonts w:ascii="微软雅黑" w:eastAsia="微软雅黑" w:hint="eastAsia"/>
          <w:w w:val="100"/>
        </w:rPr>
        <w:t>任何因其他传播方式（包括：性传播或静脉注射毒品）导致的</w:t>
      </w:r>
      <w:r>
        <w:rPr>
          <w:rFonts w:ascii="微软雅黑" w:eastAsia="微软雅黑" w:hint="eastAsia"/>
        </w:rPr>
        <w:t> </w:t>
      </w:r>
      <w:r>
        <w:rPr>
          <w:rFonts w:ascii="微软雅黑" w:eastAsia="微软雅黑" w:hint="eastAsia"/>
          <w:w w:val="61"/>
        </w:rPr>
        <w:t>H</w:t>
      </w:r>
      <w:r>
        <w:rPr>
          <w:rFonts w:ascii="微软雅黑" w:eastAsia="微软雅黑" w:hint="eastAsia"/>
          <w:w w:val="149"/>
        </w:rPr>
        <w:t>I</w:t>
      </w:r>
      <w:r>
        <w:rPr>
          <w:rFonts w:ascii="微软雅黑" w:eastAsia="微软雅黑" w:hint="eastAsia"/>
          <w:w w:val="70"/>
        </w:rPr>
        <w:t>V</w:t>
      </w:r>
      <w:r>
        <w:rPr>
          <w:rFonts w:ascii="微软雅黑" w:eastAsia="微软雅黑" w:hint="eastAsia"/>
        </w:rPr>
        <w:t> </w:t>
      </w:r>
      <w:r>
        <w:rPr>
          <w:rFonts w:ascii="微软雅黑" w:eastAsia="微软雅黑" w:hint="eastAsia"/>
          <w:w w:val="100"/>
        </w:rPr>
        <w:t>感染不在本附加合同保障范围内。</w:t>
      </w:r>
      <w:r>
        <w:rPr>
          <w:rFonts w:ascii="微软雅黑" w:eastAsia="微软雅黑" w:hint="eastAsia"/>
        </w:rPr>
        <w:t>我们拥有获得使用被保险人的所有血液样本的权利和能够对这些样本进行独立检验的权利。</w:t>
      </w:r>
    </w:p>
    <w:p>
      <w:pPr>
        <w:spacing w:line="276" w:lineRule="exact" w:before="0"/>
        <w:ind w:left="203" w:right="0" w:firstLine="0"/>
        <w:jc w:val="left"/>
        <w:rPr>
          <w:rFonts w:ascii="微软雅黑" w:eastAsia="微软雅黑" w:hint="eastAsia"/>
          <w:b/>
          <w:sz w:val="21"/>
        </w:rPr>
      </w:pPr>
      <w:r>
        <w:rPr>
          <w:rFonts w:ascii="微软雅黑" w:eastAsia="微软雅黑" w:hint="eastAsia"/>
          <w:b/>
          <w:sz w:val="21"/>
        </w:rPr>
        <w:t>（本附加合同责任免除条款第五项不适用于此病种。）</w:t>
      </w:r>
    </w:p>
    <w:p>
      <w:pPr>
        <w:spacing w:line="323"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系统性硬皮病</w:t>
      </w:r>
    </w:p>
    <w:p>
      <w:pPr>
        <w:pStyle w:val="BodyText"/>
        <w:spacing w:line="273" w:lineRule="auto"/>
        <w:ind w:right="204" w:hanging="10"/>
      </w:pPr>
      <w:r>
        <w:rPr>
          <w:w w:val="100"/>
        </w:rPr>
        <w:t>系统性硬皮病（须累及内脏器官</w:t>
      </w:r>
      <w:r>
        <w:rPr>
          <w:spacing w:val="-106"/>
          <w:w w:val="100"/>
        </w:rPr>
        <w:t>）</w:t>
      </w:r>
      <w:r>
        <w:rPr>
          <w:w w:val="100"/>
        </w:rPr>
        <w:t>，指一种以局限性或弥漫性皮肤增厚和皮肤、血管、内脏器官异常纤维</w:t>
      </w:r>
      <w:r>
        <w:rPr>
          <w:spacing w:val="-3"/>
        </w:rPr>
        <w:t>化为特征的结缔组织病。本病须经专科医生明确诊断，并须满足下列至少一项条件：</w:t>
      </w:r>
    </w:p>
    <w:p>
      <w:pPr>
        <w:pStyle w:val="BodyText"/>
        <w:spacing w:before="12"/>
        <w:ind w:left="414"/>
      </w:pPr>
      <w:r>
        <w:rPr/>
        <w:t>Ⅰ 肺脏：肺部病变进而发展为肺间质纤维化和肺动脉高压；</w:t>
      </w:r>
    </w:p>
    <w:p>
      <w:pPr>
        <w:pStyle w:val="BodyText"/>
        <w:spacing w:before="37"/>
        <w:ind w:left="414"/>
      </w:pPr>
      <w:r>
        <w:rPr/>
        <w:t>" 心脏：心功能受损达到美国纽约心脏病学会心功能状态分级 IV 级；</w:t>
      </w:r>
    </w:p>
    <w:p>
      <w:pPr>
        <w:pStyle w:val="BodyText"/>
        <w:spacing w:line="251" w:lineRule="exact" w:before="37"/>
        <w:ind w:left="414"/>
      </w:pPr>
      <w:r>
        <w:rPr/>
        <w:t>Ⅲ 肾脏：肾脏受损导致双肾功能慢性不可逆衰竭，达到尿毒症期。</w:t>
      </w:r>
    </w:p>
    <w:p>
      <w:pPr>
        <w:spacing w:line="337"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严重克隆病</w:t>
      </w:r>
    </w:p>
    <w:p>
      <w:pPr>
        <w:pStyle w:val="BodyText"/>
        <w:spacing w:line="273" w:lineRule="auto"/>
        <w:ind w:right="190" w:hanging="10"/>
      </w:pPr>
      <w:r>
        <w:rPr/>
        <w:t>克隆病是一种慢性肉芽肿性肠炎，具有特征性的克隆病病理组织学变化。诊断必须由病理检查结果证实。被保险人所患的克隆病必须已经造成瘘管形成并伴有肠梗阻或肠穿孔。</w:t>
      </w:r>
    </w:p>
    <w:p>
      <w:pPr>
        <w:spacing w:line="283" w:lineRule="exact" w:before="2"/>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多发性硬化</w:t>
      </w:r>
    </w:p>
    <w:p>
      <w:pPr>
        <w:pStyle w:val="BodyText"/>
        <w:spacing w:line="273" w:lineRule="auto"/>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1"/>
          <w:w w:val="100"/>
        </w:rPr>
        <w:t>上</w:t>
      </w:r>
      <w:r>
        <w:rPr>
          <w:w w:val="100"/>
        </w:rPr>
        <w:t>（不包含一次）的发作]的病变，须由计算机断层扫描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t>扫描（PET）等影像学检查证实，且已经造成自主生活能力完全丧失，无法独立完成六项基本日常生活活</w:t>
      </w:r>
      <w:r>
        <w:rPr>
          <w:spacing w:val="-6"/>
        </w:rPr>
        <w:t>动中的三项或三项以上，持续至少 </w:t>
      </w:r>
      <w:r>
        <w:rPr/>
        <w:t>180</w:t>
      </w:r>
      <w:r>
        <w:rPr>
          <w:spacing w:val="1"/>
        </w:rPr>
        <w:t> 天。</w:t>
      </w:r>
    </w:p>
    <w:p>
      <w:pPr>
        <w:spacing w:after="0" w:line="273" w:lineRule="auto"/>
        <w:jc w:val="both"/>
        <w:sectPr>
          <w:pgSz w:w="11900" w:h="16840"/>
          <w:pgMar w:header="892" w:footer="547"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52"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颅脑手术</w:t>
      </w:r>
    </w:p>
    <w:p>
      <w:pPr>
        <w:spacing w:line="223" w:lineRule="auto" w:before="16"/>
        <w:ind w:left="203" w:right="2184" w:firstLine="0"/>
        <w:jc w:val="left"/>
        <w:rPr>
          <w:rFonts w:ascii="微软雅黑" w:eastAsia="微软雅黑" w:hint="eastAsia"/>
          <w:b/>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r>
        <w:rPr>
          <w:rFonts w:ascii="微软雅黑" w:eastAsia="微软雅黑" w:hint="eastAsia"/>
          <w:b/>
          <w:spacing w:val="-3"/>
          <w:sz w:val="21"/>
        </w:rPr>
        <w:t>因外伤而实施的脑外科手术不在保障范围之内。</w:t>
      </w:r>
    </w:p>
    <w:p>
      <w:pPr>
        <w:pStyle w:val="Heading3"/>
        <w:spacing w:line="276" w:lineRule="exact"/>
        <w:ind w:left="203"/>
        <w:rPr>
          <w:rFonts w:ascii="微软雅黑" w:eastAsia="微软雅黑" w:hint="eastAsia"/>
        </w:rPr>
      </w:pPr>
      <w:r>
        <w:rPr>
          <w:rFonts w:ascii="微软雅黑" w:eastAsia="微软雅黑" w:hint="eastAsia"/>
        </w:rPr>
        <w:t>理赔时必须提供由专科医生出具的诊断书及手术报告。</w:t>
      </w:r>
    </w:p>
    <w:p>
      <w:pPr>
        <w:spacing w:line="323"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重症肌无力</w:t>
      </w:r>
    </w:p>
    <w:p>
      <w:pPr>
        <w:pStyle w:val="BodyText"/>
        <w:spacing w:line="273" w:lineRule="auto"/>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pStyle w:val="BodyText"/>
        <w:spacing w:before="12"/>
        <w:ind w:left="414"/>
      </w:pPr>
      <w:r>
        <w:rPr/>
        <w:t>Ⅰ 经药物、胸腺手术治疗一年以上无法控制病情，丧失正常工作能力；</w:t>
      </w:r>
    </w:p>
    <w:p>
      <w:pPr>
        <w:pStyle w:val="BodyText"/>
        <w:spacing w:line="273" w:lineRule="auto" w:before="37"/>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51" w:lineRule="exact" w:before="8"/>
        <w:ind w:left="414"/>
      </w:pPr>
      <w:r>
        <w:rPr/>
        <w:t>Ⅲ 症状缓解、复发及恶化交替出现，临床接受新斯的明等抗胆碱酯酶药物治疗的病史。</w:t>
      </w:r>
    </w:p>
    <w:p>
      <w:pPr>
        <w:spacing w:line="337"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严重心肌病</w:t>
      </w:r>
    </w:p>
    <w:p>
      <w:pPr>
        <w:pStyle w:val="BodyText"/>
        <w:spacing w:line="273" w:lineRule="auto"/>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10"/>
          <w:w w:val="100"/>
        </w:rPr>
        <w:t>活动，休息时仍有心悸、呼吸困难等心力衰竭表现。</w:t>
      </w:r>
      <w:r>
        <w:rPr>
          <w:spacing w:val="-106"/>
          <w:w w:val="100"/>
        </w:rPr>
        <w:t>）</w:t>
      </w:r>
      <w:r>
        <w:rPr>
          <w:spacing w:val="-4"/>
          <w:w w:val="100"/>
        </w:rPr>
        <w:t>，必须由专科医生确认，并有包括超声心动图在内的</w:t>
      </w:r>
      <w:r>
        <w:rPr>
          <w:spacing w:val="-3"/>
        </w:rPr>
        <w:t>相关检查证实。</w:t>
      </w:r>
    </w:p>
    <w:p>
      <w:pPr>
        <w:pStyle w:val="Heading3"/>
        <w:spacing w:line="272" w:lineRule="exact" w:before="2"/>
        <w:ind w:left="203"/>
        <w:rPr>
          <w:rFonts w:ascii="微软雅黑" w:eastAsia="微软雅黑" w:hint="eastAsia"/>
        </w:rPr>
      </w:pPr>
      <w:r>
        <w:rPr>
          <w:rFonts w:ascii="微软雅黑" w:eastAsia="微软雅黑" w:hint="eastAsia"/>
        </w:rPr>
        <w:t>酗酒或滥用药物引起的心肌病不在保险责任范围内。</w:t>
      </w:r>
    </w:p>
    <w:p>
      <w:pPr>
        <w:spacing w:line="323"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象皮病</w:t>
      </w:r>
    </w:p>
    <w:p>
      <w:pPr>
        <w:pStyle w:val="BodyText"/>
        <w:spacing w:line="273" w:lineRule="auto"/>
        <w:ind w:right="202" w:hanging="10"/>
        <w:jc w:val="both"/>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pStyle w:val="Heading3"/>
        <w:spacing w:line="283" w:lineRule="exact" w:before="3"/>
        <w:ind w:left="318"/>
        <w:rPr>
          <w:rFonts w:ascii="微软雅黑" w:hAnsi="微软雅黑" w:eastAsia="微软雅黑" w:hint="eastAsia"/>
        </w:rPr>
      </w:pPr>
      <w:r>
        <w:rPr>
          <w:rFonts w:ascii="宋体" w:hAnsi="宋体" w:eastAsia="宋体" w:hint="eastAsia"/>
          <w:b w:val="0"/>
        </w:rPr>
        <w:t>（35）</w:t>
      </w:r>
      <w:r>
        <w:rPr>
          <w:rFonts w:ascii="微软雅黑" w:hAnsi="微软雅黑" w:eastAsia="微软雅黑" w:hint="eastAsia"/>
          <w:u w:val="single"/>
        </w:rPr>
        <w:t>系统性红斑狼疮-Ⅲ型或以上狼疮性肾炎</w:t>
      </w:r>
    </w:p>
    <w:p>
      <w:pPr>
        <w:pStyle w:val="BodyText"/>
        <w:spacing w:line="273" w:lineRule="auto"/>
        <w:ind w:right="202" w:hanging="10"/>
        <w:jc w:val="both"/>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9"/>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7"/>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7"/>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7"/>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51" w:lineRule="exact" w:before="37"/>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spacing w:line="337"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严重类风湿性关节炎</w:t>
      </w:r>
    </w:p>
    <w:p>
      <w:pPr>
        <w:pStyle w:val="BodyText"/>
        <w:spacing w:line="273" w:lineRule="auto"/>
        <w:ind w:right="202" w:hanging="10"/>
        <w:jc w:val="both"/>
      </w:pPr>
      <w:r>
        <w:rPr>
          <w:spacing w:val="-10"/>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w w:val="100"/>
        </w:rPr>
        <w:t>趾、跖趾关节</w:t>
      </w:r>
      <w:r>
        <w:rPr>
          <w:spacing w:val="-106"/>
          <w:w w:val="100"/>
        </w:rPr>
        <w:t>）</w:t>
      </w:r>
      <w:r>
        <w:rPr>
          <w:spacing w:val="1"/>
          <w:w w:val="100"/>
        </w:rPr>
        <w:t>，</w:t>
      </w:r>
      <w:r>
        <w:rPr>
          <w:w w:val="100"/>
        </w:rPr>
        <w:t>X</w:t>
      </w:r>
      <w:r>
        <w:rPr/>
        <w:t> </w:t>
      </w:r>
      <w:r>
        <w:rPr>
          <w:w w:val="100"/>
        </w:rPr>
        <w:t>线显示严重的关节（软骨和骨）破坏和关节畸形，并已达到类风湿性关节炎功能分级</w:t>
      </w:r>
    </w:p>
    <w:p>
      <w:pPr>
        <w:pStyle w:val="BodyText"/>
        <w:spacing w:line="273" w:lineRule="auto" w:before="10"/>
        <w:ind w:right="206" w:hanging="1"/>
        <w:jc w:val="both"/>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272"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严重冠心病</w:t>
      </w:r>
    </w:p>
    <w:p>
      <w:pPr>
        <w:pStyle w:val="BodyText"/>
        <w:spacing w:line="260" w:lineRule="exact"/>
        <w:ind w:left="203"/>
      </w:pPr>
      <w:r>
        <w:rPr/>
        <w:t>指根据冠状动脉造影检查结果确诊的主要血管严重狭窄性病变，须满足下列至少一项条件：</w:t>
      </w:r>
    </w:p>
    <w:p>
      <w:pPr>
        <w:pStyle w:val="BodyText"/>
        <w:spacing w:line="237" w:lineRule="auto" w:before="2"/>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37" w:lineRule="auto" w:before="1"/>
        <w:ind w:right="209"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3"/>
        <w:spacing w:line="253" w:lineRule="exact"/>
        <w:ind w:left="203"/>
        <w:jc w:val="both"/>
        <w:rPr>
          <w:rFonts w:ascii="微软雅黑" w:eastAsia="微软雅黑" w:hint="eastAsia"/>
        </w:rPr>
      </w:pPr>
      <w:r>
        <w:rPr>
          <w:rFonts w:ascii="微软雅黑" w:eastAsia="微软雅黑" w:hint="eastAsia"/>
        </w:rPr>
        <w:t>前降支、左旋支及右冠状动脉的分支血管的狭窄不作为本保障的衡量指标。</w:t>
      </w:r>
    </w:p>
    <w:p>
      <w:pPr>
        <w:spacing w:line="317"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急性出血坏死性胰腺炎</w:t>
      </w:r>
    </w:p>
    <w:p>
      <w:pPr>
        <w:spacing w:after="0" w:line="317" w:lineRule="exact"/>
        <w:jc w:val="left"/>
        <w:rPr>
          <w:rFonts w:ascii="微软雅黑" w:eastAsia="微软雅黑" w:hint="eastAsia"/>
          <w:sz w:val="21"/>
        </w:rPr>
        <w:sectPr>
          <w:pgSz w:w="11900" w:h="16840"/>
          <w:pgMar w:header="892" w:footer="547"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22" w:hanging="10"/>
      </w:pPr>
      <w:r>
        <w:rPr>
          <w:spacing w:val="-5"/>
        </w:rPr>
        <w:t>指被保险人因为急性出血坏死性胰腺炎已经接受了外科开腹手术治疗，以进行坏死组织清除、坏死病灶切</w:t>
      </w:r>
      <w:r>
        <w:rPr>
          <w:spacing w:val="-4"/>
        </w:rPr>
        <w:t>除或胰腺切除。</w:t>
      </w:r>
    </w:p>
    <w:p>
      <w:pPr>
        <w:pStyle w:val="Heading3"/>
        <w:spacing w:line="272" w:lineRule="exact"/>
        <w:ind w:left="203"/>
        <w:rPr>
          <w:rFonts w:ascii="微软雅黑" w:eastAsia="微软雅黑" w:hint="eastAsia"/>
        </w:rPr>
      </w:pPr>
      <w:r>
        <w:rPr>
          <w:rFonts w:ascii="微软雅黑" w:eastAsia="微软雅黑" w:hint="eastAsia"/>
        </w:rPr>
        <w:t>因饮酒所致的急性出血坏死性胰腺炎或经腹腔镜手术进行的治疗不在保障范围内。</w:t>
      </w:r>
    </w:p>
    <w:p>
      <w:pPr>
        <w:spacing w:line="313"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溶血性链球菌引起的坏疽</w:t>
      </w:r>
    </w:p>
    <w:p>
      <w:pPr>
        <w:pStyle w:val="BodyText"/>
        <w:spacing w:line="237" w:lineRule="auto"/>
        <w:ind w:right="306"/>
      </w:pPr>
      <w:r>
        <w:rPr/>
        <w:t>包围肢体或躯干的浅筋膜和/或深筋膜受到溶血性链球菌的感染，病情在短时间内急剧恶化，已经立刻进行了手术及清创术。最后的诊断必须由微生物或病理学专家进行相关检查后证实。</w:t>
      </w:r>
    </w:p>
    <w:p>
      <w:pPr>
        <w:spacing w:line="285" w:lineRule="exact" w:before="11"/>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坏死性筋膜炎</w:t>
      </w:r>
    </w:p>
    <w:p>
      <w:pPr>
        <w:pStyle w:val="BodyText"/>
        <w:spacing w:line="258" w:lineRule="exact"/>
        <w:jc w:val="both"/>
      </w:pPr>
      <w:r>
        <w:rPr/>
        <w:t>坏死性筋膜炎的诊断须同时符合下列要求：</w:t>
      </w:r>
    </w:p>
    <w:p>
      <w:pPr>
        <w:pStyle w:val="BodyText"/>
        <w:spacing w:line="272" w:lineRule="exact"/>
        <w:ind w:left="423"/>
      </w:pPr>
      <w:r>
        <w:rPr/>
        <w:t>Ⅰ 符合坏死性筋膜炎的一般临床表现；</w:t>
      </w:r>
    </w:p>
    <w:p>
      <w:pPr>
        <w:pStyle w:val="BodyText"/>
        <w:spacing w:line="272" w:lineRule="exact"/>
        <w:ind w:left="423"/>
      </w:pPr>
      <w:r>
        <w:rPr>
          <w:w w:val="105"/>
        </w:rPr>
        <w:t>" 细菌培养检出致病菌；</w:t>
      </w:r>
    </w:p>
    <w:p>
      <w:pPr>
        <w:pStyle w:val="BodyText"/>
        <w:ind w:right="2406" w:firstLine="211"/>
      </w:pPr>
      <w:r>
        <w:rPr/>
        <w:t>Ⅲ 出现广泛性肌肉及软组织坏死，并导致身体受影响部位永久完全失去功能。所谓永久完全失去功能是指受影响部位的全部功能完全丧失超过 180 天者。</w:t>
      </w:r>
    </w:p>
    <w:p>
      <w:pPr>
        <w:spacing w:line="283" w:lineRule="exact" w:before="1"/>
        <w:ind w:left="318" w:right="0" w:firstLine="0"/>
        <w:jc w:val="left"/>
        <w:rPr>
          <w:rFonts w:ascii="微软雅黑" w:eastAsia="微软雅黑" w:hint="eastAsia"/>
          <w:b/>
          <w:sz w:val="21"/>
        </w:rPr>
      </w:pPr>
      <w:r>
        <w:rPr>
          <w:sz w:val="21"/>
        </w:rPr>
        <w:t>（41）</w:t>
      </w:r>
      <w:r>
        <w:rPr>
          <w:rFonts w:ascii="微软雅黑" w:eastAsia="微软雅黑" w:hint="eastAsia"/>
          <w:b/>
          <w:sz w:val="21"/>
          <w:u w:val="single"/>
        </w:rPr>
        <w:t>非阿尔茨海默病所致严重痴呆</w:t>
      </w:r>
    </w:p>
    <w:p>
      <w:pPr>
        <w:pStyle w:val="BodyText"/>
        <w:spacing w:line="237" w:lineRule="auto"/>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3"/>
        <w:spacing w:line="253" w:lineRule="exact" w:before="11"/>
        <w:rPr>
          <w:rFonts w:ascii="微软雅黑" w:eastAsia="微软雅黑" w:hint="eastAsia"/>
        </w:rPr>
      </w:pPr>
      <w:r>
        <w:rPr>
          <w:rFonts w:ascii="微软雅黑" w:eastAsia="微软雅黑" w:hint="eastAsia"/>
        </w:rPr>
        <w:t>神经官能症和精神疾病不在保障范围内。</w:t>
      </w:r>
    </w:p>
    <w:p>
      <w:pPr>
        <w:spacing w:line="304"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37" w:lineRule="auto"/>
        <w:ind w:right="22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11"/>
        </w:rPr>
        <w:t>丧失的情况予以理赔。肢体机能永久完全丧失，指疾病确诊 </w:t>
      </w:r>
      <w:r>
        <w:rPr/>
        <w:t>180</w:t>
      </w:r>
      <w:r>
        <w:rPr>
          <w:spacing w:val="-3"/>
        </w:rPr>
        <w:t> 天后，每肢三大关节中的两大关节仍然完全僵硬，或不能随意识活动。</w:t>
      </w:r>
    </w:p>
    <w:p>
      <w:pPr>
        <w:spacing w:line="285" w:lineRule="exact" w:before="1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慢性肾上腺皮质功能衰竭</w:t>
      </w:r>
    </w:p>
    <w:p>
      <w:pPr>
        <w:pStyle w:val="BodyText"/>
        <w:spacing w:line="274" w:lineRule="exact" w:before="11"/>
        <w:ind w:right="116"/>
      </w:pPr>
      <w:r>
        <w:rPr>
          <w:spacing w:val="-12"/>
        </w:rPr>
        <w:t>因为自身免疫功能紊乱，使肾上腺组织逐渐受损，而需要长期接受糖皮质激素及肾上腺皮质激素替代疗法。</w:t>
      </w:r>
      <w:r>
        <w:rPr>
          <w:spacing w:val="-6"/>
        </w:rPr>
        <w:t>该病必须经专科医生确诊，并有以下报告作为证据：</w:t>
      </w:r>
    </w:p>
    <w:p>
      <w:pPr>
        <w:pStyle w:val="BodyText"/>
        <w:spacing w:line="245" w:lineRule="exact"/>
        <w:ind w:left="423"/>
      </w:pPr>
      <w:r>
        <w:rPr/>
        <w:t>Ⅰ 促肾上腺皮质激素(ACTH)刺激试验；</w:t>
      </w:r>
    </w:p>
    <w:p>
      <w:pPr>
        <w:pStyle w:val="BodyText"/>
        <w:spacing w:line="272" w:lineRule="exact"/>
        <w:ind w:left="423"/>
      </w:pPr>
      <w:r>
        <w:rPr>
          <w:w w:val="105"/>
        </w:rPr>
        <w:t>" 胰岛素血糖减少测试；</w:t>
      </w:r>
    </w:p>
    <w:p>
      <w:pPr>
        <w:pStyle w:val="BodyText"/>
        <w:spacing w:line="272" w:lineRule="exact"/>
        <w:ind w:left="423"/>
      </w:pPr>
      <w:r>
        <w:rPr/>
        <w:t>Ⅲ 血浆促肾上腺皮质激素(ACTH)水平测定；</w:t>
      </w:r>
    </w:p>
    <w:p>
      <w:pPr>
        <w:pStyle w:val="BodyText"/>
        <w:spacing w:line="241" w:lineRule="exact"/>
        <w:ind w:left="423"/>
      </w:pPr>
      <w:r>
        <w:rPr/>
        <w:t>Ⅳ 血浆肾素活性(PRA)测定</w:t>
      </w:r>
    </w:p>
    <w:p>
      <w:pPr>
        <w:pStyle w:val="Heading3"/>
        <w:spacing w:line="284" w:lineRule="exact"/>
        <w:jc w:val="both"/>
        <w:rPr>
          <w:rFonts w:ascii="微软雅黑" w:eastAsia="微软雅黑" w:hint="eastAsia"/>
        </w:rPr>
      </w:pPr>
      <w:r>
        <w:rPr>
          <w:rFonts w:ascii="微软雅黑" w:eastAsia="微软雅黑" w:hint="eastAsia"/>
        </w:rPr>
        <w:t>慢性肾上腺皮质功能衰竭只对由自身免疫功能紊乱引起的承担保险责任，其他原因引起的除外。</w:t>
      </w:r>
    </w:p>
    <w:p>
      <w:pPr>
        <w:spacing w:line="304" w:lineRule="exact" w:before="0"/>
        <w:ind w:left="318" w:right="0" w:firstLine="0"/>
        <w:jc w:val="left"/>
        <w:rPr>
          <w:rFonts w:ascii="微软雅黑" w:hAnsi="微软雅黑" w:eastAsia="微软雅黑" w:hint="eastAsia"/>
          <w:b/>
          <w:sz w:val="21"/>
        </w:rPr>
      </w:pPr>
      <w:r>
        <w:rPr>
          <w:sz w:val="21"/>
        </w:rPr>
        <w:t>（44）</w:t>
      </w:r>
      <w:r>
        <w:rPr>
          <w:rFonts w:ascii="微软雅黑" w:hAnsi="微软雅黑" w:eastAsia="微软雅黑" w:hint="eastAsia"/>
          <w:b/>
          <w:sz w:val="21"/>
          <w:u w:val="single"/>
        </w:rPr>
        <w:t>严重的胰岛素依赖型糖尿病（Ⅰ型糖尿病）</w:t>
      </w:r>
    </w:p>
    <w:p>
      <w:pPr>
        <w:pStyle w:val="BodyText"/>
        <w:spacing w:line="237" w:lineRule="auto"/>
        <w:ind w:right="22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285" w:lineRule="exact" w:before="1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74" w:lineRule="exact" w:before="11"/>
        <w:ind w:right="222" w:hanging="1"/>
      </w:pPr>
      <w:r>
        <w:rPr>
          <w:spacing w:val="-5"/>
        </w:rPr>
        <w:t>是一组原发于肌肉的遗传性的肌肉病变。主要临床特征为受累骨骼肌肉的无力和肌肉萎缩。经专科医生确</w:t>
      </w:r>
      <w:r>
        <w:rPr>
          <w:spacing w:val="-4"/>
        </w:rPr>
        <w:t>认符合以下四项诊断指标中的三项：</w:t>
      </w:r>
    </w:p>
    <w:p>
      <w:pPr>
        <w:pStyle w:val="BodyText"/>
        <w:spacing w:line="245" w:lineRule="exact"/>
        <w:ind w:left="424"/>
      </w:pPr>
      <w:r>
        <w:rPr/>
        <w:t>Ⅰ 家族史中有其他成员患相同疾病；</w:t>
      </w:r>
    </w:p>
    <w:p>
      <w:pPr>
        <w:pStyle w:val="BodyText"/>
        <w:spacing w:line="272" w:lineRule="exact"/>
        <w:ind w:left="424"/>
      </w:pPr>
      <w:r>
        <w:rPr/>
        <w:t>"  临床表现包括：无感觉神经紊乱，正常脑脊液及轻微腱反射的减退；</w:t>
      </w:r>
    </w:p>
    <w:p>
      <w:pPr>
        <w:pStyle w:val="BodyText"/>
        <w:spacing w:line="272" w:lineRule="exact"/>
        <w:ind w:left="424"/>
      </w:pPr>
      <w:r>
        <w:rPr/>
        <w:t>Ⅲ 典型的肌电图；</w:t>
      </w:r>
    </w:p>
    <w:p>
      <w:pPr>
        <w:pStyle w:val="BodyText"/>
        <w:spacing w:line="241" w:lineRule="exact"/>
        <w:ind w:left="424"/>
      </w:pPr>
      <w:r>
        <w:rPr/>
        <w:t>Ⅳ 临床推测必须有肌肉或组织检查加以证实。</w:t>
      </w:r>
    </w:p>
    <w:p>
      <w:pPr>
        <w:pStyle w:val="Heading3"/>
        <w:spacing w:line="285" w:lineRule="exact"/>
        <w:jc w:val="both"/>
        <w:rPr>
          <w:rFonts w:ascii="微软雅黑" w:eastAsia="微软雅黑" w:hint="eastAsia"/>
        </w:rPr>
      </w:pPr>
      <w:r>
        <w:rPr>
          <w:rFonts w:ascii="微软雅黑" w:eastAsia="微软雅黑" w:hint="eastAsia"/>
        </w:rPr>
        <w:t>（本附加合同责任免除条款第八项不适用于此病种。）</w:t>
      </w:r>
    </w:p>
    <w:p>
      <w:pPr>
        <w:spacing w:line="304"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严重溃疡性结肠炎</w:t>
      </w:r>
    </w:p>
    <w:p>
      <w:pPr>
        <w:pStyle w:val="BodyText"/>
        <w:spacing w:line="274" w:lineRule="exact" w:before="11"/>
        <w:ind w:right="22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258"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严重哮喘</w:t>
      </w:r>
    </w:p>
    <w:p>
      <w:pPr>
        <w:pStyle w:val="BodyText"/>
        <w:spacing w:line="260" w:lineRule="exact"/>
        <w:jc w:val="both"/>
      </w:pPr>
      <w:r>
        <w:rPr/>
        <w:t>指一种反复发作的严重支气管阻塞性疾病，须符合下列全部标准：</w:t>
      </w:r>
    </w:p>
    <w:p>
      <w:pPr>
        <w:pStyle w:val="BodyText"/>
        <w:spacing w:line="272" w:lineRule="exact"/>
        <w:ind w:left="423"/>
      </w:pPr>
      <w:r>
        <w:rPr/>
        <w:t>Ⅰ 过去两年中曾因哮喘持续状态住院治疗，并提供完整住院记录；</w:t>
      </w:r>
    </w:p>
    <w:p>
      <w:pPr>
        <w:pStyle w:val="BodyText"/>
        <w:spacing w:line="272" w:lineRule="exact"/>
        <w:ind w:left="423"/>
      </w:pPr>
      <w:r>
        <w:rPr>
          <w:w w:val="120"/>
        </w:rPr>
        <w:t>" </w:t>
      </w:r>
      <w:r>
        <w:rPr>
          <w:w w:val="105"/>
        </w:rPr>
        <w:t>身体活动耐受能力显著且持续下降；</w:t>
      </w:r>
    </w:p>
    <w:p>
      <w:pPr>
        <w:pStyle w:val="BodyText"/>
        <w:spacing w:line="272" w:lineRule="exact"/>
        <w:ind w:left="423"/>
      </w:pPr>
      <w:r>
        <w:rPr/>
        <w:t>Ⅲ 因慢性过度换气导致胸廓畸形；</w:t>
      </w:r>
    </w:p>
    <w:p>
      <w:pPr>
        <w:pStyle w:val="BodyText"/>
        <w:spacing w:line="272" w:lineRule="exact"/>
        <w:ind w:left="423"/>
      </w:pPr>
      <w:r>
        <w:rPr/>
        <w:t>Ⅳ 在家中需要医生处方的氧气治疗法；</w:t>
      </w:r>
    </w:p>
    <w:p>
      <w:pPr>
        <w:pStyle w:val="BodyText"/>
        <w:spacing w:line="240" w:lineRule="exact"/>
        <w:ind w:left="423"/>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30"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原发性硬化性胆管炎</w:t>
      </w:r>
    </w:p>
    <w:p>
      <w:pPr>
        <w:spacing w:after="0" w:line="330" w:lineRule="exact"/>
        <w:jc w:val="left"/>
        <w:rPr>
          <w:rFonts w:ascii="微软雅黑" w:eastAsia="微软雅黑" w:hint="eastAsia"/>
          <w:sz w:val="21"/>
        </w:rPr>
        <w:sectPr>
          <w:footerReference w:type="default" r:id="rId15"/>
          <w:pgSz w:w="11900" w:h="16840"/>
          <w:pgMar w:footer="547" w:header="892" w:top="1080" w:bottom="740" w:left="920" w:right="900"/>
          <w:pgNumType w:start="1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54"/>
        <w:ind w:right="20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line="271" w:lineRule="exact"/>
        <w:ind w:left="424"/>
      </w:pPr>
      <w:r>
        <w:rPr/>
        <w:t>Ⅰ 总胆红素和直接胆红素同时升高，血清 ALP&gt;200U/L；</w:t>
      </w:r>
    </w:p>
    <w:p>
      <w:pPr>
        <w:pStyle w:val="BodyText"/>
        <w:spacing w:line="272" w:lineRule="exact"/>
        <w:ind w:left="424"/>
      </w:pPr>
      <w:r>
        <w:rPr>
          <w:w w:val="110"/>
        </w:rPr>
        <w:t>" 持续性黄疸病史；</w:t>
      </w:r>
    </w:p>
    <w:p>
      <w:pPr>
        <w:pStyle w:val="BodyText"/>
        <w:spacing w:line="240" w:lineRule="exact"/>
        <w:ind w:left="424"/>
      </w:pPr>
      <w:r>
        <w:rPr/>
        <w:t>Ⅲ 出现胆汁性肝硬化或门脉高压。</w:t>
      </w:r>
    </w:p>
    <w:p>
      <w:pPr>
        <w:pStyle w:val="Heading3"/>
        <w:spacing w:line="285" w:lineRule="exact"/>
        <w:rPr>
          <w:rFonts w:ascii="微软雅黑" w:eastAsia="微软雅黑" w:hint="eastAsia"/>
        </w:rPr>
      </w:pPr>
      <w:r>
        <w:rPr>
          <w:rFonts w:ascii="微软雅黑" w:eastAsia="微软雅黑" w:hint="eastAsia"/>
        </w:rPr>
        <w:t>因肿瘤或胆管损伤等继发性的硬化性胆管炎不在保障范围内。</w:t>
      </w:r>
    </w:p>
    <w:p>
      <w:pPr>
        <w:spacing w:line="304"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植物人</w:t>
      </w:r>
    </w:p>
    <w:p>
      <w:pPr>
        <w:spacing w:line="213" w:lineRule="auto" w:before="16"/>
        <w:ind w:left="212" w:right="98" w:hanging="1"/>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w w:val="100"/>
          <w:sz w:val="21"/>
        </w:rPr>
        <w:t>确</w:t>
      </w:r>
      <w:r>
        <w:rPr>
          <w:spacing w:val="-5"/>
          <w:w w:val="100"/>
          <w:sz w:val="21"/>
        </w:rPr>
        <w:t>诊断,并有头颅断层扫描</w:t>
      </w:r>
      <w:r>
        <w:rPr>
          <w:w w:val="100"/>
          <w:sz w:val="21"/>
        </w:rPr>
        <w:t>（CT</w:t>
      </w:r>
      <w:r>
        <w:rPr>
          <w:spacing w:val="-106"/>
          <w:w w:val="100"/>
          <w:sz w:val="21"/>
        </w:rPr>
        <w:t>）</w:t>
      </w:r>
      <w:r>
        <w:rPr>
          <w:spacing w:val="-9"/>
          <w:w w:val="100"/>
          <w:sz w:val="21"/>
        </w:rPr>
        <w:t>，核磁共振检查</w:t>
      </w:r>
      <w:r>
        <w:rPr>
          <w:w w:val="100"/>
          <w:sz w:val="21"/>
        </w:rPr>
        <w:t>（M</w:t>
      </w:r>
      <w:r>
        <w:rPr>
          <w:spacing w:val="-3"/>
          <w:w w:val="100"/>
          <w:sz w:val="21"/>
        </w:rPr>
        <w:t>R</w:t>
      </w:r>
      <w:r>
        <w:rPr>
          <w:w w:val="100"/>
          <w:sz w:val="21"/>
        </w:rPr>
        <w:t>I</w:t>
      </w:r>
      <w:r>
        <w:rPr>
          <w:spacing w:val="-22"/>
          <w:w w:val="100"/>
          <w:sz w:val="21"/>
        </w:rPr>
        <w:t>）</w:t>
      </w:r>
      <w:r>
        <w:rPr>
          <w:spacing w:val="-6"/>
          <w:w w:val="100"/>
          <w:sz w:val="21"/>
        </w:rPr>
        <w:t>或正电子发射断层扫描</w:t>
      </w:r>
      <w:r>
        <w:rPr>
          <w:w w:val="100"/>
          <w:sz w:val="21"/>
        </w:rPr>
        <w:t>（PET</w:t>
      </w:r>
      <w:r>
        <w:rPr>
          <w:spacing w:val="-24"/>
          <w:w w:val="100"/>
          <w:sz w:val="21"/>
        </w:rPr>
        <w:t>）</w:t>
      </w:r>
      <w:r>
        <w:rPr>
          <w:spacing w:val="-3"/>
          <w:w w:val="100"/>
          <w:sz w:val="21"/>
        </w:rPr>
        <w:t>等影像学检查证实。</w:t>
      </w:r>
      <w:r>
        <w:rPr>
          <w:rFonts w:ascii="微软雅黑" w:eastAsia="微软雅黑" w:hint="eastAsia"/>
          <w:b/>
          <w:sz w:val="21"/>
        </w:rPr>
        <w:t>上</w:t>
      </w:r>
      <w:r>
        <w:rPr>
          <w:rFonts w:ascii="微软雅黑" w:eastAsia="微软雅黑" w:hint="eastAsia"/>
          <w:b/>
          <w:spacing w:val="-3"/>
          <w:sz w:val="21"/>
        </w:rPr>
        <w:t>述情况必须有至少一个月的病历记录加以证实。由于酗酒或滥用药物所致的植物人状态不在保障范围</w:t>
      </w:r>
    </w:p>
    <w:p>
      <w:pPr>
        <w:pStyle w:val="Heading3"/>
        <w:spacing w:line="228" w:lineRule="exact"/>
        <w:rPr>
          <w:rFonts w:ascii="微软雅黑" w:eastAsia="微软雅黑" w:hint="eastAsia"/>
        </w:rPr>
      </w:pPr>
      <w:r>
        <w:rPr>
          <w:rFonts w:ascii="微软雅黑" w:eastAsia="微软雅黑" w:hint="eastAsia"/>
        </w:rPr>
        <w:t>内。</w:t>
      </w:r>
    </w:p>
    <w:p>
      <w:pPr>
        <w:spacing w:line="304" w:lineRule="exact" w:before="0"/>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主动脉夹层血肿</w:t>
      </w:r>
    </w:p>
    <w:p>
      <w:pPr>
        <w:pStyle w:val="BodyText"/>
        <w:spacing w:line="237" w:lineRule="auto"/>
        <w:ind w:right="202"/>
      </w:pPr>
      <w:r>
        <w:rPr>
          <w:spacing w:val="-6"/>
        </w:rPr>
        <w:t>是指主动脉壁在受到某些病理因素的破坏后，高速、高压的主动脉血流将其内膜撕裂，以致主动脉腔内的</w:t>
      </w:r>
      <w:r>
        <w:rPr>
          <w:spacing w:val="-4"/>
          <w:w w:val="100"/>
        </w:rPr>
        <w:t>血流通过主动脉内膜的破裂口进入主动脉内壁而形成血肿。被保险人需通过</w:t>
      </w:r>
      <w:r>
        <w:rPr>
          <w:spacing w:val="-55"/>
        </w:rPr>
        <w:t> </w:t>
      </w:r>
      <w:r>
        <w:rPr>
          <w:w w:val="100"/>
        </w:rPr>
        <w:t>X</w:t>
      </w:r>
      <w:r>
        <w:rPr>
          <w:spacing w:val="-53"/>
        </w:rPr>
        <w:t> </w:t>
      </w:r>
      <w:r>
        <w:rPr>
          <w:spacing w:val="-3"/>
          <w:w w:val="100"/>
        </w:rPr>
        <w:t>线断层扫描（</w:t>
      </w:r>
      <w:r>
        <w:rPr>
          <w:w w:val="100"/>
        </w:rPr>
        <w:t>CT</w:t>
      </w:r>
      <w:r>
        <w:rPr>
          <w:spacing w:val="-108"/>
          <w:w w:val="100"/>
        </w:rPr>
        <w:t>）</w:t>
      </w:r>
      <w:r>
        <w:rPr>
          <w:spacing w:val="-3"/>
          <w:w w:val="100"/>
        </w:rPr>
        <w:t>、磁共振扫描（</w:t>
      </w:r>
      <w:r>
        <w:rPr>
          <w:w w:val="100"/>
        </w:rPr>
        <w:t>MRI</w:t>
      </w:r>
      <w:r>
        <w:rPr>
          <w:spacing w:val="-108"/>
          <w:w w:val="100"/>
        </w:rPr>
        <w:t>）</w:t>
      </w:r>
      <w:r>
        <w:rPr>
          <w:spacing w:val="-3"/>
          <w:w w:val="100"/>
        </w:rPr>
        <w:t>、磁共振血管检验法</w:t>
      </w:r>
      <w:r>
        <w:rPr>
          <w:w w:val="100"/>
        </w:rPr>
        <w:t>（M</w:t>
      </w:r>
      <w:r>
        <w:rPr>
          <w:spacing w:val="-3"/>
          <w:w w:val="100"/>
        </w:rPr>
        <w:t>R</w:t>
      </w:r>
      <w:r>
        <w:rPr>
          <w:w w:val="100"/>
        </w:rPr>
        <w:t>A</w:t>
      </w:r>
      <w:r>
        <w:rPr>
          <w:spacing w:val="-3"/>
          <w:w w:val="100"/>
        </w:rPr>
        <w:t>）或血管扫描等检查，并且实施了胸腹切开的直视主动脉手术。</w:t>
      </w:r>
    </w:p>
    <w:p>
      <w:pPr>
        <w:spacing w:line="283" w:lineRule="exact" w:before="10"/>
        <w:ind w:left="318" w:right="0" w:firstLine="0"/>
        <w:jc w:val="left"/>
        <w:rPr>
          <w:rFonts w:ascii="微软雅黑" w:eastAsia="微软雅黑" w:hint="eastAsia"/>
          <w:b/>
          <w:sz w:val="21"/>
        </w:rPr>
      </w:pPr>
      <w:r>
        <w:rPr>
          <w:sz w:val="21"/>
        </w:rPr>
        <w:t>（51）</w:t>
      </w:r>
      <w:r>
        <w:rPr>
          <w:rFonts w:ascii="微软雅黑" w:eastAsia="微软雅黑" w:hint="eastAsia"/>
          <w:b/>
          <w:sz w:val="21"/>
          <w:u w:val="single"/>
        </w:rPr>
        <w:t>慢性复发性胰腺炎</w:t>
      </w:r>
    </w:p>
    <w:p>
      <w:pPr>
        <w:pStyle w:val="BodyText"/>
        <w:spacing w:line="237" w:lineRule="auto"/>
        <w:ind w:right="202" w:hanging="1"/>
      </w:pPr>
      <w:r>
        <w:rPr>
          <w:spacing w:val="-5"/>
        </w:rPr>
        <w:t>胰腺炎反复发作超过三次以上并导致胰腺功能紊乱和营养不良，已接受酶替代治疗。诊断必须有专科医生</w:t>
      </w:r>
      <w:r>
        <w:rPr>
          <w:spacing w:val="-4"/>
        </w:rPr>
        <w:t>确认并且有内窥镜逆行胰胆管造影所证实。</w:t>
      </w:r>
    </w:p>
    <w:p>
      <w:pPr>
        <w:pStyle w:val="Heading3"/>
        <w:spacing w:line="253" w:lineRule="exact" w:before="11"/>
        <w:rPr>
          <w:rFonts w:ascii="微软雅黑" w:eastAsia="微软雅黑" w:hint="eastAsia"/>
        </w:rPr>
      </w:pPr>
      <w:r>
        <w:rPr>
          <w:rFonts w:ascii="微软雅黑" w:eastAsia="微软雅黑" w:hint="eastAsia"/>
        </w:rPr>
        <w:t>因酒精所致的慢性复发性胰腺炎除外。</w:t>
      </w:r>
    </w:p>
    <w:p>
      <w:pPr>
        <w:spacing w:line="304" w:lineRule="exact" w:before="0"/>
        <w:ind w:left="318" w:right="0" w:firstLine="0"/>
        <w:jc w:val="left"/>
        <w:rPr>
          <w:rFonts w:ascii="微软雅黑" w:eastAsia="微软雅黑" w:hint="eastAsia"/>
          <w:b/>
          <w:sz w:val="21"/>
        </w:rPr>
      </w:pPr>
      <w:r>
        <w:rPr>
          <w:sz w:val="21"/>
        </w:rPr>
        <w:t>（52）</w:t>
      </w:r>
      <w:r>
        <w:rPr>
          <w:rFonts w:ascii="微软雅黑" w:eastAsia="微软雅黑" w:hint="eastAsia"/>
          <w:b/>
          <w:sz w:val="21"/>
          <w:u w:val="single"/>
        </w:rPr>
        <w:t>胰腺移植</w:t>
      </w:r>
    </w:p>
    <w:p>
      <w:pPr>
        <w:spacing w:line="192" w:lineRule="auto" w:before="41"/>
        <w:ind w:left="212" w:right="2489" w:hanging="1"/>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单纯胰岛移植、部分胰腺组织或细胞的移植不在本保障范围内。</w:t>
      </w:r>
    </w:p>
    <w:p>
      <w:pPr>
        <w:pStyle w:val="Heading3"/>
        <w:spacing w:line="259" w:lineRule="exact"/>
        <w:ind w:left="318"/>
        <w:rPr>
          <w:rFonts w:ascii="微软雅黑" w:eastAsia="微软雅黑" w:hint="eastAsia"/>
        </w:rPr>
      </w:pPr>
      <w:r>
        <w:rPr>
          <w:rFonts w:ascii="宋体" w:eastAsia="宋体" w:hint="eastAsia"/>
          <w:b w:val="0"/>
          <w:w w:val="100"/>
        </w:rPr>
        <w:t>（5</w:t>
      </w:r>
      <w:r>
        <w:rPr>
          <w:rFonts w:ascii="宋体" w:eastAsia="宋体" w:hint="eastAsia"/>
          <w:b w:val="0"/>
          <w:spacing w:val="-3"/>
          <w:w w:val="100"/>
        </w:rPr>
        <w:t>3）</w:t>
      </w:r>
      <w:r>
        <w:rPr>
          <w:rFonts w:ascii="微软雅黑" w:eastAsia="微软雅黑" w:hint="eastAsia"/>
          <w:spacing w:val="-1"/>
          <w:w w:val="100"/>
          <w:u w:val="single"/>
        </w:rPr>
        <w:t>因职业关系导致的人类免疫缺陷病毒</w:t>
      </w:r>
      <w:r>
        <w:rPr>
          <w:rFonts w:ascii="微软雅黑" w:eastAsia="微软雅黑" w:hint="eastAsia"/>
          <w:w w:val="100"/>
          <w:u w:val="single"/>
        </w:rPr>
        <w:t>（</w:t>
      </w:r>
      <w:r>
        <w:rPr>
          <w:rFonts w:ascii="微软雅黑" w:eastAsia="微软雅黑" w:hint="eastAsia"/>
          <w:w w:val="61"/>
          <w:u w:val="single"/>
        </w:rPr>
        <w:t>H</w:t>
      </w:r>
      <w:r>
        <w:rPr>
          <w:rFonts w:ascii="微软雅黑" w:eastAsia="微软雅黑" w:hint="eastAsia"/>
          <w:w w:val="149"/>
          <w:u w:val="single"/>
        </w:rPr>
        <w:t>I</w:t>
      </w:r>
      <w:r>
        <w:rPr>
          <w:rFonts w:ascii="微软雅黑" w:eastAsia="微软雅黑" w:hint="eastAsia"/>
          <w:w w:val="70"/>
          <w:u w:val="single"/>
        </w:rPr>
        <w:t>V</w:t>
      </w:r>
      <w:r>
        <w:rPr>
          <w:rFonts w:ascii="微软雅黑" w:eastAsia="微软雅黑" w:hint="eastAsia"/>
          <w:spacing w:val="-3"/>
          <w:w w:val="100"/>
          <w:u w:val="single"/>
        </w:rPr>
        <w:t>）</w:t>
      </w:r>
      <w:r>
        <w:rPr>
          <w:rFonts w:ascii="微软雅黑" w:eastAsia="微软雅黑" w:hint="eastAsia"/>
          <w:w w:val="100"/>
          <w:u w:val="single"/>
        </w:rPr>
        <w:t>感染</w:t>
      </w:r>
    </w:p>
    <w:p>
      <w:pPr>
        <w:pStyle w:val="BodyText"/>
        <w:spacing w:line="260" w:lineRule="exact"/>
      </w:pPr>
      <w:r>
        <w:rPr/>
        <w:t>被保险人在其常规职业工作过程中遭遇外伤，或职业需要处理血液或其它体液时感染上人类免疫缺陷病毒</w:t>
      </w:r>
    </w:p>
    <w:p>
      <w:pPr>
        <w:pStyle w:val="BodyText"/>
        <w:spacing w:line="272" w:lineRule="exact"/>
      </w:pPr>
      <w:r>
        <w:rPr>
          <w:w w:val="100"/>
        </w:rPr>
        <w:t>（HIV</w:t>
      </w:r>
      <w:r>
        <w:rPr>
          <w:spacing w:val="-108"/>
          <w:w w:val="100"/>
        </w:rPr>
        <w:t>）</w:t>
      </w:r>
      <w:r>
        <w:rPr>
          <w:spacing w:val="-3"/>
          <w:w w:val="100"/>
        </w:rPr>
        <w:t>。必须满足下列全部条件：</w:t>
      </w:r>
    </w:p>
    <w:p>
      <w:pPr>
        <w:pStyle w:val="BodyText"/>
        <w:spacing w:line="272" w:lineRule="exact"/>
        <w:ind w:left="424"/>
      </w:pPr>
      <w:r>
        <w:rPr/>
        <w:t>Ⅰ 感染必须是在被保险人正在从事其职业工作中发生，该职业必须属于下列限定职业范围内的职业；</w:t>
      </w:r>
    </w:p>
    <w:p>
      <w:pPr>
        <w:pStyle w:val="BodyText"/>
        <w:spacing w:line="272" w:lineRule="exact"/>
        <w:ind w:left="424"/>
      </w:pPr>
      <w:r>
        <w:rPr>
          <w:spacing w:val="-59"/>
          <w:w w:val="145"/>
        </w:rPr>
        <w:t>" </w:t>
      </w:r>
      <w:r>
        <w:rPr>
          <w:spacing w:val="-9"/>
          <w:w w:val="105"/>
        </w:rPr>
        <w:t>血清转化必须出现在事故发生后的 </w:t>
      </w:r>
      <w:r>
        <w:rPr>
          <w:w w:val="105"/>
        </w:rPr>
        <w:t>6</w:t>
      </w:r>
      <w:r>
        <w:rPr>
          <w:spacing w:val="-18"/>
          <w:w w:val="105"/>
        </w:rPr>
        <w:t> 个月以内；</w:t>
      </w:r>
    </w:p>
    <w:p>
      <w:pPr>
        <w:pStyle w:val="BodyText"/>
        <w:spacing w:line="237" w:lineRule="auto" w:before="1"/>
        <w:ind w:right="286" w:firstLine="211"/>
      </w:pPr>
      <w:r>
        <w:rPr>
          <w:spacing w:val="-5"/>
        </w:rPr>
        <w:t>Ⅲ 必须提供被保险人在所报事故后发生的 </w:t>
      </w:r>
      <w:r>
        <w:rPr/>
        <w:t>5</w:t>
      </w:r>
      <w:r>
        <w:rPr>
          <w:spacing w:val="-8"/>
        </w:rPr>
        <w:t> 天以内进行的检查报告，该报告必须显示被保险人血液人</w:t>
      </w:r>
      <w:r>
        <w:rPr>
          <w:spacing w:val="-3"/>
        </w:rPr>
        <w:t>类免疫缺陷病毒</w:t>
      </w:r>
      <w:r>
        <w:rPr>
          <w:spacing w:val="-1"/>
        </w:rPr>
        <w:t>（HIV）</w:t>
      </w:r>
      <w:r>
        <w:rPr>
          <w:spacing w:val="-2"/>
        </w:rPr>
        <w:t>阴性和</w:t>
      </w:r>
      <w:r>
        <w:rPr>
          <w:spacing w:val="-3"/>
        </w:rPr>
        <w:t>/或人类免疫缺陷病毒</w:t>
      </w:r>
      <w:r>
        <w:rPr/>
        <w:t>（HIV）</w:t>
      </w:r>
      <w:r>
        <w:rPr>
          <w:spacing w:val="-3"/>
        </w:rPr>
        <w:t>抗体阴性；</w:t>
      </w:r>
    </w:p>
    <w:p>
      <w:pPr>
        <w:pStyle w:val="BodyText"/>
        <w:spacing w:line="237" w:lineRule="auto" w:before="1"/>
        <w:ind w:right="288" w:firstLine="211"/>
      </w:pPr>
      <w:r>
        <w:rPr>
          <w:spacing w:val="-6"/>
        </w:rPr>
        <w:t>Ⅳ 必须在事故发生后的 </w:t>
      </w:r>
      <w:r>
        <w:rPr/>
        <w:t>12</w:t>
      </w:r>
      <w:r>
        <w:rPr>
          <w:spacing w:val="-8"/>
        </w:rPr>
        <w:t> 个月内证实被保险人体内存在人类免疫缺陷病毒</w:t>
      </w:r>
      <w:r>
        <w:rPr/>
        <w:t>（HIV）</w:t>
      </w:r>
      <w:r>
        <w:rPr>
          <w:spacing w:val="-3"/>
        </w:rPr>
        <w:t>或人类免疫缺陷病</w:t>
      </w:r>
      <w:r>
        <w:rPr>
          <w:spacing w:val="-1"/>
        </w:rPr>
        <w:t>毒（HIV）</w:t>
      </w:r>
      <w:r>
        <w:rPr>
          <w:spacing w:val="-2"/>
        </w:rPr>
        <w:t>抗体。</w:t>
      </w:r>
    </w:p>
    <w:p>
      <w:pPr>
        <w:pStyle w:val="BodyText"/>
        <w:spacing w:line="272" w:lineRule="exact"/>
      </w:pPr>
      <w:r>
        <w:rPr/>
        <w:t>限定职业：</w:t>
      </w:r>
    </w:p>
    <w:p>
      <w:pPr>
        <w:pStyle w:val="BodyText"/>
        <w:ind w:right="202" w:hanging="1"/>
      </w:pPr>
      <w:r>
        <w:rPr>
          <w:spacing w:val="-7"/>
        </w:rPr>
        <w:t>医生和牙科医生、护士、医院化验室工作人员、医院护工、医生助理和牙医助理、救护车工作人员、助产</w:t>
      </w:r>
      <w:r>
        <w:rPr>
          <w:spacing w:val="-5"/>
        </w:rPr>
        <w:t>士、消防队员、警察、狱警。</w:t>
      </w:r>
    </w:p>
    <w:p>
      <w:pPr>
        <w:pStyle w:val="Heading3"/>
        <w:spacing w:line="252" w:lineRule="exact" w:before="2"/>
        <w:rPr>
          <w:rFonts w:ascii="微软雅黑" w:eastAsia="微软雅黑" w:hint="eastAsia"/>
        </w:rPr>
      </w:pPr>
      <w:r>
        <w:rPr>
          <w:rFonts w:ascii="微软雅黑" w:eastAsia="微软雅黑" w:hint="eastAsia"/>
        </w:rPr>
        <w:t>（本附加合同责任免除条款第五项不适用于此病种。）</w:t>
      </w:r>
    </w:p>
    <w:p>
      <w:pPr>
        <w:spacing w:line="304" w:lineRule="exact" w:before="0"/>
        <w:ind w:left="318" w:right="0" w:firstLine="0"/>
        <w:jc w:val="left"/>
        <w:rPr>
          <w:rFonts w:ascii="微软雅黑" w:eastAsia="微软雅黑" w:hint="eastAsia"/>
          <w:b/>
          <w:sz w:val="21"/>
        </w:rPr>
      </w:pPr>
      <w:r>
        <w:rPr>
          <w:sz w:val="21"/>
        </w:rPr>
        <w:t>（54）</w:t>
      </w:r>
      <w:r>
        <w:rPr>
          <w:rFonts w:ascii="微软雅黑" w:eastAsia="微软雅黑" w:hint="eastAsia"/>
          <w:b/>
          <w:sz w:val="21"/>
          <w:u w:val="single"/>
        </w:rPr>
        <w:t>疯牛病</w:t>
      </w:r>
    </w:p>
    <w:p>
      <w:pPr>
        <w:pStyle w:val="BodyText"/>
        <w:spacing w:line="260" w:lineRule="exact"/>
      </w:pPr>
      <w:r>
        <w:rPr/>
        <w:t>神经系统疾病及致命的成胶质状脑病，并有以下症状：</w:t>
      </w:r>
    </w:p>
    <w:p>
      <w:pPr>
        <w:pStyle w:val="BodyText"/>
        <w:spacing w:line="272" w:lineRule="exact"/>
        <w:ind w:left="423"/>
      </w:pPr>
      <w:r>
        <w:rPr/>
        <w:t>Ⅰ 不能控制的肌肉痉挛及震颤；</w:t>
      </w:r>
    </w:p>
    <w:p>
      <w:pPr>
        <w:pStyle w:val="BodyText"/>
        <w:spacing w:line="272" w:lineRule="exact"/>
        <w:ind w:left="423"/>
      </w:pPr>
      <w:r>
        <w:rPr>
          <w:spacing w:val="-72"/>
          <w:w w:val="170"/>
        </w:rPr>
        <w:t>" </w:t>
      </w:r>
      <w:r>
        <w:rPr>
          <w:spacing w:val="-3"/>
          <w:w w:val="110"/>
        </w:rPr>
        <w:t>逐渐痴呆；</w:t>
      </w:r>
    </w:p>
    <w:p>
      <w:pPr>
        <w:pStyle w:val="BodyText"/>
        <w:spacing w:line="272" w:lineRule="exact"/>
        <w:ind w:left="423"/>
      </w:pPr>
      <w:r>
        <w:rPr/>
        <w:t>Ⅲ 小脑功能不良，共济失调；</w:t>
      </w:r>
    </w:p>
    <w:p>
      <w:pPr>
        <w:pStyle w:val="BodyText"/>
        <w:spacing w:line="272" w:lineRule="exact"/>
        <w:ind w:left="423"/>
      </w:pPr>
      <w:r>
        <w:rPr/>
        <w:t>Ⅳ 手足徐动症；</w:t>
      </w:r>
    </w:p>
    <w:p>
      <w:pPr>
        <w:pStyle w:val="BodyText"/>
        <w:spacing w:line="241" w:lineRule="exact"/>
      </w:pPr>
      <w:r>
        <w:rPr/>
        <w:t>诊断必须由专科医生基于以下检查报告作出：脑电图、脑脊液报告、电脑断层扫描(CT)及核磁共振(MRI)。</w:t>
      </w:r>
    </w:p>
    <w:p>
      <w:pPr>
        <w:spacing w:line="316" w:lineRule="exact" w:before="0"/>
        <w:ind w:left="318" w:right="0" w:firstLine="0"/>
        <w:jc w:val="left"/>
        <w:rPr>
          <w:rFonts w:ascii="微软雅黑" w:eastAsia="微软雅黑" w:hint="eastAsia"/>
          <w:b/>
          <w:sz w:val="21"/>
        </w:rPr>
      </w:pPr>
      <w:r>
        <w:rPr>
          <w:sz w:val="21"/>
        </w:rPr>
        <w:t>（55）</w:t>
      </w:r>
      <w:r>
        <w:rPr>
          <w:rFonts w:ascii="微软雅黑" w:eastAsia="微软雅黑" w:hint="eastAsia"/>
          <w:b/>
          <w:sz w:val="21"/>
          <w:u w:val="single"/>
        </w:rPr>
        <w:t>破裂脑动脉瘤夹闭手术</w:t>
      </w:r>
    </w:p>
    <w:p>
      <w:pPr>
        <w:pStyle w:val="BodyText"/>
        <w:spacing w:line="228" w:lineRule="exact"/>
      </w:pPr>
      <w:r>
        <w:rPr/>
        <w:t>指因脑动脉瘤破裂造成蛛网膜下腔出血，被保险人实际接受了在全麻下进行的开颅动脉夹闭手术。</w:t>
      </w:r>
    </w:p>
    <w:p>
      <w:pPr>
        <w:pStyle w:val="Heading3"/>
        <w:spacing w:line="180" w:lineRule="auto" w:before="57"/>
        <w:ind w:right="209"/>
        <w:rPr>
          <w:rFonts w:ascii="微软雅黑" w:eastAsia="微软雅黑" w:hint="eastAsia"/>
        </w:rPr>
      </w:pPr>
      <w:r>
        <w:rPr>
          <w:rFonts w:ascii="微软雅黑" w:eastAsia="微软雅黑" w:hint="eastAsia"/>
          <w:spacing w:val="-3"/>
        </w:rPr>
        <w:t>脑动脉瘤</w:t>
      </w:r>
      <w:r>
        <w:rPr>
          <w:rFonts w:ascii="微软雅黑" w:eastAsia="微软雅黑" w:hint="eastAsia"/>
        </w:rPr>
        <w:t>（未破裂</w:t>
      </w:r>
      <w:r>
        <w:rPr>
          <w:rFonts w:ascii="微软雅黑" w:eastAsia="微软雅黑" w:hint="eastAsia"/>
          <w:spacing w:val="-12"/>
        </w:rPr>
        <w:t>）</w:t>
      </w:r>
      <w:r>
        <w:rPr>
          <w:rFonts w:ascii="微软雅黑" w:eastAsia="微软雅黑" w:hint="eastAsia"/>
          <w:spacing w:val="-6"/>
        </w:rPr>
        <w:t>预防性手术、颅骨打孔手术、动脉瘤栓塞手术、血管内手术及其他颅脑手术不在本保障范围内。</w:t>
      </w:r>
    </w:p>
    <w:p>
      <w:pPr>
        <w:spacing w:line="258" w:lineRule="exact" w:before="0"/>
        <w:ind w:left="318"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37" w:lineRule="auto"/>
        <w:ind w:right="176" w:hanging="1"/>
      </w:pPr>
      <w:r>
        <w:rPr/>
        <w:t>该类疾病是指异常增生的绒毛组织浸润性生长浸入子宫肌层或转移至其他器官或组织的葡萄胎，并已经进行化疗或手术治疗的。</w:t>
      </w:r>
    </w:p>
    <w:p>
      <w:pPr>
        <w:spacing w:line="283" w:lineRule="exact" w:before="10"/>
        <w:ind w:left="318" w:right="0" w:firstLine="0"/>
        <w:jc w:val="left"/>
        <w:rPr>
          <w:rFonts w:ascii="微软雅黑" w:hAnsi="微软雅黑" w:eastAsia="微软雅黑" w:hint="eastAsia"/>
          <w:b/>
          <w:sz w:val="21"/>
        </w:rPr>
      </w:pPr>
      <w:r>
        <w:rPr>
          <w:sz w:val="21"/>
        </w:rPr>
        <w:t>（57）</w:t>
      </w:r>
      <w:r>
        <w:rPr>
          <w:rFonts w:ascii="微软雅黑" w:hAnsi="微软雅黑" w:eastAsia="微软雅黑" w:hint="eastAsia"/>
          <w:b/>
          <w:sz w:val="21"/>
          <w:u w:val="single"/>
        </w:rPr>
        <w:t>Ⅲ度房室传导阻滞</w:t>
      </w:r>
    </w:p>
    <w:p>
      <w:pPr>
        <w:pStyle w:val="BodyText"/>
        <w:spacing w:line="237" w:lineRule="auto"/>
        <w:ind w:right="202"/>
      </w:pPr>
      <w:r>
        <w:rPr>
          <w:spacing w:val="-6"/>
        </w:rPr>
        <w:t>指心房激动在房室交界区、房室束及其分支内发生阻滞，不能正常地传到心室的心脏传导性疾病，须满足</w:t>
      </w:r>
      <w:r>
        <w:rPr>
          <w:spacing w:val="-4"/>
        </w:rPr>
        <w:t>下列所有条件：</w:t>
      </w:r>
    </w:p>
    <w:p>
      <w:pPr>
        <w:pStyle w:val="BodyText"/>
        <w:spacing w:line="274" w:lineRule="exact" w:before="10"/>
        <w:ind w:left="424"/>
      </w:pPr>
      <w:r>
        <w:rPr/>
        <w:t>Ⅰ 心电图显示房室搏动彼此独立，心室率&lt;50 次/分钟；</w:t>
      </w:r>
    </w:p>
    <w:p>
      <w:pPr>
        <w:spacing w:after="0" w:line="274" w:lineRule="exact"/>
        <w:sectPr>
          <w:pgSz w:w="11900" w:h="16840"/>
          <w:pgMar w:header="892" w:footer="547"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4" w:lineRule="exact" w:before="54"/>
        <w:ind w:left="424"/>
      </w:pPr>
      <w:r>
        <w:rPr>
          <w:w w:val="115"/>
        </w:rPr>
        <w:t>" </w:t>
      </w:r>
      <w:r>
        <w:rPr>
          <w:w w:val="105"/>
        </w:rPr>
        <w:t>出现阿-斯综合征或心力衰竭的表现；</w:t>
      </w:r>
    </w:p>
    <w:p>
      <w:pPr>
        <w:pStyle w:val="BodyText"/>
        <w:spacing w:line="241" w:lineRule="exact"/>
        <w:ind w:left="424"/>
      </w:pPr>
      <w:r>
        <w:rPr/>
        <w:t>Ⅲ 必须持续性依赖心脏起搏器维持心脏正常功能，且已经放置心脏起搏器。</w:t>
      </w:r>
    </w:p>
    <w:p>
      <w:pPr>
        <w:spacing w:line="316" w:lineRule="exact" w:before="0"/>
        <w:ind w:left="318" w:right="0" w:firstLine="0"/>
        <w:jc w:val="left"/>
        <w:rPr>
          <w:rFonts w:ascii="微软雅黑" w:eastAsia="微软雅黑" w:hint="eastAsia"/>
          <w:b/>
          <w:sz w:val="21"/>
        </w:rPr>
      </w:pPr>
      <w:r>
        <w:rPr>
          <w:sz w:val="21"/>
        </w:rPr>
        <w:t>（58）</w:t>
      </w:r>
      <w:r>
        <w:rPr>
          <w:rFonts w:ascii="微软雅黑" w:eastAsia="微软雅黑" w:hint="eastAsia"/>
          <w:b/>
          <w:sz w:val="21"/>
          <w:u w:val="single"/>
        </w:rPr>
        <w:t>严重传染性心内膜炎</w:t>
      </w:r>
    </w:p>
    <w:p>
      <w:pPr>
        <w:pStyle w:val="BodyText"/>
        <w:spacing w:line="268" w:lineRule="exact"/>
      </w:pPr>
      <w:r>
        <w:rPr>
          <w:position w:val="1"/>
        </w:rPr>
        <w:t>是指由感染性微生物引致的心脏内膜炎症，并须符合下</w:t>
      </w:r>
      <w:r>
        <w:rPr>
          <w:rFonts w:ascii="MingLiU-ExtB" w:eastAsia="MingLiU-ExtB"/>
          <w:sz w:val="18"/>
        </w:rPr>
        <w:t>列</w:t>
      </w:r>
      <w:r>
        <w:rPr>
          <w:position w:val="1"/>
        </w:rPr>
        <w:t>所有准则：</w:t>
      </w:r>
    </w:p>
    <w:p>
      <w:pPr>
        <w:pStyle w:val="BodyText"/>
        <w:spacing w:line="263" w:lineRule="exact"/>
        <w:ind w:left="424"/>
      </w:pPr>
      <w:r>
        <w:rPr/>
        <w:t>Ⅰ 血液培植结果呈阳性反应，证明感染性微生物的存在；</w:t>
      </w:r>
    </w:p>
    <w:p>
      <w:pPr>
        <w:pStyle w:val="BodyText"/>
        <w:spacing w:line="225" w:lineRule="auto" w:before="14"/>
        <w:ind w:right="286" w:firstLine="211"/>
      </w:pPr>
      <w:r>
        <w:rPr>
          <w:spacing w:val="-13"/>
          <w:w w:val="180"/>
          <w:position w:val="1"/>
        </w:rPr>
        <w:t>" </w:t>
      </w:r>
      <w:r>
        <w:rPr>
          <w:spacing w:val="-3"/>
          <w:position w:val="1"/>
        </w:rPr>
        <w:t>出现最少中度之心脏瓣膜功能</w:t>
      </w:r>
      <w:r>
        <w:rPr>
          <w:rFonts w:ascii="MingLiU-ExtB" w:eastAsia="MingLiU-ExtB"/>
          <w:spacing w:val="22"/>
          <w:sz w:val="18"/>
        </w:rPr>
        <w:t>不</w:t>
      </w:r>
      <w:r>
        <w:rPr>
          <w:position w:val="1"/>
        </w:rPr>
        <w:t>全</w:t>
      </w:r>
      <w:r>
        <w:rPr>
          <w:spacing w:val="-3"/>
          <w:position w:val="1"/>
        </w:rPr>
        <w:t>（即返流部份达百分之二十或以上）或中度之心脏瓣膜狭窄（</w:t>
      </w:r>
      <w:r>
        <w:rPr>
          <w:position w:val="1"/>
        </w:rPr>
        <w:t>即</w:t>
      </w:r>
      <w:r>
        <w:rPr>
          <w:spacing w:val="-3"/>
          <w:w w:val="100"/>
        </w:rPr>
        <w:t>心脏瓣面积为正常值的百分之三十或以下</w:t>
      </w:r>
      <w:r>
        <w:rPr>
          <w:spacing w:val="-106"/>
          <w:w w:val="100"/>
        </w:rPr>
        <w:t>）</w:t>
      </w:r>
      <w:r>
        <w:rPr>
          <w:spacing w:val="-3"/>
          <w:w w:val="100"/>
        </w:rPr>
        <w:t>，导致传染性心内膜炎；及</w:t>
      </w:r>
    </w:p>
    <w:p>
      <w:pPr>
        <w:pStyle w:val="BodyText"/>
        <w:spacing w:line="239" w:lineRule="exact"/>
        <w:ind w:left="423"/>
      </w:pPr>
      <w:r>
        <w:rPr/>
        <w:t>Ⅲ 传染性心内膜炎的诊断及瓣膜受损的严重程度必须由专科医生确定。</w:t>
      </w:r>
    </w:p>
    <w:p>
      <w:pPr>
        <w:spacing w:line="316" w:lineRule="exact" w:before="0"/>
        <w:ind w:left="318" w:right="0" w:firstLine="0"/>
        <w:jc w:val="left"/>
        <w:rPr>
          <w:rFonts w:ascii="微软雅黑" w:eastAsia="微软雅黑" w:hint="eastAsia"/>
          <w:b/>
          <w:sz w:val="21"/>
        </w:rPr>
      </w:pPr>
      <w:r>
        <w:rPr>
          <w:sz w:val="21"/>
        </w:rPr>
        <w:t>（59）</w:t>
      </w:r>
      <w:r>
        <w:rPr>
          <w:rFonts w:ascii="微软雅黑" w:eastAsia="微软雅黑" w:hint="eastAsia"/>
          <w:b/>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2" w:lineRule="exact"/>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41" w:lineRule="exact"/>
        <w:ind w:left="424"/>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4"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16" w:lineRule="exact" w:before="0"/>
        <w:ind w:left="318" w:right="0" w:firstLine="0"/>
        <w:jc w:val="left"/>
        <w:rPr>
          <w:rFonts w:ascii="微软雅黑" w:eastAsia="微软雅黑" w:hint="eastAsia"/>
          <w:b/>
          <w:sz w:val="21"/>
        </w:rPr>
      </w:pPr>
      <w:r>
        <w:rPr>
          <w:sz w:val="21"/>
        </w:rPr>
        <w:t>（60）</w:t>
      </w:r>
      <w:r>
        <w:rPr>
          <w:rFonts w:ascii="微软雅黑" w:eastAsia="微软雅黑" w:hint="eastAsia"/>
          <w:b/>
          <w:sz w:val="21"/>
          <w:u w:val="single"/>
        </w:rPr>
        <w:t>埃博拉病毒感染</w:t>
      </w:r>
    </w:p>
    <w:p>
      <w:pPr>
        <w:pStyle w:val="BodyText"/>
        <w:spacing w:line="260" w:lineRule="exact"/>
      </w:pPr>
      <w:r>
        <w:rPr/>
        <w:t>指埃博拉病毒感染导致的烈性传染病，并须满足下列全部条件：</w:t>
      </w:r>
    </w:p>
    <w:p>
      <w:pPr>
        <w:pStyle w:val="BodyText"/>
        <w:spacing w:line="272" w:lineRule="exact"/>
        <w:ind w:left="423"/>
      </w:pPr>
      <w:r>
        <w:rPr/>
        <w:t>Ⅰ 实验室检查证实埃博拉病毒的存在；</w:t>
      </w:r>
    </w:p>
    <w:p>
      <w:pPr>
        <w:pStyle w:val="BodyText"/>
        <w:spacing w:line="241" w:lineRule="exact"/>
        <w:ind w:left="423"/>
      </w:pPr>
      <w:r>
        <w:rPr>
          <w:spacing w:val="-64"/>
          <w:w w:val="155"/>
        </w:rPr>
        <w:t>" </w:t>
      </w:r>
      <w:r>
        <w:rPr>
          <w:spacing w:val="-13"/>
          <w:w w:val="105"/>
        </w:rPr>
        <w:t>从发病开始有超过 </w:t>
      </w:r>
      <w:r>
        <w:rPr>
          <w:w w:val="105"/>
        </w:rPr>
        <w:t>30</w:t>
      </w:r>
      <w:r>
        <w:rPr>
          <w:spacing w:val="-11"/>
          <w:w w:val="105"/>
        </w:rPr>
        <w:t> 天的进行性感染症状。</w:t>
      </w:r>
    </w:p>
    <w:p>
      <w:pPr>
        <w:pStyle w:val="BodyText"/>
        <w:spacing w:line="216" w:lineRule="auto" w:before="5"/>
        <w:ind w:right="211" w:hanging="1"/>
      </w:pPr>
      <w:r>
        <w:rPr>
          <w:rFonts w:ascii="Times New Roman" w:eastAsia="Times New Roman"/>
          <w:position w:val="10"/>
          <w:sz w:val="14"/>
        </w:rPr>
        <w:t>6 </w:t>
      </w:r>
      <w:r>
        <w:rPr>
          <w:rFonts w:ascii="微软雅黑" w:eastAsia="微软雅黑" w:hint="eastAsia"/>
          <w:b/>
        </w:rPr>
        <w:t>意外伤害事故</w:t>
      </w:r>
      <w:r>
        <w:rPr/>
        <w:t>：指遭受外来的、突发的、非本意的、非疾病的使身体受到伤害且作为直接且单独原因导致被保险人伤害或死亡的客观事件。</w:t>
      </w:r>
    </w:p>
    <w:p>
      <w:pPr>
        <w:pStyle w:val="BodyText"/>
        <w:spacing w:line="285" w:lineRule="exact"/>
      </w:pPr>
      <w:r>
        <w:rPr>
          <w:rFonts w:ascii="Times New Roman" w:eastAsia="Times New Roman"/>
          <w:position w:val="10"/>
          <w:sz w:val="14"/>
        </w:rPr>
        <w:t>7</w:t>
      </w:r>
      <w:r>
        <w:rPr>
          <w:rFonts w:ascii="Times New Roman" w:eastAsia="Times New Roman"/>
          <w:spacing w:val="2"/>
          <w:position w:val="10"/>
          <w:sz w:val="14"/>
        </w:rPr>
        <w:t>    </w:t>
      </w:r>
      <w:r>
        <w:rPr>
          <w:rFonts w:ascii="微软雅黑" w:eastAsia="微软雅黑" w:hint="eastAsia"/>
          <w:b/>
        </w:rPr>
        <w:t>毒品</w:t>
      </w:r>
      <w:r>
        <w:rPr>
          <w:spacing w:val="-8"/>
        </w:rPr>
        <w:t>：指中华人民共和国刑法规定的鸦片、海洛因、甲基苯丙胺</w:t>
      </w:r>
      <w:r>
        <w:rPr/>
        <w:t>（</w:t>
      </w:r>
      <w:r>
        <w:rPr>
          <w:spacing w:val="-2"/>
        </w:rPr>
        <w:t>冰毒</w:t>
      </w:r>
      <w:r>
        <w:rPr>
          <w:spacing w:val="-106"/>
        </w:rPr>
        <w:t>）</w:t>
      </w:r>
      <w:r>
        <w:rPr>
          <w:spacing w:val="-8"/>
        </w:rPr>
        <w:t>、吗啡、大麻、可卡因以及国家</w:t>
      </w:r>
    </w:p>
    <w:p>
      <w:pPr>
        <w:pStyle w:val="BodyText"/>
        <w:spacing w:line="274" w:lineRule="exact" w:before="11"/>
        <w:ind w:right="175"/>
      </w:pPr>
      <w:r>
        <w:rPr/>
        <w:t>规定管制的其他能够使人形成瘾癖的麻醉药品和精神药品，但不包括由医生开具并遵医嘱使用的用于治疗疾病但含有毒品成分的处方药品。</w:t>
      </w:r>
    </w:p>
    <w:p>
      <w:pPr>
        <w:pStyle w:val="BodyText"/>
        <w:spacing w:line="258" w:lineRule="exact"/>
      </w:pPr>
      <w:r>
        <w:rPr>
          <w:rFonts w:ascii="Times New Roman" w:eastAsia="Times New Roman"/>
          <w:position w:val="10"/>
          <w:sz w:val="14"/>
        </w:rPr>
        <w:t>8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pPr>
      <w:r>
        <w:rPr/>
        <w:t>准，公安机关交通管理部门依据《道路交通安全法》的规定认定为饮酒后驾驶或醉酒后驾驶。</w:t>
      </w:r>
    </w:p>
    <w:p>
      <w:pPr>
        <w:spacing w:line="340" w:lineRule="exact" w:before="0"/>
        <w:ind w:left="212" w:right="0" w:firstLine="0"/>
        <w:jc w:val="left"/>
        <w:rPr>
          <w:sz w:val="21"/>
        </w:rPr>
      </w:pPr>
      <w:r>
        <w:rPr>
          <w:rFonts w:ascii="Times New Roman" w:eastAsia="Times New Roman"/>
          <w:position w:val="10"/>
          <w:sz w:val="14"/>
        </w:rPr>
        <w:t>9   </w:t>
      </w:r>
      <w:r>
        <w:rPr>
          <w:rFonts w:ascii="微软雅黑" w:eastAsia="微软雅黑" w:hint="eastAsia"/>
          <w:b/>
          <w:sz w:val="21"/>
        </w:rPr>
        <w:t>无合法有效驾驶证驾驶</w:t>
      </w:r>
      <w:r>
        <w:rPr>
          <w:sz w:val="21"/>
        </w:rPr>
        <w:t>：指下列情形之一：</w:t>
      </w:r>
    </w:p>
    <w:p>
      <w:pPr>
        <w:pStyle w:val="ListParagraph"/>
        <w:numPr>
          <w:ilvl w:val="0"/>
          <w:numId w:val="4"/>
        </w:numPr>
        <w:tabs>
          <w:tab w:pos="1158" w:val="left" w:leader="none"/>
          <w:tab w:pos="1159" w:val="left" w:leader="none"/>
        </w:tabs>
        <w:spacing w:line="240" w:lineRule="auto" w:before="12" w:after="0"/>
        <w:ind w:left="1158" w:right="0" w:hanging="840"/>
        <w:jc w:val="left"/>
        <w:rPr>
          <w:sz w:val="21"/>
        </w:rPr>
      </w:pPr>
      <w:r>
        <w:rPr>
          <w:spacing w:val="-3"/>
          <w:sz w:val="21"/>
        </w:rPr>
        <w:t>没有取得驾驶资格；</w:t>
      </w:r>
    </w:p>
    <w:p>
      <w:pPr>
        <w:pStyle w:val="ListParagraph"/>
        <w:numPr>
          <w:ilvl w:val="0"/>
          <w:numId w:val="4"/>
        </w:numPr>
        <w:tabs>
          <w:tab w:pos="1158" w:val="left" w:leader="none"/>
          <w:tab w:pos="1159" w:val="left" w:leader="none"/>
        </w:tabs>
        <w:spacing w:line="240" w:lineRule="auto" w:before="36" w:after="0"/>
        <w:ind w:left="1158" w:right="0" w:hanging="840"/>
        <w:jc w:val="left"/>
        <w:rPr>
          <w:sz w:val="21"/>
        </w:rPr>
      </w:pPr>
      <w:r>
        <w:rPr>
          <w:spacing w:val="-3"/>
          <w:sz w:val="21"/>
        </w:rPr>
        <w:t>驾驶与驾驶证准驾车型不相符合的车辆；</w:t>
      </w:r>
    </w:p>
    <w:p>
      <w:pPr>
        <w:pStyle w:val="ListParagraph"/>
        <w:numPr>
          <w:ilvl w:val="0"/>
          <w:numId w:val="4"/>
        </w:numPr>
        <w:tabs>
          <w:tab w:pos="1158" w:val="left" w:leader="none"/>
          <w:tab w:pos="1159" w:val="left" w:leader="none"/>
        </w:tabs>
        <w:spacing w:line="240" w:lineRule="auto" w:before="36" w:after="0"/>
        <w:ind w:left="1158" w:right="0" w:hanging="840"/>
        <w:jc w:val="left"/>
        <w:rPr>
          <w:sz w:val="21"/>
        </w:rPr>
      </w:pPr>
      <w:r>
        <w:rPr>
          <w:spacing w:val="-3"/>
          <w:sz w:val="21"/>
        </w:rPr>
        <w:t>持审验不合格或过期的驾驶证驾驶；</w:t>
      </w:r>
    </w:p>
    <w:p>
      <w:pPr>
        <w:pStyle w:val="ListParagraph"/>
        <w:numPr>
          <w:ilvl w:val="0"/>
          <w:numId w:val="4"/>
        </w:numPr>
        <w:tabs>
          <w:tab w:pos="1158" w:val="left" w:leader="none"/>
          <w:tab w:pos="1159" w:val="left" w:leader="none"/>
        </w:tabs>
        <w:spacing w:line="254" w:lineRule="exact" w:before="15" w:after="0"/>
        <w:ind w:left="1158" w:right="0" w:hanging="840"/>
        <w:jc w:val="left"/>
        <w:rPr>
          <w:sz w:val="21"/>
        </w:rPr>
      </w:pPr>
      <w:r>
        <w:rPr>
          <w:spacing w:val="-3"/>
          <w:sz w:val="21"/>
        </w:rPr>
        <w:t>持学习驾驶证学习驾车时，无教练员随车指导，或不按指定时间、路线学习驾车。</w:t>
      </w:r>
    </w:p>
    <w:p>
      <w:pPr>
        <w:spacing w:line="342" w:lineRule="exact" w:before="0"/>
        <w:ind w:left="212" w:right="0" w:firstLine="0"/>
        <w:jc w:val="left"/>
        <w:rPr>
          <w:sz w:val="21"/>
        </w:rPr>
      </w:pPr>
      <w:r>
        <w:rPr>
          <w:rFonts w:ascii="Times New Roman" w:eastAsia="Times New Roman"/>
          <w:position w:val="10"/>
          <w:sz w:val="14"/>
        </w:rPr>
        <w:t>10   </w:t>
      </w:r>
      <w:r>
        <w:rPr>
          <w:rFonts w:ascii="微软雅黑" w:eastAsia="微软雅黑" w:hint="eastAsia"/>
          <w:b/>
          <w:sz w:val="21"/>
        </w:rPr>
        <w:t>无有效行驶证</w:t>
      </w:r>
      <w:r>
        <w:rPr>
          <w:sz w:val="21"/>
        </w:rPr>
        <w:t>：指下列情形之一：</w:t>
      </w:r>
    </w:p>
    <w:p>
      <w:pPr>
        <w:pStyle w:val="ListParagraph"/>
        <w:numPr>
          <w:ilvl w:val="0"/>
          <w:numId w:val="5"/>
        </w:numPr>
        <w:tabs>
          <w:tab w:pos="1151" w:val="left" w:leader="none"/>
          <w:tab w:pos="1152" w:val="left" w:leader="none"/>
        </w:tabs>
        <w:spacing w:line="240" w:lineRule="auto" w:before="12" w:after="0"/>
        <w:ind w:left="1151" w:right="0" w:hanging="840"/>
        <w:jc w:val="left"/>
        <w:rPr>
          <w:sz w:val="21"/>
        </w:rPr>
      </w:pPr>
      <w:r>
        <w:rPr>
          <w:spacing w:val="-3"/>
          <w:sz w:val="21"/>
        </w:rPr>
        <w:t>未取得行驶证；</w:t>
      </w:r>
    </w:p>
    <w:p>
      <w:pPr>
        <w:pStyle w:val="ListParagraph"/>
        <w:numPr>
          <w:ilvl w:val="0"/>
          <w:numId w:val="5"/>
        </w:numPr>
        <w:tabs>
          <w:tab w:pos="1158" w:val="left" w:leader="none"/>
          <w:tab w:pos="1159" w:val="left" w:leader="none"/>
        </w:tabs>
        <w:spacing w:line="240" w:lineRule="auto" w:before="37" w:after="0"/>
        <w:ind w:left="1158" w:right="0" w:hanging="840"/>
        <w:jc w:val="left"/>
        <w:rPr>
          <w:sz w:val="21"/>
        </w:rPr>
      </w:pPr>
      <w:r>
        <w:rPr>
          <w:spacing w:val="-3"/>
          <w:sz w:val="21"/>
        </w:rPr>
        <w:t>机动车被依法注销登记的；</w:t>
      </w:r>
    </w:p>
    <w:p>
      <w:pPr>
        <w:pStyle w:val="ListParagraph"/>
        <w:numPr>
          <w:ilvl w:val="0"/>
          <w:numId w:val="5"/>
        </w:numPr>
        <w:tabs>
          <w:tab w:pos="1158" w:val="left" w:leader="none"/>
          <w:tab w:pos="1159" w:val="left" w:leader="none"/>
        </w:tabs>
        <w:spacing w:line="242" w:lineRule="exact" w:before="15" w:after="0"/>
        <w:ind w:left="1158" w:right="0" w:hanging="840"/>
        <w:jc w:val="left"/>
        <w:rPr>
          <w:sz w:val="21"/>
        </w:rPr>
      </w:pPr>
      <w:r>
        <w:rPr>
          <w:spacing w:val="-3"/>
          <w:sz w:val="21"/>
        </w:rPr>
        <w:t>未依法按时进行或通过机动车安全技术检验。</w:t>
      </w:r>
    </w:p>
    <w:p>
      <w:pPr>
        <w:pStyle w:val="BodyText"/>
        <w:spacing w:line="216" w:lineRule="auto" w:before="3"/>
        <w:ind w:right="204"/>
      </w:pPr>
      <w:r>
        <w:rPr>
          <w:rFonts w:ascii="Times New Roman" w:eastAsia="Times New Roman"/>
          <w:position w:val="10"/>
          <w:sz w:val="14"/>
        </w:rPr>
        <w:t>11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p>
    <w:p>
      <w:pPr>
        <w:pStyle w:val="BodyText"/>
        <w:spacing w:line="237" w:lineRule="auto" w:before="1"/>
        <w:ind w:right="180" w:hanging="1"/>
      </w:pPr>
      <w:r>
        <w:rPr/>
        <w:t>抗体呈阳性，没有出现临床症状或体征的，为感染艾滋病病毒；如果同时出现了明显临床症状或体征的， 为患艾滋病。</w:t>
      </w:r>
    </w:p>
    <w:p>
      <w:pPr>
        <w:spacing w:line="285" w:lineRule="exact" w:before="0"/>
        <w:ind w:left="212" w:right="0" w:firstLine="0"/>
        <w:jc w:val="left"/>
        <w:rPr>
          <w:sz w:val="21"/>
        </w:rPr>
      </w:pPr>
      <w:r>
        <w:rPr>
          <w:rFonts w:ascii="Times New Roman" w:eastAsia="Times New Roman"/>
          <w:position w:val="10"/>
          <w:sz w:val="14"/>
        </w:rPr>
        <w:t>12    </w:t>
      </w:r>
      <w:r>
        <w:rPr>
          <w:rFonts w:ascii="微软雅黑" w:eastAsia="微软雅黑" w:hint="eastAsia"/>
          <w:b/>
          <w:sz w:val="21"/>
        </w:rPr>
        <w:t>遗传性疾病</w:t>
      </w:r>
      <w:r>
        <w:rPr>
          <w:sz w:val="21"/>
        </w:rPr>
        <w:t>：指生殖细胞或受精卵的遗传物质（染色体和基因）发生突变或畸变所引起的疾病，通常具</w:t>
      </w:r>
    </w:p>
    <w:p>
      <w:pPr>
        <w:pStyle w:val="BodyText"/>
        <w:spacing w:line="228" w:lineRule="exact"/>
      </w:pPr>
      <w:r>
        <w:rPr/>
        <w:t>有由亲代传至后代的垂直传递的特征。</w:t>
      </w:r>
    </w:p>
    <w:p>
      <w:pPr>
        <w:pStyle w:val="BodyText"/>
        <w:spacing w:line="216" w:lineRule="auto" w:before="4"/>
        <w:ind w:right="132"/>
      </w:pPr>
      <w:r>
        <w:rPr>
          <w:rFonts w:ascii="Times New Roman" w:eastAsia="Times New Roman"/>
          <w:position w:val="10"/>
          <w:sz w:val="14"/>
        </w:rPr>
        <w:t>13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spacing w:line="253" w:lineRule="exact" w:before="0"/>
        <w:ind w:left="212" w:right="0" w:firstLine="0"/>
        <w:jc w:val="left"/>
        <w:rPr>
          <w:sz w:val="21"/>
        </w:rPr>
      </w:pPr>
      <w:r>
        <w:rPr>
          <w:rFonts w:ascii="Times New Roman" w:eastAsia="Times New Roman"/>
          <w:position w:val="10"/>
          <w:sz w:val="14"/>
        </w:rPr>
        <w:t>14   </w:t>
      </w:r>
      <w:r>
        <w:rPr>
          <w:rFonts w:ascii="微软雅黑" w:eastAsia="微软雅黑" w:hint="eastAsia"/>
          <w:b/>
          <w:sz w:val="21"/>
        </w:rPr>
        <w:t>保险事故</w:t>
      </w:r>
      <w:r>
        <w:rPr>
          <w:sz w:val="21"/>
        </w:rPr>
        <w:t>：是指保险合同约定的保险责任范围内的事故。</w:t>
      </w:r>
    </w:p>
    <w:p>
      <w:pPr>
        <w:pStyle w:val="BodyText"/>
        <w:spacing w:line="304" w:lineRule="exact"/>
      </w:pPr>
      <w:r>
        <w:rPr>
          <w:rFonts w:ascii="Times New Roman" w:eastAsia="Times New Roman"/>
          <w:position w:val="10"/>
          <w:sz w:val="14"/>
        </w:rPr>
        <w:t>15    </w:t>
      </w:r>
      <w:r>
        <w:rPr>
          <w:rFonts w:ascii="微软雅黑" w:eastAsia="微软雅黑" w:hint="eastAsia"/>
          <w:b/>
        </w:rPr>
        <w:t>利息</w:t>
      </w:r>
      <w:r>
        <w:rPr/>
        <w:t>：指补交保险费、垫交保险费和借款的利息，按补交保险费、垫交保险费或借款的数额、经过天数</w:t>
      </w:r>
    </w:p>
    <w:p>
      <w:pPr>
        <w:pStyle w:val="BodyText"/>
        <w:spacing w:line="237" w:lineRule="auto"/>
        <w:ind w:right="182"/>
      </w:pPr>
      <w:r>
        <w:rPr>
          <w:spacing w:val="-5"/>
        </w:rPr>
        <w:t>和利率依年复利方式计算。利率将参照人民银行公布的同期贷款利率、公司自身资金成本及风险管控能力</w:t>
      </w:r>
      <w:r>
        <w:rPr>
          <w:spacing w:val="-4"/>
        </w:rPr>
        <w:t>确定，由我们每年度公布一次。补交保险费、垫交保险费的利息自合同约定的保险费到期日起开始计算。</w:t>
      </w:r>
    </w:p>
    <w:p>
      <w:pPr>
        <w:pStyle w:val="BodyText"/>
        <w:spacing w:line="285" w:lineRule="exact" w:before="10"/>
      </w:pPr>
      <w:r>
        <w:rPr>
          <w:rFonts w:ascii="Times New Roman" w:eastAsia="Times New Roman"/>
          <w:position w:val="10"/>
          <w:sz w:val="14"/>
        </w:rPr>
        <w:t>16    </w:t>
      </w:r>
      <w:r>
        <w:rPr>
          <w:rFonts w:ascii="微软雅黑" w:eastAsia="微软雅黑" w:hint="eastAsia"/>
          <w:b/>
        </w:rPr>
        <w:t>现金价值</w:t>
      </w:r>
      <w:r>
        <w:rPr/>
        <w:t>：指保险单所具有的价值，通常体现为解除合同时，根据精算原理计算的，由我们退还的那部</w:t>
      </w:r>
    </w:p>
    <w:p>
      <w:pPr>
        <w:pStyle w:val="BodyText"/>
        <w:spacing w:line="239" w:lineRule="exact"/>
      </w:pPr>
      <w:r>
        <w:rPr/>
        <w:t>分金额。</w:t>
      </w:r>
    </w:p>
    <w:p>
      <w:pPr>
        <w:spacing w:line="342" w:lineRule="exact" w:before="0"/>
        <w:ind w:left="212" w:right="0" w:firstLine="0"/>
        <w:jc w:val="left"/>
        <w:rPr>
          <w:sz w:val="21"/>
        </w:rPr>
      </w:pPr>
      <w:r>
        <w:rPr>
          <w:rFonts w:ascii="Times New Roman" w:eastAsia="Times New Roman"/>
          <w:position w:val="10"/>
          <w:sz w:val="14"/>
        </w:rPr>
        <w:t>17   </w:t>
      </w:r>
      <w:r>
        <w:rPr>
          <w:rFonts w:ascii="微软雅黑" w:eastAsia="微软雅黑" w:hint="eastAsia"/>
          <w:b/>
          <w:sz w:val="21"/>
        </w:rPr>
        <w:t>医院</w:t>
      </w:r>
      <w:r>
        <w:rPr>
          <w:sz w:val="21"/>
        </w:rPr>
        <w:t>：是指符合下列所有条件的医疗机构：</w:t>
      </w:r>
    </w:p>
    <w:p>
      <w:pPr>
        <w:pStyle w:val="BodyText"/>
        <w:spacing w:before="11"/>
        <w:ind w:left="318"/>
      </w:pPr>
      <w:r>
        <w:rPr/>
        <w:t>（1）拥有合法经营执照；</w:t>
      </w:r>
    </w:p>
    <w:p>
      <w:pPr>
        <w:pStyle w:val="BodyText"/>
        <w:spacing w:before="37"/>
        <w:ind w:left="318"/>
      </w:pPr>
      <w:r>
        <w:rPr/>
        <w:t>（2）设立的主要目的为向受伤者和患病者提供住院治疗；</w:t>
      </w:r>
    </w:p>
    <w:p>
      <w:pPr>
        <w:pStyle w:val="BodyText"/>
        <w:spacing w:before="37"/>
        <w:ind w:left="318"/>
      </w:pPr>
      <w:r>
        <w:rPr/>
        <w:t>（3）有合格的医生和护士提供全日 24 小时的医疗和护理服务；</w:t>
      </w:r>
    </w:p>
    <w:p>
      <w:pPr>
        <w:pStyle w:val="BodyText"/>
        <w:spacing w:line="242" w:lineRule="exact" w:before="15"/>
        <w:ind w:left="318"/>
      </w:pPr>
      <w:r>
        <w:rPr/>
        <w:t>（4）非主要作为康复、护理、疗养、戒酒、戒毒、或类似的医疗机构。</w:t>
      </w:r>
    </w:p>
    <w:p>
      <w:pPr>
        <w:pStyle w:val="BodyText"/>
        <w:spacing w:line="330" w:lineRule="exact"/>
      </w:pPr>
      <w:r>
        <w:rPr>
          <w:rFonts w:ascii="Times New Roman" w:eastAsia="Times New Roman"/>
          <w:position w:val="10"/>
          <w:sz w:val="14"/>
        </w:rPr>
        <w:t>18    </w:t>
      </w:r>
      <w:r>
        <w:rPr>
          <w:rFonts w:ascii="微软雅黑" w:eastAsia="微软雅黑" w:hint="eastAsia"/>
          <w:b/>
        </w:rPr>
        <w:t>原位癌</w:t>
      </w:r>
      <w:r>
        <w:rPr/>
        <w:t>：指恶性细胞局限于上皮内尚未穿破基底膜浸润周围正常组织的癌细胞新生物。原位癌必须经对</w:t>
      </w:r>
    </w:p>
    <w:p>
      <w:pPr>
        <w:spacing w:after="0" w:line="330" w:lineRule="exact"/>
        <w:sectPr>
          <w:pgSz w:w="11900" w:h="16840"/>
          <w:pgMar w:header="892" w:footer="547"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54"/>
        <w:ind w:right="202" w:hanging="1"/>
      </w:pPr>
      <w:r>
        <w:rPr>
          <w:spacing w:val="-5"/>
        </w:rPr>
        <w:t>固定活组织的组织病理学检查明确诊断。被保险人必须已经接受了针对原位癌病灶的积极治疗，所谓的积</w:t>
      </w:r>
      <w:r>
        <w:rPr>
          <w:spacing w:val="-4"/>
        </w:rPr>
        <w:t>极治疗包含手术、化疗或放疗等治疗方式。</w:t>
      </w:r>
    </w:p>
    <w:p>
      <w:pPr>
        <w:spacing w:line="283" w:lineRule="exact" w:before="0"/>
        <w:ind w:left="212" w:right="0" w:firstLine="0"/>
        <w:jc w:val="left"/>
        <w:rPr>
          <w:sz w:val="21"/>
        </w:rPr>
      </w:pPr>
      <w:r>
        <w:rPr>
          <w:rFonts w:ascii="Times New Roman" w:eastAsia="Times New Roman"/>
          <w:position w:val="10"/>
          <w:sz w:val="14"/>
        </w:rPr>
        <w:t>19    </w:t>
      </w:r>
      <w:r>
        <w:rPr>
          <w:rFonts w:ascii="微软雅黑" w:eastAsia="微软雅黑" w:hint="eastAsia"/>
          <w:b/>
          <w:sz w:val="21"/>
        </w:rPr>
        <w:t>肢体机能完全丧失</w:t>
      </w:r>
      <w:r>
        <w:rPr>
          <w:sz w:val="21"/>
        </w:rPr>
        <w:t>：指肢体的三大关节中的两大关节僵硬，或不能随意识活动。肢体是指包括肩关节的</w:t>
      </w:r>
    </w:p>
    <w:p>
      <w:pPr>
        <w:pStyle w:val="BodyText"/>
        <w:spacing w:line="228" w:lineRule="exact"/>
      </w:pPr>
      <w:r>
        <w:rPr/>
        <w:t>整个上肢或包括髋关节的整个下肢。</w:t>
      </w:r>
    </w:p>
    <w:p>
      <w:pPr>
        <w:pStyle w:val="BodyText"/>
        <w:spacing w:line="216" w:lineRule="auto" w:before="3"/>
        <w:ind w:right="132"/>
      </w:pPr>
      <w:r>
        <w:rPr>
          <w:rFonts w:ascii="Times New Roman" w:eastAsia="Times New Roman"/>
          <w:position w:val="10"/>
          <w:sz w:val="14"/>
        </w:rPr>
        <w:t>20 </w:t>
      </w:r>
      <w:r>
        <w:rPr>
          <w:rFonts w:ascii="微软雅黑" w:eastAsia="微软雅黑" w:hint="eastAsia"/>
          <w:b/>
        </w:rPr>
        <w:t>语言能力或咀嚼吞咽能力完全丧失</w:t>
      </w:r>
      <w:r>
        <w:rPr/>
        <w:t>：语言能力完全丧失，指无法发出四种语音（包括口唇音、齿舌音、口盖音和喉头音）中的任何三种、或声带全部切除，或因大脑语言中枢受伤害而患失语症。咀嚼吞咽能力</w:t>
      </w:r>
    </w:p>
    <w:p>
      <w:pPr>
        <w:pStyle w:val="BodyText"/>
        <w:spacing w:line="237" w:lineRule="auto" w:before="1"/>
        <w:ind w:right="202" w:hanging="1"/>
      </w:pPr>
      <w:r>
        <w:rPr>
          <w:spacing w:val="-6"/>
        </w:rPr>
        <w:t>完全丧失，指因牙齿以外的原因导致器质障碍或机能障碍，以致不能作咀嚼吞咽运动，除流质食物外不能</w:t>
      </w:r>
      <w:r>
        <w:rPr>
          <w:spacing w:val="-4"/>
        </w:rPr>
        <w:t>摄取或吞咽的状态。</w:t>
      </w:r>
    </w:p>
    <w:p>
      <w:pPr>
        <w:spacing w:line="285" w:lineRule="exact" w:before="0"/>
        <w:ind w:left="212" w:right="0" w:firstLine="0"/>
        <w:jc w:val="left"/>
        <w:rPr>
          <w:sz w:val="21"/>
        </w:rPr>
      </w:pPr>
      <w:r>
        <w:rPr>
          <w:rFonts w:ascii="Times New Roman" w:hAnsi="Times New Roman" w:eastAsia="Times New Roman"/>
          <w:position w:val="10"/>
          <w:sz w:val="14"/>
        </w:rPr>
        <w:t>21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2"/>
        <w:ind w:right="202" w:hanging="1"/>
      </w:pP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258" w:lineRule="exact"/>
      </w:pPr>
      <w:r>
        <w:rPr>
          <w:rFonts w:ascii="Times New Roman" w:eastAsia="Times New Roman"/>
          <w:position w:val="10"/>
          <w:sz w:val="14"/>
        </w:rPr>
        <w:t>22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1" w:lineRule="exact"/>
      </w:pPr>
      <w:r>
        <w:rPr/>
        <w:t>恢复。</w:t>
      </w:r>
    </w:p>
    <w:p>
      <w:pPr>
        <w:pStyle w:val="BodyText"/>
        <w:spacing w:before="3"/>
        <w:ind w:left="0"/>
        <w:rPr>
          <w:sz w:val="20"/>
        </w:rPr>
      </w:pPr>
      <w:r>
        <w:rPr/>
        <w:drawing>
          <wp:anchor distT="0" distB="0" distL="0" distR="0" allowOverlap="1" layoutInCell="1" locked="0" behindDoc="0" simplePos="0" relativeHeight="1744">
            <wp:simplePos x="0" y="0"/>
            <wp:positionH relativeFrom="page">
              <wp:posOffset>650741</wp:posOffset>
            </wp:positionH>
            <wp:positionV relativeFrom="paragraph">
              <wp:posOffset>193087</wp:posOffset>
            </wp:positionV>
            <wp:extent cx="6257550" cy="38100"/>
            <wp:effectExtent l="0" t="0" r="0" b="0"/>
            <wp:wrapTopAndBottom/>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Heading2"/>
        <w:spacing w:line="240" w:lineRule="auto" w:before="149"/>
        <w:ind w:left="1650" w:right="1649" w:firstLine="0"/>
        <w:jc w:val="center"/>
      </w:pPr>
      <w:r>
        <w:rPr/>
        <w:t>[本页内容结束]</w:t>
      </w:r>
    </w:p>
    <w:sectPr>
      <w:pgSz w:w="11900" w:h="16840"/>
      <w:pgMar w:header="892" w:footer="547"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ngLiU-ExtB">
    <w:altName w:val="MingLiU-ExtB"/>
    <w:charset w:val="0"/>
    <w:family w:val="roman"/>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21880" coordorigin="1025,16018" coordsize="9495,3" path="m1025,16020l10519,16020m1025,16018l10397,16018e" filled="false" stroked="true" strokeweight=".479531pt" strokecolor="#000000">
          <v:path arrowok="t"/>
          <v:stroke dashstyle="solid"/>
          <w10:wrap type="none"/>
        </v:shape>
      </w:pict>
    </w:r>
    <w:r>
      <w:rPr/>
      <w:pict>
        <v:shape style="position:absolute;margin-left:55.639477pt;margin-top:802.022522pt;width:159.7pt;height:9.6pt;mso-position-horizontal-relative:page;mso-position-vertical-relative:page;z-index:-21856" type="#_x0000_t202" filled="false" stroked="false">
          <v:textbox inset="0,0,0,0">
            <w:txbxContent>
              <w:p>
                <w:pPr>
                  <w:spacing w:line="171" w:lineRule="exact" w:before="0"/>
                  <w:ind w:left="20" w:right="0" w:firstLine="0"/>
                  <w:jc w:val="left"/>
                  <w:rPr>
                    <w:sz w:val="15"/>
                  </w:rPr>
                </w:pPr>
                <w:r>
                  <w:rPr>
                    <w:sz w:val="15"/>
                  </w:rPr>
                  <w:t>工银安盛人寿附加豁免保险费重大疾病保险条款</w:t>
                </w:r>
              </w:p>
            </w:txbxContent>
          </v:textbox>
          <w10:wrap type="none"/>
        </v:shape>
      </w:pict>
    </w:r>
    <w:r>
      <w:rPr/>
      <w:pict>
        <v:shape style="position:absolute;margin-left:483.199371pt;margin-top:801.675537pt;width:33.3pt;height:10.5pt;mso-position-horizontal-relative:page;mso-position-vertical-relative:page;z-index:-21832" type="#_x0000_t202" filled="false" stroked="false">
          <v:textbox inset="0,0,0,0">
            <w:txbxContent>
              <w:p>
                <w:pPr>
                  <w:spacing w:before="16"/>
                  <w:ind w:left="20" w:right="0" w:firstLine="0"/>
                  <w:jc w:val="left"/>
                  <w:rPr>
                    <w:rFonts w:ascii="Times New Roman"/>
                    <w:sz w:val="15"/>
                  </w:rPr>
                </w:pPr>
                <w:r>
                  <w:rPr>
                    <w:rFonts w:ascii="Arial"/>
                    <w:sz w:val="15"/>
                  </w:rPr>
                  <w:t>ACIWP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21664" coordorigin="1025,16018" coordsize="9495,3" path="m1025,16020l10519,16020m1025,16018l10471,16018e" filled="false" stroked="true" strokeweight=".479531pt" strokecolor="#000000">
          <v:path arrowok="t"/>
          <v:stroke dashstyle="solid"/>
          <w10:wrap type="none"/>
        </v:shape>
      </w:pict>
    </w:r>
    <w:r>
      <w:rPr/>
      <w:pict>
        <v:shape style="position:absolute;margin-left:55.639477pt;margin-top:802.022522pt;width:159.7pt;height:9.6pt;mso-position-horizontal-relative:page;mso-position-vertical-relative:page;z-index:-21640" type="#_x0000_t202" filled="false" stroked="false">
          <v:textbox inset="0,0,0,0">
            <w:txbxContent>
              <w:p>
                <w:pPr>
                  <w:spacing w:line="171" w:lineRule="exact" w:before="0"/>
                  <w:ind w:left="20" w:right="0" w:firstLine="0"/>
                  <w:jc w:val="left"/>
                  <w:rPr>
                    <w:sz w:val="15"/>
                  </w:rPr>
                </w:pPr>
                <w:r>
                  <w:rPr>
                    <w:sz w:val="15"/>
                  </w:rPr>
                  <w:t>工银安盛人寿附加豁免保险费重大疾病保险条款</w:t>
                </w:r>
              </w:p>
            </w:txbxContent>
          </v:textbox>
          <w10:wrap type="none"/>
        </v:shape>
      </w:pict>
    </w:r>
    <w:r>
      <w:rPr/>
      <w:pict>
        <v:shape style="position:absolute;margin-left:483.199371pt;margin-top:801.675537pt;width:37.050pt;height:10.5pt;mso-position-horizontal-relative:page;mso-position-vertical-relative:page;z-index:-21616" type="#_x0000_t202" filled="false" stroked="false">
          <v:textbox inset="0,0,0,0">
            <w:txbxContent>
              <w:p>
                <w:pPr>
                  <w:spacing w:before="16"/>
                  <w:ind w:left="20" w:right="0" w:firstLine="0"/>
                  <w:jc w:val="left"/>
                  <w:rPr>
                    <w:rFonts w:ascii="Times New Roman"/>
                    <w:sz w:val="15"/>
                  </w:rPr>
                </w:pPr>
                <w:r>
                  <w:rPr>
                    <w:rFonts w:ascii="Arial"/>
                    <w:sz w:val="15"/>
                  </w:rPr>
                  <w:t>ACIWP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928" from="51.239517pt,54.478653pt" to="543.959506pt,54.478653pt" stroked="true" strokeweight=".47953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7.559814pt;margin-top:43.622444pt;width:92.15pt;height:9.6pt;mso-position-horizontal-relative:page;mso-position-vertical-relative:page;z-index:-21904"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21808"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784"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21760"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21736"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712"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21688"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4">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257" w:hanging="725"/>
      </w:pPr>
      <w:rPr>
        <w:rFonts w:hint="default"/>
      </w:rPr>
    </w:lvl>
    <w:lvl w:ilvl="3">
      <w:start w:val="0"/>
      <w:numFmt w:val="bullet"/>
      <w:lvlText w:val="•"/>
      <w:lvlJc w:val="left"/>
      <w:pPr>
        <w:ind w:left="3235" w:hanging="725"/>
      </w:pPr>
      <w:rPr>
        <w:rFonts w:hint="default"/>
      </w:rPr>
    </w:lvl>
    <w:lvl w:ilvl="4">
      <w:start w:val="0"/>
      <w:numFmt w:val="bullet"/>
      <w:lvlText w:val="•"/>
      <w:lvlJc w:val="left"/>
      <w:pPr>
        <w:ind w:left="4213" w:hanging="725"/>
      </w:pPr>
      <w:rPr>
        <w:rFonts w:hint="default"/>
      </w:rPr>
    </w:lvl>
    <w:lvl w:ilvl="5">
      <w:start w:val="0"/>
      <w:numFmt w:val="bullet"/>
      <w:lvlText w:val="•"/>
      <w:lvlJc w:val="left"/>
      <w:pPr>
        <w:ind w:left="5191" w:hanging="725"/>
      </w:pPr>
      <w:rPr>
        <w:rFonts w:hint="default"/>
      </w:rPr>
    </w:lvl>
    <w:lvl w:ilvl="6">
      <w:start w:val="0"/>
      <w:numFmt w:val="bullet"/>
      <w:lvlText w:val="•"/>
      <w:lvlJc w:val="left"/>
      <w:pPr>
        <w:ind w:left="6168" w:hanging="725"/>
      </w:pPr>
      <w:rPr>
        <w:rFonts w:hint="default"/>
      </w:rPr>
    </w:lvl>
    <w:lvl w:ilvl="7">
      <w:start w:val="0"/>
      <w:numFmt w:val="bullet"/>
      <w:lvlText w:val="•"/>
      <w:lvlJc w:val="left"/>
      <w:pPr>
        <w:ind w:left="7146" w:hanging="725"/>
      </w:pPr>
      <w:rPr>
        <w:rFonts w:hint="default"/>
      </w:rPr>
    </w:lvl>
    <w:lvl w:ilvl="8">
      <w:start w:val="0"/>
      <w:numFmt w:val="bullet"/>
      <w:lvlText w:val="•"/>
      <w:lvlJc w:val="left"/>
      <w:pPr>
        <w:ind w:left="8124"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07" w:hanging="339"/>
      </w:pPr>
      <w:rPr>
        <w:rFonts w:hint="default" w:ascii="MS UI Gothic" w:hAnsi="MS UI Gothic" w:eastAsia="MS UI Gothic" w:cs="MS UI Gothic"/>
        <w:w w:val="89"/>
        <w:sz w:val="18"/>
        <w:szCs w:val="18"/>
      </w:rPr>
    </w:lvl>
    <w:lvl w:ilvl="1">
      <w:start w:val="0"/>
      <w:numFmt w:val="bullet"/>
      <w:lvlText w:val="•"/>
      <w:lvlJc w:val="left"/>
      <w:pPr>
        <w:ind w:left="2280" w:hanging="339"/>
      </w:pPr>
      <w:rPr>
        <w:rFonts w:hint="default"/>
      </w:rPr>
    </w:lvl>
    <w:lvl w:ilvl="2">
      <w:start w:val="0"/>
      <w:numFmt w:val="bullet"/>
      <w:lvlText w:val="•"/>
      <w:lvlJc w:val="left"/>
      <w:pPr>
        <w:ind w:left="3160" w:hanging="339"/>
      </w:pPr>
      <w:rPr>
        <w:rFonts w:hint="default"/>
      </w:rPr>
    </w:lvl>
    <w:lvl w:ilvl="3">
      <w:start w:val="0"/>
      <w:numFmt w:val="bullet"/>
      <w:lvlText w:val="•"/>
      <w:lvlJc w:val="left"/>
      <w:pPr>
        <w:ind w:left="4040" w:hanging="339"/>
      </w:pPr>
      <w:rPr>
        <w:rFonts w:hint="default"/>
      </w:rPr>
    </w:lvl>
    <w:lvl w:ilvl="4">
      <w:start w:val="0"/>
      <w:numFmt w:val="bullet"/>
      <w:lvlText w:val="•"/>
      <w:lvlJc w:val="left"/>
      <w:pPr>
        <w:ind w:left="4920"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80" w:hanging="339"/>
      </w:pPr>
      <w:rPr>
        <w:rFonts w:hint="default"/>
      </w:rPr>
    </w:lvl>
    <w:lvl w:ilvl="7">
      <w:start w:val="0"/>
      <w:numFmt w:val="bullet"/>
      <w:lvlText w:val="•"/>
      <w:lvlJc w:val="left"/>
      <w:pPr>
        <w:ind w:left="7560" w:hanging="339"/>
      </w:pPr>
      <w:rPr>
        <w:rFonts w:hint="default"/>
      </w:rPr>
    </w:lvl>
    <w:lvl w:ilvl="8">
      <w:start w:val="0"/>
      <w:numFmt w:val="bullet"/>
      <w:lvlText w:val="•"/>
      <w:lvlJc w:val="left"/>
      <w:pPr>
        <w:ind w:left="8440" w:hanging="339"/>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ind w:left="1650"/>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7" w:lineRule="exact"/>
      <w:ind w:left="937"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67" w:lineRule="exact"/>
      <w:ind w:left="937" w:hanging="725"/>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4.png"/><Relationship Id="rId15" Type="http://schemas.openxmlformats.org/officeDocument/2006/relationships/footer" Target="foot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2016_022工银安盛人寿附加豁免保险费重大疾病保险</dc:title>
  <dcterms:created xsi:type="dcterms:W3CDTF">2018-10-20T07:54:37Z</dcterms:created>
  <dcterms:modified xsi:type="dcterms:W3CDTF">2018-10-20T07:54:37Z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PDF reDirect v2</vt:lpwstr>
  </property>
  <property fmtid="{D5CDD505-2E9C-101B-9397-08002B2CF9AE}" pid="4" name="LastSaved">
    <vt:filetime>2018-10-19T00:00:00Z</vt:filetime>
  </property>
</Properties>
</file>