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8" w:lineRule="exact" w:before="0"/>
        <w:ind w:left="1659" w:right="0" w:firstLine="0"/>
        <w:jc w:val="left"/>
        <w:rPr>
          <w:rFonts w:ascii="Microsoft JhengHei" w:eastAsia="Microsoft JhengHei" w:hint="eastAsia"/>
          <w:b/>
          <w:sz w:val="44"/>
        </w:rPr>
      </w:pPr>
      <w:r>
        <w:rPr>
          <w:rFonts w:ascii="Microsoft JhengHei" w:eastAsia="Microsoft JhengHei" w:hint="eastAsia"/>
          <w:b/>
          <w:sz w:val="44"/>
        </w:rPr>
        <w:t>光大永明人寿保险有限公司</w:t>
      </w:r>
    </w:p>
    <w:p>
      <w:pPr>
        <w:spacing w:line="418" w:lineRule="exact" w:before="0"/>
        <w:ind w:left="1599" w:right="0" w:firstLine="0"/>
        <w:jc w:val="left"/>
        <w:rPr>
          <w:rFonts w:ascii="Microsoft JhengHei" w:eastAsia="Microsoft JhengHei" w:hint="eastAsia"/>
          <w:b/>
          <w:sz w:val="30"/>
        </w:rPr>
      </w:pPr>
      <w:r>
        <w:rPr>
          <w:rFonts w:ascii="Microsoft JhengHei" w:eastAsia="Microsoft JhengHei" w:hint="eastAsia"/>
          <w:b/>
          <w:sz w:val="30"/>
        </w:rPr>
        <w:t>光大永明附加丰盛少儿定期重大疾病保险</w:t>
      </w:r>
    </w:p>
    <w:p>
      <w:pPr>
        <w:pStyle w:val="BodyText"/>
        <w:spacing w:before="2"/>
        <w:rPr>
          <w:rFonts w:ascii="Microsoft JhengHei"/>
          <w:b/>
          <w:sz w:val="19"/>
        </w:rPr>
      </w:pPr>
    </w:p>
    <w:p>
      <w:pPr>
        <w:spacing w:line="201" w:lineRule="auto" w:before="0"/>
        <w:ind w:left="117" w:right="150" w:firstLine="0"/>
        <w:jc w:val="left"/>
        <w:rPr>
          <w:rFonts w:ascii="Microsoft JhengHei" w:eastAsia="Microsoft JhengHei" w:hint="eastAsia"/>
          <w:b/>
          <w:sz w:val="24"/>
        </w:rPr>
      </w:pPr>
      <w:r>
        <w:rPr>
          <w:rFonts w:ascii="Microsoft JhengHei" w:eastAsia="Microsoft JhengHei" w:hint="eastAsia"/>
          <w:b/>
          <w:sz w:val="24"/>
        </w:rPr>
        <w:t>感谢您选择了光大永明人寿。为了帮助您更好地理解本条款，在阅读本条款前， 请您注意阅读提示和名词说明。</w:t>
      </w:r>
    </w:p>
    <w:p>
      <w:pPr>
        <w:pStyle w:val="BodyText"/>
        <w:spacing w:before="12"/>
        <w:rPr>
          <w:rFonts w:ascii="Microsoft JhengHei"/>
          <w:b/>
          <w:sz w:val="12"/>
        </w:rPr>
      </w:pPr>
    </w:p>
    <w:p>
      <w:pPr>
        <w:pStyle w:val="Heading3"/>
        <w:spacing w:before="1"/>
      </w:pPr>
      <w:r>
        <w:rPr/>
        <w:t>阅读提示</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8"/>
        <w:gridCol w:w="1395"/>
      </w:tblGrid>
      <w:tr>
        <w:trPr>
          <w:trHeight w:val="492" w:hRule="atLeast"/>
        </w:trPr>
        <w:tc>
          <w:tcPr>
            <w:tcW w:w="8453" w:type="dxa"/>
            <w:gridSpan w:val="2"/>
            <w:tcBorders>
              <w:top w:val="single" w:sz="4" w:space="0" w:color="000000"/>
            </w:tcBorders>
          </w:tcPr>
          <w:p>
            <w:pPr>
              <w:pStyle w:val="TableParagraph"/>
              <w:spacing w:line="398" w:lineRule="exact"/>
              <w:ind w:left="3008" w:right="3002"/>
              <w:jc w:val="center"/>
              <w:rPr>
                <w:rFonts w:ascii="Microsoft JhengHei" w:eastAsia="Microsoft JhengHei" w:hint="eastAsia"/>
                <w:b/>
                <w:sz w:val="24"/>
              </w:rPr>
            </w:pPr>
            <w:r>
              <w:rPr>
                <w:rFonts w:ascii="Microsoft JhengHei" w:eastAsia="Microsoft JhengHei" w:hint="eastAsia"/>
                <w:b/>
                <w:sz w:val="24"/>
              </w:rPr>
              <w:t>您所享有的重要权益</w:t>
            </w:r>
          </w:p>
        </w:tc>
      </w:tr>
      <w:tr>
        <w:trPr>
          <w:trHeight w:val="469" w:hRule="atLeast"/>
        </w:trPr>
        <w:tc>
          <w:tcPr>
            <w:tcW w:w="7058" w:type="dxa"/>
          </w:tcPr>
          <w:p>
            <w:pPr>
              <w:pStyle w:val="TableParagraph"/>
              <w:spacing w:before="63"/>
              <w:rPr>
                <w:sz w:val="21"/>
              </w:rPr>
            </w:pPr>
            <w:r>
              <w:rPr>
                <w:rFonts w:ascii="宋体" w:hAnsi="宋体" w:eastAsia="宋体" w:hint="eastAsia"/>
                <w:sz w:val="21"/>
              </w:rPr>
              <w:t>本附加合同所提供的保障</w:t>
            </w:r>
            <w:r>
              <w:rPr>
                <w:sz w:val="21"/>
              </w:rPr>
              <w:t>............................................………………………….</w:t>
            </w:r>
          </w:p>
        </w:tc>
        <w:tc>
          <w:tcPr>
            <w:tcW w:w="1395" w:type="dxa"/>
          </w:tcPr>
          <w:p>
            <w:pPr>
              <w:pStyle w:val="TableParagraph"/>
              <w:spacing w:line="362" w:lineRule="exact"/>
              <w:ind w:left="217"/>
              <w:rPr>
                <w:rFonts w:ascii="Microsoft JhengHei" w:eastAsia="Microsoft JhengHei" w:hint="eastAsia"/>
                <w:b/>
                <w:sz w:val="21"/>
              </w:rPr>
            </w:pPr>
            <w:hyperlink w:history="true" w:anchor="_bookmark3">
              <w:r>
                <w:rPr>
                  <w:rFonts w:ascii="Microsoft JhengHei" w:eastAsia="Microsoft JhengHei" w:hint="eastAsia"/>
                  <w:b/>
                  <w:sz w:val="21"/>
                </w:rPr>
                <w:t>第   六  条</w:t>
              </w:r>
            </w:hyperlink>
          </w:p>
        </w:tc>
      </w:tr>
      <w:tr>
        <w:trPr>
          <w:trHeight w:val="454" w:hRule="atLeast"/>
        </w:trPr>
        <w:tc>
          <w:tcPr>
            <w:tcW w:w="7058" w:type="dxa"/>
          </w:tcPr>
          <w:p>
            <w:pPr>
              <w:pStyle w:val="TableParagraph"/>
              <w:spacing w:before="57"/>
              <w:rPr>
                <w:sz w:val="21"/>
              </w:rPr>
            </w:pPr>
            <w:r>
              <w:rPr>
                <w:rFonts w:ascii="宋体" w:hAnsi="宋体" w:eastAsia="宋体" w:hint="eastAsia"/>
                <w:sz w:val="21"/>
              </w:rPr>
              <w:t>签收保险合同后十天内，您可以要求退还保险费</w:t>
            </w:r>
            <w:r>
              <w:rPr>
                <w:sz w:val="21"/>
              </w:rPr>
              <w:t>..........................…………….</w:t>
            </w:r>
          </w:p>
        </w:tc>
        <w:tc>
          <w:tcPr>
            <w:tcW w:w="1395" w:type="dxa"/>
          </w:tcPr>
          <w:p>
            <w:pPr>
              <w:pStyle w:val="TableParagraph"/>
              <w:spacing w:line="356" w:lineRule="exact"/>
              <w:ind w:left="145"/>
              <w:rPr>
                <w:rFonts w:ascii="Microsoft JhengHei" w:eastAsia="Microsoft JhengHei" w:hint="eastAsia"/>
                <w:b/>
                <w:sz w:val="21"/>
              </w:rPr>
            </w:pPr>
            <w:hyperlink w:history="true" w:anchor="_bookmark10">
              <w:r>
                <w:rPr>
                  <w:rFonts w:ascii="Microsoft JhengHei" w:eastAsia="Microsoft JhengHei" w:hint="eastAsia"/>
                  <w:b/>
                  <w:sz w:val="21"/>
                </w:rPr>
                <w:t>第 十 一 条 </w:t>
              </w:r>
            </w:hyperlink>
          </w:p>
        </w:tc>
      </w:tr>
      <w:tr>
        <w:trPr>
          <w:trHeight w:val="468" w:hRule="atLeast"/>
        </w:trPr>
        <w:tc>
          <w:tcPr>
            <w:tcW w:w="8453" w:type="dxa"/>
            <w:gridSpan w:val="2"/>
          </w:tcPr>
          <w:p>
            <w:pPr>
              <w:pStyle w:val="TableParagraph"/>
              <w:spacing w:line="374" w:lineRule="exact"/>
              <w:ind w:left="3010" w:right="3002"/>
              <w:jc w:val="center"/>
              <w:rPr>
                <w:rFonts w:ascii="Microsoft JhengHei" w:eastAsia="Microsoft JhengHei" w:hint="eastAsia"/>
                <w:b/>
                <w:sz w:val="24"/>
              </w:rPr>
            </w:pPr>
            <w:r>
              <w:rPr>
                <w:rFonts w:ascii="Microsoft JhengHei" w:eastAsia="Microsoft JhengHei" w:hint="eastAsia"/>
                <w:b/>
                <w:sz w:val="24"/>
              </w:rPr>
              <w:t>您应当特别注意的事项</w:t>
            </w:r>
          </w:p>
        </w:tc>
      </w:tr>
      <w:tr>
        <w:trPr>
          <w:trHeight w:val="469" w:hRule="atLeast"/>
        </w:trPr>
        <w:tc>
          <w:tcPr>
            <w:tcW w:w="7058" w:type="dxa"/>
          </w:tcPr>
          <w:p>
            <w:pPr>
              <w:pStyle w:val="TableParagraph"/>
              <w:spacing w:before="63"/>
              <w:rPr>
                <w:sz w:val="21"/>
              </w:rPr>
            </w:pPr>
            <w:r>
              <w:rPr>
                <w:rFonts w:ascii="宋体" w:hAnsi="宋体" w:eastAsia="宋体" w:hint="eastAsia"/>
                <w:sz w:val="21"/>
              </w:rPr>
              <w:t>在某些情况下，我们不承担保险责任</w:t>
            </w:r>
            <w:r>
              <w:rPr>
                <w:sz w:val="21"/>
              </w:rPr>
              <w:t>............................................................…...</w:t>
            </w:r>
          </w:p>
        </w:tc>
        <w:tc>
          <w:tcPr>
            <w:tcW w:w="1395" w:type="dxa"/>
          </w:tcPr>
          <w:p>
            <w:pPr>
              <w:pStyle w:val="TableParagraph"/>
              <w:spacing w:line="362" w:lineRule="exact"/>
              <w:ind w:left="217"/>
              <w:rPr>
                <w:rFonts w:ascii="Microsoft JhengHei" w:eastAsia="Microsoft JhengHei" w:hint="eastAsia"/>
                <w:b/>
                <w:sz w:val="21"/>
              </w:rPr>
            </w:pPr>
            <w:hyperlink w:history="true" w:anchor="_bookmark4">
              <w:r>
                <w:rPr>
                  <w:rFonts w:ascii="Microsoft JhengHei" w:eastAsia="Microsoft JhengHei" w:hint="eastAsia"/>
                  <w:b/>
                  <w:sz w:val="21"/>
                </w:rPr>
                <w:t>第   七  条</w:t>
              </w:r>
            </w:hyperlink>
          </w:p>
        </w:tc>
      </w:tr>
      <w:tr>
        <w:trPr>
          <w:trHeight w:val="463" w:hRule="atLeast"/>
        </w:trPr>
        <w:tc>
          <w:tcPr>
            <w:tcW w:w="7058" w:type="dxa"/>
          </w:tcPr>
          <w:p>
            <w:pPr>
              <w:pStyle w:val="TableParagraph"/>
              <w:spacing w:before="57"/>
              <w:rPr>
                <w:sz w:val="21"/>
              </w:rPr>
            </w:pPr>
            <w:r>
              <w:rPr>
                <w:rFonts w:ascii="宋体" w:hAnsi="宋体" w:eastAsia="宋体" w:hint="eastAsia"/>
                <w:sz w:val="21"/>
              </w:rPr>
              <w:t>如何申领保险金</w:t>
            </w:r>
            <w:r>
              <w:rPr>
                <w:sz w:val="21"/>
              </w:rPr>
              <w:t>.............................................................................................……</w:t>
            </w:r>
          </w:p>
        </w:tc>
        <w:tc>
          <w:tcPr>
            <w:tcW w:w="1395" w:type="dxa"/>
          </w:tcPr>
          <w:p>
            <w:pPr>
              <w:pStyle w:val="TableParagraph"/>
              <w:spacing w:line="356" w:lineRule="exact"/>
              <w:ind w:left="217"/>
              <w:rPr>
                <w:rFonts w:ascii="Microsoft JhengHei" w:eastAsia="Microsoft JhengHei" w:hint="eastAsia"/>
                <w:b/>
                <w:sz w:val="21"/>
              </w:rPr>
            </w:pPr>
            <w:hyperlink w:history="true" w:anchor="_bookmark8">
              <w:r>
                <w:rPr>
                  <w:rFonts w:ascii="Microsoft JhengHei" w:eastAsia="Microsoft JhengHei" w:hint="eastAsia"/>
                  <w:b/>
                  <w:sz w:val="21"/>
                </w:rPr>
                <w:t>第   九  条</w:t>
              </w:r>
            </w:hyperlink>
          </w:p>
        </w:tc>
      </w:tr>
      <w:tr>
        <w:trPr>
          <w:trHeight w:val="348" w:hRule="atLeast"/>
        </w:trPr>
        <w:tc>
          <w:tcPr>
            <w:tcW w:w="7058" w:type="dxa"/>
          </w:tcPr>
          <w:p>
            <w:pPr>
              <w:pStyle w:val="TableParagraph"/>
              <w:spacing w:line="271" w:lineRule="exact" w:before="57"/>
              <w:rPr>
                <w:sz w:val="21"/>
              </w:rPr>
            </w:pPr>
            <w:r>
              <w:rPr>
                <w:rFonts w:ascii="宋体" w:hAnsi="宋体" w:eastAsia="宋体" w:hint="eastAsia"/>
                <w:sz w:val="21"/>
              </w:rPr>
              <w:t>您有解除合同的权利，请您慎重决定</w:t>
            </w:r>
            <w:r>
              <w:rPr>
                <w:sz w:val="21"/>
              </w:rPr>
              <w:t>............................................................…...</w:t>
            </w:r>
          </w:p>
        </w:tc>
        <w:tc>
          <w:tcPr>
            <w:tcW w:w="1395" w:type="dxa"/>
          </w:tcPr>
          <w:p>
            <w:pPr>
              <w:pStyle w:val="TableParagraph"/>
              <w:spacing w:line="328" w:lineRule="exact"/>
              <w:ind w:left="145"/>
              <w:rPr>
                <w:rFonts w:ascii="Microsoft JhengHei" w:eastAsia="Microsoft JhengHei" w:hint="eastAsia"/>
                <w:b/>
                <w:sz w:val="21"/>
              </w:rPr>
            </w:pPr>
            <w:hyperlink w:history="true" w:anchor="_bookmark10">
              <w:r>
                <w:rPr>
                  <w:rFonts w:ascii="Microsoft JhengHei" w:eastAsia="Microsoft JhengHei" w:hint="eastAsia"/>
                  <w:b/>
                  <w:sz w:val="21"/>
                </w:rPr>
                <w:t>第 十 一 条 </w:t>
              </w:r>
            </w:hyperlink>
          </w:p>
        </w:tc>
      </w:tr>
    </w:tbl>
    <w:p>
      <w:pPr>
        <w:pStyle w:val="BodyText"/>
        <w:rPr>
          <w:rFonts w:ascii="Microsoft JhengHei"/>
          <w:b/>
          <w:sz w:val="37"/>
        </w:rPr>
      </w:pPr>
    </w:p>
    <w:p>
      <w:pPr>
        <w:pStyle w:val="Heading3"/>
      </w:pPr>
      <w:r>
        <w:rPr/>
        <w:t>名词说明</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693"/>
        <w:gridCol w:w="6370"/>
      </w:tblGrid>
      <w:tr>
        <w:trPr>
          <w:trHeight w:val="379" w:hRule="atLeast"/>
        </w:trPr>
        <w:tc>
          <w:tcPr>
            <w:tcW w:w="1423" w:type="dxa"/>
            <w:tcBorders>
              <w:top w:val="single" w:sz="4" w:space="0" w:color="000000"/>
            </w:tcBorders>
          </w:tcPr>
          <w:p>
            <w:pPr>
              <w:pStyle w:val="TableParagraph"/>
              <w:spacing w:line="333" w:lineRule="exact"/>
              <w:rPr>
                <w:rFonts w:ascii="Microsoft JhengHei" w:eastAsia="Microsoft JhengHei" w:hint="eastAsia"/>
                <w:b/>
                <w:sz w:val="21"/>
              </w:rPr>
            </w:pPr>
            <w:r>
              <w:rPr>
                <w:rFonts w:ascii="Microsoft JhengHei" w:eastAsia="Microsoft JhengHei" w:hint="eastAsia"/>
                <w:b/>
                <w:sz w:val="21"/>
              </w:rPr>
              <w:t>我们</w:t>
            </w:r>
          </w:p>
        </w:tc>
        <w:tc>
          <w:tcPr>
            <w:tcW w:w="693" w:type="dxa"/>
            <w:tcBorders>
              <w:top w:val="single" w:sz="4" w:space="0" w:color="000000"/>
            </w:tcBorders>
          </w:tcPr>
          <w:p>
            <w:pPr>
              <w:pStyle w:val="TableParagraph"/>
              <w:spacing w:line="333"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0" w:type="dxa"/>
            <w:tcBorders>
              <w:top w:val="single" w:sz="4" w:space="0" w:color="000000"/>
            </w:tcBorders>
          </w:tcPr>
          <w:p>
            <w:pPr>
              <w:pStyle w:val="TableParagraph"/>
              <w:spacing w:before="34"/>
              <w:ind w:left="12"/>
              <w:rPr>
                <w:rFonts w:ascii="宋体" w:eastAsia="宋体" w:hint="eastAsia"/>
                <w:sz w:val="21"/>
              </w:rPr>
            </w:pPr>
            <w:r>
              <w:rPr>
                <w:rFonts w:ascii="宋体" w:eastAsia="宋体" w:hint="eastAsia"/>
                <w:sz w:val="21"/>
              </w:rPr>
              <w:t>指光大永明人寿保险有限公司。</w:t>
            </w:r>
          </w:p>
        </w:tc>
      </w:tr>
      <w:tr>
        <w:trPr>
          <w:trHeight w:val="349" w:hRule="atLeast"/>
        </w:trPr>
        <w:tc>
          <w:tcPr>
            <w:tcW w:w="1423" w:type="dxa"/>
          </w:tcPr>
          <w:p>
            <w:pPr>
              <w:pStyle w:val="TableParagraph"/>
              <w:spacing w:line="304" w:lineRule="exact"/>
              <w:rPr>
                <w:rFonts w:ascii="Microsoft JhengHei" w:eastAsia="Microsoft JhengHei" w:hint="eastAsia"/>
                <w:b/>
                <w:sz w:val="21"/>
              </w:rPr>
            </w:pPr>
            <w:r>
              <w:rPr>
                <w:rFonts w:ascii="Microsoft JhengHei" w:eastAsia="Microsoft JhengHei" w:hint="eastAsia"/>
                <w:b/>
                <w:sz w:val="21"/>
              </w:rPr>
              <w:t>您</w:t>
            </w:r>
          </w:p>
        </w:tc>
        <w:tc>
          <w:tcPr>
            <w:tcW w:w="693" w:type="dxa"/>
          </w:tcPr>
          <w:p>
            <w:pPr>
              <w:pStyle w:val="TableParagraph"/>
              <w:spacing w:line="304"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0" w:type="dxa"/>
          </w:tcPr>
          <w:p>
            <w:pPr>
              <w:pStyle w:val="TableParagraph"/>
              <w:spacing w:before="5"/>
              <w:ind w:left="12"/>
              <w:rPr>
                <w:rFonts w:ascii="宋体" w:eastAsia="宋体" w:hint="eastAsia"/>
                <w:sz w:val="21"/>
              </w:rPr>
            </w:pPr>
            <w:r>
              <w:rPr>
                <w:rFonts w:ascii="宋体" w:eastAsia="宋体" w:hint="eastAsia"/>
                <w:sz w:val="21"/>
              </w:rPr>
              <w:t>指投保人。</w:t>
            </w:r>
          </w:p>
        </w:tc>
      </w:tr>
      <w:tr>
        <w:trPr>
          <w:trHeight w:val="279" w:hRule="atLeast"/>
        </w:trPr>
        <w:tc>
          <w:tcPr>
            <w:tcW w:w="1423" w:type="dxa"/>
          </w:tcPr>
          <w:p>
            <w:pPr>
              <w:pStyle w:val="TableParagraph"/>
              <w:spacing w:line="260" w:lineRule="exact"/>
              <w:ind w:left="107"/>
              <w:rPr>
                <w:rFonts w:ascii="Microsoft JhengHei" w:eastAsia="Microsoft JhengHei" w:hint="eastAsia"/>
                <w:b/>
                <w:sz w:val="21"/>
              </w:rPr>
            </w:pPr>
            <w:r>
              <w:rPr>
                <w:rFonts w:ascii="Microsoft JhengHei" w:eastAsia="Microsoft JhengHei" w:hint="eastAsia"/>
                <w:b/>
                <w:sz w:val="21"/>
              </w:rPr>
              <w:t>保险条款</w:t>
            </w:r>
          </w:p>
        </w:tc>
        <w:tc>
          <w:tcPr>
            <w:tcW w:w="693" w:type="dxa"/>
          </w:tcPr>
          <w:p>
            <w:pPr>
              <w:pStyle w:val="TableParagraph"/>
              <w:spacing w:line="260" w:lineRule="exact"/>
              <w:ind w:left="0" w:right="10"/>
              <w:jc w:val="right"/>
              <w:rPr>
                <w:rFonts w:ascii="Microsoft JhengHei" w:eastAsia="Microsoft JhengHei" w:hint="eastAsia"/>
                <w:b/>
                <w:sz w:val="21"/>
              </w:rPr>
            </w:pPr>
            <w:r>
              <w:rPr>
                <w:rFonts w:ascii="Microsoft JhengHei" w:eastAsia="Microsoft JhengHei" w:hint="eastAsia"/>
                <w:b/>
                <w:sz w:val="21"/>
              </w:rPr>
              <w:t>：</w:t>
            </w:r>
          </w:p>
        </w:tc>
        <w:tc>
          <w:tcPr>
            <w:tcW w:w="6370" w:type="dxa"/>
          </w:tcPr>
          <w:p>
            <w:pPr>
              <w:pStyle w:val="TableParagraph"/>
              <w:spacing w:line="255" w:lineRule="exact" w:before="4"/>
              <w:ind w:left="12"/>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10" w:h="16840"/>
          <w:pgMar w:footer="998" w:top="1260" w:bottom="1180" w:left="1680" w:right="1520"/>
          <w:pgNumType w:start="1"/>
        </w:sectPr>
      </w:pPr>
    </w:p>
    <w:p>
      <w:pPr>
        <w:spacing w:line="432" w:lineRule="exact" w:before="0"/>
        <w:ind w:left="3606" w:right="3590" w:firstLine="0"/>
        <w:jc w:val="center"/>
        <w:rPr>
          <w:rFonts w:ascii="黑体" w:eastAsia="黑体" w:hint="eastAsia"/>
          <w:b/>
          <w:sz w:val="36"/>
        </w:rPr>
      </w:pPr>
      <w:r>
        <w:rPr>
          <w:rFonts w:ascii="黑体" w:eastAsia="黑体" w:hint="eastAsia"/>
          <w:b/>
          <w:w w:val="95"/>
          <w:sz w:val="36"/>
        </w:rPr>
        <w:t>条款目录</w:t>
      </w:r>
    </w:p>
    <w:sdt>
      <w:sdtPr>
        <w:docPartObj>
          <w:docPartGallery w:val="Table of Contents"/>
          <w:docPartUnique/>
        </w:docPartObj>
      </w:sdtPr>
      <w:sdtEndPr/>
      <w:sdtContent>
        <w:p>
          <w:pPr>
            <w:pStyle w:val="TOC1"/>
            <w:tabs>
              <w:tab w:pos="1197" w:val="left" w:leader="none"/>
              <w:tab w:pos="8491" w:val="right" w:leader="dot"/>
            </w:tabs>
            <w:spacing w:line="240" w:lineRule="auto" w:before="674"/>
            <w:rPr>
              <w:rFonts w:ascii="Times New Roman" w:eastAsia="Times New Roman"/>
            </w:rPr>
          </w:pPr>
          <w:hyperlink w:history="true" w:anchor="_bookmark0">
            <w:r>
              <w:rPr/>
              <w:t>第一部分</w:t>
              <w:tab/>
              <w:t>您与我们的合同</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bookmark0">
            <w:r>
              <w:rPr/>
              <w:t>第一条</w:t>
              <w:tab/>
              <w:t>附加保险合同的构成</w:t>
              <w:tab/>
            </w:r>
            <w:r>
              <w:rPr>
                <w:rFonts w:ascii="Times New Roman" w:eastAsia="Times New Roman"/>
              </w:rPr>
              <w:t>1</w:t>
            </w:r>
          </w:hyperlink>
        </w:p>
        <w:p>
          <w:pPr>
            <w:pStyle w:val="TOC2"/>
            <w:tabs>
              <w:tab w:pos="1917" w:val="left" w:leader="none"/>
              <w:tab w:pos="8491" w:val="right" w:leader="dot"/>
            </w:tabs>
            <w:spacing w:before="21"/>
            <w:rPr>
              <w:rFonts w:ascii="Times New Roman" w:eastAsia="Times New Roman"/>
            </w:rPr>
          </w:pPr>
          <w:hyperlink w:history="true" w:anchor="_bookmark0">
            <w:r>
              <w:rPr/>
              <w:t>第二条</w:t>
              <w:tab/>
              <w:t>投保条件</w:t>
              <w:tab/>
            </w:r>
            <w:r>
              <w:rPr>
                <w:rFonts w:ascii="Times New Roman" w:eastAsia="Times New Roman"/>
              </w:rPr>
              <w:t>1</w:t>
            </w:r>
          </w:hyperlink>
        </w:p>
        <w:p>
          <w:pPr>
            <w:pStyle w:val="TOC2"/>
            <w:tabs>
              <w:tab w:pos="1917" w:val="left" w:leader="none"/>
              <w:tab w:pos="8491" w:val="right" w:leader="dot"/>
            </w:tabs>
            <w:spacing w:before="21"/>
            <w:rPr>
              <w:rFonts w:ascii="Times New Roman" w:eastAsia="Times New Roman"/>
            </w:rPr>
          </w:pPr>
          <w:hyperlink w:history="true" w:anchor="_bookmark0">
            <w:r>
              <w:rPr/>
              <w:t>第三条</w:t>
              <w:tab/>
              <w:t>保险责任的开始</w:t>
              <w:tab/>
            </w:r>
            <w:r>
              <w:rPr>
                <w:rFonts w:ascii="Times New Roman" w:eastAsia="Times New Roman"/>
              </w:rPr>
              <w:t>1</w:t>
            </w:r>
          </w:hyperlink>
        </w:p>
        <w:p>
          <w:pPr>
            <w:pStyle w:val="TOC2"/>
            <w:tabs>
              <w:tab w:pos="1917" w:val="left" w:leader="none"/>
              <w:tab w:pos="8491" w:val="right" w:leader="dot"/>
            </w:tabs>
            <w:spacing w:before="21"/>
            <w:rPr>
              <w:rFonts w:ascii="Times New Roman" w:eastAsia="Times New Roman"/>
            </w:rPr>
          </w:pPr>
          <w:hyperlink w:history="true" w:anchor="_bookmark0">
            <w:r>
              <w:rPr/>
              <w:t>第四条</w:t>
              <w:tab/>
              <w:t>保险期间和保证续保</w:t>
              <w:tab/>
            </w:r>
            <w:r>
              <w:rPr>
                <w:rFonts w:ascii="Times New Roman" w:eastAsia="Times New Roman"/>
              </w:rPr>
              <w:t>1</w:t>
            </w:r>
          </w:hyperlink>
        </w:p>
        <w:p>
          <w:pPr>
            <w:pStyle w:val="TOC2"/>
            <w:tabs>
              <w:tab w:pos="1917" w:val="left" w:leader="none"/>
              <w:tab w:pos="8491" w:val="right" w:leader="dot"/>
            </w:tabs>
            <w:spacing w:line="268" w:lineRule="exact" w:before="21"/>
            <w:rPr>
              <w:rFonts w:ascii="Times New Roman" w:eastAsia="Times New Roman"/>
            </w:rPr>
          </w:pPr>
          <w:hyperlink w:history="true" w:anchor="_bookmark0">
            <w:r>
              <w:rPr/>
              <w:t>第五条</w:t>
              <w:tab/>
              <w:t>附加保险合同的终止</w:t>
              <w:tab/>
            </w:r>
            <w:r>
              <w:rPr>
                <w:rFonts w:ascii="Times New Roman" w:eastAsia="Times New Roman"/>
              </w:rPr>
              <w:t>1</w:t>
            </w:r>
          </w:hyperlink>
        </w:p>
        <w:p>
          <w:pPr>
            <w:pStyle w:val="TOC1"/>
            <w:tabs>
              <w:tab w:pos="1197" w:val="left" w:leader="none"/>
              <w:tab w:pos="8491" w:val="right" w:leader="dot"/>
            </w:tabs>
            <w:rPr>
              <w:rFonts w:ascii="Times New Roman" w:eastAsia="Times New Roman"/>
            </w:rPr>
          </w:pPr>
          <w:hyperlink w:history="true" w:anchor="_bookmark2">
            <w:r>
              <w:rPr/>
              <w:t>第二部分</w:t>
              <w:tab/>
              <w:t>我们提供的保障</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bookmark2">
            <w:r>
              <w:rPr/>
              <w:t>第六条</w:t>
              <w:tab/>
              <w:t>保险责任</w:t>
              <w:tab/>
            </w:r>
            <w:r>
              <w:rPr>
                <w:rFonts w:ascii="Times New Roman" w:eastAsia="Times New Roman"/>
              </w:rPr>
              <w:t>2</w:t>
            </w:r>
          </w:hyperlink>
        </w:p>
        <w:p>
          <w:pPr>
            <w:pStyle w:val="TOC2"/>
            <w:tabs>
              <w:tab w:pos="1917" w:val="left" w:leader="none"/>
              <w:tab w:pos="8491" w:val="right" w:leader="dot"/>
            </w:tabs>
            <w:spacing w:before="20"/>
            <w:rPr>
              <w:rFonts w:ascii="Times New Roman" w:eastAsia="Times New Roman"/>
            </w:rPr>
          </w:pPr>
          <w:hyperlink w:history="true" w:anchor="_bookmark2">
            <w:r>
              <w:rPr/>
              <w:t>第七条</w:t>
              <w:tab/>
              <w:t>责任免除</w:t>
              <w:tab/>
            </w:r>
            <w:r>
              <w:rPr>
                <w:rFonts w:ascii="Times New Roman" w:eastAsia="Times New Roman"/>
              </w:rPr>
              <w:t>2</w:t>
            </w:r>
          </w:hyperlink>
        </w:p>
        <w:p>
          <w:pPr>
            <w:pStyle w:val="TOC2"/>
            <w:tabs>
              <w:tab w:pos="1917" w:val="left" w:leader="none"/>
              <w:tab w:pos="8491" w:val="right" w:leader="dot"/>
            </w:tabs>
            <w:spacing w:line="268" w:lineRule="exact" w:before="20"/>
            <w:rPr>
              <w:rFonts w:ascii="Times New Roman" w:eastAsia="Times New Roman"/>
            </w:rPr>
          </w:pPr>
          <w:hyperlink w:history="true" w:anchor="_bookmark2">
            <w:r>
              <w:rPr/>
              <w:t>第八条</w:t>
              <w:tab/>
              <w:t>保险金额及其变更</w:t>
              <w:tab/>
            </w:r>
            <w:r>
              <w:rPr>
                <w:rFonts w:ascii="Times New Roman" w:eastAsia="Times New Roman"/>
              </w:rPr>
              <w:t>2</w:t>
            </w:r>
          </w:hyperlink>
        </w:p>
        <w:p>
          <w:pPr>
            <w:pStyle w:val="TOC1"/>
            <w:tabs>
              <w:tab w:pos="1197" w:val="left" w:leader="none"/>
              <w:tab w:pos="8491" w:val="right" w:leader="dot"/>
            </w:tabs>
            <w:rPr>
              <w:rFonts w:ascii="Times New Roman" w:eastAsia="Times New Roman"/>
            </w:rPr>
          </w:pPr>
          <w:hyperlink w:history="true" w:anchor="_bookmark7">
            <w:r>
              <w:rPr/>
              <w:t>第三部分</w:t>
              <w:tab/>
              <w:t>如何领取保险金</w:t>
              <w:tab/>
            </w:r>
            <w:r>
              <w:rPr>
                <w:rFonts w:ascii="Times New Roman" w:eastAsia="Times New Roman"/>
              </w:rPr>
              <w:t>3</w:t>
            </w:r>
          </w:hyperlink>
        </w:p>
        <w:p>
          <w:pPr>
            <w:pStyle w:val="TOC2"/>
            <w:tabs>
              <w:tab w:pos="1917" w:val="left" w:leader="none"/>
              <w:tab w:pos="8491" w:val="right" w:leader="dot"/>
            </w:tabs>
            <w:spacing w:line="268" w:lineRule="exact" w:before="14"/>
            <w:rPr>
              <w:rFonts w:ascii="Times New Roman" w:eastAsia="Times New Roman"/>
            </w:rPr>
          </w:pPr>
          <w:hyperlink w:history="true" w:anchor="_bookmark7">
            <w:r>
              <w:rPr/>
              <w:t>第九条</w:t>
              <w:tab/>
              <w:t>保险金的申领</w:t>
              <w:tab/>
            </w:r>
            <w:r>
              <w:rPr>
                <w:rFonts w:ascii="Times New Roman" w:eastAsia="Times New Roman"/>
              </w:rPr>
              <w:t>3</w:t>
            </w:r>
          </w:hyperlink>
        </w:p>
        <w:p>
          <w:pPr>
            <w:pStyle w:val="TOC1"/>
            <w:tabs>
              <w:tab w:pos="1197" w:val="left" w:leader="none"/>
              <w:tab w:pos="8491" w:val="right" w:leader="dot"/>
            </w:tabs>
            <w:rPr>
              <w:rFonts w:ascii="Times New Roman" w:eastAsia="Times New Roman"/>
            </w:rPr>
          </w:pPr>
          <w:hyperlink w:history="true" w:anchor="_bookmark7">
            <w:r>
              <w:rPr/>
              <w:t>第四部分</w:t>
              <w:tab/>
              <w:t>保险费的交纳</w:t>
              <w:tab/>
            </w:r>
            <w:r>
              <w:rPr>
                <w:rFonts w:ascii="Times New Roman" w:eastAsia="Times New Roman"/>
              </w:rPr>
              <w:t>3</w:t>
            </w:r>
          </w:hyperlink>
        </w:p>
        <w:p>
          <w:pPr>
            <w:pStyle w:val="TOC2"/>
            <w:tabs>
              <w:tab w:pos="1917" w:val="left" w:leader="none"/>
              <w:tab w:pos="8491" w:val="right" w:leader="dot"/>
            </w:tabs>
            <w:spacing w:line="268" w:lineRule="exact"/>
            <w:rPr>
              <w:rFonts w:ascii="Times New Roman" w:eastAsia="Times New Roman"/>
            </w:rPr>
          </w:pPr>
          <w:hyperlink w:history="true" w:anchor="_bookmark7">
            <w:r>
              <w:rPr/>
              <w:t>第十条</w:t>
              <w:tab/>
              <w:t>保险费的交纳</w:t>
              <w:tab/>
            </w:r>
            <w:r>
              <w:rPr>
                <w:rFonts w:ascii="Times New Roman" w:eastAsia="Times New Roman"/>
              </w:rPr>
              <w:t>3</w:t>
            </w:r>
          </w:hyperlink>
        </w:p>
        <w:p>
          <w:pPr>
            <w:pStyle w:val="TOC1"/>
            <w:tabs>
              <w:tab w:pos="1197" w:val="left" w:leader="none"/>
              <w:tab w:pos="8491" w:val="right" w:leader="dot"/>
            </w:tabs>
            <w:rPr>
              <w:rFonts w:ascii="Times New Roman" w:eastAsia="Times New Roman"/>
            </w:rPr>
          </w:pPr>
          <w:hyperlink w:history="true" w:anchor="_bookmark9">
            <w:r>
              <w:rPr/>
              <w:t>第五部分</w:t>
              <w:tab/>
              <w:t>您所拥有的重要权益</w:t>
              <w:tab/>
            </w:r>
            <w:r>
              <w:rPr>
                <w:rFonts w:ascii="Times New Roman" w:eastAsia="Times New Roman"/>
              </w:rPr>
              <w:t>4</w:t>
            </w:r>
          </w:hyperlink>
        </w:p>
        <w:p>
          <w:pPr>
            <w:pStyle w:val="TOC2"/>
            <w:tabs>
              <w:tab w:pos="1917" w:val="left" w:leader="none"/>
              <w:tab w:pos="8491" w:val="right" w:leader="dot"/>
            </w:tabs>
            <w:spacing w:line="268" w:lineRule="exact"/>
            <w:rPr>
              <w:rFonts w:ascii="Times New Roman" w:eastAsia="Times New Roman"/>
            </w:rPr>
          </w:pPr>
          <w:hyperlink w:history="true" w:anchor="_bookmark9">
            <w:r>
              <w:rPr/>
              <w:t>第十一条</w:t>
              <w:tab/>
              <w:t>附加合同的解除权</w:t>
              <w:tab/>
            </w:r>
            <w:r>
              <w:rPr>
                <w:rFonts w:ascii="Times New Roman" w:eastAsia="Times New Roman"/>
              </w:rPr>
              <w:t>4</w:t>
            </w:r>
          </w:hyperlink>
        </w:p>
        <w:p>
          <w:pPr>
            <w:pStyle w:val="TOC1"/>
            <w:tabs>
              <w:tab w:pos="1197" w:val="left" w:leader="none"/>
              <w:tab w:pos="8491" w:val="right" w:leader="dot"/>
            </w:tabs>
            <w:rPr>
              <w:rFonts w:ascii="Times New Roman" w:eastAsia="Times New Roman"/>
            </w:rPr>
          </w:pPr>
          <w:hyperlink w:history="true" w:anchor="_bookmark9">
            <w:r>
              <w:rPr/>
              <w:t>第六部分</w:t>
              <w:tab/>
              <w:t>其他事项</w:t>
              <w:tab/>
            </w:r>
            <w:r>
              <w:rPr>
                <w:rFonts w:ascii="Times New Roman" w:eastAsia="Times New Roman"/>
              </w:rPr>
              <w:t>4</w:t>
            </w:r>
          </w:hyperlink>
        </w:p>
        <w:p>
          <w:pPr>
            <w:pStyle w:val="TOC2"/>
            <w:tabs>
              <w:tab w:pos="1917" w:val="left" w:leader="none"/>
              <w:tab w:pos="8491" w:val="right" w:leader="dot"/>
            </w:tabs>
            <w:spacing w:line="268" w:lineRule="exact"/>
            <w:rPr>
              <w:rFonts w:ascii="Times New Roman" w:eastAsia="Times New Roman"/>
            </w:rPr>
          </w:pPr>
          <w:hyperlink w:history="true" w:anchor="_bookmark9">
            <w:r>
              <w:rPr/>
              <w:t>第十二条</w:t>
              <w:tab/>
              <w:t>就医须知</w:t>
              <w:tab/>
            </w:r>
            <w:r>
              <w:rPr>
                <w:rFonts w:ascii="Times New Roman" w:eastAsia="Times New Roman"/>
              </w:rPr>
              <w:t>4</w:t>
            </w:r>
          </w:hyperlink>
        </w:p>
        <w:p>
          <w:pPr>
            <w:pStyle w:val="TOC1"/>
            <w:tabs>
              <w:tab w:pos="1197" w:val="left" w:leader="none"/>
              <w:tab w:pos="8491" w:val="right" w:leader="dot"/>
            </w:tabs>
            <w:rPr>
              <w:rFonts w:ascii="Times New Roman" w:eastAsia="Times New Roman"/>
            </w:rPr>
          </w:pPr>
          <w:hyperlink w:history="true" w:anchor="_bookmark9">
            <w:r>
              <w:rPr/>
              <w:t>第七部分</w:t>
              <w:tab/>
              <w:t>名词释义</w:t>
              <w:tab/>
            </w:r>
            <w:r>
              <w:rPr>
                <w:rFonts w:ascii="Times New Roman" w:eastAsia="Times New Roman"/>
              </w:rPr>
              <w:t>4</w:t>
            </w:r>
          </w:hyperlink>
        </w:p>
      </w:sdtContent>
    </w:sdt>
    <w:p>
      <w:pPr>
        <w:spacing w:after="0"/>
        <w:rPr>
          <w:rFonts w:ascii="Times New Roman" w:eastAsia="Times New Roman"/>
        </w:rPr>
        <w:sectPr>
          <w:pgSz w:w="11910" w:h="16840"/>
          <w:pgMar w:header="0" w:footer="998" w:top="1500" w:bottom="1180" w:left="1680" w:right="1620"/>
        </w:sectPr>
      </w:pPr>
    </w:p>
    <w:p>
      <w:pPr>
        <w:pStyle w:val="BodyText"/>
        <w:spacing w:before="7"/>
        <w:rPr>
          <w:rFonts w:ascii="Times New Roman"/>
          <w:b/>
          <w:sz w:val="35"/>
        </w:rPr>
      </w:pPr>
    </w:p>
    <w:p>
      <w:pPr>
        <w:pStyle w:val="Heading1"/>
        <w:tabs>
          <w:tab w:pos="3675" w:val="left" w:leader="none"/>
        </w:tabs>
      </w:pPr>
      <w:bookmarkStart w:name="第一部分 您与我们的合同 " w:id="1"/>
      <w:bookmarkEnd w:id="1"/>
      <w:r>
        <w:rPr>
          <w:b w:val="0"/>
        </w:rPr>
      </w:r>
      <w:bookmarkStart w:name="_bookmark0" w:id="2"/>
      <w:bookmarkEnd w:id="2"/>
      <w:r>
        <w:rPr>
          <w:b w:val="0"/>
        </w:rPr>
      </w:r>
      <w:r>
        <w:rPr/>
        <w:t>第一部分</w:t>
        <w:tab/>
      </w:r>
      <w:r>
        <w:rPr>
          <w:w w:val="95"/>
        </w:rPr>
        <w:t>您与我们的合同</w:t>
      </w:r>
    </w:p>
    <w:p>
      <w:pPr>
        <w:pStyle w:val="BodyText"/>
        <w:spacing w:before="12"/>
        <w:rPr>
          <w:rFonts w:ascii="黑体"/>
          <w:b/>
          <w:sz w:val="27"/>
        </w:rPr>
      </w:pPr>
    </w:p>
    <w:p>
      <w:pPr>
        <w:pStyle w:val="Heading2"/>
        <w:spacing w:before="1"/>
      </w:pPr>
      <w:bookmarkStart w:name="第一条 附加保险合同的构成 " w:id="3"/>
      <w:bookmarkEnd w:id="3"/>
      <w:r>
        <w:rPr>
          <w:b w:val="0"/>
        </w:rPr>
      </w:r>
      <w:r>
        <w:rPr/>
        <w:t>第一条  附加保险合同的构成</w:t>
      </w:r>
    </w:p>
    <w:p>
      <w:pPr>
        <w:pStyle w:val="BodyText"/>
        <w:spacing w:before="6"/>
        <w:rPr>
          <w:rFonts w:ascii="Microsoft JhengHei"/>
          <w:b/>
          <w:sz w:val="20"/>
        </w:rPr>
      </w:pPr>
    </w:p>
    <w:p>
      <w:pPr>
        <w:pStyle w:val="BodyText"/>
        <w:spacing w:line="237" w:lineRule="auto"/>
        <w:ind w:left="117" w:right="102" w:firstLine="420"/>
        <w:jc w:val="both"/>
      </w:pPr>
      <w:r>
        <w:rPr/>
        <w:t>本附加保险合同</w:t>
      </w:r>
      <w:r>
        <w:rPr>
          <w:spacing w:val="1"/>
        </w:rPr>
        <w:t>（</w:t>
      </w:r>
      <w:r>
        <w:rPr>
          <w:spacing w:val="-10"/>
        </w:rPr>
        <w:t>以下简称“本附加合同”</w:t>
      </w:r>
      <w:r>
        <w:rPr>
          <w:spacing w:val="1"/>
        </w:rPr>
        <w:t>）</w:t>
      </w:r>
      <w:r>
        <w:rPr/>
        <w:t>可附加于我们规定的主保险合同</w:t>
      </w:r>
      <w:r>
        <w:rPr>
          <w:spacing w:val="0"/>
        </w:rPr>
        <w:t>（以下简</w:t>
      </w:r>
      <w:r>
        <w:rPr>
          <w:spacing w:val="-17"/>
        </w:rPr>
        <w:t>称“主合同”</w:t>
      </w:r>
      <w:r>
        <w:rPr>
          <w:spacing w:val="1"/>
        </w:rPr>
        <w:t>）</w:t>
      </w:r>
      <w:r>
        <w:rPr>
          <w:spacing w:val="-1"/>
        </w:rPr>
        <w:t>上。主合同所包含的条款、投保单及与本附加合同有关的其他投保文件、合</w:t>
      </w:r>
      <w:r>
        <w:rPr>
          <w:spacing w:val="-12"/>
        </w:rPr>
        <w:t>法有效的声明、批注和其他书面协议，凡与本附加合同相关者，均为本附加合同的构成部分。</w:t>
      </w:r>
    </w:p>
    <w:p>
      <w:pPr>
        <w:pStyle w:val="BodyText"/>
        <w:spacing w:line="272" w:lineRule="exact"/>
        <w:ind w:left="537"/>
      </w:pPr>
      <w:r>
        <w:rPr/>
        <w:t>除本附加合同另有约定外，主合同条款适用于本附加合同。</w:t>
      </w:r>
    </w:p>
    <w:p>
      <w:pPr>
        <w:pStyle w:val="BodyText"/>
        <w:spacing w:before="6"/>
        <w:rPr>
          <w:sz w:val="20"/>
        </w:rPr>
      </w:pPr>
    </w:p>
    <w:p>
      <w:pPr>
        <w:pStyle w:val="Heading2"/>
      </w:pPr>
      <w:bookmarkStart w:name="第二条 投保条件 " w:id="4"/>
      <w:bookmarkEnd w:id="4"/>
      <w:r>
        <w:rPr>
          <w:b w:val="0"/>
        </w:rPr>
      </w:r>
      <w:r>
        <w:rPr/>
        <w:t>第二条  投保条件</w:t>
      </w:r>
    </w:p>
    <w:p>
      <w:pPr>
        <w:pStyle w:val="BodyText"/>
        <w:spacing w:before="3"/>
        <w:rPr>
          <w:rFonts w:ascii="Microsoft JhengHei"/>
          <w:b/>
        </w:rPr>
      </w:pPr>
    </w:p>
    <w:p>
      <w:pPr>
        <w:pStyle w:val="BodyText"/>
        <w:spacing w:line="225" w:lineRule="auto"/>
        <w:ind w:left="117" w:right="205" w:firstLine="420"/>
      </w:pPr>
      <w:r>
        <w:rPr/>
        <w:t>凡投保时出生满 </w:t>
      </w:r>
      <w:r>
        <w:rPr>
          <w:rFonts w:ascii="Times New Roman" w:eastAsia="Times New Roman"/>
        </w:rPr>
        <w:t>30 </w:t>
      </w:r>
      <w:r>
        <w:rPr/>
        <w:t>日至十七周岁，身体健康、能正常工作或学习的主合同被保险人， 均可作为本附加合同的被保险人。</w:t>
      </w:r>
    </w:p>
    <w:p>
      <w:pPr>
        <w:pStyle w:val="BodyText"/>
        <w:spacing w:before="5"/>
        <w:rPr>
          <w:sz w:val="20"/>
        </w:rPr>
      </w:pPr>
    </w:p>
    <w:p>
      <w:pPr>
        <w:pStyle w:val="Heading2"/>
      </w:pPr>
      <w:bookmarkStart w:name="第三条 保险责任的开始 " w:id="5"/>
      <w:bookmarkEnd w:id="5"/>
      <w:r>
        <w:rPr>
          <w:b w:val="0"/>
        </w:rPr>
      </w:r>
      <w:r>
        <w:rPr/>
        <w:t>第三条  保险责任的开始</w:t>
      </w:r>
    </w:p>
    <w:p>
      <w:pPr>
        <w:pStyle w:val="BodyText"/>
        <w:spacing w:before="7"/>
        <w:rPr>
          <w:rFonts w:ascii="Microsoft JhengHei"/>
          <w:b/>
          <w:sz w:val="20"/>
        </w:rPr>
      </w:pPr>
    </w:p>
    <w:p>
      <w:pPr>
        <w:pStyle w:val="BodyText"/>
        <w:spacing w:line="237" w:lineRule="auto"/>
        <w:ind w:left="117" w:right="150" w:firstLine="420"/>
      </w:pPr>
      <w:r>
        <w:rPr/>
        <w:t>我们在同意承保并收取首期保险费后，将签发保险单作为保险凭证。我们自本附加合同生效日即保险单所载的保险单生效日的零时起承担保险责任。</w:t>
      </w:r>
    </w:p>
    <w:p>
      <w:pPr>
        <w:pStyle w:val="BodyText"/>
        <w:spacing w:line="225" w:lineRule="auto" w:before="15"/>
        <w:ind w:left="117" w:right="206" w:firstLine="419"/>
      </w:pPr>
      <w:r>
        <w:rPr/>
        <w:t>本附加合同的保险单周年日</w:t>
      </w:r>
      <w:hyperlink w:history="true" w:anchor="_bookmark1">
        <w:r>
          <w:rPr>
            <w:rFonts w:ascii="Times New Roman" w:eastAsia="Times New Roman"/>
            <w:vertAlign w:val="superscript"/>
          </w:rPr>
          <w:t>1</w:t>
        </w:r>
        <w:r>
          <w:rPr>
            <w:rFonts w:ascii="Times New Roman" w:eastAsia="Times New Roman"/>
            <w:vertAlign w:val="baseline"/>
          </w:rPr>
        </w:r>
      </w:hyperlink>
      <w:r>
        <w:rPr>
          <w:vertAlign w:val="baseline"/>
        </w:rPr>
        <w:t>、保险单年度、保险费到期日均以本附加合同生效日为基础计算。</w:t>
      </w:r>
    </w:p>
    <w:p>
      <w:pPr>
        <w:pStyle w:val="BodyText"/>
        <w:spacing w:before="5"/>
        <w:rPr>
          <w:sz w:val="20"/>
        </w:rPr>
      </w:pPr>
    </w:p>
    <w:p>
      <w:pPr>
        <w:pStyle w:val="Heading2"/>
        <w:spacing w:before="1"/>
      </w:pPr>
      <w:bookmarkStart w:name="第四条 保险期间和保证续保 " w:id="6"/>
      <w:bookmarkEnd w:id="6"/>
      <w:r>
        <w:rPr>
          <w:b w:val="0"/>
        </w:rPr>
      </w:r>
      <w:r>
        <w:rPr/>
        <w:t>第四条  保险期间和保证续保</w:t>
      </w:r>
    </w:p>
    <w:p>
      <w:pPr>
        <w:pStyle w:val="BodyText"/>
        <w:spacing w:before="6"/>
        <w:rPr>
          <w:rFonts w:ascii="Microsoft JhengHei"/>
          <w:b/>
        </w:rPr>
      </w:pPr>
    </w:p>
    <w:p>
      <w:pPr>
        <w:pStyle w:val="BodyText"/>
        <w:spacing w:line="273" w:lineRule="auto"/>
        <w:ind w:left="117" w:right="135" w:firstLine="420"/>
      </w:pPr>
      <w:r>
        <w:rPr/>
        <w:t>本附加合同保险期间为一年，但我们保证续保并收取您的续期保险费，除非有以下任何一种情况发生：</w:t>
      </w:r>
    </w:p>
    <w:p>
      <w:pPr>
        <w:pStyle w:val="ListParagraph"/>
        <w:numPr>
          <w:ilvl w:val="0"/>
          <w:numId w:val="1"/>
        </w:numPr>
        <w:tabs>
          <w:tab w:pos="853" w:val="left" w:leader="none"/>
        </w:tabs>
        <w:spacing w:line="240" w:lineRule="auto" w:before="7" w:after="0"/>
        <w:ind w:left="852" w:right="0" w:hanging="315"/>
        <w:jc w:val="left"/>
        <w:rPr>
          <w:sz w:val="21"/>
        </w:rPr>
      </w:pPr>
      <w:r>
        <w:rPr>
          <w:spacing w:val="-1"/>
          <w:sz w:val="21"/>
        </w:rPr>
        <w:t>被保险人年龄超过二十四周岁；</w:t>
      </w:r>
    </w:p>
    <w:p>
      <w:pPr>
        <w:pStyle w:val="ListParagraph"/>
        <w:numPr>
          <w:ilvl w:val="0"/>
          <w:numId w:val="1"/>
        </w:numPr>
        <w:tabs>
          <w:tab w:pos="853" w:val="left" w:leader="none"/>
        </w:tabs>
        <w:spacing w:line="240" w:lineRule="auto" w:before="37" w:after="0"/>
        <w:ind w:left="852" w:right="0" w:hanging="315"/>
        <w:jc w:val="left"/>
        <w:rPr>
          <w:sz w:val="21"/>
        </w:rPr>
      </w:pPr>
      <w:r>
        <w:rPr>
          <w:spacing w:val="-1"/>
          <w:sz w:val="21"/>
        </w:rPr>
        <w:t>您向我们申请解除本附加合同；</w:t>
      </w:r>
    </w:p>
    <w:p>
      <w:pPr>
        <w:pStyle w:val="ListParagraph"/>
        <w:numPr>
          <w:ilvl w:val="0"/>
          <w:numId w:val="1"/>
        </w:numPr>
        <w:tabs>
          <w:tab w:pos="853" w:val="left" w:leader="none"/>
        </w:tabs>
        <w:spacing w:line="240" w:lineRule="auto" w:before="37" w:after="0"/>
        <w:ind w:left="852" w:right="0" w:hanging="315"/>
        <w:jc w:val="left"/>
        <w:rPr>
          <w:sz w:val="21"/>
        </w:rPr>
      </w:pPr>
      <w:r>
        <w:rPr>
          <w:spacing w:val="-1"/>
          <w:sz w:val="21"/>
        </w:rPr>
        <w:t>本附加合同终止。</w:t>
      </w:r>
    </w:p>
    <w:p>
      <w:pPr>
        <w:pStyle w:val="BodyText"/>
        <w:spacing w:before="8"/>
        <w:rPr>
          <w:sz w:val="26"/>
        </w:rPr>
      </w:pPr>
    </w:p>
    <w:p>
      <w:pPr>
        <w:pStyle w:val="BodyText"/>
        <w:spacing w:line="273" w:lineRule="auto" w:before="1"/>
        <w:ind w:left="117" w:right="180" w:firstLine="420"/>
        <w:jc w:val="both"/>
      </w:pPr>
      <w:r>
        <w:rPr>
          <w:spacing w:val="-1"/>
        </w:rPr>
        <w:t>续期保险费以您投保时与我们约定被在保险单上载明的数额为准。我们不得因为被保险</w:t>
      </w:r>
      <w:r>
        <w:rPr>
          <w:spacing w:val="-2"/>
        </w:rPr>
        <w:t>人的健康状况而拒绝为您续保本附加合同，也不能对保证续保后发生的疾病作加费和除外处理。</w:t>
      </w:r>
    </w:p>
    <w:p>
      <w:pPr>
        <w:pStyle w:val="BodyText"/>
        <w:spacing w:before="8"/>
        <w:rPr>
          <w:sz w:val="19"/>
        </w:rPr>
      </w:pPr>
    </w:p>
    <w:p>
      <w:pPr>
        <w:pStyle w:val="Heading2"/>
      </w:pPr>
      <w:bookmarkStart w:name="第五条 附加保险合同的终止 " w:id="7"/>
      <w:bookmarkEnd w:id="7"/>
      <w:r>
        <w:rPr>
          <w:b w:val="0"/>
        </w:rPr>
      </w:r>
      <w:r>
        <w:rPr/>
        <w:t>第五条  附加保险合同的终止</w:t>
      </w:r>
    </w:p>
    <w:p>
      <w:pPr>
        <w:pStyle w:val="BodyText"/>
        <w:spacing w:before="8"/>
        <w:rPr>
          <w:rFonts w:ascii="Microsoft JhengHei"/>
          <w:b/>
          <w:sz w:val="20"/>
        </w:rPr>
      </w:pPr>
    </w:p>
    <w:p>
      <w:pPr>
        <w:pStyle w:val="BodyText"/>
        <w:spacing w:before="1"/>
        <w:ind w:left="537"/>
      </w:pPr>
      <w:r>
        <w:rPr/>
        <w:t>发生下列情况之一时，本附加合同终止：</w:t>
      </w:r>
    </w:p>
    <w:p>
      <w:pPr>
        <w:pStyle w:val="ListParagraph"/>
        <w:numPr>
          <w:ilvl w:val="0"/>
          <w:numId w:val="2"/>
        </w:numPr>
        <w:tabs>
          <w:tab w:pos="957" w:val="left" w:leader="none"/>
          <w:tab w:pos="958" w:val="left" w:leader="none"/>
        </w:tabs>
        <w:spacing w:line="240" w:lineRule="auto" w:before="37" w:after="0"/>
        <w:ind w:left="957" w:right="0" w:hanging="420"/>
        <w:jc w:val="left"/>
        <w:rPr>
          <w:sz w:val="21"/>
        </w:rPr>
      </w:pPr>
      <w:r>
        <w:rPr>
          <w:sz w:val="21"/>
        </w:rPr>
        <w:t>您申请解除本附加合同；</w:t>
      </w:r>
    </w:p>
    <w:p>
      <w:pPr>
        <w:pStyle w:val="BodyText"/>
        <w:spacing w:before="10"/>
        <w:rPr>
          <w:sz w:val="29"/>
        </w:rPr>
      </w:pPr>
      <w:r>
        <w:rPr/>
        <w:pict>
          <v:line style="position:absolute;mso-position-horizontal-relative:page;mso-position-vertical-relative:paragraph;z-index:0;mso-wrap-distance-left:0;mso-wrap-distance-right:0" from="89.879997pt,21.745275pt" to="233.879997pt,21.745275pt" stroked="true" strokeweight=".54pt" strokecolor="#000000">
            <v:stroke dashstyle="solid"/>
            <w10:wrap type="topAndBottom"/>
          </v:line>
        </w:pict>
      </w:r>
    </w:p>
    <w:p>
      <w:pPr>
        <w:spacing w:line="234" w:lineRule="exact" w:before="30"/>
        <w:ind w:left="117" w:right="0" w:firstLine="0"/>
        <w:jc w:val="left"/>
        <w:rPr>
          <w:sz w:val="18"/>
        </w:rPr>
      </w:pPr>
      <w:bookmarkStart w:name="_bookmark1" w:id="8"/>
      <w:bookmarkEnd w:id="8"/>
      <w:r>
        <w:rPr/>
      </w:r>
      <w:r>
        <w:rPr>
          <w:rFonts w:ascii="Times New Roman" w:eastAsia="Times New Roman"/>
          <w:position w:val="8"/>
          <w:sz w:val="12"/>
        </w:rPr>
        <w:t>1</w:t>
      </w:r>
      <w:r>
        <w:rPr>
          <w:sz w:val="18"/>
        </w:rPr>
        <w:t>保险单周年日指在本附加合同有效期内的每一个保险单年度内本附加合同生效日的对应日。第一个保险单</w:t>
      </w:r>
    </w:p>
    <w:p>
      <w:pPr>
        <w:spacing w:line="234" w:lineRule="exact" w:before="0"/>
        <w:ind w:left="117" w:right="0" w:firstLine="0"/>
        <w:jc w:val="left"/>
        <w:rPr>
          <w:sz w:val="18"/>
        </w:rPr>
      </w:pPr>
      <w:r>
        <w:rPr>
          <w:sz w:val="18"/>
        </w:rPr>
        <w:t>周年日是指保险单生效一年后的本附加合同生效日期的对应日。</w:t>
      </w:r>
    </w:p>
    <w:p>
      <w:pPr>
        <w:spacing w:after="0" w:line="234" w:lineRule="exact"/>
        <w:jc w:val="left"/>
        <w:rPr>
          <w:sz w:val="18"/>
        </w:rPr>
        <w:sectPr>
          <w:headerReference w:type="default" r:id="rId6"/>
          <w:footerReference w:type="default" r:id="rId7"/>
          <w:pgSz w:w="11910" w:h="16840"/>
          <w:pgMar w:header="896" w:footer="1008" w:top="1280" w:bottom="1200" w:left="1680" w:right="1540"/>
          <w:pgNumType w:start="1"/>
        </w:sectPr>
      </w:pPr>
    </w:p>
    <w:p>
      <w:pPr>
        <w:pStyle w:val="ListParagraph"/>
        <w:numPr>
          <w:ilvl w:val="0"/>
          <w:numId w:val="2"/>
        </w:numPr>
        <w:tabs>
          <w:tab w:pos="957" w:val="left" w:leader="none"/>
          <w:tab w:pos="958" w:val="left" w:leader="none"/>
        </w:tabs>
        <w:spacing w:line="240" w:lineRule="auto" w:before="119" w:after="0"/>
        <w:ind w:left="957" w:right="0" w:hanging="420"/>
        <w:jc w:val="left"/>
        <w:rPr>
          <w:sz w:val="21"/>
        </w:rPr>
      </w:pPr>
      <w:bookmarkStart w:name="_bookmark2" w:id="9"/>
      <w:bookmarkEnd w:id="9"/>
      <w:r>
        <w:rPr/>
      </w:r>
      <w:bookmarkStart w:name="_bookmark2" w:id="10"/>
      <w:bookmarkEnd w:id="10"/>
      <w:r>
        <w:rPr>
          <w:sz w:val="21"/>
        </w:rPr>
        <w:t>因本附加合同其他条款所列情况而终止；</w:t>
      </w:r>
    </w:p>
    <w:p>
      <w:pPr>
        <w:pStyle w:val="ListParagraph"/>
        <w:numPr>
          <w:ilvl w:val="0"/>
          <w:numId w:val="2"/>
        </w:numPr>
        <w:tabs>
          <w:tab w:pos="957" w:val="left" w:leader="none"/>
          <w:tab w:pos="958" w:val="left" w:leader="none"/>
        </w:tabs>
        <w:spacing w:line="240" w:lineRule="auto" w:before="21" w:after="0"/>
        <w:ind w:left="957" w:right="0" w:hanging="420"/>
        <w:jc w:val="left"/>
        <w:rPr>
          <w:sz w:val="21"/>
        </w:rPr>
      </w:pPr>
      <w:r>
        <w:rPr>
          <w:sz w:val="21"/>
        </w:rPr>
        <w:t>主合同终止。</w:t>
      </w:r>
    </w:p>
    <w:p>
      <w:pPr>
        <w:pStyle w:val="BodyText"/>
        <w:spacing w:before="10"/>
        <w:rPr>
          <w:sz w:val="23"/>
        </w:rPr>
      </w:pPr>
    </w:p>
    <w:p>
      <w:pPr>
        <w:pStyle w:val="Heading1"/>
        <w:tabs>
          <w:tab w:pos="3675" w:val="left" w:leader="none"/>
        </w:tabs>
      </w:pPr>
      <w:bookmarkStart w:name="第二部分 我们提供的保障 " w:id="11"/>
      <w:bookmarkEnd w:id="11"/>
      <w:r>
        <w:rPr>
          <w:b w:val="0"/>
        </w:rPr>
      </w:r>
      <w:r>
        <w:rPr/>
        <w:t>第二部分</w:t>
        <w:tab/>
      </w:r>
      <w:r>
        <w:rPr>
          <w:w w:val="95"/>
        </w:rPr>
        <w:t>我们提供的保障</w:t>
      </w:r>
    </w:p>
    <w:p>
      <w:pPr>
        <w:pStyle w:val="BodyText"/>
        <w:spacing w:before="12"/>
        <w:rPr>
          <w:rFonts w:ascii="黑体"/>
          <w:b/>
          <w:sz w:val="27"/>
        </w:rPr>
      </w:pPr>
    </w:p>
    <w:p>
      <w:pPr>
        <w:pStyle w:val="Heading2"/>
      </w:pPr>
      <w:bookmarkStart w:name="第六条 保险责任 " w:id="12"/>
      <w:bookmarkEnd w:id="12"/>
      <w:r>
        <w:rPr>
          <w:b w:val="0"/>
        </w:rPr>
      </w:r>
      <w:bookmarkStart w:name="_bookmark3" w:id="13"/>
      <w:bookmarkEnd w:id="13"/>
      <w:r>
        <w:rPr>
          <w:b w:val="0"/>
        </w:rPr>
      </w:r>
      <w:r>
        <w:rPr/>
        <w:t>第六条  保险责任</w:t>
      </w:r>
    </w:p>
    <w:p>
      <w:pPr>
        <w:pStyle w:val="BodyText"/>
        <w:spacing w:before="6"/>
        <w:rPr>
          <w:rFonts w:ascii="Microsoft JhengHei"/>
          <w:b/>
        </w:rPr>
      </w:pPr>
    </w:p>
    <w:p>
      <w:pPr>
        <w:pStyle w:val="BodyText"/>
        <w:spacing w:line="273" w:lineRule="auto"/>
        <w:ind w:left="537" w:right="3464"/>
      </w:pPr>
      <w:r>
        <w:rPr/>
        <w:t>在本附加合同有效期内，我们承担下列保险责任： 一、重大疾病保险金</w:t>
      </w:r>
    </w:p>
    <w:p>
      <w:pPr>
        <w:pStyle w:val="BodyText"/>
        <w:spacing w:line="273" w:lineRule="auto" w:before="7"/>
        <w:ind w:left="117" w:right="119" w:firstLine="420"/>
        <w:jc w:val="both"/>
      </w:pPr>
      <w:r>
        <w:rPr>
          <w:spacing w:val="-1"/>
        </w:rPr>
        <w:t>如果被保险人于本附加合同生效</w:t>
      </w:r>
      <w:r>
        <w:rPr/>
        <w:t>（或复效</w:t>
      </w:r>
      <w:r>
        <w:rPr>
          <w:spacing w:val="-8"/>
        </w:rPr>
        <w:t>）</w:t>
      </w:r>
      <w:r>
        <w:rPr/>
        <w:t>一百八十天后经定点医疗机构诊断初次患有</w:t>
      </w:r>
      <w:r>
        <w:rPr>
          <w:spacing w:val="-2"/>
        </w:rPr>
        <w:t>本附加合同约定的重大疾病中的一项或多项，本附加合同终止。我们将按本附加合同的保险金额向被保险人支付重大疾病保险金。</w:t>
      </w:r>
    </w:p>
    <w:p>
      <w:pPr>
        <w:pStyle w:val="BodyText"/>
        <w:spacing w:before="7"/>
        <w:ind w:left="537"/>
      </w:pPr>
      <w:r>
        <w:rPr/>
        <w:t>二、保险费返还</w:t>
      </w:r>
    </w:p>
    <w:p>
      <w:pPr>
        <w:pStyle w:val="BodyText"/>
        <w:spacing w:line="237" w:lineRule="auto" w:before="19"/>
        <w:ind w:left="117" w:right="119" w:firstLine="420"/>
        <w:jc w:val="both"/>
      </w:pPr>
      <w:r>
        <w:rPr>
          <w:spacing w:val="-1"/>
        </w:rPr>
        <w:t>被保险人于本附加合同生效</w:t>
      </w:r>
      <w:r>
        <w:rPr/>
        <w:t>（或复效</w:t>
      </w:r>
      <w:r>
        <w:rPr>
          <w:spacing w:val="-5"/>
        </w:rPr>
        <w:t>）</w:t>
      </w:r>
      <w:r>
        <w:rPr>
          <w:spacing w:val="-1"/>
        </w:rPr>
        <w:t>日起一百八十日内，初次患有本附加合同约定的</w:t>
      </w:r>
      <w:r>
        <w:rPr>
          <w:spacing w:val="-3"/>
        </w:rPr>
        <w:t>重大疾病中的一项或多项或因疾病或意外导致身故或高度残疾时，本附加合同终止。我们向您无息返还已交保险费（复效情况下返还最后一次申请复效时所交保险费</w:t>
      </w:r>
      <w:r>
        <w:rPr>
          <w:spacing w:val="-105"/>
        </w:rPr>
        <w:t>）</w:t>
      </w:r>
      <w:r>
        <w:rPr/>
        <w:t>。</w:t>
      </w:r>
    </w:p>
    <w:p>
      <w:pPr>
        <w:pStyle w:val="BodyText"/>
        <w:spacing w:before="5"/>
        <w:rPr>
          <w:sz w:val="20"/>
        </w:rPr>
      </w:pPr>
    </w:p>
    <w:p>
      <w:pPr>
        <w:pStyle w:val="Heading2"/>
      </w:pPr>
      <w:bookmarkStart w:name="第七条 责任免除 " w:id="14"/>
      <w:bookmarkEnd w:id="14"/>
      <w:r>
        <w:rPr>
          <w:b w:val="0"/>
        </w:rPr>
      </w:r>
      <w:bookmarkStart w:name="_bookmark4" w:id="15"/>
      <w:bookmarkEnd w:id="15"/>
      <w:r>
        <w:rPr>
          <w:b w:val="0"/>
        </w:rPr>
      </w:r>
      <w:r>
        <w:rPr/>
        <w:t>第七条  责任免除</w:t>
      </w:r>
    </w:p>
    <w:p>
      <w:pPr>
        <w:pStyle w:val="BodyText"/>
        <w:spacing w:before="6"/>
        <w:rPr>
          <w:rFonts w:ascii="Microsoft JhengHei"/>
          <w:b/>
        </w:rPr>
      </w:pPr>
    </w:p>
    <w:p>
      <w:pPr>
        <w:pStyle w:val="BodyText"/>
        <w:ind w:left="529"/>
        <w:rPr>
          <w:rFonts w:ascii="黑体" w:eastAsia="黑体" w:hint="eastAsia"/>
        </w:rPr>
      </w:pPr>
      <w:r>
        <w:rPr>
          <w:rFonts w:ascii="黑体" w:eastAsia="黑体" w:hint="eastAsia"/>
        </w:rPr>
        <w:t>因下列情形之一，导致发Th保险事故的，我们不承担保险责任：</w:t>
      </w:r>
    </w:p>
    <w:p>
      <w:pPr>
        <w:pStyle w:val="ListParagraph"/>
        <w:numPr>
          <w:ilvl w:val="0"/>
          <w:numId w:val="3"/>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您、受益人对被保险人的故意行为；</w:t>
      </w:r>
    </w:p>
    <w:p>
      <w:pPr>
        <w:pStyle w:val="ListParagraph"/>
        <w:numPr>
          <w:ilvl w:val="0"/>
          <w:numId w:val="3"/>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被保险人犯罪、拒捕；</w:t>
      </w:r>
    </w:p>
    <w:p>
      <w:pPr>
        <w:pStyle w:val="ListParagraph"/>
        <w:numPr>
          <w:ilvl w:val="0"/>
          <w:numId w:val="3"/>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3"/>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被保险人在本附加合同Th效日起两年内或最后复效日起两年内自杀或故意自伤；</w:t>
      </w:r>
    </w:p>
    <w:p>
      <w:pPr>
        <w:pStyle w:val="ListParagraph"/>
        <w:numPr>
          <w:ilvl w:val="0"/>
          <w:numId w:val="3"/>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被保险人酒后驾驶、无有效驾驶证件驾驶或驾驶无有效行驶证件的机动交通工具；</w:t>
      </w:r>
    </w:p>
    <w:p>
      <w:pPr>
        <w:pStyle w:val="ListParagraph"/>
        <w:numPr>
          <w:ilvl w:val="0"/>
          <w:numId w:val="3"/>
        </w:numPr>
        <w:tabs>
          <w:tab w:pos="957" w:val="left" w:leader="none"/>
          <w:tab w:pos="958" w:val="left" w:leader="none"/>
        </w:tabs>
        <w:spacing w:line="273" w:lineRule="auto" w:before="37" w:after="0"/>
        <w:ind w:left="957" w:right="163" w:hanging="420"/>
        <w:jc w:val="left"/>
        <w:rPr>
          <w:rFonts w:ascii="黑体" w:eastAsia="黑体" w:hint="eastAsia"/>
          <w:sz w:val="21"/>
        </w:rPr>
      </w:pPr>
      <w:r>
        <w:rPr>
          <w:rFonts w:ascii="黑体" w:eastAsia="黑体" w:hint="eastAsia"/>
          <w:sz w:val="21"/>
        </w:rPr>
        <w:t>被保险人患艾滋病</w:t>
      </w:r>
      <w:hyperlink w:history="true" w:anchor="_bookmark5">
        <w:r>
          <w:rPr>
            <w:rFonts w:ascii="黑体" w:eastAsia="黑体" w:hint="eastAsia"/>
            <w:spacing w:val="5"/>
            <w:position w:val="11"/>
            <w:sz w:val="11"/>
          </w:rPr>
          <w:t>2</w:t>
        </w:r>
      </w:hyperlink>
      <w:r>
        <w:rPr>
          <w:rFonts w:ascii="黑体" w:eastAsia="黑体" w:hint="eastAsia"/>
          <w:spacing w:val="0"/>
          <w:sz w:val="21"/>
        </w:rPr>
        <w:t>或感染艾滋病病毒</w:t>
      </w:r>
      <w:hyperlink w:history="true" w:anchor="_bookmark6">
        <w:r>
          <w:rPr>
            <w:rFonts w:ascii="黑体" w:eastAsia="黑体" w:hint="eastAsia"/>
            <w:spacing w:val="5"/>
            <w:position w:val="11"/>
            <w:sz w:val="11"/>
          </w:rPr>
          <w:t>3</w:t>
        </w:r>
      </w:hyperlink>
      <w:r>
        <w:rPr>
          <w:rFonts w:ascii="黑体" w:eastAsia="黑体" w:hint="eastAsia"/>
          <w:sz w:val="21"/>
        </w:rPr>
        <w:t>期间，但不包括【名词释义】中所定义的由输血或输液而感染艾滋病病毒；</w:t>
      </w:r>
    </w:p>
    <w:p>
      <w:pPr>
        <w:pStyle w:val="ListParagraph"/>
        <w:numPr>
          <w:ilvl w:val="0"/>
          <w:numId w:val="3"/>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战争、军事行动、暴乱或武装叛乱；</w:t>
      </w:r>
    </w:p>
    <w:p>
      <w:pPr>
        <w:pStyle w:val="ListParagraph"/>
        <w:numPr>
          <w:ilvl w:val="0"/>
          <w:numId w:val="3"/>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36"/>
        <w:ind w:left="109" w:right="119" w:firstLine="419"/>
        <w:rPr>
          <w:rFonts w:ascii="黑体" w:eastAsia="黑体" w:hint="eastAsia"/>
        </w:rPr>
      </w:pPr>
      <w:r>
        <w:rPr>
          <w:rFonts w:ascii="黑体" w:eastAsia="黑体" w:hint="eastAsia"/>
        </w:rPr>
        <w:t>发Th上述情形之一，本附加合同终止。除法律及本附加合同另有规定外，我们将按</w:t>
      </w:r>
      <w:hyperlink w:history="true" w:anchor="_bookmark10">
        <w:r>
          <w:rPr>
            <w:rFonts w:ascii="黑体" w:eastAsia="黑体" w:hint="eastAsia"/>
          </w:rPr>
          <w:t>【附</w:t>
        </w:r>
      </w:hyperlink>
      <w:hyperlink w:history="true" w:anchor="_bookmark10">
        <w:r>
          <w:rPr>
            <w:rFonts w:ascii="黑体" w:eastAsia="黑体" w:hint="eastAsia"/>
          </w:rPr>
          <w:t>加合同的解除权</w:t>
        </w:r>
      </w:hyperlink>
      <w:r>
        <w:rPr>
          <w:rFonts w:ascii="黑体" w:eastAsia="黑体" w:hint="eastAsia"/>
        </w:rPr>
        <w:t>】第二款处理。</w:t>
      </w:r>
    </w:p>
    <w:p>
      <w:pPr>
        <w:pStyle w:val="BodyText"/>
        <w:spacing w:before="8"/>
        <w:rPr>
          <w:rFonts w:ascii="黑体"/>
          <w:sz w:val="19"/>
        </w:rPr>
      </w:pPr>
    </w:p>
    <w:p>
      <w:pPr>
        <w:pStyle w:val="Heading2"/>
      </w:pPr>
      <w:bookmarkStart w:name="第八条 保险金额及其变更 " w:id="16"/>
      <w:bookmarkEnd w:id="16"/>
      <w:r>
        <w:rPr>
          <w:b w:val="0"/>
        </w:rPr>
      </w:r>
      <w:r>
        <w:rPr/>
        <w:t>第八条  保险金额及其变更</w:t>
      </w:r>
    </w:p>
    <w:p>
      <w:pPr>
        <w:pStyle w:val="BodyText"/>
        <w:spacing w:before="7"/>
        <w:rPr>
          <w:rFonts w:ascii="Microsoft JhengHei"/>
          <w:b/>
        </w:rPr>
      </w:pPr>
    </w:p>
    <w:p>
      <w:pPr>
        <w:pStyle w:val="BodyText"/>
        <w:ind w:left="529"/>
      </w:pPr>
      <w:r>
        <w:rPr/>
        <w:t>本附加合同所称保险金额由您和我们约定，并在保险单或批注上载明。</w:t>
      </w:r>
    </w:p>
    <w:p>
      <w:pPr>
        <w:pStyle w:val="BodyText"/>
        <w:spacing w:line="273" w:lineRule="auto" w:before="36"/>
        <w:ind w:left="109" w:right="120" w:firstLine="420"/>
      </w:pPr>
      <w:r>
        <w:rPr/>
        <w:t>在本附加合同有效期内，您可以依我们的规定申请减少保险金额，本附加合同的保险金额以减少后的金额为准。减少后的保险金额不得低于申请减额时我们的最低承保金额，其减</w:t>
      </w:r>
    </w:p>
    <w:p>
      <w:pPr>
        <w:pStyle w:val="BodyText"/>
        <w:spacing w:before="4"/>
        <w:rPr>
          <w:sz w:val="26"/>
        </w:rPr>
      </w:pPr>
      <w:r>
        <w:rPr/>
        <w:pict>
          <v:line style="position:absolute;mso-position-horizontal-relative:page;mso-position-vertical-relative:paragraph;z-index:1048;mso-wrap-distance-left:0;mso-wrap-distance-right:0" from="89.879997pt,19.493223pt" to="233.879997pt,19.493223pt" stroked="true" strokeweight=".54pt" strokecolor="#000000">
            <v:stroke dashstyle="solid"/>
            <w10:wrap type="topAndBottom"/>
          </v:line>
        </w:pict>
      </w:r>
    </w:p>
    <w:p>
      <w:pPr>
        <w:spacing w:line="241" w:lineRule="exact" w:before="30"/>
        <w:ind w:left="117" w:right="0" w:firstLine="0"/>
        <w:jc w:val="left"/>
        <w:rPr>
          <w:sz w:val="18"/>
        </w:rPr>
      </w:pPr>
      <w:bookmarkStart w:name="_bookmark5" w:id="17"/>
      <w:bookmarkEnd w:id="17"/>
      <w:r>
        <w:rPr/>
      </w:r>
      <w:r>
        <w:rPr>
          <w:rFonts w:ascii="Times New Roman" w:eastAsia="Times New Roman"/>
          <w:w w:val="95"/>
          <w:position w:val="8"/>
          <w:sz w:val="12"/>
        </w:rPr>
        <w:t>2</w:t>
      </w:r>
      <w:r>
        <w:rPr>
          <w:w w:val="95"/>
          <w:sz w:val="18"/>
        </w:rPr>
        <w:t>艾滋病：获得性免疫力缺乏综合征（</w:t>
      </w:r>
      <w:r>
        <w:rPr>
          <w:rFonts w:ascii="Times New Roman" w:eastAsia="Times New Roman"/>
          <w:w w:val="95"/>
          <w:sz w:val="18"/>
        </w:rPr>
        <w:t>AIDS</w:t>
      </w:r>
      <w:r>
        <w:rPr>
          <w:w w:val="95"/>
          <w:sz w:val="18"/>
        </w:rPr>
        <w:t>）的简称。</w:t>
      </w:r>
    </w:p>
    <w:p>
      <w:pPr>
        <w:spacing w:line="233" w:lineRule="exact" w:before="0"/>
        <w:ind w:left="117" w:right="0" w:firstLine="0"/>
        <w:jc w:val="left"/>
        <w:rPr>
          <w:sz w:val="18"/>
        </w:rPr>
      </w:pPr>
      <w:bookmarkStart w:name="_bookmark6" w:id="18"/>
      <w:bookmarkEnd w:id="18"/>
      <w:r>
        <w:rPr/>
      </w:r>
      <w:r>
        <w:rPr>
          <w:rFonts w:ascii="Times New Roman" w:eastAsia="Times New Roman"/>
          <w:w w:val="95"/>
          <w:position w:val="8"/>
          <w:sz w:val="12"/>
        </w:rPr>
        <w:t>3</w:t>
      </w:r>
      <w:r>
        <w:rPr>
          <w:w w:val="95"/>
          <w:sz w:val="18"/>
        </w:rPr>
        <w:t>艾滋病病毒：获得性免疫力缺乏综合征病毒（</w:t>
      </w:r>
      <w:r>
        <w:rPr>
          <w:rFonts w:ascii="Times New Roman" w:eastAsia="Times New Roman"/>
          <w:w w:val="95"/>
          <w:sz w:val="18"/>
        </w:rPr>
        <w:t>HIV</w:t>
      </w:r>
      <w:r>
        <w:rPr>
          <w:w w:val="95"/>
          <w:sz w:val="18"/>
        </w:rPr>
        <w:t>）的简称。获得性免疫力缺乏综合征的定义应按世界卫</w:t>
      </w:r>
    </w:p>
    <w:p>
      <w:pPr>
        <w:spacing w:line="237" w:lineRule="auto" w:before="0"/>
        <w:ind w:left="117" w:right="119" w:firstLine="0"/>
        <w:jc w:val="left"/>
        <w:rPr>
          <w:sz w:val="18"/>
        </w:rPr>
      </w:pPr>
      <w:r>
        <w:rPr>
          <w:spacing w:val="-5"/>
          <w:sz w:val="18"/>
        </w:rPr>
        <w:t>生组织制定的定义为准，如在血液样本中发现获得性免疫力缺乏综合征病毒或其抗体，则可认定为感染艾滋病或艾滋病病毒。</w:t>
      </w:r>
    </w:p>
    <w:p>
      <w:pPr>
        <w:spacing w:after="0" w:line="237" w:lineRule="auto"/>
        <w:jc w:val="left"/>
        <w:rPr>
          <w:sz w:val="18"/>
        </w:rPr>
        <w:sectPr>
          <w:pgSz w:w="11910" w:h="16840"/>
          <w:pgMar w:header="896" w:footer="1008" w:top="1280" w:bottom="1200" w:left="1680" w:right="1600"/>
        </w:sectPr>
      </w:pPr>
    </w:p>
    <w:p>
      <w:pPr>
        <w:pStyle w:val="BodyText"/>
        <w:spacing w:before="133"/>
        <w:ind w:left="109"/>
      </w:pPr>
      <w:bookmarkStart w:name="_bookmark7" w:id="19"/>
      <w:bookmarkEnd w:id="19"/>
      <w:r>
        <w:rPr/>
      </w:r>
      <w:r>
        <w:rPr/>
        <w:t>少的部分视为您解除合同。</w:t>
      </w:r>
    </w:p>
    <w:p>
      <w:pPr>
        <w:pStyle w:val="BodyText"/>
        <w:spacing w:before="36"/>
        <w:ind w:left="529"/>
      </w:pPr>
      <w:r>
        <w:rPr/>
        <w:t>若被保险人已患有本附加合同约定的重大疾病，本附加合同的保险金额不可变更。</w:t>
      </w:r>
    </w:p>
    <w:p>
      <w:pPr>
        <w:pStyle w:val="BodyText"/>
        <w:spacing w:before="11"/>
        <w:rPr>
          <w:sz w:val="23"/>
        </w:rPr>
      </w:pPr>
    </w:p>
    <w:p>
      <w:pPr>
        <w:pStyle w:val="Heading1"/>
        <w:tabs>
          <w:tab w:pos="1866" w:val="left" w:leader="none"/>
        </w:tabs>
        <w:ind w:left="0" w:right="608"/>
        <w:jc w:val="center"/>
      </w:pPr>
      <w:bookmarkStart w:name="第三部分 如何领取保险金 " w:id="20"/>
      <w:bookmarkEnd w:id="20"/>
      <w:r>
        <w:rPr>
          <w:b w:val="0"/>
        </w:rPr>
      </w:r>
      <w:r>
        <w:rPr/>
        <w:t>第三部分</w:t>
        <w:tab/>
      </w:r>
      <w:r>
        <w:rPr>
          <w:w w:val="95"/>
        </w:rPr>
        <w:t>如何领取保险金</w:t>
      </w:r>
    </w:p>
    <w:p>
      <w:pPr>
        <w:pStyle w:val="BodyText"/>
        <w:spacing w:before="12"/>
        <w:rPr>
          <w:rFonts w:ascii="黑体"/>
          <w:b/>
          <w:sz w:val="27"/>
        </w:rPr>
      </w:pPr>
    </w:p>
    <w:p>
      <w:pPr>
        <w:pStyle w:val="Heading2"/>
      </w:pPr>
      <w:bookmarkStart w:name="第九条 保险金的申领 " w:id="21"/>
      <w:bookmarkEnd w:id="21"/>
      <w:r>
        <w:rPr>
          <w:b w:val="0"/>
        </w:rPr>
      </w:r>
      <w:bookmarkStart w:name="_bookmark8" w:id="22"/>
      <w:bookmarkEnd w:id="22"/>
      <w:r>
        <w:rPr>
          <w:b w:val="0"/>
        </w:rPr>
      </w:r>
      <w:r>
        <w:rPr/>
        <w:t>第九条  保险金的申领</w:t>
      </w:r>
    </w:p>
    <w:p>
      <w:pPr>
        <w:pStyle w:val="BodyText"/>
        <w:spacing w:before="6"/>
        <w:rPr>
          <w:rFonts w:ascii="Microsoft JhengHei"/>
          <w:b/>
        </w:rPr>
      </w:pPr>
    </w:p>
    <w:p>
      <w:pPr>
        <w:pStyle w:val="BodyText"/>
        <w:ind w:left="535"/>
      </w:pPr>
      <w:r>
        <w:rPr/>
        <w:t>一、重大疾病保险金</w:t>
      </w:r>
    </w:p>
    <w:p>
      <w:pPr>
        <w:pStyle w:val="BodyText"/>
        <w:spacing w:line="273" w:lineRule="auto" w:before="37"/>
        <w:ind w:left="109" w:right="77" w:firstLine="426"/>
      </w:pPr>
      <w:r>
        <w:rPr/>
        <w:t>若被保险人初次患本附加合同约定的重大疾病，需由被保险人填写保险金给付申请书并凭下列证明材料向我们申请理赔：</w:t>
      </w:r>
    </w:p>
    <w:p>
      <w:pPr>
        <w:pStyle w:val="ListParagraph"/>
        <w:numPr>
          <w:ilvl w:val="0"/>
          <w:numId w:val="4"/>
        </w:numPr>
        <w:tabs>
          <w:tab w:pos="957" w:val="left" w:leader="none"/>
          <w:tab w:pos="958" w:val="left" w:leader="none"/>
        </w:tabs>
        <w:spacing w:line="240" w:lineRule="auto" w:before="7" w:after="0"/>
        <w:ind w:left="537" w:right="0" w:firstLine="0"/>
        <w:jc w:val="left"/>
        <w:rPr>
          <w:sz w:val="21"/>
        </w:rPr>
      </w:pPr>
      <w:r>
        <w:rPr>
          <w:sz w:val="21"/>
        </w:rPr>
        <w:t>本附加合同；</w:t>
      </w:r>
    </w:p>
    <w:p>
      <w:pPr>
        <w:pStyle w:val="ListParagraph"/>
        <w:numPr>
          <w:ilvl w:val="0"/>
          <w:numId w:val="4"/>
        </w:numPr>
        <w:tabs>
          <w:tab w:pos="957" w:val="left" w:leader="none"/>
          <w:tab w:pos="958" w:val="left" w:leader="none"/>
        </w:tabs>
        <w:spacing w:line="240" w:lineRule="auto" w:before="20" w:after="0"/>
        <w:ind w:left="537" w:right="0" w:firstLine="0"/>
        <w:jc w:val="left"/>
        <w:rPr>
          <w:sz w:val="21"/>
        </w:rPr>
      </w:pPr>
      <w:r>
        <w:rPr>
          <w:sz w:val="21"/>
        </w:rPr>
        <w:t>被保险人的身份证明；</w:t>
      </w:r>
    </w:p>
    <w:p>
      <w:pPr>
        <w:pStyle w:val="ListParagraph"/>
        <w:numPr>
          <w:ilvl w:val="0"/>
          <w:numId w:val="4"/>
        </w:numPr>
        <w:tabs>
          <w:tab w:pos="957" w:val="left" w:leader="none"/>
          <w:tab w:pos="958" w:val="left" w:leader="none"/>
        </w:tabs>
        <w:spacing w:line="240" w:lineRule="auto" w:before="20" w:after="0"/>
        <w:ind w:left="537" w:right="0" w:firstLine="0"/>
        <w:jc w:val="left"/>
        <w:rPr>
          <w:sz w:val="21"/>
        </w:rPr>
      </w:pPr>
      <w:r>
        <w:rPr>
          <w:sz w:val="21"/>
        </w:rPr>
        <w:t>定点医疗机构出具的医学诊断证明以及相关资料；</w:t>
      </w:r>
    </w:p>
    <w:p>
      <w:pPr>
        <w:pStyle w:val="ListParagraph"/>
        <w:numPr>
          <w:ilvl w:val="0"/>
          <w:numId w:val="4"/>
        </w:numPr>
        <w:tabs>
          <w:tab w:pos="957" w:val="left" w:leader="none"/>
          <w:tab w:pos="958" w:val="left" w:leader="none"/>
        </w:tabs>
        <w:spacing w:line="256" w:lineRule="auto" w:before="20" w:after="0"/>
        <w:ind w:left="537" w:right="1994" w:firstLine="0"/>
        <w:jc w:val="left"/>
        <w:rPr>
          <w:sz w:val="21"/>
        </w:rPr>
      </w:pPr>
      <w:r>
        <w:rPr>
          <w:sz w:val="21"/>
        </w:rPr>
        <w:t>我们所需的并且被保险人能够提供的与事故有关的其他材料。二、保险费返还</w:t>
      </w:r>
    </w:p>
    <w:p>
      <w:pPr>
        <w:pStyle w:val="BodyText"/>
        <w:spacing w:line="273" w:lineRule="auto" w:before="22"/>
        <w:ind w:left="117" w:right="119" w:firstLine="420"/>
        <w:jc w:val="both"/>
      </w:pPr>
      <w:r>
        <w:rPr>
          <w:spacing w:val="-1"/>
        </w:rPr>
        <w:t>被保险人于本附加合同生效</w:t>
      </w:r>
      <w:r>
        <w:rPr/>
        <w:t>（或复效</w:t>
      </w:r>
      <w:r>
        <w:rPr>
          <w:spacing w:val="-5"/>
        </w:rPr>
        <w:t>）</w:t>
      </w:r>
      <w:r>
        <w:rPr>
          <w:spacing w:val="-1"/>
        </w:rPr>
        <w:t>日起一百八十日内，经定点医疗机构确证患有本</w:t>
      </w:r>
      <w:r>
        <w:rPr>
          <w:spacing w:val="-2"/>
        </w:rPr>
        <w:t>附加合同约定的重大疾病中的一项或多项或因疾病或意外导致身故或高度残疾时，您需填写保险金给付申请书，并凭下列证明材料向我们申请保险费返还：</w:t>
      </w:r>
    </w:p>
    <w:p>
      <w:pPr>
        <w:pStyle w:val="ListParagraph"/>
        <w:numPr>
          <w:ilvl w:val="0"/>
          <w:numId w:val="5"/>
        </w:numPr>
        <w:tabs>
          <w:tab w:pos="957" w:val="left" w:leader="none"/>
          <w:tab w:pos="958" w:val="left" w:leader="none"/>
        </w:tabs>
        <w:spacing w:line="240" w:lineRule="auto" w:before="8" w:after="0"/>
        <w:ind w:left="957" w:right="0" w:hanging="420"/>
        <w:jc w:val="left"/>
        <w:rPr>
          <w:sz w:val="21"/>
        </w:rPr>
      </w:pPr>
      <w:r>
        <w:rPr>
          <w:sz w:val="21"/>
        </w:rPr>
        <w:t>本附加合同；</w:t>
      </w:r>
    </w:p>
    <w:p>
      <w:pPr>
        <w:pStyle w:val="ListParagraph"/>
        <w:numPr>
          <w:ilvl w:val="0"/>
          <w:numId w:val="5"/>
        </w:numPr>
        <w:tabs>
          <w:tab w:pos="957" w:val="left" w:leader="none"/>
          <w:tab w:pos="958" w:val="left" w:leader="none"/>
        </w:tabs>
        <w:spacing w:line="240" w:lineRule="auto" w:before="37" w:after="0"/>
        <w:ind w:left="957" w:right="0" w:hanging="420"/>
        <w:jc w:val="left"/>
        <w:rPr>
          <w:sz w:val="21"/>
        </w:rPr>
      </w:pPr>
      <w:r>
        <w:rPr>
          <w:sz w:val="21"/>
        </w:rPr>
        <w:t>被保险人身故或高度残疾证明或定点医疗机构出具的医学诊断证明及相关资料；</w:t>
      </w:r>
    </w:p>
    <w:p>
      <w:pPr>
        <w:pStyle w:val="ListParagraph"/>
        <w:numPr>
          <w:ilvl w:val="0"/>
          <w:numId w:val="5"/>
        </w:numPr>
        <w:tabs>
          <w:tab w:pos="957" w:val="left" w:leader="none"/>
          <w:tab w:pos="958" w:val="left" w:leader="none"/>
        </w:tabs>
        <w:spacing w:line="240" w:lineRule="auto" w:before="22" w:after="0"/>
        <w:ind w:left="957" w:right="0" w:hanging="420"/>
        <w:jc w:val="left"/>
        <w:rPr>
          <w:rFonts w:ascii="Times New Roman" w:eastAsia="Times New Roman"/>
          <w:sz w:val="21"/>
        </w:rPr>
      </w:pPr>
      <w:r>
        <w:rPr>
          <w:sz w:val="21"/>
        </w:rPr>
        <w:t>我们所需的并且您能够提供的与事故有关的其他材料。</w:t>
      </w:r>
    </w:p>
    <w:p>
      <w:pPr>
        <w:pStyle w:val="BodyText"/>
        <w:spacing w:before="7"/>
        <w:rPr>
          <w:sz w:val="26"/>
        </w:rPr>
      </w:pPr>
    </w:p>
    <w:p>
      <w:pPr>
        <w:pStyle w:val="BodyText"/>
        <w:spacing w:line="273" w:lineRule="auto"/>
        <w:ind w:left="109" w:right="120" w:firstLine="420"/>
        <w:jc w:val="both"/>
      </w:pPr>
      <w:r>
        <w:rPr/>
        <w:t>我们收到申请人保险金给付申请书及相应的证明材料后，对确属保险责任范围的，在与申请人达成有关给付保险金数额的协议后十天内，履行给付保险金责任；对不属于保险责任范围的，向申请人发出拒绝给付保险金通知书。</w:t>
      </w:r>
    </w:p>
    <w:p>
      <w:pPr>
        <w:pStyle w:val="BodyText"/>
        <w:spacing w:line="273" w:lineRule="auto" w:before="7"/>
        <w:ind w:left="109" w:right="120" w:firstLine="420"/>
        <w:jc w:val="both"/>
      </w:pPr>
      <w:r>
        <w:rPr/>
        <w:t>我们自收到申请人的保险金给付申请书及相应的证明材料之日起六十天内，对属于保险责任而给付保险金的数额暂时不能确定的，根据已有的证明材料，按可以确定的最低数额先予支付，我们最终确定给付保险金数额后，再支付相应的差额。</w:t>
      </w:r>
    </w:p>
    <w:p>
      <w:pPr>
        <w:pStyle w:val="BodyText"/>
        <w:spacing w:before="8"/>
      </w:pPr>
    </w:p>
    <w:p>
      <w:pPr>
        <w:pStyle w:val="Heading1"/>
        <w:tabs>
          <w:tab w:pos="3856" w:val="left" w:leader="none"/>
        </w:tabs>
        <w:ind w:left="1990"/>
      </w:pPr>
      <w:bookmarkStart w:name="第四部分 保险费的交纳 " w:id="23"/>
      <w:bookmarkEnd w:id="23"/>
      <w:r>
        <w:rPr>
          <w:b w:val="0"/>
        </w:rPr>
      </w:r>
      <w:r>
        <w:rPr/>
        <w:t>第四部分</w:t>
        <w:tab/>
      </w:r>
      <w:r>
        <w:rPr>
          <w:w w:val="95"/>
        </w:rPr>
        <w:t>保险费的交纳</w:t>
      </w:r>
    </w:p>
    <w:p>
      <w:pPr>
        <w:pStyle w:val="BodyText"/>
        <w:spacing w:before="12"/>
        <w:rPr>
          <w:rFonts w:ascii="黑体"/>
          <w:b/>
          <w:sz w:val="27"/>
        </w:rPr>
      </w:pPr>
    </w:p>
    <w:p>
      <w:pPr>
        <w:pStyle w:val="Heading2"/>
        <w:tabs>
          <w:tab w:pos="1557" w:val="left" w:leader="none"/>
        </w:tabs>
      </w:pPr>
      <w:bookmarkStart w:name="第十条 保险费的交纳 " w:id="24"/>
      <w:bookmarkEnd w:id="24"/>
      <w:r>
        <w:rPr>
          <w:b w:val="0"/>
        </w:rPr>
      </w:r>
      <w:r>
        <w:rPr/>
        <w:t>第十条</w:t>
        <w:tab/>
        <w:t>保险费的交纳</w:t>
      </w:r>
    </w:p>
    <w:p>
      <w:pPr>
        <w:pStyle w:val="BodyText"/>
        <w:spacing w:before="6"/>
        <w:rPr>
          <w:rFonts w:ascii="Microsoft JhengHei"/>
          <w:b/>
          <w:sz w:val="20"/>
        </w:rPr>
      </w:pPr>
    </w:p>
    <w:p>
      <w:pPr>
        <w:pStyle w:val="BodyText"/>
        <w:spacing w:line="237" w:lineRule="auto"/>
        <w:ind w:left="117" w:right="104" w:firstLine="420"/>
      </w:pPr>
      <w:r>
        <w:rPr/>
        <w:t>您须按照保险单上所载的交费方式交付保险费。保险费以每个保险单年度为计算基础， 首期以后的保险费应在每个保险费到期日或之前由您自行交付。</w:t>
      </w:r>
    </w:p>
    <w:p>
      <w:pPr>
        <w:spacing w:after="0" w:line="237" w:lineRule="auto"/>
        <w:sectPr>
          <w:pgSz w:w="11910" w:h="16840"/>
          <w:pgMar w:header="896" w:footer="1008" w:top="1280" w:bottom="1200" w:left="1680" w:right="1600"/>
        </w:sectPr>
      </w:pPr>
    </w:p>
    <w:p>
      <w:pPr>
        <w:pStyle w:val="BodyText"/>
        <w:spacing w:before="10"/>
        <w:rPr>
          <w:sz w:val="13"/>
        </w:rPr>
      </w:pPr>
    </w:p>
    <w:p>
      <w:pPr>
        <w:pStyle w:val="Heading1"/>
        <w:tabs>
          <w:tab w:pos="3314" w:val="left" w:leader="none"/>
        </w:tabs>
        <w:spacing w:line="461" w:lineRule="exact"/>
        <w:ind w:left="1448"/>
      </w:pPr>
      <w:bookmarkStart w:name="第五部分 您所拥有的重要权益 " w:id="25"/>
      <w:bookmarkEnd w:id="25"/>
      <w:r>
        <w:rPr>
          <w:b w:val="0"/>
        </w:rPr>
      </w:r>
      <w:bookmarkStart w:name="_bookmark9" w:id="26"/>
      <w:bookmarkEnd w:id="26"/>
      <w:r>
        <w:rPr>
          <w:b w:val="0"/>
        </w:rPr>
      </w:r>
      <w:r>
        <w:rPr/>
        <w:t>第五部分</w:t>
        <w:tab/>
      </w:r>
      <w:r>
        <w:rPr>
          <w:w w:val="95"/>
        </w:rPr>
        <w:t>您所拥有的重要权益</w:t>
      </w:r>
    </w:p>
    <w:p>
      <w:pPr>
        <w:pStyle w:val="BodyText"/>
        <w:spacing w:before="13"/>
        <w:rPr>
          <w:rFonts w:ascii="黑体"/>
          <w:b/>
          <w:sz w:val="27"/>
        </w:rPr>
      </w:pPr>
    </w:p>
    <w:p>
      <w:pPr>
        <w:pStyle w:val="Heading2"/>
        <w:tabs>
          <w:tab w:pos="1557" w:val="left" w:leader="none"/>
        </w:tabs>
      </w:pPr>
      <w:bookmarkStart w:name="第十一条 附加合同的解除权 " w:id="27"/>
      <w:bookmarkEnd w:id="27"/>
      <w:r>
        <w:rPr>
          <w:b w:val="0"/>
        </w:rPr>
      </w:r>
      <w:bookmarkStart w:name="_bookmark10" w:id="28"/>
      <w:bookmarkEnd w:id="28"/>
      <w:r>
        <w:rPr>
          <w:b w:val="0"/>
        </w:rPr>
      </w:r>
      <w:r>
        <w:rPr/>
        <w:t>第十一条</w:t>
        <w:tab/>
        <w:t>附加合同的解除权</w:t>
      </w:r>
    </w:p>
    <w:p>
      <w:pPr>
        <w:pStyle w:val="BodyText"/>
        <w:spacing w:before="6"/>
        <w:rPr>
          <w:rFonts w:ascii="Microsoft JhengHei"/>
          <w:b/>
          <w:sz w:val="20"/>
        </w:rPr>
      </w:pPr>
    </w:p>
    <w:p>
      <w:pPr>
        <w:pStyle w:val="BodyText"/>
        <w:spacing w:line="237" w:lineRule="auto"/>
        <w:ind w:left="117" w:right="141" w:firstLine="420"/>
      </w:pPr>
      <w:r>
        <w:rPr>
          <w:spacing w:val="-4"/>
        </w:rPr>
        <w:t>在本附加合同有效期内，您可以申请解除本附加合同。我们收到解除合同申请书时，本</w:t>
      </w:r>
      <w:r>
        <w:rPr>
          <w:spacing w:val="-13"/>
        </w:rPr>
        <w:t>附加合同终止。为了让您能够更清楚地了解相关的保险条款和内容，以及有更多的考虑时间， 自您签收本附加合同之日起十天内为犹豫期。</w:t>
      </w:r>
    </w:p>
    <w:p>
      <w:pPr>
        <w:pStyle w:val="BodyText"/>
        <w:spacing w:line="273" w:lineRule="auto" w:before="18"/>
        <w:ind w:left="115" w:right="185" w:firstLine="422"/>
      </w:pPr>
      <w:r>
        <w:rPr/>
        <w:t>一、您在犹豫期内要求解除本附加合同的，我们将于收到本条第三款所列的证明材料后在扣除被保险人体检费后无息退还已收的全部保险费。</w:t>
      </w:r>
    </w:p>
    <w:p>
      <w:pPr>
        <w:pStyle w:val="BodyText"/>
        <w:spacing w:line="273" w:lineRule="auto" w:before="8"/>
        <w:ind w:left="115" w:right="185" w:firstLine="422"/>
      </w:pPr>
      <w:r>
        <w:rPr/>
        <w:t>二、您在犹豫期后要求解除本附加合同的，我们在收到本条第三款所列证明材料后本附加合同自动终止。</w:t>
      </w:r>
    </w:p>
    <w:p>
      <w:pPr>
        <w:pStyle w:val="BodyText"/>
        <w:spacing w:before="8"/>
        <w:ind w:left="537"/>
      </w:pPr>
      <w:r>
        <w:rPr/>
        <w:t>三、您应提供的证明材料包括：</w:t>
      </w:r>
    </w:p>
    <w:p>
      <w:pPr>
        <w:pStyle w:val="BodyText"/>
        <w:spacing w:before="37"/>
        <w:ind w:left="537"/>
      </w:pPr>
      <w:r>
        <w:rPr/>
        <w:t>1、 保险单及其他保险凭证；</w:t>
      </w:r>
    </w:p>
    <w:p>
      <w:pPr>
        <w:pStyle w:val="BodyText"/>
        <w:spacing w:before="37"/>
        <w:ind w:left="537"/>
      </w:pPr>
      <w:r>
        <w:rPr/>
        <w:t>2、 解除本附加合同的申请资料；</w:t>
      </w:r>
    </w:p>
    <w:p>
      <w:pPr>
        <w:pStyle w:val="BodyText"/>
        <w:spacing w:before="37"/>
        <w:ind w:left="537"/>
      </w:pPr>
      <w:r>
        <w:rPr/>
        <w:t>3、 您的身份证明。</w:t>
      </w:r>
    </w:p>
    <w:p>
      <w:pPr>
        <w:pStyle w:val="BodyText"/>
        <w:spacing w:before="11"/>
        <w:rPr>
          <w:sz w:val="23"/>
        </w:rPr>
      </w:pPr>
    </w:p>
    <w:p>
      <w:pPr>
        <w:pStyle w:val="Heading1"/>
        <w:tabs>
          <w:tab w:pos="4218" w:val="left" w:leader="none"/>
        </w:tabs>
        <w:spacing w:before="1"/>
        <w:ind w:left="2352"/>
      </w:pPr>
      <w:bookmarkStart w:name="第六部分 其他事项 " w:id="29"/>
      <w:bookmarkEnd w:id="29"/>
      <w:r>
        <w:rPr>
          <w:b w:val="0"/>
        </w:rPr>
      </w:r>
      <w:r>
        <w:rPr/>
        <w:t>第六部分</w:t>
        <w:tab/>
      </w:r>
      <w:r>
        <w:rPr>
          <w:w w:val="95"/>
        </w:rPr>
        <w:t>其他事项</w:t>
      </w:r>
    </w:p>
    <w:p>
      <w:pPr>
        <w:pStyle w:val="BodyText"/>
        <w:rPr>
          <w:rFonts w:ascii="黑体"/>
          <w:b/>
          <w:sz w:val="28"/>
        </w:rPr>
      </w:pPr>
    </w:p>
    <w:p>
      <w:pPr>
        <w:pStyle w:val="Heading2"/>
      </w:pPr>
      <w:bookmarkStart w:name="第十二条 就医须知 " w:id="30"/>
      <w:bookmarkEnd w:id="30"/>
      <w:r>
        <w:rPr>
          <w:b w:val="0"/>
        </w:rPr>
      </w:r>
      <w:r>
        <w:rPr/>
        <w:t>第十二条就医须知</w:t>
      </w:r>
    </w:p>
    <w:p>
      <w:pPr>
        <w:pStyle w:val="BodyText"/>
        <w:spacing w:before="6"/>
        <w:rPr>
          <w:rFonts w:ascii="Microsoft JhengHei"/>
          <w:b/>
        </w:rPr>
      </w:pPr>
    </w:p>
    <w:p>
      <w:pPr>
        <w:pStyle w:val="BodyText"/>
        <w:spacing w:line="273" w:lineRule="auto"/>
        <w:ind w:left="117" w:right="114" w:firstLine="420"/>
      </w:pPr>
      <w:r>
        <w:rPr>
          <w:spacing w:val="-6"/>
        </w:rPr>
        <w:t>被保险人须在定点医疗机构接受治疗，但被保险人紧急抢救不受此限制，在病情稳定后， 应转入定点医疗机构继续治疗。</w:t>
      </w:r>
    </w:p>
    <w:p>
      <w:pPr>
        <w:pStyle w:val="BodyText"/>
        <w:spacing w:before="8"/>
      </w:pPr>
    </w:p>
    <w:p>
      <w:pPr>
        <w:pStyle w:val="Heading1"/>
        <w:tabs>
          <w:tab w:pos="4218" w:val="left" w:leader="none"/>
        </w:tabs>
        <w:ind w:left="2352"/>
      </w:pPr>
      <w:bookmarkStart w:name="第七部分 名词释义 " w:id="31"/>
      <w:bookmarkEnd w:id="31"/>
      <w:r>
        <w:rPr>
          <w:b w:val="0"/>
        </w:rPr>
      </w:r>
      <w:r>
        <w:rPr/>
        <w:t>第七部分</w:t>
        <w:tab/>
      </w:r>
      <w:r>
        <w:rPr>
          <w:w w:val="95"/>
        </w:rPr>
        <w:t>名词释义</w:t>
      </w:r>
    </w:p>
    <w:p>
      <w:pPr>
        <w:pStyle w:val="BodyText"/>
        <w:spacing w:line="249" w:lineRule="auto" w:before="289"/>
        <w:ind w:left="1668" w:right="176" w:hanging="1551"/>
      </w:pPr>
      <w:r>
        <w:rPr>
          <w:rFonts w:ascii="Microsoft JhengHei" w:eastAsia="Microsoft JhengHei" w:hint="eastAsia"/>
          <w:b/>
        </w:rPr>
        <w:t>定点医疗机构：</w:t>
      </w:r>
      <w:r>
        <w:rPr/>
        <w:t>我们为被保险人提供多家不同层次的专业医疗机构名单，供被保险人在此范围内选择，定点医疗机构名单请见合同附件。</w:t>
      </w:r>
    </w:p>
    <w:p>
      <w:pPr>
        <w:spacing w:line="327" w:lineRule="exact" w:before="0"/>
        <w:ind w:left="117" w:right="0" w:firstLine="0"/>
        <w:jc w:val="left"/>
        <w:rPr>
          <w:sz w:val="21"/>
        </w:rPr>
      </w:pPr>
      <w:r>
        <w:rPr>
          <w:rFonts w:ascii="Microsoft JhengHei" w:eastAsia="Microsoft JhengHei" w:hint="eastAsia"/>
          <w:b/>
          <w:sz w:val="21"/>
        </w:rPr>
        <w:t>身体高度残疾</w:t>
      </w:r>
      <w:r>
        <w:rPr>
          <w:sz w:val="21"/>
        </w:rPr>
        <w:t>：指具有下列情况之一项或多项者：</w:t>
      </w:r>
    </w:p>
    <w:p>
      <w:pPr>
        <w:pStyle w:val="BodyText"/>
        <w:spacing w:before="14"/>
        <w:ind w:left="1557"/>
      </w:pPr>
      <w:r>
        <w:rPr/>
        <w:t>一、 双目永久完全失明的（</w:t>
      </w:r>
      <w:r>
        <w:rPr>
          <w:spacing w:val="-27"/>
        </w:rPr>
        <w:t>注 </w:t>
      </w:r>
      <w:r>
        <w:rPr>
          <w:rFonts w:ascii="Times New Roman" w:eastAsia="Times New Roman"/>
          <w:spacing w:val="-1"/>
        </w:rPr>
        <w:t>1</w:t>
      </w:r>
      <w:r>
        <w:rPr>
          <w:spacing w:val="-105"/>
        </w:rPr>
        <w:t>）</w:t>
      </w:r>
      <w:r>
        <w:rPr/>
        <w:t>；</w:t>
      </w:r>
    </w:p>
    <w:p>
      <w:pPr>
        <w:pStyle w:val="BodyText"/>
        <w:spacing w:line="273" w:lineRule="auto" w:before="21"/>
        <w:ind w:left="1557" w:right="534"/>
        <w:jc w:val="both"/>
      </w:pPr>
      <w:r>
        <w:rPr/>
        <w:t>二、 两上肢腕关节以上（远端）或两下肢踝关节以上（远端）缺失的； 三、 一上肢腕关节以上（远端）及一下肢踝关节以上（远端）缺失的； 四、 一目永久完全失明及一上肢腕关节以上（远端）缺失的；</w:t>
      </w:r>
    </w:p>
    <w:p>
      <w:pPr>
        <w:pStyle w:val="BodyText"/>
        <w:spacing w:line="273" w:lineRule="auto" w:before="7"/>
        <w:ind w:left="1557" w:right="1374"/>
      </w:pPr>
      <w:r>
        <w:rPr/>
        <w:t>五、 一目永久完全失明及一下肢踝关节以上（远端）缺失的； 六、 四肢关节机能永久完全丧失的（</w:t>
      </w:r>
      <w:r>
        <w:rPr>
          <w:spacing w:val="-27"/>
        </w:rPr>
        <w:t>注 </w:t>
      </w:r>
      <w:r>
        <w:rPr>
          <w:rFonts w:ascii="Times New Roman" w:eastAsia="Times New Roman"/>
          <w:spacing w:val="-1"/>
        </w:rPr>
        <w:t>2</w:t>
      </w:r>
      <w:r>
        <w:rPr/>
        <w:t>、</w:t>
      </w:r>
      <w:r>
        <w:rPr>
          <w:rFonts w:ascii="Times New Roman" w:eastAsia="Times New Roman"/>
          <w:spacing w:val="-1"/>
        </w:rPr>
        <w:t>5</w:t>
      </w:r>
      <w:r>
        <w:rPr>
          <w:spacing w:val="-105"/>
        </w:rPr>
        <w:t>）</w:t>
      </w:r>
      <w:r>
        <w:rPr/>
        <w:t>；</w:t>
      </w:r>
    </w:p>
    <w:p>
      <w:pPr>
        <w:pStyle w:val="BodyText"/>
        <w:spacing w:line="279" w:lineRule="exact"/>
        <w:ind w:left="1557"/>
      </w:pPr>
      <w:r>
        <w:rPr/>
        <w:t>七、 咀嚼、吞咽机能永久完全丧失的（</w:t>
      </w:r>
      <w:r>
        <w:rPr>
          <w:spacing w:val="-27"/>
        </w:rPr>
        <w:t>注 </w:t>
      </w:r>
      <w:r>
        <w:rPr>
          <w:rFonts w:ascii="Times New Roman" w:eastAsia="Times New Roman"/>
          <w:spacing w:val="-1"/>
        </w:rPr>
        <w:t>3</w:t>
      </w:r>
      <w:r>
        <w:rPr>
          <w:spacing w:val="0"/>
        </w:rPr>
        <w:t>、</w:t>
      </w:r>
      <w:r>
        <w:rPr>
          <w:rFonts w:ascii="Times New Roman" w:eastAsia="Times New Roman"/>
          <w:spacing w:val="-1"/>
        </w:rPr>
        <w:t>5</w:t>
      </w:r>
      <w:r>
        <w:rPr>
          <w:spacing w:val="-105"/>
        </w:rPr>
        <w:t>）</w:t>
      </w:r>
      <w:r>
        <w:rPr/>
        <w:t>；</w:t>
      </w:r>
    </w:p>
    <w:p>
      <w:pPr>
        <w:pStyle w:val="BodyText"/>
        <w:spacing w:line="273" w:lineRule="auto" w:before="21"/>
        <w:ind w:left="2097" w:right="220" w:hanging="540"/>
      </w:pPr>
      <w:r>
        <w:rPr>
          <w:spacing w:val="-6"/>
        </w:rPr>
        <w:t>八、 中枢神经系统机能或胸、腹部脏器机能极度障碍，永久完全丧失基本日</w:t>
      </w:r>
      <w:r>
        <w:rPr>
          <w:spacing w:val="-23"/>
        </w:rPr>
        <w:t>常生活能力。</w:t>
      </w:r>
      <w:r>
        <w:rPr/>
        <w:t>（</w:t>
      </w:r>
      <w:r>
        <w:rPr>
          <w:spacing w:val="-27"/>
        </w:rPr>
        <w:t>注 </w:t>
      </w:r>
      <w:r>
        <w:rPr>
          <w:rFonts w:ascii="Times New Roman" w:eastAsia="Times New Roman"/>
          <w:spacing w:val="-1"/>
        </w:rPr>
        <w:t>4</w:t>
      </w:r>
      <w:r>
        <w:rPr>
          <w:spacing w:val="0"/>
        </w:rPr>
        <w:t>、</w:t>
      </w:r>
      <w:r>
        <w:rPr>
          <w:rFonts w:ascii="Times New Roman" w:eastAsia="Times New Roman"/>
          <w:spacing w:val="-1"/>
        </w:rPr>
        <w:t>5</w:t>
      </w:r>
      <w:r>
        <w:rPr>
          <w:spacing w:val="-105"/>
        </w:rPr>
        <w:t>）</w:t>
      </w:r>
      <w:r>
        <w:rPr/>
        <w:t>。</w:t>
      </w:r>
    </w:p>
    <w:p>
      <w:pPr>
        <w:pStyle w:val="BodyText"/>
        <w:spacing w:line="264" w:lineRule="auto"/>
        <w:ind w:left="2122" w:right="114" w:hanging="568"/>
      </w:pPr>
      <w:r>
        <w:rPr>
          <w:spacing w:val="-26"/>
        </w:rPr>
        <w:t>注 </w:t>
      </w:r>
      <w:r>
        <w:rPr>
          <w:spacing w:val="-7"/>
        </w:rPr>
        <w:t>1</w:t>
      </w:r>
      <w:r>
        <w:rPr>
          <w:spacing w:val="-5"/>
        </w:rPr>
        <w:t>：失明包括眼球缺失或摘除，或不能辨别明暗，或仅能辨别眼前手动者， </w:t>
      </w:r>
      <w:r>
        <w:rPr>
          <w:spacing w:val="-7"/>
        </w:rPr>
        <w:t>最佳矫正视力低于国际标准视力表 </w:t>
      </w:r>
      <w:r>
        <w:rPr>
          <w:rFonts w:ascii="Times New Roman" w:eastAsia="Times New Roman"/>
        </w:rPr>
        <w:t>0.02</w:t>
      </w:r>
      <w:r>
        <w:rPr>
          <w:spacing w:val="-3"/>
        </w:rPr>
        <w:t>，或视野半径小于 </w:t>
      </w:r>
      <w:r>
        <w:rPr>
          <w:rFonts w:ascii="Times New Roman" w:eastAsia="Times New Roman"/>
        </w:rPr>
        <w:t>5 </w:t>
      </w:r>
      <w:r>
        <w:rPr/>
        <w:t>度，并由定点医疗机构的专科医生出具医疗诊断证明。但由白内障引起的失明</w:t>
      </w:r>
    </w:p>
    <w:p>
      <w:pPr>
        <w:spacing w:after="0" w:line="264" w:lineRule="auto"/>
        <w:sectPr>
          <w:pgSz w:w="11910" w:h="16840"/>
          <w:pgMar w:header="896" w:footer="1008" w:top="1280" w:bottom="1200" w:left="1680" w:right="15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1"/>
        <w:ind w:left="117" w:right="0" w:firstLine="0"/>
        <w:jc w:val="left"/>
        <w:rPr>
          <w:rFonts w:ascii="Microsoft JhengHei" w:eastAsia="Microsoft JhengHei" w:hint="eastAsia"/>
          <w:b/>
          <w:sz w:val="21"/>
        </w:rPr>
      </w:pPr>
      <w:r>
        <w:rPr>
          <w:rFonts w:ascii="Microsoft JhengHei" w:eastAsia="Microsoft JhengHei" w:hint="eastAsia"/>
          <w:b/>
          <w:sz w:val="21"/>
        </w:rPr>
        <w:t>重大疾病：</w:t>
      </w:r>
    </w:p>
    <w:p>
      <w:pPr>
        <w:spacing w:before="133"/>
        <w:ind w:left="685" w:right="0" w:firstLine="0"/>
        <w:jc w:val="left"/>
        <w:rPr>
          <w:sz w:val="21"/>
        </w:rPr>
      </w:pPr>
      <w:r>
        <w:rPr/>
        <w:br w:type="column"/>
      </w:r>
      <w:r>
        <w:rPr>
          <w:sz w:val="21"/>
        </w:rPr>
        <w:t>除外。</w:t>
      </w:r>
    </w:p>
    <w:p>
      <w:pPr>
        <w:pStyle w:val="BodyText"/>
        <w:spacing w:line="273" w:lineRule="auto" w:before="36"/>
        <w:ind w:left="117" w:right="116"/>
      </w:pPr>
      <w:r>
        <w:rPr>
          <w:spacing w:val="-27"/>
        </w:rPr>
        <w:t>注 </w:t>
      </w:r>
      <w:r>
        <w:rPr>
          <w:spacing w:val="-10"/>
        </w:rPr>
        <w:t>2</w:t>
      </w:r>
      <w:r>
        <w:rPr>
          <w:spacing w:val="-4"/>
        </w:rPr>
        <w:t>：关节机能的丧失是指关节永久完全僵硬、麻痹或关节不能随意识活动。</w:t>
      </w:r>
      <w:r>
        <w:rPr>
          <w:spacing w:val="3"/>
        </w:rPr>
        <w:t>注 </w:t>
      </w:r>
      <w:r>
        <w:rPr>
          <w:rFonts w:ascii="Times New Roman" w:eastAsia="Times New Roman"/>
        </w:rPr>
        <w:t>3</w:t>
      </w:r>
      <w:r>
        <w:rPr/>
        <w:t>：咀嚼、吞咽机能的丧失是指由于牙齿以外的原因引起的器质或功能障</w:t>
      </w:r>
    </w:p>
    <w:p>
      <w:pPr>
        <w:pStyle w:val="BodyText"/>
        <w:spacing w:line="273" w:lineRule="auto"/>
        <w:ind w:left="747" w:right="219"/>
      </w:pPr>
      <w:r>
        <w:rPr/>
        <w:t>碍，以致不能作咀嚼、吞咽运动，除流质食物外不能摄取或吞咽的状态。</w:t>
      </w:r>
    </w:p>
    <w:p>
      <w:pPr>
        <w:pStyle w:val="BodyText"/>
        <w:spacing w:line="256" w:lineRule="auto" w:before="19"/>
        <w:ind w:left="747" w:right="219" w:hanging="630"/>
      </w:pPr>
      <w:r>
        <w:rPr/>
        <w:t>注 </w:t>
      </w:r>
      <w:r>
        <w:rPr>
          <w:rFonts w:ascii="Times New Roman" w:eastAsia="Times New Roman"/>
        </w:rPr>
        <w:t>4</w:t>
      </w:r>
      <w:r>
        <w:rPr/>
        <w:t>：基本日常生活能力的丧失是指食物摄取、大小便始末、穿脱衣服、起居、步行、入浴等，皆不能自己为之，需要他人帮助。</w:t>
      </w:r>
    </w:p>
    <w:p>
      <w:pPr>
        <w:pStyle w:val="BodyText"/>
        <w:spacing w:line="256" w:lineRule="auto" w:before="22"/>
        <w:ind w:left="747" w:right="219" w:hanging="630"/>
      </w:pPr>
      <w:r>
        <w:rPr/>
        <w:t>注 </w:t>
      </w:r>
      <w:r>
        <w:rPr>
          <w:rFonts w:ascii="Times New Roman" w:eastAsia="Times New Roman"/>
        </w:rPr>
        <w:t>5</w:t>
      </w:r>
      <w:r>
        <w:rPr/>
        <w:t>：永久完全丧失是指自以上情况发生之日起经过一百八十天的治疗后， 机能仍然完全丧失，但眼球摘除等无法恢复之情况，不在此限。</w:t>
      </w:r>
    </w:p>
    <w:p>
      <w:pPr>
        <w:spacing w:after="0" w:line="256" w:lineRule="auto"/>
        <w:sectPr>
          <w:pgSz w:w="11910" w:h="16840"/>
          <w:pgMar w:header="896" w:footer="1008" w:top="1280" w:bottom="1200" w:left="1680" w:right="1500"/>
          <w:cols w:num="2" w:equalWidth="0">
            <w:col w:w="1172" w:space="266"/>
            <w:col w:w="7292"/>
          </w:cols>
        </w:sectPr>
      </w:pPr>
    </w:p>
    <w:p>
      <w:pPr>
        <w:pStyle w:val="BodyText"/>
        <w:spacing w:before="13"/>
        <w:ind w:left="477"/>
      </w:pPr>
      <w:r>
        <w:rPr>
          <w:rFonts w:ascii="Times New Roman" w:eastAsia="Times New Roman"/>
        </w:rPr>
        <w:t>1</w:t>
      </w:r>
      <w:r>
        <w:rPr/>
        <w:t>、 重症细菌性脑膜炎</w:t>
      </w:r>
    </w:p>
    <w:p>
      <w:pPr>
        <w:pStyle w:val="BodyText"/>
        <w:spacing w:line="273" w:lineRule="auto" w:before="21"/>
        <w:ind w:left="475" w:right="267" w:firstLine="420"/>
        <w:jc w:val="both"/>
      </w:pPr>
      <w:r>
        <w:rPr/>
        <w:t>指由于细菌感染引起的脑膜重症炎症，导致严重的、无法恢复的永久性神经系统缺陷。此病症须由专科医生根据腰穿检查化验确诊患有细菌性脑膜炎，导致出现有以下一项或以上永久性神经系统缺陷持续六个月以上。此神经系统缺陷须由本公司认可的神经专科医生确诊。神经系统缺陷有：</w:t>
      </w:r>
    </w:p>
    <w:p>
      <w:pPr>
        <w:pStyle w:val="ListParagraph"/>
        <w:numPr>
          <w:ilvl w:val="0"/>
          <w:numId w:val="6"/>
        </w:numPr>
        <w:tabs>
          <w:tab w:pos="1258" w:val="left" w:leader="none"/>
        </w:tabs>
        <w:spacing w:line="240" w:lineRule="auto" w:before="7" w:after="0"/>
        <w:ind w:left="1257" w:right="0" w:hanging="720"/>
        <w:jc w:val="left"/>
        <w:rPr>
          <w:sz w:val="21"/>
        </w:rPr>
      </w:pPr>
      <w:r>
        <w:rPr>
          <w:sz w:val="21"/>
        </w:rPr>
        <w:t>双侧或单侧耳聋；</w:t>
      </w:r>
    </w:p>
    <w:p>
      <w:pPr>
        <w:pStyle w:val="ListParagraph"/>
        <w:numPr>
          <w:ilvl w:val="0"/>
          <w:numId w:val="6"/>
        </w:numPr>
        <w:tabs>
          <w:tab w:pos="1258" w:val="left" w:leader="none"/>
        </w:tabs>
        <w:spacing w:line="240" w:lineRule="auto" w:before="36" w:after="0"/>
        <w:ind w:left="1257" w:right="0" w:hanging="720"/>
        <w:jc w:val="left"/>
        <w:rPr>
          <w:sz w:val="21"/>
        </w:rPr>
      </w:pPr>
      <w:r>
        <w:rPr>
          <w:sz w:val="21"/>
        </w:rPr>
        <w:t>眼肌瘫痪；</w:t>
      </w:r>
    </w:p>
    <w:p>
      <w:pPr>
        <w:pStyle w:val="ListParagraph"/>
        <w:numPr>
          <w:ilvl w:val="0"/>
          <w:numId w:val="6"/>
        </w:numPr>
        <w:tabs>
          <w:tab w:pos="1258" w:val="left" w:leader="none"/>
        </w:tabs>
        <w:spacing w:line="240" w:lineRule="auto" w:before="36" w:after="0"/>
        <w:ind w:left="1257" w:right="0" w:hanging="720"/>
        <w:jc w:val="left"/>
        <w:rPr>
          <w:sz w:val="21"/>
        </w:rPr>
      </w:pPr>
      <w:r>
        <w:rPr>
          <w:sz w:val="21"/>
        </w:rPr>
        <w:t>失语；</w:t>
      </w:r>
    </w:p>
    <w:p>
      <w:pPr>
        <w:pStyle w:val="ListParagraph"/>
        <w:numPr>
          <w:ilvl w:val="0"/>
          <w:numId w:val="6"/>
        </w:numPr>
        <w:tabs>
          <w:tab w:pos="1258" w:val="left" w:leader="none"/>
        </w:tabs>
        <w:spacing w:line="240" w:lineRule="auto" w:before="36" w:after="0"/>
        <w:ind w:left="1257" w:right="0" w:hanging="720"/>
        <w:jc w:val="left"/>
        <w:rPr>
          <w:sz w:val="21"/>
        </w:rPr>
      </w:pPr>
      <w:r>
        <w:rPr>
          <w:sz w:val="21"/>
        </w:rPr>
        <w:t>双眼或单眼失明；</w:t>
      </w:r>
    </w:p>
    <w:p>
      <w:pPr>
        <w:pStyle w:val="ListParagraph"/>
        <w:numPr>
          <w:ilvl w:val="0"/>
          <w:numId w:val="6"/>
        </w:numPr>
        <w:tabs>
          <w:tab w:pos="1258" w:val="left" w:leader="none"/>
        </w:tabs>
        <w:spacing w:line="240" w:lineRule="auto" w:before="36" w:after="0"/>
        <w:ind w:left="1257" w:right="0" w:hanging="720"/>
        <w:jc w:val="left"/>
        <w:rPr>
          <w:sz w:val="21"/>
        </w:rPr>
      </w:pPr>
      <w:r>
        <w:rPr>
          <w:sz w:val="21"/>
        </w:rPr>
        <w:t>脑积水。</w:t>
      </w:r>
    </w:p>
    <w:p>
      <w:pPr>
        <w:pStyle w:val="BodyText"/>
        <w:spacing w:before="8"/>
        <w:rPr>
          <w:sz w:val="26"/>
        </w:rPr>
      </w:pPr>
    </w:p>
    <w:p>
      <w:pPr>
        <w:pStyle w:val="BodyText"/>
        <w:ind w:left="477"/>
      </w:pPr>
      <w:r>
        <w:rPr>
          <w:rFonts w:ascii="Times New Roman" w:eastAsia="Times New Roman"/>
        </w:rPr>
        <w:t>2</w:t>
      </w:r>
      <w:r>
        <w:rPr/>
        <w:t>、 幼年类风湿性关节炎-斯蒂尔病</w:t>
      </w:r>
    </w:p>
    <w:p>
      <w:pPr>
        <w:pStyle w:val="BodyText"/>
        <w:spacing w:line="273" w:lineRule="auto" w:before="21"/>
        <w:ind w:left="475" w:right="267" w:firstLine="420"/>
        <w:jc w:val="both"/>
      </w:pPr>
      <w:r>
        <w:rPr/>
        <w:t>指小儿时期的一种常见的结缔组织病，可有持续高热，慢性关节炎，皮肤、肌肉、肝、脾和淋巴结受累，类风湿因子阳性；是一种或一组以慢性滑囊炎和一些关节外症状为表现的疾病。此病症须由本公司认可的专科医生确诊并确已接受关节置换手术治疗。</w:t>
      </w:r>
    </w:p>
    <w:p>
      <w:pPr>
        <w:pStyle w:val="BodyText"/>
        <w:spacing w:before="5"/>
        <w:rPr>
          <w:sz w:val="24"/>
        </w:rPr>
      </w:pPr>
    </w:p>
    <w:p>
      <w:pPr>
        <w:pStyle w:val="BodyText"/>
        <w:ind w:left="477"/>
      </w:pPr>
      <w:r>
        <w:rPr>
          <w:rFonts w:ascii="Times New Roman" w:eastAsia="Times New Roman"/>
        </w:rPr>
        <w:t>3</w:t>
      </w:r>
      <w:r>
        <w:rPr/>
        <w:t>、 严重1型糖尿病（童年发病型糖尿病）</w:t>
      </w:r>
    </w:p>
    <w:p>
      <w:pPr>
        <w:pStyle w:val="BodyText"/>
        <w:spacing w:line="273" w:lineRule="auto" w:before="20"/>
        <w:ind w:left="475" w:right="220" w:firstLine="420"/>
        <w:jc w:val="both"/>
      </w:pPr>
      <w:r>
        <w:rPr/>
        <w:t>严重的胰岛素缺乏和依赖外源性胰岛素以防止酮症酸中毒和保全生命。此病症须由</w:t>
      </w:r>
      <w:r>
        <w:rPr>
          <w:spacing w:val="-3"/>
        </w:rPr>
        <w:t>本公司认可的专科医生确诊并应用胰岛素治疗六个月以上。</w:t>
      </w:r>
      <w:r>
        <w:rPr/>
        <w:t>2型糖尿病和继发性糖尿病不在此保障范围内。</w:t>
      </w:r>
    </w:p>
    <w:p>
      <w:pPr>
        <w:pStyle w:val="BodyText"/>
        <w:spacing w:before="4"/>
        <w:rPr>
          <w:sz w:val="24"/>
        </w:rPr>
      </w:pPr>
    </w:p>
    <w:p>
      <w:pPr>
        <w:pStyle w:val="BodyText"/>
        <w:spacing w:before="1"/>
        <w:ind w:left="477"/>
      </w:pPr>
      <w:r>
        <w:rPr>
          <w:rFonts w:ascii="Times New Roman" w:eastAsia="Times New Roman"/>
        </w:rPr>
        <w:t>4</w:t>
      </w:r>
      <w:r>
        <w:rPr/>
        <w:t>、 由输血或输液而感染艾滋病病毒</w:t>
      </w:r>
    </w:p>
    <w:p>
      <w:pPr>
        <w:pStyle w:val="BodyText"/>
        <w:spacing w:line="264" w:lineRule="auto" w:before="21"/>
        <w:ind w:left="475" w:right="219" w:firstLine="420"/>
        <w:jc w:val="both"/>
      </w:pPr>
      <w:r>
        <w:rPr>
          <w:spacing w:val="-4"/>
        </w:rPr>
        <w:t>艾滋病病毒：获得性免疫力缺乏综合征病毒</w:t>
      </w:r>
      <w:r>
        <w:rPr>
          <w:rFonts w:ascii="Times New Roman" w:eastAsia="Times New Roman"/>
        </w:rPr>
        <w:t>(HIV)</w:t>
      </w:r>
      <w:r>
        <w:rPr>
          <w:spacing w:val="-5"/>
        </w:rPr>
        <w:t>的简称。获得性免疫力缺乏综合征的定义应按世界卫生组织制定的定义为准，如在血液样本中发现获得性免疫力缺乏综合征病毒或其抗体，则可认定为感染艾滋病或艾滋病病毒。此病症须同时满足以下条件：</w:t>
      </w:r>
    </w:p>
    <w:p>
      <w:pPr>
        <w:pStyle w:val="ListParagraph"/>
        <w:numPr>
          <w:ilvl w:val="0"/>
          <w:numId w:val="7"/>
        </w:numPr>
        <w:tabs>
          <w:tab w:pos="1258" w:val="left" w:leader="none"/>
        </w:tabs>
        <w:spacing w:line="273" w:lineRule="auto" w:before="15" w:after="0"/>
        <w:ind w:left="1257" w:right="219" w:hanging="720"/>
        <w:jc w:val="left"/>
        <w:rPr>
          <w:sz w:val="21"/>
        </w:rPr>
      </w:pPr>
      <w:r>
        <w:rPr>
          <w:spacing w:val="-3"/>
          <w:sz w:val="21"/>
        </w:rPr>
        <w:t>被保险人在本附加合同生效</w:t>
      </w:r>
      <w:r>
        <w:rPr>
          <w:sz w:val="21"/>
        </w:rPr>
        <w:t>（或复效</w:t>
      </w:r>
      <w:r>
        <w:rPr>
          <w:spacing w:val="-35"/>
          <w:sz w:val="21"/>
        </w:rPr>
        <w:t>）</w:t>
      </w:r>
      <w:r>
        <w:rPr>
          <w:spacing w:val="-5"/>
          <w:sz w:val="21"/>
        </w:rPr>
        <w:t>一百八十天后，在中华人民共和国司法管辖区范围内因医疗而接受输血或输液，并因该次输血或输液而感染上述病毒；</w:t>
      </w:r>
    </w:p>
    <w:p>
      <w:pPr>
        <w:pStyle w:val="ListParagraph"/>
        <w:numPr>
          <w:ilvl w:val="0"/>
          <w:numId w:val="7"/>
        </w:numPr>
        <w:tabs>
          <w:tab w:pos="1258" w:val="left" w:leader="none"/>
        </w:tabs>
        <w:spacing w:line="240" w:lineRule="auto" w:before="7" w:after="0"/>
        <w:ind w:left="1257" w:right="0" w:hanging="720"/>
        <w:jc w:val="left"/>
        <w:rPr>
          <w:sz w:val="21"/>
        </w:rPr>
      </w:pPr>
      <w:r>
        <w:rPr>
          <w:sz w:val="21"/>
        </w:rPr>
        <w:t>医疗机构确认该项输血或输液医疗行为是在该医疗机构进行的；</w:t>
      </w:r>
    </w:p>
    <w:p>
      <w:pPr>
        <w:pStyle w:val="ListParagraph"/>
        <w:numPr>
          <w:ilvl w:val="0"/>
          <w:numId w:val="7"/>
        </w:numPr>
        <w:tabs>
          <w:tab w:pos="1258" w:val="left" w:leader="none"/>
        </w:tabs>
        <w:spacing w:line="240" w:lineRule="auto" w:before="37" w:after="0"/>
        <w:ind w:left="1257" w:right="0" w:hanging="720"/>
        <w:jc w:val="left"/>
        <w:rPr>
          <w:sz w:val="21"/>
        </w:rPr>
      </w:pPr>
      <w:r>
        <w:rPr>
          <w:sz w:val="21"/>
        </w:rPr>
        <w:t>被保险人并非地中海贫血患者、血友病或再生障碍性贫血患者；</w:t>
      </w:r>
    </w:p>
    <w:p>
      <w:pPr>
        <w:pStyle w:val="ListParagraph"/>
        <w:numPr>
          <w:ilvl w:val="0"/>
          <w:numId w:val="7"/>
        </w:numPr>
        <w:tabs>
          <w:tab w:pos="1258" w:val="left" w:leader="none"/>
        </w:tabs>
        <w:spacing w:line="240" w:lineRule="auto" w:before="37" w:after="0"/>
        <w:ind w:left="1257" w:right="0" w:hanging="720"/>
        <w:jc w:val="left"/>
        <w:rPr>
          <w:sz w:val="21"/>
        </w:rPr>
      </w:pPr>
      <w:r>
        <w:rPr>
          <w:sz w:val="21"/>
        </w:rPr>
        <w:t>医疗机构为本公司指定或认可的医疗机构。</w:t>
      </w:r>
    </w:p>
    <w:p>
      <w:pPr>
        <w:pStyle w:val="BodyText"/>
        <w:spacing w:before="9"/>
        <w:rPr>
          <w:sz w:val="14"/>
        </w:rPr>
      </w:pPr>
    </w:p>
    <w:p>
      <w:pPr>
        <w:pStyle w:val="BodyText"/>
        <w:spacing w:line="544" w:lineRule="auto" w:before="1"/>
        <w:ind w:left="476" w:right="218" w:firstLine="420"/>
        <w:jc w:val="both"/>
      </w:pPr>
      <w:r>
        <w:rPr/>
        <w:t>如果感染前可能治愈、或者被保险人在感染前选择不接受有效的疫苗，保险公司不承担给付保险金的责任。</w:t>
      </w:r>
    </w:p>
    <w:p>
      <w:pPr>
        <w:spacing w:after="0" w:line="544" w:lineRule="auto"/>
        <w:jc w:val="both"/>
        <w:sectPr>
          <w:type w:val="continuous"/>
          <w:pgSz w:w="11910" w:h="16840"/>
          <w:pgMar w:top="1260" w:bottom="1180" w:left="1680" w:right="1500"/>
        </w:sectPr>
      </w:pPr>
    </w:p>
    <w:p>
      <w:pPr>
        <w:pStyle w:val="BodyText"/>
        <w:rPr>
          <w:sz w:val="20"/>
        </w:rPr>
      </w:pPr>
    </w:p>
    <w:p>
      <w:pPr>
        <w:pStyle w:val="BodyText"/>
        <w:spacing w:before="184"/>
        <w:ind w:left="477"/>
      </w:pPr>
      <w:r>
        <w:rPr>
          <w:rFonts w:ascii="Times New Roman" w:eastAsia="Times New Roman"/>
        </w:rPr>
        <w:t>5</w:t>
      </w:r>
      <w:r>
        <w:rPr/>
        <w:t>、 恶性肿瘤</w:t>
      </w:r>
    </w:p>
    <w:p>
      <w:pPr>
        <w:pStyle w:val="BodyText"/>
        <w:spacing w:line="273" w:lineRule="auto" w:before="21"/>
        <w:ind w:left="476" w:right="220" w:firstLine="420"/>
        <w:jc w:val="both"/>
      </w:pPr>
      <w:r>
        <w:rPr/>
        <w:t>恶性肿瘤包括白血病(慢性淋巴细胞白血病除外)、淋巴瘤和何杰金病。恶性肿瘤的特征为恶性肿瘤细胞不受控制的增生和蔓延并侵犯到正常组织。但下述情况除外：</w:t>
      </w:r>
    </w:p>
    <w:p>
      <w:pPr>
        <w:pStyle w:val="ListParagraph"/>
        <w:numPr>
          <w:ilvl w:val="0"/>
          <w:numId w:val="8"/>
        </w:numPr>
        <w:tabs>
          <w:tab w:pos="1258" w:val="left" w:leader="none"/>
        </w:tabs>
        <w:spacing w:line="240" w:lineRule="auto" w:before="7" w:after="0"/>
        <w:ind w:left="1257" w:right="0" w:hanging="720"/>
        <w:jc w:val="left"/>
        <w:rPr>
          <w:sz w:val="21"/>
        </w:rPr>
      </w:pPr>
      <w:r>
        <w:rPr>
          <w:spacing w:val="-10"/>
          <w:sz w:val="21"/>
        </w:rPr>
        <w:t>原位癌(包括子宫颈萎缩，子宫颈癌分期 </w:t>
      </w:r>
      <w:r>
        <w:rPr>
          <w:sz w:val="21"/>
        </w:rPr>
        <w:t>CIN</w:t>
      </w:r>
      <w:r>
        <w:rPr>
          <w:spacing w:val="-15"/>
          <w:sz w:val="21"/>
        </w:rPr>
        <w:t> 第一，二，三)或是癌前的细胞病变；</w:t>
      </w:r>
    </w:p>
    <w:p>
      <w:pPr>
        <w:pStyle w:val="ListParagraph"/>
        <w:numPr>
          <w:ilvl w:val="0"/>
          <w:numId w:val="8"/>
        </w:numPr>
        <w:tabs>
          <w:tab w:pos="1258" w:val="left" w:leader="none"/>
        </w:tabs>
        <w:spacing w:line="240" w:lineRule="auto" w:before="37" w:after="0"/>
        <w:ind w:left="1257" w:right="0" w:hanging="720"/>
        <w:jc w:val="left"/>
        <w:rPr>
          <w:sz w:val="21"/>
        </w:rPr>
      </w:pPr>
      <w:r>
        <w:rPr>
          <w:spacing w:val="-6"/>
          <w:sz w:val="21"/>
        </w:rPr>
        <w:t>病理报告的厚度小于 </w:t>
      </w:r>
      <w:r>
        <w:rPr>
          <w:sz w:val="21"/>
        </w:rPr>
        <w:t>1.5mm</w:t>
      </w:r>
      <w:r>
        <w:rPr>
          <w:spacing w:val="-17"/>
          <w:sz w:val="21"/>
        </w:rPr>
        <w:t> 或侵犯小于 </w:t>
      </w:r>
      <w:r>
        <w:rPr>
          <w:sz w:val="21"/>
        </w:rPr>
        <w:t>Clark</w:t>
      </w:r>
      <w:r>
        <w:rPr>
          <w:spacing w:val="-22"/>
          <w:sz w:val="21"/>
        </w:rPr>
        <w:t> 分级第 </w:t>
      </w:r>
      <w:r>
        <w:rPr>
          <w:sz w:val="21"/>
        </w:rPr>
        <w:t>3</w:t>
      </w:r>
      <w:r>
        <w:rPr>
          <w:spacing w:val="-8"/>
          <w:sz w:val="21"/>
        </w:rPr>
        <w:t> 级的恶黑色素瘤；</w:t>
      </w:r>
    </w:p>
    <w:p>
      <w:pPr>
        <w:pStyle w:val="ListParagraph"/>
        <w:numPr>
          <w:ilvl w:val="0"/>
          <w:numId w:val="8"/>
        </w:numPr>
        <w:tabs>
          <w:tab w:pos="1258" w:val="left" w:leader="none"/>
        </w:tabs>
        <w:spacing w:line="240" w:lineRule="auto" w:before="37" w:after="0"/>
        <w:ind w:left="1257" w:right="0" w:hanging="720"/>
        <w:jc w:val="left"/>
        <w:rPr>
          <w:sz w:val="21"/>
        </w:rPr>
      </w:pPr>
      <w:r>
        <w:rPr>
          <w:sz w:val="21"/>
        </w:rPr>
        <w:t>所有的表皮角化症或是基底细胞皮肤癌；</w:t>
      </w:r>
    </w:p>
    <w:p>
      <w:pPr>
        <w:pStyle w:val="ListParagraph"/>
        <w:numPr>
          <w:ilvl w:val="0"/>
          <w:numId w:val="8"/>
        </w:numPr>
        <w:tabs>
          <w:tab w:pos="1258" w:val="left" w:leader="none"/>
        </w:tabs>
        <w:spacing w:line="240" w:lineRule="auto" w:before="37" w:after="0"/>
        <w:ind w:left="1257" w:right="0" w:hanging="720"/>
        <w:jc w:val="left"/>
        <w:rPr>
          <w:sz w:val="21"/>
        </w:rPr>
      </w:pPr>
      <w:r>
        <w:rPr>
          <w:sz w:val="21"/>
        </w:rPr>
        <w:t>除已蔓延到其它器官的癌症外，所有的鳞状细胞皮肤癌；</w:t>
      </w:r>
    </w:p>
    <w:p>
      <w:pPr>
        <w:pStyle w:val="ListParagraph"/>
        <w:numPr>
          <w:ilvl w:val="0"/>
          <w:numId w:val="8"/>
        </w:numPr>
        <w:tabs>
          <w:tab w:pos="1258" w:val="left" w:leader="none"/>
        </w:tabs>
        <w:spacing w:line="240" w:lineRule="auto" w:before="37" w:after="0"/>
        <w:ind w:left="1257" w:right="0" w:hanging="720"/>
        <w:jc w:val="left"/>
        <w:rPr>
          <w:sz w:val="21"/>
        </w:rPr>
      </w:pPr>
      <w:r>
        <w:rPr>
          <w:spacing w:val="-6"/>
          <w:sz w:val="21"/>
        </w:rPr>
        <w:t>卡波希氏肉瘤和其它与 </w:t>
      </w:r>
      <w:r>
        <w:rPr>
          <w:sz w:val="21"/>
        </w:rPr>
        <w:t>HIV</w:t>
      </w:r>
      <w:r>
        <w:rPr>
          <w:spacing w:val="-23"/>
          <w:sz w:val="21"/>
        </w:rPr>
        <w:t> 感染或与 </w:t>
      </w:r>
      <w:r>
        <w:rPr>
          <w:sz w:val="21"/>
        </w:rPr>
        <w:t>AIDS(爱滋病)有关的癌症；</w:t>
      </w:r>
    </w:p>
    <w:p>
      <w:pPr>
        <w:pStyle w:val="ListParagraph"/>
        <w:numPr>
          <w:ilvl w:val="0"/>
          <w:numId w:val="8"/>
        </w:numPr>
        <w:tabs>
          <w:tab w:pos="1258" w:val="left" w:leader="none"/>
        </w:tabs>
        <w:spacing w:line="273" w:lineRule="auto" w:before="37" w:after="0"/>
        <w:ind w:left="1257" w:right="220" w:hanging="720"/>
        <w:jc w:val="left"/>
        <w:rPr>
          <w:sz w:val="21"/>
        </w:rPr>
      </w:pPr>
      <w:r>
        <w:rPr>
          <w:spacing w:val="-5"/>
          <w:sz w:val="21"/>
        </w:rPr>
        <w:t>前列腺癌病理报告为癌症分期 </w:t>
      </w:r>
      <w:r>
        <w:rPr>
          <w:sz w:val="21"/>
        </w:rPr>
        <w:t>TNM</w:t>
      </w:r>
      <w:r>
        <w:rPr>
          <w:spacing w:val="-14"/>
          <w:sz w:val="21"/>
        </w:rPr>
        <w:t> 第一期(包括癌症分期 </w:t>
      </w:r>
      <w:r>
        <w:rPr>
          <w:sz w:val="21"/>
        </w:rPr>
        <w:t>TNM</w:t>
      </w:r>
      <w:r>
        <w:rPr>
          <w:spacing w:val="-15"/>
          <w:sz w:val="21"/>
        </w:rPr>
        <w:t> 第一期 </w:t>
      </w:r>
      <w:r>
        <w:rPr>
          <w:sz w:val="21"/>
        </w:rPr>
        <w:t>a</w:t>
      </w:r>
      <w:r>
        <w:rPr>
          <w:spacing w:val="-12"/>
          <w:sz w:val="21"/>
        </w:rPr>
        <w:t> 和</w:t>
      </w:r>
      <w:r>
        <w:rPr>
          <w:sz w:val="21"/>
        </w:rPr>
        <w:t>b</w:t>
      </w:r>
      <w:r>
        <w:rPr>
          <w:spacing w:val="-22"/>
          <w:sz w:val="21"/>
        </w:rPr>
        <w:t> 或是</w:t>
      </w:r>
      <w:r>
        <w:rPr>
          <w:spacing w:val="-1"/>
          <w:sz w:val="21"/>
        </w:rPr>
        <w:t>其它相等或较轻微的分期)。</w:t>
      </w:r>
    </w:p>
    <w:p>
      <w:pPr>
        <w:pStyle w:val="BodyText"/>
        <w:spacing w:line="273" w:lineRule="auto" w:before="8"/>
        <w:ind w:left="476" w:right="114" w:firstLine="420"/>
      </w:pPr>
      <w:r>
        <w:rPr/>
        <w:t>恶性肿瘤的诊断必须是由专门从事病理解剖或病理诊断的医生依据病理证据做出的</w:t>
      </w:r>
      <w:r>
        <w:rPr>
          <w:spacing w:val="-6"/>
        </w:rPr>
        <w:t>符合上述定义的诊断。病理证据是基于对固定组织或血液系统标本所作的阳性病理报告， 是以对可疑组织的细胞结构和形态检验得出的结果为标准，任何组织涂片检查和穿刺活检结果不作为病理证据。</w:t>
      </w:r>
    </w:p>
    <w:p>
      <w:pPr>
        <w:pStyle w:val="BodyText"/>
        <w:spacing w:before="5"/>
        <w:rPr>
          <w:sz w:val="24"/>
        </w:rPr>
      </w:pPr>
    </w:p>
    <w:p>
      <w:pPr>
        <w:pStyle w:val="BodyText"/>
        <w:ind w:left="477"/>
      </w:pPr>
      <w:r>
        <w:rPr>
          <w:rFonts w:ascii="Times New Roman" w:eastAsia="Times New Roman"/>
        </w:rPr>
        <w:t>6</w:t>
      </w:r>
      <w:r>
        <w:rPr/>
        <w:t>、 严重脑损伤</w:t>
      </w:r>
    </w:p>
    <w:p>
      <w:pPr>
        <w:pStyle w:val="BodyText"/>
        <w:spacing w:line="273" w:lineRule="auto" w:before="20"/>
        <w:ind w:left="476" w:right="265" w:firstLine="420"/>
        <w:jc w:val="both"/>
      </w:pPr>
      <w:r>
        <w:rPr/>
        <w:t>因意外伤害事故引起的大脑损伤造成神经缺陷，导致永久性的脑神经功能障碍。所谓永久性功能障碍是指事故发生六个月后，经本公司认可的神经专科医生认定无法独立完成三项以上基本日常生活活动。</w:t>
      </w:r>
    </w:p>
    <w:p>
      <w:pPr>
        <w:pStyle w:val="BodyText"/>
        <w:spacing w:before="4"/>
        <w:rPr>
          <w:sz w:val="24"/>
        </w:rPr>
      </w:pPr>
    </w:p>
    <w:p>
      <w:pPr>
        <w:pStyle w:val="BodyText"/>
        <w:spacing w:before="1"/>
        <w:ind w:left="477"/>
      </w:pPr>
      <w:r>
        <w:rPr>
          <w:rFonts w:ascii="Times New Roman" w:eastAsia="Times New Roman"/>
        </w:rPr>
        <w:t>7</w:t>
      </w:r>
      <w:r>
        <w:rPr/>
        <w:t>、 脑部严重良性肿瘤</w:t>
      </w:r>
    </w:p>
    <w:p>
      <w:pPr>
        <w:pStyle w:val="BodyText"/>
        <w:spacing w:line="273" w:lineRule="auto" w:before="21"/>
        <w:ind w:left="476" w:right="219" w:firstLine="420"/>
        <w:jc w:val="both"/>
      </w:pPr>
      <w:r>
        <w:rPr/>
        <w:t>指由本公司认可的神经专科医生确认的危及生命的非恶性脑肿瘤，引起颅内压的增</w:t>
      </w:r>
      <w:r>
        <w:rPr>
          <w:spacing w:val="-9"/>
        </w:rPr>
        <w:t>高，导致视神经乳头水肿、意识障碍、癫痫发作和感觉功能损害等症状,且须经开颅手术后病理证实。囊肿、肉芽肿、脑动静脉畸形、脑动脉瘤、垂体腺瘤、脑膜瘤不在此保障</w:t>
      </w:r>
      <w:r>
        <w:rPr>
          <w:spacing w:val="-1"/>
        </w:rPr>
        <w:t>范围以内。肿瘤必须有影像学检查证实，例如CT或MRI</w:t>
      </w:r>
      <w:r>
        <w:rPr/>
        <w:t>。</w:t>
      </w:r>
    </w:p>
    <w:p>
      <w:pPr>
        <w:pStyle w:val="BodyText"/>
        <w:spacing w:before="5"/>
        <w:rPr>
          <w:sz w:val="24"/>
        </w:rPr>
      </w:pPr>
    </w:p>
    <w:p>
      <w:pPr>
        <w:pStyle w:val="BodyText"/>
        <w:ind w:left="477"/>
      </w:pPr>
      <w:r>
        <w:rPr>
          <w:rFonts w:ascii="Times New Roman" w:eastAsia="Times New Roman"/>
        </w:rPr>
        <w:t>8</w:t>
      </w:r>
      <w:r>
        <w:rPr/>
        <w:t>、 暴发性肝炎</w:t>
      </w:r>
    </w:p>
    <w:p>
      <w:pPr>
        <w:pStyle w:val="BodyText"/>
        <w:spacing w:line="273" w:lineRule="auto" w:before="21"/>
        <w:ind w:left="476" w:right="250" w:firstLine="420"/>
        <w:jc w:val="both"/>
      </w:pPr>
      <w:r>
        <w:rPr>
          <w:spacing w:val="-2"/>
        </w:rPr>
        <w:t>指肝炎病毒感染导致大部分肝脏坏死并失去功能</w:t>
      </w:r>
      <w:r>
        <w:rPr/>
        <w:t>（自行服毒或酒精中毒者除外</w:t>
      </w:r>
      <w:r>
        <w:rPr>
          <w:spacing w:val="-68"/>
        </w:rPr>
        <w:t>）</w:t>
      </w:r>
      <w:r>
        <w:rPr>
          <w:spacing w:val="-50"/>
        </w:rPr>
        <w:t>，其</w:t>
      </w:r>
      <w:r>
        <w:rPr/>
        <w:t>诊断必须同时具备下列条件：肝脏急剧缩小；肝细胞大量坏死；肝功能迅速恶化；肝性</w:t>
      </w:r>
      <w:r>
        <w:rPr>
          <w:spacing w:val="-1"/>
        </w:rPr>
        <w:t>脑病;严重黄疸。</w:t>
      </w:r>
    </w:p>
    <w:p>
      <w:pPr>
        <w:pStyle w:val="BodyText"/>
        <w:spacing w:before="5"/>
        <w:rPr>
          <w:sz w:val="24"/>
        </w:rPr>
      </w:pPr>
    </w:p>
    <w:p>
      <w:pPr>
        <w:pStyle w:val="BodyText"/>
        <w:ind w:left="477"/>
      </w:pPr>
      <w:r>
        <w:rPr>
          <w:rFonts w:ascii="Times New Roman" w:eastAsia="Times New Roman"/>
        </w:rPr>
        <w:t>9</w:t>
      </w:r>
      <w:r>
        <w:rPr/>
        <w:t>、 严重烧伤</w:t>
      </w:r>
    </w:p>
    <w:p>
      <w:pPr>
        <w:pStyle w:val="BodyText"/>
        <w:spacing w:line="273" w:lineRule="auto" w:before="20"/>
        <w:ind w:left="476" w:right="250" w:firstLine="420"/>
        <w:jc w:val="both"/>
      </w:pPr>
      <w:r>
        <w:rPr>
          <w:spacing w:val="-2"/>
        </w:rPr>
        <w:t>指全身皮肤百分之二十以上受到Ⅲ度烧伤</w:t>
      </w:r>
      <w:r>
        <w:rPr/>
        <w:t>（计算方法根据烧伤面积中国九分法</w:t>
      </w:r>
      <w:r>
        <w:rPr>
          <w:spacing w:val="-105"/>
        </w:rPr>
        <w:t>）</w:t>
      </w:r>
      <w:r>
        <w:rPr>
          <w:spacing w:val="-31"/>
        </w:rPr>
        <w:t>。但</w:t>
      </w:r>
      <w:r>
        <w:rPr/>
        <w:t>若烧伤为被保险人自发性或蓄意行为所致，不论当时清醒与否，皆不在本附加合同保障范围之内。</w:t>
      </w:r>
    </w:p>
    <w:p>
      <w:pPr>
        <w:pStyle w:val="BodyText"/>
        <w:spacing w:before="4"/>
        <w:rPr>
          <w:sz w:val="24"/>
        </w:rPr>
      </w:pPr>
    </w:p>
    <w:p>
      <w:pPr>
        <w:pStyle w:val="BodyText"/>
        <w:spacing w:before="1"/>
        <w:ind w:left="477"/>
      </w:pPr>
      <w:r>
        <w:rPr>
          <w:rFonts w:ascii="Times New Roman" w:eastAsia="Times New Roman"/>
        </w:rPr>
        <w:t>10</w:t>
      </w:r>
      <w:r>
        <w:rPr/>
        <w:t>、重要器官移植手术</w:t>
      </w:r>
    </w:p>
    <w:p>
      <w:pPr>
        <w:pStyle w:val="BodyText"/>
        <w:spacing w:line="273" w:lineRule="auto" w:before="21"/>
        <w:ind w:left="476" w:right="265" w:firstLine="420"/>
        <w:jc w:val="both"/>
      </w:pPr>
      <w:r>
        <w:rPr/>
        <w:t>指被保险人作为受体确已接受心脏、肺脏、肝脏、胰腺、肾脏或骨髓移植手术，其它器官或组织的移植手术不包括在内。</w:t>
      </w:r>
    </w:p>
    <w:p>
      <w:pPr>
        <w:pStyle w:val="BodyText"/>
        <w:spacing w:before="5"/>
        <w:rPr>
          <w:sz w:val="24"/>
        </w:rPr>
      </w:pPr>
    </w:p>
    <w:p>
      <w:pPr>
        <w:pStyle w:val="BodyText"/>
        <w:ind w:left="477"/>
      </w:pPr>
      <w:r>
        <w:rPr>
          <w:rFonts w:ascii="Times New Roman" w:eastAsia="Times New Roman"/>
        </w:rPr>
        <w:t>11</w:t>
      </w:r>
      <w:r>
        <w:rPr/>
        <w:t>、主动脉手术</w:t>
      </w:r>
    </w:p>
    <w:p>
      <w:pPr>
        <w:pStyle w:val="BodyText"/>
        <w:spacing w:before="21"/>
        <w:ind w:left="896"/>
      </w:pPr>
      <w:r>
        <w:rPr/>
        <w:t>指因主动脉疾病而接受主动脉切除及主动脉置换移植手术，但不包括胸、腹部的主</w:t>
      </w:r>
    </w:p>
    <w:p>
      <w:pPr>
        <w:spacing w:after="0"/>
        <w:sectPr>
          <w:pgSz w:w="11910" w:h="16840"/>
          <w:pgMar w:header="896" w:footer="1008" w:top="1280" w:bottom="1200" w:left="1680" w:right="1500"/>
        </w:sectPr>
      </w:pPr>
    </w:p>
    <w:p>
      <w:pPr>
        <w:pStyle w:val="BodyText"/>
        <w:spacing w:before="133"/>
        <w:ind w:left="476"/>
      </w:pPr>
      <w:r>
        <w:rPr/>
        <w:t>动脉分支血管。</w:t>
      </w:r>
    </w:p>
    <w:p>
      <w:pPr>
        <w:pStyle w:val="BodyText"/>
        <w:spacing w:before="8"/>
        <w:rPr>
          <w:sz w:val="26"/>
        </w:rPr>
      </w:pPr>
    </w:p>
    <w:p>
      <w:pPr>
        <w:pStyle w:val="BodyText"/>
        <w:ind w:left="477"/>
      </w:pPr>
      <w:r>
        <w:rPr>
          <w:rFonts w:ascii="Times New Roman" w:eastAsia="Times New Roman"/>
        </w:rPr>
        <w:t>12</w:t>
      </w:r>
      <w:r>
        <w:rPr/>
        <w:t>、严重再生障碍性贫血</w:t>
      </w:r>
    </w:p>
    <w:p>
      <w:pPr>
        <w:pStyle w:val="BodyText"/>
        <w:spacing w:line="273" w:lineRule="auto" w:before="21"/>
        <w:ind w:left="476" w:right="167" w:firstLine="420"/>
        <w:jc w:val="both"/>
      </w:pPr>
      <w:r>
        <w:rPr/>
        <w:t>指因慢性永久完全性的骨髓造血功能衰竭而导致的以全血细胞减少为主要表现的一组综合征，因药物或放射线导致者除外。须经骨髓检查确诊为再生障碍性贫血，且确已接受下列至少一项的治疗：</w:t>
      </w:r>
    </w:p>
    <w:p>
      <w:pPr>
        <w:pStyle w:val="ListParagraph"/>
        <w:numPr>
          <w:ilvl w:val="0"/>
          <w:numId w:val="9"/>
        </w:numPr>
        <w:tabs>
          <w:tab w:pos="1258" w:val="left" w:leader="none"/>
        </w:tabs>
        <w:spacing w:line="240" w:lineRule="auto" w:before="7" w:after="0"/>
        <w:ind w:left="1257" w:right="0" w:hanging="720"/>
        <w:jc w:val="left"/>
        <w:rPr>
          <w:sz w:val="21"/>
        </w:rPr>
      </w:pPr>
      <w:r>
        <w:rPr>
          <w:sz w:val="21"/>
        </w:rPr>
        <w:t>定期输血（历时九十天以上</w:t>
      </w:r>
      <w:r>
        <w:rPr>
          <w:spacing w:val="-105"/>
          <w:sz w:val="21"/>
        </w:rPr>
        <w:t>）</w:t>
      </w:r>
      <w:r>
        <w:rPr>
          <w:sz w:val="21"/>
        </w:rPr>
        <w:t>；</w:t>
      </w:r>
    </w:p>
    <w:p>
      <w:pPr>
        <w:pStyle w:val="ListParagraph"/>
        <w:numPr>
          <w:ilvl w:val="0"/>
          <w:numId w:val="9"/>
        </w:numPr>
        <w:tabs>
          <w:tab w:pos="1258" w:val="left" w:leader="none"/>
        </w:tabs>
        <w:spacing w:line="240" w:lineRule="auto" w:before="36" w:after="0"/>
        <w:ind w:left="1257" w:right="0" w:hanging="720"/>
        <w:jc w:val="left"/>
        <w:rPr>
          <w:sz w:val="21"/>
        </w:rPr>
      </w:pPr>
      <w:r>
        <w:rPr>
          <w:sz w:val="21"/>
        </w:rPr>
        <w:t>骨髓刺激性药物（历时九十天以上</w:t>
      </w:r>
      <w:r>
        <w:rPr>
          <w:spacing w:val="-106"/>
          <w:sz w:val="21"/>
        </w:rPr>
        <w:t>）</w:t>
      </w:r>
      <w:r>
        <w:rPr>
          <w:sz w:val="21"/>
        </w:rPr>
        <w:t>；</w:t>
      </w:r>
    </w:p>
    <w:p>
      <w:pPr>
        <w:pStyle w:val="ListParagraph"/>
        <w:numPr>
          <w:ilvl w:val="0"/>
          <w:numId w:val="9"/>
        </w:numPr>
        <w:tabs>
          <w:tab w:pos="1258" w:val="left" w:leader="none"/>
        </w:tabs>
        <w:spacing w:line="240" w:lineRule="auto" w:before="36" w:after="0"/>
        <w:ind w:left="1257" w:right="0" w:hanging="720"/>
        <w:jc w:val="left"/>
        <w:rPr>
          <w:sz w:val="21"/>
        </w:rPr>
      </w:pPr>
      <w:r>
        <w:rPr>
          <w:sz w:val="21"/>
        </w:rPr>
        <w:t>免疫抑制剂（历时九十天以上</w:t>
      </w:r>
      <w:r>
        <w:rPr>
          <w:spacing w:val="-105"/>
          <w:sz w:val="21"/>
        </w:rPr>
        <w:t>）</w:t>
      </w:r>
      <w:r>
        <w:rPr>
          <w:sz w:val="21"/>
        </w:rPr>
        <w:t>；</w:t>
      </w:r>
    </w:p>
    <w:p>
      <w:pPr>
        <w:pStyle w:val="ListParagraph"/>
        <w:numPr>
          <w:ilvl w:val="0"/>
          <w:numId w:val="9"/>
        </w:numPr>
        <w:tabs>
          <w:tab w:pos="1258" w:val="left" w:leader="none"/>
        </w:tabs>
        <w:spacing w:line="240" w:lineRule="auto" w:before="36" w:after="0"/>
        <w:ind w:left="1257" w:right="0" w:hanging="720"/>
        <w:jc w:val="left"/>
        <w:rPr>
          <w:sz w:val="21"/>
        </w:rPr>
      </w:pPr>
      <w:r>
        <w:rPr>
          <w:sz w:val="21"/>
        </w:rPr>
        <w:t>骨髓移植。</w:t>
      </w:r>
    </w:p>
    <w:p>
      <w:pPr>
        <w:pStyle w:val="BodyText"/>
        <w:spacing w:before="8"/>
        <w:rPr>
          <w:sz w:val="26"/>
        </w:rPr>
      </w:pPr>
    </w:p>
    <w:p>
      <w:pPr>
        <w:pStyle w:val="BodyText"/>
        <w:ind w:left="477"/>
      </w:pPr>
      <w:r>
        <w:rPr>
          <w:rFonts w:ascii="Times New Roman" w:eastAsia="Times New Roman"/>
        </w:rPr>
        <w:t>13</w:t>
      </w:r>
      <w:r>
        <w:rPr/>
        <w:t>、慢性肾功能衰竭（尿毒症期）</w:t>
      </w:r>
    </w:p>
    <w:p>
      <w:pPr>
        <w:pStyle w:val="BodyText"/>
        <w:spacing w:before="21"/>
        <w:ind w:left="896"/>
      </w:pPr>
      <w:r>
        <w:rPr/>
        <w:t>指两个肾脏慢性且不可复原的功能衰竭，确已接受八周以上定期的透析治疗者。</w:t>
      </w:r>
    </w:p>
    <w:p>
      <w:pPr>
        <w:pStyle w:val="BodyText"/>
        <w:spacing w:before="9"/>
        <w:rPr>
          <w:sz w:val="26"/>
        </w:rPr>
      </w:pPr>
    </w:p>
    <w:p>
      <w:pPr>
        <w:pStyle w:val="BodyText"/>
        <w:ind w:left="477"/>
      </w:pPr>
      <w:r>
        <w:rPr>
          <w:rFonts w:ascii="Times New Roman" w:eastAsia="Times New Roman"/>
        </w:rPr>
        <w:t>14</w:t>
      </w:r>
      <w:r>
        <w:rPr/>
        <w:t>、听力丧失</w:t>
      </w:r>
    </w:p>
    <w:p>
      <w:pPr>
        <w:pStyle w:val="BodyText"/>
        <w:spacing w:line="273" w:lineRule="auto" w:before="21"/>
        <w:ind w:left="476" w:right="165" w:firstLine="420"/>
        <w:jc w:val="both"/>
      </w:pPr>
      <w:r>
        <w:rPr/>
        <w:t>因急性疾病或意外造成不可恢复性的双耳听力丧失，且持续一年以上。听力丧失须经本公司认可的专科医生检验证明，包括听力测定报告证实不能听到90分贝或以上的声音；及听觉诱发电位检查、声阻抗、纯音测听等检查均证实。</w:t>
      </w:r>
    </w:p>
    <w:p>
      <w:pPr>
        <w:pStyle w:val="BodyText"/>
        <w:spacing w:before="5"/>
        <w:rPr>
          <w:sz w:val="24"/>
        </w:rPr>
      </w:pPr>
    </w:p>
    <w:p>
      <w:pPr>
        <w:pStyle w:val="BodyText"/>
        <w:ind w:left="477"/>
      </w:pPr>
      <w:r>
        <w:rPr>
          <w:rFonts w:ascii="Times New Roman" w:eastAsia="Times New Roman"/>
        </w:rPr>
        <w:t>15</w:t>
      </w:r>
      <w:r>
        <w:rPr/>
        <w:t>、植物人</w:t>
      </w:r>
    </w:p>
    <w:p>
      <w:pPr>
        <w:pStyle w:val="BodyText"/>
        <w:spacing w:line="273" w:lineRule="auto" w:before="21"/>
        <w:ind w:left="476" w:right="165" w:firstLine="420"/>
        <w:jc w:val="both"/>
      </w:pPr>
      <w:r>
        <w:rPr/>
        <w:t>指经本公司认可的神经科医师确诊，大脑皮质全面坏死，意识完全丧失，但脑干仍保持完好，且此情况维持一个月以上。</w:t>
      </w:r>
    </w:p>
    <w:sectPr>
      <w:pgSz w:w="11910" w:h="16840"/>
      <w:pgMar w:header="896" w:footer="1008" w:top="128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11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739990pt;margin-top:780.579651pt;width:69.5pt;height:12pt;mso-position-horizontal-relative:page;mso-position-vertical-relative:page;z-index:-1180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pacing w:val="-12"/>
                    <w:sz w:val="18"/>
                  </w:rPr>
                  <w:t>页，共 </w:t>
                </w:r>
                <w:r>
                  <w:rPr>
                    <w:rFonts w:ascii="Times New Roman" w:eastAsia="Times New Roman"/>
                    <w:sz w:val="18"/>
                  </w:rPr>
                  <w:t>7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8"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1824" type="#_x0000_t202" filled="false" stroked="false">
          <v:textbox inset="0,0,0,0">
            <w:txbxContent>
              <w:p>
                <w:pPr>
                  <w:spacing w:line="360" w:lineRule="exact" w:before="0"/>
                  <w:ind w:left="20" w:right="0" w:firstLine="0"/>
                  <w:jc w:val="left"/>
                  <w:rPr>
                    <w:rFonts w:ascii="Microsoft JhengHei" w:eastAsia="Microsoft JhengHei" w:hint="eastAsia"/>
                    <w:b/>
                    <w:sz w:val="32"/>
                  </w:rPr>
                </w:pPr>
                <w:r>
                  <w:rPr>
                    <w:rFonts w:ascii="Microsoft JhengHei" w:eastAsia="Microsoft JhengHei" w:hint="eastAsia"/>
                    <w:b/>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257" w:hanging="721"/>
        <w:jc w:val="left"/>
      </w:pPr>
      <w:rPr>
        <w:rFonts w:hint="default" w:ascii="宋体" w:hAnsi="宋体" w:eastAsia="宋体" w:cs="宋体"/>
        <w:spacing w:val="-105"/>
        <w:w w:val="100"/>
        <w:sz w:val="21"/>
        <w:szCs w:val="21"/>
      </w:rPr>
    </w:lvl>
    <w:lvl w:ilvl="1">
      <w:start w:val="0"/>
      <w:numFmt w:val="bullet"/>
      <w:lvlText w:val="•"/>
      <w:lvlJc w:val="left"/>
      <w:pPr>
        <w:ind w:left="1996" w:hanging="721"/>
      </w:pPr>
      <w:rPr>
        <w:rFonts w:hint="default"/>
      </w:rPr>
    </w:lvl>
    <w:lvl w:ilvl="2">
      <w:start w:val="0"/>
      <w:numFmt w:val="bullet"/>
      <w:lvlText w:val="•"/>
      <w:lvlJc w:val="left"/>
      <w:pPr>
        <w:ind w:left="2732" w:hanging="721"/>
      </w:pPr>
      <w:rPr>
        <w:rFonts w:hint="default"/>
      </w:rPr>
    </w:lvl>
    <w:lvl w:ilvl="3">
      <w:start w:val="0"/>
      <w:numFmt w:val="bullet"/>
      <w:lvlText w:val="•"/>
      <w:lvlJc w:val="left"/>
      <w:pPr>
        <w:ind w:left="3469" w:hanging="721"/>
      </w:pPr>
      <w:rPr>
        <w:rFonts w:hint="default"/>
      </w:rPr>
    </w:lvl>
    <w:lvl w:ilvl="4">
      <w:start w:val="0"/>
      <w:numFmt w:val="bullet"/>
      <w:lvlText w:val="•"/>
      <w:lvlJc w:val="left"/>
      <w:pPr>
        <w:ind w:left="4205" w:hanging="721"/>
      </w:pPr>
      <w:rPr>
        <w:rFonts w:hint="default"/>
      </w:rPr>
    </w:lvl>
    <w:lvl w:ilvl="5">
      <w:start w:val="0"/>
      <w:numFmt w:val="bullet"/>
      <w:lvlText w:val="•"/>
      <w:lvlJc w:val="left"/>
      <w:pPr>
        <w:ind w:left="4942" w:hanging="721"/>
      </w:pPr>
      <w:rPr>
        <w:rFonts w:hint="default"/>
      </w:rPr>
    </w:lvl>
    <w:lvl w:ilvl="6">
      <w:start w:val="0"/>
      <w:numFmt w:val="bullet"/>
      <w:lvlText w:val="•"/>
      <w:lvlJc w:val="left"/>
      <w:pPr>
        <w:ind w:left="5678" w:hanging="721"/>
      </w:pPr>
      <w:rPr>
        <w:rFonts w:hint="default"/>
      </w:rPr>
    </w:lvl>
    <w:lvl w:ilvl="7">
      <w:start w:val="0"/>
      <w:numFmt w:val="bullet"/>
      <w:lvlText w:val="•"/>
      <w:lvlJc w:val="left"/>
      <w:pPr>
        <w:ind w:left="6415" w:hanging="721"/>
      </w:pPr>
      <w:rPr>
        <w:rFonts w:hint="default"/>
      </w:rPr>
    </w:lvl>
    <w:lvl w:ilvl="8">
      <w:start w:val="0"/>
      <w:numFmt w:val="bullet"/>
      <w:lvlText w:val="•"/>
      <w:lvlJc w:val="left"/>
      <w:pPr>
        <w:ind w:left="7151" w:hanging="721"/>
      </w:pPr>
      <w:rPr>
        <w:rFonts w:hint="default"/>
      </w:rPr>
    </w:lvl>
  </w:abstractNum>
  <w:abstractNum w:abstractNumId="7">
    <w:multiLevelType w:val="hybridMultilevel"/>
    <w:lvl w:ilvl="0">
      <w:start w:val="1"/>
      <w:numFmt w:val="decimal"/>
      <w:lvlText w:val="（%1）"/>
      <w:lvlJc w:val="left"/>
      <w:pPr>
        <w:ind w:left="1257" w:hanging="721"/>
        <w:jc w:val="left"/>
      </w:pPr>
      <w:rPr>
        <w:rFonts w:hint="default" w:ascii="宋体" w:hAnsi="宋体" w:eastAsia="宋体" w:cs="宋体"/>
        <w:spacing w:val="-70"/>
        <w:w w:val="100"/>
        <w:sz w:val="21"/>
        <w:szCs w:val="21"/>
      </w:rPr>
    </w:lvl>
    <w:lvl w:ilvl="1">
      <w:start w:val="0"/>
      <w:numFmt w:val="bullet"/>
      <w:lvlText w:val="•"/>
      <w:lvlJc w:val="left"/>
      <w:pPr>
        <w:ind w:left="2006" w:hanging="721"/>
      </w:pPr>
      <w:rPr>
        <w:rFonts w:hint="default"/>
      </w:rPr>
    </w:lvl>
    <w:lvl w:ilvl="2">
      <w:start w:val="0"/>
      <w:numFmt w:val="bullet"/>
      <w:lvlText w:val="•"/>
      <w:lvlJc w:val="left"/>
      <w:pPr>
        <w:ind w:left="2752" w:hanging="721"/>
      </w:pPr>
      <w:rPr>
        <w:rFonts w:hint="default"/>
      </w:rPr>
    </w:lvl>
    <w:lvl w:ilvl="3">
      <w:start w:val="0"/>
      <w:numFmt w:val="bullet"/>
      <w:lvlText w:val="•"/>
      <w:lvlJc w:val="left"/>
      <w:pPr>
        <w:ind w:left="3499" w:hanging="721"/>
      </w:pPr>
      <w:rPr>
        <w:rFonts w:hint="default"/>
      </w:rPr>
    </w:lvl>
    <w:lvl w:ilvl="4">
      <w:start w:val="0"/>
      <w:numFmt w:val="bullet"/>
      <w:lvlText w:val="•"/>
      <w:lvlJc w:val="left"/>
      <w:pPr>
        <w:ind w:left="4245" w:hanging="721"/>
      </w:pPr>
      <w:rPr>
        <w:rFonts w:hint="default"/>
      </w:rPr>
    </w:lvl>
    <w:lvl w:ilvl="5">
      <w:start w:val="0"/>
      <w:numFmt w:val="bullet"/>
      <w:lvlText w:val="•"/>
      <w:lvlJc w:val="left"/>
      <w:pPr>
        <w:ind w:left="4992" w:hanging="721"/>
      </w:pPr>
      <w:rPr>
        <w:rFonts w:hint="default"/>
      </w:rPr>
    </w:lvl>
    <w:lvl w:ilvl="6">
      <w:start w:val="0"/>
      <w:numFmt w:val="bullet"/>
      <w:lvlText w:val="•"/>
      <w:lvlJc w:val="left"/>
      <w:pPr>
        <w:ind w:left="5738" w:hanging="721"/>
      </w:pPr>
      <w:rPr>
        <w:rFonts w:hint="default"/>
      </w:rPr>
    </w:lvl>
    <w:lvl w:ilvl="7">
      <w:start w:val="0"/>
      <w:numFmt w:val="bullet"/>
      <w:lvlText w:val="•"/>
      <w:lvlJc w:val="left"/>
      <w:pPr>
        <w:ind w:left="6485" w:hanging="721"/>
      </w:pPr>
      <w:rPr>
        <w:rFonts w:hint="default"/>
      </w:rPr>
    </w:lvl>
    <w:lvl w:ilvl="8">
      <w:start w:val="0"/>
      <w:numFmt w:val="bullet"/>
      <w:lvlText w:val="•"/>
      <w:lvlJc w:val="left"/>
      <w:pPr>
        <w:ind w:left="7231" w:hanging="721"/>
      </w:pPr>
      <w:rPr>
        <w:rFonts w:hint="default"/>
      </w:rPr>
    </w:lvl>
  </w:abstractNum>
  <w:abstractNum w:abstractNumId="6">
    <w:multiLevelType w:val="hybridMultilevel"/>
    <w:lvl w:ilvl="0">
      <w:start w:val="1"/>
      <w:numFmt w:val="decimal"/>
      <w:lvlText w:val="（%1）"/>
      <w:lvlJc w:val="left"/>
      <w:pPr>
        <w:ind w:left="1257" w:hanging="721"/>
        <w:jc w:val="left"/>
      </w:pPr>
      <w:rPr>
        <w:rFonts w:hint="default" w:ascii="宋体" w:hAnsi="宋体" w:eastAsia="宋体" w:cs="宋体"/>
        <w:spacing w:val="-35"/>
        <w:w w:val="100"/>
        <w:sz w:val="21"/>
        <w:szCs w:val="21"/>
      </w:rPr>
    </w:lvl>
    <w:lvl w:ilvl="1">
      <w:start w:val="0"/>
      <w:numFmt w:val="bullet"/>
      <w:lvlText w:val="•"/>
      <w:lvlJc w:val="left"/>
      <w:pPr>
        <w:ind w:left="2006" w:hanging="721"/>
      </w:pPr>
      <w:rPr>
        <w:rFonts w:hint="default"/>
      </w:rPr>
    </w:lvl>
    <w:lvl w:ilvl="2">
      <w:start w:val="0"/>
      <w:numFmt w:val="bullet"/>
      <w:lvlText w:val="•"/>
      <w:lvlJc w:val="left"/>
      <w:pPr>
        <w:ind w:left="2752" w:hanging="721"/>
      </w:pPr>
      <w:rPr>
        <w:rFonts w:hint="default"/>
      </w:rPr>
    </w:lvl>
    <w:lvl w:ilvl="3">
      <w:start w:val="0"/>
      <w:numFmt w:val="bullet"/>
      <w:lvlText w:val="•"/>
      <w:lvlJc w:val="left"/>
      <w:pPr>
        <w:ind w:left="3499" w:hanging="721"/>
      </w:pPr>
      <w:rPr>
        <w:rFonts w:hint="default"/>
      </w:rPr>
    </w:lvl>
    <w:lvl w:ilvl="4">
      <w:start w:val="0"/>
      <w:numFmt w:val="bullet"/>
      <w:lvlText w:val="•"/>
      <w:lvlJc w:val="left"/>
      <w:pPr>
        <w:ind w:left="4245" w:hanging="721"/>
      </w:pPr>
      <w:rPr>
        <w:rFonts w:hint="default"/>
      </w:rPr>
    </w:lvl>
    <w:lvl w:ilvl="5">
      <w:start w:val="0"/>
      <w:numFmt w:val="bullet"/>
      <w:lvlText w:val="•"/>
      <w:lvlJc w:val="left"/>
      <w:pPr>
        <w:ind w:left="4992" w:hanging="721"/>
      </w:pPr>
      <w:rPr>
        <w:rFonts w:hint="default"/>
      </w:rPr>
    </w:lvl>
    <w:lvl w:ilvl="6">
      <w:start w:val="0"/>
      <w:numFmt w:val="bullet"/>
      <w:lvlText w:val="•"/>
      <w:lvlJc w:val="left"/>
      <w:pPr>
        <w:ind w:left="5738" w:hanging="721"/>
      </w:pPr>
      <w:rPr>
        <w:rFonts w:hint="default"/>
      </w:rPr>
    </w:lvl>
    <w:lvl w:ilvl="7">
      <w:start w:val="0"/>
      <w:numFmt w:val="bullet"/>
      <w:lvlText w:val="•"/>
      <w:lvlJc w:val="left"/>
      <w:pPr>
        <w:ind w:left="6485" w:hanging="721"/>
      </w:pPr>
      <w:rPr>
        <w:rFonts w:hint="default"/>
      </w:rPr>
    </w:lvl>
    <w:lvl w:ilvl="8">
      <w:start w:val="0"/>
      <w:numFmt w:val="bullet"/>
      <w:lvlText w:val="•"/>
      <w:lvlJc w:val="left"/>
      <w:pPr>
        <w:ind w:left="7231" w:hanging="721"/>
      </w:pPr>
      <w:rPr>
        <w:rFonts w:hint="default"/>
      </w:rPr>
    </w:lvl>
  </w:abstractNum>
  <w:abstractNum w:abstractNumId="5">
    <w:multiLevelType w:val="hybridMultilevel"/>
    <w:lvl w:ilvl="0">
      <w:start w:val="1"/>
      <w:numFmt w:val="decimal"/>
      <w:lvlText w:val="（%1）"/>
      <w:lvlJc w:val="left"/>
      <w:pPr>
        <w:ind w:left="1257" w:hanging="721"/>
        <w:jc w:val="left"/>
      </w:pPr>
      <w:rPr>
        <w:rFonts w:hint="default" w:ascii="宋体" w:hAnsi="宋体" w:eastAsia="宋体" w:cs="宋体"/>
        <w:spacing w:val="-15"/>
        <w:w w:val="100"/>
        <w:sz w:val="21"/>
        <w:szCs w:val="21"/>
      </w:rPr>
    </w:lvl>
    <w:lvl w:ilvl="1">
      <w:start w:val="0"/>
      <w:numFmt w:val="bullet"/>
      <w:lvlText w:val="•"/>
      <w:lvlJc w:val="left"/>
      <w:pPr>
        <w:ind w:left="2006" w:hanging="721"/>
      </w:pPr>
      <w:rPr>
        <w:rFonts w:hint="default"/>
      </w:rPr>
    </w:lvl>
    <w:lvl w:ilvl="2">
      <w:start w:val="0"/>
      <w:numFmt w:val="bullet"/>
      <w:lvlText w:val="•"/>
      <w:lvlJc w:val="left"/>
      <w:pPr>
        <w:ind w:left="2752" w:hanging="721"/>
      </w:pPr>
      <w:rPr>
        <w:rFonts w:hint="default"/>
      </w:rPr>
    </w:lvl>
    <w:lvl w:ilvl="3">
      <w:start w:val="0"/>
      <w:numFmt w:val="bullet"/>
      <w:lvlText w:val="•"/>
      <w:lvlJc w:val="left"/>
      <w:pPr>
        <w:ind w:left="3499" w:hanging="721"/>
      </w:pPr>
      <w:rPr>
        <w:rFonts w:hint="default"/>
      </w:rPr>
    </w:lvl>
    <w:lvl w:ilvl="4">
      <w:start w:val="0"/>
      <w:numFmt w:val="bullet"/>
      <w:lvlText w:val="•"/>
      <w:lvlJc w:val="left"/>
      <w:pPr>
        <w:ind w:left="4245" w:hanging="721"/>
      </w:pPr>
      <w:rPr>
        <w:rFonts w:hint="default"/>
      </w:rPr>
    </w:lvl>
    <w:lvl w:ilvl="5">
      <w:start w:val="0"/>
      <w:numFmt w:val="bullet"/>
      <w:lvlText w:val="•"/>
      <w:lvlJc w:val="left"/>
      <w:pPr>
        <w:ind w:left="4992" w:hanging="721"/>
      </w:pPr>
      <w:rPr>
        <w:rFonts w:hint="default"/>
      </w:rPr>
    </w:lvl>
    <w:lvl w:ilvl="6">
      <w:start w:val="0"/>
      <w:numFmt w:val="bullet"/>
      <w:lvlText w:val="•"/>
      <w:lvlJc w:val="left"/>
      <w:pPr>
        <w:ind w:left="5738" w:hanging="721"/>
      </w:pPr>
      <w:rPr>
        <w:rFonts w:hint="default"/>
      </w:rPr>
    </w:lvl>
    <w:lvl w:ilvl="7">
      <w:start w:val="0"/>
      <w:numFmt w:val="bullet"/>
      <w:lvlText w:val="•"/>
      <w:lvlJc w:val="left"/>
      <w:pPr>
        <w:ind w:left="6485" w:hanging="721"/>
      </w:pPr>
      <w:rPr>
        <w:rFonts w:hint="default"/>
      </w:rPr>
    </w:lvl>
    <w:lvl w:ilvl="8">
      <w:start w:val="0"/>
      <w:numFmt w:val="bullet"/>
      <w:lvlText w:val="•"/>
      <w:lvlJc w:val="left"/>
      <w:pPr>
        <w:ind w:left="7231" w:hanging="721"/>
      </w:pPr>
      <w:rPr>
        <w:rFonts w:hint="default"/>
      </w:rPr>
    </w:lvl>
  </w:abstractNum>
  <w:abstractNum w:abstractNumId="4">
    <w:multiLevelType w:val="hybridMultilevel"/>
    <w:lvl w:ilvl="0">
      <w:start w:val="1"/>
      <w:numFmt w:val="decimal"/>
      <w:lvlText w:val="%1."/>
      <w:lvlJc w:val="left"/>
      <w:pPr>
        <w:ind w:left="957" w:hanging="420"/>
        <w:jc w:val="left"/>
      </w:pPr>
      <w:rPr>
        <w:rFonts w:hint="default"/>
        <w:w w:val="100"/>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3">
    <w:multiLevelType w:val="hybridMultilevel"/>
    <w:lvl w:ilvl="0">
      <w:start w:val="1"/>
      <w:numFmt w:val="decimal"/>
      <w:lvlText w:val="%1."/>
      <w:lvlJc w:val="left"/>
      <w:pPr>
        <w:ind w:left="53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348" w:hanging="420"/>
      </w:pPr>
      <w:rPr>
        <w:rFonts w:hint="default"/>
      </w:rPr>
    </w:lvl>
    <w:lvl w:ilvl="2">
      <w:start w:val="0"/>
      <w:numFmt w:val="bullet"/>
      <w:lvlText w:val="•"/>
      <w:lvlJc w:val="left"/>
      <w:pPr>
        <w:ind w:left="2156"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582" w:hanging="420"/>
      </w:pPr>
      <w:rPr>
        <w:rFonts w:hint="default"/>
      </w:rPr>
    </w:lvl>
    <w:lvl w:ilvl="6">
      <w:start w:val="0"/>
      <w:numFmt w:val="bullet"/>
      <w:lvlText w:val="•"/>
      <w:lvlJc w:val="left"/>
      <w:pPr>
        <w:ind w:left="5390" w:hanging="420"/>
      </w:pPr>
      <w:rPr>
        <w:rFonts w:hint="default"/>
      </w:rPr>
    </w:lvl>
    <w:lvl w:ilvl="7">
      <w:start w:val="0"/>
      <w:numFmt w:val="bullet"/>
      <w:lvlText w:val="•"/>
      <w:lvlJc w:val="left"/>
      <w:pPr>
        <w:ind w:left="6199" w:hanging="420"/>
      </w:pPr>
      <w:rPr>
        <w:rFonts w:hint="default"/>
      </w:rPr>
    </w:lvl>
    <w:lvl w:ilvl="8">
      <w:start w:val="0"/>
      <w:numFmt w:val="bullet"/>
      <w:lvlText w:val="•"/>
      <w:lvlJc w:val="left"/>
      <w:pPr>
        <w:ind w:left="7007" w:hanging="420"/>
      </w:pPr>
      <w:rPr>
        <w:rFonts w:hint="default"/>
      </w:rPr>
    </w:lvl>
  </w:abstractNum>
  <w:abstractNum w:abstractNumId="2">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1">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2" w:hanging="420"/>
      </w:pPr>
      <w:rPr>
        <w:rFonts w:hint="default"/>
      </w:rPr>
    </w:lvl>
    <w:lvl w:ilvl="2">
      <w:start w:val="0"/>
      <w:numFmt w:val="bullet"/>
      <w:lvlText w:val="•"/>
      <w:lvlJc w:val="left"/>
      <w:pPr>
        <w:ind w:left="250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49"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594" w:hanging="420"/>
      </w:pPr>
      <w:rPr>
        <w:rFonts w:hint="default"/>
      </w:rPr>
    </w:lvl>
    <w:lvl w:ilvl="7">
      <w:start w:val="0"/>
      <w:numFmt w:val="bullet"/>
      <w:lvlText w:val="•"/>
      <w:lvlJc w:val="left"/>
      <w:pPr>
        <w:ind w:left="6367" w:hanging="420"/>
      </w:pPr>
      <w:rPr>
        <w:rFonts w:hint="default"/>
      </w:rPr>
    </w:lvl>
    <w:lvl w:ilvl="8">
      <w:start w:val="0"/>
      <w:numFmt w:val="bullet"/>
      <w:lvlText w:val="•"/>
      <w:lvlJc w:val="left"/>
      <w:pPr>
        <w:ind w:left="7139" w:hanging="420"/>
      </w:pPr>
      <w:rPr>
        <w:rFonts w:hint="default"/>
      </w:rPr>
    </w:lvl>
  </w:abstractNum>
  <w:abstractNum w:abstractNumId="0">
    <w:multiLevelType w:val="hybridMultilevel"/>
    <w:lvl w:ilvl="0">
      <w:start w:val="1"/>
      <w:numFmt w:val="decimal"/>
      <w:lvlText w:val="%1."/>
      <w:lvlJc w:val="left"/>
      <w:pPr>
        <w:ind w:left="852" w:hanging="315"/>
        <w:jc w:val="left"/>
      </w:pPr>
      <w:rPr>
        <w:rFonts w:hint="default" w:ascii="宋体" w:hAnsi="宋体" w:eastAsia="宋体" w:cs="宋体"/>
        <w:spacing w:val="-1"/>
        <w:w w:val="100"/>
        <w:sz w:val="21"/>
        <w:szCs w:val="21"/>
      </w:rPr>
    </w:lvl>
    <w:lvl w:ilvl="1">
      <w:start w:val="0"/>
      <w:numFmt w:val="bullet"/>
      <w:lvlText w:val="•"/>
      <w:lvlJc w:val="left"/>
      <w:pPr>
        <w:ind w:left="1642" w:hanging="315"/>
      </w:pPr>
      <w:rPr>
        <w:rFonts w:hint="default"/>
      </w:rPr>
    </w:lvl>
    <w:lvl w:ilvl="2">
      <w:start w:val="0"/>
      <w:numFmt w:val="bullet"/>
      <w:lvlText w:val="•"/>
      <w:lvlJc w:val="left"/>
      <w:pPr>
        <w:ind w:left="2424" w:hanging="315"/>
      </w:pPr>
      <w:rPr>
        <w:rFonts w:hint="default"/>
      </w:rPr>
    </w:lvl>
    <w:lvl w:ilvl="3">
      <w:start w:val="0"/>
      <w:numFmt w:val="bullet"/>
      <w:lvlText w:val="•"/>
      <w:lvlJc w:val="left"/>
      <w:pPr>
        <w:ind w:left="3207" w:hanging="315"/>
      </w:pPr>
      <w:rPr>
        <w:rFonts w:hint="default"/>
      </w:rPr>
    </w:lvl>
    <w:lvl w:ilvl="4">
      <w:start w:val="0"/>
      <w:numFmt w:val="bullet"/>
      <w:lvlText w:val="•"/>
      <w:lvlJc w:val="left"/>
      <w:pPr>
        <w:ind w:left="3989" w:hanging="315"/>
      </w:pPr>
      <w:rPr>
        <w:rFonts w:hint="default"/>
      </w:rPr>
    </w:lvl>
    <w:lvl w:ilvl="5">
      <w:start w:val="0"/>
      <w:numFmt w:val="bullet"/>
      <w:lvlText w:val="•"/>
      <w:lvlJc w:val="left"/>
      <w:pPr>
        <w:ind w:left="4772" w:hanging="315"/>
      </w:pPr>
      <w:rPr>
        <w:rFonts w:hint="default"/>
      </w:rPr>
    </w:lvl>
    <w:lvl w:ilvl="6">
      <w:start w:val="0"/>
      <w:numFmt w:val="bullet"/>
      <w:lvlText w:val="•"/>
      <w:lvlJc w:val="left"/>
      <w:pPr>
        <w:ind w:left="5554" w:hanging="315"/>
      </w:pPr>
      <w:rPr>
        <w:rFonts w:hint="default"/>
      </w:rPr>
    </w:lvl>
    <w:lvl w:ilvl="7">
      <w:start w:val="0"/>
      <w:numFmt w:val="bullet"/>
      <w:lvlText w:val="•"/>
      <w:lvlJc w:val="left"/>
      <w:pPr>
        <w:ind w:left="6337" w:hanging="315"/>
      </w:pPr>
      <w:rPr>
        <w:rFonts w:hint="default"/>
      </w:rPr>
    </w:lvl>
    <w:lvl w:ilvl="8">
      <w:start w:val="0"/>
      <w:numFmt w:val="bullet"/>
      <w:lvlText w:val="•"/>
      <w:lvlJc w:val="left"/>
      <w:pPr>
        <w:ind w:left="7119" w:hanging="31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43" w:lineRule="exact"/>
      <w:ind w:left="117"/>
    </w:pPr>
    <w:rPr>
      <w:rFonts w:ascii="Microsoft JhengHei" w:hAnsi="Microsoft JhengHei" w:eastAsia="Microsoft JhengHei" w:cs="Microsoft JhengHei"/>
      <w:b/>
      <w:bCs/>
      <w:sz w:val="21"/>
      <w:szCs w:val="21"/>
    </w:rPr>
  </w:style>
  <w:style w:styleId="TOC2" w:type="paragraph">
    <w:name w:val="TOC 2"/>
    <w:basedOn w:val="Normal"/>
    <w:uiPriority w:val="1"/>
    <w:qFormat/>
    <w:pPr>
      <w:spacing w:before="13"/>
      <w:ind w:left="7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09"/>
      <w:outlineLvl w:val="1"/>
    </w:pPr>
    <w:rPr>
      <w:rFonts w:ascii="黑体" w:hAnsi="黑体" w:eastAsia="黑体" w:cs="黑体"/>
      <w:b/>
      <w:bCs/>
      <w:sz w:val="36"/>
      <w:szCs w:val="36"/>
    </w:rPr>
  </w:style>
  <w:style w:styleId="Heading2" w:type="paragraph">
    <w:name w:val="Heading 2"/>
    <w:basedOn w:val="Normal"/>
    <w:uiPriority w:val="1"/>
    <w:qFormat/>
    <w:pPr>
      <w:ind w:left="117"/>
      <w:outlineLvl w:val="2"/>
    </w:pPr>
    <w:rPr>
      <w:rFonts w:ascii="Microsoft JhengHei" w:hAnsi="Microsoft JhengHei" w:eastAsia="Microsoft JhengHei" w:cs="Microsoft JhengHei"/>
      <w:b/>
      <w:bCs/>
      <w:sz w:val="30"/>
      <w:szCs w:val="30"/>
    </w:rPr>
  </w:style>
  <w:style w:styleId="Heading3" w:type="paragraph">
    <w:name w:val="Heading 3"/>
    <w:basedOn w:val="Normal"/>
    <w:uiPriority w:val="1"/>
    <w:qFormat/>
    <w:pPr>
      <w:ind w:left="3734" w:right="3816"/>
      <w:jc w:val="center"/>
      <w:outlineLvl w:val="3"/>
    </w:pPr>
    <w:rPr>
      <w:rFonts w:ascii="Microsoft JhengHei" w:hAnsi="Microsoft JhengHei" w:eastAsia="Microsoft JhengHei" w:cs="Microsoft JhengHei"/>
      <w:b/>
      <w:bCs/>
      <w:sz w:val="28"/>
      <w:szCs w:val="28"/>
    </w:rPr>
  </w:style>
  <w:style w:styleId="ListParagraph" w:type="paragraph">
    <w:name w:val="List Paragraph"/>
    <w:basedOn w:val="Normal"/>
    <w:uiPriority w:val="1"/>
    <w:qFormat/>
    <w:pPr>
      <w:spacing w:before="37"/>
      <w:ind w:left="1257" w:hanging="720"/>
    </w:pPr>
    <w:rPr>
      <w:rFonts w:ascii="宋体" w:hAnsi="宋体" w:eastAsia="宋体" w:cs="宋体"/>
    </w:rPr>
  </w:style>
  <w:style w:styleId="TableParagraph" w:type="paragraph">
    <w:name w:val="Table Paragraph"/>
    <w:basedOn w:val="Normal"/>
    <w:uiPriority w:val="1"/>
    <w:qFormat/>
    <w:pPr>
      <w:ind w:left="10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 Gao</dc:creator>
  <dc:title>版本控制纪录</dc:title>
  <dcterms:created xsi:type="dcterms:W3CDTF">2018-10-20T07:56:06Z</dcterms:created>
  <dcterms:modified xsi:type="dcterms:W3CDTF">2018-10-20T07:56:06Z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2006-11-30T00:00:00Z</vt:filetime>
  </property>
  <property fmtid="{D5CDD505-2E9C-101B-9397-08002B2CF9AE}" pid="3" name="Creator">
    <vt:lpwstr>Acrobat PDFMaker 7.0 for Word</vt:lpwstr>
  </property>
  <property fmtid="{D5CDD505-2E9C-101B-9397-08002B2CF9AE}" pid="4" name="LastSaved">
    <vt:filetime>2018-10-19T00:00:00Z</vt:filetime>
  </property>
</Properties>
</file>