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0" w:right="112"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6127750</wp:posOffset>
            </wp:positionH>
            <wp:positionV relativeFrom="paragraph">
              <wp:posOffset>236495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sz w:val="18"/>
        </w:rPr>
        <w:t>国华人寿[2016]疾病保险 026 号</w:t>
      </w:r>
    </w:p>
    <w:p>
      <w:pPr>
        <w:pStyle w:val="BodyText"/>
        <w:spacing w:before="1"/>
        <w:ind w:left="0"/>
        <w:rPr>
          <w:rFonts w:ascii="仿宋"/>
          <w:sz w:val="29"/>
        </w:rPr>
      </w:pPr>
    </w:p>
    <w:p>
      <w:pPr>
        <w:spacing w:after="0"/>
        <w:rPr>
          <w:rFonts w:ascii="仿宋"/>
          <w:sz w:val="29"/>
        </w:rPr>
        <w:sectPr>
          <w:type w:val="continuous"/>
          <w:pgSz w:w="11910" w:h="16840"/>
          <w:pgMar w:top="480" w:bottom="280" w:left="660" w:right="1000"/>
        </w:sectPr>
      </w:pPr>
    </w:p>
    <w:p>
      <w:pPr>
        <w:pStyle w:val="Heading1"/>
        <w:spacing w:line="506" w:lineRule="exact"/>
      </w:pPr>
      <w:r>
        <w:rPr>
          <w:spacing w:val="-5"/>
        </w:rPr>
        <w:t>国华 </w:t>
      </w:r>
      <w:r>
        <w:rPr>
          <w:rFonts w:ascii="Arial" w:eastAsia="Arial"/>
        </w:rPr>
        <w:t>2</w:t>
      </w:r>
      <w:r>
        <w:rPr>
          <w:rFonts w:ascii="Arial" w:eastAsia="Arial"/>
          <w:spacing w:val="-10"/>
        </w:rPr>
        <w:t> </w:t>
      </w:r>
      <w:r>
        <w:rPr>
          <w:spacing w:val="-2"/>
        </w:rPr>
        <w:t>号重大疾病保险 </w:t>
      </w:r>
      <w:r>
        <w:rPr>
          <w:rFonts w:ascii="Arial" w:eastAsia="Arial"/>
        </w:rPr>
        <w:t>C</w:t>
      </w:r>
      <w:r>
        <w:rPr>
          <w:rFonts w:ascii="Arial" w:eastAsia="Arial"/>
          <w:spacing w:val="-10"/>
        </w:rPr>
        <w:t> </w:t>
      </w:r>
      <w:r>
        <w:rPr/>
        <w:t>款条款</w:t>
      </w:r>
    </w:p>
    <w:p>
      <w:pPr>
        <w:spacing w:before="71"/>
        <w:ind w:left="3005"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8"/>
        </w:rPr>
      </w:pPr>
    </w:p>
    <w:p>
      <w:pPr>
        <w:spacing w:before="0"/>
        <w:ind w:left="711"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480" w:bottom="280" w:left="660" w:right="1000"/>
          <w:cols w:num="2" w:equalWidth="0">
            <w:col w:w="7581" w:space="40"/>
            <w:col w:w="2629"/>
          </w:cols>
        </w:sectPr>
      </w:pPr>
    </w:p>
    <w:p>
      <w:pPr>
        <w:spacing w:before="67"/>
        <w:ind w:left="963" w:right="628" w:firstLine="0"/>
        <w:jc w:val="center"/>
        <w:rPr>
          <w:sz w:val="20"/>
        </w:rPr>
      </w:pPr>
      <w:r>
        <w:rPr/>
        <w:drawing>
          <wp:anchor distT="0" distB="0" distL="0" distR="0" allowOverlap="1" layoutInCell="1" locked="0" behindDoc="1" simplePos="0" relativeHeight="268403759">
            <wp:simplePos x="0" y="0"/>
            <wp:positionH relativeFrom="page">
              <wp:posOffset>492251</wp:posOffset>
            </wp:positionH>
            <wp:positionV relativeFrom="paragraph">
              <wp:posOffset>286889</wp:posOffset>
            </wp:positionV>
            <wp:extent cx="6258814" cy="820160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58814" cy="8201609"/>
                    </a:xfrm>
                    <a:prstGeom prst="rect">
                      <a:avLst/>
                    </a:prstGeom>
                  </pic:spPr>
                </pic:pic>
              </a:graphicData>
            </a:graphic>
          </wp:anchor>
        </w:drawing>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9"/>
          <w:w w:val="99"/>
          <w:position w:val="-7"/>
          <w:sz w:val="20"/>
        </w:rPr>
        <w:t>．</w:t>
      </w:r>
      <w:r>
        <w:rPr>
          <w:spacing w:val="-142"/>
          <w:w w:val="99"/>
          <w:sz w:val="20"/>
        </w:rPr>
        <w:t>解</w:t>
      </w:r>
      <w:r>
        <w:rPr>
          <w:spacing w:val="-56"/>
          <w:w w:val="99"/>
          <w:position w:val="-7"/>
          <w:sz w:val="20"/>
        </w:rPr>
        <w:t>．</w:t>
      </w:r>
      <w:r>
        <w:rPr>
          <w:spacing w:val="-141"/>
          <w:w w:val="99"/>
          <w:sz w:val="20"/>
        </w:rPr>
        <w:t>条</w:t>
      </w:r>
      <w:r>
        <w:rPr>
          <w:spacing w:val="-59"/>
          <w:w w:val="99"/>
          <w:position w:val="-7"/>
          <w:sz w:val="20"/>
        </w:rPr>
        <w:t>．</w:t>
      </w:r>
      <w:r>
        <w:rPr>
          <w:spacing w:val="-141"/>
          <w:w w:val="99"/>
          <w:sz w:val="20"/>
        </w:rPr>
        <w:t>款</w:t>
      </w:r>
      <w:r>
        <w:rPr>
          <w:spacing w:val="-59"/>
          <w:w w:val="99"/>
          <w:position w:val="-7"/>
          <w:sz w:val="20"/>
        </w:rPr>
        <w:t>．</w:t>
      </w:r>
      <w:r>
        <w:rPr>
          <w:spacing w:val="-141"/>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8"/>
          <w:w w:val="99"/>
          <w:position w:val="-7"/>
          <w:sz w:val="20"/>
        </w:rPr>
        <w:t>．</w:t>
      </w:r>
      <w:r>
        <w:rPr>
          <w:rFonts w:ascii="Times New Roman" w:hAnsi="Times New Roman" w:eastAsia="Times New Roman"/>
          <w:b/>
          <w:spacing w:val="-90"/>
          <w:w w:val="99"/>
          <w:sz w:val="20"/>
        </w:rPr>
        <w:t>2</w:t>
      </w:r>
      <w:r>
        <w:rPr>
          <w:spacing w:val="-58"/>
          <w:w w:val="99"/>
          <w:position w:val="-7"/>
          <w:sz w:val="20"/>
        </w:rPr>
        <w:t>．</w:t>
      </w:r>
      <w:r>
        <w:rPr>
          <w:b/>
          <w:spacing w:val="-140"/>
          <w:w w:val="99"/>
          <w:sz w:val="20"/>
        </w:rPr>
        <w:t>号</w:t>
      </w:r>
      <w:r>
        <w:rPr>
          <w:spacing w:val="-58"/>
          <w:w w:val="99"/>
          <w:position w:val="-7"/>
          <w:sz w:val="20"/>
        </w:rPr>
        <w:t>．</w:t>
      </w:r>
      <w:r>
        <w:rPr>
          <w:b/>
          <w:spacing w:val="-139"/>
          <w:w w:val="99"/>
          <w:sz w:val="20"/>
        </w:rPr>
        <w:t>重</w:t>
      </w:r>
      <w:r>
        <w:rPr>
          <w:spacing w:val="-59"/>
          <w:w w:val="99"/>
          <w:position w:val="-7"/>
          <w:sz w:val="20"/>
        </w:rPr>
        <w:t>．</w:t>
      </w:r>
      <w:r>
        <w:rPr>
          <w:b/>
          <w:spacing w:val="-139"/>
          <w:w w:val="99"/>
          <w:sz w:val="20"/>
        </w:rPr>
        <w:t>大</w:t>
      </w:r>
      <w:r>
        <w:rPr>
          <w:spacing w:val="-59"/>
          <w:w w:val="99"/>
          <w:position w:val="-7"/>
          <w:sz w:val="20"/>
        </w:rPr>
        <w:t>．</w:t>
      </w:r>
      <w:r>
        <w:rPr>
          <w:b/>
          <w:spacing w:val="-141"/>
          <w:w w:val="99"/>
          <w:sz w:val="20"/>
        </w:rPr>
        <w:t>疾</w:t>
      </w:r>
      <w:r>
        <w:rPr>
          <w:spacing w:val="-59"/>
          <w:w w:val="99"/>
          <w:position w:val="-7"/>
          <w:sz w:val="20"/>
        </w:rPr>
        <w:t>．</w:t>
      </w:r>
      <w:r>
        <w:rPr>
          <w:b/>
          <w:spacing w:val="-139"/>
          <w:w w:val="99"/>
          <w:sz w:val="20"/>
        </w:rPr>
        <w:t>病</w:t>
      </w:r>
      <w:r>
        <w:rPr>
          <w:spacing w:val="-59"/>
          <w:w w:val="99"/>
          <w:position w:val="-7"/>
          <w:sz w:val="20"/>
        </w:rPr>
        <w:t>．</w:t>
      </w:r>
      <w:r>
        <w:rPr>
          <w:b/>
          <w:spacing w:val="-138"/>
          <w:w w:val="99"/>
          <w:sz w:val="20"/>
        </w:rPr>
        <w:t>保</w:t>
      </w:r>
      <w:r>
        <w:rPr>
          <w:spacing w:val="-60"/>
          <w:w w:val="99"/>
          <w:position w:val="-7"/>
          <w:sz w:val="20"/>
        </w:rPr>
        <w:t>．</w:t>
      </w:r>
      <w:r>
        <w:rPr>
          <w:b/>
          <w:spacing w:val="-138"/>
          <w:w w:val="99"/>
          <w:sz w:val="20"/>
        </w:rPr>
        <w:t>险</w:t>
      </w:r>
      <w:r>
        <w:rPr>
          <w:spacing w:val="-8"/>
          <w:w w:val="99"/>
          <w:position w:val="-7"/>
          <w:sz w:val="20"/>
        </w:rPr>
        <w:t>．</w:t>
      </w:r>
      <w:r>
        <w:rPr>
          <w:rFonts w:ascii="Times New Roman" w:hAnsi="Times New Roman" w:eastAsia="Times New Roman"/>
          <w:b/>
          <w:spacing w:val="-113"/>
          <w:w w:val="99"/>
          <w:sz w:val="20"/>
        </w:rPr>
        <w:t>C</w:t>
      </w:r>
      <w:r>
        <w:rPr>
          <w:spacing w:val="-36"/>
          <w:w w:val="99"/>
          <w:position w:val="-7"/>
          <w:sz w:val="20"/>
        </w:rPr>
        <w:t>．</w:t>
      </w:r>
      <w:r>
        <w:rPr>
          <w:b/>
          <w:spacing w:val="-142"/>
          <w:w w:val="99"/>
          <w:sz w:val="20"/>
        </w:rPr>
        <w:t>款</w:t>
      </w:r>
      <w:r>
        <w:rPr>
          <w:spacing w:val="-58"/>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spacing w:val="-142"/>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6"/>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8"/>
          <w:w w:val="99"/>
          <w:position w:val="-7"/>
          <w:sz w:val="20"/>
        </w:rPr>
        <w:t>．</w:t>
      </w:r>
      <w:r>
        <w:rPr>
          <w:spacing w:val="-141"/>
          <w:w w:val="99"/>
          <w:sz w:val="20"/>
        </w:rPr>
        <w:t>款</w:t>
      </w:r>
      <w:r>
        <w:rPr>
          <w:spacing w:val="-57"/>
          <w:w w:val="99"/>
          <w:position w:val="-7"/>
          <w:sz w:val="20"/>
        </w:rPr>
        <w:t>．</w:t>
      </w:r>
      <w:r>
        <w:rPr>
          <w:spacing w:val="-141"/>
          <w:w w:val="99"/>
          <w:sz w:val="20"/>
        </w:rPr>
        <w:t>为</w:t>
      </w:r>
      <w:r>
        <w:rPr>
          <w:spacing w:val="-59"/>
          <w:w w:val="99"/>
          <w:position w:val="-7"/>
          <w:sz w:val="20"/>
        </w:rPr>
        <w:t>．</w:t>
      </w:r>
      <w:r>
        <w:rPr>
          <w:spacing w:val="-141"/>
          <w:w w:val="99"/>
          <w:sz w:val="20"/>
        </w:rPr>
        <w:t>准</w:t>
      </w:r>
      <w:r>
        <w:rPr>
          <w:spacing w:val="-58"/>
          <w:w w:val="99"/>
          <w:position w:val="-7"/>
          <w:sz w:val="20"/>
        </w:rPr>
        <w:t>．</w:t>
      </w:r>
      <w:r>
        <w:rPr>
          <w:w w:val="99"/>
          <w:sz w:val="20"/>
        </w:rPr>
        <w:t>。</w:t>
      </w:r>
    </w:p>
    <w:p>
      <w:pPr>
        <w:pStyle w:val="Heading2"/>
        <w:tabs>
          <w:tab w:pos="1265" w:val="left" w:leader="none"/>
        </w:tabs>
        <w:spacing w:before="135"/>
        <w:ind w:left="254"/>
      </w:pPr>
      <w:r>
        <w:rPr>
          <w:rFonts w:ascii="Arial" w:hAnsi="Arial" w:eastAsia="Arial"/>
          <w:w w:val="105"/>
          <w:position w:val="-11"/>
          <w:sz w:val="52"/>
        </w:rPr>
        <w:t></w:t>
        <w:tab/>
      </w:r>
      <w:r>
        <w:rPr>
          <w:spacing w:val="-1"/>
        </w:rPr>
        <w:t>您拥有的重要权益</w:t>
      </w:r>
    </w:p>
    <w:p>
      <w:pPr>
        <w:pStyle w:val="ListParagraph"/>
        <w:numPr>
          <w:ilvl w:val="0"/>
          <w:numId w:val="1"/>
        </w:numPr>
        <w:tabs>
          <w:tab w:pos="1646" w:val="left" w:leader="none"/>
          <w:tab w:pos="1647" w:val="left" w:leader="none"/>
          <w:tab w:pos="9529" w:val="right" w:leader="dot"/>
        </w:tabs>
        <w:spacing w:line="240" w:lineRule="auto" w:before="23" w:after="0"/>
        <w:ind w:left="1646" w:right="0" w:hanging="420"/>
        <w:jc w:val="left"/>
        <w:rPr>
          <w:rFonts w:ascii="宋体" w:eastAsia="宋体" w:hint="eastAsia"/>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r>
      <w:r>
        <w:rPr>
          <w:rFonts w:ascii="宋体" w:eastAsia="宋体" w:hint="eastAsia"/>
          <w:sz w:val="21"/>
        </w:rPr>
        <w:t>2.4</w:t>
      </w:r>
    </w:p>
    <w:p>
      <w:pPr>
        <w:pStyle w:val="ListParagraph"/>
        <w:numPr>
          <w:ilvl w:val="0"/>
          <w:numId w:val="1"/>
        </w:numPr>
        <w:tabs>
          <w:tab w:pos="1646" w:val="left" w:leader="none"/>
          <w:tab w:pos="1647" w:val="left" w:leader="none"/>
          <w:tab w:pos="9318" w:val="right" w:leader="dot"/>
        </w:tabs>
        <w:spacing w:line="240" w:lineRule="auto" w:before="209" w:after="0"/>
        <w:ind w:left="1646" w:right="0" w:hanging="420"/>
        <w:jc w:val="left"/>
        <w:rPr>
          <w:rFonts w:ascii="宋体" w:eastAsia="宋体" w:hint="eastAsia"/>
          <w:sz w:val="21"/>
        </w:rPr>
      </w:pPr>
      <w:r>
        <w:rPr>
          <w:sz w:val="21"/>
        </w:rPr>
        <w:t>您有</w:t>
      </w:r>
      <w:r>
        <w:rPr>
          <w:spacing w:val="-3"/>
          <w:sz w:val="21"/>
        </w:rPr>
        <w:t>退</w:t>
      </w:r>
      <w:r>
        <w:rPr>
          <w:sz w:val="21"/>
        </w:rPr>
        <w:t>保</w:t>
      </w:r>
      <w:r>
        <w:rPr>
          <w:spacing w:val="-3"/>
          <w:sz w:val="21"/>
        </w:rPr>
        <w:t>的</w:t>
      </w:r>
      <w:r>
        <w:rPr>
          <w:sz w:val="21"/>
        </w:rPr>
        <w:t>权利</w:t>
        <w:tab/>
      </w:r>
      <w:r>
        <w:rPr>
          <w:rFonts w:ascii="宋体" w:eastAsia="宋体" w:hint="eastAsia"/>
          <w:sz w:val="21"/>
        </w:rPr>
        <w:t>5</w:t>
      </w:r>
    </w:p>
    <w:p>
      <w:pPr>
        <w:pStyle w:val="Heading2"/>
        <w:tabs>
          <w:tab w:pos="1265" w:val="left" w:leader="none"/>
        </w:tabs>
        <w:spacing w:before="89"/>
        <w:ind w:left="254"/>
      </w:pPr>
      <w:r>
        <w:rPr>
          <w:rFonts w:ascii="Arial" w:hAnsi="Arial" w:eastAsia="Arial"/>
          <w:w w:val="105"/>
          <w:position w:val="-11"/>
          <w:sz w:val="52"/>
        </w:rPr>
        <w:t></w:t>
        <w:tab/>
      </w:r>
      <w:r>
        <w:rPr>
          <w:spacing w:val="-1"/>
        </w:rPr>
        <w:t>您应当特别注意的事项</w:t>
      </w:r>
    </w:p>
    <w:p>
      <w:pPr>
        <w:pStyle w:val="ListParagraph"/>
        <w:numPr>
          <w:ilvl w:val="0"/>
          <w:numId w:val="1"/>
        </w:numPr>
        <w:tabs>
          <w:tab w:pos="1646" w:val="left" w:leader="none"/>
          <w:tab w:pos="1647" w:val="left" w:leader="none"/>
          <w:tab w:pos="9529" w:val="right" w:leader="dot"/>
        </w:tabs>
        <w:spacing w:line="240" w:lineRule="auto" w:before="24" w:after="0"/>
        <w:ind w:left="1646" w:right="0" w:hanging="420"/>
        <w:jc w:val="left"/>
        <w:rPr>
          <w:rFonts w:ascii="宋体" w:eastAsia="宋体" w:hint="eastAsia"/>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宋体" w:eastAsia="宋体" w:hint="eastAsia"/>
          <w:sz w:val="21"/>
        </w:rPr>
        <w:t>2.5</w:t>
      </w:r>
    </w:p>
    <w:p>
      <w:pPr>
        <w:pStyle w:val="ListParagraph"/>
        <w:numPr>
          <w:ilvl w:val="0"/>
          <w:numId w:val="1"/>
        </w:numPr>
        <w:tabs>
          <w:tab w:pos="1646" w:val="left" w:leader="none"/>
          <w:tab w:pos="1647" w:val="left" w:leader="none"/>
          <w:tab w:pos="9529" w:val="right" w:leader="dot"/>
        </w:tabs>
        <w:spacing w:line="240" w:lineRule="auto" w:before="210" w:after="0"/>
        <w:ind w:left="1646" w:right="0" w:hanging="420"/>
        <w:jc w:val="left"/>
        <w:rPr>
          <w:rFonts w:ascii="宋体" w:eastAsia="宋体" w:hint="eastAsia"/>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r>
      <w:r>
        <w:rPr>
          <w:rFonts w:ascii="宋体" w:eastAsia="宋体" w:hint="eastAsia"/>
          <w:sz w:val="21"/>
        </w:rPr>
        <w:t>3.2</w:t>
      </w:r>
    </w:p>
    <w:p>
      <w:pPr>
        <w:pStyle w:val="ListParagraph"/>
        <w:numPr>
          <w:ilvl w:val="0"/>
          <w:numId w:val="1"/>
        </w:numPr>
        <w:tabs>
          <w:tab w:pos="1646" w:val="left" w:leader="none"/>
          <w:tab w:pos="1647" w:val="left" w:leader="none"/>
          <w:tab w:pos="9529" w:val="right" w:leader="dot"/>
        </w:tabs>
        <w:spacing w:line="240" w:lineRule="auto" w:before="211" w:after="0"/>
        <w:ind w:left="1646" w:right="0" w:hanging="420"/>
        <w:jc w:val="left"/>
        <w:rPr>
          <w:rFonts w:ascii="宋体" w:hAnsi="宋体" w:eastAsia="宋体" w:hint="eastAsia"/>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r>
      <w:r>
        <w:rPr>
          <w:rFonts w:ascii="宋体" w:hAnsi="宋体" w:eastAsia="宋体" w:hint="eastAsia"/>
          <w:sz w:val="21"/>
        </w:rPr>
        <w:t>4.1</w:t>
      </w:r>
    </w:p>
    <w:p>
      <w:pPr>
        <w:pStyle w:val="ListParagraph"/>
        <w:numPr>
          <w:ilvl w:val="0"/>
          <w:numId w:val="1"/>
        </w:numPr>
        <w:tabs>
          <w:tab w:pos="1646" w:val="left" w:leader="none"/>
          <w:tab w:pos="1647" w:val="left" w:leader="none"/>
          <w:tab w:pos="9529" w:val="right" w:leader="dot"/>
        </w:tabs>
        <w:spacing w:line="240" w:lineRule="auto" w:before="209" w:after="0"/>
        <w:ind w:left="1646" w:right="0" w:hanging="420"/>
        <w:jc w:val="left"/>
        <w:rPr>
          <w:rFonts w:ascii="宋体" w:hAnsi="宋体" w:eastAsia="宋体" w:hint="eastAsia"/>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宋体" w:hAnsi="宋体" w:eastAsia="宋体" w:hint="eastAsia"/>
          <w:sz w:val="21"/>
        </w:rPr>
        <w:t>5.1</w:t>
      </w:r>
    </w:p>
    <w:p>
      <w:pPr>
        <w:pStyle w:val="ListParagraph"/>
        <w:numPr>
          <w:ilvl w:val="0"/>
          <w:numId w:val="1"/>
        </w:numPr>
        <w:tabs>
          <w:tab w:pos="1646" w:val="left" w:leader="none"/>
          <w:tab w:pos="1647" w:val="left" w:leader="none"/>
        </w:tabs>
        <w:spacing w:line="240" w:lineRule="auto" w:before="209" w:after="0"/>
        <w:ind w:left="1646" w:right="0" w:hanging="420"/>
        <w:jc w:val="left"/>
        <w:rPr>
          <w:rFonts w:ascii="宋体" w:hAnsi="宋体" w:eastAsia="宋体" w:hint="eastAsia"/>
          <w:sz w:val="21"/>
        </w:rPr>
      </w:pPr>
      <w:r>
        <w:rPr>
          <w:spacing w:val="-4"/>
          <w:sz w:val="21"/>
        </w:rPr>
        <w:t>您有如实告知的义务……………………………………………………………………</w:t>
      </w:r>
      <w:r>
        <w:rPr>
          <w:rFonts w:ascii="宋体" w:hAnsi="宋体" w:eastAsia="宋体" w:hint="eastAsia"/>
          <w:spacing w:val="-4"/>
          <w:sz w:val="21"/>
        </w:rPr>
        <w:t>„6.1</w:t>
      </w:r>
    </w:p>
    <w:p>
      <w:pPr>
        <w:pStyle w:val="ListParagraph"/>
        <w:numPr>
          <w:ilvl w:val="0"/>
          <w:numId w:val="1"/>
        </w:numPr>
        <w:tabs>
          <w:tab w:pos="1646" w:val="left" w:leader="none"/>
          <w:tab w:pos="1647" w:val="left" w:leader="none"/>
          <w:tab w:pos="9318" w:val="right" w:leader="dot"/>
        </w:tabs>
        <w:spacing w:line="240" w:lineRule="auto" w:before="211" w:after="0"/>
        <w:ind w:left="1646" w:right="0" w:hanging="420"/>
        <w:jc w:val="left"/>
        <w:rPr>
          <w:rFonts w:ascii="宋体" w:eastAsia="宋体" w:hint="eastAsia"/>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宋体" w:eastAsia="宋体" w:hint="eastAsia"/>
          <w:sz w:val="21"/>
        </w:rPr>
        <w:t>7</w:t>
      </w:r>
    </w:p>
    <w:p>
      <w:pPr>
        <w:pStyle w:val="ListParagraph"/>
        <w:numPr>
          <w:ilvl w:val="0"/>
          <w:numId w:val="1"/>
        </w:numPr>
        <w:tabs>
          <w:tab w:pos="1646" w:val="left" w:leader="none"/>
          <w:tab w:pos="1647" w:val="left" w:leader="none"/>
        </w:tabs>
        <w:spacing w:line="240" w:lineRule="auto" w:before="209" w:after="0"/>
        <w:ind w:left="1646" w:right="0" w:hanging="420"/>
        <w:jc w:val="left"/>
        <w:rPr>
          <w:rFonts w:ascii="宋体" w:hAnsi="宋体" w:eastAsia="宋体" w:hint="eastAsia"/>
          <w:sz w:val="21"/>
        </w:rPr>
      </w:pPr>
      <w:r>
        <w:rPr>
          <w:spacing w:val="-3"/>
          <w:w w:val="110"/>
          <w:sz w:val="21"/>
        </w:rPr>
        <w:t>保险条款有关于疾病的释义，请您留意</w:t>
      </w:r>
      <w:r>
        <w:rPr>
          <w:rFonts w:ascii="宋体" w:hAnsi="宋体" w:eastAsia="宋体" w:hint="eastAsia"/>
          <w:spacing w:val="-1"/>
          <w:w w:val="170"/>
          <w:sz w:val="21"/>
        </w:rPr>
        <w:t>„„„„„„„„„„„„„„„„„„„7.4</w:t>
      </w:r>
    </w:p>
    <w:p>
      <w:pPr>
        <w:pStyle w:val="Heading2"/>
        <w:tabs>
          <w:tab w:pos="1265" w:val="left" w:leader="none"/>
        </w:tabs>
        <w:spacing w:before="87"/>
        <w:ind w:left="254"/>
      </w:pPr>
      <w:r>
        <w:rPr>
          <w:rFonts w:ascii="Arial" w:hAnsi="Arial" w:eastAsia="Arial"/>
          <w:w w:val="105"/>
          <w:position w:val="-11"/>
          <w:sz w:val="52"/>
        </w:rPr>
        <w:t></w:t>
        <w:tab/>
      </w:r>
      <w:r>
        <w:rPr>
          <w:spacing w:val="-3"/>
        </w:rPr>
        <w:t>条款是保险合同的重要内容，为充分保障您的权益，请您仔细阅读本条款。</w:t>
      </w:r>
    </w:p>
    <w:p>
      <w:pPr>
        <w:pStyle w:val="BodyText"/>
        <w:spacing w:before="11"/>
        <w:ind w:left="0"/>
        <w:rPr>
          <w:b/>
          <w:sz w:val="6"/>
        </w:rPr>
      </w:pPr>
    </w:p>
    <w:tbl>
      <w:tblPr>
        <w:tblW w:w="0" w:type="auto"/>
        <w:jc w:val="left"/>
        <w:tblInd w:w="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9"/>
        <w:gridCol w:w="3138"/>
        <w:gridCol w:w="3170"/>
      </w:tblGrid>
      <w:tr>
        <w:trPr>
          <w:trHeight w:val="410" w:hRule="atLeast"/>
        </w:trPr>
        <w:tc>
          <w:tcPr>
            <w:tcW w:w="9137" w:type="dxa"/>
            <w:gridSpan w:val="3"/>
            <w:tcBorders>
              <w:bottom w:val="dotted" w:sz="6" w:space="0" w:color="000000"/>
            </w:tcBorders>
          </w:tcPr>
          <w:p>
            <w:pPr>
              <w:pStyle w:val="TableParagraph"/>
              <w:tabs>
                <w:tab w:pos="675" w:val="left" w:leader="none"/>
              </w:tabs>
              <w:spacing w:line="390" w:lineRule="exact"/>
              <w:ind w:left="-336"/>
              <w:rPr>
                <w:b/>
                <w:sz w:val="21"/>
              </w:rPr>
            </w:pPr>
            <w:r>
              <w:rPr>
                <w:rFonts w:ascii="Arial" w:hAnsi="Arial" w:eastAsia="Arial"/>
                <w:b/>
                <w:w w:val="110"/>
                <w:position w:val="-11"/>
                <w:sz w:val="52"/>
              </w:rPr>
              <w:t></w:t>
              <w:tab/>
            </w:r>
            <w:r>
              <w:rPr>
                <w:b/>
                <w:sz w:val="21"/>
              </w:rPr>
              <w:t>条款目录</w:t>
            </w:r>
          </w:p>
        </w:tc>
      </w:tr>
      <w:tr>
        <w:trPr>
          <w:trHeight w:val="402" w:hRule="atLeast"/>
        </w:trPr>
        <w:tc>
          <w:tcPr>
            <w:tcW w:w="2829" w:type="dxa"/>
            <w:tcBorders>
              <w:top w:val="dotted" w:sz="6" w:space="0" w:color="000000"/>
              <w:left w:val="dotted" w:sz="6" w:space="0" w:color="000000"/>
            </w:tcBorders>
          </w:tcPr>
          <w:p>
            <w:pPr>
              <w:pStyle w:val="TableParagraph"/>
              <w:spacing w:before="66"/>
              <w:ind w:left="229"/>
              <w:rPr>
                <w:rFonts w:ascii="仿宋" w:eastAsia="仿宋" w:hint="eastAsia"/>
                <w:b/>
                <w:sz w:val="21"/>
              </w:rPr>
            </w:pPr>
            <w:r>
              <w:rPr>
                <w:b/>
                <w:sz w:val="21"/>
              </w:rPr>
              <w:t>1.</w:t>
            </w:r>
            <w:r>
              <w:rPr>
                <w:rFonts w:ascii="仿宋" w:eastAsia="仿宋" w:hint="eastAsia"/>
                <w:b/>
                <w:sz w:val="21"/>
              </w:rPr>
              <w:t>您与我们的合同</w:t>
            </w:r>
          </w:p>
        </w:tc>
        <w:tc>
          <w:tcPr>
            <w:tcW w:w="3138" w:type="dxa"/>
            <w:tcBorders>
              <w:top w:val="dotted" w:sz="6" w:space="0" w:color="000000"/>
            </w:tcBorders>
          </w:tcPr>
          <w:p>
            <w:pPr>
              <w:pStyle w:val="TableParagraph"/>
              <w:spacing w:before="78"/>
              <w:ind w:left="134"/>
              <w:rPr>
                <w:rFonts w:ascii="仿宋" w:eastAsia="仿宋" w:hint="eastAsia"/>
                <w:b/>
                <w:sz w:val="21"/>
              </w:rPr>
            </w:pPr>
            <w:r>
              <w:rPr>
                <w:b/>
                <w:sz w:val="21"/>
              </w:rPr>
              <w:t>5.</w:t>
            </w:r>
            <w:r>
              <w:rPr>
                <w:rFonts w:ascii="仿宋" w:eastAsia="仿宋" w:hint="eastAsia"/>
                <w:b/>
                <w:sz w:val="21"/>
              </w:rPr>
              <w:t>如何解除保险合同</w:t>
            </w:r>
          </w:p>
        </w:tc>
        <w:tc>
          <w:tcPr>
            <w:tcW w:w="3170" w:type="dxa"/>
            <w:tcBorders>
              <w:top w:val="dotted" w:sz="6" w:space="0" w:color="000000"/>
              <w:right w:val="dotted" w:sz="6" w:space="0" w:color="000000"/>
            </w:tcBorders>
          </w:tcPr>
          <w:p>
            <w:pPr>
              <w:pStyle w:val="TableParagraph"/>
              <w:spacing w:before="78"/>
              <w:ind w:left="148"/>
              <w:rPr>
                <w:rFonts w:ascii="仿宋" w:eastAsia="仿宋" w:hint="eastAsia"/>
                <w:sz w:val="21"/>
              </w:rPr>
            </w:pPr>
            <w:r>
              <w:rPr>
                <w:sz w:val="21"/>
              </w:rPr>
              <w:t>7.8 </w:t>
            </w:r>
            <w:r>
              <w:rPr>
                <w:rFonts w:ascii="仿宋" w:eastAsia="仿宋" w:hint="eastAsia"/>
                <w:sz w:val="21"/>
              </w:rPr>
              <w:t>酗酒</w:t>
            </w:r>
          </w:p>
        </w:tc>
      </w:tr>
      <w:tr>
        <w:trPr>
          <w:trHeight w:val="319"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1.1 </w:t>
            </w:r>
            <w:r>
              <w:rPr>
                <w:rFonts w:ascii="仿宋" w:eastAsia="仿宋" w:hint="eastAsia"/>
                <w:sz w:val="21"/>
              </w:rPr>
              <w:t>保险合同构成</w:t>
            </w:r>
          </w:p>
        </w:tc>
        <w:tc>
          <w:tcPr>
            <w:tcW w:w="3138" w:type="dxa"/>
          </w:tcPr>
          <w:p>
            <w:pPr>
              <w:pStyle w:val="TableParagraph"/>
              <w:spacing w:line="270" w:lineRule="exact"/>
              <w:ind w:left="345"/>
              <w:rPr>
                <w:rFonts w:ascii="仿宋" w:eastAsia="仿宋" w:hint="eastAsia"/>
                <w:sz w:val="21"/>
              </w:rPr>
            </w:pPr>
            <w:r>
              <w:rPr>
                <w:sz w:val="21"/>
              </w:rPr>
              <w:t>5.1</w:t>
            </w:r>
            <w:r>
              <w:rPr>
                <w:spacing w:val="-62"/>
                <w:sz w:val="21"/>
              </w:rPr>
              <w:t> </w:t>
            </w:r>
            <w:r>
              <w:rPr>
                <w:rFonts w:ascii="仿宋" w:eastAsia="仿宋" w:hint="eastAsia"/>
                <w:spacing w:val="-3"/>
                <w:sz w:val="21"/>
              </w:rPr>
              <w:t>您解除合同的手续及风险</w:t>
            </w:r>
          </w:p>
        </w:tc>
        <w:tc>
          <w:tcPr>
            <w:tcW w:w="3170" w:type="dxa"/>
            <w:tcBorders>
              <w:right w:val="dotted" w:sz="6" w:space="0" w:color="000000"/>
            </w:tcBorders>
          </w:tcPr>
          <w:p>
            <w:pPr>
              <w:pStyle w:val="TableParagraph"/>
              <w:spacing w:line="270" w:lineRule="exact"/>
              <w:ind w:left="148"/>
              <w:rPr>
                <w:rFonts w:ascii="仿宋" w:eastAsia="仿宋" w:hint="eastAsia"/>
                <w:sz w:val="21"/>
              </w:rPr>
            </w:pPr>
            <w:r>
              <w:rPr>
                <w:sz w:val="21"/>
              </w:rPr>
              <w:t>7.9 </w:t>
            </w:r>
            <w:r>
              <w:rPr>
                <w:rFonts w:ascii="仿宋" w:eastAsia="仿宋" w:hint="eastAsia"/>
                <w:sz w:val="21"/>
              </w:rPr>
              <w:t>毒品</w:t>
            </w:r>
          </w:p>
        </w:tc>
      </w:tr>
      <w:tr>
        <w:trPr>
          <w:trHeight w:val="320"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1.2 </w:t>
            </w:r>
            <w:r>
              <w:rPr>
                <w:rFonts w:ascii="仿宋" w:eastAsia="仿宋" w:hint="eastAsia"/>
                <w:sz w:val="21"/>
              </w:rPr>
              <w:t>保险合同成立与生效</w:t>
            </w:r>
          </w:p>
        </w:tc>
        <w:tc>
          <w:tcPr>
            <w:tcW w:w="3138" w:type="dxa"/>
          </w:tcPr>
          <w:p>
            <w:pPr>
              <w:pStyle w:val="TableParagraph"/>
              <w:spacing w:line="272" w:lineRule="exact"/>
              <w:ind w:left="134"/>
              <w:rPr>
                <w:rFonts w:ascii="仿宋" w:eastAsia="仿宋" w:hint="eastAsia"/>
                <w:b/>
                <w:sz w:val="21"/>
              </w:rPr>
            </w:pPr>
            <w:r>
              <w:rPr>
                <w:b/>
                <w:sz w:val="21"/>
              </w:rPr>
              <w:t>6.</w:t>
            </w:r>
            <w:r>
              <w:rPr>
                <w:rFonts w:ascii="仿宋" w:eastAsia="仿宋" w:hint="eastAsia"/>
                <w:b/>
                <w:sz w:val="21"/>
              </w:rPr>
              <w:t>其他需要关注的事项</w:t>
            </w:r>
          </w:p>
        </w:tc>
        <w:tc>
          <w:tcPr>
            <w:tcW w:w="3170" w:type="dxa"/>
            <w:tcBorders>
              <w:right w:val="dotted" w:sz="6" w:space="0" w:color="000000"/>
            </w:tcBorders>
          </w:tcPr>
          <w:p>
            <w:pPr>
              <w:pStyle w:val="TableParagraph"/>
              <w:spacing w:line="272" w:lineRule="exact"/>
              <w:ind w:left="148"/>
              <w:rPr>
                <w:rFonts w:ascii="仿宋" w:eastAsia="仿宋" w:hint="eastAsia"/>
                <w:sz w:val="21"/>
              </w:rPr>
            </w:pPr>
            <w:r>
              <w:rPr>
                <w:sz w:val="21"/>
              </w:rPr>
              <w:t>7.10 </w:t>
            </w:r>
            <w:r>
              <w:rPr>
                <w:rFonts w:ascii="仿宋" w:eastAsia="仿宋" w:hint="eastAsia"/>
                <w:sz w:val="21"/>
              </w:rPr>
              <w:t>酒后驾驶</w:t>
            </w:r>
          </w:p>
        </w:tc>
      </w:tr>
      <w:tr>
        <w:trPr>
          <w:trHeight w:val="320" w:hRule="atLeast"/>
        </w:trPr>
        <w:tc>
          <w:tcPr>
            <w:tcW w:w="2829" w:type="dxa"/>
            <w:tcBorders>
              <w:left w:val="dotted" w:sz="6" w:space="0" w:color="000000"/>
            </w:tcBorders>
          </w:tcPr>
          <w:p>
            <w:pPr>
              <w:pStyle w:val="TableParagraph"/>
              <w:spacing w:line="259" w:lineRule="exact"/>
              <w:ind w:left="229"/>
              <w:rPr>
                <w:rFonts w:ascii="仿宋" w:eastAsia="仿宋" w:hint="eastAsia"/>
                <w:b/>
                <w:sz w:val="21"/>
              </w:rPr>
            </w:pPr>
            <w:r>
              <w:rPr>
                <w:b/>
                <w:sz w:val="21"/>
              </w:rPr>
              <w:t>2.</w:t>
            </w:r>
            <w:r>
              <w:rPr>
                <w:rFonts w:ascii="仿宋" w:eastAsia="仿宋" w:hint="eastAsia"/>
                <w:b/>
                <w:sz w:val="21"/>
              </w:rPr>
              <w:t>我们提供的保障</w:t>
            </w:r>
          </w:p>
        </w:tc>
        <w:tc>
          <w:tcPr>
            <w:tcW w:w="3138" w:type="dxa"/>
          </w:tcPr>
          <w:p>
            <w:pPr>
              <w:pStyle w:val="TableParagraph"/>
              <w:spacing w:line="271" w:lineRule="exact"/>
              <w:ind w:left="345"/>
              <w:rPr>
                <w:rFonts w:ascii="仿宋" w:eastAsia="仿宋" w:hint="eastAsia"/>
                <w:sz w:val="21"/>
              </w:rPr>
            </w:pPr>
            <w:r>
              <w:rPr>
                <w:sz w:val="21"/>
              </w:rPr>
              <w:t>6.1 </w:t>
            </w:r>
            <w:r>
              <w:rPr>
                <w:rFonts w:ascii="仿宋" w:eastAsia="仿宋" w:hint="eastAsia"/>
                <w:sz w:val="21"/>
              </w:rPr>
              <w:t>明确说明与如实告知</w:t>
            </w:r>
          </w:p>
        </w:tc>
        <w:tc>
          <w:tcPr>
            <w:tcW w:w="3170" w:type="dxa"/>
            <w:tcBorders>
              <w:right w:val="dotted" w:sz="6" w:space="0" w:color="000000"/>
            </w:tcBorders>
          </w:tcPr>
          <w:p>
            <w:pPr>
              <w:pStyle w:val="TableParagraph"/>
              <w:spacing w:line="271" w:lineRule="exact"/>
              <w:ind w:left="148"/>
              <w:rPr>
                <w:rFonts w:ascii="仿宋" w:eastAsia="仿宋" w:hint="eastAsia"/>
                <w:sz w:val="21"/>
              </w:rPr>
            </w:pPr>
            <w:r>
              <w:rPr>
                <w:sz w:val="21"/>
              </w:rPr>
              <w:t>7.11 </w:t>
            </w:r>
            <w:r>
              <w:rPr>
                <w:rFonts w:ascii="仿宋" w:eastAsia="仿宋" w:hint="eastAsia"/>
                <w:sz w:val="21"/>
              </w:rPr>
              <w:t>无合法有效驾驶证驾驶</w:t>
            </w:r>
          </w:p>
        </w:tc>
      </w:tr>
      <w:tr>
        <w:trPr>
          <w:trHeight w:val="319"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2.1 </w:t>
            </w:r>
            <w:r>
              <w:rPr>
                <w:rFonts w:ascii="仿宋" w:eastAsia="仿宋" w:hint="eastAsia"/>
                <w:sz w:val="21"/>
              </w:rPr>
              <w:t>保险期间和续保</w:t>
            </w:r>
          </w:p>
        </w:tc>
        <w:tc>
          <w:tcPr>
            <w:tcW w:w="3138" w:type="dxa"/>
          </w:tcPr>
          <w:p>
            <w:pPr>
              <w:pStyle w:val="TableParagraph"/>
              <w:spacing w:line="270" w:lineRule="exact"/>
              <w:ind w:left="345"/>
              <w:rPr>
                <w:rFonts w:ascii="仿宋" w:eastAsia="仿宋" w:hint="eastAsia"/>
                <w:sz w:val="21"/>
              </w:rPr>
            </w:pPr>
            <w:r>
              <w:rPr>
                <w:sz w:val="21"/>
              </w:rPr>
              <w:t>6.2 </w:t>
            </w:r>
            <w:r>
              <w:rPr>
                <w:rFonts w:ascii="仿宋" w:eastAsia="仿宋" w:hint="eastAsia"/>
                <w:sz w:val="21"/>
              </w:rPr>
              <w:t>我们合同解除权的限制</w:t>
            </w:r>
          </w:p>
        </w:tc>
        <w:tc>
          <w:tcPr>
            <w:tcW w:w="3170" w:type="dxa"/>
            <w:tcBorders>
              <w:right w:val="dotted" w:sz="6" w:space="0" w:color="000000"/>
            </w:tcBorders>
          </w:tcPr>
          <w:p>
            <w:pPr>
              <w:pStyle w:val="TableParagraph"/>
              <w:spacing w:line="270" w:lineRule="exact"/>
              <w:ind w:left="148"/>
              <w:rPr>
                <w:rFonts w:ascii="仿宋" w:eastAsia="仿宋" w:hint="eastAsia"/>
                <w:sz w:val="21"/>
              </w:rPr>
            </w:pPr>
            <w:r>
              <w:rPr>
                <w:sz w:val="21"/>
              </w:rPr>
              <w:t>7.12 </w:t>
            </w:r>
            <w:r>
              <w:rPr>
                <w:rFonts w:ascii="仿宋" w:eastAsia="仿宋" w:hint="eastAsia"/>
                <w:sz w:val="21"/>
              </w:rPr>
              <w:t>无有效行驶证照</w:t>
            </w:r>
          </w:p>
        </w:tc>
      </w:tr>
      <w:tr>
        <w:trPr>
          <w:trHeight w:val="320"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2.2 </w:t>
            </w:r>
            <w:r>
              <w:rPr>
                <w:rFonts w:ascii="仿宋" w:eastAsia="仿宋" w:hint="eastAsia"/>
                <w:sz w:val="21"/>
              </w:rPr>
              <w:t>投保条件</w:t>
            </w:r>
          </w:p>
        </w:tc>
        <w:tc>
          <w:tcPr>
            <w:tcW w:w="3138" w:type="dxa"/>
          </w:tcPr>
          <w:p>
            <w:pPr>
              <w:pStyle w:val="TableParagraph"/>
              <w:spacing w:line="272" w:lineRule="exact"/>
              <w:ind w:left="345"/>
              <w:rPr>
                <w:rFonts w:ascii="仿宋" w:eastAsia="仿宋" w:hint="eastAsia"/>
                <w:sz w:val="21"/>
              </w:rPr>
            </w:pPr>
            <w:r>
              <w:rPr>
                <w:sz w:val="21"/>
              </w:rPr>
              <w:t>6.3 </w:t>
            </w:r>
            <w:r>
              <w:rPr>
                <w:rFonts w:ascii="仿宋" w:eastAsia="仿宋" w:hint="eastAsia"/>
                <w:sz w:val="21"/>
              </w:rPr>
              <w:t>年龄性别错误</w:t>
            </w:r>
          </w:p>
        </w:tc>
        <w:tc>
          <w:tcPr>
            <w:tcW w:w="3170" w:type="dxa"/>
            <w:tcBorders>
              <w:right w:val="dotted" w:sz="6" w:space="0" w:color="000000"/>
            </w:tcBorders>
          </w:tcPr>
          <w:p>
            <w:pPr>
              <w:pStyle w:val="TableParagraph"/>
              <w:spacing w:line="272" w:lineRule="exact"/>
              <w:ind w:left="148"/>
              <w:rPr>
                <w:rFonts w:ascii="仿宋" w:eastAsia="仿宋" w:hint="eastAsia"/>
                <w:sz w:val="21"/>
              </w:rPr>
            </w:pPr>
            <w:r>
              <w:rPr>
                <w:sz w:val="21"/>
              </w:rPr>
              <w:t>7.13 </w:t>
            </w:r>
            <w:r>
              <w:rPr>
                <w:rFonts w:ascii="仿宋" w:eastAsia="仿宋" w:hint="eastAsia"/>
                <w:sz w:val="21"/>
              </w:rPr>
              <w:t>机动车</w:t>
            </w:r>
          </w:p>
        </w:tc>
      </w:tr>
      <w:tr>
        <w:trPr>
          <w:trHeight w:val="320" w:hRule="atLeast"/>
        </w:trPr>
        <w:tc>
          <w:tcPr>
            <w:tcW w:w="2829" w:type="dxa"/>
            <w:tcBorders>
              <w:left w:val="dotted" w:sz="6" w:space="0" w:color="000000"/>
            </w:tcBorders>
          </w:tcPr>
          <w:p>
            <w:pPr>
              <w:pStyle w:val="TableParagraph"/>
              <w:spacing w:line="259" w:lineRule="exact"/>
              <w:ind w:left="440"/>
              <w:rPr>
                <w:rFonts w:ascii="仿宋" w:eastAsia="仿宋" w:hint="eastAsia"/>
                <w:sz w:val="21"/>
              </w:rPr>
            </w:pPr>
            <w:r>
              <w:rPr>
                <w:sz w:val="21"/>
              </w:rPr>
              <w:t>2.3 </w:t>
            </w:r>
            <w:r>
              <w:rPr>
                <w:rFonts w:ascii="仿宋" w:eastAsia="仿宋" w:hint="eastAsia"/>
                <w:sz w:val="21"/>
              </w:rPr>
              <w:t>基本保险金额</w:t>
            </w:r>
          </w:p>
        </w:tc>
        <w:tc>
          <w:tcPr>
            <w:tcW w:w="3138" w:type="dxa"/>
          </w:tcPr>
          <w:p>
            <w:pPr>
              <w:pStyle w:val="TableParagraph"/>
              <w:spacing w:line="271" w:lineRule="exact"/>
              <w:ind w:left="345"/>
              <w:rPr>
                <w:rFonts w:ascii="仿宋" w:eastAsia="仿宋" w:hint="eastAsia"/>
                <w:sz w:val="21"/>
              </w:rPr>
            </w:pPr>
            <w:r>
              <w:rPr>
                <w:sz w:val="21"/>
              </w:rPr>
              <w:t>6.4 </w:t>
            </w:r>
            <w:r>
              <w:rPr>
                <w:rFonts w:ascii="仿宋" w:eastAsia="仿宋" w:hint="eastAsia"/>
                <w:sz w:val="21"/>
              </w:rPr>
              <w:t>合同内容变更</w:t>
            </w:r>
          </w:p>
        </w:tc>
        <w:tc>
          <w:tcPr>
            <w:tcW w:w="3170" w:type="dxa"/>
            <w:tcBorders>
              <w:right w:val="dotted" w:sz="6" w:space="0" w:color="000000"/>
            </w:tcBorders>
          </w:tcPr>
          <w:p>
            <w:pPr>
              <w:pStyle w:val="TableParagraph"/>
              <w:spacing w:line="271" w:lineRule="exact"/>
              <w:ind w:left="148"/>
              <w:rPr>
                <w:rFonts w:ascii="仿宋" w:eastAsia="仿宋" w:hint="eastAsia"/>
                <w:sz w:val="21"/>
              </w:rPr>
            </w:pPr>
            <w:r>
              <w:rPr>
                <w:sz w:val="21"/>
              </w:rPr>
              <w:t>7.14</w:t>
            </w:r>
            <w:r>
              <w:rPr>
                <w:spacing w:val="-61"/>
                <w:sz w:val="21"/>
              </w:rPr>
              <w:t> </w:t>
            </w:r>
            <w:r>
              <w:rPr>
                <w:rFonts w:ascii="仿宋" w:eastAsia="仿宋" w:hint="eastAsia"/>
                <w:spacing w:val="-3"/>
                <w:sz w:val="21"/>
              </w:rPr>
              <w:t>感染艾滋病病毒或患艾滋病</w:t>
            </w:r>
          </w:p>
        </w:tc>
      </w:tr>
      <w:tr>
        <w:trPr>
          <w:trHeight w:val="319"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2.4 </w:t>
            </w:r>
            <w:r>
              <w:rPr>
                <w:rFonts w:ascii="仿宋" w:eastAsia="仿宋" w:hint="eastAsia"/>
                <w:sz w:val="21"/>
              </w:rPr>
              <w:t>保险责任</w:t>
            </w:r>
          </w:p>
        </w:tc>
        <w:tc>
          <w:tcPr>
            <w:tcW w:w="3138" w:type="dxa"/>
          </w:tcPr>
          <w:p>
            <w:pPr>
              <w:pStyle w:val="TableParagraph"/>
              <w:spacing w:line="270" w:lineRule="exact"/>
              <w:ind w:left="345"/>
              <w:rPr>
                <w:rFonts w:ascii="仿宋" w:eastAsia="仿宋" w:hint="eastAsia"/>
                <w:sz w:val="21"/>
              </w:rPr>
            </w:pPr>
            <w:r>
              <w:rPr>
                <w:sz w:val="21"/>
              </w:rPr>
              <w:t>6.5 </w:t>
            </w:r>
            <w:r>
              <w:rPr>
                <w:rFonts w:ascii="仿宋" w:eastAsia="仿宋" w:hint="eastAsia"/>
                <w:sz w:val="21"/>
              </w:rPr>
              <w:t>联系方式变更</w:t>
            </w:r>
          </w:p>
        </w:tc>
        <w:tc>
          <w:tcPr>
            <w:tcW w:w="3170" w:type="dxa"/>
            <w:tcBorders>
              <w:right w:val="dotted" w:sz="6" w:space="0" w:color="000000"/>
            </w:tcBorders>
          </w:tcPr>
          <w:p>
            <w:pPr>
              <w:pStyle w:val="TableParagraph"/>
              <w:spacing w:line="270" w:lineRule="exact"/>
              <w:ind w:left="148"/>
              <w:rPr>
                <w:rFonts w:ascii="仿宋" w:eastAsia="仿宋" w:hint="eastAsia"/>
                <w:sz w:val="21"/>
              </w:rPr>
            </w:pPr>
            <w:r>
              <w:rPr>
                <w:sz w:val="21"/>
              </w:rPr>
              <w:t>7.15 </w:t>
            </w:r>
            <w:r>
              <w:rPr>
                <w:rFonts w:ascii="仿宋" w:eastAsia="仿宋" w:hint="eastAsia"/>
                <w:sz w:val="21"/>
              </w:rPr>
              <w:t>遗传性疾病</w:t>
            </w:r>
          </w:p>
        </w:tc>
      </w:tr>
      <w:tr>
        <w:trPr>
          <w:trHeight w:val="320"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2.5 </w:t>
            </w:r>
            <w:r>
              <w:rPr>
                <w:rFonts w:ascii="仿宋" w:eastAsia="仿宋" w:hint="eastAsia"/>
                <w:sz w:val="21"/>
              </w:rPr>
              <w:t>责任免除</w:t>
            </w:r>
          </w:p>
        </w:tc>
        <w:tc>
          <w:tcPr>
            <w:tcW w:w="3138" w:type="dxa"/>
          </w:tcPr>
          <w:p>
            <w:pPr>
              <w:pStyle w:val="TableParagraph"/>
              <w:spacing w:line="272" w:lineRule="exact"/>
              <w:ind w:left="345"/>
              <w:rPr>
                <w:rFonts w:ascii="仿宋" w:eastAsia="仿宋" w:hint="eastAsia"/>
                <w:sz w:val="21"/>
              </w:rPr>
            </w:pPr>
            <w:r>
              <w:rPr>
                <w:sz w:val="21"/>
              </w:rPr>
              <w:t>6.6 </w:t>
            </w:r>
            <w:r>
              <w:rPr>
                <w:rFonts w:ascii="仿宋" w:eastAsia="仿宋" w:hint="eastAsia"/>
                <w:sz w:val="21"/>
              </w:rPr>
              <w:t>争议处理</w:t>
            </w:r>
          </w:p>
        </w:tc>
        <w:tc>
          <w:tcPr>
            <w:tcW w:w="3170" w:type="dxa"/>
            <w:tcBorders>
              <w:right w:val="dotted" w:sz="6" w:space="0" w:color="000000"/>
            </w:tcBorders>
          </w:tcPr>
          <w:p>
            <w:pPr>
              <w:pStyle w:val="TableParagraph"/>
              <w:spacing w:line="272" w:lineRule="exact"/>
              <w:ind w:left="148"/>
              <w:rPr>
                <w:rFonts w:ascii="仿宋" w:eastAsia="仿宋" w:hint="eastAsia"/>
                <w:sz w:val="21"/>
              </w:rPr>
            </w:pPr>
            <w:r>
              <w:rPr>
                <w:sz w:val="21"/>
              </w:rPr>
              <w:t>7.16 </w:t>
            </w:r>
            <w:r>
              <w:rPr>
                <w:rFonts w:ascii="仿宋" w:eastAsia="仿宋" w:hint="eastAsia"/>
                <w:spacing w:val="-6"/>
                <w:sz w:val="21"/>
              </w:rPr>
              <w:t>先天性畸形、变形或染色体</w:t>
            </w:r>
          </w:p>
        </w:tc>
      </w:tr>
      <w:tr>
        <w:trPr>
          <w:trHeight w:val="320" w:hRule="atLeast"/>
        </w:trPr>
        <w:tc>
          <w:tcPr>
            <w:tcW w:w="2829" w:type="dxa"/>
            <w:tcBorders>
              <w:left w:val="dotted" w:sz="6" w:space="0" w:color="000000"/>
            </w:tcBorders>
          </w:tcPr>
          <w:p>
            <w:pPr>
              <w:pStyle w:val="TableParagraph"/>
              <w:spacing w:line="259" w:lineRule="exact"/>
              <w:ind w:left="229"/>
              <w:rPr>
                <w:rFonts w:ascii="仿宋" w:eastAsia="仿宋" w:hint="eastAsia"/>
                <w:b/>
                <w:sz w:val="21"/>
              </w:rPr>
            </w:pPr>
            <w:r>
              <w:rPr>
                <w:b/>
                <w:sz w:val="21"/>
              </w:rPr>
              <w:t>3.</w:t>
            </w:r>
            <w:r>
              <w:rPr>
                <w:rFonts w:ascii="仿宋" w:eastAsia="仿宋" w:hint="eastAsia"/>
                <w:b/>
                <w:sz w:val="21"/>
              </w:rPr>
              <w:t>如何申请领取保险金</w:t>
            </w:r>
          </w:p>
        </w:tc>
        <w:tc>
          <w:tcPr>
            <w:tcW w:w="3138" w:type="dxa"/>
          </w:tcPr>
          <w:p>
            <w:pPr>
              <w:pStyle w:val="TableParagraph"/>
              <w:spacing w:line="271" w:lineRule="exact"/>
              <w:ind w:left="134"/>
              <w:rPr>
                <w:rFonts w:ascii="仿宋" w:eastAsia="仿宋" w:hint="eastAsia"/>
                <w:b/>
                <w:sz w:val="21"/>
              </w:rPr>
            </w:pPr>
            <w:r>
              <w:rPr>
                <w:b/>
                <w:sz w:val="21"/>
              </w:rPr>
              <w:t>7.</w:t>
            </w:r>
            <w:r>
              <w:rPr>
                <w:rFonts w:ascii="仿宋" w:eastAsia="仿宋" w:hint="eastAsia"/>
                <w:b/>
                <w:sz w:val="21"/>
              </w:rPr>
              <w:t>释义</w:t>
            </w:r>
          </w:p>
        </w:tc>
        <w:tc>
          <w:tcPr>
            <w:tcW w:w="3170" w:type="dxa"/>
            <w:tcBorders>
              <w:right w:val="dotted" w:sz="6" w:space="0" w:color="000000"/>
            </w:tcBorders>
          </w:tcPr>
          <w:p>
            <w:pPr>
              <w:pStyle w:val="TableParagraph"/>
              <w:spacing w:line="271" w:lineRule="exact"/>
              <w:ind w:left="673"/>
              <w:rPr>
                <w:rFonts w:ascii="仿宋" w:eastAsia="仿宋" w:hint="eastAsia"/>
                <w:sz w:val="21"/>
              </w:rPr>
            </w:pPr>
            <w:r>
              <w:rPr>
                <w:rFonts w:ascii="仿宋" w:eastAsia="仿宋" w:hint="eastAsia"/>
                <w:sz w:val="21"/>
              </w:rPr>
              <w:t>异常</w:t>
            </w:r>
          </w:p>
        </w:tc>
      </w:tr>
      <w:tr>
        <w:trPr>
          <w:trHeight w:val="319"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3.1 </w:t>
            </w:r>
            <w:r>
              <w:rPr>
                <w:rFonts w:ascii="仿宋" w:eastAsia="仿宋" w:hint="eastAsia"/>
                <w:sz w:val="21"/>
              </w:rPr>
              <w:t>受益人</w:t>
            </w:r>
          </w:p>
        </w:tc>
        <w:tc>
          <w:tcPr>
            <w:tcW w:w="3138" w:type="dxa"/>
          </w:tcPr>
          <w:p>
            <w:pPr>
              <w:pStyle w:val="TableParagraph"/>
              <w:spacing w:line="270" w:lineRule="exact"/>
              <w:ind w:left="345"/>
              <w:rPr>
                <w:rFonts w:ascii="仿宋" w:eastAsia="仿宋" w:hint="eastAsia"/>
                <w:sz w:val="21"/>
              </w:rPr>
            </w:pPr>
            <w:r>
              <w:rPr>
                <w:sz w:val="21"/>
              </w:rPr>
              <w:t>7.1 </w:t>
            </w:r>
            <w:r>
              <w:rPr>
                <w:rFonts w:ascii="仿宋" w:eastAsia="仿宋" w:hint="eastAsia"/>
                <w:sz w:val="21"/>
              </w:rPr>
              <w:t>周岁</w:t>
            </w:r>
          </w:p>
        </w:tc>
        <w:tc>
          <w:tcPr>
            <w:tcW w:w="3170" w:type="dxa"/>
            <w:tcBorders>
              <w:right w:val="dotted" w:sz="6" w:space="0" w:color="000000"/>
            </w:tcBorders>
          </w:tcPr>
          <w:p>
            <w:pPr>
              <w:pStyle w:val="TableParagraph"/>
              <w:spacing w:line="270" w:lineRule="exact"/>
              <w:ind w:left="148"/>
              <w:rPr>
                <w:rFonts w:ascii="仿宋" w:eastAsia="仿宋" w:hint="eastAsia"/>
                <w:sz w:val="21"/>
              </w:rPr>
            </w:pPr>
            <w:r>
              <w:rPr>
                <w:sz w:val="21"/>
              </w:rPr>
              <w:t>7.17 </w:t>
            </w:r>
            <w:r>
              <w:rPr>
                <w:rFonts w:ascii="仿宋" w:eastAsia="仿宋" w:hint="eastAsia"/>
                <w:sz w:val="21"/>
              </w:rPr>
              <w:t>现金价值</w:t>
            </w:r>
          </w:p>
        </w:tc>
      </w:tr>
      <w:tr>
        <w:trPr>
          <w:trHeight w:val="320" w:hRule="atLeast"/>
        </w:trPr>
        <w:tc>
          <w:tcPr>
            <w:tcW w:w="2829" w:type="dxa"/>
            <w:tcBorders>
              <w:left w:val="dotted" w:sz="6" w:space="0" w:color="000000"/>
            </w:tcBorders>
          </w:tcPr>
          <w:p>
            <w:pPr>
              <w:pStyle w:val="TableParagraph"/>
              <w:spacing w:line="261" w:lineRule="exact"/>
              <w:ind w:left="440"/>
              <w:rPr>
                <w:rFonts w:ascii="仿宋" w:eastAsia="仿宋" w:hint="eastAsia"/>
                <w:sz w:val="21"/>
              </w:rPr>
            </w:pPr>
            <w:r>
              <w:rPr>
                <w:sz w:val="21"/>
              </w:rPr>
              <w:t>3.2 </w:t>
            </w:r>
            <w:r>
              <w:rPr>
                <w:rFonts w:ascii="仿宋" w:eastAsia="仿宋" w:hint="eastAsia"/>
                <w:sz w:val="21"/>
              </w:rPr>
              <w:t>保险事故通知</w:t>
            </w:r>
          </w:p>
        </w:tc>
        <w:tc>
          <w:tcPr>
            <w:tcW w:w="3138" w:type="dxa"/>
          </w:tcPr>
          <w:p>
            <w:pPr>
              <w:pStyle w:val="TableParagraph"/>
              <w:spacing w:line="273" w:lineRule="exact"/>
              <w:ind w:left="345"/>
              <w:rPr>
                <w:rFonts w:ascii="仿宋" w:eastAsia="仿宋" w:hint="eastAsia"/>
                <w:sz w:val="21"/>
              </w:rPr>
            </w:pPr>
            <w:r>
              <w:rPr>
                <w:sz w:val="21"/>
              </w:rPr>
              <w:t>7.2 </w:t>
            </w:r>
            <w:r>
              <w:rPr>
                <w:rFonts w:ascii="仿宋" w:eastAsia="仿宋" w:hint="eastAsia"/>
                <w:sz w:val="21"/>
              </w:rPr>
              <w:t>连续投保</w:t>
            </w:r>
          </w:p>
        </w:tc>
        <w:tc>
          <w:tcPr>
            <w:tcW w:w="3170" w:type="dxa"/>
            <w:tcBorders>
              <w:right w:val="dotted" w:sz="6" w:space="0" w:color="000000"/>
            </w:tcBorders>
          </w:tcPr>
          <w:p>
            <w:pPr>
              <w:pStyle w:val="TableParagraph"/>
              <w:spacing w:line="273" w:lineRule="exact"/>
              <w:ind w:left="148"/>
              <w:rPr>
                <w:rFonts w:ascii="仿宋" w:eastAsia="仿宋" w:hint="eastAsia"/>
                <w:sz w:val="21"/>
              </w:rPr>
            </w:pPr>
            <w:r>
              <w:rPr>
                <w:sz w:val="21"/>
              </w:rPr>
              <w:t>7.18 </w:t>
            </w:r>
            <w:r>
              <w:rPr>
                <w:rFonts w:ascii="仿宋" w:eastAsia="仿宋" w:hint="eastAsia"/>
                <w:sz w:val="21"/>
              </w:rPr>
              <w:t>有效身份证件</w:t>
            </w:r>
          </w:p>
        </w:tc>
      </w:tr>
      <w:tr>
        <w:trPr>
          <w:trHeight w:val="320" w:hRule="atLeast"/>
        </w:trPr>
        <w:tc>
          <w:tcPr>
            <w:tcW w:w="2829" w:type="dxa"/>
            <w:tcBorders>
              <w:left w:val="dotted" w:sz="6" w:space="0" w:color="000000"/>
            </w:tcBorders>
          </w:tcPr>
          <w:p>
            <w:pPr>
              <w:pStyle w:val="TableParagraph"/>
              <w:spacing w:line="259" w:lineRule="exact"/>
              <w:ind w:left="440"/>
              <w:rPr>
                <w:rFonts w:ascii="仿宋" w:eastAsia="仿宋" w:hint="eastAsia"/>
                <w:sz w:val="21"/>
              </w:rPr>
            </w:pPr>
            <w:r>
              <w:rPr>
                <w:sz w:val="21"/>
              </w:rPr>
              <w:t>3.3 </w:t>
            </w:r>
            <w:r>
              <w:rPr>
                <w:rFonts w:ascii="仿宋" w:eastAsia="仿宋" w:hint="eastAsia"/>
                <w:sz w:val="21"/>
              </w:rPr>
              <w:t>保险金申请</w:t>
            </w:r>
          </w:p>
        </w:tc>
        <w:tc>
          <w:tcPr>
            <w:tcW w:w="3138" w:type="dxa"/>
          </w:tcPr>
          <w:p>
            <w:pPr>
              <w:pStyle w:val="TableParagraph"/>
              <w:spacing w:line="271" w:lineRule="exact"/>
              <w:ind w:left="345"/>
              <w:rPr>
                <w:rFonts w:ascii="仿宋" w:eastAsia="仿宋" w:hint="eastAsia"/>
                <w:sz w:val="21"/>
              </w:rPr>
            </w:pPr>
            <w:r>
              <w:rPr>
                <w:sz w:val="21"/>
              </w:rPr>
              <w:t>7.3 </w:t>
            </w:r>
            <w:r>
              <w:rPr>
                <w:rFonts w:ascii="仿宋" w:eastAsia="仿宋" w:hint="eastAsia"/>
                <w:sz w:val="21"/>
              </w:rPr>
              <w:t>意外伤害事故</w:t>
            </w:r>
          </w:p>
        </w:tc>
        <w:tc>
          <w:tcPr>
            <w:tcW w:w="3170" w:type="dxa"/>
            <w:tcBorders>
              <w:right w:val="dotted" w:sz="6" w:space="0" w:color="000000"/>
            </w:tcBorders>
          </w:tcPr>
          <w:p>
            <w:pPr>
              <w:pStyle w:val="TableParagraph"/>
              <w:rPr>
                <w:rFonts w:ascii="Times New Roman"/>
                <w:sz w:val="20"/>
              </w:rPr>
            </w:pPr>
          </w:p>
        </w:tc>
      </w:tr>
      <w:tr>
        <w:trPr>
          <w:trHeight w:val="319"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3.4 </w:t>
            </w:r>
            <w:r>
              <w:rPr>
                <w:rFonts w:ascii="仿宋" w:eastAsia="仿宋" w:hint="eastAsia"/>
                <w:sz w:val="21"/>
              </w:rPr>
              <w:t>保险金给付</w:t>
            </w:r>
          </w:p>
        </w:tc>
        <w:tc>
          <w:tcPr>
            <w:tcW w:w="3138" w:type="dxa"/>
          </w:tcPr>
          <w:p>
            <w:pPr>
              <w:pStyle w:val="TableParagraph"/>
              <w:spacing w:line="270" w:lineRule="exact"/>
              <w:ind w:left="345"/>
              <w:rPr>
                <w:rFonts w:ascii="仿宋" w:eastAsia="仿宋" w:hint="eastAsia"/>
                <w:sz w:val="21"/>
              </w:rPr>
            </w:pPr>
            <w:r>
              <w:rPr>
                <w:sz w:val="21"/>
              </w:rPr>
              <w:t>7.4 </w:t>
            </w:r>
            <w:r>
              <w:rPr>
                <w:rFonts w:ascii="仿宋" w:eastAsia="仿宋" w:hint="eastAsia"/>
                <w:sz w:val="21"/>
              </w:rPr>
              <w:t>重大疾病</w:t>
            </w:r>
          </w:p>
        </w:tc>
        <w:tc>
          <w:tcPr>
            <w:tcW w:w="3170" w:type="dxa"/>
            <w:tcBorders>
              <w:right w:val="dotted" w:sz="6" w:space="0" w:color="000000"/>
            </w:tcBorders>
          </w:tcPr>
          <w:p>
            <w:pPr>
              <w:pStyle w:val="TableParagraph"/>
              <w:rPr>
                <w:rFonts w:ascii="Times New Roman"/>
                <w:sz w:val="20"/>
              </w:rPr>
            </w:pPr>
          </w:p>
        </w:tc>
      </w:tr>
      <w:tr>
        <w:trPr>
          <w:trHeight w:val="320" w:hRule="atLeast"/>
        </w:trPr>
        <w:tc>
          <w:tcPr>
            <w:tcW w:w="2829" w:type="dxa"/>
            <w:tcBorders>
              <w:left w:val="dotted" w:sz="6" w:space="0" w:color="000000"/>
            </w:tcBorders>
          </w:tcPr>
          <w:p>
            <w:pPr>
              <w:pStyle w:val="TableParagraph"/>
              <w:spacing w:line="260" w:lineRule="exact"/>
              <w:ind w:left="440"/>
              <w:rPr>
                <w:rFonts w:ascii="仿宋" w:eastAsia="仿宋" w:hint="eastAsia"/>
                <w:sz w:val="21"/>
              </w:rPr>
            </w:pPr>
            <w:r>
              <w:rPr>
                <w:sz w:val="21"/>
              </w:rPr>
              <w:t>3.5 </w:t>
            </w:r>
            <w:r>
              <w:rPr>
                <w:rFonts w:ascii="仿宋" w:eastAsia="仿宋" w:hint="eastAsia"/>
                <w:sz w:val="21"/>
              </w:rPr>
              <w:t>诉讼时效</w:t>
            </w:r>
          </w:p>
        </w:tc>
        <w:tc>
          <w:tcPr>
            <w:tcW w:w="3138" w:type="dxa"/>
          </w:tcPr>
          <w:p>
            <w:pPr>
              <w:pStyle w:val="TableParagraph"/>
              <w:spacing w:line="272" w:lineRule="exact"/>
              <w:ind w:left="345"/>
              <w:rPr>
                <w:rFonts w:ascii="仿宋" w:eastAsia="仿宋" w:hint="eastAsia"/>
                <w:sz w:val="21"/>
              </w:rPr>
            </w:pPr>
            <w:r>
              <w:rPr>
                <w:sz w:val="21"/>
              </w:rPr>
              <w:t>7.5 </w:t>
            </w:r>
            <w:r>
              <w:rPr>
                <w:rFonts w:ascii="仿宋" w:eastAsia="仿宋" w:hint="eastAsia"/>
                <w:sz w:val="21"/>
              </w:rPr>
              <w:t>初次发生</w:t>
            </w:r>
          </w:p>
        </w:tc>
        <w:tc>
          <w:tcPr>
            <w:tcW w:w="3170" w:type="dxa"/>
            <w:tcBorders>
              <w:right w:val="dotted" w:sz="6" w:space="0" w:color="000000"/>
            </w:tcBorders>
          </w:tcPr>
          <w:p>
            <w:pPr>
              <w:pStyle w:val="TableParagraph"/>
              <w:rPr>
                <w:rFonts w:ascii="Times New Roman"/>
                <w:sz w:val="20"/>
              </w:rPr>
            </w:pPr>
          </w:p>
        </w:tc>
      </w:tr>
      <w:tr>
        <w:trPr>
          <w:trHeight w:val="320" w:hRule="atLeast"/>
        </w:trPr>
        <w:tc>
          <w:tcPr>
            <w:tcW w:w="2829" w:type="dxa"/>
            <w:tcBorders>
              <w:left w:val="dotted" w:sz="6" w:space="0" w:color="000000"/>
            </w:tcBorders>
          </w:tcPr>
          <w:p>
            <w:pPr>
              <w:pStyle w:val="TableParagraph"/>
              <w:spacing w:line="259" w:lineRule="exact"/>
              <w:ind w:left="229"/>
              <w:rPr>
                <w:rFonts w:ascii="仿宋" w:eastAsia="仿宋" w:hint="eastAsia"/>
                <w:b/>
                <w:sz w:val="21"/>
              </w:rPr>
            </w:pPr>
            <w:r>
              <w:rPr>
                <w:b/>
                <w:sz w:val="21"/>
              </w:rPr>
              <w:t>4.</w:t>
            </w:r>
            <w:r>
              <w:rPr>
                <w:rFonts w:ascii="仿宋" w:eastAsia="仿宋" w:hint="eastAsia"/>
                <w:b/>
                <w:sz w:val="21"/>
              </w:rPr>
              <w:t>如何支付保险费</w:t>
            </w:r>
          </w:p>
        </w:tc>
        <w:tc>
          <w:tcPr>
            <w:tcW w:w="3138" w:type="dxa"/>
          </w:tcPr>
          <w:p>
            <w:pPr>
              <w:pStyle w:val="TableParagraph"/>
              <w:spacing w:line="271" w:lineRule="exact"/>
              <w:ind w:left="345"/>
              <w:rPr>
                <w:rFonts w:ascii="仿宋" w:eastAsia="仿宋" w:hint="eastAsia"/>
                <w:sz w:val="21"/>
              </w:rPr>
            </w:pPr>
            <w:r>
              <w:rPr>
                <w:sz w:val="21"/>
              </w:rPr>
              <w:t>7.6 </w:t>
            </w:r>
            <w:r>
              <w:rPr>
                <w:rFonts w:ascii="仿宋" w:eastAsia="仿宋" w:hint="eastAsia"/>
                <w:sz w:val="21"/>
              </w:rPr>
              <w:t>医院</w:t>
            </w:r>
          </w:p>
        </w:tc>
        <w:tc>
          <w:tcPr>
            <w:tcW w:w="3170" w:type="dxa"/>
            <w:tcBorders>
              <w:right w:val="dotted" w:sz="6" w:space="0" w:color="000000"/>
            </w:tcBorders>
          </w:tcPr>
          <w:p>
            <w:pPr>
              <w:pStyle w:val="TableParagraph"/>
              <w:rPr>
                <w:rFonts w:ascii="Times New Roman"/>
                <w:sz w:val="20"/>
              </w:rPr>
            </w:pPr>
          </w:p>
        </w:tc>
      </w:tr>
      <w:tr>
        <w:trPr>
          <w:trHeight w:val="562" w:hRule="atLeast"/>
        </w:trPr>
        <w:tc>
          <w:tcPr>
            <w:tcW w:w="2829" w:type="dxa"/>
            <w:tcBorders>
              <w:left w:val="dotted" w:sz="6" w:space="0" w:color="000000"/>
              <w:bottom w:val="dotted" w:sz="6" w:space="0" w:color="000000"/>
            </w:tcBorders>
          </w:tcPr>
          <w:p>
            <w:pPr>
              <w:pStyle w:val="TableParagraph"/>
              <w:spacing w:line="260" w:lineRule="exact"/>
              <w:ind w:left="440"/>
              <w:rPr>
                <w:rFonts w:ascii="仿宋" w:eastAsia="仿宋" w:hint="eastAsia"/>
                <w:sz w:val="21"/>
              </w:rPr>
            </w:pPr>
            <w:r>
              <w:rPr>
                <w:sz w:val="21"/>
              </w:rPr>
              <w:t>4.1 </w:t>
            </w:r>
            <w:r>
              <w:rPr>
                <w:rFonts w:ascii="仿宋" w:eastAsia="仿宋" w:hint="eastAsia"/>
                <w:sz w:val="21"/>
              </w:rPr>
              <w:t>保险费的支付</w:t>
            </w:r>
          </w:p>
        </w:tc>
        <w:tc>
          <w:tcPr>
            <w:tcW w:w="3138" w:type="dxa"/>
            <w:tcBorders>
              <w:bottom w:val="dotted" w:sz="6" w:space="0" w:color="000000"/>
            </w:tcBorders>
          </w:tcPr>
          <w:p>
            <w:pPr>
              <w:pStyle w:val="TableParagraph"/>
              <w:spacing w:line="270" w:lineRule="exact"/>
              <w:ind w:left="345"/>
              <w:rPr>
                <w:rFonts w:ascii="仿宋" w:eastAsia="仿宋" w:hint="eastAsia"/>
                <w:sz w:val="21"/>
              </w:rPr>
            </w:pPr>
            <w:r>
              <w:rPr>
                <w:sz w:val="21"/>
              </w:rPr>
              <w:t>7.7 </w:t>
            </w:r>
            <w:r>
              <w:rPr>
                <w:rFonts w:ascii="仿宋" w:eastAsia="仿宋" w:hint="eastAsia"/>
                <w:sz w:val="21"/>
              </w:rPr>
              <w:t>专科医生</w:t>
            </w:r>
          </w:p>
        </w:tc>
        <w:tc>
          <w:tcPr>
            <w:tcW w:w="3170" w:type="dxa"/>
            <w:tcBorders>
              <w:bottom w:val="dotted" w:sz="6" w:space="0" w:color="000000"/>
              <w:right w:val="dotted" w:sz="6"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480" w:bottom="280" w:left="660" w:right="1000"/>
        </w:sectPr>
      </w:pPr>
    </w:p>
    <w:p>
      <w:pPr>
        <w:pStyle w:val="BodyText"/>
        <w:spacing w:before="0"/>
        <w:ind w:left="320"/>
        <w:rPr>
          <w:sz w:val="20"/>
        </w:rPr>
      </w:pPr>
      <w:r>
        <w:rPr>
          <w:sz w:val="20"/>
        </w:rPr>
        <w:drawing>
          <wp:inline distT="0" distB="0" distL="0" distR="0">
            <wp:extent cx="6234508" cy="85039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34508" cy="850392"/>
                    </a:xfrm>
                    <a:prstGeom prst="rect">
                      <a:avLst/>
                    </a:prstGeom>
                  </pic:spPr>
                </pic:pic>
              </a:graphicData>
            </a:graphic>
          </wp:inline>
        </w:drawing>
      </w:r>
      <w:r>
        <w:rPr>
          <w:sz w:val="20"/>
        </w:rPr>
      </w:r>
    </w:p>
    <w:p>
      <w:pPr>
        <w:pStyle w:val="BodyText"/>
        <w:spacing w:before="0"/>
        <w:ind w:left="0"/>
        <w:rPr>
          <w:b/>
          <w:sz w:val="20"/>
        </w:rPr>
      </w:pPr>
    </w:p>
    <w:p>
      <w:pPr>
        <w:spacing w:before="116"/>
        <w:ind w:left="2953" w:right="0" w:firstLine="0"/>
        <w:jc w:val="left"/>
        <w:rPr>
          <w:rFonts w:ascii="微软雅黑" w:eastAsia="微软雅黑" w:hint="eastAsia"/>
          <w:b/>
          <w:sz w:val="32"/>
        </w:rPr>
      </w:pPr>
      <w:r>
        <w:rPr>
          <w:rFonts w:ascii="微软雅黑" w:eastAsia="微软雅黑" w:hint="eastAsia"/>
          <w:b/>
          <w:sz w:val="32"/>
        </w:rPr>
        <w:t>国华 2 号重大疾病保险 C 款条款</w:t>
      </w:r>
    </w:p>
    <w:p>
      <w:pPr>
        <w:pStyle w:val="BodyText"/>
        <w:spacing w:before="6"/>
        <w:ind w:left="0"/>
        <w:rPr>
          <w:rFonts w:ascii="微软雅黑"/>
          <w:b/>
          <w:sz w:val="42"/>
        </w:rPr>
      </w:pPr>
    </w:p>
    <w:p>
      <w:pPr>
        <w:pStyle w:val="BodyText"/>
        <w:spacing w:before="0"/>
        <w:ind w:left="320"/>
      </w:pPr>
      <w:r>
        <w:rPr>
          <w:spacing w:val="-23"/>
          <w:w w:val="100"/>
        </w:rPr>
        <w:t>在本条款中，“您”指投保人，“我们”、“本公司”均指国华人寿保险股份有限公司。</w:t>
      </w:r>
    </w:p>
    <w:p>
      <w:pPr>
        <w:pStyle w:val="BodyText"/>
        <w:spacing w:before="0"/>
        <w:ind w:left="0"/>
        <w:rPr>
          <w:sz w:val="20"/>
        </w:rPr>
      </w:pPr>
    </w:p>
    <w:p>
      <w:pPr>
        <w:pStyle w:val="BodyText"/>
        <w:spacing w:before="4"/>
        <w:ind w:left="0"/>
        <w:rPr>
          <w:sz w:val="1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0"/>
        <w:gridCol w:w="7381"/>
      </w:tblGrid>
      <w:tr>
        <w:trPr>
          <w:trHeight w:val="522" w:hRule="atLeast"/>
        </w:trPr>
        <w:tc>
          <w:tcPr>
            <w:tcW w:w="607"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970" w:type="dxa"/>
            <w:tcBorders>
              <w:bottom w:val="single" w:sz="8" w:space="0" w:color="000000"/>
            </w:tcBorders>
          </w:tcPr>
          <w:p>
            <w:pPr>
              <w:pStyle w:val="TableParagraph"/>
              <w:spacing w:before="14"/>
              <w:ind w:left="142"/>
              <w:rPr>
                <w:b/>
                <w:sz w:val="24"/>
              </w:rPr>
            </w:pPr>
            <w:r>
              <w:rPr>
                <w:b/>
                <w:w w:val="95"/>
                <w:sz w:val="24"/>
              </w:rPr>
              <w:t>您与我们的合同</w:t>
            </w:r>
          </w:p>
        </w:tc>
        <w:tc>
          <w:tcPr>
            <w:tcW w:w="7381" w:type="dxa"/>
            <w:tcBorders>
              <w:bottom w:val="single" w:sz="8" w:space="0" w:color="000000"/>
            </w:tcBorders>
          </w:tcPr>
          <w:p>
            <w:pPr>
              <w:pStyle w:val="TableParagraph"/>
              <w:rPr>
                <w:rFonts w:ascii="Times New Roman"/>
                <w:sz w:val="20"/>
              </w:rPr>
            </w:pPr>
          </w:p>
        </w:tc>
      </w:tr>
      <w:tr>
        <w:trPr>
          <w:trHeight w:val="2031" w:hRule="atLeast"/>
        </w:trPr>
        <w:tc>
          <w:tcPr>
            <w:tcW w:w="607" w:type="dxa"/>
            <w:tcBorders>
              <w:top w:val="single" w:sz="8" w:space="0" w:color="000000"/>
            </w:tcBorders>
          </w:tcPr>
          <w:p>
            <w:pPr>
              <w:pStyle w:val="TableParagraph"/>
              <w:spacing w:before="1"/>
              <w:rPr>
                <w:sz w:val="23"/>
              </w:rPr>
            </w:pPr>
          </w:p>
          <w:p>
            <w:pPr>
              <w:pStyle w:val="TableParagraph"/>
              <w:ind w:left="107"/>
              <w:rPr>
                <w:b/>
                <w:sz w:val="21"/>
              </w:rPr>
            </w:pPr>
            <w:r>
              <w:rPr>
                <w:b/>
                <w:sz w:val="21"/>
              </w:rPr>
              <w:t>1.1</w:t>
            </w:r>
          </w:p>
        </w:tc>
        <w:tc>
          <w:tcPr>
            <w:tcW w:w="1970" w:type="dxa"/>
            <w:tcBorders>
              <w:top w:val="single" w:sz="8" w:space="0" w:color="000000"/>
            </w:tcBorders>
          </w:tcPr>
          <w:p>
            <w:pPr>
              <w:pStyle w:val="TableParagraph"/>
              <w:spacing w:before="1"/>
              <w:rPr>
                <w:sz w:val="23"/>
              </w:rPr>
            </w:pPr>
          </w:p>
          <w:p>
            <w:pPr>
              <w:pStyle w:val="TableParagraph"/>
              <w:ind w:left="142"/>
              <w:rPr>
                <w:b/>
                <w:sz w:val="21"/>
              </w:rPr>
            </w:pPr>
            <w:r>
              <w:rPr>
                <w:b/>
                <w:sz w:val="21"/>
              </w:rPr>
              <w:t>保险合同构成</w:t>
            </w:r>
          </w:p>
        </w:tc>
        <w:tc>
          <w:tcPr>
            <w:tcW w:w="7381" w:type="dxa"/>
            <w:tcBorders>
              <w:top w:val="single" w:sz="8" w:space="0" w:color="000000"/>
            </w:tcBorders>
          </w:tcPr>
          <w:p>
            <w:pPr>
              <w:pStyle w:val="TableParagraph"/>
              <w:spacing w:before="1"/>
              <w:rPr>
                <w:sz w:val="23"/>
              </w:rPr>
            </w:pPr>
          </w:p>
          <w:p>
            <w:pPr>
              <w:pStyle w:val="TableParagraph"/>
              <w:spacing w:line="273" w:lineRule="auto"/>
              <w:ind w:left="159" w:right="178"/>
              <w:rPr>
                <w:sz w:val="21"/>
              </w:rPr>
            </w:pPr>
            <w:r>
              <w:rPr>
                <w:spacing w:val="-2"/>
                <w:w w:val="100"/>
                <w:sz w:val="21"/>
              </w:rPr>
              <w:t>本保险合同</w:t>
            </w:r>
            <w:r>
              <w:rPr>
                <w:w w:val="100"/>
                <w:sz w:val="21"/>
              </w:rPr>
              <w:t>（</w:t>
            </w:r>
            <w:r>
              <w:rPr>
                <w:spacing w:val="-15"/>
                <w:w w:val="100"/>
                <w:sz w:val="21"/>
              </w:rPr>
              <w:t>以下简称“本合同”</w:t>
            </w:r>
            <w:r>
              <w:rPr>
                <w:spacing w:val="-3"/>
                <w:w w:val="100"/>
                <w:sz w:val="21"/>
              </w:rPr>
              <w:t>）指您与我们之间订立的“国华</w:t>
            </w:r>
            <w:r>
              <w:rPr>
                <w:spacing w:val="-3"/>
                <w:sz w:val="21"/>
              </w:rPr>
              <w:t> </w:t>
            </w:r>
            <w:r>
              <w:rPr>
                <w:w w:val="100"/>
                <w:sz w:val="21"/>
              </w:rPr>
              <w:t>2</w:t>
            </w:r>
            <w:r>
              <w:rPr>
                <w:spacing w:val="-55"/>
                <w:sz w:val="21"/>
              </w:rPr>
              <w:t> </w:t>
            </w:r>
            <w:r>
              <w:rPr>
                <w:spacing w:val="-2"/>
                <w:w w:val="100"/>
                <w:sz w:val="21"/>
              </w:rPr>
              <w:t>号重大疾</w:t>
            </w:r>
            <w:r>
              <w:rPr>
                <w:spacing w:val="-14"/>
                <w:sz w:val="21"/>
              </w:rPr>
              <w:t>病保险 </w:t>
            </w:r>
            <w:r>
              <w:rPr>
                <w:sz w:val="21"/>
              </w:rPr>
              <w:t>C</w:t>
            </w:r>
            <w:r>
              <w:rPr>
                <w:spacing w:val="-29"/>
                <w:sz w:val="21"/>
              </w:rPr>
              <w:t> 款合同”。</w:t>
            </w:r>
          </w:p>
          <w:p>
            <w:pPr>
              <w:pStyle w:val="TableParagraph"/>
              <w:spacing w:before="5"/>
              <w:rPr>
                <w:sz w:val="24"/>
              </w:rPr>
            </w:pPr>
          </w:p>
          <w:p>
            <w:pPr>
              <w:pStyle w:val="TableParagraph"/>
              <w:spacing w:line="273" w:lineRule="auto"/>
              <w:ind w:left="159" w:right="63"/>
              <w:rPr>
                <w:sz w:val="21"/>
              </w:rPr>
            </w:pPr>
            <w:r>
              <w:rPr>
                <w:sz w:val="21"/>
              </w:rPr>
              <w:t>本合同由保险单、保险条款、投保单，以及与本合同有关的投保文件、合法有效的声明、批注、批单和其他书面协议共同构成。</w:t>
            </w:r>
          </w:p>
        </w:tc>
      </w:tr>
      <w:tr>
        <w:trPr>
          <w:trHeight w:val="1897" w:hRule="atLeast"/>
        </w:trPr>
        <w:tc>
          <w:tcPr>
            <w:tcW w:w="607" w:type="dxa"/>
          </w:tcPr>
          <w:p>
            <w:pPr>
              <w:pStyle w:val="TableParagraph"/>
              <w:spacing w:before="142"/>
              <w:ind w:left="107"/>
              <w:rPr>
                <w:b/>
                <w:sz w:val="21"/>
              </w:rPr>
            </w:pPr>
            <w:r>
              <w:rPr>
                <w:b/>
                <w:sz w:val="21"/>
              </w:rPr>
              <w:t>1.2</w:t>
            </w:r>
          </w:p>
        </w:tc>
        <w:tc>
          <w:tcPr>
            <w:tcW w:w="1970" w:type="dxa"/>
          </w:tcPr>
          <w:p>
            <w:pPr>
              <w:pStyle w:val="TableParagraph"/>
              <w:spacing w:line="273" w:lineRule="auto" w:before="142"/>
              <w:ind w:left="142" w:right="136"/>
              <w:rPr>
                <w:b/>
                <w:sz w:val="21"/>
              </w:rPr>
            </w:pPr>
            <w:r>
              <w:rPr>
                <w:b/>
                <w:sz w:val="21"/>
              </w:rPr>
              <w:t>保险合同成立与生效</w:t>
            </w:r>
          </w:p>
        </w:tc>
        <w:tc>
          <w:tcPr>
            <w:tcW w:w="7381" w:type="dxa"/>
          </w:tcPr>
          <w:p>
            <w:pPr>
              <w:pStyle w:val="TableParagraph"/>
              <w:spacing w:before="142"/>
              <w:ind w:left="159"/>
              <w:rPr>
                <w:sz w:val="21"/>
              </w:rPr>
            </w:pPr>
            <w:r>
              <w:rPr>
                <w:sz w:val="21"/>
              </w:rPr>
              <w:t>您提出保险申请、我们同意承保，本合同成立。</w:t>
            </w:r>
          </w:p>
          <w:p>
            <w:pPr>
              <w:pStyle w:val="TableParagraph"/>
              <w:spacing w:before="8"/>
              <w:rPr>
                <w:sz w:val="26"/>
              </w:rPr>
            </w:pPr>
          </w:p>
          <w:p>
            <w:pPr>
              <w:pStyle w:val="TableParagraph"/>
              <w:spacing w:line="273" w:lineRule="auto"/>
              <w:ind w:left="159" w:right="99"/>
              <w:jc w:val="both"/>
              <w:rPr>
                <w:sz w:val="21"/>
              </w:rPr>
            </w:pPr>
            <w:r>
              <w:rPr>
                <w:spacing w:val="-6"/>
                <w:sz w:val="21"/>
              </w:rPr>
              <w:t>本合同自我们同意承保、收取首期保险费并签发保险单开始生效，具体生效日以保险单所载的日期为准。保险费约定支付日和保单满期日均以本合同生效日</w:t>
            </w:r>
            <w:r>
              <w:rPr>
                <w:spacing w:val="-4"/>
                <w:sz w:val="21"/>
              </w:rPr>
              <w:t>计算。如当月无对应同一日，则以该月最后一日作为对应日。</w:t>
            </w:r>
          </w:p>
        </w:tc>
      </w:tr>
      <w:tr>
        <w:trPr>
          <w:trHeight w:val="753" w:hRule="atLeast"/>
        </w:trPr>
        <w:tc>
          <w:tcPr>
            <w:tcW w:w="6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70" w:type="dxa"/>
            <w:tcBorders>
              <w:bottom w:val="single" w:sz="8" w:space="0" w:color="000000"/>
            </w:tcBorders>
          </w:tcPr>
          <w:p>
            <w:pPr>
              <w:pStyle w:val="TableParagraph"/>
              <w:spacing w:before="10"/>
              <w:rPr>
                <w:sz w:val="18"/>
              </w:rPr>
            </w:pPr>
          </w:p>
          <w:p>
            <w:pPr>
              <w:pStyle w:val="TableParagraph"/>
              <w:ind w:left="142"/>
              <w:rPr>
                <w:b/>
                <w:sz w:val="24"/>
              </w:rPr>
            </w:pPr>
            <w:r>
              <w:rPr>
                <w:b/>
                <w:w w:val="95"/>
                <w:sz w:val="24"/>
              </w:rPr>
              <w:t>我们提供的保障</w:t>
            </w:r>
          </w:p>
        </w:tc>
        <w:tc>
          <w:tcPr>
            <w:tcW w:w="7381" w:type="dxa"/>
            <w:tcBorders>
              <w:bottom w:val="single" w:sz="8" w:space="0" w:color="000000"/>
            </w:tcBorders>
          </w:tcPr>
          <w:p>
            <w:pPr>
              <w:pStyle w:val="TableParagraph"/>
              <w:rPr>
                <w:rFonts w:ascii="Times New Roman"/>
                <w:sz w:val="20"/>
              </w:rPr>
            </w:pPr>
          </w:p>
        </w:tc>
      </w:tr>
      <w:tr>
        <w:trPr>
          <w:trHeight w:val="2028" w:hRule="atLeast"/>
        </w:trPr>
        <w:tc>
          <w:tcPr>
            <w:tcW w:w="607" w:type="dxa"/>
            <w:tcBorders>
              <w:top w:val="single" w:sz="8" w:space="0" w:color="000000"/>
            </w:tcBorders>
          </w:tcPr>
          <w:p>
            <w:pPr>
              <w:pStyle w:val="TableParagraph"/>
              <w:spacing w:before="11"/>
              <w:rPr>
                <w:sz w:val="22"/>
              </w:rPr>
            </w:pPr>
          </w:p>
          <w:p>
            <w:pPr>
              <w:pStyle w:val="TableParagraph"/>
              <w:ind w:left="107"/>
              <w:rPr>
                <w:b/>
                <w:sz w:val="21"/>
              </w:rPr>
            </w:pPr>
            <w:r>
              <w:rPr>
                <w:b/>
                <w:sz w:val="21"/>
              </w:rPr>
              <w:t>2.1</w:t>
            </w:r>
          </w:p>
        </w:tc>
        <w:tc>
          <w:tcPr>
            <w:tcW w:w="1970" w:type="dxa"/>
            <w:tcBorders>
              <w:top w:val="single" w:sz="8" w:space="0" w:color="000000"/>
            </w:tcBorders>
          </w:tcPr>
          <w:p>
            <w:pPr>
              <w:pStyle w:val="TableParagraph"/>
              <w:spacing w:before="11"/>
              <w:rPr>
                <w:sz w:val="22"/>
              </w:rPr>
            </w:pPr>
          </w:p>
          <w:p>
            <w:pPr>
              <w:pStyle w:val="TableParagraph"/>
              <w:ind w:left="142"/>
              <w:rPr>
                <w:b/>
                <w:sz w:val="21"/>
              </w:rPr>
            </w:pPr>
            <w:r>
              <w:rPr>
                <w:b/>
                <w:sz w:val="21"/>
              </w:rPr>
              <w:t>保险期间和续保</w:t>
            </w:r>
          </w:p>
        </w:tc>
        <w:tc>
          <w:tcPr>
            <w:tcW w:w="7381" w:type="dxa"/>
            <w:tcBorders>
              <w:top w:val="single" w:sz="8" w:space="0" w:color="000000"/>
            </w:tcBorders>
          </w:tcPr>
          <w:p>
            <w:pPr>
              <w:pStyle w:val="TableParagraph"/>
              <w:spacing w:before="11"/>
              <w:rPr>
                <w:sz w:val="22"/>
              </w:rPr>
            </w:pPr>
          </w:p>
          <w:p>
            <w:pPr>
              <w:pStyle w:val="TableParagraph"/>
              <w:ind w:left="140"/>
              <w:rPr>
                <w:sz w:val="21"/>
              </w:rPr>
            </w:pPr>
            <w:r>
              <w:rPr>
                <w:sz w:val="21"/>
              </w:rPr>
              <w:t>本合同的保险期间为1年，自本合同生效日起至满期日的24时止。</w:t>
            </w:r>
          </w:p>
          <w:p>
            <w:pPr>
              <w:pStyle w:val="TableParagraph"/>
              <w:spacing w:before="8"/>
              <w:rPr>
                <w:sz w:val="26"/>
              </w:rPr>
            </w:pPr>
          </w:p>
          <w:p>
            <w:pPr>
              <w:pStyle w:val="TableParagraph"/>
              <w:spacing w:line="273" w:lineRule="auto"/>
              <w:ind w:left="140" w:right="100"/>
              <w:rPr>
                <w:sz w:val="21"/>
              </w:rPr>
            </w:pPr>
            <w:r>
              <w:rPr>
                <w:sz w:val="21"/>
              </w:rPr>
              <w:t>每个保单满期日或之前，我们审核同意，且您按续保时对应的费率向我们支付续保保险费后，本合同将延续有效1年。本合同的最高续保年龄为80</w:t>
            </w:r>
            <w:r>
              <w:rPr>
                <w:b/>
                <w:sz w:val="21"/>
              </w:rPr>
              <w:t>周岁</w:t>
            </w:r>
            <w:r>
              <w:rPr>
                <w:sz w:val="21"/>
              </w:rPr>
              <w:t>(见</w:t>
            </w:r>
          </w:p>
          <w:p>
            <w:pPr>
              <w:pStyle w:val="TableParagraph"/>
              <w:spacing w:before="7"/>
              <w:ind w:left="140"/>
              <w:rPr>
                <w:sz w:val="21"/>
              </w:rPr>
            </w:pPr>
            <w:r>
              <w:rPr>
                <w:sz w:val="21"/>
              </w:rPr>
              <w:t>7.1)。</w:t>
            </w:r>
          </w:p>
        </w:tc>
      </w:tr>
      <w:tr>
        <w:trPr>
          <w:trHeight w:val="624" w:hRule="atLeast"/>
        </w:trPr>
        <w:tc>
          <w:tcPr>
            <w:tcW w:w="607" w:type="dxa"/>
          </w:tcPr>
          <w:p>
            <w:pPr>
              <w:pStyle w:val="TableParagraph"/>
              <w:spacing w:before="142"/>
              <w:ind w:left="107"/>
              <w:rPr>
                <w:b/>
                <w:sz w:val="21"/>
              </w:rPr>
            </w:pPr>
            <w:r>
              <w:rPr>
                <w:b/>
                <w:sz w:val="21"/>
              </w:rPr>
              <w:t>2.2</w:t>
            </w:r>
          </w:p>
        </w:tc>
        <w:tc>
          <w:tcPr>
            <w:tcW w:w="1970" w:type="dxa"/>
          </w:tcPr>
          <w:p>
            <w:pPr>
              <w:pStyle w:val="TableParagraph"/>
              <w:spacing w:before="142"/>
              <w:ind w:left="142"/>
              <w:rPr>
                <w:b/>
                <w:sz w:val="21"/>
              </w:rPr>
            </w:pPr>
            <w:r>
              <w:rPr>
                <w:b/>
                <w:sz w:val="21"/>
              </w:rPr>
              <w:t>投保条件</w:t>
            </w:r>
          </w:p>
        </w:tc>
        <w:tc>
          <w:tcPr>
            <w:tcW w:w="7381" w:type="dxa"/>
          </w:tcPr>
          <w:p>
            <w:pPr>
              <w:pStyle w:val="TableParagraph"/>
              <w:spacing w:before="142"/>
              <w:ind w:left="159"/>
              <w:rPr>
                <w:sz w:val="21"/>
              </w:rPr>
            </w:pPr>
            <w:r>
              <w:rPr>
                <w:sz w:val="21"/>
              </w:rPr>
              <w:t>您和被保险人必须符合以下条件：</w:t>
            </w:r>
          </w:p>
        </w:tc>
      </w:tr>
      <w:tr>
        <w:trPr>
          <w:trHeight w:val="939" w:hRule="atLeast"/>
        </w:trPr>
        <w:tc>
          <w:tcPr>
            <w:tcW w:w="607" w:type="dxa"/>
          </w:tcPr>
          <w:p>
            <w:pPr>
              <w:pStyle w:val="TableParagraph"/>
              <w:rPr>
                <w:rFonts w:ascii="Times New Roman"/>
                <w:sz w:val="20"/>
              </w:rPr>
            </w:pPr>
          </w:p>
        </w:tc>
        <w:tc>
          <w:tcPr>
            <w:tcW w:w="1970" w:type="dxa"/>
          </w:tcPr>
          <w:p>
            <w:pPr>
              <w:pStyle w:val="TableParagraph"/>
              <w:spacing w:before="55"/>
              <w:ind w:left="142"/>
              <w:rPr>
                <w:rFonts w:ascii="Microsoft JhengHei" w:eastAsia="Microsoft JhengHei" w:hint="eastAsia"/>
                <w:b/>
                <w:sz w:val="24"/>
              </w:rPr>
            </w:pPr>
            <w:r>
              <w:rPr>
                <w:rFonts w:ascii="Microsoft JhengHei" w:eastAsia="Microsoft JhengHei" w:hint="eastAsia"/>
                <w:b/>
                <w:sz w:val="24"/>
              </w:rPr>
              <w:t>投保人条件</w:t>
            </w:r>
          </w:p>
        </w:tc>
        <w:tc>
          <w:tcPr>
            <w:tcW w:w="7381" w:type="dxa"/>
          </w:tcPr>
          <w:p>
            <w:pPr>
              <w:pStyle w:val="TableParagraph"/>
              <w:spacing w:line="273" w:lineRule="auto" w:before="143"/>
              <w:ind w:left="159" w:right="50"/>
              <w:rPr>
                <w:sz w:val="21"/>
              </w:rPr>
            </w:pPr>
            <w:r>
              <w:rPr>
                <w:sz w:val="21"/>
              </w:rPr>
              <w:t>凡年满 18 周岁，具有完全民事行为能力且对被保险人具有保险利益的人，均可作为本保险的投保人。</w:t>
            </w:r>
          </w:p>
        </w:tc>
      </w:tr>
      <w:tr>
        <w:trPr>
          <w:trHeight w:val="657" w:hRule="atLeast"/>
        </w:trPr>
        <w:tc>
          <w:tcPr>
            <w:tcW w:w="607" w:type="dxa"/>
          </w:tcPr>
          <w:p>
            <w:pPr>
              <w:pStyle w:val="TableParagraph"/>
              <w:rPr>
                <w:rFonts w:ascii="Times New Roman"/>
                <w:sz w:val="20"/>
              </w:rPr>
            </w:pPr>
          </w:p>
        </w:tc>
        <w:tc>
          <w:tcPr>
            <w:tcW w:w="1970" w:type="dxa"/>
          </w:tcPr>
          <w:p>
            <w:pPr>
              <w:pStyle w:val="TableParagraph"/>
              <w:spacing w:before="59"/>
              <w:ind w:left="142"/>
              <w:rPr>
                <w:rFonts w:ascii="Microsoft JhengHei" w:eastAsia="Microsoft JhengHei" w:hint="eastAsia"/>
                <w:b/>
                <w:sz w:val="24"/>
              </w:rPr>
            </w:pPr>
            <w:r>
              <w:rPr>
                <w:rFonts w:ascii="Microsoft JhengHei" w:eastAsia="Microsoft JhengHei" w:hint="eastAsia"/>
                <w:b/>
                <w:sz w:val="24"/>
              </w:rPr>
              <w:t>被保险人条件</w:t>
            </w:r>
          </w:p>
        </w:tc>
        <w:tc>
          <w:tcPr>
            <w:tcW w:w="7381" w:type="dxa"/>
          </w:tcPr>
          <w:p>
            <w:pPr>
              <w:pStyle w:val="TableParagraph"/>
              <w:spacing w:before="146"/>
              <w:ind w:left="159"/>
              <w:rPr>
                <w:sz w:val="21"/>
              </w:rPr>
            </w:pPr>
            <w:r>
              <w:rPr>
                <w:sz w:val="21"/>
              </w:rPr>
              <w:t>凡投保时身体健康，且符合我们承保条件的人，均可作为本保险的被保险人。</w:t>
            </w:r>
          </w:p>
        </w:tc>
      </w:tr>
      <w:tr>
        <w:trPr>
          <w:trHeight w:val="708" w:hRule="atLeast"/>
        </w:trPr>
        <w:tc>
          <w:tcPr>
            <w:tcW w:w="607" w:type="dxa"/>
          </w:tcPr>
          <w:p>
            <w:pPr>
              <w:pStyle w:val="TableParagraph"/>
              <w:spacing w:before="122"/>
              <w:ind w:left="107"/>
              <w:rPr>
                <w:b/>
                <w:sz w:val="21"/>
              </w:rPr>
            </w:pPr>
            <w:r>
              <w:rPr>
                <w:b/>
                <w:sz w:val="21"/>
              </w:rPr>
              <w:t>2.3</w:t>
            </w:r>
          </w:p>
        </w:tc>
        <w:tc>
          <w:tcPr>
            <w:tcW w:w="1970" w:type="dxa"/>
          </w:tcPr>
          <w:p>
            <w:pPr>
              <w:pStyle w:val="TableParagraph"/>
              <w:spacing w:before="122"/>
              <w:ind w:left="142"/>
              <w:rPr>
                <w:b/>
                <w:sz w:val="21"/>
              </w:rPr>
            </w:pPr>
            <w:r>
              <w:rPr>
                <w:b/>
                <w:sz w:val="21"/>
              </w:rPr>
              <w:t>基本保险金额</w:t>
            </w:r>
          </w:p>
        </w:tc>
        <w:tc>
          <w:tcPr>
            <w:tcW w:w="7381" w:type="dxa"/>
          </w:tcPr>
          <w:p>
            <w:pPr>
              <w:pStyle w:val="TableParagraph"/>
              <w:spacing w:line="310" w:lineRule="atLeast" w:before="86"/>
              <w:ind w:left="159" w:right="52"/>
              <w:rPr>
                <w:sz w:val="21"/>
              </w:rPr>
            </w:pPr>
            <w:r>
              <w:rPr>
                <w:sz w:val="21"/>
              </w:rPr>
              <w:t>本合同的基本保险金额由您在投保时与我们约定并在保险单上载明，投保时的基本保险金额须符合我们当时的投保规定。</w:t>
            </w:r>
          </w:p>
        </w:tc>
      </w:tr>
    </w:tbl>
    <w:p>
      <w:pPr>
        <w:spacing w:after="0" w:line="310" w:lineRule="atLeast"/>
        <w:rPr>
          <w:sz w:val="21"/>
        </w:rPr>
        <w:sectPr>
          <w:pgSz w:w="11910" w:h="16840"/>
          <w:pgMar w:top="1220" w:bottom="280" w:left="70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6"/>
        <w:gridCol w:w="7377"/>
      </w:tblGrid>
      <w:tr>
        <w:trPr>
          <w:trHeight w:val="417" w:hRule="atLeast"/>
        </w:trPr>
        <w:tc>
          <w:tcPr>
            <w:tcW w:w="607" w:type="dxa"/>
          </w:tcPr>
          <w:p>
            <w:pPr>
              <w:pStyle w:val="TableParagraph"/>
              <w:spacing w:line="211" w:lineRule="exact"/>
              <w:ind w:left="107"/>
              <w:rPr>
                <w:b/>
                <w:sz w:val="21"/>
              </w:rPr>
            </w:pPr>
            <w:r>
              <w:rPr>
                <w:b/>
                <w:sz w:val="21"/>
              </w:rPr>
              <w:t>2.4</w:t>
            </w:r>
          </w:p>
        </w:tc>
        <w:tc>
          <w:tcPr>
            <w:tcW w:w="1976" w:type="dxa"/>
          </w:tcPr>
          <w:p>
            <w:pPr>
              <w:pStyle w:val="TableParagraph"/>
              <w:spacing w:line="211" w:lineRule="exact"/>
              <w:ind w:left="142"/>
              <w:rPr>
                <w:b/>
                <w:sz w:val="21"/>
              </w:rPr>
            </w:pPr>
            <w:r>
              <w:rPr>
                <w:b/>
                <w:sz w:val="21"/>
              </w:rPr>
              <w:t>保险责任</w:t>
            </w:r>
          </w:p>
        </w:tc>
        <w:tc>
          <w:tcPr>
            <w:tcW w:w="7377" w:type="dxa"/>
          </w:tcPr>
          <w:p>
            <w:pPr>
              <w:pStyle w:val="TableParagraph"/>
              <w:spacing w:line="211" w:lineRule="exact"/>
              <w:ind w:left="153"/>
              <w:rPr>
                <w:sz w:val="21"/>
              </w:rPr>
            </w:pPr>
            <w:r>
              <w:rPr>
                <w:sz w:val="21"/>
              </w:rPr>
              <w:t>在本合同有效期内，我们承担下列保险责任：</w:t>
            </w:r>
          </w:p>
        </w:tc>
      </w:tr>
      <w:tr>
        <w:trPr>
          <w:trHeight w:val="2184" w:hRule="atLeast"/>
        </w:trPr>
        <w:tc>
          <w:tcPr>
            <w:tcW w:w="607" w:type="dxa"/>
          </w:tcPr>
          <w:p>
            <w:pPr>
              <w:pStyle w:val="TableParagraph"/>
              <w:rPr>
                <w:rFonts w:ascii="Times New Roman"/>
                <w:sz w:val="20"/>
              </w:rPr>
            </w:pPr>
          </w:p>
        </w:tc>
        <w:tc>
          <w:tcPr>
            <w:tcW w:w="1976" w:type="dxa"/>
          </w:tcPr>
          <w:p>
            <w:pPr>
              <w:pStyle w:val="TableParagraph"/>
              <w:spacing w:before="55"/>
              <w:ind w:left="142"/>
              <w:rPr>
                <w:rFonts w:ascii="Microsoft JhengHei" w:eastAsia="Microsoft JhengHei" w:hint="eastAsia"/>
                <w:b/>
                <w:sz w:val="24"/>
              </w:rPr>
            </w:pPr>
            <w:r>
              <w:rPr>
                <w:rFonts w:ascii="Microsoft JhengHei" w:eastAsia="Microsoft JhengHei" w:hint="eastAsia"/>
                <w:b/>
                <w:sz w:val="24"/>
              </w:rPr>
              <w:t>等待期</w:t>
            </w:r>
          </w:p>
        </w:tc>
        <w:tc>
          <w:tcPr>
            <w:tcW w:w="7377" w:type="dxa"/>
          </w:tcPr>
          <w:p>
            <w:pPr>
              <w:pStyle w:val="TableParagraph"/>
              <w:spacing w:before="143"/>
              <w:ind w:left="153"/>
              <w:rPr>
                <w:sz w:val="21"/>
              </w:rPr>
            </w:pPr>
            <w:r>
              <w:rPr>
                <w:sz w:val="21"/>
              </w:rPr>
              <w:t>您首次投保或非</w:t>
            </w:r>
            <w:r>
              <w:rPr>
                <w:b/>
                <w:sz w:val="21"/>
              </w:rPr>
              <w:t>连续投保</w:t>
            </w:r>
            <w:r>
              <w:rPr>
                <w:sz w:val="21"/>
              </w:rPr>
              <w:t>（见 7.2）本保险时，被保险人在本合同生效之日起</w:t>
            </w:r>
          </w:p>
          <w:p>
            <w:pPr>
              <w:pStyle w:val="TableParagraph"/>
              <w:spacing w:before="37"/>
              <w:ind w:left="153"/>
              <w:rPr>
                <w:sz w:val="21"/>
              </w:rPr>
            </w:pPr>
            <w:r>
              <w:rPr>
                <w:sz w:val="21"/>
              </w:rPr>
              <w:t>90 日内因</w:t>
            </w:r>
            <w:r>
              <w:rPr>
                <w:b/>
                <w:sz w:val="21"/>
              </w:rPr>
              <w:t>意外伤害事故</w:t>
            </w:r>
            <w:r>
              <w:rPr>
                <w:sz w:val="21"/>
              </w:rPr>
              <w:t>（见 7.3）以外的原因患本合同约定的</w:t>
            </w:r>
            <w:r>
              <w:rPr>
                <w:b/>
                <w:sz w:val="21"/>
              </w:rPr>
              <w:t>重大疾病</w:t>
            </w:r>
            <w:r>
              <w:rPr>
                <w:sz w:val="21"/>
              </w:rPr>
              <w:t>（见</w:t>
            </w:r>
          </w:p>
          <w:p>
            <w:pPr>
              <w:pStyle w:val="TableParagraph"/>
              <w:spacing w:line="273" w:lineRule="auto" w:before="37"/>
              <w:ind w:left="153" w:right="106"/>
              <w:rPr>
                <w:sz w:val="21"/>
              </w:rPr>
            </w:pPr>
            <w:r>
              <w:rPr>
                <w:w w:val="100"/>
                <w:sz w:val="21"/>
              </w:rPr>
              <w:t>7.4</w:t>
            </w:r>
            <w:r>
              <w:rPr>
                <w:spacing w:val="-108"/>
                <w:w w:val="100"/>
                <w:sz w:val="21"/>
              </w:rPr>
              <w:t>）</w:t>
            </w:r>
            <w:r>
              <w:rPr>
                <w:spacing w:val="-6"/>
                <w:w w:val="100"/>
                <w:sz w:val="21"/>
              </w:rPr>
              <w:t>，我们不承担给付保险金的责任。我们向您退还本合同已交保险费，本合</w:t>
            </w:r>
            <w:r>
              <w:rPr>
                <w:spacing w:val="-9"/>
                <w:sz w:val="21"/>
              </w:rPr>
              <w:t>同终止。这 </w:t>
            </w:r>
            <w:r>
              <w:rPr>
                <w:sz w:val="21"/>
              </w:rPr>
              <w:t>90</w:t>
            </w:r>
            <w:r>
              <w:rPr>
                <w:spacing w:val="-8"/>
                <w:sz w:val="21"/>
              </w:rPr>
              <w:t> 日的时间称为等待期。</w:t>
            </w:r>
          </w:p>
          <w:p>
            <w:pPr>
              <w:pStyle w:val="TableParagraph"/>
              <w:spacing w:before="5"/>
              <w:rPr>
                <w:sz w:val="24"/>
              </w:rPr>
            </w:pPr>
          </w:p>
          <w:p>
            <w:pPr>
              <w:pStyle w:val="TableParagraph"/>
              <w:spacing w:before="1"/>
              <w:ind w:left="153"/>
              <w:rPr>
                <w:sz w:val="21"/>
              </w:rPr>
            </w:pPr>
            <w:r>
              <w:rPr>
                <w:sz w:val="21"/>
              </w:rPr>
              <w:t>连续投保或因遭受意外伤害事故患本合同约定的重大疾病的无等待期。</w:t>
            </w:r>
          </w:p>
        </w:tc>
      </w:tr>
      <w:tr>
        <w:trPr>
          <w:trHeight w:val="934" w:hRule="atLeast"/>
        </w:trPr>
        <w:tc>
          <w:tcPr>
            <w:tcW w:w="607" w:type="dxa"/>
          </w:tcPr>
          <w:p>
            <w:pPr>
              <w:pStyle w:val="TableParagraph"/>
              <w:rPr>
                <w:rFonts w:ascii="Times New Roman"/>
                <w:sz w:val="20"/>
              </w:rPr>
            </w:pPr>
          </w:p>
        </w:tc>
        <w:tc>
          <w:tcPr>
            <w:tcW w:w="1976" w:type="dxa"/>
          </w:tcPr>
          <w:p>
            <w:pPr>
              <w:pStyle w:val="TableParagraph"/>
              <w:rPr>
                <w:rFonts w:ascii="Times New Roman"/>
                <w:sz w:val="20"/>
              </w:rPr>
            </w:pPr>
          </w:p>
        </w:tc>
        <w:tc>
          <w:tcPr>
            <w:tcW w:w="7377" w:type="dxa"/>
          </w:tcPr>
          <w:p>
            <w:pPr>
              <w:pStyle w:val="TableParagraph"/>
              <w:spacing w:line="273" w:lineRule="auto" w:before="142"/>
              <w:ind w:left="153" w:right="52"/>
              <w:rPr>
                <w:sz w:val="21"/>
              </w:rPr>
            </w:pPr>
            <w:r>
              <w:rPr>
                <w:sz w:val="21"/>
              </w:rPr>
              <w:t>如被保险人在等待期后发生本合同所约定的保险事故，我们按下列方式给付保险金：</w:t>
            </w:r>
          </w:p>
        </w:tc>
      </w:tr>
      <w:tr>
        <w:trPr>
          <w:trHeight w:val="1250" w:hRule="atLeast"/>
        </w:trPr>
        <w:tc>
          <w:tcPr>
            <w:tcW w:w="607" w:type="dxa"/>
          </w:tcPr>
          <w:p>
            <w:pPr>
              <w:pStyle w:val="TableParagraph"/>
              <w:rPr>
                <w:rFonts w:ascii="Times New Roman"/>
                <w:sz w:val="20"/>
              </w:rPr>
            </w:pPr>
          </w:p>
        </w:tc>
        <w:tc>
          <w:tcPr>
            <w:tcW w:w="1976" w:type="dxa"/>
          </w:tcPr>
          <w:p>
            <w:pPr>
              <w:pStyle w:val="TableParagraph"/>
              <w:spacing w:before="40"/>
              <w:ind w:left="142"/>
              <w:rPr>
                <w:rFonts w:ascii="Microsoft JhengHei" w:eastAsia="Microsoft JhengHei" w:hint="eastAsia"/>
                <w:b/>
                <w:sz w:val="24"/>
              </w:rPr>
            </w:pPr>
            <w:r>
              <w:rPr>
                <w:rFonts w:ascii="Microsoft JhengHei" w:eastAsia="Microsoft JhengHei" w:hint="eastAsia"/>
                <w:b/>
                <w:sz w:val="24"/>
              </w:rPr>
              <w:t>重大疾病保险金</w:t>
            </w:r>
          </w:p>
        </w:tc>
        <w:tc>
          <w:tcPr>
            <w:tcW w:w="7377" w:type="dxa"/>
          </w:tcPr>
          <w:p>
            <w:pPr>
              <w:pStyle w:val="TableParagraph"/>
              <w:spacing w:line="273" w:lineRule="auto" w:before="144"/>
              <w:ind w:left="153" w:right="101"/>
              <w:jc w:val="both"/>
              <w:rPr>
                <w:sz w:val="21"/>
              </w:rPr>
            </w:pPr>
            <w:r>
              <w:rPr>
                <w:spacing w:val="-1"/>
                <w:sz w:val="21"/>
              </w:rPr>
              <w:t>被保险人</w:t>
            </w:r>
            <w:r>
              <w:rPr>
                <w:b/>
                <w:spacing w:val="-4"/>
                <w:sz w:val="21"/>
              </w:rPr>
              <w:t>初次发生</w:t>
            </w:r>
            <w:r>
              <w:rPr>
                <w:spacing w:val="-3"/>
                <w:sz w:val="21"/>
              </w:rPr>
              <w:t>（</w:t>
            </w:r>
            <w:r>
              <w:rPr>
                <w:spacing w:val="-22"/>
                <w:sz w:val="21"/>
              </w:rPr>
              <w:t>见 </w:t>
            </w:r>
            <w:r>
              <w:rPr>
                <w:spacing w:val="-5"/>
                <w:sz w:val="21"/>
              </w:rPr>
              <w:t>7.5）</w:t>
            </w:r>
            <w:r>
              <w:rPr>
                <w:spacing w:val="-3"/>
                <w:sz w:val="21"/>
              </w:rPr>
              <w:t>并被</w:t>
            </w:r>
            <w:r>
              <w:rPr>
                <w:b/>
                <w:spacing w:val="-6"/>
                <w:sz w:val="21"/>
              </w:rPr>
              <w:t>医院</w:t>
            </w:r>
            <w:r>
              <w:rPr>
                <w:spacing w:val="-3"/>
                <w:sz w:val="21"/>
              </w:rPr>
              <w:t>（</w:t>
            </w:r>
            <w:r>
              <w:rPr>
                <w:spacing w:val="-22"/>
                <w:sz w:val="21"/>
              </w:rPr>
              <w:t>见 </w:t>
            </w:r>
            <w:r>
              <w:rPr>
                <w:spacing w:val="-6"/>
                <w:sz w:val="21"/>
              </w:rPr>
              <w:t>7.6）</w:t>
            </w:r>
            <w:r>
              <w:rPr>
                <w:spacing w:val="-3"/>
                <w:sz w:val="21"/>
              </w:rPr>
              <w:t>的</w:t>
            </w:r>
            <w:r>
              <w:rPr>
                <w:b/>
                <w:spacing w:val="-4"/>
                <w:sz w:val="21"/>
              </w:rPr>
              <w:t>专科医生</w:t>
            </w:r>
            <w:r>
              <w:rPr>
                <w:spacing w:val="-3"/>
                <w:sz w:val="21"/>
              </w:rPr>
              <w:t>（</w:t>
            </w:r>
            <w:r>
              <w:rPr>
                <w:spacing w:val="-21"/>
                <w:sz w:val="21"/>
              </w:rPr>
              <w:t>见 </w:t>
            </w:r>
            <w:r>
              <w:rPr>
                <w:spacing w:val="-5"/>
                <w:sz w:val="21"/>
              </w:rPr>
              <w:t>7.7）</w:t>
            </w:r>
            <w:r>
              <w:rPr>
                <w:spacing w:val="-2"/>
                <w:sz w:val="21"/>
              </w:rPr>
              <w:t>确诊为</w:t>
            </w:r>
            <w:r>
              <w:rPr>
                <w:spacing w:val="-7"/>
                <w:sz w:val="21"/>
              </w:rPr>
              <w:t>本合同约定的重大疾病，我们按本合同基本保险金额给付重大疾病保险金，本</w:t>
            </w:r>
            <w:r>
              <w:rPr>
                <w:spacing w:val="-1"/>
                <w:sz w:val="21"/>
              </w:rPr>
              <w:t>合同终止。</w:t>
            </w:r>
          </w:p>
        </w:tc>
      </w:tr>
      <w:tr>
        <w:trPr>
          <w:trHeight w:val="6889" w:hRule="atLeast"/>
        </w:trPr>
        <w:tc>
          <w:tcPr>
            <w:tcW w:w="607" w:type="dxa"/>
          </w:tcPr>
          <w:p>
            <w:pPr>
              <w:pStyle w:val="TableParagraph"/>
              <w:spacing w:before="142"/>
              <w:ind w:left="107"/>
              <w:rPr>
                <w:b/>
                <w:sz w:val="21"/>
              </w:rPr>
            </w:pPr>
            <w:r>
              <w:rPr>
                <w:b/>
                <w:sz w:val="21"/>
              </w:rPr>
              <w:t>2.5</w:t>
            </w:r>
          </w:p>
        </w:tc>
        <w:tc>
          <w:tcPr>
            <w:tcW w:w="1976" w:type="dxa"/>
          </w:tcPr>
          <w:p>
            <w:pPr>
              <w:pStyle w:val="TableParagraph"/>
              <w:spacing w:before="142"/>
              <w:ind w:left="142"/>
              <w:rPr>
                <w:b/>
                <w:sz w:val="21"/>
              </w:rPr>
            </w:pPr>
            <w:r>
              <w:rPr>
                <w:b/>
                <w:sz w:val="21"/>
              </w:rPr>
              <w:t>责任免除</w:t>
            </w:r>
          </w:p>
        </w:tc>
        <w:tc>
          <w:tcPr>
            <w:tcW w:w="7377" w:type="dxa"/>
          </w:tcPr>
          <w:p>
            <w:pPr>
              <w:pStyle w:val="TableParagraph"/>
              <w:spacing w:line="273" w:lineRule="auto" w:before="142"/>
              <w:ind w:left="153" w:right="52"/>
              <w:rPr>
                <w:rFonts w:ascii="黑体" w:hAnsi="黑体" w:eastAsia="黑体" w:hint="eastAsia"/>
                <w:sz w:val="21"/>
              </w:rPr>
            </w:pPr>
            <w:r>
              <w:rPr>
                <w:rFonts w:ascii="黑体" w:hAnsi="黑体" w:eastAsia="黑体" w:hint="eastAsia"/>
                <w:sz w:val="21"/>
              </w:rPr>
              <w:t>因下列情形之一，导致被保险人初次发Th“重大疾病”的，我们不承担给付保险金的责任：</w:t>
            </w:r>
          </w:p>
          <w:p>
            <w:pPr>
              <w:pStyle w:val="TableParagraph"/>
              <w:numPr>
                <w:ilvl w:val="0"/>
                <w:numId w:val="2"/>
              </w:numPr>
              <w:tabs>
                <w:tab w:pos="576" w:val="left" w:leader="none"/>
              </w:tabs>
              <w:spacing w:line="240" w:lineRule="auto" w:before="7" w:after="0"/>
              <w:ind w:left="573"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576" w:val="left" w:leader="none"/>
              </w:tabs>
              <w:spacing w:line="240" w:lineRule="auto" w:before="37" w:after="0"/>
              <w:ind w:left="573"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576" w:val="left" w:leader="none"/>
              </w:tabs>
              <w:spacing w:line="240" w:lineRule="auto" w:before="37" w:after="0"/>
              <w:ind w:left="573" w:right="0" w:hanging="420"/>
              <w:jc w:val="left"/>
              <w:rPr>
                <w:rFonts w:ascii="黑体" w:eastAsia="黑体" w:hint="eastAsia"/>
                <w:sz w:val="21"/>
              </w:rPr>
            </w:pPr>
            <w:r>
              <w:rPr>
                <w:rFonts w:ascii="黑体" w:eastAsia="黑体" w:hint="eastAsia"/>
                <w:spacing w:val="-3"/>
                <w:sz w:val="21"/>
              </w:rPr>
              <w:t>被保险人自杀，但被保险人自杀时为无民事行为能力人的除外；</w:t>
            </w:r>
          </w:p>
          <w:p>
            <w:pPr>
              <w:pStyle w:val="TableParagraph"/>
              <w:numPr>
                <w:ilvl w:val="0"/>
                <w:numId w:val="2"/>
              </w:numPr>
              <w:tabs>
                <w:tab w:pos="576" w:val="left" w:leader="none"/>
              </w:tabs>
              <w:spacing w:line="240" w:lineRule="auto" w:before="37" w:after="0"/>
              <w:ind w:left="573" w:right="0" w:hanging="420"/>
              <w:jc w:val="left"/>
              <w:rPr>
                <w:rFonts w:ascii="黑体" w:eastAsia="黑体" w:hint="eastAsia"/>
                <w:sz w:val="21"/>
              </w:rPr>
            </w:pPr>
            <w:r>
              <w:rPr>
                <w:rFonts w:ascii="黑体" w:eastAsia="黑体" w:hint="eastAsia"/>
                <w:spacing w:val="-3"/>
                <w:sz w:val="21"/>
              </w:rPr>
              <w:t>被保险人</w:t>
            </w:r>
            <w:r>
              <w:rPr>
                <w:rFonts w:ascii="黑体" w:eastAsia="黑体" w:hint="eastAsia"/>
                <w:b/>
                <w:spacing w:val="-2"/>
                <w:sz w:val="21"/>
              </w:rPr>
              <w:t>酗酒</w:t>
            </w:r>
            <w:r>
              <w:rPr>
                <w:rFonts w:ascii="黑体" w:eastAsia="黑体" w:hint="eastAsia"/>
                <w:spacing w:val="-3"/>
                <w:sz w:val="21"/>
              </w:rPr>
              <w:t>（</w:t>
            </w:r>
            <w:r>
              <w:rPr>
                <w:rFonts w:ascii="黑体" w:eastAsia="黑体" w:hint="eastAsia"/>
                <w:spacing w:val="-23"/>
                <w:sz w:val="21"/>
              </w:rPr>
              <w:t>见 </w:t>
            </w:r>
            <w:r>
              <w:rPr>
                <w:rFonts w:ascii="黑体" w:eastAsia="黑体" w:hint="eastAsia"/>
                <w:sz w:val="21"/>
              </w:rPr>
              <w:t>7.8）</w:t>
            </w:r>
            <w:r>
              <w:rPr>
                <w:rFonts w:ascii="黑体" w:eastAsia="黑体" w:hint="eastAsia"/>
                <w:spacing w:val="-5"/>
                <w:sz w:val="21"/>
              </w:rPr>
              <w:t>、殴斗、服用、主动吸食或注射</w:t>
            </w:r>
            <w:r>
              <w:rPr>
                <w:rFonts w:ascii="黑体" w:eastAsia="黑体" w:hint="eastAsia"/>
                <w:b/>
                <w:sz w:val="21"/>
              </w:rPr>
              <w:t>毒品</w:t>
            </w:r>
            <w:r>
              <w:rPr>
                <w:rFonts w:ascii="黑体" w:eastAsia="黑体" w:hint="eastAsia"/>
                <w:spacing w:val="-3"/>
                <w:sz w:val="21"/>
              </w:rPr>
              <w:t>（</w:t>
            </w:r>
            <w:r>
              <w:rPr>
                <w:rFonts w:ascii="黑体" w:eastAsia="黑体" w:hint="eastAsia"/>
                <w:spacing w:val="-23"/>
                <w:sz w:val="21"/>
              </w:rPr>
              <w:t>见 </w:t>
            </w:r>
            <w:r>
              <w:rPr>
                <w:rFonts w:ascii="黑体" w:eastAsia="黑体" w:hint="eastAsia"/>
                <w:sz w:val="21"/>
              </w:rPr>
              <w:t>7.9）,</w:t>
            </w:r>
          </w:p>
          <w:p>
            <w:pPr>
              <w:pStyle w:val="TableParagraph"/>
              <w:spacing w:before="37"/>
              <w:ind w:left="573"/>
              <w:rPr>
                <w:rFonts w:ascii="黑体" w:eastAsia="黑体" w:hint="eastAsia"/>
                <w:sz w:val="21"/>
              </w:rPr>
            </w:pPr>
            <w:r>
              <w:rPr>
                <w:rFonts w:ascii="黑体" w:eastAsia="黑体" w:hint="eastAsia"/>
                <w:sz w:val="21"/>
              </w:rPr>
              <w:t>违反规定使用麻醉或精神药品；</w:t>
            </w:r>
          </w:p>
          <w:p>
            <w:pPr>
              <w:pStyle w:val="TableParagraph"/>
              <w:numPr>
                <w:ilvl w:val="0"/>
                <w:numId w:val="2"/>
              </w:numPr>
              <w:tabs>
                <w:tab w:pos="576" w:val="left" w:leader="none"/>
              </w:tabs>
              <w:spacing w:line="273" w:lineRule="auto" w:before="37" w:after="0"/>
              <w:ind w:left="573" w:right="101"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9"/>
                <w:sz w:val="21"/>
              </w:rPr>
              <w:t> </w:t>
            </w:r>
            <w:r>
              <w:rPr>
                <w:rFonts w:ascii="黑体" w:eastAsia="黑体" w:hint="eastAsia"/>
                <w:w w:val="100"/>
                <w:sz w:val="21"/>
              </w:rPr>
              <w:t>7.10</w:t>
            </w:r>
            <w:r>
              <w:rPr>
                <w:rFonts w:ascii="黑体" w:eastAsia="黑体" w:hint="eastAsia"/>
                <w:spacing w:val="-108"/>
                <w:w w:val="100"/>
                <w:sz w:val="21"/>
              </w:rPr>
              <w:t>）</w:t>
            </w:r>
            <w:r>
              <w:rPr>
                <w:rFonts w:ascii="黑体" w:eastAsia="黑体" w:hint="eastAsia"/>
                <w:spacing w:val="-2"/>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18"/>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w w:val="100"/>
                <w:sz w:val="21"/>
              </w:rPr>
              <w:t>无有效行驶证照</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2</w:t>
            </w:r>
            <w:r>
              <w:rPr>
                <w:rFonts w:ascii="黑体" w:eastAsia="黑体" w:hint="eastAsia"/>
                <w:w w:val="100"/>
                <w:sz w:val="21"/>
              </w:rPr>
              <w:t>）</w:t>
            </w:r>
            <w:r>
              <w:rPr>
                <w:rFonts w:ascii="黑体" w:eastAsia="黑体" w:hint="eastAsia"/>
                <w:spacing w:val="-2"/>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1"/>
                <w:w w:val="100"/>
                <w:sz w:val="21"/>
              </w:rPr>
              <w:t>3</w:t>
            </w:r>
            <w:r>
              <w:rPr>
                <w:rFonts w:ascii="黑体" w:eastAsia="黑体" w:hint="eastAsia"/>
                <w:spacing w:val="-108"/>
                <w:w w:val="100"/>
                <w:sz w:val="21"/>
              </w:rPr>
              <w:t>）；</w:t>
            </w:r>
          </w:p>
          <w:p>
            <w:pPr>
              <w:pStyle w:val="TableParagraph"/>
              <w:numPr>
                <w:ilvl w:val="0"/>
                <w:numId w:val="2"/>
              </w:numPr>
              <w:tabs>
                <w:tab w:pos="576" w:val="left" w:leader="none"/>
              </w:tabs>
              <w:spacing w:line="273" w:lineRule="auto" w:before="7" w:after="0"/>
              <w:ind w:left="573" w:right="101" w:hanging="420"/>
              <w:jc w:val="both"/>
              <w:rPr>
                <w:rFonts w:ascii="黑体" w:hAnsi="黑体" w:eastAsia="黑体" w:hint="eastAsia"/>
                <w:sz w:val="21"/>
              </w:rPr>
            </w:pPr>
            <w:r>
              <w:rPr>
                <w:rFonts w:ascii="黑体" w:hAnsi="黑体" w:eastAsia="黑体" w:hint="eastAsia"/>
                <w:spacing w:val="-3"/>
                <w:sz w:val="21"/>
              </w:rPr>
              <w:t>被保险人</w:t>
            </w:r>
            <w:r>
              <w:rPr>
                <w:rFonts w:ascii="黑体" w:hAnsi="黑体" w:eastAsia="黑体" w:hint="eastAsia"/>
                <w:b/>
                <w:spacing w:val="-4"/>
                <w:sz w:val="21"/>
              </w:rPr>
              <w:t>感染艾滋病病毒或患艾滋病</w:t>
            </w:r>
            <w:r>
              <w:rPr>
                <w:rFonts w:ascii="黑体" w:hAnsi="黑体" w:eastAsia="黑体" w:hint="eastAsia"/>
                <w:spacing w:val="-3"/>
                <w:sz w:val="21"/>
              </w:rPr>
              <w:t>（</w:t>
            </w:r>
            <w:r>
              <w:rPr>
                <w:rFonts w:ascii="黑体" w:hAnsi="黑体" w:eastAsia="黑体" w:hint="eastAsia"/>
                <w:spacing w:val="-16"/>
                <w:sz w:val="21"/>
              </w:rPr>
              <w:t>见 </w:t>
            </w:r>
            <w:r>
              <w:rPr>
                <w:rFonts w:ascii="黑体" w:hAnsi="黑体" w:eastAsia="黑体" w:hint="eastAsia"/>
                <w:spacing w:val="-7"/>
                <w:sz w:val="21"/>
              </w:rPr>
              <w:t>7.14）期间因疾病导致的</w:t>
            </w:r>
            <w:r>
              <w:rPr>
                <w:rFonts w:ascii="黑体" w:hAnsi="黑体" w:eastAsia="黑体" w:hint="eastAsia"/>
                <w:sz w:val="21"/>
              </w:rPr>
              <w:t>（</w:t>
            </w:r>
            <w:r>
              <w:rPr>
                <w:rFonts w:ascii="黑体" w:hAnsi="黑体" w:eastAsia="黑体" w:hint="eastAsia"/>
                <w:spacing w:val="-2"/>
                <w:sz w:val="21"/>
              </w:rPr>
              <w:t>但符</w:t>
            </w:r>
            <w:r>
              <w:rPr>
                <w:rFonts w:ascii="黑体" w:hAnsi="黑体" w:eastAsia="黑体" w:hint="eastAsia"/>
                <w:spacing w:val="-6"/>
                <w:sz w:val="21"/>
              </w:rPr>
              <w:t>合本合同“经输血导致的人类免疫缺陷病毒感染”或“因职业关系导致的</w:t>
            </w:r>
            <w:r>
              <w:rPr>
                <w:rFonts w:ascii="黑体" w:hAnsi="黑体" w:eastAsia="黑体" w:hint="eastAsia"/>
                <w:spacing w:val="-3"/>
                <w:sz w:val="21"/>
              </w:rPr>
              <w:t>人类免疫缺陷病毒</w:t>
            </w:r>
            <w:r>
              <w:rPr>
                <w:rFonts w:ascii="黑体" w:hAnsi="黑体" w:eastAsia="黑体" w:hint="eastAsia"/>
                <w:spacing w:val="-1"/>
                <w:sz w:val="21"/>
              </w:rPr>
              <w:t>（HIV）</w:t>
            </w:r>
            <w:r>
              <w:rPr>
                <w:rFonts w:ascii="黑体" w:hAnsi="黑体" w:eastAsia="黑体" w:hint="eastAsia"/>
                <w:spacing w:val="-3"/>
                <w:sz w:val="21"/>
              </w:rPr>
              <w:t>感染”定义的不在此限</w:t>
            </w:r>
            <w:r>
              <w:rPr>
                <w:rFonts w:ascii="黑体" w:hAnsi="黑体" w:eastAsia="黑体" w:hint="eastAsia"/>
                <w:sz w:val="21"/>
              </w:rPr>
              <w:t>）；</w:t>
            </w:r>
          </w:p>
          <w:p>
            <w:pPr>
              <w:pStyle w:val="TableParagraph"/>
              <w:numPr>
                <w:ilvl w:val="0"/>
                <w:numId w:val="2"/>
              </w:numPr>
              <w:tabs>
                <w:tab w:pos="574" w:val="left" w:leader="none"/>
              </w:tabs>
              <w:spacing w:line="240" w:lineRule="auto" w:before="7" w:after="0"/>
              <w:ind w:left="57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spacing w:val="-1"/>
                <w:w w:val="100"/>
                <w:sz w:val="21"/>
              </w:rPr>
              <w:t>6</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
              </w:numPr>
              <w:tabs>
                <w:tab w:pos="576" w:val="left" w:leader="none"/>
              </w:tabs>
              <w:spacing w:line="240" w:lineRule="auto" w:before="37" w:after="0"/>
              <w:ind w:left="573" w:right="0" w:hanging="4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576" w:val="left" w:leader="none"/>
              </w:tabs>
              <w:spacing w:line="240" w:lineRule="auto" w:before="37" w:after="0"/>
              <w:ind w:left="573" w:right="0" w:hanging="420"/>
              <w:jc w:val="left"/>
              <w:rPr>
                <w:rFonts w:ascii="黑体" w:eastAsia="黑体" w:hint="eastAsia"/>
                <w:sz w:val="21"/>
              </w:rPr>
            </w:pPr>
            <w:r>
              <w:rPr>
                <w:rFonts w:ascii="黑体" w:eastAsia="黑体" w:hint="eastAsia"/>
                <w:spacing w:val="-3"/>
                <w:sz w:val="21"/>
              </w:rPr>
              <w:t>核爆炸、核辐射或核污染。</w:t>
            </w:r>
          </w:p>
          <w:p>
            <w:pPr>
              <w:pStyle w:val="TableParagraph"/>
              <w:spacing w:before="8"/>
              <w:rPr>
                <w:sz w:val="26"/>
              </w:rPr>
            </w:pPr>
          </w:p>
          <w:p>
            <w:pPr>
              <w:pStyle w:val="TableParagraph"/>
              <w:spacing w:line="273" w:lineRule="auto" w:before="1"/>
              <w:ind w:left="153" w:right="77"/>
              <w:rPr>
                <w:rFonts w:ascii="黑体" w:hAnsi="黑体" w:eastAsia="黑体" w:hint="eastAsia"/>
                <w:sz w:val="21"/>
              </w:rPr>
            </w:pPr>
            <w:r>
              <w:rPr>
                <w:rFonts w:ascii="黑体" w:hAnsi="黑体" w:eastAsia="黑体" w:hint="eastAsia"/>
                <w:sz w:val="21"/>
              </w:rPr>
              <w:t>发Th上述第(１)项情形导致被保险人初次发Th“重大疾病”的，本合同终止， 我们向受益人退还本合同效力终止时的</w:t>
            </w:r>
            <w:r>
              <w:rPr>
                <w:rFonts w:ascii="黑体" w:hAnsi="黑体" w:eastAsia="黑体" w:hint="eastAsia"/>
                <w:b/>
                <w:sz w:val="21"/>
              </w:rPr>
              <w:t>现金价值</w:t>
            </w:r>
            <w:r>
              <w:rPr>
                <w:rFonts w:ascii="黑体" w:hAnsi="黑体" w:eastAsia="黑体" w:hint="eastAsia"/>
                <w:sz w:val="21"/>
              </w:rPr>
              <w:t>（见 7.17）。</w:t>
            </w:r>
          </w:p>
          <w:p>
            <w:pPr>
              <w:pStyle w:val="TableParagraph"/>
              <w:spacing w:before="5"/>
              <w:rPr>
                <w:sz w:val="24"/>
              </w:rPr>
            </w:pPr>
          </w:p>
          <w:p>
            <w:pPr>
              <w:pStyle w:val="TableParagraph"/>
              <w:spacing w:line="273" w:lineRule="auto"/>
              <w:ind w:left="153" w:right="77"/>
              <w:rPr>
                <w:rFonts w:ascii="黑体" w:hAnsi="黑体" w:eastAsia="黑体" w:hint="eastAsia"/>
                <w:sz w:val="21"/>
              </w:rPr>
            </w:pPr>
            <w:r>
              <w:rPr>
                <w:rFonts w:ascii="黑体" w:hAnsi="黑体" w:eastAsia="黑体" w:hint="eastAsia"/>
                <w:sz w:val="21"/>
              </w:rPr>
              <w:t>发Th上述第（2）项至第（9）项情形导致被保险人初次发Th“重大疾病”的， 本合同终止，我们向您退还本合同效力终止时的现金价值。</w:t>
            </w:r>
          </w:p>
        </w:tc>
      </w:tr>
      <w:tr>
        <w:trPr>
          <w:trHeight w:val="754" w:hRule="atLeast"/>
        </w:trPr>
        <w:tc>
          <w:tcPr>
            <w:tcW w:w="6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2"/>
              <w:rPr>
                <w:b/>
                <w:sz w:val="24"/>
              </w:rPr>
            </w:pPr>
            <w:r>
              <w:rPr>
                <w:b/>
                <w:w w:val="95"/>
                <w:sz w:val="24"/>
              </w:rPr>
              <w:t>如何申请领取保险金</w:t>
            </w:r>
          </w:p>
        </w:tc>
      </w:tr>
      <w:tr>
        <w:trPr>
          <w:trHeight w:val="782" w:hRule="atLeast"/>
        </w:trPr>
        <w:tc>
          <w:tcPr>
            <w:tcW w:w="607" w:type="dxa"/>
            <w:tcBorders>
              <w:top w:val="single" w:sz="8" w:space="0" w:color="000000"/>
            </w:tcBorders>
          </w:tcPr>
          <w:p>
            <w:pPr>
              <w:pStyle w:val="TableParagraph"/>
              <w:rPr>
                <w:sz w:val="23"/>
              </w:rPr>
            </w:pPr>
          </w:p>
          <w:p>
            <w:pPr>
              <w:pStyle w:val="TableParagraph"/>
              <w:ind w:left="107"/>
              <w:rPr>
                <w:b/>
                <w:sz w:val="21"/>
              </w:rPr>
            </w:pPr>
            <w:r>
              <w:rPr>
                <w:b/>
                <w:sz w:val="21"/>
              </w:rPr>
              <w:t>3.1</w:t>
            </w:r>
          </w:p>
        </w:tc>
        <w:tc>
          <w:tcPr>
            <w:tcW w:w="1976" w:type="dxa"/>
            <w:tcBorders>
              <w:top w:val="single" w:sz="8" w:space="0" w:color="000000"/>
            </w:tcBorders>
          </w:tcPr>
          <w:p>
            <w:pPr>
              <w:pStyle w:val="TableParagraph"/>
              <w:rPr>
                <w:sz w:val="23"/>
              </w:rPr>
            </w:pPr>
          </w:p>
          <w:p>
            <w:pPr>
              <w:pStyle w:val="TableParagraph"/>
              <w:ind w:left="142"/>
              <w:rPr>
                <w:b/>
                <w:sz w:val="21"/>
              </w:rPr>
            </w:pPr>
            <w:r>
              <w:rPr>
                <w:b/>
                <w:sz w:val="21"/>
              </w:rPr>
              <w:t>受益人</w:t>
            </w:r>
          </w:p>
        </w:tc>
        <w:tc>
          <w:tcPr>
            <w:tcW w:w="7377" w:type="dxa"/>
            <w:tcBorders>
              <w:top w:val="single" w:sz="8" w:space="0" w:color="000000"/>
            </w:tcBorders>
          </w:tcPr>
          <w:p>
            <w:pPr>
              <w:pStyle w:val="TableParagraph"/>
              <w:rPr>
                <w:sz w:val="23"/>
              </w:rPr>
            </w:pPr>
          </w:p>
          <w:p>
            <w:pPr>
              <w:pStyle w:val="TableParagraph"/>
              <w:ind w:left="153"/>
              <w:rPr>
                <w:sz w:val="21"/>
              </w:rPr>
            </w:pPr>
            <w:r>
              <w:rPr>
                <w:sz w:val="21"/>
              </w:rPr>
              <w:t>除另有约定外，本合同各项保险金的受益人均为被保险人本人。</w:t>
            </w:r>
          </w:p>
        </w:tc>
      </w:tr>
      <w:tr>
        <w:trPr>
          <w:trHeight w:val="1041" w:hRule="atLeast"/>
        </w:trPr>
        <w:tc>
          <w:tcPr>
            <w:tcW w:w="607" w:type="dxa"/>
          </w:tcPr>
          <w:p>
            <w:pPr>
              <w:pStyle w:val="TableParagraph"/>
              <w:spacing w:before="142"/>
              <w:ind w:left="107"/>
              <w:rPr>
                <w:b/>
                <w:sz w:val="21"/>
              </w:rPr>
            </w:pPr>
            <w:r>
              <w:rPr>
                <w:b/>
                <w:sz w:val="21"/>
              </w:rPr>
              <w:t>3.2</w:t>
            </w:r>
          </w:p>
        </w:tc>
        <w:tc>
          <w:tcPr>
            <w:tcW w:w="1976" w:type="dxa"/>
          </w:tcPr>
          <w:p>
            <w:pPr>
              <w:pStyle w:val="TableParagraph"/>
              <w:spacing w:before="142"/>
              <w:ind w:left="142"/>
              <w:rPr>
                <w:b/>
                <w:sz w:val="21"/>
              </w:rPr>
            </w:pPr>
            <w:r>
              <w:rPr>
                <w:b/>
                <w:sz w:val="21"/>
              </w:rPr>
              <w:t>保险事故通知</w:t>
            </w:r>
          </w:p>
        </w:tc>
        <w:tc>
          <w:tcPr>
            <w:tcW w:w="7377" w:type="dxa"/>
          </w:tcPr>
          <w:p>
            <w:pPr>
              <w:pStyle w:val="TableParagraph"/>
              <w:spacing w:before="142"/>
              <w:ind w:left="153"/>
              <w:rPr>
                <w:sz w:val="21"/>
              </w:rPr>
            </w:pPr>
            <w:r>
              <w:rPr>
                <w:sz w:val="21"/>
              </w:rPr>
              <w:t>您或受益人知道保险事故后应当在10日内通知我们。</w:t>
            </w:r>
          </w:p>
          <w:p>
            <w:pPr>
              <w:pStyle w:val="TableParagraph"/>
              <w:spacing w:before="8"/>
              <w:rPr>
                <w:sz w:val="26"/>
              </w:rPr>
            </w:pPr>
          </w:p>
          <w:p>
            <w:pPr>
              <w:pStyle w:val="TableParagraph"/>
              <w:spacing w:line="255" w:lineRule="exact"/>
              <w:ind w:left="153" w:right="-15"/>
              <w:rPr>
                <w:sz w:val="21"/>
              </w:rPr>
            </w:pPr>
            <w:r>
              <w:rPr>
                <w:spacing w:val="-8"/>
                <w:sz w:val="21"/>
              </w:rPr>
              <w:t>如果您或受益人故意或者因重大过失未及时通知，致使保险事故的性质、原因、</w:t>
            </w:r>
          </w:p>
        </w:tc>
      </w:tr>
    </w:tbl>
    <w:p>
      <w:pPr>
        <w:spacing w:after="0" w:line="255" w:lineRule="exact"/>
        <w:rPr>
          <w:sz w:val="21"/>
        </w:rPr>
        <w:sectPr>
          <w:pgSz w:w="11910" w:h="16840"/>
          <w:pgMar w:top="1160" w:bottom="280" w:left="70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0"/>
        <w:gridCol w:w="7381"/>
      </w:tblGrid>
      <w:tr>
        <w:trPr>
          <w:trHeight w:val="1042" w:hRule="atLeast"/>
        </w:trPr>
        <w:tc>
          <w:tcPr>
            <w:tcW w:w="607" w:type="dxa"/>
          </w:tcPr>
          <w:p>
            <w:pPr>
              <w:pStyle w:val="TableParagraph"/>
              <w:rPr>
                <w:rFonts w:ascii="Times New Roman"/>
                <w:sz w:val="20"/>
              </w:rPr>
            </w:pPr>
          </w:p>
        </w:tc>
        <w:tc>
          <w:tcPr>
            <w:tcW w:w="1970" w:type="dxa"/>
          </w:tcPr>
          <w:p>
            <w:pPr>
              <w:pStyle w:val="TableParagraph"/>
              <w:rPr>
                <w:rFonts w:ascii="Times New Roman"/>
                <w:sz w:val="20"/>
              </w:rPr>
            </w:pPr>
          </w:p>
        </w:tc>
        <w:tc>
          <w:tcPr>
            <w:tcW w:w="7381" w:type="dxa"/>
          </w:tcPr>
          <w:p>
            <w:pPr>
              <w:pStyle w:val="TableParagraph"/>
              <w:spacing w:line="211" w:lineRule="exact"/>
              <w:ind w:left="159"/>
              <w:rPr>
                <w:sz w:val="21"/>
              </w:rPr>
            </w:pPr>
            <w:r>
              <w:rPr>
                <w:sz w:val="21"/>
              </w:rPr>
              <w:t>损失程度等难以确定的，我们对无法确定的部分，不承担给付保险金的责任，</w:t>
            </w:r>
          </w:p>
          <w:p>
            <w:pPr>
              <w:pStyle w:val="TableParagraph"/>
              <w:spacing w:line="273" w:lineRule="auto" w:before="37"/>
              <w:ind w:left="159" w:right="282"/>
              <w:rPr>
                <w:sz w:val="21"/>
              </w:rPr>
            </w:pPr>
            <w:r>
              <w:rPr>
                <w:sz w:val="21"/>
              </w:rPr>
              <w:t>但我们通过其他途径已经及时知道或者应当及时知道保险事故发生或者虽未及时通知但不影响我们确定保险事故的性质、原因、损失程度的除外。</w:t>
            </w:r>
          </w:p>
        </w:tc>
      </w:tr>
      <w:tr>
        <w:trPr>
          <w:trHeight w:val="3432" w:hRule="atLeast"/>
        </w:trPr>
        <w:tc>
          <w:tcPr>
            <w:tcW w:w="607" w:type="dxa"/>
          </w:tcPr>
          <w:p>
            <w:pPr>
              <w:pStyle w:val="TableParagraph"/>
              <w:spacing w:before="142"/>
              <w:ind w:left="107"/>
              <w:rPr>
                <w:b/>
                <w:sz w:val="21"/>
              </w:rPr>
            </w:pPr>
            <w:r>
              <w:rPr>
                <w:b/>
                <w:sz w:val="21"/>
              </w:rPr>
              <w:t>3.3</w:t>
            </w:r>
          </w:p>
        </w:tc>
        <w:tc>
          <w:tcPr>
            <w:tcW w:w="1970" w:type="dxa"/>
          </w:tcPr>
          <w:p>
            <w:pPr>
              <w:pStyle w:val="TableParagraph"/>
              <w:spacing w:before="142"/>
              <w:ind w:left="142"/>
              <w:rPr>
                <w:b/>
                <w:sz w:val="21"/>
              </w:rPr>
            </w:pPr>
            <w:r>
              <w:rPr>
                <w:b/>
                <w:sz w:val="21"/>
              </w:rPr>
              <w:t>保险金申请</w:t>
            </w:r>
          </w:p>
        </w:tc>
        <w:tc>
          <w:tcPr>
            <w:tcW w:w="7381" w:type="dxa"/>
          </w:tcPr>
          <w:p>
            <w:pPr>
              <w:pStyle w:val="TableParagraph"/>
              <w:spacing w:before="142"/>
              <w:ind w:left="159"/>
              <w:rPr>
                <w:sz w:val="21"/>
              </w:rPr>
            </w:pPr>
            <w:r>
              <w:rPr>
                <w:sz w:val="21"/>
              </w:rPr>
              <w:t>在申请保险金时，申请人须填写保险金给付申请书，并提供下列证明和资料：</w:t>
            </w:r>
          </w:p>
          <w:p>
            <w:pPr>
              <w:pStyle w:val="TableParagraph"/>
              <w:spacing w:before="36"/>
              <w:ind w:left="159"/>
              <w:rPr>
                <w:sz w:val="21"/>
              </w:rPr>
            </w:pPr>
            <w:r>
              <w:rPr>
                <w:sz w:val="21"/>
              </w:rPr>
              <w:t>（1）保险合同；</w:t>
            </w:r>
          </w:p>
          <w:p>
            <w:pPr>
              <w:pStyle w:val="TableParagraph"/>
              <w:spacing w:before="36"/>
              <w:ind w:left="159"/>
              <w:rPr>
                <w:sz w:val="21"/>
              </w:rPr>
            </w:pPr>
            <w:r>
              <w:rPr>
                <w:w w:val="100"/>
                <w:sz w:val="21"/>
              </w:rPr>
              <w:t>（2</w:t>
            </w:r>
            <w:r>
              <w:rPr>
                <w:spacing w:val="-3"/>
                <w:w w:val="100"/>
                <w:sz w:val="21"/>
              </w:rPr>
              <w:t>）</w:t>
            </w:r>
            <w:r>
              <w:rPr>
                <w:spacing w:val="-2"/>
                <w:w w:val="100"/>
                <w:sz w:val="21"/>
              </w:rPr>
              <w:t>申请人的</w:t>
            </w:r>
            <w:r>
              <w:rPr>
                <w:b/>
                <w:spacing w:val="-1"/>
                <w:w w:val="100"/>
                <w:sz w:val="21"/>
              </w:rPr>
              <w:t>有效身份证件</w:t>
            </w:r>
            <w:r>
              <w:rPr>
                <w:w w:val="100"/>
                <w:sz w:val="21"/>
              </w:rPr>
              <w:t>（见</w:t>
            </w:r>
            <w:r>
              <w:rPr>
                <w:spacing w:val="-55"/>
                <w:sz w:val="21"/>
              </w:rPr>
              <w:t> </w:t>
            </w:r>
            <w:r>
              <w:rPr>
                <w:w w:val="100"/>
                <w:sz w:val="21"/>
              </w:rPr>
              <w:t>7.18</w:t>
            </w:r>
            <w:r>
              <w:rPr>
                <w:spacing w:val="-108"/>
                <w:w w:val="100"/>
                <w:sz w:val="21"/>
              </w:rPr>
              <w:t>）</w:t>
            </w:r>
            <w:r>
              <w:rPr>
                <w:w w:val="100"/>
                <w:sz w:val="21"/>
              </w:rPr>
              <w:t>；</w:t>
            </w:r>
          </w:p>
          <w:p>
            <w:pPr>
              <w:pStyle w:val="TableParagraph"/>
              <w:spacing w:line="273" w:lineRule="auto" w:before="36"/>
              <w:ind w:left="663" w:right="178" w:hanging="505"/>
              <w:jc w:val="both"/>
              <w:rPr>
                <w:sz w:val="21"/>
              </w:rPr>
            </w:pPr>
            <w:r>
              <w:rPr>
                <w:sz w:val="21"/>
              </w:rPr>
              <w:t>（3）医院的专科医生出具的附有病理显微镜检查、血液检验及其他科学方法检验报告的、诊断结论符合“7.4 重大疾病”所列举情形的疾病诊断证明书；</w:t>
            </w:r>
          </w:p>
          <w:p>
            <w:pPr>
              <w:pStyle w:val="TableParagraph"/>
              <w:spacing w:before="7"/>
              <w:ind w:left="176"/>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159" w:right="64"/>
              <w:rPr>
                <w:sz w:val="21"/>
              </w:rPr>
            </w:pPr>
            <w:r>
              <w:rPr>
                <w:sz w:val="21"/>
              </w:rPr>
              <w:t>以上证明和资料不完整的，我们将及时一次性通知申请人补充提供有关证明和资料。</w:t>
            </w:r>
          </w:p>
        </w:tc>
      </w:tr>
      <w:tr>
        <w:trPr>
          <w:trHeight w:val="5304" w:hRule="atLeast"/>
        </w:trPr>
        <w:tc>
          <w:tcPr>
            <w:tcW w:w="607" w:type="dxa"/>
          </w:tcPr>
          <w:p>
            <w:pPr>
              <w:pStyle w:val="TableParagraph"/>
              <w:spacing w:before="143"/>
              <w:ind w:left="107"/>
              <w:rPr>
                <w:b/>
                <w:sz w:val="21"/>
              </w:rPr>
            </w:pPr>
            <w:r>
              <w:rPr>
                <w:b/>
                <w:sz w:val="21"/>
              </w:rPr>
              <w:t>3.4</w:t>
            </w:r>
          </w:p>
        </w:tc>
        <w:tc>
          <w:tcPr>
            <w:tcW w:w="1970" w:type="dxa"/>
          </w:tcPr>
          <w:p>
            <w:pPr>
              <w:pStyle w:val="TableParagraph"/>
              <w:spacing w:before="143"/>
              <w:ind w:left="142"/>
              <w:rPr>
                <w:b/>
                <w:sz w:val="21"/>
              </w:rPr>
            </w:pPr>
            <w:r>
              <w:rPr>
                <w:b/>
                <w:sz w:val="21"/>
              </w:rPr>
              <w:t>保险金给付</w:t>
            </w:r>
          </w:p>
        </w:tc>
        <w:tc>
          <w:tcPr>
            <w:tcW w:w="7381" w:type="dxa"/>
          </w:tcPr>
          <w:p>
            <w:pPr>
              <w:pStyle w:val="TableParagraph"/>
              <w:spacing w:before="143"/>
              <w:ind w:left="159"/>
              <w:rPr>
                <w:sz w:val="21"/>
              </w:rPr>
            </w:pPr>
            <w:r>
              <w:rPr>
                <w:spacing w:val="-5"/>
                <w:sz w:val="21"/>
              </w:rPr>
              <w:t>我们在收到保险金给付申请书及合同约定的证明和资料后，将在 </w:t>
            </w:r>
            <w:r>
              <w:rPr>
                <w:sz w:val="21"/>
              </w:rPr>
              <w:t>5</w:t>
            </w:r>
            <w:r>
              <w:rPr>
                <w:spacing w:val="-9"/>
                <w:sz w:val="21"/>
              </w:rPr>
              <w:t> 日内作出核</w:t>
            </w:r>
          </w:p>
          <w:p>
            <w:pPr>
              <w:pStyle w:val="TableParagraph"/>
              <w:spacing w:line="273" w:lineRule="auto" w:before="37"/>
              <w:ind w:left="159" w:right="179"/>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159" w:right="179"/>
              <w:rPr>
                <w:sz w:val="21"/>
              </w:rPr>
            </w:pPr>
            <w:r>
              <w:rPr>
                <w:spacing w:val="-5"/>
                <w:sz w:val="21"/>
              </w:rPr>
              <w:t>对属于保险责任的，在与受益人达成给付保险金的协议后 </w:t>
            </w:r>
            <w:r>
              <w:rPr>
                <w:sz w:val="21"/>
              </w:rPr>
              <w:t>10</w:t>
            </w:r>
            <w:r>
              <w:rPr>
                <w:spacing w:val="-8"/>
                <w:sz w:val="21"/>
              </w:rPr>
              <w:t> 日内，履行给付</w:t>
            </w:r>
            <w:r>
              <w:rPr>
                <w:spacing w:val="-2"/>
                <w:sz w:val="21"/>
              </w:rPr>
              <w:t>保险金义务。</w:t>
            </w:r>
          </w:p>
          <w:p>
            <w:pPr>
              <w:pStyle w:val="TableParagraph"/>
              <w:spacing w:before="5"/>
              <w:rPr>
                <w:sz w:val="24"/>
              </w:rPr>
            </w:pPr>
          </w:p>
          <w:p>
            <w:pPr>
              <w:pStyle w:val="TableParagraph"/>
              <w:spacing w:line="273" w:lineRule="auto"/>
              <w:ind w:left="159" w:right="63"/>
              <w:rPr>
                <w:sz w:val="21"/>
              </w:rPr>
            </w:pPr>
            <w:r>
              <w:rPr>
                <w:sz w:val="21"/>
              </w:rPr>
              <w:t>我们未及时履行前款规定义务的，除支付保险金外，应当赔偿受益人因此受到的损失。</w:t>
            </w:r>
          </w:p>
          <w:p>
            <w:pPr>
              <w:pStyle w:val="TableParagraph"/>
              <w:spacing w:before="5"/>
              <w:rPr>
                <w:sz w:val="24"/>
              </w:rPr>
            </w:pPr>
          </w:p>
          <w:p>
            <w:pPr>
              <w:pStyle w:val="TableParagraph"/>
              <w:spacing w:line="273" w:lineRule="auto"/>
              <w:ind w:left="159" w:right="99"/>
              <w:rPr>
                <w:sz w:val="21"/>
              </w:rPr>
            </w:pPr>
            <w:r>
              <w:rPr>
                <w:spacing w:val="-8"/>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140" w:right="77" w:firstLine="19"/>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960" w:hRule="atLeast"/>
        </w:trPr>
        <w:tc>
          <w:tcPr>
            <w:tcW w:w="607" w:type="dxa"/>
          </w:tcPr>
          <w:p>
            <w:pPr>
              <w:pStyle w:val="TableParagraph"/>
              <w:spacing w:before="142"/>
              <w:ind w:left="107"/>
              <w:rPr>
                <w:b/>
                <w:sz w:val="21"/>
              </w:rPr>
            </w:pPr>
            <w:r>
              <w:rPr>
                <w:b/>
                <w:sz w:val="21"/>
              </w:rPr>
              <w:t>3.5</w:t>
            </w:r>
          </w:p>
        </w:tc>
        <w:tc>
          <w:tcPr>
            <w:tcW w:w="1970" w:type="dxa"/>
          </w:tcPr>
          <w:p>
            <w:pPr>
              <w:pStyle w:val="TableParagraph"/>
              <w:spacing w:before="142"/>
              <w:ind w:left="142"/>
              <w:rPr>
                <w:b/>
                <w:sz w:val="21"/>
              </w:rPr>
            </w:pPr>
            <w:r>
              <w:rPr>
                <w:b/>
                <w:sz w:val="21"/>
              </w:rPr>
              <w:t>诉讼时效</w:t>
            </w:r>
          </w:p>
        </w:tc>
        <w:tc>
          <w:tcPr>
            <w:tcW w:w="7381" w:type="dxa"/>
          </w:tcPr>
          <w:p>
            <w:pPr>
              <w:pStyle w:val="TableParagraph"/>
              <w:spacing w:line="273" w:lineRule="auto" w:before="142"/>
              <w:ind w:left="159" w:right="99"/>
              <w:rPr>
                <w:sz w:val="21"/>
              </w:rPr>
            </w:pPr>
            <w:r>
              <w:rPr>
                <w:spacing w:val="-5"/>
                <w:sz w:val="21"/>
              </w:rPr>
              <w:t>受益人向我们请求给付保险金的诉讼时效期间为 </w:t>
            </w:r>
            <w:r>
              <w:rPr>
                <w:sz w:val="21"/>
              </w:rPr>
              <w:t>2</w:t>
            </w:r>
            <w:r>
              <w:rPr>
                <w:spacing w:val="-10"/>
                <w:sz w:val="21"/>
              </w:rPr>
              <w:t> 年，自其知道或者应当知道</w:t>
            </w:r>
            <w:r>
              <w:rPr>
                <w:spacing w:val="-5"/>
                <w:sz w:val="21"/>
              </w:rPr>
              <w:t>保险事故发生之日起计算。</w:t>
            </w:r>
          </w:p>
        </w:tc>
      </w:tr>
      <w:tr>
        <w:trPr>
          <w:trHeight w:val="753" w:hRule="atLeast"/>
        </w:trPr>
        <w:tc>
          <w:tcPr>
            <w:tcW w:w="6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70" w:type="dxa"/>
            <w:tcBorders>
              <w:bottom w:val="single" w:sz="8" w:space="0" w:color="000000"/>
            </w:tcBorders>
          </w:tcPr>
          <w:p>
            <w:pPr>
              <w:pStyle w:val="TableParagraph"/>
              <w:spacing w:before="10"/>
              <w:rPr>
                <w:sz w:val="18"/>
              </w:rPr>
            </w:pPr>
          </w:p>
          <w:p>
            <w:pPr>
              <w:pStyle w:val="TableParagraph"/>
              <w:ind w:left="142"/>
              <w:rPr>
                <w:b/>
                <w:sz w:val="24"/>
              </w:rPr>
            </w:pPr>
            <w:r>
              <w:rPr>
                <w:b/>
                <w:w w:val="95"/>
                <w:sz w:val="24"/>
              </w:rPr>
              <w:t>如何支付保险费</w:t>
            </w:r>
          </w:p>
        </w:tc>
        <w:tc>
          <w:tcPr>
            <w:tcW w:w="7381" w:type="dxa"/>
            <w:tcBorders>
              <w:bottom w:val="single" w:sz="8" w:space="0" w:color="000000"/>
            </w:tcBorders>
          </w:tcPr>
          <w:p>
            <w:pPr>
              <w:pStyle w:val="TableParagraph"/>
              <w:rPr>
                <w:rFonts w:ascii="Times New Roman"/>
                <w:sz w:val="20"/>
              </w:rPr>
            </w:pPr>
          </w:p>
        </w:tc>
      </w:tr>
      <w:tr>
        <w:trPr>
          <w:trHeight w:val="1120" w:hRule="atLeast"/>
        </w:trPr>
        <w:tc>
          <w:tcPr>
            <w:tcW w:w="607" w:type="dxa"/>
            <w:tcBorders>
              <w:top w:val="single" w:sz="8" w:space="0" w:color="000000"/>
            </w:tcBorders>
          </w:tcPr>
          <w:p>
            <w:pPr>
              <w:pStyle w:val="TableParagraph"/>
              <w:spacing w:before="1"/>
              <w:rPr>
                <w:sz w:val="23"/>
              </w:rPr>
            </w:pPr>
          </w:p>
          <w:p>
            <w:pPr>
              <w:pStyle w:val="TableParagraph"/>
              <w:ind w:left="107"/>
              <w:rPr>
                <w:b/>
                <w:sz w:val="21"/>
              </w:rPr>
            </w:pPr>
            <w:r>
              <w:rPr>
                <w:b/>
                <w:sz w:val="21"/>
              </w:rPr>
              <w:t>4.1</w:t>
            </w:r>
          </w:p>
        </w:tc>
        <w:tc>
          <w:tcPr>
            <w:tcW w:w="1970" w:type="dxa"/>
            <w:tcBorders>
              <w:top w:val="single" w:sz="8" w:space="0" w:color="000000"/>
            </w:tcBorders>
          </w:tcPr>
          <w:p>
            <w:pPr>
              <w:pStyle w:val="TableParagraph"/>
              <w:spacing w:before="1"/>
              <w:rPr>
                <w:sz w:val="23"/>
              </w:rPr>
            </w:pPr>
          </w:p>
          <w:p>
            <w:pPr>
              <w:pStyle w:val="TableParagraph"/>
              <w:ind w:left="142"/>
              <w:rPr>
                <w:b/>
                <w:sz w:val="21"/>
              </w:rPr>
            </w:pPr>
            <w:r>
              <w:rPr>
                <w:b/>
                <w:sz w:val="21"/>
              </w:rPr>
              <w:t>保险费的支付</w:t>
            </w:r>
          </w:p>
        </w:tc>
        <w:tc>
          <w:tcPr>
            <w:tcW w:w="7381" w:type="dxa"/>
            <w:tcBorders>
              <w:top w:val="single" w:sz="8" w:space="0" w:color="000000"/>
            </w:tcBorders>
          </w:tcPr>
          <w:p>
            <w:pPr>
              <w:pStyle w:val="TableParagraph"/>
              <w:spacing w:before="1"/>
              <w:rPr>
                <w:sz w:val="23"/>
              </w:rPr>
            </w:pPr>
          </w:p>
          <w:p>
            <w:pPr>
              <w:pStyle w:val="TableParagraph"/>
              <w:spacing w:line="273" w:lineRule="auto"/>
              <w:ind w:left="159" w:right="50"/>
              <w:rPr>
                <w:sz w:val="21"/>
              </w:rPr>
            </w:pPr>
            <w:r>
              <w:rPr>
                <w:sz w:val="21"/>
              </w:rPr>
              <w:t>本合同的保险费由您与我们在投保时约定并在保险单中载明，您需于投保时一次性支付整个保险期间的保险费。</w:t>
            </w:r>
          </w:p>
        </w:tc>
      </w:tr>
      <w:tr>
        <w:trPr>
          <w:trHeight w:val="753" w:hRule="atLeast"/>
        </w:trPr>
        <w:tc>
          <w:tcPr>
            <w:tcW w:w="6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351" w:type="dxa"/>
            <w:gridSpan w:val="2"/>
            <w:tcBorders>
              <w:bottom w:val="single" w:sz="8" w:space="0" w:color="000000"/>
            </w:tcBorders>
          </w:tcPr>
          <w:p>
            <w:pPr>
              <w:pStyle w:val="TableParagraph"/>
              <w:spacing w:before="10"/>
              <w:rPr>
                <w:sz w:val="18"/>
              </w:rPr>
            </w:pPr>
          </w:p>
          <w:p>
            <w:pPr>
              <w:pStyle w:val="TableParagraph"/>
              <w:ind w:left="142"/>
              <w:rPr>
                <w:b/>
                <w:sz w:val="24"/>
              </w:rPr>
            </w:pPr>
            <w:r>
              <w:rPr>
                <w:b/>
                <w:w w:val="95"/>
                <w:sz w:val="24"/>
              </w:rPr>
              <w:t>如何解除保险合同</w:t>
            </w:r>
          </w:p>
        </w:tc>
      </w:tr>
      <w:tr>
        <w:trPr>
          <w:trHeight w:val="886" w:hRule="atLeast"/>
        </w:trPr>
        <w:tc>
          <w:tcPr>
            <w:tcW w:w="607" w:type="dxa"/>
            <w:tcBorders>
              <w:top w:val="single" w:sz="8" w:space="0" w:color="000000"/>
            </w:tcBorders>
          </w:tcPr>
          <w:p>
            <w:pPr>
              <w:pStyle w:val="TableParagraph"/>
              <w:spacing w:before="11"/>
              <w:rPr>
                <w:sz w:val="22"/>
              </w:rPr>
            </w:pPr>
          </w:p>
          <w:p>
            <w:pPr>
              <w:pStyle w:val="TableParagraph"/>
              <w:ind w:left="107"/>
              <w:rPr>
                <w:b/>
                <w:sz w:val="21"/>
              </w:rPr>
            </w:pPr>
            <w:r>
              <w:rPr>
                <w:b/>
                <w:sz w:val="21"/>
              </w:rPr>
              <w:t>5.1</w:t>
            </w:r>
          </w:p>
        </w:tc>
        <w:tc>
          <w:tcPr>
            <w:tcW w:w="1970" w:type="dxa"/>
            <w:tcBorders>
              <w:top w:val="single" w:sz="8" w:space="0" w:color="000000"/>
            </w:tcBorders>
          </w:tcPr>
          <w:p>
            <w:pPr>
              <w:pStyle w:val="TableParagraph"/>
              <w:spacing w:before="2"/>
              <w:rPr>
                <w:sz w:val="20"/>
              </w:rPr>
            </w:pPr>
          </w:p>
          <w:p>
            <w:pPr>
              <w:pStyle w:val="TableParagraph"/>
              <w:spacing w:line="310" w:lineRule="atLeast"/>
              <w:ind w:left="142" w:right="136"/>
              <w:rPr>
                <w:b/>
                <w:sz w:val="21"/>
              </w:rPr>
            </w:pPr>
            <w:r>
              <w:rPr>
                <w:b/>
                <w:sz w:val="21"/>
              </w:rPr>
              <w:t>您解除合同的手续及风险</w:t>
            </w:r>
          </w:p>
        </w:tc>
        <w:tc>
          <w:tcPr>
            <w:tcW w:w="7381" w:type="dxa"/>
            <w:tcBorders>
              <w:top w:val="single" w:sz="8" w:space="0" w:color="000000"/>
            </w:tcBorders>
          </w:tcPr>
          <w:p>
            <w:pPr>
              <w:pStyle w:val="TableParagraph"/>
              <w:spacing w:before="11"/>
              <w:rPr>
                <w:sz w:val="22"/>
              </w:rPr>
            </w:pPr>
          </w:p>
          <w:p>
            <w:pPr>
              <w:pStyle w:val="TableParagraph"/>
              <w:ind w:left="159"/>
              <w:rPr>
                <w:sz w:val="21"/>
              </w:rPr>
            </w:pPr>
            <w:r>
              <w:rPr>
                <w:sz w:val="21"/>
              </w:rPr>
              <w:t>如您申请解除本合同，请填写解除合同申请书并向我们提供下列资料：</w:t>
            </w:r>
          </w:p>
          <w:p>
            <w:pPr>
              <w:pStyle w:val="TableParagraph"/>
              <w:spacing w:line="255" w:lineRule="exact" w:before="37"/>
              <w:ind w:left="159"/>
              <w:rPr>
                <w:sz w:val="21"/>
              </w:rPr>
            </w:pPr>
            <w:r>
              <w:rPr>
                <w:sz w:val="21"/>
              </w:rPr>
              <w:t>（1）保险合同；</w:t>
            </w:r>
          </w:p>
        </w:tc>
      </w:tr>
    </w:tbl>
    <w:p>
      <w:pPr>
        <w:spacing w:after="0" w:line="255" w:lineRule="exact"/>
        <w:rPr>
          <w:sz w:val="21"/>
        </w:rPr>
        <w:sectPr>
          <w:pgSz w:w="11910" w:h="16840"/>
          <w:pgMar w:top="1160" w:bottom="280" w:left="700" w:right="10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4"/>
      </w:tblGrid>
      <w:tr>
        <w:trPr>
          <w:trHeight w:val="2002" w:hRule="atLeast"/>
        </w:trPr>
        <w:tc>
          <w:tcPr>
            <w:tcW w:w="607" w:type="dxa"/>
          </w:tcPr>
          <w:p>
            <w:pPr>
              <w:pStyle w:val="TableParagraph"/>
              <w:rPr>
                <w:rFonts w:ascii="Times New Roman"/>
                <w:sz w:val="20"/>
              </w:rPr>
            </w:pPr>
          </w:p>
        </w:tc>
        <w:tc>
          <w:tcPr>
            <w:tcW w:w="1980" w:type="dxa"/>
          </w:tcPr>
          <w:p>
            <w:pPr>
              <w:pStyle w:val="TableParagraph"/>
              <w:rPr>
                <w:rFonts w:ascii="Times New Roman"/>
                <w:sz w:val="20"/>
              </w:rPr>
            </w:pPr>
          </w:p>
        </w:tc>
        <w:tc>
          <w:tcPr>
            <w:tcW w:w="7374" w:type="dxa"/>
          </w:tcPr>
          <w:p>
            <w:pPr>
              <w:pStyle w:val="TableParagraph"/>
              <w:spacing w:line="211" w:lineRule="exact"/>
              <w:ind w:left="149"/>
              <w:rPr>
                <w:sz w:val="21"/>
              </w:rPr>
            </w:pPr>
            <w:r>
              <w:rPr>
                <w:sz w:val="21"/>
              </w:rPr>
              <w:t>（2）您的有效身份证件。</w:t>
            </w:r>
          </w:p>
          <w:p>
            <w:pPr>
              <w:pStyle w:val="TableParagraph"/>
              <w:spacing w:before="9"/>
              <w:rPr>
                <w:sz w:val="26"/>
              </w:rPr>
            </w:pPr>
          </w:p>
          <w:p>
            <w:pPr>
              <w:pStyle w:val="TableParagraph"/>
              <w:spacing w:line="273" w:lineRule="auto"/>
              <w:ind w:left="149" w:right="73"/>
              <w:rPr>
                <w:sz w:val="21"/>
              </w:rPr>
            </w:pPr>
            <w:r>
              <w:rPr>
                <w:sz w:val="21"/>
              </w:rPr>
              <w:t>自我们收到解除合同申请书时起，本合同终止。我们自收到解除合同申请书之日起 30 日内向您退还收到解除合同申请书之日本合同的现金价值。</w:t>
            </w:r>
          </w:p>
          <w:p>
            <w:pPr>
              <w:pStyle w:val="TableParagraph"/>
              <w:spacing w:before="5"/>
              <w:rPr>
                <w:sz w:val="24"/>
              </w:rPr>
            </w:pPr>
          </w:p>
          <w:p>
            <w:pPr>
              <w:pStyle w:val="TableParagraph"/>
              <w:ind w:left="149"/>
              <w:rPr>
                <w:sz w:val="21"/>
              </w:rPr>
            </w:pPr>
            <w:r>
              <w:rPr>
                <w:sz w:val="21"/>
              </w:rPr>
              <w:t>您解除合同会遭受一定损失。</w:t>
            </w:r>
          </w:p>
        </w:tc>
      </w:tr>
      <w:tr>
        <w:trPr>
          <w:trHeight w:val="753" w:hRule="atLeast"/>
        </w:trPr>
        <w:tc>
          <w:tcPr>
            <w:tcW w:w="6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354" w:type="dxa"/>
            <w:gridSpan w:val="2"/>
            <w:tcBorders>
              <w:bottom w:val="single" w:sz="8" w:space="0" w:color="000000"/>
            </w:tcBorders>
          </w:tcPr>
          <w:p>
            <w:pPr>
              <w:pStyle w:val="TableParagraph"/>
              <w:spacing w:before="10"/>
              <w:rPr>
                <w:sz w:val="18"/>
              </w:rPr>
            </w:pPr>
          </w:p>
          <w:p>
            <w:pPr>
              <w:pStyle w:val="TableParagraph"/>
              <w:ind w:left="142"/>
              <w:rPr>
                <w:b/>
                <w:sz w:val="24"/>
              </w:rPr>
            </w:pPr>
            <w:r>
              <w:rPr>
                <w:b/>
                <w:w w:val="95"/>
                <w:sz w:val="24"/>
              </w:rPr>
              <w:t>其他需要关注的事项</w:t>
            </w:r>
          </w:p>
        </w:tc>
      </w:tr>
      <w:tr>
        <w:trPr>
          <w:trHeight w:val="6711" w:hRule="atLeast"/>
        </w:trPr>
        <w:tc>
          <w:tcPr>
            <w:tcW w:w="607" w:type="dxa"/>
            <w:tcBorders>
              <w:top w:val="single" w:sz="8" w:space="0" w:color="000000"/>
            </w:tcBorders>
          </w:tcPr>
          <w:p>
            <w:pPr>
              <w:pStyle w:val="TableParagraph"/>
              <w:rPr>
                <w:sz w:val="23"/>
              </w:rPr>
            </w:pPr>
          </w:p>
          <w:p>
            <w:pPr>
              <w:pStyle w:val="TableParagraph"/>
              <w:ind w:left="107"/>
              <w:rPr>
                <w:b/>
                <w:sz w:val="21"/>
              </w:rPr>
            </w:pPr>
            <w:r>
              <w:rPr>
                <w:b/>
                <w:sz w:val="21"/>
              </w:rPr>
              <w:t>6.1</w:t>
            </w:r>
          </w:p>
        </w:tc>
        <w:tc>
          <w:tcPr>
            <w:tcW w:w="1980" w:type="dxa"/>
            <w:tcBorders>
              <w:top w:val="single" w:sz="8" w:space="0" w:color="000000"/>
            </w:tcBorders>
          </w:tcPr>
          <w:p>
            <w:pPr>
              <w:pStyle w:val="TableParagraph"/>
              <w:rPr>
                <w:sz w:val="23"/>
              </w:rPr>
            </w:pPr>
          </w:p>
          <w:p>
            <w:pPr>
              <w:pStyle w:val="TableParagraph"/>
              <w:spacing w:line="273" w:lineRule="auto"/>
              <w:ind w:left="142" w:right="146"/>
              <w:rPr>
                <w:b/>
                <w:sz w:val="21"/>
              </w:rPr>
            </w:pPr>
            <w:r>
              <w:rPr>
                <w:b/>
                <w:sz w:val="21"/>
              </w:rPr>
              <w:t>明确说明与如实告知</w:t>
            </w:r>
          </w:p>
        </w:tc>
        <w:tc>
          <w:tcPr>
            <w:tcW w:w="7374" w:type="dxa"/>
            <w:tcBorders>
              <w:top w:val="single" w:sz="8" w:space="0" w:color="000000"/>
            </w:tcBorders>
          </w:tcPr>
          <w:p>
            <w:pPr>
              <w:pStyle w:val="TableParagraph"/>
              <w:rPr>
                <w:sz w:val="23"/>
              </w:rPr>
            </w:pPr>
          </w:p>
          <w:p>
            <w:pPr>
              <w:pStyle w:val="TableParagraph"/>
              <w:ind w:left="149"/>
              <w:rPr>
                <w:sz w:val="21"/>
              </w:rPr>
            </w:pPr>
            <w:r>
              <w:rPr>
                <w:sz w:val="21"/>
              </w:rPr>
              <w:t>订立本合同时，我们应向您说明本合同的内容。</w:t>
            </w:r>
          </w:p>
          <w:p>
            <w:pPr>
              <w:pStyle w:val="TableParagraph"/>
              <w:spacing w:before="8"/>
              <w:rPr>
                <w:sz w:val="26"/>
              </w:rPr>
            </w:pPr>
          </w:p>
          <w:p>
            <w:pPr>
              <w:pStyle w:val="TableParagraph"/>
              <w:spacing w:line="273" w:lineRule="auto"/>
              <w:ind w:left="149" w:right="-15"/>
              <w:jc w:val="both"/>
              <w:rPr>
                <w:sz w:val="21"/>
              </w:rPr>
            </w:pPr>
            <w:r>
              <w:rPr>
                <w:spacing w:val="-5"/>
                <w:sz w:val="21"/>
              </w:rPr>
              <w:t>对保险条款中免除我们责任的条款，我们在订立合同时应当在投保单、保险单</w:t>
            </w:r>
            <w:r>
              <w:rPr>
                <w:spacing w:val="-6"/>
                <w:sz w:val="21"/>
              </w:rPr>
              <w:t>或者其他保险凭证上作出足以引起您注意的提示，并对该条款的内容以书面或</w:t>
            </w:r>
            <w:r>
              <w:rPr>
                <w:spacing w:val="-12"/>
                <w:sz w:val="21"/>
              </w:rPr>
              <w:t>者口头形式向您作出明确说明，未作提示或者明确说明的，该条款不产生效力。</w:t>
            </w:r>
          </w:p>
          <w:p>
            <w:pPr>
              <w:pStyle w:val="TableParagraph"/>
              <w:spacing w:before="5"/>
              <w:rPr>
                <w:sz w:val="24"/>
              </w:rPr>
            </w:pPr>
          </w:p>
          <w:p>
            <w:pPr>
              <w:pStyle w:val="TableParagraph"/>
              <w:ind w:left="149"/>
              <w:rPr>
                <w:sz w:val="21"/>
              </w:rPr>
            </w:pPr>
            <w:r>
              <w:rPr>
                <w:sz w:val="21"/>
              </w:rPr>
              <w:t>我们就您和被保险人的有关情况提出询问，您应当如实告知。</w:t>
            </w:r>
          </w:p>
          <w:p>
            <w:pPr>
              <w:pStyle w:val="TableParagraph"/>
              <w:spacing w:before="8"/>
              <w:rPr>
                <w:sz w:val="26"/>
              </w:rPr>
            </w:pPr>
          </w:p>
          <w:p>
            <w:pPr>
              <w:pStyle w:val="TableParagraph"/>
              <w:spacing w:line="273" w:lineRule="auto"/>
              <w:ind w:left="149" w:right="53"/>
              <w:rPr>
                <w:sz w:val="21"/>
              </w:rPr>
            </w:pPr>
            <w:r>
              <w:rPr>
                <w:sz w:val="21"/>
              </w:rPr>
              <w:t>如果您故意或者因重大过失未履行前款规定的如实告知义务，足以影响我们决定是否同意承保或者提高保险费率的，我们有权解除本合同。</w:t>
            </w:r>
          </w:p>
          <w:p>
            <w:pPr>
              <w:pStyle w:val="TableParagraph"/>
              <w:spacing w:before="5"/>
              <w:rPr>
                <w:sz w:val="24"/>
              </w:rPr>
            </w:pPr>
          </w:p>
          <w:p>
            <w:pPr>
              <w:pStyle w:val="TableParagraph"/>
              <w:spacing w:line="273" w:lineRule="auto"/>
              <w:ind w:left="149" w:right="66"/>
              <w:rPr>
                <w:sz w:val="21"/>
              </w:rPr>
            </w:pPr>
            <w:r>
              <w:rPr>
                <w:sz w:val="21"/>
              </w:rPr>
              <w:t>如果您故意不履行如实告知义务，对于本合同解除前发生的保险事故，我们不承担给付保险金的责任，并不退还保险费。</w:t>
            </w:r>
          </w:p>
          <w:p>
            <w:pPr>
              <w:pStyle w:val="TableParagraph"/>
              <w:spacing w:before="5"/>
              <w:rPr>
                <w:sz w:val="24"/>
              </w:rPr>
            </w:pPr>
          </w:p>
          <w:p>
            <w:pPr>
              <w:pStyle w:val="TableParagraph"/>
              <w:spacing w:line="273" w:lineRule="auto"/>
              <w:ind w:left="149" w:right="103"/>
              <w:jc w:val="both"/>
              <w:rPr>
                <w:sz w:val="21"/>
              </w:rPr>
            </w:pPr>
            <w:r>
              <w:rPr>
                <w:spacing w:val="-5"/>
                <w:sz w:val="21"/>
              </w:rPr>
              <w:t>如果您因重大过失未履行如实告知义务，对保险事故的发生有严重影响的，对</w:t>
            </w:r>
            <w:r>
              <w:rPr>
                <w:spacing w:val="-6"/>
                <w:sz w:val="21"/>
              </w:rPr>
              <w:t>于本合同解除前发生的保险事故，我们不承担给付保险金的责任，但应当退还</w:t>
            </w:r>
            <w:r>
              <w:rPr>
                <w:spacing w:val="-4"/>
                <w:sz w:val="21"/>
              </w:rPr>
              <w:t>保险费。</w:t>
            </w:r>
          </w:p>
          <w:p>
            <w:pPr>
              <w:pStyle w:val="TableParagraph"/>
              <w:spacing w:before="5"/>
              <w:rPr>
                <w:sz w:val="24"/>
              </w:rPr>
            </w:pPr>
          </w:p>
          <w:p>
            <w:pPr>
              <w:pStyle w:val="TableParagraph"/>
              <w:spacing w:line="273" w:lineRule="auto"/>
              <w:ind w:left="149" w:right="66"/>
              <w:rPr>
                <w:sz w:val="21"/>
              </w:rPr>
            </w:pPr>
            <w:r>
              <w:rPr>
                <w:sz w:val="21"/>
              </w:rPr>
              <w:t>我们在合同订立时已经知道您未如实告知的情况的，我们不得解除合同；发生保险事故的，我们承担给付保险金的责任。</w:t>
            </w:r>
          </w:p>
        </w:tc>
      </w:tr>
      <w:tr>
        <w:trPr>
          <w:trHeight w:val="935" w:hRule="atLeast"/>
        </w:trPr>
        <w:tc>
          <w:tcPr>
            <w:tcW w:w="607" w:type="dxa"/>
          </w:tcPr>
          <w:p>
            <w:pPr>
              <w:pStyle w:val="TableParagraph"/>
              <w:spacing w:before="142"/>
              <w:ind w:left="107"/>
              <w:rPr>
                <w:b/>
                <w:sz w:val="21"/>
              </w:rPr>
            </w:pPr>
            <w:r>
              <w:rPr>
                <w:b/>
                <w:sz w:val="21"/>
              </w:rPr>
              <w:t>6.2</w:t>
            </w:r>
          </w:p>
        </w:tc>
        <w:tc>
          <w:tcPr>
            <w:tcW w:w="1980" w:type="dxa"/>
          </w:tcPr>
          <w:p>
            <w:pPr>
              <w:pStyle w:val="TableParagraph"/>
              <w:spacing w:line="273" w:lineRule="auto" w:before="142"/>
              <w:ind w:left="142" w:right="146"/>
              <w:rPr>
                <w:b/>
                <w:sz w:val="21"/>
              </w:rPr>
            </w:pPr>
            <w:r>
              <w:rPr>
                <w:b/>
                <w:sz w:val="21"/>
              </w:rPr>
              <w:t>我们合同解除权的限制</w:t>
            </w:r>
          </w:p>
        </w:tc>
        <w:tc>
          <w:tcPr>
            <w:tcW w:w="7374" w:type="dxa"/>
          </w:tcPr>
          <w:p>
            <w:pPr>
              <w:pStyle w:val="TableParagraph"/>
              <w:spacing w:line="273" w:lineRule="auto" w:before="142"/>
              <w:ind w:left="149" w:right="181"/>
              <w:rPr>
                <w:sz w:val="21"/>
              </w:rPr>
            </w:pPr>
            <w:r>
              <w:rPr>
                <w:spacing w:val="-5"/>
                <w:sz w:val="21"/>
              </w:rPr>
              <w:t>前条规定的合同解除权，自我们知道有解除事由之日起，超过 </w:t>
            </w:r>
            <w:r>
              <w:rPr>
                <w:sz w:val="21"/>
              </w:rPr>
              <w:t>30</w:t>
            </w:r>
            <w:r>
              <w:rPr>
                <w:spacing w:val="-9"/>
                <w:sz w:val="21"/>
              </w:rPr>
              <w:t> 日不行使而消灭。</w:t>
            </w:r>
          </w:p>
        </w:tc>
      </w:tr>
      <w:tr>
        <w:trPr>
          <w:trHeight w:val="3538" w:hRule="atLeast"/>
        </w:trPr>
        <w:tc>
          <w:tcPr>
            <w:tcW w:w="607" w:type="dxa"/>
          </w:tcPr>
          <w:p>
            <w:pPr>
              <w:pStyle w:val="TableParagraph"/>
              <w:spacing w:before="142"/>
              <w:ind w:left="107"/>
              <w:rPr>
                <w:b/>
                <w:sz w:val="21"/>
              </w:rPr>
            </w:pPr>
            <w:r>
              <w:rPr>
                <w:b/>
                <w:sz w:val="21"/>
              </w:rPr>
              <w:t>6.3</w:t>
            </w:r>
          </w:p>
        </w:tc>
        <w:tc>
          <w:tcPr>
            <w:tcW w:w="1980" w:type="dxa"/>
          </w:tcPr>
          <w:p>
            <w:pPr>
              <w:pStyle w:val="TableParagraph"/>
              <w:spacing w:before="142"/>
              <w:ind w:left="142"/>
              <w:rPr>
                <w:b/>
                <w:sz w:val="21"/>
              </w:rPr>
            </w:pPr>
            <w:r>
              <w:rPr>
                <w:b/>
                <w:sz w:val="21"/>
              </w:rPr>
              <w:t>年龄性别错误</w:t>
            </w:r>
          </w:p>
        </w:tc>
        <w:tc>
          <w:tcPr>
            <w:tcW w:w="7374" w:type="dxa"/>
          </w:tcPr>
          <w:p>
            <w:pPr>
              <w:pStyle w:val="TableParagraph"/>
              <w:spacing w:line="273" w:lineRule="auto" w:before="142"/>
              <w:ind w:left="149" w:right="82"/>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7"/>
              <w:ind w:left="670" w:right="97" w:hanging="522"/>
              <w:jc w:val="both"/>
              <w:rPr>
                <w:sz w:val="21"/>
              </w:rPr>
            </w:pPr>
            <w:r>
              <w:rPr>
                <w:sz w:val="21"/>
              </w:rPr>
              <w:t>（1）您申报的被保险人年龄不真实，并且真实年龄不符合本合同约定的投保年龄限制的，在保险事故发生之前我们有权解除合同，并向您退还本合同的现金价值。我们行使合同解除权适用“我们合同解除权的限制”的规定。</w:t>
            </w:r>
          </w:p>
          <w:p>
            <w:pPr>
              <w:pStyle w:val="TableParagraph"/>
              <w:spacing w:line="273" w:lineRule="auto" w:before="7"/>
              <w:ind w:left="670" w:right="103" w:hanging="522"/>
              <w:jc w:val="both"/>
              <w:rPr>
                <w:sz w:val="21"/>
              </w:rPr>
            </w:pPr>
            <w:r>
              <w:rPr>
                <w:sz w:val="21"/>
              </w:rPr>
              <w:t>（2）您申报的被保险人年龄或性别不真实，致使您实付保险费少于应付保险费的，我们有权更正并要求您补交保险费；若已经发生保险事故，在给付保险金时按实付保险费和应付保险费的比例给付。</w:t>
            </w:r>
          </w:p>
          <w:p>
            <w:pPr>
              <w:pStyle w:val="TableParagraph"/>
              <w:spacing w:line="312" w:lineRule="exact" w:before="3"/>
              <w:ind w:left="675" w:right="181" w:hanging="527"/>
              <w:jc w:val="both"/>
              <w:rPr>
                <w:sz w:val="21"/>
              </w:rPr>
            </w:pPr>
            <w:r>
              <w:rPr>
                <w:sz w:val="21"/>
              </w:rPr>
              <w:t>（3）您申报的被保险人年龄或性别不真实，致使您实付保险费多于应付保险费的，我们会将多收的保险费退还给您。</w:t>
            </w:r>
          </w:p>
        </w:tc>
      </w:tr>
    </w:tbl>
    <w:p>
      <w:pPr>
        <w:spacing w:after="0" w:line="312" w:lineRule="exact"/>
        <w:jc w:val="both"/>
        <w:rPr>
          <w:sz w:val="21"/>
        </w:rPr>
        <w:sectPr>
          <w:pgSz w:w="11910" w:h="16840"/>
          <w:pgMar w:top="1160" w:bottom="280" w:left="70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69"/>
        <w:gridCol w:w="7585"/>
      </w:tblGrid>
      <w:tr>
        <w:trPr>
          <w:trHeight w:val="1042" w:hRule="atLeast"/>
        </w:trPr>
        <w:tc>
          <w:tcPr>
            <w:tcW w:w="607" w:type="dxa"/>
          </w:tcPr>
          <w:p>
            <w:pPr>
              <w:pStyle w:val="TableParagraph"/>
              <w:spacing w:line="211" w:lineRule="exact"/>
              <w:ind w:left="107"/>
              <w:rPr>
                <w:b/>
                <w:sz w:val="21"/>
              </w:rPr>
            </w:pPr>
            <w:r>
              <w:rPr>
                <w:b/>
                <w:sz w:val="21"/>
              </w:rPr>
              <w:t>6.4</w:t>
            </w:r>
          </w:p>
        </w:tc>
        <w:tc>
          <w:tcPr>
            <w:tcW w:w="1769" w:type="dxa"/>
          </w:tcPr>
          <w:p>
            <w:pPr>
              <w:pStyle w:val="TableParagraph"/>
              <w:spacing w:line="211" w:lineRule="exact"/>
              <w:ind w:left="142"/>
              <w:rPr>
                <w:b/>
                <w:sz w:val="21"/>
              </w:rPr>
            </w:pPr>
            <w:r>
              <w:rPr>
                <w:b/>
                <w:sz w:val="21"/>
              </w:rPr>
              <w:t>合同内容变更</w:t>
            </w:r>
          </w:p>
        </w:tc>
        <w:tc>
          <w:tcPr>
            <w:tcW w:w="7585" w:type="dxa"/>
          </w:tcPr>
          <w:p>
            <w:pPr>
              <w:pStyle w:val="TableParagraph"/>
              <w:spacing w:line="211" w:lineRule="exact"/>
              <w:ind w:left="360"/>
              <w:rPr>
                <w:sz w:val="21"/>
              </w:rPr>
            </w:pPr>
            <w:r>
              <w:rPr>
                <w:sz w:val="21"/>
              </w:rPr>
              <w:t>在本合同有效期内，经您与我们协商一致，可以变更本合同内容。变更本合同</w:t>
            </w:r>
          </w:p>
          <w:p>
            <w:pPr>
              <w:pStyle w:val="TableParagraph"/>
              <w:spacing w:line="273" w:lineRule="auto" w:before="37"/>
              <w:ind w:left="360" w:right="83"/>
              <w:rPr>
                <w:sz w:val="21"/>
              </w:rPr>
            </w:pPr>
            <w:r>
              <w:rPr>
                <w:sz w:val="21"/>
              </w:rPr>
              <w:t>的，应当由我们在原保险单或其它保险凭证上批注或附贴批单，或由您与我们订立书面的变更协议。</w:t>
            </w:r>
          </w:p>
        </w:tc>
      </w:tr>
      <w:tr>
        <w:trPr>
          <w:trHeight w:val="1560" w:hRule="atLeast"/>
        </w:trPr>
        <w:tc>
          <w:tcPr>
            <w:tcW w:w="607" w:type="dxa"/>
          </w:tcPr>
          <w:p>
            <w:pPr>
              <w:pStyle w:val="TableParagraph"/>
              <w:spacing w:before="142"/>
              <w:ind w:left="107"/>
              <w:rPr>
                <w:b/>
                <w:sz w:val="21"/>
              </w:rPr>
            </w:pPr>
            <w:r>
              <w:rPr>
                <w:b/>
                <w:sz w:val="21"/>
              </w:rPr>
              <w:t>6.5</w:t>
            </w:r>
          </w:p>
        </w:tc>
        <w:tc>
          <w:tcPr>
            <w:tcW w:w="1769" w:type="dxa"/>
          </w:tcPr>
          <w:p>
            <w:pPr>
              <w:pStyle w:val="TableParagraph"/>
              <w:spacing w:before="142"/>
              <w:ind w:left="142"/>
              <w:rPr>
                <w:b/>
                <w:sz w:val="21"/>
              </w:rPr>
            </w:pPr>
            <w:r>
              <w:rPr>
                <w:b/>
                <w:sz w:val="21"/>
              </w:rPr>
              <w:t>联系方式变更</w:t>
            </w:r>
          </w:p>
        </w:tc>
        <w:tc>
          <w:tcPr>
            <w:tcW w:w="7585" w:type="dxa"/>
          </w:tcPr>
          <w:p>
            <w:pPr>
              <w:pStyle w:val="TableParagraph"/>
              <w:spacing w:line="273" w:lineRule="auto" w:before="142"/>
              <w:ind w:left="360" w:right="102"/>
              <w:jc w:val="both"/>
              <w:rPr>
                <w:sz w:val="21"/>
              </w:rPr>
            </w:pPr>
            <w:r>
              <w:rPr>
                <w:spacing w:val="-6"/>
                <w:sz w:val="21"/>
              </w:rPr>
              <w:t>为了保障您的合法权益，您的住所、通讯地址或电话等联系方式变更时，请及</w:t>
            </w:r>
            <w:r>
              <w:rPr>
                <w:spacing w:val="-5"/>
                <w:sz w:val="21"/>
              </w:rPr>
              <w:t>时以书面形式或双方认可的其他形式通知我们。若您未以书面形式或双方认可</w:t>
            </w:r>
            <w:r>
              <w:rPr>
                <w:spacing w:val="-7"/>
                <w:sz w:val="21"/>
              </w:rPr>
              <w:t>的其他形式通知我们，我们按本合同载明的最后住所或通讯地址发送的有关通</w:t>
            </w:r>
            <w:r>
              <w:rPr>
                <w:spacing w:val="-5"/>
                <w:sz w:val="21"/>
              </w:rPr>
              <w:t>知，均视为已送达给您。</w:t>
            </w:r>
          </w:p>
        </w:tc>
      </w:tr>
      <w:tr>
        <w:trPr>
          <w:trHeight w:val="1897" w:hRule="atLeast"/>
        </w:trPr>
        <w:tc>
          <w:tcPr>
            <w:tcW w:w="607" w:type="dxa"/>
          </w:tcPr>
          <w:p>
            <w:pPr>
              <w:pStyle w:val="TableParagraph"/>
              <w:spacing w:before="142"/>
              <w:ind w:left="107"/>
              <w:rPr>
                <w:b/>
                <w:sz w:val="21"/>
              </w:rPr>
            </w:pPr>
            <w:r>
              <w:rPr>
                <w:b/>
                <w:sz w:val="21"/>
              </w:rPr>
              <w:t>6.6</w:t>
            </w:r>
          </w:p>
        </w:tc>
        <w:tc>
          <w:tcPr>
            <w:tcW w:w="1769" w:type="dxa"/>
          </w:tcPr>
          <w:p>
            <w:pPr>
              <w:pStyle w:val="TableParagraph"/>
              <w:spacing w:before="142"/>
              <w:ind w:left="142"/>
              <w:rPr>
                <w:b/>
                <w:sz w:val="21"/>
              </w:rPr>
            </w:pPr>
            <w:r>
              <w:rPr>
                <w:b/>
                <w:sz w:val="21"/>
              </w:rPr>
              <w:t>争议处理</w:t>
            </w:r>
          </w:p>
        </w:tc>
        <w:tc>
          <w:tcPr>
            <w:tcW w:w="7585" w:type="dxa"/>
          </w:tcPr>
          <w:p>
            <w:pPr>
              <w:pStyle w:val="TableParagraph"/>
              <w:spacing w:before="142"/>
              <w:ind w:left="360"/>
              <w:rPr>
                <w:sz w:val="21"/>
              </w:rPr>
            </w:pPr>
            <w:r>
              <w:rPr>
                <w:sz w:val="21"/>
              </w:rPr>
              <w:t>合同争议解决方式由当事人在合同约定时从下列两种方式中选择一种：</w:t>
            </w:r>
          </w:p>
          <w:p>
            <w:pPr>
              <w:pStyle w:val="TableParagraph"/>
              <w:tabs>
                <w:tab w:pos="7528" w:val="left" w:leader="none"/>
              </w:tabs>
              <w:spacing w:line="273" w:lineRule="auto" w:before="36"/>
              <w:ind w:left="881" w:right="54" w:hanging="522"/>
              <w:rPr>
                <w:sz w:val="21"/>
              </w:rPr>
            </w:pPr>
            <w:r>
              <w:rPr>
                <w:sz w:val="21"/>
              </w:rPr>
              <w:t>（1）因履行本合同发生的争议，由当事人协商解决，协商不成的，提</w:t>
            </w:r>
            <w:r>
              <w:rPr>
                <w:spacing w:val="5"/>
                <w:sz w:val="21"/>
              </w:rPr>
              <w:t>交</w:t>
            </w:r>
            <w:r>
              <w:rPr>
                <w:spacing w:val="5"/>
                <w:sz w:val="21"/>
                <w:u w:val="single"/>
              </w:rPr>
              <w:tab/>
            </w:r>
            <w:r>
              <w:rPr>
                <w:sz w:val="21"/>
                <w:u w:val="single"/>
              </w:rPr>
              <w:t>   </w:t>
            </w:r>
            <w:r>
              <w:rPr>
                <w:sz w:val="21"/>
              </w:rPr>
              <w:t>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spacing w:line="273" w:lineRule="auto" w:before="7"/>
              <w:ind w:left="886" w:right="181" w:hanging="527"/>
              <w:rPr>
                <w:sz w:val="21"/>
              </w:rPr>
            </w:pPr>
            <w:r>
              <w:rPr>
                <w:sz w:val="21"/>
              </w:rPr>
              <w:t>（2）因履行本合同发生的争议，由当事人协商解决，协商不成的，依法向人民法院起诉。</w:t>
            </w:r>
          </w:p>
        </w:tc>
      </w:tr>
      <w:tr>
        <w:trPr>
          <w:trHeight w:val="754" w:hRule="atLeast"/>
        </w:trPr>
        <w:tc>
          <w:tcPr>
            <w:tcW w:w="607"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769" w:type="dxa"/>
            <w:tcBorders>
              <w:bottom w:val="single" w:sz="8" w:space="0" w:color="000000"/>
            </w:tcBorders>
          </w:tcPr>
          <w:p>
            <w:pPr>
              <w:pStyle w:val="TableParagraph"/>
              <w:spacing w:before="10"/>
              <w:rPr>
                <w:sz w:val="18"/>
              </w:rPr>
            </w:pPr>
          </w:p>
          <w:p>
            <w:pPr>
              <w:pStyle w:val="TableParagraph"/>
              <w:ind w:left="142"/>
              <w:rPr>
                <w:b/>
                <w:sz w:val="24"/>
              </w:rPr>
            </w:pPr>
            <w:r>
              <w:rPr>
                <w:b/>
                <w:sz w:val="24"/>
              </w:rPr>
              <w:t>释义</w:t>
            </w:r>
          </w:p>
        </w:tc>
        <w:tc>
          <w:tcPr>
            <w:tcW w:w="7585" w:type="dxa"/>
            <w:tcBorders>
              <w:bottom w:val="single" w:sz="8" w:space="0" w:color="000000"/>
            </w:tcBorders>
          </w:tcPr>
          <w:p>
            <w:pPr>
              <w:pStyle w:val="TableParagraph"/>
              <w:rPr>
                <w:rFonts w:ascii="Times New Roman"/>
                <w:sz w:val="20"/>
              </w:rPr>
            </w:pPr>
          </w:p>
        </w:tc>
      </w:tr>
      <w:tr>
        <w:trPr>
          <w:trHeight w:val="1094" w:hRule="atLeast"/>
        </w:trPr>
        <w:tc>
          <w:tcPr>
            <w:tcW w:w="607" w:type="dxa"/>
            <w:tcBorders>
              <w:top w:val="single" w:sz="8" w:space="0" w:color="000000"/>
            </w:tcBorders>
          </w:tcPr>
          <w:p>
            <w:pPr>
              <w:pStyle w:val="TableParagraph"/>
              <w:rPr>
                <w:sz w:val="23"/>
              </w:rPr>
            </w:pPr>
          </w:p>
          <w:p>
            <w:pPr>
              <w:pStyle w:val="TableParagraph"/>
              <w:ind w:left="107"/>
              <w:rPr>
                <w:b/>
                <w:sz w:val="21"/>
              </w:rPr>
            </w:pPr>
            <w:r>
              <w:rPr>
                <w:b/>
                <w:sz w:val="21"/>
              </w:rPr>
              <w:t>7.1</w:t>
            </w:r>
          </w:p>
        </w:tc>
        <w:tc>
          <w:tcPr>
            <w:tcW w:w="1769" w:type="dxa"/>
            <w:tcBorders>
              <w:top w:val="single" w:sz="8" w:space="0" w:color="000000"/>
            </w:tcBorders>
          </w:tcPr>
          <w:p>
            <w:pPr>
              <w:pStyle w:val="TableParagraph"/>
              <w:rPr>
                <w:sz w:val="23"/>
              </w:rPr>
            </w:pPr>
          </w:p>
          <w:p>
            <w:pPr>
              <w:pStyle w:val="TableParagraph"/>
              <w:ind w:left="142"/>
              <w:rPr>
                <w:b/>
                <w:sz w:val="21"/>
              </w:rPr>
            </w:pPr>
            <w:r>
              <w:rPr>
                <w:b/>
                <w:sz w:val="21"/>
              </w:rPr>
              <w:t>周岁</w:t>
            </w:r>
          </w:p>
        </w:tc>
        <w:tc>
          <w:tcPr>
            <w:tcW w:w="7585" w:type="dxa"/>
            <w:tcBorders>
              <w:top w:val="single" w:sz="8" w:space="0" w:color="000000"/>
            </w:tcBorders>
          </w:tcPr>
          <w:p>
            <w:pPr>
              <w:pStyle w:val="TableParagraph"/>
              <w:rPr>
                <w:sz w:val="23"/>
              </w:rPr>
            </w:pPr>
          </w:p>
          <w:p>
            <w:pPr>
              <w:pStyle w:val="TableParagraph"/>
              <w:spacing w:line="273" w:lineRule="auto"/>
              <w:ind w:left="360" w:right="66"/>
              <w:rPr>
                <w:sz w:val="21"/>
              </w:rPr>
            </w:pPr>
            <w:r>
              <w:rPr>
                <w:sz w:val="21"/>
              </w:rPr>
              <w:t>指按有效身份证件中记载的出生日期计算的年龄，自出生之日起为零周岁，每经过一年增加一岁，不足一年的不计。</w:t>
            </w:r>
          </w:p>
        </w:tc>
      </w:tr>
      <w:tr>
        <w:trPr>
          <w:trHeight w:val="936" w:hRule="atLeast"/>
        </w:trPr>
        <w:tc>
          <w:tcPr>
            <w:tcW w:w="607" w:type="dxa"/>
          </w:tcPr>
          <w:p>
            <w:pPr>
              <w:pStyle w:val="TableParagraph"/>
              <w:spacing w:before="142"/>
              <w:ind w:left="107"/>
              <w:rPr>
                <w:b/>
                <w:sz w:val="21"/>
              </w:rPr>
            </w:pPr>
            <w:r>
              <w:rPr>
                <w:b/>
                <w:sz w:val="21"/>
              </w:rPr>
              <w:t>7.2</w:t>
            </w:r>
          </w:p>
        </w:tc>
        <w:tc>
          <w:tcPr>
            <w:tcW w:w="1769" w:type="dxa"/>
          </w:tcPr>
          <w:p>
            <w:pPr>
              <w:pStyle w:val="TableParagraph"/>
              <w:spacing w:before="142"/>
              <w:ind w:left="142"/>
              <w:rPr>
                <w:b/>
                <w:sz w:val="21"/>
              </w:rPr>
            </w:pPr>
            <w:r>
              <w:rPr>
                <w:b/>
                <w:sz w:val="21"/>
              </w:rPr>
              <w:t>连续投保</w:t>
            </w:r>
          </w:p>
        </w:tc>
        <w:tc>
          <w:tcPr>
            <w:tcW w:w="7585" w:type="dxa"/>
          </w:tcPr>
          <w:p>
            <w:pPr>
              <w:pStyle w:val="TableParagraph"/>
              <w:spacing w:line="273" w:lineRule="auto" w:before="142"/>
              <w:ind w:left="360" w:right="67"/>
              <w:rPr>
                <w:sz w:val="21"/>
              </w:rPr>
            </w:pPr>
            <w:r>
              <w:rPr>
                <w:sz w:val="21"/>
              </w:rPr>
              <w:t>指投保人为被保险人续保同一险种，且续保保单的生效日为原保单到期日的次日。</w:t>
            </w:r>
          </w:p>
        </w:tc>
      </w:tr>
      <w:tr>
        <w:trPr>
          <w:trHeight w:val="624" w:hRule="atLeast"/>
        </w:trPr>
        <w:tc>
          <w:tcPr>
            <w:tcW w:w="607" w:type="dxa"/>
          </w:tcPr>
          <w:p>
            <w:pPr>
              <w:pStyle w:val="TableParagraph"/>
              <w:spacing w:before="142"/>
              <w:ind w:left="107"/>
              <w:rPr>
                <w:b/>
                <w:sz w:val="21"/>
              </w:rPr>
            </w:pPr>
            <w:r>
              <w:rPr>
                <w:b/>
                <w:sz w:val="21"/>
              </w:rPr>
              <w:t>7.3</w:t>
            </w:r>
          </w:p>
        </w:tc>
        <w:tc>
          <w:tcPr>
            <w:tcW w:w="1769" w:type="dxa"/>
          </w:tcPr>
          <w:p>
            <w:pPr>
              <w:pStyle w:val="TableParagraph"/>
              <w:spacing w:before="142"/>
              <w:ind w:left="142"/>
              <w:rPr>
                <w:b/>
                <w:sz w:val="21"/>
              </w:rPr>
            </w:pPr>
            <w:r>
              <w:rPr>
                <w:b/>
                <w:sz w:val="21"/>
              </w:rPr>
              <w:t>意外伤害事故</w:t>
            </w:r>
          </w:p>
        </w:tc>
        <w:tc>
          <w:tcPr>
            <w:tcW w:w="7585" w:type="dxa"/>
          </w:tcPr>
          <w:p>
            <w:pPr>
              <w:pStyle w:val="TableParagraph"/>
              <w:spacing w:before="142"/>
              <w:ind w:left="360" w:right="-15"/>
              <w:rPr>
                <w:sz w:val="21"/>
              </w:rPr>
            </w:pPr>
            <w:r>
              <w:rPr>
                <w:spacing w:val="-15"/>
                <w:sz w:val="21"/>
              </w:rPr>
              <w:t>指外来的、非本意的、突然的、非疾病的使被保险人身体受到伤害的客观事件。</w:t>
            </w:r>
          </w:p>
        </w:tc>
      </w:tr>
      <w:tr>
        <w:trPr>
          <w:trHeight w:val="6346" w:hRule="atLeast"/>
        </w:trPr>
        <w:tc>
          <w:tcPr>
            <w:tcW w:w="607" w:type="dxa"/>
          </w:tcPr>
          <w:p>
            <w:pPr>
              <w:pStyle w:val="TableParagraph"/>
              <w:spacing w:before="143"/>
              <w:ind w:left="107"/>
              <w:rPr>
                <w:b/>
                <w:sz w:val="21"/>
              </w:rPr>
            </w:pPr>
            <w:r>
              <w:rPr>
                <w:b/>
                <w:sz w:val="21"/>
              </w:rPr>
              <w:t>7.4</w:t>
            </w:r>
          </w:p>
        </w:tc>
        <w:tc>
          <w:tcPr>
            <w:tcW w:w="1769" w:type="dxa"/>
          </w:tcPr>
          <w:p>
            <w:pPr>
              <w:pStyle w:val="TableParagraph"/>
              <w:spacing w:before="143"/>
              <w:ind w:left="142"/>
              <w:rPr>
                <w:b/>
                <w:sz w:val="21"/>
              </w:rPr>
            </w:pPr>
            <w:r>
              <w:rPr>
                <w:b/>
                <w:sz w:val="21"/>
              </w:rPr>
              <w:t>重大疾病</w:t>
            </w:r>
          </w:p>
        </w:tc>
        <w:tc>
          <w:tcPr>
            <w:tcW w:w="7585" w:type="dxa"/>
          </w:tcPr>
          <w:p>
            <w:pPr>
              <w:pStyle w:val="TableParagraph"/>
              <w:spacing w:line="273" w:lineRule="auto" w:before="143"/>
              <w:ind w:left="360" w:right="181"/>
              <w:rPr>
                <w:sz w:val="21"/>
              </w:rPr>
            </w:pPr>
            <w:r>
              <w:rPr>
                <w:spacing w:val="-12"/>
                <w:sz w:val="21"/>
              </w:rPr>
              <w:t>以下 </w:t>
            </w:r>
            <w:r>
              <w:rPr>
                <w:sz w:val="21"/>
              </w:rPr>
              <w:t>25</w:t>
            </w:r>
            <w:r>
              <w:rPr>
                <w:spacing w:val="-8"/>
                <w:sz w:val="21"/>
              </w:rPr>
              <w:t> 种重大疾病定义是由中国保险行业协会与中国医师协会共同制定的重</w:t>
            </w:r>
            <w:r>
              <w:rPr>
                <w:spacing w:val="-5"/>
                <w:sz w:val="21"/>
              </w:rPr>
              <w:t>大疾病保险的疾病定义。</w:t>
            </w:r>
          </w:p>
          <w:p>
            <w:pPr>
              <w:pStyle w:val="TableParagraph"/>
              <w:spacing w:before="5"/>
              <w:rPr>
                <w:sz w:val="24"/>
              </w:rPr>
            </w:pPr>
          </w:p>
          <w:p>
            <w:pPr>
              <w:pStyle w:val="TableParagraph"/>
              <w:spacing w:before="1"/>
              <w:ind w:left="360"/>
              <w:rPr>
                <w:b/>
                <w:sz w:val="21"/>
              </w:rPr>
            </w:pPr>
            <w:r>
              <w:rPr>
                <w:b/>
                <w:sz w:val="21"/>
              </w:rPr>
              <w:t>（一）恶性肿瘤</w:t>
            </w:r>
          </w:p>
          <w:p>
            <w:pPr>
              <w:pStyle w:val="TableParagraph"/>
              <w:spacing w:line="273" w:lineRule="auto" w:before="37"/>
              <w:ind w:left="360" w:right="-15"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line="273" w:lineRule="auto" w:before="7"/>
              <w:ind w:left="886" w:right="4173" w:hanging="527"/>
              <w:rPr>
                <w:sz w:val="21"/>
              </w:rPr>
            </w:pPr>
            <w:r>
              <w:rPr>
                <w:sz w:val="21"/>
              </w:rPr>
              <w:t>（ICD-10）</w:t>
            </w:r>
            <w:r>
              <w:rPr>
                <w:spacing w:val="-3"/>
                <w:sz w:val="21"/>
              </w:rPr>
              <w:t>的恶性肿瘤范畴。  下列疾病不在保障范围内：</w:t>
            </w:r>
          </w:p>
          <w:p>
            <w:pPr>
              <w:pStyle w:val="TableParagraph"/>
              <w:spacing w:before="7"/>
              <w:ind w:left="360"/>
              <w:rPr>
                <w:sz w:val="21"/>
              </w:rPr>
            </w:pPr>
            <w:r>
              <w:rPr>
                <w:sz w:val="21"/>
              </w:rPr>
              <w:t>（1）原位癌；</w:t>
            </w:r>
          </w:p>
          <w:p>
            <w:pPr>
              <w:pStyle w:val="TableParagraph"/>
              <w:spacing w:before="37"/>
              <w:ind w:left="360"/>
              <w:rPr>
                <w:sz w:val="21"/>
              </w:rPr>
            </w:pPr>
            <w:r>
              <w:rPr>
                <w:sz w:val="21"/>
              </w:rPr>
              <w:t>（2）相当于 Binet 分期方案 A 期程度的慢性淋巴细胞白血病；</w:t>
            </w:r>
          </w:p>
          <w:p>
            <w:pPr>
              <w:pStyle w:val="TableParagraph"/>
              <w:spacing w:before="37"/>
              <w:ind w:left="360"/>
              <w:rPr>
                <w:sz w:val="21"/>
              </w:rPr>
            </w:pPr>
            <w:r>
              <w:rPr>
                <w:sz w:val="21"/>
              </w:rPr>
              <w:t>（3）相当于 Ann Arbor 分期方案 I 期程度的何杰金氏病；</w:t>
            </w:r>
          </w:p>
          <w:p>
            <w:pPr>
              <w:pStyle w:val="TableParagraph"/>
              <w:spacing w:before="37"/>
              <w:ind w:left="360"/>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60"/>
              <w:rPr>
                <w:sz w:val="21"/>
              </w:rPr>
            </w:pPr>
            <w:r>
              <w:rPr>
                <w:sz w:val="21"/>
              </w:rPr>
              <w:t>（5）TNM 分期为 T1N0M0 期或更轻分期的前列腺癌；</w:t>
            </w:r>
          </w:p>
          <w:p>
            <w:pPr>
              <w:pStyle w:val="TableParagraph"/>
              <w:spacing w:before="36"/>
              <w:ind w:left="360"/>
              <w:rPr>
                <w:sz w:val="21"/>
              </w:rPr>
            </w:pPr>
            <w:r>
              <w:rPr>
                <w:sz w:val="21"/>
              </w:rPr>
              <w:t>（6）感染艾滋病病毒或患艾滋病期间所患恶性肿瘤。</w:t>
            </w:r>
          </w:p>
          <w:p>
            <w:pPr>
              <w:pStyle w:val="TableParagraph"/>
              <w:spacing w:before="8"/>
              <w:rPr>
                <w:sz w:val="26"/>
              </w:rPr>
            </w:pPr>
          </w:p>
          <w:p>
            <w:pPr>
              <w:pStyle w:val="TableParagraph"/>
              <w:ind w:left="360"/>
              <w:rPr>
                <w:b/>
                <w:sz w:val="21"/>
              </w:rPr>
            </w:pPr>
            <w:r>
              <w:rPr>
                <w:b/>
                <w:sz w:val="21"/>
              </w:rPr>
              <w:t>（二）急性心肌梗塞</w:t>
            </w:r>
          </w:p>
          <w:p>
            <w:pPr>
              <w:pStyle w:val="TableParagraph"/>
              <w:spacing w:line="273" w:lineRule="auto" w:before="36"/>
              <w:ind w:left="360" w:right="49" w:firstLine="432"/>
              <w:rPr>
                <w:sz w:val="21"/>
              </w:rPr>
            </w:pPr>
            <w:r>
              <w:rPr>
                <w:sz w:val="21"/>
              </w:rPr>
              <w:t>指因冠状动脉阻塞导致的相应区域供血不足造成部分心肌坏死。须满足下列至少三项条件：</w:t>
            </w:r>
          </w:p>
          <w:p>
            <w:pPr>
              <w:pStyle w:val="TableParagraph"/>
              <w:spacing w:line="255" w:lineRule="exact" w:before="7"/>
              <w:ind w:left="360"/>
              <w:rPr>
                <w:sz w:val="21"/>
              </w:rPr>
            </w:pPr>
            <w:r>
              <w:rPr>
                <w:sz w:val="21"/>
              </w:rPr>
              <w:t>（1）典型临床表现，例如急性胸痛等；</w:t>
            </w:r>
          </w:p>
        </w:tc>
      </w:tr>
    </w:tbl>
    <w:p>
      <w:pPr>
        <w:spacing w:after="0" w:line="255" w:lineRule="exact"/>
        <w:rPr>
          <w:sz w:val="21"/>
        </w:rPr>
        <w:sectPr>
          <w:pgSz w:w="11910" w:h="16840"/>
          <w:pgMar w:top="1160" w:bottom="280" w:left="700" w:right="1020"/>
        </w:sectPr>
      </w:pPr>
    </w:p>
    <w:p>
      <w:pPr>
        <w:pStyle w:val="BodyText"/>
        <w:spacing w:before="22"/>
      </w:pPr>
      <w:r>
        <w:rPr/>
        <w:t>（2）新近的心电图改变提示急性心肌梗塞；</w:t>
      </w:r>
    </w:p>
    <w:p>
      <w:pPr>
        <w:pStyle w:val="BodyText"/>
        <w:spacing w:line="273" w:lineRule="auto"/>
        <w:ind w:right="205"/>
      </w:pPr>
      <w:r>
        <w:rPr/>
        <w:t>（3）心肌酶或肌钙蛋白有诊断意义的升高，或呈符合急性心肌梗塞的动态性变化；</w:t>
      </w:r>
    </w:p>
    <w:p>
      <w:pPr>
        <w:pStyle w:val="BodyText"/>
        <w:spacing w:before="7"/>
      </w:pPr>
      <w:r>
        <w:rPr>
          <w:spacing w:val="-9"/>
        </w:rPr>
        <w:t>（4）</w:t>
      </w:r>
      <w:r>
        <w:rPr>
          <w:spacing w:val="-16"/>
        </w:rPr>
        <w:t>发病 </w:t>
      </w:r>
      <w:r>
        <w:rPr/>
        <w:t>90</w:t>
      </w:r>
      <w:r>
        <w:rPr>
          <w:spacing w:val="-14"/>
        </w:rPr>
        <w:t> 天后，经检查证实左室功能降低的，如左心室射血分数低于 </w:t>
      </w:r>
      <w:r>
        <w:rPr/>
        <w:t>50%。</w:t>
      </w:r>
    </w:p>
    <w:p>
      <w:pPr>
        <w:pStyle w:val="BodyText"/>
        <w:spacing w:before="8"/>
        <w:ind w:left="0"/>
        <w:rPr>
          <w:sz w:val="26"/>
        </w:rPr>
      </w:pPr>
    </w:p>
    <w:p>
      <w:pPr>
        <w:pStyle w:val="Heading2"/>
      </w:pPr>
      <w:r>
        <w:rPr/>
        <w:t>（三）脑中风后遗症</w:t>
      </w:r>
    </w:p>
    <w:p>
      <w:pPr>
        <w:pStyle w:val="BodyText"/>
        <w:spacing w:line="273" w:lineRule="auto" w:before="36"/>
        <w:ind w:right="199" w:firstLine="432"/>
        <w:jc w:val="both"/>
      </w:pPr>
      <w:r>
        <w:rPr>
          <w:spacing w:val="-5"/>
        </w:rPr>
        <w:t>指因脑血管的突发病变引起脑血管出血、栓塞或梗塞，并导致神经系统永</w:t>
      </w:r>
      <w:r>
        <w:rPr>
          <w:spacing w:val="-8"/>
        </w:rPr>
        <w:t>久性功能障碍。神经系统永久性的功能障碍，指疾病确诊 </w:t>
      </w:r>
      <w:r>
        <w:rPr/>
        <w:t>180</w:t>
      </w:r>
      <w:r>
        <w:rPr>
          <w:spacing w:val="-9"/>
        </w:rPr>
        <w:t> 天后，仍遗留下</w:t>
      </w:r>
      <w:r>
        <w:rPr>
          <w:spacing w:val="-5"/>
        </w:rPr>
        <w:t>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205"/>
      </w:pPr>
      <w:r>
        <w:rPr/>
        <w:t>（3）自主生活能力完全丧失，无法独立完成六项基本日常生活活动中的三项或三项以上。</w:t>
      </w:r>
    </w:p>
    <w:p>
      <w:pPr>
        <w:pStyle w:val="BodyText"/>
        <w:spacing w:before="6"/>
        <w:ind w:left="0"/>
        <w:rPr>
          <w:sz w:val="24"/>
        </w:rPr>
      </w:pPr>
    </w:p>
    <w:p>
      <w:pPr>
        <w:pStyle w:val="Heading2"/>
      </w:pPr>
      <w:r>
        <w:rPr/>
        <w:t>（四）重大器官移植术或造血干细胞移植术</w:t>
      </w:r>
    </w:p>
    <w:p>
      <w:pPr>
        <w:pStyle w:val="BodyText"/>
        <w:spacing w:line="273" w:lineRule="auto"/>
        <w:ind w:right="199" w:firstLine="432"/>
        <w:jc w:val="both"/>
      </w:pPr>
      <w:r>
        <w:rPr>
          <w:spacing w:val="-7"/>
        </w:rPr>
        <w:t>重大器官移植术，指因相应器官功能衰竭，已经实施了肾脏、肝脏、心脏</w:t>
      </w:r>
      <w:r>
        <w:rPr>
          <w:spacing w:val="-5"/>
        </w:rPr>
        <w:t>或肺脏的异体移植手术。</w:t>
      </w:r>
    </w:p>
    <w:p>
      <w:pPr>
        <w:pStyle w:val="BodyText"/>
        <w:spacing w:line="273" w:lineRule="auto" w:before="8"/>
        <w:ind w:right="199" w:firstLine="432"/>
        <w:jc w:val="both"/>
      </w:pPr>
      <w:r>
        <w:rPr>
          <w:spacing w:val="-6"/>
        </w:rPr>
        <w:t>造血干细胞移植术，指因造血功能损害或造血系统恶性肿瘤，已经实施了造血干细胞</w:t>
      </w:r>
      <w:r>
        <w:rPr>
          <w:spacing w:val="-3"/>
        </w:rPr>
        <w:t>（</w:t>
      </w:r>
      <w:r>
        <w:rPr>
          <w:spacing w:val="-4"/>
        </w:rPr>
        <w:t>包括骨髓造血干细胞、外周造血干细胞和脐血造血干细胞</w:t>
      </w:r>
      <w:r>
        <w:rPr>
          <w:spacing w:val="-10"/>
        </w:rPr>
        <w:t>）</w:t>
      </w:r>
      <w:r>
        <w:rPr>
          <w:spacing w:val="-2"/>
        </w:rPr>
        <w:t>的异</w:t>
      </w:r>
      <w:r>
        <w:rPr>
          <w:spacing w:val="-3"/>
        </w:rPr>
        <w:t>体移植手术。</w:t>
      </w:r>
    </w:p>
    <w:p>
      <w:pPr>
        <w:pStyle w:val="BodyText"/>
        <w:spacing w:before="5"/>
        <w:ind w:left="0"/>
        <w:rPr>
          <w:sz w:val="24"/>
        </w:rPr>
      </w:pPr>
    </w:p>
    <w:p>
      <w:pPr>
        <w:pStyle w:val="Heading2"/>
        <w:spacing w:before="1"/>
      </w:pPr>
      <w:r>
        <w:rPr/>
        <w:t>（五）冠状动脉搭桥术</w:t>
      </w:r>
    </w:p>
    <w:p>
      <w:pPr>
        <w:pStyle w:val="BodyText"/>
        <w:spacing w:line="273" w:lineRule="auto"/>
        <w:ind w:right="199" w:firstLine="432"/>
        <w:jc w:val="both"/>
      </w:pPr>
      <w:r>
        <w:rPr>
          <w:spacing w:val="-7"/>
        </w:rPr>
        <w:t>指为治疗严重的冠心病，实际实施了开胸进行的冠状动脉血管旁路移植的手术。</w:t>
      </w:r>
    </w:p>
    <w:p>
      <w:pPr>
        <w:pStyle w:val="BodyText"/>
        <w:spacing w:line="273" w:lineRule="auto" w:before="7"/>
        <w:ind w:right="202" w:firstLine="432"/>
        <w:jc w:val="both"/>
      </w:pPr>
      <w:r>
        <w:rPr>
          <w:spacing w:val="-6"/>
        </w:rPr>
        <w:t>冠状动脉支架植入手术、心导管球囊扩张术、激光射频技术及其他非开胸</w:t>
      </w:r>
      <w:r>
        <w:rPr>
          <w:spacing w:val="-4"/>
        </w:rPr>
        <w:t>的介入手术、腔镜手术不在保障范围内。</w:t>
      </w:r>
    </w:p>
    <w:p>
      <w:pPr>
        <w:pStyle w:val="BodyText"/>
        <w:spacing w:before="5"/>
        <w:ind w:left="0"/>
        <w:rPr>
          <w:sz w:val="24"/>
        </w:rPr>
      </w:pPr>
    </w:p>
    <w:p>
      <w:pPr>
        <w:pStyle w:val="Heading2"/>
      </w:pPr>
      <w:r>
        <w:rPr/>
        <w:t>（六）终末期肾病</w:t>
      </w:r>
    </w:p>
    <w:p>
      <w:pPr>
        <w:pStyle w:val="BodyText"/>
        <w:spacing w:before="36"/>
        <w:ind w:left="2294"/>
      </w:pPr>
      <w:r>
        <w:rPr/>
        <w:t>指双肾功能慢性不可逆性衰竭，达到尿毒症期，经诊断后已经进行了至少</w:t>
      </w:r>
    </w:p>
    <w:p>
      <w:pPr>
        <w:pStyle w:val="BodyText"/>
        <w:spacing w:before="36"/>
      </w:pPr>
      <w:r>
        <w:rPr/>
        <w:t>90 天的规律性透析治疗或实施了肾脏移植手术。</w:t>
      </w:r>
    </w:p>
    <w:p>
      <w:pPr>
        <w:pStyle w:val="BodyText"/>
        <w:spacing w:before="8"/>
        <w:ind w:left="0"/>
        <w:rPr>
          <w:sz w:val="26"/>
        </w:rPr>
      </w:pPr>
    </w:p>
    <w:p>
      <w:pPr>
        <w:pStyle w:val="Heading2"/>
      </w:pPr>
      <w:r>
        <w:rPr/>
        <w:t>（七）多个肢体缺失</w:t>
      </w:r>
    </w:p>
    <w:p>
      <w:pPr>
        <w:pStyle w:val="BodyText"/>
        <w:spacing w:line="273" w:lineRule="auto"/>
        <w:ind w:right="199" w:firstLine="432"/>
        <w:jc w:val="both"/>
      </w:pPr>
      <w:r>
        <w:rPr>
          <w:spacing w:val="-5"/>
        </w:rPr>
        <w:t>指因疾病或意外伤害导致两个或两个以上肢体自腕关节或踝关节近端</w:t>
      </w:r>
      <w:r>
        <w:rPr>
          <w:spacing w:val="-3"/>
        </w:rPr>
        <w:t>（</w:t>
      </w:r>
      <w:r>
        <w:rPr/>
        <w:t>靠</w:t>
      </w:r>
      <w:r>
        <w:rPr>
          <w:spacing w:val="-1"/>
        </w:rPr>
        <w:t>近躯干端</w:t>
      </w:r>
      <w:r>
        <w:rPr>
          <w:spacing w:val="-3"/>
        </w:rPr>
        <w:t>）以上完全性断离。</w:t>
      </w:r>
    </w:p>
    <w:p>
      <w:pPr>
        <w:pStyle w:val="BodyText"/>
        <w:spacing w:before="5"/>
        <w:ind w:left="0"/>
        <w:rPr>
          <w:sz w:val="24"/>
        </w:rPr>
      </w:pPr>
    </w:p>
    <w:p>
      <w:pPr>
        <w:pStyle w:val="Heading2"/>
        <w:spacing w:before="1"/>
      </w:pPr>
      <w:r>
        <w:rPr/>
        <w:t>（八）急性或亚急性重症肝炎</w:t>
      </w:r>
    </w:p>
    <w:p>
      <w:pPr>
        <w:pStyle w:val="BodyText"/>
        <w:spacing w:line="273" w:lineRule="auto"/>
        <w:ind w:right="199" w:firstLine="432"/>
        <w:jc w:val="both"/>
      </w:pPr>
      <w:r>
        <w:rPr>
          <w:spacing w:val="-5"/>
        </w:rPr>
        <w:t>指因肝炎病毒感染引起肝组织弥漫性坏死，导致急性肝功能衰竭，且经血</w:t>
      </w:r>
      <w:r>
        <w:rPr>
          <w:spacing w:val="-4"/>
        </w:rPr>
        <w:t>清学或病毒学检查证实，须满足下列全部条件：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2"/>
      </w:pPr>
      <w:r>
        <w:rPr/>
        <w:t>（九）良性脑肿瘤</w:t>
      </w:r>
    </w:p>
    <w:p>
      <w:pPr>
        <w:pStyle w:val="BodyText"/>
        <w:spacing w:line="273" w:lineRule="auto" w:before="36"/>
        <w:ind w:right="199" w:firstLine="432"/>
        <w:jc w:val="both"/>
      </w:pPr>
      <w:r>
        <w:rPr>
          <w:spacing w:val="-7"/>
        </w:rPr>
        <w:t>指脑的良性肿瘤，已经引起颅内压增高，临床表现为视神经乳头水肿、精</w:t>
      </w:r>
      <w:r>
        <w:rPr>
          <w:w w:val="100"/>
        </w:rPr>
        <w:t>神症状、癫痫及运动感觉障碍等，并危及生命。须由头颅断层扫描</w:t>
      </w:r>
      <w:r>
        <w:rPr>
          <w:spacing w:val="7"/>
          <w:w w:val="100"/>
        </w:rPr>
        <w:t>（</w:t>
      </w:r>
      <w:r>
        <w:rPr>
          <w:w w:val="100"/>
        </w:rPr>
        <w:t>C</w:t>
      </w:r>
      <w:r>
        <w:rPr>
          <w:spacing w:val="1"/>
          <w:w w:val="100"/>
        </w:rPr>
        <w:t>T</w:t>
      </w:r>
      <w:r>
        <w:rPr>
          <w:spacing w:val="-106"/>
          <w:w w:val="100"/>
        </w:rPr>
        <w:t>）</w:t>
      </w:r>
      <w:r>
        <w:rPr>
          <w:w w:val="100"/>
        </w:rPr>
        <w:t>、核</w:t>
      </w:r>
    </w:p>
    <w:p>
      <w:pPr>
        <w:spacing w:after="0" w:line="273" w:lineRule="auto"/>
        <w:jc w:val="both"/>
        <w:sectPr>
          <w:pgSz w:w="11910" w:h="16840"/>
          <w:pgMar w:top="1080" w:bottom="280" w:left="1680" w:right="1040"/>
        </w:sectPr>
      </w:pPr>
    </w:p>
    <w:p>
      <w:pPr>
        <w:pStyle w:val="BodyText"/>
        <w:spacing w:line="273" w:lineRule="auto" w:before="22"/>
        <w:ind w:right="174"/>
      </w:pPr>
      <w:r>
        <w:rPr/>
        <w:t>磁共振检查（MRI）或正电子发射断层扫描（PET）等影像学检查证实，并须满足下列至少一项条件：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ind w:left="2294"/>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spacing w:before="36"/>
        <w:ind w:left="2294"/>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before="36"/>
      </w:pPr>
      <w:r>
        <w:rPr/>
        <w:t>（4）充血性脾肿大伴脾功能亢进或食管胃底静脉曲张。</w:t>
      </w:r>
    </w:p>
    <w:p>
      <w:pPr>
        <w:pStyle w:val="BodyText"/>
        <w:spacing w:before="36"/>
        <w:ind w:left="2294"/>
      </w:pPr>
      <w:r>
        <w:rPr/>
        <w:t>因酗酒或药物滥用导致的肝功能衰竭不在保障范围内。</w:t>
      </w:r>
    </w:p>
    <w:p>
      <w:pPr>
        <w:pStyle w:val="BodyText"/>
        <w:spacing w:before="8"/>
        <w:ind w:left="0"/>
        <w:rPr>
          <w:sz w:val="26"/>
        </w:rPr>
      </w:pPr>
    </w:p>
    <w:p>
      <w:pPr>
        <w:pStyle w:val="Heading2"/>
        <w:spacing w:before="1"/>
      </w:pPr>
      <w:r>
        <w:rPr/>
        <w:t>（十一）脑炎后遗症或脑膜炎后遗症</w:t>
      </w:r>
    </w:p>
    <w:p>
      <w:pPr>
        <w:pStyle w:val="BodyText"/>
        <w:spacing w:line="273" w:lineRule="auto"/>
        <w:ind w:right="174" w:firstLine="432"/>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25"/>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ind w:right="115" w:firstLine="432"/>
      </w:pPr>
      <w:r>
        <w:rPr/>
        <w:t>指因疾病或意外伤害导致意识丧失,对外界刺激和体内需求均无反应，昏</w:t>
      </w:r>
      <w:r>
        <w:rPr>
          <w:spacing w:val="-4"/>
        </w:rPr>
        <w:t>迷程度按照格拉斯哥昏迷分级</w:t>
      </w:r>
      <w:r>
        <w:rPr/>
        <w:t>（Glasgow</w:t>
      </w:r>
      <w:r>
        <w:rPr>
          <w:spacing w:val="-50"/>
        </w:rPr>
        <w:t> </w:t>
      </w:r>
      <w:r>
        <w:rPr/>
        <w:t>coma</w:t>
      </w:r>
      <w:r>
        <w:rPr>
          <w:spacing w:val="-50"/>
        </w:rPr>
        <w:t> </w:t>
      </w:r>
      <w:r>
        <w:rPr>
          <w:spacing w:val="-4"/>
        </w:rPr>
        <w:t>scale）</w:t>
      </w:r>
      <w:r>
        <w:rPr>
          <w:spacing w:val="-14"/>
        </w:rPr>
        <w:t>结果为 </w:t>
      </w:r>
      <w:r>
        <w:rPr/>
        <w:t>5</w:t>
      </w:r>
      <w:r>
        <w:rPr>
          <w:spacing w:val="-25"/>
        </w:rPr>
        <w:t> 分或 </w:t>
      </w:r>
      <w:r>
        <w:rPr/>
        <w:t>5</w:t>
      </w:r>
      <w:r>
        <w:rPr>
          <w:spacing w:val="-12"/>
        </w:rPr>
        <w:t> 分以下， </w:t>
      </w:r>
      <w:r>
        <w:rPr>
          <w:spacing w:val="-8"/>
        </w:rPr>
        <w:t>且已经持续使用呼吸机及其它生命维持系统 </w:t>
      </w:r>
      <w:r>
        <w:rPr/>
        <w:t>96</w:t>
      </w:r>
      <w:r>
        <w:rPr>
          <w:spacing w:val="-9"/>
        </w:rPr>
        <w:t> 小时以上。</w:t>
      </w:r>
    </w:p>
    <w:p>
      <w:pPr>
        <w:pStyle w:val="BodyText"/>
        <w:spacing w:before="8"/>
        <w:ind w:left="2294"/>
      </w:pPr>
      <w:r>
        <w:rPr/>
        <w:t>由于酗酒或药物滥用导致的深度昏迷不在保障范围内。</w:t>
      </w:r>
    </w:p>
    <w:p>
      <w:pPr>
        <w:pStyle w:val="BodyText"/>
        <w:spacing w:before="8"/>
        <w:ind w:left="0"/>
        <w:rPr>
          <w:sz w:val="26"/>
        </w:rPr>
      </w:pPr>
    </w:p>
    <w:p>
      <w:pPr>
        <w:pStyle w:val="Heading2"/>
      </w:pPr>
      <w:r>
        <w:rPr/>
        <w:t>（十三）双耳失聪</w:t>
      </w:r>
    </w:p>
    <w:p>
      <w:pPr>
        <w:pStyle w:val="BodyText"/>
        <w:spacing w:before="36"/>
        <w:ind w:left="2294"/>
      </w:pPr>
      <w:r>
        <w:rPr/>
        <w:t>指因疾病或意外伤害导致双耳听力永久不可逆性丧失，在 500 赫兹、1000</w:t>
      </w:r>
    </w:p>
    <w:p>
      <w:pPr>
        <w:pStyle w:val="BodyText"/>
        <w:spacing w:line="273" w:lineRule="auto" w:before="36"/>
        <w:ind w:right="22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7"/>
        <w:ind w:right="172" w:firstLine="432"/>
      </w:pPr>
      <w:r>
        <w:rPr/>
        <w:t>被保险人申请理赔时年龄必须在三周岁以上，并且提供理赔当时的听力丧失诊断及检查证据。</w:t>
      </w:r>
    </w:p>
    <w:p>
      <w:pPr>
        <w:pStyle w:val="BodyText"/>
        <w:spacing w:before="5"/>
        <w:ind w:left="0"/>
        <w:rPr>
          <w:sz w:val="24"/>
        </w:rPr>
      </w:pPr>
    </w:p>
    <w:p>
      <w:pPr>
        <w:pStyle w:val="Heading2"/>
      </w:pPr>
      <w:r>
        <w:rPr/>
        <w:t>（十四）双目失明</w:t>
      </w:r>
    </w:p>
    <w:p>
      <w:pPr>
        <w:pStyle w:val="BodyText"/>
        <w:spacing w:line="273" w:lineRule="auto" w:before="36"/>
        <w:ind w:right="173" w:firstLine="42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right="221"/>
      </w:pPr>
      <w:r>
        <w:rPr/>
        <w:t>（2）</w:t>
      </w:r>
      <w:r>
        <w:rPr>
          <w:spacing w:val="-3"/>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172" w:firstLine="432"/>
      </w:pPr>
      <w:r>
        <w:rPr/>
        <w:t>被保险人申请理赔时年龄必须在三周岁以上，并且提供理赔当时的视力丧失诊断及检查证据。</w:t>
      </w:r>
    </w:p>
    <w:p>
      <w:pPr>
        <w:pStyle w:val="BodyText"/>
        <w:spacing w:before="4"/>
        <w:ind w:left="0"/>
        <w:rPr>
          <w:sz w:val="24"/>
        </w:rPr>
      </w:pPr>
    </w:p>
    <w:p>
      <w:pPr>
        <w:pStyle w:val="Heading2"/>
        <w:spacing w:before="1"/>
      </w:pPr>
      <w:r>
        <w:rPr/>
        <w:t>（十五）瘫痪</w:t>
      </w:r>
    </w:p>
    <w:p>
      <w:pPr>
        <w:spacing w:after="0"/>
        <w:sectPr>
          <w:pgSz w:w="11910" w:h="16840"/>
          <w:pgMar w:top="1080" w:bottom="280" w:left="1680" w:right="1020"/>
        </w:sectPr>
      </w:pPr>
    </w:p>
    <w:p>
      <w:pPr>
        <w:pStyle w:val="BodyText"/>
        <w:spacing w:line="273" w:lineRule="auto" w:before="22"/>
        <w:ind w:right="139" w:firstLine="432"/>
        <w:jc w:val="both"/>
      </w:pPr>
      <w:r>
        <w:rPr>
          <w:spacing w:val="-5"/>
        </w:rPr>
        <w:t>指因疾病或意外伤害导致两肢或两肢以上肢体机能永久完全丧失。肢体机</w:t>
      </w:r>
      <w:r>
        <w:rPr>
          <w:spacing w:val="-9"/>
        </w:rPr>
        <w:t>能永久完全丧失，指疾病确诊 </w:t>
      </w:r>
      <w:r>
        <w:rPr/>
        <w:t>180</w:t>
      </w:r>
      <w:r>
        <w:rPr>
          <w:spacing w:val="-12"/>
        </w:rPr>
        <w:t> 天后或意外伤害发生 </w:t>
      </w:r>
      <w:r>
        <w:rPr/>
        <w:t>180</w:t>
      </w:r>
      <w:r>
        <w:rPr>
          <w:spacing w:val="-10"/>
        </w:rPr>
        <w:t> 天后，每肢三大关</w:t>
      </w:r>
      <w:r>
        <w:rPr>
          <w:spacing w:val="-5"/>
        </w:rPr>
        <w:t>节中的两大关节仍然完全僵硬，或不能随意识活动。</w:t>
      </w:r>
    </w:p>
    <w:p>
      <w:pPr>
        <w:pStyle w:val="BodyText"/>
        <w:spacing w:before="5"/>
        <w:ind w:left="0"/>
        <w:rPr>
          <w:sz w:val="24"/>
        </w:rPr>
      </w:pPr>
    </w:p>
    <w:p>
      <w:pPr>
        <w:pStyle w:val="Heading2"/>
        <w:spacing w:before="1"/>
      </w:pPr>
      <w:r>
        <w:rPr/>
        <w:t>（十六）心脏瓣膜手术</w:t>
      </w:r>
    </w:p>
    <w:p>
      <w:pPr>
        <w:pStyle w:val="BodyText"/>
        <w:ind w:left="2294"/>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2"/>
      </w:pPr>
      <w:r>
        <w:rPr/>
        <w:t>（十七）严重阿尔茨海默病</w:t>
      </w:r>
    </w:p>
    <w:p>
      <w:pPr>
        <w:pStyle w:val="BodyText"/>
        <w:spacing w:line="273" w:lineRule="auto"/>
        <w:ind w:right="139" w:firstLine="432"/>
        <w:jc w:val="both"/>
      </w:pPr>
      <w:r>
        <w:rPr>
          <w:spacing w:val="-6"/>
        </w:rPr>
        <w:t>指因大脑进行性、不可逆性改变导致智能严重衰退或丧失，临床表现为明</w:t>
      </w:r>
      <w:r>
        <w:rPr>
          <w:spacing w:val="-7"/>
        </w:rPr>
        <w:t>显的认知能力障碍、行为异常和社交能力减退，其日常生活必须持续受到他人</w:t>
      </w:r>
      <w:r>
        <w:rPr>
          <w:spacing w:val="-6"/>
          <w:w w:val="100"/>
        </w:rPr>
        <w:t>监护。须由头颅断层扫描</w:t>
      </w:r>
      <w:r>
        <w:rPr>
          <w:w w:val="100"/>
        </w:rPr>
        <w:t>（CT</w:t>
      </w:r>
      <w:r>
        <w:rPr>
          <w:spacing w:val="-108"/>
          <w:w w:val="100"/>
        </w:rPr>
        <w:t>）</w:t>
      </w:r>
      <w:r>
        <w:rPr>
          <w:spacing w:val="-4"/>
          <w:w w:val="100"/>
        </w:rPr>
        <w:t>、核磁共振检查</w:t>
      </w:r>
      <w:r>
        <w:rPr>
          <w:w w:val="100"/>
        </w:rPr>
        <w:t>（</w:t>
      </w:r>
      <w:r>
        <w:rPr>
          <w:spacing w:val="-3"/>
          <w:w w:val="100"/>
        </w:rPr>
        <w:t>MR</w:t>
      </w:r>
      <w:r>
        <w:rPr>
          <w:w w:val="100"/>
        </w:rPr>
        <w:t>I</w:t>
      </w:r>
      <w:r>
        <w:rPr>
          <w:spacing w:val="-5"/>
          <w:w w:val="100"/>
        </w:rPr>
        <w:t>）</w:t>
      </w:r>
      <w:r>
        <w:rPr>
          <w:spacing w:val="-3"/>
          <w:w w:val="100"/>
        </w:rPr>
        <w:t>或正电子发射断层扫描</w:t>
      </w:r>
    </w:p>
    <w:p>
      <w:pPr>
        <w:pStyle w:val="BodyText"/>
        <w:spacing w:line="273" w:lineRule="auto" w:before="7"/>
        <w:ind w:right="147"/>
      </w:pPr>
      <w:r>
        <w:rPr/>
        <w:t>（PET）等影像学检查证实，自主生活能力完全丧失，无法独立完成六项基本日常生活活动中的三项或三项以上。</w:t>
      </w:r>
    </w:p>
    <w:p>
      <w:pPr>
        <w:pStyle w:val="BodyText"/>
        <w:spacing w:before="7"/>
        <w:ind w:left="2294"/>
      </w:pPr>
      <w:r>
        <w:rPr/>
        <w:t>神经官能症和精神疾病不在保障范围内。</w:t>
      </w:r>
    </w:p>
    <w:p>
      <w:pPr>
        <w:pStyle w:val="BodyText"/>
        <w:spacing w:before="8"/>
        <w:ind w:left="0"/>
        <w:rPr>
          <w:sz w:val="26"/>
        </w:rPr>
      </w:pPr>
    </w:p>
    <w:p>
      <w:pPr>
        <w:pStyle w:val="Heading2"/>
      </w:pPr>
      <w:r>
        <w:rPr/>
        <w:t>（十八）严重脑损伤</w:t>
      </w:r>
    </w:p>
    <w:p>
      <w:pPr>
        <w:pStyle w:val="BodyText"/>
        <w:spacing w:line="273" w:lineRule="auto"/>
        <w:ind w:right="139" w:firstLine="432"/>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spacing w:val="-3"/>
        </w:rPr>
        <w:t>扫描（PET）</w:t>
      </w:r>
      <w:r>
        <w:rPr>
          <w:spacing w:val="-1"/>
        </w:rPr>
        <w:t>等影像学检查证实。神经系统永久性的功能障碍，指脑损伤 </w:t>
      </w:r>
      <w:r>
        <w:rPr/>
        <w:t>180 </w:t>
      </w:r>
      <w:r>
        <w:rPr>
          <w:spacing w:val="-3"/>
        </w:rPr>
        <w:t>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right="145"/>
      </w:pPr>
      <w:r>
        <w:rPr/>
        <w:t>（3）自主生活能力完全丧失，无法独立完成六项基本日常生活活动中的三项或三项以上。</w:t>
      </w:r>
    </w:p>
    <w:p>
      <w:pPr>
        <w:pStyle w:val="BodyText"/>
        <w:spacing w:before="6"/>
        <w:ind w:left="0"/>
        <w:rPr>
          <w:sz w:val="24"/>
        </w:rPr>
      </w:pPr>
    </w:p>
    <w:p>
      <w:pPr>
        <w:pStyle w:val="Heading2"/>
      </w:pPr>
      <w:r>
        <w:rPr/>
        <w:t>（十九）严重帕金森病</w:t>
      </w:r>
    </w:p>
    <w:p>
      <w:pPr>
        <w:pStyle w:val="BodyText"/>
        <w:spacing w:line="273" w:lineRule="auto"/>
        <w:ind w:right="103" w:firstLine="432"/>
        <w:jc w:val="both"/>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right="145"/>
      </w:pPr>
      <w:r>
        <w:rPr/>
        <w:t>（2）自主生活能力完全丧失，无法独立完成六项基本日常生活活动中的三项或三项以上。</w:t>
      </w:r>
    </w:p>
    <w:p>
      <w:pPr>
        <w:pStyle w:val="BodyText"/>
        <w:spacing w:before="7"/>
        <w:ind w:left="2282"/>
      </w:pPr>
      <w:r>
        <w:rPr/>
        <w:t>继发性帕金森综合征不在保障范围内。</w:t>
      </w:r>
    </w:p>
    <w:p>
      <w:pPr>
        <w:pStyle w:val="BodyText"/>
        <w:spacing w:before="8"/>
        <w:ind w:left="0"/>
        <w:rPr>
          <w:sz w:val="26"/>
        </w:rPr>
      </w:pPr>
    </w:p>
    <w:p>
      <w:pPr>
        <w:pStyle w:val="Heading2"/>
      </w:pPr>
      <w:r>
        <w:rPr/>
        <w:t>（二十）严重 III 度烧伤</w:t>
      </w:r>
    </w:p>
    <w:p>
      <w:pPr>
        <w:pStyle w:val="BodyText"/>
        <w:spacing w:line="273" w:lineRule="auto" w:before="36"/>
        <w:ind w:right="141" w:firstLine="432"/>
        <w:jc w:val="both"/>
      </w:pPr>
      <w:r>
        <w:rPr>
          <w:spacing w:val="-4"/>
        </w:rPr>
        <w:t>指烧伤程度为Ⅲ度，且Ⅲ度烧伤面积达到全身体表面积的 </w:t>
      </w:r>
      <w:r>
        <w:rPr/>
        <w:t>20％</w:t>
      </w:r>
      <w:r>
        <w:rPr>
          <w:spacing w:val="-4"/>
        </w:rPr>
        <w:t>或 </w:t>
      </w:r>
      <w:r>
        <w:rPr/>
        <w:t>20</w:t>
      </w:r>
      <w:r>
        <w:rPr>
          <w:spacing w:val="-2"/>
        </w:rPr>
        <w:t>％以</w:t>
      </w:r>
      <w:r>
        <w:rPr>
          <w:spacing w:val="-3"/>
        </w:rPr>
        <w:t>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before="36"/>
        <w:ind w:right="139" w:firstLine="432"/>
        <w:jc w:val="both"/>
      </w:pPr>
      <w:r>
        <w:rPr>
          <w:spacing w:val="-6"/>
        </w:rPr>
        <w:t>指不明原因的肺动脉压力持续性增高，进行性发展而导致的慢性疾病，已经造成永久不可逆性的体力活动能力受限，达到美国纽约心脏病学会心功能状</w:t>
      </w:r>
      <w:r>
        <w:rPr>
          <w:spacing w:val="-15"/>
        </w:rPr>
        <w:t>态分级 </w:t>
      </w:r>
      <w:r>
        <w:rPr/>
        <w:t>IV</w:t>
      </w:r>
      <w:r>
        <w:rPr>
          <w:spacing w:val="-11"/>
        </w:rPr>
        <w:t> 级，静息状态下肺动脉平均压超过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ind w:right="139" w:firstLine="432"/>
        <w:jc w:val="both"/>
      </w:pPr>
      <w:r>
        <w:rPr>
          <w:spacing w:val="-5"/>
        </w:rPr>
        <w:t>是一组中枢神经系统运动神经元的进行性变性疾病，包括进行性脊肌萎缩</w:t>
      </w:r>
      <w:r>
        <w:rPr>
          <w:spacing w:val="-7"/>
        </w:rPr>
        <w:t>症、进行性延髓麻痹症、原发性侧索硬化症、肌萎缩性侧索硬化症。须满足自</w:t>
      </w:r>
    </w:p>
    <w:p>
      <w:pPr>
        <w:spacing w:after="0" w:line="273" w:lineRule="auto"/>
        <w:jc w:val="both"/>
        <w:sectPr>
          <w:pgSz w:w="11910" w:h="16840"/>
          <w:pgMar w:top="1080" w:bottom="280" w:left="1680" w:right="1100"/>
        </w:sectPr>
      </w:pPr>
    </w:p>
    <w:p>
      <w:pPr>
        <w:pStyle w:val="BodyText"/>
        <w:spacing w:line="273" w:lineRule="auto" w:before="22"/>
        <w:ind w:right="142"/>
      </w:pPr>
      <w:r>
        <w:rPr>
          <w:spacing w:val="-6"/>
        </w:rPr>
        <w:t>主生活能力完全丧失，无法独立完成六项基本日常生活活动中的三项或三项以上。</w:t>
      </w:r>
    </w:p>
    <w:p>
      <w:pPr>
        <w:pStyle w:val="BodyText"/>
        <w:spacing w:before="6"/>
        <w:ind w:left="0"/>
        <w:rPr>
          <w:sz w:val="24"/>
        </w:rPr>
      </w:pPr>
    </w:p>
    <w:p>
      <w:pPr>
        <w:pStyle w:val="Heading2"/>
      </w:pPr>
      <w:r>
        <w:rPr/>
        <w:t>（二十三）语言能力丧失</w:t>
      </w:r>
    </w:p>
    <w:p>
      <w:pPr>
        <w:pStyle w:val="BodyText"/>
        <w:ind w:left="2294"/>
      </w:pPr>
      <w:r>
        <w:rPr/>
        <w:t>指因疾病或意外伤害导致完全丧失语言能力，经过积极治疗至少 12 个月</w:t>
      </w:r>
    </w:p>
    <w:p>
      <w:pPr>
        <w:pStyle w:val="BodyText"/>
        <w:spacing w:line="273" w:lineRule="auto"/>
        <w:ind w:left="2294" w:right="1061" w:hanging="432"/>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74" w:lineRule="exact" w:before="12"/>
        <w:ind w:right="139" w:firstLine="432"/>
        <w:jc w:val="both"/>
      </w:pPr>
      <w:r>
        <w:rPr>
          <w:spacing w:val="-5"/>
        </w:rPr>
        <w:t>被保险人申请理赔时年龄必须在三周岁以上，并且提供理赔当时的语言能</w:t>
      </w:r>
      <w:r>
        <w:rPr>
          <w:spacing w:val="-4"/>
        </w:rPr>
        <w:t>力丧失诊断及检查证据。</w:t>
      </w:r>
    </w:p>
    <w:p>
      <w:pPr>
        <w:pStyle w:val="BodyText"/>
        <w:spacing w:before="6"/>
        <w:ind w:left="0"/>
        <w:rPr>
          <w:sz w:val="25"/>
        </w:rPr>
      </w:pPr>
    </w:p>
    <w:p>
      <w:pPr>
        <w:pStyle w:val="Heading2"/>
      </w:pPr>
      <w:r>
        <w:rPr/>
        <w:t>（二十四）重型再生障碍性贫血</w:t>
      </w:r>
    </w:p>
    <w:p>
      <w:pPr>
        <w:pStyle w:val="BodyText"/>
        <w:spacing w:line="273" w:lineRule="auto"/>
        <w:ind w:right="139" w:firstLine="432"/>
        <w:jc w:val="both"/>
      </w:pPr>
      <w:r>
        <w:rPr>
          <w:spacing w:val="-5"/>
        </w:rPr>
        <w:t>指因骨髓造血功能慢性持续性衰竭导致的贫血、中性粒细胞减少及血小板</w:t>
      </w:r>
      <w:r>
        <w:rPr>
          <w:spacing w:val="-4"/>
        </w:rPr>
        <w:t>减少，须满足下列全部条件：</w:t>
      </w:r>
    </w:p>
    <w:p>
      <w:pPr>
        <w:pStyle w:val="BodyText"/>
        <w:spacing w:before="8"/>
      </w:pPr>
      <w:r>
        <w:rPr/>
        <w:t>（1）骨髓穿刺检查或骨髓活检结果支持诊断；</w:t>
      </w:r>
    </w:p>
    <w:p>
      <w:pPr>
        <w:pStyle w:val="BodyText"/>
        <w:spacing w:before="38"/>
      </w:pPr>
      <w:r>
        <w:rPr/>
        <w:t>（2）外周血象必须具备以下三项条件：</w:t>
      </w:r>
    </w:p>
    <w:p>
      <w:pPr>
        <w:pStyle w:val="BodyText"/>
        <w:ind w:left="2523"/>
      </w:pPr>
      <w:r>
        <w:rPr/>
        <w:t>① 中性粒细胞绝对值≤0.5×10</w:t>
      </w:r>
      <w:r>
        <w:rPr>
          <w:position w:val="11"/>
          <w:sz w:val="11"/>
        </w:rPr>
        <w:t>9</w:t>
      </w:r>
      <w:r>
        <w:rPr/>
        <w:t>/L；</w:t>
      </w:r>
    </w:p>
    <w:p>
      <w:pPr>
        <w:pStyle w:val="BodyText"/>
        <w:ind w:left="2523"/>
      </w:pPr>
      <w:r>
        <w:rPr/>
        <w:t>② 网织红细胞＜1%；</w:t>
      </w:r>
    </w:p>
    <w:p>
      <w:pPr>
        <w:pStyle w:val="BodyText"/>
        <w:ind w:left="2523"/>
      </w:pPr>
      <w:r>
        <w:rPr/>
        <w:t>③ 血小板绝对值≤20×10</w:t>
      </w:r>
      <w:r>
        <w:rPr>
          <w:position w:val="11"/>
          <w:sz w:val="11"/>
        </w:rPr>
        <w:t>9</w:t>
      </w:r>
      <w:r>
        <w:rPr/>
        <w:t>/L。</w:t>
      </w:r>
    </w:p>
    <w:p>
      <w:pPr>
        <w:pStyle w:val="BodyText"/>
        <w:spacing w:before="8"/>
        <w:ind w:left="0"/>
        <w:rPr>
          <w:sz w:val="26"/>
        </w:rPr>
      </w:pPr>
    </w:p>
    <w:p>
      <w:pPr>
        <w:pStyle w:val="Heading2"/>
      </w:pPr>
      <w:r>
        <w:rPr/>
        <w:t>（二十五）主动脉手术</w:t>
      </w:r>
    </w:p>
    <w:p>
      <w:pPr>
        <w:pStyle w:val="BodyText"/>
        <w:spacing w:line="273" w:lineRule="auto" w:before="36"/>
        <w:ind w:right="139" w:firstLine="432"/>
        <w:jc w:val="both"/>
      </w:pPr>
      <w:r>
        <w:rPr>
          <w:spacing w:val="-6"/>
        </w:rPr>
        <w:t>指为治疗主动脉疾病，实际实施了开胸或开腹进行的切除、置换、修补病损主动脉血管的手术。主动脉指胸主动脉和腹主动脉，不包括胸主动脉和腹主</w:t>
      </w:r>
      <w:r>
        <w:rPr>
          <w:spacing w:val="-4"/>
        </w:rPr>
        <w:t>动脉的分支血管。</w:t>
      </w:r>
    </w:p>
    <w:p>
      <w:pPr>
        <w:pStyle w:val="BodyText"/>
        <w:spacing w:before="7"/>
        <w:ind w:left="2294"/>
      </w:pPr>
      <w:r>
        <w:rPr/>
        <w:t>动脉内血管成形术不在保障范围内。</w:t>
      </w:r>
    </w:p>
    <w:p>
      <w:pPr>
        <w:pStyle w:val="BodyText"/>
        <w:spacing w:before="8"/>
        <w:ind w:left="0"/>
        <w:rPr>
          <w:sz w:val="26"/>
        </w:rPr>
      </w:pPr>
    </w:p>
    <w:p>
      <w:pPr>
        <w:pStyle w:val="BodyText"/>
        <w:spacing w:line="273" w:lineRule="auto" w:before="0"/>
        <w:ind w:right="92"/>
      </w:pPr>
      <w:r>
        <w:rPr/>
        <w:t>以下 35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（二十六）慢性呼吸功能衰竭</w:t>
      </w:r>
    </w:p>
    <w:p>
      <w:pPr>
        <w:pStyle w:val="BodyText"/>
        <w:spacing w:line="273" w:lineRule="auto" w:before="36"/>
        <w:ind w:right="139" w:firstLine="432"/>
        <w:jc w:val="both"/>
      </w:pPr>
      <w:r>
        <w:rPr>
          <w:spacing w:val="-5"/>
        </w:rPr>
        <w:t>慢性肺部疾病导致永久不可逆性的慢性呼吸功能衰竭，必须由呼吸专科医</w:t>
      </w:r>
      <w:r>
        <w:rPr>
          <w:spacing w:val="-4"/>
        </w:rPr>
        <w:t>师确认并符合下列所有条件：</w:t>
      </w:r>
    </w:p>
    <w:p>
      <w:pPr>
        <w:pStyle w:val="BodyText"/>
        <w:spacing w:before="7"/>
      </w:pPr>
      <w:r>
        <w:rPr/>
        <w:t>（1）休息时出现呼吸困难；</w:t>
      </w:r>
    </w:p>
    <w:p>
      <w:pPr>
        <w:pStyle w:val="BodyText"/>
        <w:spacing w:before="36"/>
      </w:pPr>
      <w:r>
        <w:rPr>
          <w:position w:val="1"/>
        </w:rPr>
        <w:t>（2）</w:t>
      </w:r>
      <w:r>
        <w:rPr>
          <w:spacing w:val="-3"/>
          <w:position w:val="1"/>
        </w:rPr>
        <w:t>动脉血氧分压 </w:t>
      </w:r>
      <w:r>
        <w:rPr>
          <w:position w:val="1"/>
        </w:rPr>
        <w:t>（PaO</w:t>
      </w:r>
      <w:r>
        <w:rPr>
          <w:spacing w:val="-52"/>
          <w:position w:val="1"/>
        </w:rPr>
        <w:t> </w:t>
      </w:r>
      <w:r>
        <w:rPr>
          <w:sz w:val="11"/>
        </w:rPr>
        <w:t>2</w:t>
      </w:r>
      <w:r>
        <w:rPr>
          <w:spacing w:val="52"/>
          <w:sz w:val="11"/>
        </w:rPr>
        <w:t> </w:t>
      </w:r>
      <w:r>
        <w:rPr>
          <w:position w:val="1"/>
        </w:rPr>
        <w:t>）&lt; 50mmHg；</w:t>
      </w:r>
    </w:p>
    <w:p>
      <w:pPr>
        <w:pStyle w:val="BodyText"/>
        <w:spacing w:before="36"/>
      </w:pPr>
      <w:r>
        <w:rPr>
          <w:position w:val="1"/>
        </w:rPr>
        <w:t>（3）</w:t>
      </w:r>
      <w:r>
        <w:rPr>
          <w:spacing w:val="-3"/>
          <w:position w:val="1"/>
        </w:rPr>
        <w:t>动脉血氧饱和度 </w:t>
      </w:r>
      <w:r>
        <w:rPr>
          <w:position w:val="1"/>
        </w:rPr>
        <w:t>（SaO </w:t>
      </w:r>
      <w:r>
        <w:rPr>
          <w:sz w:val="11"/>
        </w:rPr>
        <w:t>2</w:t>
      </w:r>
      <w:r>
        <w:rPr>
          <w:spacing w:val="50"/>
          <w:sz w:val="11"/>
        </w:rPr>
        <w:t> </w:t>
      </w:r>
      <w:r>
        <w:rPr>
          <w:position w:val="1"/>
        </w:rPr>
        <w:t>）&lt; 80％；</w:t>
      </w:r>
    </w:p>
    <w:p>
      <w:pPr>
        <w:pStyle w:val="BodyText"/>
      </w:pPr>
      <w:r>
        <w:rPr/>
        <w:t>（4）因缺氧必须接受持续的输氧治疗。</w:t>
      </w:r>
    </w:p>
    <w:p>
      <w:pPr>
        <w:pStyle w:val="BodyText"/>
        <w:spacing w:before="8"/>
        <w:ind w:left="0"/>
        <w:rPr>
          <w:sz w:val="26"/>
        </w:rPr>
      </w:pPr>
    </w:p>
    <w:p>
      <w:pPr>
        <w:pStyle w:val="Heading2"/>
      </w:pPr>
      <w:r>
        <w:rPr/>
        <w:t>（二十七）严重多发性硬化</w:t>
      </w:r>
    </w:p>
    <w:p>
      <w:pPr>
        <w:pStyle w:val="BodyText"/>
        <w:spacing w:line="273" w:lineRule="auto" w:before="36"/>
        <w:ind w:right="103" w:firstLine="432"/>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2"/>
      </w:pPr>
      <w:r>
        <w:rPr/>
        <w:t>（二十八）严重冠心病</w:t>
      </w:r>
    </w:p>
    <w:p>
      <w:pPr>
        <w:pStyle w:val="BodyText"/>
        <w:spacing w:line="273" w:lineRule="auto"/>
        <w:ind w:right="117" w:firstLine="432"/>
        <w:jc w:val="both"/>
      </w:pPr>
      <w:r>
        <w:rPr>
          <w:spacing w:val="0"/>
        </w:rPr>
        <w:t>指经心脏科专科医师根据冠状动脉造影检查结果确诊为主要血管严重狭</w:t>
      </w:r>
      <w:r>
        <w:rPr>
          <w:spacing w:val="-10"/>
          <w:w w:val="100"/>
        </w:rPr>
        <w:t>窄性病变，须满足下列至少一项条件：</w:t>
      </w:r>
      <w:r>
        <w:rPr>
          <w:w w:val="100"/>
        </w:rPr>
        <w:t>（</w:t>
      </w:r>
      <w:r>
        <w:rPr>
          <w:spacing w:val="-3"/>
          <w:w w:val="100"/>
        </w:rPr>
        <w:t>1</w:t>
      </w:r>
      <w:r>
        <w:rPr>
          <w:w w:val="100"/>
        </w:rPr>
        <w:t>）</w:t>
      </w:r>
      <w:r>
        <w:rPr>
          <w:spacing w:val="-3"/>
          <w:w w:val="100"/>
        </w:rPr>
        <w:t>左冠状动脉主干和右冠状动脉中，</w:t>
      </w:r>
    </w:p>
    <w:p>
      <w:pPr>
        <w:spacing w:after="0" w:line="273" w:lineRule="auto"/>
        <w:jc w:val="both"/>
        <w:sectPr>
          <w:pgSz w:w="11910" w:h="16840"/>
          <w:pgMar w:top="1080" w:bottom="280" w:left="1680" w:right="1100"/>
        </w:sectPr>
      </w:pPr>
    </w:p>
    <w:p>
      <w:pPr>
        <w:pStyle w:val="BodyText"/>
        <w:spacing w:line="273" w:lineRule="auto" w:before="22"/>
        <w:ind w:right="101"/>
        <w:jc w:val="both"/>
      </w:pPr>
      <w:r>
        <w:rPr>
          <w:spacing w:val="-3"/>
          <w:w w:val="100"/>
        </w:rPr>
        <w:t>一支血管管腔堵塞</w:t>
      </w:r>
      <w:r>
        <w:rPr>
          <w:spacing w:val="-3"/>
        </w:rPr>
        <w:t> </w:t>
      </w:r>
      <w:r>
        <w:rPr>
          <w:spacing w:val="-3"/>
          <w:w w:val="100"/>
        </w:rPr>
        <w:t>7</w:t>
      </w:r>
      <w:r>
        <w:rPr>
          <w:w w:val="100"/>
        </w:rPr>
        <w:t>5</w:t>
      </w:r>
      <w:r>
        <w:rPr>
          <w:spacing w:val="-3"/>
          <w:w w:val="100"/>
        </w:rPr>
        <w:t>％以上，另一支血管管腔堵塞</w:t>
      </w:r>
      <w:r>
        <w:rPr>
          <w:spacing w:val="-3"/>
        </w:rPr>
        <w:t> </w:t>
      </w:r>
      <w:r>
        <w:rPr>
          <w:w w:val="100"/>
        </w:rPr>
        <w:t>60％</w:t>
      </w:r>
      <w:r>
        <w:rPr>
          <w:spacing w:val="-38"/>
          <w:w w:val="100"/>
        </w:rPr>
        <w:t>以上；</w:t>
      </w:r>
      <w:r>
        <w:rPr>
          <w:w w:val="100"/>
        </w:rPr>
        <w:t>（2</w:t>
      </w:r>
      <w:r>
        <w:rPr>
          <w:spacing w:val="-3"/>
          <w:w w:val="100"/>
        </w:rPr>
        <w:t>）</w:t>
      </w:r>
      <w:r>
        <w:rPr>
          <w:spacing w:val="-2"/>
          <w:w w:val="100"/>
        </w:rPr>
        <w:t>前降支、</w:t>
      </w:r>
      <w:r>
        <w:rPr>
          <w:spacing w:val="-3"/>
        </w:rPr>
        <w:t>回旋支和右冠状动脉中，至少一支血管管腔堵塞 </w:t>
      </w:r>
      <w:r>
        <w:rPr/>
        <w:t>75</w:t>
      </w:r>
      <w:r>
        <w:rPr>
          <w:spacing w:val="-3"/>
        </w:rPr>
        <w:t>%以上，其他两支血管管腔</w:t>
      </w:r>
      <w:r>
        <w:rPr/>
        <w:t>堵塞 60</w:t>
      </w:r>
      <w:r>
        <w:rPr>
          <w:spacing w:val="-3"/>
        </w:rPr>
        <w:t>%以上。前降支的分支血管、左旋支的分支血管及右冠状动脉的分支血管的狭窄不作为本保障的衡量指标。</w:t>
      </w:r>
    </w:p>
    <w:p>
      <w:pPr>
        <w:pStyle w:val="Heading2"/>
        <w:spacing w:before="8"/>
      </w:pPr>
      <w:r>
        <w:rPr/>
        <w:t>（二十九）严重心肌病</w:t>
      </w:r>
    </w:p>
    <w:p>
      <w:pPr>
        <w:pStyle w:val="BodyText"/>
        <w:spacing w:line="273" w:lineRule="auto"/>
        <w:ind w:right="99" w:firstLine="432"/>
        <w:jc w:val="both"/>
      </w:pPr>
      <w:r>
        <w:rPr>
          <w:spacing w:val="-5"/>
        </w:rPr>
        <w:t>严重心肌病指被保人因心肌病导致慢性心功能损害造成心功能衰竭</w:t>
      </w:r>
      <w:r>
        <w:rPr/>
        <w:t>（</w:t>
      </w:r>
      <w:r>
        <w:rPr>
          <w:spacing w:val="-2"/>
        </w:rPr>
        <w:t>指按</w:t>
      </w:r>
      <w:r>
        <w:rPr>
          <w:w w:val="100"/>
        </w:rPr>
        <w:t>照美国纽约心脏协会心功能分类标准心功能达Ⅳ级</w:t>
      </w:r>
      <w:r>
        <w:rPr>
          <w:spacing w:val="-106"/>
          <w:w w:val="100"/>
        </w:rPr>
        <w:t>）</w:t>
      </w:r>
      <w:r>
        <w:rPr>
          <w:w w:val="100"/>
        </w:rPr>
        <w:t>，且有相关住院医疗记录</w:t>
      </w:r>
      <w:r>
        <w:rPr>
          <w:spacing w:val="-6"/>
        </w:rPr>
        <w:t>显示Ⅳ级心功能衰竭状态持续至少 </w:t>
      </w:r>
      <w:r>
        <w:rPr/>
        <w:t>180</w:t>
      </w:r>
      <w:r>
        <w:rPr>
          <w:spacing w:val="-17"/>
        </w:rPr>
        <w:t> 天。</w:t>
      </w:r>
    </w:p>
    <w:p>
      <w:pPr>
        <w:pStyle w:val="BodyText"/>
        <w:spacing w:line="273" w:lineRule="auto" w:before="7"/>
        <w:ind w:right="98" w:firstLine="432"/>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2"/>
      </w:pPr>
      <w:r>
        <w:rPr/>
        <w:t>（三十）系统性红斑狼疮 － III 型或 III 型以上狼疮性肾炎</w:t>
      </w:r>
    </w:p>
    <w:p>
      <w:pPr>
        <w:pStyle w:val="BodyText"/>
        <w:spacing w:line="273" w:lineRule="auto"/>
        <w:ind w:right="68" w:firstLine="432"/>
      </w:pPr>
      <w:r>
        <w:rPr/>
        <w:t>系统性红斑狼疮是由多种因素引起，累及多系统的自身免疫性疾病。其特点是生成自身抗体对抗多种自身抗原。多见于育龄妇女。</w:t>
      </w:r>
    </w:p>
    <w:p>
      <w:pPr>
        <w:pStyle w:val="BodyText"/>
        <w:spacing w:before="8"/>
        <w:ind w:left="2294"/>
      </w:pPr>
      <w:r>
        <w:rPr/>
        <w:t>本保单所指的系统性红斑狼疮仅限于累及肾脏（经肾脏活检确认的，符合</w:t>
      </w:r>
    </w:p>
    <w:p>
      <w:pPr>
        <w:pStyle w:val="BodyText"/>
        <w:spacing w:line="273" w:lineRule="auto" w:before="36"/>
        <w:ind w:right="102"/>
        <w:jc w:val="both"/>
      </w:pPr>
      <w:r>
        <w:rPr/>
        <w:t>WHO</w:t>
      </w:r>
      <w:r>
        <w:rPr>
          <w:spacing w:val="-15"/>
        </w:rPr>
        <w:t> 诊断标准定义 </w:t>
      </w:r>
      <w:r>
        <w:rPr/>
        <w:t>III</w:t>
      </w:r>
      <w:r>
        <w:rPr>
          <w:spacing w:val="-25"/>
        </w:rPr>
        <w:t> 型或 </w:t>
      </w:r>
      <w:r>
        <w:rPr/>
        <w:t>III</w:t>
      </w:r>
      <w:r>
        <w:rPr>
          <w:spacing w:val="-8"/>
        </w:rPr>
        <w:t> 型以上狼疮性肾炎</w:t>
      </w:r>
      <w:r>
        <w:rPr/>
        <w:t>）</w:t>
      </w:r>
      <w:r>
        <w:rPr>
          <w:spacing w:val="-3"/>
        </w:rPr>
        <w:t>的系统性红斑狼疮。其他</w:t>
      </w:r>
      <w:r>
        <w:rPr>
          <w:spacing w:val="-6"/>
        </w:rPr>
        <w:t>类型的红斑性狼疮，如盘状狼疮、仅累及血液及关节的狼疮不在本保单保障范围內。</w:t>
      </w:r>
    </w:p>
    <w:p>
      <w:pPr>
        <w:pStyle w:val="BodyText"/>
        <w:spacing w:line="544" w:lineRule="auto" w:before="7"/>
        <w:ind w:right="3004" w:firstLine="432"/>
      </w:pPr>
      <w:r>
        <w:rPr/>
        <w:pict>
          <v:shapetype id="_x0000_t202" o:spt="202" coordsize="21600,21600" path="m,l,21600r21600,l21600,xe">
            <v:stroke joinstyle="miter"/>
            <v:path gradientshapeok="t" o:connecttype="rect"/>
          </v:shapetype>
          <v:shape style="position:absolute;margin-left:172.539993pt;margin-top:50.33868pt;width:200.8pt;height:88.6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2558"/>
                  </w:tblGrid>
                  <w:tr>
                    <w:trPr>
                      <w:trHeight w:val="261" w:hRule="atLeast"/>
                    </w:trPr>
                    <w:tc>
                      <w:tcPr>
                        <w:tcW w:w="1457" w:type="dxa"/>
                      </w:tcPr>
                      <w:p>
                        <w:pPr>
                          <w:pStyle w:val="TableParagraph"/>
                          <w:spacing w:line="211" w:lineRule="exact"/>
                          <w:ind w:left="200"/>
                          <w:rPr>
                            <w:sz w:val="21"/>
                          </w:rPr>
                        </w:pPr>
                        <w:r>
                          <w:rPr>
                            <w:sz w:val="21"/>
                          </w:rPr>
                          <w:t>I 型</w:t>
                        </w:r>
                      </w:p>
                    </w:tc>
                    <w:tc>
                      <w:tcPr>
                        <w:tcW w:w="2558" w:type="dxa"/>
                      </w:tcPr>
                      <w:p>
                        <w:pPr>
                          <w:pStyle w:val="TableParagraph"/>
                          <w:spacing w:line="211" w:lineRule="exact"/>
                          <w:ind w:left="675"/>
                          <w:rPr>
                            <w:sz w:val="21"/>
                          </w:rPr>
                        </w:pPr>
                        <w:r>
                          <w:rPr>
                            <w:sz w:val="21"/>
                          </w:rPr>
                          <w:t>微小病变型</w:t>
                        </w:r>
                      </w:p>
                    </w:tc>
                  </w:tr>
                  <w:tr>
                    <w:trPr>
                      <w:trHeight w:val="312" w:hRule="atLeast"/>
                    </w:trPr>
                    <w:tc>
                      <w:tcPr>
                        <w:tcW w:w="1457" w:type="dxa"/>
                      </w:tcPr>
                      <w:p>
                        <w:pPr>
                          <w:pStyle w:val="TableParagraph"/>
                          <w:spacing w:line="261" w:lineRule="exact"/>
                          <w:ind w:left="200"/>
                          <w:rPr>
                            <w:sz w:val="21"/>
                          </w:rPr>
                        </w:pPr>
                        <w:r>
                          <w:rPr>
                            <w:sz w:val="21"/>
                          </w:rPr>
                          <w:t>II 型</w:t>
                        </w:r>
                      </w:p>
                    </w:tc>
                    <w:tc>
                      <w:tcPr>
                        <w:tcW w:w="2558" w:type="dxa"/>
                      </w:tcPr>
                      <w:p>
                        <w:pPr>
                          <w:pStyle w:val="TableParagraph"/>
                          <w:spacing w:line="261" w:lineRule="exact"/>
                          <w:ind w:left="675"/>
                          <w:rPr>
                            <w:sz w:val="21"/>
                          </w:rPr>
                        </w:pPr>
                        <w:r>
                          <w:rPr>
                            <w:sz w:val="21"/>
                          </w:rPr>
                          <w:t>系膜病变型</w:t>
                        </w:r>
                      </w:p>
                    </w:tc>
                  </w:tr>
                  <w:tr>
                    <w:trPr>
                      <w:trHeight w:val="312" w:hRule="atLeast"/>
                    </w:trPr>
                    <w:tc>
                      <w:tcPr>
                        <w:tcW w:w="1457" w:type="dxa"/>
                      </w:tcPr>
                      <w:p>
                        <w:pPr>
                          <w:pStyle w:val="TableParagraph"/>
                          <w:spacing w:line="261" w:lineRule="exact"/>
                          <w:ind w:left="200"/>
                          <w:rPr>
                            <w:sz w:val="21"/>
                          </w:rPr>
                        </w:pPr>
                        <w:r>
                          <w:rPr>
                            <w:sz w:val="21"/>
                          </w:rPr>
                          <w:t>III 型</w:t>
                        </w:r>
                      </w:p>
                    </w:tc>
                    <w:tc>
                      <w:tcPr>
                        <w:tcW w:w="2558" w:type="dxa"/>
                      </w:tcPr>
                      <w:p>
                        <w:pPr>
                          <w:pStyle w:val="TableParagraph"/>
                          <w:spacing w:line="261" w:lineRule="exact"/>
                          <w:ind w:left="675"/>
                          <w:rPr>
                            <w:sz w:val="21"/>
                          </w:rPr>
                        </w:pPr>
                        <w:r>
                          <w:rPr>
                            <w:sz w:val="21"/>
                          </w:rPr>
                          <w:t>局灶及节段增生型</w:t>
                        </w:r>
                      </w:p>
                    </w:tc>
                  </w:tr>
                  <w:tr>
                    <w:trPr>
                      <w:trHeight w:val="312" w:hRule="atLeast"/>
                    </w:trPr>
                    <w:tc>
                      <w:tcPr>
                        <w:tcW w:w="1457" w:type="dxa"/>
                      </w:tcPr>
                      <w:p>
                        <w:pPr>
                          <w:pStyle w:val="TableParagraph"/>
                          <w:spacing w:line="261" w:lineRule="exact"/>
                          <w:ind w:left="200"/>
                          <w:rPr>
                            <w:sz w:val="21"/>
                          </w:rPr>
                        </w:pPr>
                        <w:r>
                          <w:rPr>
                            <w:sz w:val="21"/>
                          </w:rPr>
                          <w:t>IV 型</w:t>
                        </w:r>
                      </w:p>
                    </w:tc>
                    <w:tc>
                      <w:tcPr>
                        <w:tcW w:w="2558" w:type="dxa"/>
                      </w:tcPr>
                      <w:p>
                        <w:pPr>
                          <w:pStyle w:val="TableParagraph"/>
                          <w:spacing w:line="261" w:lineRule="exact"/>
                          <w:ind w:left="675"/>
                          <w:rPr>
                            <w:sz w:val="21"/>
                          </w:rPr>
                        </w:pPr>
                        <w:r>
                          <w:rPr>
                            <w:sz w:val="21"/>
                          </w:rPr>
                          <w:t>弥漫增生型</w:t>
                        </w:r>
                      </w:p>
                    </w:tc>
                  </w:tr>
                  <w:tr>
                    <w:trPr>
                      <w:trHeight w:val="312" w:hRule="atLeast"/>
                    </w:trPr>
                    <w:tc>
                      <w:tcPr>
                        <w:tcW w:w="1457" w:type="dxa"/>
                      </w:tcPr>
                      <w:p>
                        <w:pPr>
                          <w:pStyle w:val="TableParagraph"/>
                          <w:spacing w:line="261" w:lineRule="exact"/>
                          <w:ind w:left="200"/>
                          <w:rPr>
                            <w:sz w:val="21"/>
                          </w:rPr>
                        </w:pPr>
                        <w:r>
                          <w:rPr>
                            <w:sz w:val="21"/>
                          </w:rPr>
                          <w:t>V 型</w:t>
                        </w:r>
                      </w:p>
                    </w:tc>
                    <w:tc>
                      <w:tcPr>
                        <w:tcW w:w="2558" w:type="dxa"/>
                      </w:tcPr>
                      <w:p>
                        <w:pPr>
                          <w:pStyle w:val="TableParagraph"/>
                          <w:spacing w:line="261" w:lineRule="exact"/>
                          <w:ind w:left="675"/>
                          <w:rPr>
                            <w:sz w:val="21"/>
                          </w:rPr>
                        </w:pPr>
                        <w:r>
                          <w:rPr>
                            <w:sz w:val="21"/>
                          </w:rPr>
                          <w:t>膜型</w:t>
                        </w:r>
                      </w:p>
                    </w:tc>
                  </w:tr>
                  <w:tr>
                    <w:trPr>
                      <w:trHeight w:val="261" w:hRule="atLeast"/>
                    </w:trPr>
                    <w:tc>
                      <w:tcPr>
                        <w:tcW w:w="1457" w:type="dxa"/>
                      </w:tcPr>
                      <w:p>
                        <w:pPr>
                          <w:pStyle w:val="TableParagraph"/>
                          <w:spacing w:line="242" w:lineRule="exact"/>
                          <w:ind w:left="200"/>
                          <w:rPr>
                            <w:sz w:val="21"/>
                          </w:rPr>
                        </w:pPr>
                        <w:r>
                          <w:rPr>
                            <w:sz w:val="21"/>
                          </w:rPr>
                          <w:t>VI 型</w:t>
                        </w:r>
                      </w:p>
                    </w:tc>
                    <w:tc>
                      <w:tcPr>
                        <w:tcW w:w="2558" w:type="dxa"/>
                      </w:tcPr>
                      <w:p>
                        <w:pPr>
                          <w:pStyle w:val="TableParagraph"/>
                          <w:spacing w:line="242" w:lineRule="exact"/>
                          <w:ind w:left="675"/>
                          <w:rPr>
                            <w:sz w:val="21"/>
                          </w:rPr>
                        </w:pPr>
                        <w:r>
                          <w:rPr>
                            <w:sz w:val="21"/>
                          </w:rPr>
                          <w:t>肾小球硬化型</w:t>
                        </w:r>
                      </w:p>
                    </w:tc>
                  </w:tr>
                </w:tbl>
                <w:p>
                  <w:pPr>
                    <w:pStyle w:val="BodyText"/>
                    <w:spacing w:before="0"/>
                    <w:ind w:left="0"/>
                  </w:pPr>
                </w:p>
              </w:txbxContent>
            </v:textbox>
            <w10:wrap type="none"/>
          </v:shape>
        </w:pict>
      </w:r>
      <w:r>
        <w:rPr/>
        <w:t>本病必须由免疫和风湿科专家医师确诊。</w:t>
      </w:r>
      <w:r>
        <w:rPr>
          <w:u w:val="single"/>
        </w:rPr>
        <w:t>世界卫生组织（WHO）狼疮性肾炎分型：</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28"/>
        </w:rPr>
      </w:pPr>
    </w:p>
    <w:p>
      <w:pPr>
        <w:spacing w:before="1"/>
        <w:ind w:left="1862" w:right="0" w:firstLine="0"/>
        <w:jc w:val="left"/>
        <w:rPr>
          <w:b/>
          <w:sz w:val="22"/>
        </w:rPr>
      </w:pPr>
      <w:r>
        <w:rPr>
          <w:b/>
          <w:sz w:val="21"/>
        </w:rPr>
        <w:t>（三十一）</w:t>
      </w:r>
      <w:r>
        <w:rPr>
          <w:b/>
          <w:sz w:val="22"/>
        </w:rPr>
        <w:t>经输血导致的人类免疫缺陷病毒感染</w:t>
      </w:r>
    </w:p>
    <w:p>
      <w:pPr>
        <w:pStyle w:val="BodyText"/>
        <w:spacing w:before="33"/>
        <w:ind w:left="2294"/>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right="105"/>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line="273" w:lineRule="auto"/>
        <w:ind w:right="101" w:firstLine="427"/>
      </w:pPr>
      <w:r>
        <w:rPr>
          <w:spacing w:val="-5"/>
        </w:rPr>
        <w:t>在任何治愈艾滋病</w:t>
      </w:r>
      <w:r>
        <w:rPr>
          <w:spacing w:val="-3"/>
        </w:rPr>
        <w:t>（AIDS）</w:t>
      </w:r>
      <w:r>
        <w:rPr>
          <w:spacing w:val="-12"/>
        </w:rPr>
        <w:t>或阻止 </w:t>
      </w:r>
      <w:r>
        <w:rPr/>
        <w:t>HIV</w:t>
      </w:r>
      <w:r>
        <w:rPr>
          <w:spacing w:val="-9"/>
        </w:rPr>
        <w:t> 病毒作用的疗法被发现以后，或能</w:t>
      </w:r>
      <w:r>
        <w:rPr>
          <w:spacing w:val="-18"/>
        </w:rPr>
        <w:t>防止 </w:t>
      </w:r>
      <w:r>
        <w:rPr/>
        <w:t>AIDS</w:t>
      </w:r>
      <w:r>
        <w:rPr>
          <w:spacing w:val="-8"/>
        </w:rPr>
        <w:t> 发生的医疗方法被研究出来以后，本保障将不再予以赔付。</w:t>
      </w:r>
    </w:p>
    <w:p>
      <w:pPr>
        <w:pStyle w:val="BodyText"/>
        <w:spacing w:line="273" w:lineRule="auto" w:before="8"/>
        <w:ind w:right="101" w:firstLine="427"/>
        <w:jc w:val="both"/>
      </w:pPr>
      <w:r>
        <w:rPr>
          <w:spacing w:val="-5"/>
        </w:rPr>
        <w:t>任何因其他传播方式</w:t>
      </w:r>
      <w:r>
        <w:rPr>
          <w:spacing w:val="-3"/>
        </w:rPr>
        <w:t>（</w:t>
      </w:r>
      <w:r>
        <w:rPr>
          <w:spacing w:val="-5"/>
        </w:rPr>
        <w:t>包括：性传播或静脉注射毒品</w:t>
      </w:r>
      <w:r>
        <w:rPr>
          <w:spacing w:val="-13"/>
        </w:rPr>
        <w:t>）</w:t>
      </w:r>
      <w:r>
        <w:rPr>
          <w:spacing w:val="-11"/>
        </w:rPr>
        <w:t>导致的 </w:t>
      </w:r>
      <w:r>
        <w:rPr/>
        <w:t>HIV</w:t>
      </w:r>
      <w:r>
        <w:rPr>
          <w:spacing w:val="-11"/>
        </w:rPr>
        <w:t> 感染不</w:t>
      </w:r>
      <w:r>
        <w:rPr>
          <w:spacing w:val="-8"/>
        </w:rPr>
        <w:t>在本保单保障范围内。保险公司必须拥有获得使用被保险人的所有血液样本的</w:t>
      </w:r>
      <w:r>
        <w:rPr>
          <w:spacing w:val="-5"/>
        </w:rPr>
        <w:t>权利和能够对这些样本进行独立检验的权利。</w:t>
      </w:r>
    </w:p>
    <w:p>
      <w:pPr>
        <w:pStyle w:val="BodyText"/>
        <w:spacing w:before="9"/>
        <w:ind w:left="0"/>
        <w:rPr>
          <w:sz w:val="23"/>
        </w:rPr>
      </w:pPr>
    </w:p>
    <w:p>
      <w:pPr>
        <w:spacing w:before="0"/>
        <w:ind w:left="1862" w:right="0" w:firstLine="0"/>
        <w:jc w:val="left"/>
        <w:rPr>
          <w:b/>
          <w:sz w:val="22"/>
        </w:rPr>
      </w:pPr>
      <w:r>
        <w:rPr>
          <w:b/>
          <w:sz w:val="21"/>
        </w:rPr>
        <w:t>（三十二）</w:t>
      </w:r>
      <w:r>
        <w:rPr>
          <w:b/>
          <w:sz w:val="22"/>
        </w:rPr>
        <w:t>因职业关系导致的人类免疫缺陷病毒（HIV）感染</w:t>
      </w:r>
    </w:p>
    <w:p>
      <w:pPr>
        <w:pStyle w:val="BodyText"/>
        <w:spacing w:line="273" w:lineRule="auto" w:before="32"/>
        <w:ind w:right="52" w:firstLine="432"/>
      </w:pPr>
      <w:r>
        <w:rPr/>
        <w:t>被保险人在其常规职业工作过程中遭遇外伤，或者职业需要处理血液或者其他体液时感染上人类免疫缺陷病毒（HIV）。</w:t>
      </w:r>
    </w:p>
    <w:p>
      <w:pPr>
        <w:pStyle w:val="BodyText"/>
        <w:spacing w:before="7"/>
        <w:ind w:left="2294"/>
      </w:pPr>
      <w:r>
        <w:rPr/>
        <w:t>必须满足下列全部条件：</w:t>
      </w:r>
    </w:p>
    <w:p>
      <w:pPr>
        <w:pStyle w:val="BodyText"/>
        <w:spacing w:line="273" w:lineRule="auto"/>
        <w:ind w:right="181"/>
      </w:pPr>
      <w:r>
        <w:rPr/>
        <w:t>（1）感染必须是在被保险人正在从事其职业工作中发生，该职业必须属于以下列表内的职业；</w:t>
      </w:r>
    </w:p>
    <w:p>
      <w:pPr>
        <w:spacing w:after="0" w:line="273" w:lineRule="auto"/>
        <w:sectPr>
          <w:pgSz w:w="11910" w:h="16840"/>
          <w:pgMar w:top="1080" w:bottom="280" w:left="1680" w:right="1140"/>
        </w:sectPr>
      </w:pPr>
    </w:p>
    <w:p>
      <w:pPr>
        <w:pStyle w:val="BodyText"/>
        <w:spacing w:before="22"/>
      </w:pPr>
      <w:r>
        <w:rPr/>
        <w:t>（2）血清转化必须出现在事故发生后的 6 个月以内；</w:t>
      </w:r>
    </w:p>
    <w:p>
      <w:pPr>
        <w:pStyle w:val="BodyText"/>
        <w:spacing w:line="273" w:lineRule="auto"/>
        <w:ind w:right="181"/>
      </w:pPr>
      <w:r>
        <w:rPr/>
        <w:t>（3）</w:t>
      </w:r>
      <w:r>
        <w:rPr>
          <w:spacing w:val="-5"/>
        </w:rPr>
        <w:t>必须提供被保险人在所报事故发生后的 </w:t>
      </w:r>
      <w:r>
        <w:rPr/>
        <w:t>5</w:t>
      </w:r>
      <w:r>
        <w:rPr>
          <w:spacing w:val="-8"/>
        </w:rPr>
        <w:t> 天以内进行的检查报告，该报</w:t>
      </w:r>
      <w:r>
        <w:rPr>
          <w:spacing w:val="-9"/>
        </w:rPr>
        <w:t>告必须显示被保险人血液 </w:t>
      </w:r>
      <w:r>
        <w:rPr/>
        <w:t>HIV</w:t>
      </w:r>
      <w:r>
        <w:rPr>
          <w:spacing w:val="-11"/>
        </w:rPr>
        <w:t> 病毒阴性和</w:t>
      </w:r>
      <w:r>
        <w:rPr/>
        <w:t>/</w:t>
      </w:r>
      <w:r>
        <w:rPr>
          <w:spacing w:val="-23"/>
        </w:rPr>
        <w:t>或 </w:t>
      </w:r>
      <w:r>
        <w:rPr/>
        <w:t>HIV</w:t>
      </w:r>
      <w:r>
        <w:rPr>
          <w:spacing w:val="-10"/>
        </w:rPr>
        <w:t> 抗体阴性；</w:t>
      </w:r>
    </w:p>
    <w:p>
      <w:pPr>
        <w:pStyle w:val="BodyText"/>
        <w:spacing w:line="273" w:lineRule="auto" w:before="7"/>
        <w:ind w:right="135"/>
      </w:pPr>
      <w:r>
        <w:rPr/>
        <w:t>（4）</w:t>
      </w:r>
      <w:r>
        <w:rPr>
          <w:spacing w:val="-8"/>
        </w:rPr>
        <w:t>必须在事故发生后的 </w:t>
      </w:r>
      <w:r>
        <w:rPr/>
        <w:t>12</w:t>
      </w:r>
      <w:r>
        <w:rPr>
          <w:spacing w:val="-11"/>
        </w:rPr>
        <w:t> 个月内证实被保险人体内存在 </w:t>
      </w:r>
      <w:r>
        <w:rPr/>
        <w:t>HIV</w:t>
      </w:r>
      <w:r>
        <w:rPr>
          <w:spacing w:val="-18"/>
        </w:rPr>
        <w:t> 病毒或者 </w:t>
      </w:r>
      <w:r>
        <w:rPr>
          <w:spacing w:val="-3"/>
        </w:rPr>
        <w:t>HIV </w:t>
      </w:r>
      <w:r>
        <w:rPr/>
        <w:t>抗体。</w:t>
      </w:r>
    </w:p>
    <w:p>
      <w:pPr>
        <w:pStyle w:val="BodyText"/>
        <w:spacing w:before="7"/>
        <w:ind w:left="2294"/>
      </w:pPr>
      <w:r>
        <w:rPr/>
        <w:t>职业限制如下所示:</w:t>
      </w:r>
    </w:p>
    <w:p>
      <w:pPr>
        <w:pStyle w:val="BodyText"/>
        <w:spacing w:before="9"/>
        <w:ind w:left="0"/>
        <w:rPr>
          <w:sz w:val="7"/>
        </w:rPr>
      </w:pPr>
    </w:p>
    <w:tbl>
      <w:tblPr>
        <w:tblW w:w="0" w:type="auto"/>
        <w:jc w:val="left"/>
        <w:tblInd w:w="2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2506"/>
      </w:tblGrid>
      <w:tr>
        <w:trPr>
          <w:trHeight w:val="261" w:hRule="atLeast"/>
        </w:trPr>
        <w:tc>
          <w:tcPr>
            <w:tcW w:w="2926" w:type="dxa"/>
          </w:tcPr>
          <w:p>
            <w:pPr>
              <w:pStyle w:val="TableParagraph"/>
              <w:spacing w:line="211" w:lineRule="exact"/>
              <w:ind w:left="200"/>
              <w:rPr>
                <w:sz w:val="21"/>
              </w:rPr>
            </w:pPr>
            <w:r>
              <w:rPr>
                <w:sz w:val="21"/>
              </w:rPr>
              <w:t>医生和牙科医生</w:t>
            </w:r>
          </w:p>
        </w:tc>
        <w:tc>
          <w:tcPr>
            <w:tcW w:w="2506" w:type="dxa"/>
          </w:tcPr>
          <w:p>
            <w:pPr>
              <w:pStyle w:val="TableParagraph"/>
              <w:spacing w:line="211" w:lineRule="exact"/>
              <w:ind w:left="831"/>
              <w:rPr>
                <w:sz w:val="21"/>
              </w:rPr>
            </w:pPr>
            <w:r>
              <w:rPr>
                <w:sz w:val="21"/>
              </w:rPr>
              <w:t>护士</w:t>
            </w:r>
          </w:p>
        </w:tc>
      </w:tr>
      <w:tr>
        <w:trPr>
          <w:trHeight w:val="312" w:hRule="atLeast"/>
        </w:trPr>
        <w:tc>
          <w:tcPr>
            <w:tcW w:w="2926" w:type="dxa"/>
          </w:tcPr>
          <w:p>
            <w:pPr>
              <w:pStyle w:val="TableParagraph"/>
              <w:spacing w:line="261" w:lineRule="exact"/>
              <w:ind w:left="200"/>
              <w:rPr>
                <w:sz w:val="21"/>
              </w:rPr>
            </w:pPr>
            <w:r>
              <w:rPr>
                <w:sz w:val="21"/>
              </w:rPr>
              <w:t>实验室工作人员</w:t>
            </w:r>
          </w:p>
        </w:tc>
        <w:tc>
          <w:tcPr>
            <w:tcW w:w="2506" w:type="dxa"/>
          </w:tcPr>
          <w:p>
            <w:pPr>
              <w:pStyle w:val="TableParagraph"/>
              <w:spacing w:line="261" w:lineRule="exact"/>
              <w:ind w:left="831"/>
              <w:rPr>
                <w:sz w:val="21"/>
              </w:rPr>
            </w:pPr>
            <w:r>
              <w:rPr>
                <w:sz w:val="21"/>
              </w:rPr>
              <w:t>医院护工</w:t>
            </w:r>
          </w:p>
        </w:tc>
      </w:tr>
      <w:tr>
        <w:trPr>
          <w:trHeight w:val="311" w:hRule="atLeast"/>
        </w:trPr>
        <w:tc>
          <w:tcPr>
            <w:tcW w:w="2926" w:type="dxa"/>
          </w:tcPr>
          <w:p>
            <w:pPr>
              <w:pStyle w:val="TableParagraph"/>
              <w:spacing w:line="261" w:lineRule="exact"/>
              <w:ind w:left="200"/>
              <w:rPr>
                <w:sz w:val="21"/>
              </w:rPr>
            </w:pPr>
            <w:r>
              <w:rPr>
                <w:sz w:val="21"/>
              </w:rPr>
              <w:t>医生助理和牙医助理</w:t>
            </w:r>
          </w:p>
        </w:tc>
        <w:tc>
          <w:tcPr>
            <w:tcW w:w="2506" w:type="dxa"/>
          </w:tcPr>
          <w:p>
            <w:pPr>
              <w:pStyle w:val="TableParagraph"/>
              <w:spacing w:line="261" w:lineRule="exact"/>
              <w:ind w:left="831"/>
              <w:rPr>
                <w:sz w:val="21"/>
              </w:rPr>
            </w:pPr>
            <w:r>
              <w:rPr>
                <w:sz w:val="21"/>
              </w:rPr>
              <w:t>救护车工作人员</w:t>
            </w:r>
          </w:p>
        </w:tc>
      </w:tr>
      <w:tr>
        <w:trPr>
          <w:trHeight w:val="312" w:hRule="atLeast"/>
        </w:trPr>
        <w:tc>
          <w:tcPr>
            <w:tcW w:w="2926" w:type="dxa"/>
          </w:tcPr>
          <w:p>
            <w:pPr>
              <w:pStyle w:val="TableParagraph"/>
              <w:spacing w:line="261" w:lineRule="exact"/>
              <w:ind w:left="200"/>
              <w:rPr>
                <w:sz w:val="21"/>
              </w:rPr>
            </w:pPr>
            <w:r>
              <w:rPr>
                <w:sz w:val="21"/>
              </w:rPr>
              <w:t>助产士</w:t>
            </w:r>
          </w:p>
        </w:tc>
        <w:tc>
          <w:tcPr>
            <w:tcW w:w="2506" w:type="dxa"/>
          </w:tcPr>
          <w:p>
            <w:pPr>
              <w:pStyle w:val="TableParagraph"/>
              <w:spacing w:line="261" w:lineRule="exact"/>
              <w:ind w:left="831"/>
              <w:rPr>
                <w:sz w:val="21"/>
              </w:rPr>
            </w:pPr>
            <w:r>
              <w:rPr>
                <w:sz w:val="21"/>
              </w:rPr>
              <w:t>消防队员</w:t>
            </w:r>
          </w:p>
        </w:tc>
      </w:tr>
      <w:tr>
        <w:trPr>
          <w:trHeight w:val="261" w:hRule="atLeast"/>
        </w:trPr>
        <w:tc>
          <w:tcPr>
            <w:tcW w:w="2926" w:type="dxa"/>
          </w:tcPr>
          <w:p>
            <w:pPr>
              <w:pStyle w:val="TableParagraph"/>
              <w:spacing w:line="242" w:lineRule="exact"/>
              <w:ind w:left="200"/>
              <w:rPr>
                <w:sz w:val="21"/>
              </w:rPr>
            </w:pPr>
            <w:r>
              <w:rPr>
                <w:sz w:val="21"/>
              </w:rPr>
              <w:t>警察</w:t>
            </w:r>
          </w:p>
        </w:tc>
        <w:tc>
          <w:tcPr>
            <w:tcW w:w="2506" w:type="dxa"/>
          </w:tcPr>
          <w:p>
            <w:pPr>
              <w:pStyle w:val="TableParagraph"/>
              <w:spacing w:line="242" w:lineRule="exact"/>
              <w:ind w:left="831"/>
              <w:rPr>
                <w:sz w:val="21"/>
              </w:rPr>
            </w:pPr>
            <w:r>
              <w:rPr>
                <w:sz w:val="21"/>
              </w:rPr>
              <w:t>狱警</w:t>
            </w:r>
          </w:p>
        </w:tc>
      </w:tr>
    </w:tbl>
    <w:p>
      <w:pPr>
        <w:pStyle w:val="BodyText"/>
        <w:spacing w:before="8"/>
        <w:ind w:left="0"/>
        <w:rPr>
          <w:sz w:val="26"/>
        </w:rPr>
      </w:pPr>
    </w:p>
    <w:p>
      <w:pPr>
        <w:pStyle w:val="Heading2"/>
      </w:pPr>
      <w:r>
        <w:rPr/>
        <w:t>（三十三）脊髓灰质炎</w:t>
      </w:r>
    </w:p>
    <w:p>
      <w:pPr>
        <w:pStyle w:val="BodyText"/>
        <w:spacing w:line="273" w:lineRule="auto" w:before="36"/>
        <w:ind w:right="98" w:firstLine="432"/>
        <w:jc w:val="both"/>
      </w:pPr>
      <w:r>
        <w:rPr>
          <w:spacing w:val="-5"/>
        </w:rPr>
        <w:t>脊髓灰质炎是由于脊髓灰质炎病毒感染所致的瘫痪性疾病，临床表现为运</w:t>
      </w:r>
      <w:r>
        <w:rPr>
          <w:spacing w:val="-6"/>
        </w:rPr>
        <w:t>动功能损害或呼吸无力。脊髓灰质炎必须明确诊断。本保单仅对脊髓灰质炎造</w:t>
      </w:r>
      <w:r>
        <w:rPr>
          <w:spacing w:val="0"/>
        </w:rPr>
        <w:t>成的神经系统功能损害导致被保险人一肢或一肢以上肢体机能永久完全丧失</w:t>
      </w:r>
      <w:r>
        <w:rPr>
          <w:spacing w:val="-7"/>
        </w:rPr>
        <w:t>的情况予以理赔。肢体机能永久完全丧失，指疾病确诊 </w:t>
      </w:r>
      <w:r>
        <w:rPr/>
        <w:t>180</w:t>
      </w:r>
      <w:r>
        <w:rPr>
          <w:spacing w:val="-8"/>
        </w:rPr>
        <w:t> 天后，每肢三大关</w:t>
      </w:r>
      <w:r>
        <w:rPr>
          <w:spacing w:val="-5"/>
        </w:rPr>
        <w:t>节中的两大关节仍然完全僵硬，或不能随意识活动。</w:t>
      </w:r>
    </w:p>
    <w:p>
      <w:pPr>
        <w:pStyle w:val="BodyText"/>
        <w:spacing w:before="5"/>
        <w:ind w:left="0"/>
        <w:rPr>
          <w:sz w:val="24"/>
        </w:rPr>
      </w:pPr>
    </w:p>
    <w:p>
      <w:pPr>
        <w:pStyle w:val="Heading2"/>
      </w:pPr>
      <w:r>
        <w:rPr/>
        <w:t>（三十四）特发性慢性肾上腺皮质功能减退</w:t>
      </w:r>
    </w:p>
    <w:p>
      <w:pPr>
        <w:pStyle w:val="BodyText"/>
        <w:spacing w:line="273" w:lineRule="auto"/>
        <w:ind w:left="1824" w:right="123" w:firstLine="410"/>
        <w:jc w:val="both"/>
      </w:pPr>
      <w:r>
        <w:rPr/>
        <w:t>指自身免疫性肾上腺炎（既往称：特发性肾上腺皮质萎缩）导致肾上腺萎缩和慢性肾上腺皮质功能减退。必须满足所有以下条件：</w:t>
      </w:r>
    </w:p>
    <w:p>
      <w:pPr>
        <w:pStyle w:val="BodyText"/>
        <w:spacing w:before="8"/>
      </w:pPr>
      <w:r>
        <w:rPr/>
        <w:t>（1）明确诊断，符合所有以下诊断标准：</w:t>
      </w:r>
    </w:p>
    <w:p>
      <w:pPr>
        <w:pStyle w:val="BodyText"/>
        <w:tabs>
          <w:tab w:pos="3123" w:val="left" w:leader="none"/>
        </w:tabs>
        <w:ind w:left="2429"/>
      </w:pPr>
      <w:r>
        <w:rPr>
          <w:rFonts w:ascii="Calibri" w:hAnsi="Calibri" w:eastAsia="Calibri"/>
        </w:rPr>
        <w:t>①</w:t>
        <w:tab/>
      </w:r>
      <w:r>
        <w:rPr>
          <w:spacing w:val="-3"/>
        </w:rPr>
        <w:t>血浆促肾上腺皮质激素(</w:t>
      </w:r>
      <w:r>
        <w:rPr>
          <w:spacing w:val="-1"/>
        </w:rPr>
        <w:t>ACTH</w:t>
      </w:r>
      <w:r>
        <w:rPr>
          <w:spacing w:val="-3"/>
        </w:rPr>
        <w:t>)水平测定，&gt;</w:t>
      </w:r>
      <w:r>
        <w:rPr>
          <w:spacing w:val="-1"/>
        </w:rPr>
        <w:t>100pg/ml；</w:t>
      </w:r>
    </w:p>
    <w:p>
      <w:pPr>
        <w:pStyle w:val="BodyText"/>
        <w:tabs>
          <w:tab w:pos="3123" w:val="left" w:leader="none"/>
        </w:tabs>
        <w:spacing w:line="247" w:lineRule="auto" w:before="10"/>
        <w:ind w:left="2429" w:right="180"/>
      </w:pPr>
      <w:r>
        <w:rPr>
          <w:rFonts w:ascii="Calibri" w:hAnsi="Calibri" w:eastAsia="Calibri"/>
        </w:rPr>
        <w:t>②</w:t>
        <w:tab/>
      </w:r>
      <w:r>
        <w:rPr>
          <w:spacing w:val="-6"/>
        </w:rPr>
        <w:t>血浆肾素活性、血管紧张素 </w:t>
      </w:r>
      <w:r>
        <w:rPr/>
        <w:t>II</w:t>
      </w:r>
      <w:r>
        <w:rPr>
          <w:spacing w:val="-8"/>
        </w:rPr>
        <w:t> 和醛固酮测定，显示为原发性肾</w:t>
      </w:r>
      <w:r>
        <w:rPr>
          <w:spacing w:val="-5"/>
        </w:rPr>
        <w:t>上腺皮质功能减退症；</w:t>
      </w:r>
    </w:p>
    <w:p>
      <w:pPr>
        <w:pStyle w:val="BodyText"/>
        <w:tabs>
          <w:tab w:pos="3123" w:val="left" w:leader="none"/>
        </w:tabs>
        <w:spacing w:line="247" w:lineRule="auto" w:before="31"/>
        <w:ind w:left="2429" w:right="284"/>
      </w:pPr>
      <w:r>
        <w:rPr>
          <w:rFonts w:ascii="Calibri" w:hAnsi="Calibri" w:eastAsia="Calibri"/>
        </w:rPr>
        <w:t>③</w:t>
        <w:tab/>
      </w:r>
      <w:r>
        <w:rPr>
          <w:spacing w:val="-3"/>
        </w:rPr>
        <w:t>促肾上腺皮质激素(</w:t>
      </w:r>
      <w:r>
        <w:rPr>
          <w:spacing w:val="-1"/>
        </w:rPr>
        <w:t>ACTH</w:t>
      </w:r>
      <w:r>
        <w:rPr>
          <w:spacing w:val="-3"/>
        </w:rPr>
        <w:t>)刺激试验显示为原发性肾上腺皮质功 能减退症。</w:t>
      </w:r>
    </w:p>
    <w:p>
      <w:pPr>
        <w:pStyle w:val="BodyText"/>
        <w:spacing w:before="30"/>
      </w:pPr>
      <w:r>
        <w:rPr/>
        <w:t>（2）已经采用皮质类固醇替代治疗 180 天以上。</w:t>
      </w:r>
    </w:p>
    <w:p>
      <w:pPr>
        <w:pStyle w:val="BodyText"/>
        <w:spacing w:line="273" w:lineRule="auto" w:before="36"/>
        <w:ind w:right="101" w:firstLine="422"/>
        <w:jc w:val="both"/>
      </w:pPr>
      <w:r>
        <w:rPr>
          <w:spacing w:val="-3"/>
        </w:rPr>
        <w:t>肾上腺结核、</w:t>
      </w:r>
      <w:r>
        <w:rPr/>
        <w:t>HIV</w:t>
      </w:r>
      <w:r>
        <w:rPr>
          <w:spacing w:val="-3"/>
        </w:rPr>
        <w:t> 感染或艾滋病、感染、肿瘤所致的原发性肾上腺皮质功能减退和继发性肾上腺皮质功能减退不在本保障范围内。</w:t>
      </w:r>
    </w:p>
    <w:p>
      <w:pPr>
        <w:pStyle w:val="BodyText"/>
        <w:spacing w:before="5"/>
        <w:ind w:left="0"/>
        <w:rPr>
          <w:sz w:val="24"/>
        </w:rPr>
      </w:pPr>
    </w:p>
    <w:p>
      <w:pPr>
        <w:pStyle w:val="Heading2"/>
      </w:pPr>
      <w:r>
        <w:rPr/>
        <w:t>（三十五）自主生活能力完全丧失</w:t>
      </w:r>
    </w:p>
    <w:p>
      <w:pPr>
        <w:pStyle w:val="BodyText"/>
        <w:spacing w:line="273" w:lineRule="auto"/>
        <w:ind w:right="101" w:firstLine="422"/>
        <w:jc w:val="both"/>
      </w:pPr>
      <w:r>
        <w:rPr>
          <w:spacing w:val="-4"/>
        </w:rPr>
        <w:t>指严重疾病或外伤造成被保险人永久不可逆的身体功能损害，导致自主生</w:t>
      </w:r>
      <w:r>
        <w:rPr>
          <w:spacing w:val="-9"/>
        </w:rPr>
        <w:t>活能力完全丧失，被保险人年龄在 </w:t>
      </w:r>
      <w:r>
        <w:rPr/>
        <w:t>6</w:t>
      </w:r>
      <w:r>
        <w:rPr>
          <w:spacing w:val="-12"/>
        </w:rPr>
        <w:t> 周岁以上且至少持续 </w:t>
      </w:r>
      <w:r>
        <w:rPr/>
        <w:t>180</w:t>
      </w:r>
      <w:r>
        <w:rPr>
          <w:spacing w:val="-8"/>
        </w:rPr>
        <w:t> 天以上无法独立</w:t>
      </w:r>
      <w:r>
        <w:rPr>
          <w:spacing w:val="-5"/>
        </w:rPr>
        <w:t>完成六项基本日常生活活动中的三项或三项以上。</w:t>
      </w:r>
    </w:p>
    <w:p>
      <w:pPr>
        <w:pStyle w:val="BodyText"/>
        <w:spacing w:before="5"/>
        <w:ind w:left="0"/>
        <w:rPr>
          <w:sz w:val="24"/>
        </w:rPr>
      </w:pPr>
    </w:p>
    <w:p>
      <w:pPr>
        <w:pStyle w:val="Heading2"/>
      </w:pPr>
      <w:r>
        <w:rPr/>
        <w:t>（三十六）植物人状态</w:t>
      </w:r>
    </w:p>
    <w:p>
      <w:pPr>
        <w:pStyle w:val="BodyText"/>
        <w:spacing w:line="273" w:lineRule="auto"/>
        <w:ind w:right="101" w:firstLine="432"/>
        <w:jc w:val="both"/>
      </w:pPr>
      <w:r>
        <w:rPr/>
        <w:t>植物人状态系指成大脑和/或脑干严重损害导致完全永久性的对自身和环</w:t>
      </w:r>
      <w:r>
        <w:rPr>
          <w:spacing w:val="-5"/>
        </w:rPr>
        <w:t>境的意识丧失和中枢神经系统功能丧失，仅残存植物神经功能的疾病状态。必</w:t>
      </w:r>
      <w:r>
        <w:rPr>
          <w:spacing w:val="-4"/>
        </w:rPr>
        <w:t>须经神经科医生确诊并且具有严重脑损害的证据。植物人状态必须持续 </w:t>
      </w:r>
      <w:r>
        <w:rPr/>
        <w:t>30 天</w:t>
      </w:r>
      <w:r>
        <w:rPr>
          <w:spacing w:val="-3"/>
        </w:rPr>
        <w:t>以上方可申请理赔。</w:t>
      </w:r>
    </w:p>
    <w:p>
      <w:pPr>
        <w:pStyle w:val="BodyText"/>
        <w:spacing w:before="5"/>
        <w:ind w:left="0"/>
        <w:rPr>
          <w:sz w:val="24"/>
        </w:rPr>
      </w:pPr>
    </w:p>
    <w:p>
      <w:pPr>
        <w:pStyle w:val="Heading2"/>
      </w:pPr>
      <w:r>
        <w:rPr/>
        <w:t>（三十七）全身性重症肌无力</w:t>
      </w:r>
    </w:p>
    <w:p>
      <w:pPr>
        <w:pStyle w:val="BodyText"/>
        <w:spacing w:line="273" w:lineRule="auto" w:before="36"/>
        <w:ind w:right="99" w:firstLine="432"/>
        <w:jc w:val="both"/>
      </w:pPr>
      <w:r>
        <w:rPr>
          <w:spacing w:val="-5"/>
        </w:rPr>
        <w:t>重症肌无力是一种神经肌肉接头传递障碍所致的疾病，表现为局部或全身</w:t>
      </w:r>
      <w:r>
        <w:rPr>
          <w:spacing w:val="-6"/>
        </w:rPr>
        <w:t>骨骼肌</w:t>
      </w:r>
      <w:r>
        <w:rPr>
          <w:spacing w:val="-3"/>
        </w:rPr>
        <w:t>（特别是眼外肌</w:t>
      </w:r>
      <w:r>
        <w:rPr>
          <w:spacing w:val="-10"/>
        </w:rPr>
        <w:t>）</w:t>
      </w:r>
      <w:r>
        <w:rPr>
          <w:spacing w:val="-4"/>
        </w:rPr>
        <w:t>极易疲劳。疾病可以累及呼吸肌、上肢或下肢的近端</w:t>
      </w:r>
    </w:p>
    <w:p>
      <w:pPr>
        <w:spacing w:after="0" w:line="273" w:lineRule="auto"/>
        <w:jc w:val="both"/>
        <w:sectPr>
          <w:pgSz w:w="11910" w:h="16840"/>
          <w:pgMar w:top="1080" w:bottom="280" w:left="1680" w:right="1140"/>
        </w:sectPr>
      </w:pPr>
    </w:p>
    <w:p>
      <w:pPr>
        <w:pStyle w:val="BodyText"/>
        <w:spacing w:before="22"/>
      </w:pPr>
      <w:r>
        <w:rPr/>
        <w:t>肌群或全身肌肉，必须满足下列全部条件：</w:t>
      </w:r>
    </w:p>
    <w:p>
      <w:pPr>
        <w:pStyle w:val="BodyText"/>
      </w:pPr>
      <w:r>
        <w:rPr/>
        <w:t>（1）经药物治疗和胸腺切除治疗一年以上仍无法控制病情；</w:t>
      </w:r>
    </w:p>
    <w:p>
      <w:pPr>
        <w:pStyle w:val="BodyText"/>
        <w:spacing w:line="273" w:lineRule="auto"/>
        <w:ind w:right="145"/>
      </w:pPr>
      <w:r>
        <w:rPr/>
        <w:t>（2）自主生活能力完全丧失，无法独立完成六项基本日常生活活动中的三项或三项以上。</w:t>
      </w:r>
    </w:p>
    <w:p>
      <w:pPr>
        <w:pStyle w:val="BodyText"/>
        <w:spacing w:before="5"/>
        <w:ind w:left="0"/>
        <w:rPr>
          <w:sz w:val="24"/>
        </w:rPr>
      </w:pPr>
    </w:p>
    <w:p>
      <w:pPr>
        <w:pStyle w:val="Heading2"/>
      </w:pPr>
      <w:r>
        <w:rPr/>
        <w:t>（三十八）重症急性坏死性筋膜炎</w:t>
      </w:r>
    </w:p>
    <w:p>
      <w:pPr>
        <w:pStyle w:val="BodyText"/>
        <w:spacing w:line="273" w:lineRule="auto" w:before="36"/>
        <w:ind w:right="139" w:firstLine="408"/>
        <w:jc w:val="both"/>
      </w:pPr>
      <w:r>
        <w:rPr>
          <w:spacing w:val="-4"/>
        </w:rPr>
        <w:t>是一种由细菌侵入皮下组织和筋膜引起的急性坏死性软组织感染，可伴有</w:t>
      </w:r>
      <w:r>
        <w:rPr>
          <w:spacing w:val="-7"/>
        </w:rPr>
        <w:t>毒血症、败血症、中毒性休克、弥漫性血管内凝血及多器官衰竭。必须满足以</w:t>
      </w:r>
      <w:r>
        <w:rPr>
          <w:spacing w:val="-5"/>
        </w:rPr>
        <w:t>下所有条件：</w:t>
      </w:r>
    </w:p>
    <w:p>
      <w:pPr>
        <w:pStyle w:val="BodyText"/>
        <w:spacing w:before="7"/>
      </w:pPr>
      <w:r>
        <w:rPr/>
        <w:t>（1）细菌培养和临床表现符合坏死性筋膜炎诊断标准；</w:t>
      </w:r>
    </w:p>
    <w:p>
      <w:pPr>
        <w:pStyle w:val="BodyText"/>
      </w:pPr>
      <w:r>
        <w:rPr/>
        <w:t>（2）病情迅速恶化，有脓毒血症表现；</w:t>
      </w:r>
    </w:p>
    <w:p>
      <w:pPr>
        <w:pStyle w:val="BodyText"/>
      </w:pPr>
      <w:r>
        <w:rPr>
          <w:spacing w:val="-1"/>
        </w:rPr>
        <w:t>（3）</w:t>
      </w:r>
      <w:r>
        <w:rPr>
          <w:spacing w:val="-3"/>
        </w:rPr>
        <w:t>受感染肢体被截肢（自腕关节或踝关节近端</w:t>
      </w:r>
      <w:r>
        <w:rPr>
          <w:spacing w:val="-108"/>
        </w:rPr>
        <w:t>）</w:t>
      </w:r>
      <w:r>
        <w:rPr/>
        <w:t>。</w:t>
      </w:r>
    </w:p>
    <w:p>
      <w:pPr>
        <w:pStyle w:val="BodyText"/>
        <w:spacing w:before="8"/>
        <w:ind w:left="0"/>
        <w:rPr>
          <w:sz w:val="26"/>
        </w:rPr>
      </w:pPr>
    </w:p>
    <w:p>
      <w:pPr>
        <w:pStyle w:val="Heading2"/>
        <w:spacing w:before="1"/>
      </w:pPr>
      <w:r>
        <w:rPr/>
        <w:t>（三十九）严重类风湿性关节炎</w:t>
      </w:r>
    </w:p>
    <w:p>
      <w:pPr>
        <w:pStyle w:val="BodyText"/>
        <w:spacing w:line="273" w:lineRule="auto" w:before="38"/>
        <w:ind w:right="139" w:firstLine="420"/>
        <w:jc w:val="both"/>
      </w:pPr>
      <w:r>
        <w:rPr>
          <w:spacing w:val="-4"/>
        </w:rPr>
        <w:t>类风湿性关节炎为广泛分布的慢性进行性多关节病变，表现为关节严重变</w:t>
      </w:r>
      <w:r>
        <w:rPr>
          <w:spacing w:val="-5"/>
        </w:rPr>
        <w:t>形，侵犯至少三个主要关节或关节组【如：双手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关节、双腕关节、双膝关节和双髋关节】。类风湿性关节炎必须明确诊断并且已经达到类风湿性关节炎功能分类 </w:t>
      </w:r>
      <w:r>
        <w:rPr/>
        <w:t>IV</w:t>
      </w:r>
      <w:r>
        <w:rPr>
          <w:spacing w:val="-16"/>
        </w:rPr>
        <w:t> 级的永久不可逆性关节功能障碍</w:t>
      </w:r>
      <w:r>
        <w:rPr>
          <w:spacing w:val="-3"/>
        </w:rPr>
        <w:t>（</w:t>
      </w:r>
      <w:r>
        <w:rPr/>
        <w:t>生</w:t>
      </w:r>
      <w:r>
        <w:rPr>
          <w:spacing w:val="-3"/>
        </w:rPr>
        <w:t>活不能自理，且丧失工作能力）并且满足下列全部条件：</w:t>
      </w:r>
    </w:p>
    <w:p>
      <w:pPr>
        <w:pStyle w:val="BodyText"/>
        <w:spacing w:before="8"/>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9"/>
        <w:ind w:left="0"/>
        <w:rPr>
          <w:sz w:val="26"/>
        </w:rPr>
      </w:pPr>
    </w:p>
    <w:p>
      <w:pPr>
        <w:pStyle w:val="Heading2"/>
      </w:pPr>
      <w:r>
        <w:rPr/>
        <w:t>（四十）严重克隆病</w:t>
      </w:r>
    </w:p>
    <w:p>
      <w:pPr>
        <w:pStyle w:val="BodyText"/>
        <w:spacing w:line="273" w:lineRule="auto"/>
        <w:ind w:right="103" w:firstLine="432"/>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5"/>
        <w:ind w:left="0"/>
        <w:rPr>
          <w:sz w:val="24"/>
        </w:rPr>
      </w:pPr>
    </w:p>
    <w:p>
      <w:pPr>
        <w:pStyle w:val="Heading2"/>
      </w:pPr>
      <w:r>
        <w:rPr/>
        <w:t>（四十一）严重溃疡性结肠炎</w:t>
      </w:r>
    </w:p>
    <w:p>
      <w:pPr>
        <w:pStyle w:val="BodyText"/>
        <w:spacing w:line="273" w:lineRule="auto"/>
        <w:ind w:left="1937" w:right="139" w:firstLine="420"/>
        <w:jc w:val="both"/>
      </w:pPr>
      <w:r>
        <w:rPr/>
        <w:t>本保单所保障的溃疡性结肠炎是指伴有致命性电解质紊乱的急性暴发性</w:t>
      </w:r>
      <w:r>
        <w:rPr>
          <w:spacing w:val="-10"/>
        </w:rPr>
        <w:t>溃疡性结肠炎，病变累及全结肠，表现为严重的血便和系统性症状体征，治疗</w:t>
      </w:r>
      <w:r>
        <w:rPr>
          <w:spacing w:val="-11"/>
        </w:rPr>
        <w:t>通常采取全结肠切除和回肠造瘘术。溃疡性结肠炎必须根据组织病理学特点诊</w:t>
      </w:r>
      <w:r>
        <w:rPr>
          <w:spacing w:val="-3"/>
        </w:rPr>
        <w:t>断，并且被保险人已经接受了结肠切除和</w:t>
      </w:r>
      <w:r>
        <w:rPr/>
        <w:t>/</w:t>
      </w:r>
      <w:r>
        <w:rPr>
          <w:spacing w:val="-3"/>
        </w:rPr>
        <w:t>或回肠造瘘术。</w:t>
      </w:r>
    </w:p>
    <w:p>
      <w:pPr>
        <w:pStyle w:val="BodyText"/>
        <w:spacing w:before="5"/>
        <w:ind w:left="0"/>
        <w:rPr>
          <w:sz w:val="24"/>
        </w:rPr>
      </w:pPr>
    </w:p>
    <w:p>
      <w:pPr>
        <w:pStyle w:val="Heading2"/>
      </w:pPr>
      <w:r>
        <w:rPr/>
        <w:t>（四十二）严重原发性硬化性胆管炎</w:t>
      </w:r>
    </w:p>
    <w:p>
      <w:pPr>
        <w:pStyle w:val="BodyText"/>
        <w:spacing w:line="273" w:lineRule="auto" w:before="36"/>
        <w:ind w:right="139" w:firstLine="420"/>
        <w:jc w:val="both"/>
      </w:pPr>
      <w:r>
        <w:rPr>
          <w:spacing w:val="-5"/>
        </w:rPr>
        <w:t>为一种特发型淤胆性疾病，特点为肝内及肝外胆道系统胆管壁增厚和管腔</w:t>
      </w:r>
      <w:r>
        <w:rPr>
          <w:spacing w:val="-4"/>
        </w:rPr>
        <w:t>狭窄。必须满足以下所有条件：</w:t>
      </w:r>
    </w:p>
    <w:p>
      <w:pPr>
        <w:pStyle w:val="BodyText"/>
        <w:spacing w:before="7"/>
      </w:pPr>
      <w:r>
        <w:rPr/>
        <w:t>（1）诊断由逆行胰胆管造影（ERCP）或经皮胆管造影（PTC）确认；</w:t>
      </w:r>
    </w:p>
    <w:p>
      <w:pPr>
        <w:pStyle w:val="BodyText"/>
      </w:pPr>
      <w:r>
        <w:rPr>
          <w:w w:val="100"/>
        </w:rPr>
        <w:t>（2</w:t>
      </w:r>
      <w:r>
        <w:rPr>
          <w:spacing w:val="-3"/>
          <w:w w:val="100"/>
        </w:rPr>
        <w:t>）持续性黄疸伴碱性磷酸酶显著升高（</w:t>
      </w:r>
      <w:r>
        <w:rPr>
          <w:spacing w:val="-2"/>
          <w:w w:val="100"/>
        </w:rPr>
        <w:t>血清</w:t>
      </w:r>
      <w:r>
        <w:rPr>
          <w:spacing w:val="-52"/>
        </w:rPr>
        <w:t> </w:t>
      </w:r>
      <w:r>
        <w:rPr>
          <w:w w:val="100"/>
        </w:rPr>
        <w:t>AL</w:t>
      </w:r>
      <w:r>
        <w:rPr>
          <w:spacing w:val="-3"/>
          <w:w w:val="100"/>
        </w:rPr>
        <w:t>P&gt;</w:t>
      </w:r>
      <w:r>
        <w:rPr>
          <w:w w:val="100"/>
        </w:rPr>
        <w:t>20</w:t>
      </w:r>
      <w:r>
        <w:rPr>
          <w:spacing w:val="-1"/>
          <w:w w:val="100"/>
        </w:rPr>
        <w:t>0</w:t>
      </w:r>
      <w:r>
        <w:rPr>
          <w:spacing w:val="-106"/>
          <w:w w:val="100"/>
        </w:rPr>
        <w:t>）；</w:t>
      </w:r>
    </w:p>
    <w:p>
      <w:pPr>
        <w:pStyle w:val="BodyText"/>
      </w:pPr>
      <w:r>
        <w:rPr/>
        <w:t>（3）出现继发性胆汁性肝硬化和门静脉高压。</w:t>
      </w:r>
    </w:p>
    <w:p>
      <w:pPr>
        <w:pStyle w:val="BodyText"/>
        <w:spacing w:before="8"/>
        <w:ind w:left="0"/>
        <w:rPr>
          <w:sz w:val="26"/>
        </w:rPr>
      </w:pPr>
    </w:p>
    <w:p>
      <w:pPr>
        <w:pStyle w:val="Heading2"/>
      </w:pPr>
      <w:r>
        <w:rPr/>
        <w:t>（四十三）II 级重症急性胰腺炎</w:t>
      </w:r>
    </w:p>
    <w:p>
      <w:pPr>
        <w:pStyle w:val="BodyText"/>
        <w:spacing w:line="273" w:lineRule="auto" w:before="36"/>
        <w:ind w:left="2004" w:right="139" w:firstLine="420"/>
        <w:jc w:val="both"/>
      </w:pPr>
      <w:r>
        <w:rPr/>
        <w:t>Ⅱ级重症急性胰腺炎是指急性胰腺炎伴有脏器功能障碍。被保险人所患</w:t>
      </w:r>
      <w:r>
        <w:rPr>
          <w:spacing w:val="-7"/>
        </w:rPr>
        <w:t>的Ⅱ级重症急性胰腺炎必须明确诊断，按 </w:t>
      </w:r>
      <w:r>
        <w:rPr/>
        <w:t>APACHE</w:t>
      </w:r>
      <w:r>
        <w:rPr>
          <w:spacing w:val="-9"/>
        </w:rPr>
        <w:t>Ⅱ评分达到 </w:t>
      </w:r>
      <w:r>
        <w:rPr/>
        <w:t>8</w:t>
      </w:r>
      <w:r>
        <w:rPr>
          <w:spacing w:val="-26"/>
        </w:rPr>
        <w:t> 分或 </w:t>
      </w:r>
      <w:r>
        <w:rPr/>
        <w:t>8</w:t>
      </w:r>
      <w:r>
        <w:rPr>
          <w:spacing w:val="-14"/>
        </w:rPr>
        <w:t> 分以上</w:t>
      </w:r>
    </w:p>
    <w:p>
      <w:pPr>
        <w:spacing w:after="0" w:line="273" w:lineRule="auto"/>
        <w:jc w:val="both"/>
        <w:sectPr>
          <w:pgSz w:w="11910" w:h="16840"/>
          <w:pgMar w:top="1080" w:bottom="280" w:left="1680" w:right="1100"/>
        </w:sectPr>
      </w:pPr>
    </w:p>
    <w:p>
      <w:pPr>
        <w:pStyle w:val="BodyText"/>
        <w:spacing w:line="273" w:lineRule="auto" w:before="22"/>
        <w:ind w:left="2004" w:right="115"/>
      </w:pPr>
      <w:r>
        <w:rPr>
          <w:spacing w:val="-20"/>
        </w:rPr>
        <w:t>和 </w:t>
      </w:r>
      <w:r>
        <w:rPr/>
        <w:t>Balthazar</w:t>
      </w:r>
      <w:r>
        <w:rPr>
          <w:spacing w:val="-11"/>
        </w:rPr>
        <w:t> 分级系统达到Ⅱ级或Ⅱ级以上，并且接受了外科剖腹手术治疗， </w:t>
      </w:r>
      <w:r>
        <w:rPr>
          <w:spacing w:val="-6"/>
        </w:rPr>
        <w:t>以进行坏死组织清除、坏死病灶切除或胰腺切除。</w:t>
      </w:r>
    </w:p>
    <w:p>
      <w:pPr>
        <w:pStyle w:val="BodyText"/>
        <w:spacing w:line="273" w:lineRule="auto" w:before="8"/>
        <w:ind w:left="2004" w:right="225" w:firstLine="420"/>
      </w:pPr>
      <w:r>
        <w:rPr/>
        <w:t>因酗酒或饮酒过量所致的急性坏死性胰腺炎以及腹腔镜手术不在本合同保障范围内。</w:t>
      </w:r>
    </w:p>
    <w:p>
      <w:pPr>
        <w:pStyle w:val="BodyText"/>
        <w:spacing w:before="5"/>
        <w:ind w:left="0"/>
        <w:rPr>
          <w:sz w:val="24"/>
        </w:rPr>
      </w:pPr>
    </w:p>
    <w:p>
      <w:pPr>
        <w:pStyle w:val="Heading2"/>
      </w:pPr>
      <w:r>
        <w:rPr/>
        <w:t>（四十四）非阿尔茨海默病所致严重痴呆</w:t>
      </w:r>
    </w:p>
    <w:p>
      <w:pPr>
        <w:pStyle w:val="BodyText"/>
        <w:spacing w:line="273" w:lineRule="auto" w:before="36"/>
        <w:ind w:right="116" w:firstLine="427"/>
      </w:pPr>
      <w:r>
        <w:rPr>
          <w:spacing w:val="2"/>
        </w:rPr>
        <w:t>指因阿尔茨海默病以外的脑的器质性疾病造成脑功能衰竭导致永久不可</w:t>
      </w:r>
      <w:r>
        <w:rPr>
          <w:spacing w:val="-13"/>
        </w:rPr>
        <w:t>逆性的严重痴呆，临床表现为明显的认知能力障碍、行为异常和社交能力减退。</w:t>
      </w:r>
      <w:r>
        <w:rPr>
          <w:spacing w:val="-8"/>
        </w:rPr>
        <w:t>被保险人自主生活能力完全丧失，无法独立完成六项基本日常生活活动中的三项或三项以上，日常生活必须持续受到他人监护。导致痴呆的疾病必须明确诊</w:t>
      </w:r>
      <w:r>
        <w:rPr>
          <w:spacing w:val="-5"/>
        </w:rPr>
        <w:t>断，并且由完整的临床、实验室和影像学检查结果证实。</w:t>
      </w:r>
    </w:p>
    <w:p>
      <w:pPr>
        <w:pStyle w:val="BodyText"/>
        <w:spacing w:before="7"/>
        <w:ind w:left="2282"/>
      </w:pPr>
      <w:r>
        <w:rPr/>
        <w:t>神经官能症,精神疾病及酒精中毒所致脑损害不在保障范围内。</w:t>
      </w:r>
    </w:p>
    <w:p>
      <w:pPr>
        <w:pStyle w:val="BodyText"/>
        <w:spacing w:before="8"/>
        <w:ind w:left="0"/>
        <w:rPr>
          <w:sz w:val="26"/>
        </w:rPr>
      </w:pPr>
    </w:p>
    <w:p>
      <w:pPr>
        <w:pStyle w:val="Heading2"/>
        <w:spacing w:before="1"/>
      </w:pPr>
      <w:r>
        <w:rPr/>
        <w:t>（四十五）破裂脑动脉瘤夹闭手术</w:t>
      </w:r>
    </w:p>
    <w:p>
      <w:pPr>
        <w:pStyle w:val="BodyText"/>
        <w:spacing w:line="273" w:lineRule="auto" w:before="38"/>
        <w:ind w:right="222" w:firstLine="422"/>
        <w:jc w:val="both"/>
      </w:pPr>
      <w:r>
        <w:rPr>
          <w:spacing w:val="-5"/>
        </w:rPr>
        <w:t>指因脑动脉瘤破裂造成蛛网膜下腔出血，被保险人实际接受了在全麻下进</w:t>
      </w:r>
      <w:r>
        <w:rPr>
          <w:spacing w:val="-4"/>
        </w:rPr>
        <w:t>行的开颅动脉瘤夹闭手术。</w:t>
      </w:r>
    </w:p>
    <w:p>
      <w:pPr>
        <w:pStyle w:val="BodyText"/>
        <w:spacing w:line="273" w:lineRule="auto" w:before="8"/>
        <w:ind w:right="220" w:firstLine="420"/>
        <w:jc w:val="both"/>
      </w:pPr>
      <w:r>
        <w:rPr>
          <w:spacing w:val="-2"/>
        </w:rPr>
        <w:t>脑动脉瘤</w:t>
      </w:r>
      <w:r>
        <w:rPr>
          <w:spacing w:val="-3"/>
        </w:rPr>
        <w:t>（</w:t>
      </w:r>
      <w:r>
        <w:rPr>
          <w:spacing w:val="-2"/>
        </w:rPr>
        <w:t>未破裂</w:t>
      </w:r>
      <w:r>
        <w:rPr>
          <w:spacing w:val="-8"/>
        </w:rPr>
        <w:t>）</w:t>
      </w:r>
      <w:r>
        <w:rPr>
          <w:spacing w:val="-5"/>
        </w:rPr>
        <w:t>预防性手术、颅骨打孔手术、动脉瘤栓塞手术、血管</w:t>
      </w:r>
      <w:r>
        <w:rPr>
          <w:spacing w:val="-4"/>
        </w:rPr>
        <w:t>内手术及其他颅脑手术不在本保障范围内。</w:t>
      </w:r>
    </w:p>
    <w:p>
      <w:pPr>
        <w:pStyle w:val="BodyText"/>
        <w:spacing w:before="5"/>
        <w:ind w:left="0"/>
        <w:rPr>
          <w:sz w:val="24"/>
        </w:rPr>
      </w:pPr>
    </w:p>
    <w:p>
      <w:pPr>
        <w:pStyle w:val="Heading2"/>
        <w:spacing w:before="1"/>
      </w:pPr>
      <w:r>
        <w:rPr/>
        <w:t>（四十六）主动脉夹层血肿</w:t>
      </w:r>
    </w:p>
    <w:p>
      <w:pPr>
        <w:pStyle w:val="BodyText"/>
        <w:spacing w:line="273" w:lineRule="auto"/>
        <w:ind w:right="219" w:firstLine="420"/>
        <w:jc w:val="both"/>
      </w:pPr>
      <w:r>
        <w:rPr>
          <w:spacing w:val="-5"/>
        </w:rPr>
        <w:t>是指主动脉壁在受到某些病理因素的破坏后，高速、高压的主动脉血流将</w:t>
      </w:r>
      <w:r>
        <w:rPr>
          <w:spacing w:val="-7"/>
        </w:rPr>
        <w:t>其内膜撕裂，以致主动脉腔内的血流通过主动脉内膜的破裂口进入主动脉内壁</w:t>
      </w:r>
      <w:r>
        <w:rPr>
          <w:w w:val="100"/>
        </w:rPr>
        <w:t>而形成血肿。被保险人需通过电脑断层扫描</w:t>
      </w:r>
      <w:r>
        <w:rPr>
          <w:spacing w:val="5"/>
          <w:w w:val="100"/>
        </w:rPr>
        <w:t>（</w:t>
      </w:r>
      <w:r>
        <w:rPr>
          <w:spacing w:val="-3"/>
          <w:w w:val="100"/>
        </w:rPr>
        <w:t>C</w:t>
      </w:r>
      <w:r>
        <w:rPr>
          <w:spacing w:val="1"/>
          <w:w w:val="100"/>
        </w:rPr>
        <w:t>T</w:t>
      </w:r>
      <w:r>
        <w:rPr>
          <w:spacing w:val="-104"/>
          <w:w w:val="100"/>
        </w:rPr>
        <w:t>）</w:t>
      </w:r>
      <w:r>
        <w:rPr>
          <w:w w:val="100"/>
        </w:rPr>
        <w:t>、磁共振扫描</w:t>
      </w:r>
      <w:r>
        <w:rPr>
          <w:spacing w:val="2"/>
          <w:w w:val="100"/>
        </w:rPr>
        <w:t>（</w:t>
      </w:r>
      <w:r>
        <w:rPr>
          <w:w w:val="100"/>
        </w:rPr>
        <w:t>M</w:t>
      </w:r>
      <w:r>
        <w:rPr>
          <w:spacing w:val="-3"/>
          <w:w w:val="100"/>
        </w:rPr>
        <w:t>R</w:t>
      </w:r>
      <w:r>
        <w:rPr>
          <w:spacing w:val="1"/>
          <w:w w:val="100"/>
        </w:rPr>
        <w:t>I</w:t>
      </w:r>
      <w:r>
        <w:rPr>
          <w:spacing w:val="-104"/>
          <w:w w:val="100"/>
        </w:rPr>
        <w:t>）</w:t>
      </w:r>
      <w:r>
        <w:rPr>
          <w:w w:val="100"/>
        </w:rPr>
        <w:t>、磁共</w:t>
      </w:r>
      <w:r>
        <w:rPr/>
        <w:t>振血管检验法（MRA）或血管扫描等检查，并且实施了胸腹切开的直视主动脉手术。</w:t>
      </w:r>
    </w:p>
    <w:p>
      <w:pPr>
        <w:pStyle w:val="BodyText"/>
        <w:spacing w:before="5"/>
        <w:ind w:left="0"/>
        <w:rPr>
          <w:sz w:val="24"/>
        </w:rPr>
      </w:pPr>
    </w:p>
    <w:p>
      <w:pPr>
        <w:pStyle w:val="Heading2"/>
      </w:pPr>
      <w:r>
        <w:rPr/>
        <w:t>（四十七）严重弥漫性系统性硬皮病</w:t>
      </w:r>
    </w:p>
    <w:p>
      <w:pPr>
        <w:pStyle w:val="BodyText"/>
        <w:spacing w:line="273" w:lineRule="auto" w:before="36"/>
        <w:ind w:right="222" w:firstLine="420"/>
        <w:jc w:val="both"/>
      </w:pPr>
      <w:r>
        <w:rPr/>
        <w:t>一种系统性胶原血管病引起进行性的皮肤/血管和内脏器官的弥漫性纤维</w:t>
      </w:r>
      <w:r>
        <w:rPr>
          <w:spacing w:val="-6"/>
        </w:rPr>
        <w:t>化。诊断必须明确并由活检和血清学证据支持并且疾病已经影响到心脏、肺或</w:t>
      </w:r>
      <w:r>
        <w:rPr>
          <w:spacing w:val="-4"/>
        </w:rPr>
        <w:t>肾脏等内脏器官并且达到下列标准之一。</w:t>
      </w:r>
    </w:p>
    <w:p>
      <w:pPr>
        <w:pStyle w:val="BodyText"/>
        <w:spacing w:before="7"/>
      </w:pPr>
      <w:r>
        <w:rPr/>
        <w:t>（1）肺纤维化，已经出现肺动脉高压、肺心病；</w:t>
      </w:r>
    </w:p>
    <w:p>
      <w:pPr>
        <w:pStyle w:val="BodyText"/>
        <w:spacing w:line="273" w:lineRule="auto"/>
        <w:ind w:right="301"/>
      </w:pPr>
      <w:r>
        <w:rPr/>
        <w:t>（2）心脏损害，心脏功能衰竭程度达到纽约心脏病学会的心功能分级标准之心功能 IV 级；</w:t>
      </w:r>
    </w:p>
    <w:p>
      <w:pPr>
        <w:pStyle w:val="BodyText"/>
        <w:spacing w:line="273" w:lineRule="auto" w:before="8"/>
        <w:ind w:right="3664"/>
      </w:pPr>
      <w:r>
        <w:rPr/>
        <w:t>（3）肾脏损害，已经出现肾功能衰竭。下列疾病除外：</w:t>
      </w:r>
    </w:p>
    <w:p>
      <w:pPr>
        <w:pStyle w:val="BodyText"/>
        <w:spacing w:before="8"/>
      </w:pPr>
      <w:r>
        <w:rPr/>
        <w:t>（1）局限硬皮病；</w:t>
      </w:r>
    </w:p>
    <w:p>
      <w:pPr>
        <w:pStyle w:val="BodyText"/>
      </w:pPr>
      <w:r>
        <w:rPr/>
        <w:t>（2）嗜酸细胞筋膜炎；</w:t>
      </w:r>
    </w:p>
    <w:p>
      <w:pPr>
        <w:pStyle w:val="BodyText"/>
      </w:pPr>
      <w:r>
        <w:rPr/>
        <w:t>（3）CREST 综合征。</w:t>
      </w:r>
    </w:p>
    <w:p>
      <w:pPr>
        <w:pStyle w:val="BodyText"/>
        <w:spacing w:before="9"/>
        <w:ind w:left="0"/>
        <w:rPr>
          <w:sz w:val="26"/>
        </w:rPr>
      </w:pPr>
    </w:p>
    <w:p>
      <w:pPr>
        <w:pStyle w:val="Heading2"/>
      </w:pPr>
      <w:r>
        <w:rPr/>
        <w:t>（四十八）严重慢性复发性胰腺炎</w:t>
      </w:r>
    </w:p>
    <w:p>
      <w:pPr>
        <w:pStyle w:val="BodyText"/>
        <w:spacing w:line="273" w:lineRule="auto" w:before="36"/>
        <w:ind w:right="219" w:firstLine="420"/>
        <w:jc w:val="both"/>
      </w:pPr>
      <w:r>
        <w:rPr>
          <w:spacing w:val="-5"/>
        </w:rPr>
        <w:t>指慢性反复发作的胰腺炎症导致胰腺的广泛纤维化、坏死、弥漫性钙化及</w:t>
      </w:r>
      <w:r>
        <w:rPr>
          <w:spacing w:val="-7"/>
        </w:rPr>
        <w:t>假性囊肿形成，造成胰腺功能障碍出现严重糖尿病和营养不良。必须满足以下</w:t>
      </w:r>
      <w:r>
        <w:rPr>
          <w:spacing w:val="-4"/>
        </w:rPr>
        <w:t>所有条件：</w:t>
      </w:r>
    </w:p>
    <w:p>
      <w:pPr>
        <w:pStyle w:val="BodyText"/>
        <w:spacing w:line="273" w:lineRule="auto" w:before="7"/>
        <w:ind w:right="174"/>
      </w:pPr>
      <w:r>
        <w:rPr/>
        <w:t>（1）CT 显示胰腺广泛钙化或逆行胰胆管造影（ERCP）显示胰管扭曲、扩张和狭窄；</w:t>
      </w:r>
    </w:p>
    <w:p>
      <w:pPr>
        <w:pStyle w:val="BodyText"/>
        <w:spacing w:before="7"/>
      </w:pPr>
      <w:r>
        <w:rPr/>
        <w:t>（2）接受胰岛素替代治疗和酶替代治疗 180 天以上。</w:t>
      </w:r>
    </w:p>
    <w:p>
      <w:pPr>
        <w:spacing w:after="0"/>
        <w:sectPr>
          <w:pgSz w:w="11910" w:h="16840"/>
          <w:pgMar w:top="1080" w:bottom="280" w:left="1680" w:right="1020"/>
        </w:sectPr>
      </w:pPr>
    </w:p>
    <w:p>
      <w:pPr>
        <w:pStyle w:val="BodyText"/>
        <w:spacing w:before="22"/>
        <w:ind w:left="2282"/>
      </w:pPr>
      <w:r>
        <w:rPr/>
        <w:t>酒精导致的慢性复发性胰腺炎不在本保障范围内。</w:t>
      </w:r>
    </w:p>
    <w:p>
      <w:pPr>
        <w:pStyle w:val="BodyText"/>
        <w:spacing w:before="9"/>
        <w:ind w:left="0"/>
        <w:rPr>
          <w:sz w:val="26"/>
        </w:rPr>
      </w:pPr>
    </w:p>
    <w:p>
      <w:pPr>
        <w:pStyle w:val="Heading2"/>
      </w:pPr>
      <w:r>
        <w:rPr/>
        <w:t>（四十九）进行性核上性麻痹</w:t>
      </w:r>
    </w:p>
    <w:p>
      <w:pPr>
        <w:pStyle w:val="BodyText"/>
        <w:spacing w:line="273" w:lineRule="auto" w:before="36"/>
        <w:ind w:right="99" w:firstLine="526"/>
        <w:jc w:val="both"/>
      </w:pPr>
      <w:r>
        <w:rPr>
          <w:spacing w:val="-3"/>
        </w:rPr>
        <w:t>进行性核上性麻痹</w:t>
      </w:r>
      <w:r>
        <w:rPr/>
        <w:t>（PSP）</w:t>
      </w:r>
      <w:r>
        <w:rPr>
          <w:spacing w:val="-18"/>
        </w:rPr>
        <w:t>又称 </w:t>
      </w:r>
      <w:r>
        <w:rPr/>
        <w:t>Steele-Rchardson—Olszewski</w:t>
      </w:r>
      <w:r>
        <w:rPr>
          <w:spacing w:val="-12"/>
        </w:rPr>
        <w:t> 综合征， </w:t>
      </w:r>
      <w:r>
        <w:rPr>
          <w:spacing w:val="-9"/>
        </w:rPr>
        <w:t>是一种少见的神经系统变性疾病，以假球麻痹、垂直性核上性眼肌麻痹、锥体</w:t>
      </w:r>
      <w:r>
        <w:rPr>
          <w:spacing w:val="-5"/>
        </w:rPr>
        <w:t>外系肌僵直、步态共济失调和轻度痴呆为主要临床特征。</w:t>
      </w:r>
      <w:r>
        <w:rPr/>
        <w:t>PSP</w:t>
      </w:r>
      <w:r>
        <w:rPr>
          <w:spacing w:val="-3"/>
        </w:rPr>
        <w:t> 必须由三级甲等</w:t>
      </w:r>
      <w:r>
        <w:rPr>
          <w:spacing w:val="-5"/>
        </w:rPr>
        <w:t>医院的神经内科专科医生确诊，并且被保险人自主生活能力完全丧失，无法独</w:t>
      </w:r>
      <w:r>
        <w:rPr>
          <w:spacing w:val="-4"/>
        </w:rPr>
        <w:t>立完成六项基本日常生活活动中的三项或三项以上。</w:t>
      </w:r>
    </w:p>
    <w:p>
      <w:pPr>
        <w:pStyle w:val="BodyText"/>
        <w:spacing w:before="4"/>
        <w:ind w:left="0"/>
        <w:rPr>
          <w:sz w:val="24"/>
        </w:rPr>
      </w:pPr>
    </w:p>
    <w:p>
      <w:pPr>
        <w:pStyle w:val="Heading2"/>
        <w:spacing w:before="1"/>
      </w:pPr>
      <w:r>
        <w:rPr/>
        <w:t>（五十）肾髓质囊性病</w:t>
      </w:r>
    </w:p>
    <w:p>
      <w:pPr>
        <w:pStyle w:val="BodyText"/>
        <w:spacing w:line="273" w:lineRule="auto"/>
        <w:ind w:right="119" w:firstLine="420"/>
        <w:jc w:val="both"/>
      </w:pPr>
      <w:r>
        <w:rPr>
          <w:spacing w:val="-5"/>
        </w:rPr>
        <w:t>肾髓质囊性病，一种遗传性肾脏疾病，特点为肾髓质多发大小不等的囊肿</w:t>
      </w:r>
      <w:r>
        <w:rPr>
          <w:spacing w:val="-6"/>
        </w:rPr>
        <w:t>并且伴有小管和间质性肾炎。患者表现为肾脏衰竭和肾小管功能障碍。肾髓质</w:t>
      </w:r>
      <w:r>
        <w:rPr>
          <w:spacing w:val="-4"/>
        </w:rPr>
        <w:t>囊性病必须经肾组织活检确诊，并且有临床及影像学证据支持。</w:t>
      </w:r>
    </w:p>
    <w:p>
      <w:pPr>
        <w:pStyle w:val="BodyText"/>
        <w:spacing w:before="7"/>
        <w:ind w:left="2282"/>
      </w:pPr>
      <w:r>
        <w:rPr/>
        <w:t>其他的肾脏囊性病变不在保障范围内。</w:t>
      </w:r>
    </w:p>
    <w:p>
      <w:pPr>
        <w:pStyle w:val="BodyText"/>
        <w:spacing w:before="8"/>
        <w:ind w:left="0"/>
        <w:rPr>
          <w:sz w:val="26"/>
        </w:rPr>
      </w:pPr>
    </w:p>
    <w:p>
      <w:pPr>
        <w:pStyle w:val="Heading2"/>
        <w:spacing w:before="1"/>
      </w:pPr>
      <w:r>
        <w:rPr/>
        <w:t>（五十一）丝虫病所致象皮病</w:t>
      </w:r>
    </w:p>
    <w:p>
      <w:pPr>
        <w:pStyle w:val="BodyText"/>
        <w:spacing w:line="273" w:lineRule="auto"/>
        <w:ind w:right="119" w:firstLine="420"/>
        <w:jc w:val="both"/>
      </w:pPr>
      <w:r>
        <w:rPr>
          <w:spacing w:val="-5"/>
        </w:rPr>
        <w:t>指因丝虫感染导致淋巴阻塞性出现严重淋巴水肿，达到国际淋巴学会淋巴</w:t>
      </w:r>
      <w:r>
        <w:rPr>
          <w:spacing w:val="-10"/>
        </w:rPr>
        <w:t>肿分期第 </w:t>
      </w:r>
      <w:r>
        <w:rPr/>
        <w:t>III</w:t>
      </w:r>
      <w:r>
        <w:rPr>
          <w:spacing w:val="-9"/>
        </w:rPr>
        <w:t> 期，临床表现为肢体象皮肿，患肢较键肢增粗 </w:t>
      </w:r>
      <w:r>
        <w:rPr/>
        <w:t>30%</w:t>
      </w:r>
      <w:r>
        <w:rPr>
          <w:spacing w:val="-3"/>
        </w:rPr>
        <w:t>以上，日常生活不能自理。</w:t>
      </w:r>
    </w:p>
    <w:p>
      <w:pPr>
        <w:pStyle w:val="BodyText"/>
        <w:spacing w:before="5"/>
        <w:ind w:left="0"/>
        <w:rPr>
          <w:sz w:val="24"/>
        </w:rPr>
      </w:pPr>
    </w:p>
    <w:p>
      <w:pPr>
        <w:pStyle w:val="Heading2"/>
        <w:ind w:left="1968"/>
      </w:pPr>
      <w:r>
        <w:rPr/>
        <w:t>(五十二) 胰腺移植</w:t>
      </w:r>
    </w:p>
    <w:p>
      <w:pPr>
        <w:pStyle w:val="BodyText"/>
        <w:spacing w:line="273" w:lineRule="auto" w:before="36"/>
        <w:ind w:right="119" w:firstLine="420"/>
        <w:jc w:val="both"/>
      </w:pPr>
      <w:r>
        <w:rPr>
          <w:spacing w:val="-6"/>
        </w:rPr>
        <w:t>指因胰腺功能衰竭，已经实施了在全身麻醉下进行的胰腺的异体器官移植手术。</w:t>
      </w:r>
    </w:p>
    <w:p>
      <w:pPr>
        <w:pStyle w:val="BodyText"/>
        <w:spacing w:before="7"/>
        <w:ind w:left="2282"/>
      </w:pPr>
      <w:r>
        <w:rPr/>
        <w:t>单纯胰岛移植、部分胰腺组织或细胞的移植不在本保障范围之内。</w:t>
      </w:r>
    </w:p>
    <w:p>
      <w:pPr>
        <w:pStyle w:val="BodyText"/>
        <w:spacing w:before="8"/>
        <w:ind w:left="0"/>
        <w:rPr>
          <w:sz w:val="26"/>
        </w:rPr>
      </w:pPr>
    </w:p>
    <w:p>
      <w:pPr>
        <w:pStyle w:val="Heading2"/>
        <w:spacing w:before="1"/>
      </w:pPr>
      <w:r>
        <w:rPr/>
        <w:t>（五十三）严重心肌炎</w:t>
      </w:r>
    </w:p>
    <w:p>
      <w:pPr>
        <w:pStyle w:val="BodyText"/>
        <w:spacing w:line="273" w:lineRule="auto"/>
        <w:ind w:right="128" w:firstLine="420"/>
        <w:jc w:val="both"/>
      </w:pPr>
      <w:r>
        <w:rPr/>
        <w:t>指被保人因严重心肌炎性病变导致心功能损害造成持续的永久不可逆性的心功能衰竭。必须满足所有以下条件：</w:t>
      </w:r>
    </w:p>
    <w:p>
      <w:pPr>
        <w:pStyle w:val="BodyText"/>
        <w:spacing w:line="273" w:lineRule="auto" w:before="7"/>
        <w:ind w:right="100"/>
      </w:pPr>
      <w:r>
        <w:rPr/>
        <w:t>（1）</w:t>
      </w:r>
      <w:r>
        <w:rPr>
          <w:spacing w:val="-5"/>
        </w:rPr>
        <w:t>心功能衰竭程度达到纽约心脏病学会的心功能分级标准之心功能 </w:t>
      </w:r>
      <w:r>
        <w:rPr/>
        <w:t>IV</w:t>
      </w:r>
      <w:r>
        <w:rPr>
          <w:spacing w:val="-15"/>
        </w:rPr>
        <w:t> 级， </w:t>
      </w:r>
      <w:r>
        <w:rPr>
          <w:spacing w:val="-7"/>
        </w:rPr>
        <w:t>或左室射血分数低于 </w:t>
      </w:r>
      <w:r>
        <w:rPr/>
        <w:t>30%；</w:t>
      </w:r>
    </w:p>
    <w:p>
      <w:pPr>
        <w:pStyle w:val="BodyText"/>
        <w:spacing w:before="7"/>
      </w:pPr>
      <w:r>
        <w:rPr/>
        <w:t>（2）持续不间断 180 天以上；</w:t>
      </w:r>
    </w:p>
    <w:p>
      <w:pPr>
        <w:pStyle w:val="BodyText"/>
        <w:spacing w:before="36"/>
      </w:pPr>
      <w:r>
        <w:rPr/>
        <w:t>（3）被保险人永久不可逆性的体力活动能力受限，不能从事任何体力活动。</w:t>
      </w:r>
    </w:p>
    <w:p>
      <w:pPr>
        <w:pStyle w:val="BodyText"/>
        <w:spacing w:before="8"/>
        <w:ind w:left="0"/>
        <w:rPr>
          <w:sz w:val="26"/>
        </w:rPr>
      </w:pPr>
    </w:p>
    <w:p>
      <w:pPr>
        <w:pStyle w:val="Heading2"/>
      </w:pPr>
      <w:r>
        <w:rPr/>
        <w:t>（五十四）肺源性心脏病</w:t>
      </w:r>
    </w:p>
    <w:p>
      <w:pPr>
        <w:pStyle w:val="BodyText"/>
        <w:spacing w:line="273" w:lineRule="auto" w:before="36"/>
        <w:ind w:left="1968" w:right="150" w:firstLine="420"/>
        <w:jc w:val="both"/>
      </w:pPr>
      <w:r>
        <w:rPr>
          <w:spacing w:val="-3"/>
        </w:rPr>
        <w:t>指被保人因慢性肺部疾病导致慢性心功能损害造成永久不可逆性的心功</w:t>
      </w:r>
      <w:r>
        <w:rPr>
          <w:spacing w:val="-4"/>
        </w:rPr>
        <w:t>能衰竭。心功能衰竭程度达到纽约心脏病学会的心功能分级标准之心功能 </w:t>
      </w:r>
      <w:r>
        <w:rPr>
          <w:spacing w:val="-3"/>
        </w:rPr>
        <w:t>IV 级。被保险人永久不可逆性的体力活动能力受限，不能从事任何体力活动。</w:t>
      </w:r>
    </w:p>
    <w:p>
      <w:pPr>
        <w:pStyle w:val="BodyText"/>
        <w:spacing w:before="5"/>
        <w:ind w:left="0"/>
        <w:rPr>
          <w:sz w:val="24"/>
        </w:rPr>
      </w:pPr>
    </w:p>
    <w:p>
      <w:pPr>
        <w:pStyle w:val="Heading2"/>
      </w:pPr>
      <w:r>
        <w:rPr/>
        <w:t>（五十五）1 型糖尿病</w:t>
      </w:r>
    </w:p>
    <w:p>
      <w:pPr>
        <w:pStyle w:val="BodyText"/>
        <w:spacing w:line="273" w:lineRule="auto" w:before="36"/>
        <w:ind w:left="1968" w:right="198" w:firstLine="420"/>
        <w:jc w:val="both"/>
      </w:pPr>
      <w:r>
        <w:rPr/>
        <w:t>1</w:t>
      </w:r>
      <w:r>
        <w:rPr>
          <w:spacing w:val="-8"/>
        </w:rPr>
        <w:t> 型糖尿病的特征为由于胰岛素分泌绝对不足引起严重胰岛素缺乏导致</w:t>
      </w:r>
      <w:r>
        <w:rPr>
          <w:spacing w:val="-5"/>
        </w:rPr>
        <w:t>慢性血糖升高，需要依赖外源性胰岛素进行机体的葡萄糖代谢和维持生命。</w:t>
      </w:r>
      <w:r>
        <w:rPr>
          <w:spacing w:val="-11"/>
        </w:rPr>
        <w:t>被保险人的 </w:t>
      </w:r>
      <w:r>
        <w:rPr/>
        <w:t>1</w:t>
      </w:r>
      <w:r>
        <w:rPr>
          <w:spacing w:val="-11"/>
        </w:rPr>
        <w:t> 型糖尿病必须明确诊断，而且有血胰岛素测定及血 </w:t>
      </w:r>
      <w:r>
        <w:rPr/>
        <w:t>C</w:t>
      </w:r>
      <w:r>
        <w:rPr>
          <w:spacing w:val="-21"/>
        </w:rPr>
        <w:t> 肽或尿 </w:t>
      </w:r>
      <w:r>
        <w:rPr/>
        <w:t>C </w:t>
      </w:r>
      <w:r>
        <w:rPr>
          <w:spacing w:val="-3"/>
        </w:rPr>
        <w:t>肽测定结果支持诊断，并且满足下列全部条件：</w:t>
      </w:r>
    </w:p>
    <w:p>
      <w:pPr>
        <w:pStyle w:val="BodyText"/>
        <w:spacing w:before="7"/>
      </w:pPr>
      <w:r>
        <w:rPr/>
        <w:t>（1）已经持续性地接受外源性胰岛素注射治疗连续 180 天以上；</w:t>
      </w:r>
    </w:p>
    <w:p>
      <w:pPr>
        <w:pStyle w:val="BodyText"/>
      </w:pPr>
      <w:r>
        <w:rPr/>
        <w:t>（2）因需要已经接受了下列治疗：</w:t>
      </w:r>
    </w:p>
    <w:p>
      <w:pPr>
        <w:pStyle w:val="BodyText"/>
        <w:ind w:left="2494"/>
      </w:pPr>
      <w:r>
        <w:rPr/>
        <w:t>① 因严重心律失常植入了心脏起搏器；或</w:t>
      </w:r>
    </w:p>
    <w:p>
      <w:pPr>
        <w:spacing w:after="0"/>
        <w:sectPr>
          <w:pgSz w:w="11910" w:h="16840"/>
          <w:pgMar w:top="1080" w:bottom="280" w:left="1680" w:right="1120"/>
        </w:sectPr>
      </w:pPr>
    </w:p>
    <w:p>
      <w:pPr>
        <w:pStyle w:val="BodyText"/>
        <w:spacing w:before="22"/>
        <w:ind w:left="2494"/>
      </w:pPr>
      <w:r>
        <w:rPr/>
        <w:t>② 因坏疽自跖趾关节或以上切除了一趾或多趾。</w:t>
      </w:r>
    </w:p>
    <w:p>
      <w:pPr>
        <w:pStyle w:val="BodyText"/>
        <w:spacing w:before="9"/>
        <w:ind w:left="0"/>
        <w:rPr>
          <w:sz w:val="26"/>
        </w:rPr>
      </w:pPr>
    </w:p>
    <w:p>
      <w:pPr>
        <w:pStyle w:val="Heading2"/>
      </w:pPr>
      <w:r>
        <w:rPr/>
        <w:t>（五十六）肌营养不良症</w:t>
      </w:r>
    </w:p>
    <w:p>
      <w:pPr>
        <w:pStyle w:val="BodyText"/>
        <w:spacing w:line="273" w:lineRule="auto" w:before="36"/>
        <w:ind w:left="1968" w:right="298" w:firstLine="420"/>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4"/>
        <w:ind w:left="0"/>
        <w:rPr>
          <w:sz w:val="24"/>
        </w:rPr>
      </w:pPr>
    </w:p>
    <w:p>
      <w:pPr>
        <w:pStyle w:val="Heading2"/>
        <w:spacing w:before="1"/>
      </w:pPr>
      <w:r>
        <w:rPr/>
        <w:t>（五十七）嗜铬细胞瘤</w:t>
      </w:r>
    </w:p>
    <w:p>
      <w:pPr>
        <w:pStyle w:val="BodyText"/>
        <w:spacing w:line="273" w:lineRule="auto"/>
        <w:ind w:left="1968" w:right="298" w:firstLine="420"/>
        <w:jc w:val="both"/>
      </w:pPr>
      <w:r>
        <w:rPr/>
        <w:t>指发生在肾上腺或肾上腺外嗜铬组织的以分泌过多的儿茶酚胺为表现的神经内分泌肿瘤。嗜铬细胞瘤必须由内分泌专科医生诊断，并且满足以下所有条件：</w:t>
      </w:r>
    </w:p>
    <w:p>
      <w:pPr>
        <w:pStyle w:val="BodyText"/>
        <w:spacing w:before="7"/>
      </w:pPr>
      <w:r>
        <w:rPr/>
        <w:t>（1）临床有高血压症候群表现；</w:t>
      </w:r>
    </w:p>
    <w:p>
      <w:pPr>
        <w:pStyle w:val="BodyText"/>
        <w:spacing w:before="36"/>
      </w:pPr>
      <w:r>
        <w:rPr/>
        <w:t>（2）已经实施了嗜铬细胞瘤切除手术。</w:t>
      </w:r>
    </w:p>
    <w:p>
      <w:pPr>
        <w:pStyle w:val="BodyText"/>
        <w:spacing w:before="8"/>
        <w:ind w:left="0"/>
        <w:rPr>
          <w:sz w:val="26"/>
        </w:rPr>
      </w:pPr>
    </w:p>
    <w:p>
      <w:pPr>
        <w:pStyle w:val="Heading2"/>
        <w:spacing w:before="1"/>
      </w:pPr>
      <w:r>
        <w:rPr/>
        <w:t>（五十八）克-雅氏病（CJD、人类疯牛病）</w:t>
      </w:r>
    </w:p>
    <w:p>
      <w:pPr>
        <w:pStyle w:val="BodyText"/>
        <w:spacing w:line="273" w:lineRule="auto"/>
        <w:ind w:left="1968" w:right="113" w:firstLine="420"/>
      </w:pPr>
      <w:r>
        <w:rPr/>
        <w:t>CJD</w:t>
      </w:r>
      <w:r>
        <w:rPr>
          <w:spacing w:val="-13"/>
        </w:rPr>
        <w:t> 是一种传染性海绵状脑病，临床表现为快速进行性痴呆、肌阵挛和特</w:t>
      </w:r>
      <w:r>
        <w:rPr>
          <w:spacing w:val="-11"/>
        </w:rPr>
        <w:t>征性脑电图变化。本病须经三级医院的专科医师根据 </w:t>
      </w:r>
      <w:r>
        <w:rPr/>
        <w:t>WHO</w:t>
      </w:r>
      <w:r>
        <w:rPr>
          <w:spacing w:val="-8"/>
        </w:rPr>
        <w:t> 诊断标准明确诊断， </w:t>
      </w:r>
      <w:r>
        <w:rPr>
          <w:spacing w:val="-5"/>
        </w:rPr>
        <w:t>并且被保险人自主生活能力完全丧失，无法独立完成六项基本日常生活活动 </w:t>
      </w:r>
      <w:r>
        <w:rPr>
          <w:spacing w:val="-4"/>
        </w:rPr>
        <w:t>中的三项或三项以上。</w:t>
      </w:r>
    </w:p>
    <w:p>
      <w:pPr>
        <w:pStyle w:val="BodyText"/>
        <w:spacing w:before="7"/>
        <w:ind w:left="2282"/>
      </w:pPr>
      <w:r>
        <w:rPr/>
        <w:t>CJD 疑似病例除外。</w:t>
      </w:r>
    </w:p>
    <w:p>
      <w:pPr>
        <w:pStyle w:val="BodyText"/>
        <w:spacing w:before="8"/>
        <w:ind w:left="0"/>
        <w:rPr>
          <w:sz w:val="26"/>
        </w:rPr>
      </w:pPr>
    </w:p>
    <w:p>
      <w:pPr>
        <w:pStyle w:val="Heading2"/>
      </w:pPr>
      <w:r>
        <w:rPr/>
        <w:t>（五十九）严重川崎病</w:t>
      </w:r>
    </w:p>
    <w:p>
      <w:pPr>
        <w:pStyle w:val="BodyText"/>
        <w:spacing w:before="36"/>
        <w:ind w:left="2388"/>
      </w:pPr>
      <w:r>
        <w:rPr/>
        <w:t>川崎病为一种病因不明的系统性血管炎。</w:t>
      </w:r>
    </w:p>
    <w:p>
      <w:pPr>
        <w:pStyle w:val="BodyText"/>
        <w:spacing w:line="273" w:lineRule="auto" w:before="36"/>
        <w:ind w:left="2004" w:right="262"/>
      </w:pPr>
      <w:r>
        <w:rPr/>
        <w:t>本保单仅对诊断性检查证实川崎病并发冠状动脉瘤或其他心血管异常并且实际接受了手术治疗的情况予以理赔。</w:t>
      </w:r>
    </w:p>
    <w:p>
      <w:pPr>
        <w:pStyle w:val="BodyText"/>
        <w:spacing w:before="5"/>
        <w:ind w:left="0"/>
        <w:rPr>
          <w:sz w:val="24"/>
        </w:rPr>
      </w:pPr>
    </w:p>
    <w:p>
      <w:pPr>
        <w:pStyle w:val="Heading2"/>
      </w:pPr>
      <w:r>
        <w:rPr/>
        <w:t>（六十）完全性房室传导阻滞</w:t>
      </w:r>
    </w:p>
    <w:p>
      <w:pPr>
        <w:pStyle w:val="BodyText"/>
        <w:spacing w:line="273" w:lineRule="auto" w:before="36"/>
        <w:ind w:left="1968" w:right="298" w:firstLine="420"/>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7"/>
      </w:pPr>
      <w:r>
        <w:rPr/>
        <w:t>（1）心电图表现为室性逸搏心律，心室率持续低于 40 次/分；</w:t>
      </w:r>
    </w:p>
    <w:p>
      <w:pPr>
        <w:pStyle w:val="BodyText"/>
      </w:pPr>
      <w:r>
        <w:rPr/>
        <w:t>（2）曾经有晕厥、阿-斯综合征发作；</w:t>
      </w:r>
    </w:p>
    <w:p>
      <w:pPr>
        <w:pStyle w:val="BodyText"/>
        <w:spacing w:line="544" w:lineRule="auto"/>
        <w:ind w:right="3664"/>
      </w:pPr>
      <w:r>
        <w:rPr/>
        <w:t>（3）已经植入人工永久性心脏起搏器。上述 7.4 的释义中部分术语释义如下：</w:t>
      </w:r>
    </w:p>
    <w:p>
      <w:pPr>
        <w:pStyle w:val="BodyText"/>
        <w:spacing w:before="82"/>
      </w:pPr>
      <w:r>
        <w:rPr/>
        <w:t>（一）肢体机能完全丧失</w:t>
      </w:r>
    </w:p>
    <w:p>
      <w:pPr>
        <w:pStyle w:val="BodyText"/>
        <w:spacing w:line="273" w:lineRule="auto"/>
        <w:ind w:right="218"/>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before="36"/>
        <w:ind w:right="116"/>
      </w:pPr>
      <w:r>
        <w:rPr>
          <w:spacing w:val="-4"/>
        </w:rPr>
        <w:t>语言能力完全丧失是指无法发出四种语音</w:t>
      </w:r>
      <w:r>
        <w:rPr>
          <w:spacing w:val="-3"/>
        </w:rPr>
        <w:t>（</w:t>
      </w:r>
      <w:r>
        <w:rPr>
          <w:spacing w:val="-5"/>
        </w:rPr>
        <w:t>包括口唇音、齿舌音、口盖音和喉头音</w:t>
      </w:r>
      <w:r>
        <w:rPr>
          <w:spacing w:val="-46"/>
        </w:rPr>
        <w:t>）</w:t>
      </w:r>
      <w:r>
        <w:rPr>
          <w:spacing w:val="-12"/>
        </w:rPr>
        <w:t>中的任何三种、或声带全部切除，或因大脑语言中枢受伤害而患失语症。</w:t>
      </w:r>
      <w:r>
        <w:rPr>
          <w:spacing w:val="-7"/>
        </w:rPr>
        <w:t>咀嚼吞咽能力完全丧失是指因牙齿以外的原因导致器质障碍或机能障碍，以致</w:t>
      </w:r>
      <w:r>
        <w:rPr>
          <w:spacing w:val="-5"/>
        </w:rPr>
        <w:t>不能作咀嚼吞咽运动，除流质食物外不能摄取或吞咽的状态。</w:t>
      </w:r>
    </w:p>
    <w:p>
      <w:pPr>
        <w:spacing w:after="0" w:line="273" w:lineRule="auto"/>
        <w:sectPr>
          <w:pgSz w:w="11910" w:h="16840"/>
          <w:pgMar w:top="1080" w:bottom="280" w:left="1680" w:right="10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8"/>
        <w:gridCol w:w="7491"/>
      </w:tblGrid>
      <w:tr>
        <w:trPr>
          <w:trHeight w:val="4786" w:hRule="atLeast"/>
        </w:trPr>
        <w:tc>
          <w:tcPr>
            <w:tcW w:w="732" w:type="dxa"/>
          </w:tcPr>
          <w:p>
            <w:pPr>
              <w:pStyle w:val="TableParagraph"/>
              <w:rPr>
                <w:rFonts w:ascii="Times New Roman"/>
                <w:sz w:val="20"/>
              </w:rPr>
            </w:pPr>
          </w:p>
        </w:tc>
        <w:tc>
          <w:tcPr>
            <w:tcW w:w="1948" w:type="dxa"/>
          </w:tcPr>
          <w:p>
            <w:pPr>
              <w:pStyle w:val="TableParagraph"/>
              <w:rPr>
                <w:rFonts w:ascii="Times New Roman"/>
                <w:sz w:val="20"/>
              </w:rPr>
            </w:pPr>
          </w:p>
        </w:tc>
        <w:tc>
          <w:tcPr>
            <w:tcW w:w="7491" w:type="dxa"/>
          </w:tcPr>
          <w:p>
            <w:pPr>
              <w:pStyle w:val="TableParagraph"/>
              <w:spacing w:line="211" w:lineRule="exact"/>
              <w:ind w:left="148"/>
              <w:rPr>
                <w:sz w:val="21"/>
              </w:rPr>
            </w:pPr>
            <w:r>
              <w:rPr>
                <w:sz w:val="21"/>
              </w:rPr>
              <w:t>（三）六项基本日常生活活动</w:t>
            </w:r>
          </w:p>
          <w:p>
            <w:pPr>
              <w:pStyle w:val="TableParagraph"/>
              <w:spacing w:before="37"/>
              <w:ind w:left="148"/>
              <w:rPr>
                <w:sz w:val="21"/>
              </w:rPr>
            </w:pPr>
            <w:r>
              <w:rPr>
                <w:sz w:val="21"/>
              </w:rPr>
              <w:t>六项基本日常生活活动是指：</w:t>
            </w:r>
          </w:p>
          <w:p>
            <w:pPr>
              <w:pStyle w:val="TableParagraph"/>
              <w:spacing w:before="37"/>
              <w:ind w:left="148"/>
              <w:rPr>
                <w:sz w:val="21"/>
              </w:rPr>
            </w:pPr>
            <w:r>
              <w:rPr>
                <w:sz w:val="21"/>
              </w:rPr>
              <w:t>（1）穿衣：自己能够穿衣及脱衣；</w:t>
            </w:r>
          </w:p>
          <w:p>
            <w:pPr>
              <w:pStyle w:val="TableParagraph"/>
              <w:spacing w:before="36"/>
              <w:ind w:left="148"/>
              <w:rPr>
                <w:sz w:val="21"/>
              </w:rPr>
            </w:pPr>
            <w:r>
              <w:rPr>
                <w:sz w:val="21"/>
              </w:rPr>
              <w:t>（2）移动：自己从一个房间到另一个房间；</w:t>
            </w:r>
          </w:p>
          <w:p>
            <w:pPr>
              <w:pStyle w:val="TableParagraph"/>
              <w:spacing w:before="36"/>
              <w:ind w:left="148"/>
              <w:rPr>
                <w:sz w:val="21"/>
              </w:rPr>
            </w:pPr>
            <w:r>
              <w:rPr>
                <w:sz w:val="21"/>
              </w:rPr>
              <w:t>（3）行动：自己上下床或上下轮椅；</w:t>
            </w:r>
          </w:p>
          <w:p>
            <w:pPr>
              <w:pStyle w:val="TableParagraph"/>
              <w:spacing w:before="36"/>
              <w:ind w:left="148"/>
              <w:rPr>
                <w:sz w:val="21"/>
              </w:rPr>
            </w:pPr>
            <w:r>
              <w:rPr>
                <w:sz w:val="21"/>
              </w:rPr>
              <w:t>（4）如厕：自己控制进行大小便；</w:t>
            </w:r>
          </w:p>
          <w:p>
            <w:pPr>
              <w:pStyle w:val="TableParagraph"/>
              <w:spacing w:before="36"/>
              <w:ind w:left="148"/>
              <w:rPr>
                <w:sz w:val="21"/>
              </w:rPr>
            </w:pPr>
            <w:r>
              <w:rPr>
                <w:sz w:val="21"/>
              </w:rPr>
              <w:t>（5）进食：自己从已准备好的碗或碟中取食物放入口中；</w:t>
            </w:r>
          </w:p>
          <w:p>
            <w:pPr>
              <w:pStyle w:val="TableParagraph"/>
              <w:spacing w:before="36"/>
              <w:ind w:left="148"/>
              <w:rPr>
                <w:sz w:val="21"/>
              </w:rPr>
            </w:pPr>
            <w:r>
              <w:rPr>
                <w:sz w:val="21"/>
              </w:rPr>
              <w:t>（6）洗澡：自己进行淋浴或盆浴。</w:t>
            </w:r>
          </w:p>
          <w:p>
            <w:pPr>
              <w:pStyle w:val="TableParagraph"/>
              <w:spacing w:before="8"/>
              <w:rPr>
                <w:sz w:val="26"/>
              </w:rPr>
            </w:pPr>
          </w:p>
          <w:p>
            <w:pPr>
              <w:pStyle w:val="TableParagraph"/>
              <w:ind w:left="148"/>
              <w:rPr>
                <w:sz w:val="21"/>
              </w:rPr>
            </w:pPr>
            <w:r>
              <w:rPr>
                <w:sz w:val="21"/>
              </w:rPr>
              <w:t>（四）永久不可逆</w:t>
            </w:r>
          </w:p>
          <w:p>
            <w:pPr>
              <w:pStyle w:val="TableParagraph"/>
              <w:spacing w:line="273" w:lineRule="auto" w:before="37"/>
              <w:ind w:left="148" w:right="200"/>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5"/>
              <w:rPr>
                <w:sz w:val="24"/>
              </w:rPr>
            </w:pPr>
          </w:p>
          <w:p>
            <w:pPr>
              <w:pStyle w:val="TableParagraph"/>
              <w:ind w:left="148"/>
              <w:rPr>
                <w:sz w:val="21"/>
              </w:rPr>
            </w:pPr>
            <w:r>
              <w:rPr>
                <w:sz w:val="21"/>
              </w:rPr>
              <w:t>（五）三大关节</w:t>
            </w:r>
          </w:p>
          <w:p>
            <w:pPr>
              <w:pStyle w:val="TableParagraph"/>
              <w:spacing w:before="37"/>
              <w:ind w:left="148"/>
              <w:rPr>
                <w:sz w:val="21"/>
              </w:rPr>
            </w:pPr>
            <w:r>
              <w:rPr>
                <w:sz w:val="21"/>
              </w:rPr>
              <w:t>上肢三大关节是指肩、肘、腕关节，下肢三大关节是指髋、膝、踝关节。</w:t>
            </w:r>
          </w:p>
        </w:tc>
      </w:tr>
      <w:tr>
        <w:trPr>
          <w:trHeight w:val="936" w:hRule="atLeast"/>
        </w:trPr>
        <w:tc>
          <w:tcPr>
            <w:tcW w:w="732" w:type="dxa"/>
          </w:tcPr>
          <w:p>
            <w:pPr>
              <w:pStyle w:val="TableParagraph"/>
              <w:spacing w:before="142"/>
              <w:ind w:left="200"/>
              <w:rPr>
                <w:b/>
                <w:sz w:val="21"/>
              </w:rPr>
            </w:pPr>
            <w:r>
              <w:rPr>
                <w:b/>
                <w:sz w:val="21"/>
              </w:rPr>
              <w:t>7.5</w:t>
            </w:r>
          </w:p>
        </w:tc>
        <w:tc>
          <w:tcPr>
            <w:tcW w:w="1948" w:type="dxa"/>
          </w:tcPr>
          <w:p>
            <w:pPr>
              <w:pStyle w:val="TableParagraph"/>
              <w:spacing w:before="142"/>
              <w:ind w:left="109"/>
              <w:rPr>
                <w:b/>
                <w:sz w:val="21"/>
              </w:rPr>
            </w:pPr>
            <w:r>
              <w:rPr>
                <w:b/>
                <w:sz w:val="21"/>
              </w:rPr>
              <w:t>初次发生</w:t>
            </w:r>
          </w:p>
        </w:tc>
        <w:tc>
          <w:tcPr>
            <w:tcW w:w="7491" w:type="dxa"/>
          </w:tcPr>
          <w:p>
            <w:pPr>
              <w:pStyle w:val="TableParagraph"/>
              <w:spacing w:line="273" w:lineRule="auto" w:before="142"/>
              <w:ind w:left="148" w:right="171"/>
              <w:rPr>
                <w:sz w:val="21"/>
              </w:rPr>
            </w:pPr>
            <w:r>
              <w:rPr>
                <w:sz w:val="21"/>
              </w:rPr>
              <w:t>指被保险人首次出现重大疾病的前兆或异常的身体状况，包括与重大疾病相关的症状及体征。</w:t>
            </w:r>
          </w:p>
        </w:tc>
      </w:tr>
      <w:tr>
        <w:trPr>
          <w:trHeight w:val="1560" w:hRule="atLeast"/>
        </w:trPr>
        <w:tc>
          <w:tcPr>
            <w:tcW w:w="732" w:type="dxa"/>
          </w:tcPr>
          <w:p>
            <w:pPr>
              <w:pStyle w:val="TableParagraph"/>
              <w:spacing w:before="142"/>
              <w:ind w:left="200"/>
              <w:rPr>
                <w:b/>
                <w:sz w:val="21"/>
              </w:rPr>
            </w:pPr>
            <w:r>
              <w:rPr>
                <w:b/>
                <w:sz w:val="21"/>
              </w:rPr>
              <w:t>7.6</w:t>
            </w:r>
          </w:p>
        </w:tc>
        <w:tc>
          <w:tcPr>
            <w:tcW w:w="1948" w:type="dxa"/>
          </w:tcPr>
          <w:p>
            <w:pPr>
              <w:pStyle w:val="TableParagraph"/>
              <w:spacing w:before="142"/>
              <w:ind w:left="109"/>
              <w:rPr>
                <w:b/>
                <w:sz w:val="21"/>
              </w:rPr>
            </w:pPr>
            <w:r>
              <w:rPr>
                <w:b/>
                <w:sz w:val="21"/>
              </w:rPr>
              <w:t>医院</w:t>
            </w:r>
          </w:p>
        </w:tc>
        <w:tc>
          <w:tcPr>
            <w:tcW w:w="7491" w:type="dxa"/>
          </w:tcPr>
          <w:p>
            <w:pPr>
              <w:pStyle w:val="TableParagraph"/>
              <w:spacing w:line="273" w:lineRule="auto" w:before="142"/>
              <w:ind w:left="148" w:right="221"/>
              <w:jc w:val="both"/>
              <w:rPr>
                <w:sz w:val="21"/>
              </w:rPr>
            </w:pPr>
            <w:r>
              <w:rPr>
                <w:spacing w:val="-4"/>
                <w:sz w:val="21"/>
              </w:rPr>
              <w:t>指国家卫生部医院等级分类中的二级或二级以上的公立医院，但不包括附属于</w:t>
            </w:r>
            <w:r>
              <w:rPr>
                <w:spacing w:val="-6"/>
                <w:sz w:val="21"/>
              </w:rPr>
              <w:t>前述医院或单独作为诊所、康复、护理、疗养、戒酒、戒毒等或相类似的医疗</w:t>
            </w:r>
            <w:r>
              <w:rPr>
                <w:spacing w:val="-7"/>
                <w:sz w:val="21"/>
              </w:rPr>
              <w:t>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2" w:type="dxa"/>
          </w:tcPr>
          <w:p>
            <w:pPr>
              <w:pStyle w:val="TableParagraph"/>
              <w:spacing w:before="142"/>
              <w:ind w:left="200"/>
              <w:rPr>
                <w:b/>
                <w:sz w:val="21"/>
              </w:rPr>
            </w:pPr>
            <w:r>
              <w:rPr>
                <w:b/>
                <w:sz w:val="21"/>
              </w:rPr>
              <w:t>7.7</w:t>
            </w:r>
          </w:p>
        </w:tc>
        <w:tc>
          <w:tcPr>
            <w:tcW w:w="1948" w:type="dxa"/>
          </w:tcPr>
          <w:p>
            <w:pPr>
              <w:pStyle w:val="TableParagraph"/>
              <w:spacing w:before="142"/>
              <w:ind w:left="109"/>
              <w:rPr>
                <w:b/>
                <w:sz w:val="21"/>
              </w:rPr>
            </w:pPr>
            <w:r>
              <w:rPr>
                <w:b/>
                <w:sz w:val="21"/>
              </w:rPr>
              <w:t>专科医生</w:t>
            </w:r>
          </w:p>
        </w:tc>
        <w:tc>
          <w:tcPr>
            <w:tcW w:w="7491" w:type="dxa"/>
          </w:tcPr>
          <w:p>
            <w:pPr>
              <w:pStyle w:val="TableParagraph"/>
              <w:spacing w:before="142"/>
              <w:ind w:left="148"/>
              <w:rPr>
                <w:sz w:val="21"/>
              </w:rPr>
            </w:pPr>
            <w:r>
              <w:rPr>
                <w:sz w:val="21"/>
              </w:rPr>
              <w:t>专科医生应当同时满足以下四项资格条件：</w:t>
            </w:r>
          </w:p>
          <w:p>
            <w:pPr>
              <w:pStyle w:val="TableParagraph"/>
              <w:spacing w:before="36"/>
              <w:ind w:left="148"/>
              <w:rPr>
                <w:sz w:val="21"/>
              </w:rPr>
            </w:pPr>
            <w:r>
              <w:rPr>
                <w:sz w:val="21"/>
              </w:rPr>
              <w:t>（1）具有有效的中华人民共和国《医师资格证书》；</w:t>
            </w:r>
          </w:p>
          <w:p>
            <w:pPr>
              <w:pStyle w:val="TableParagraph"/>
              <w:spacing w:line="273" w:lineRule="auto" w:before="37"/>
              <w:ind w:left="148" w:right="218"/>
              <w:rPr>
                <w:sz w:val="21"/>
              </w:rPr>
            </w:pPr>
            <w:r>
              <w:rPr>
                <w:spacing w:val="-4"/>
                <w:sz w:val="21"/>
              </w:rPr>
              <w:t>（2）</w:t>
            </w:r>
            <w:r>
              <w:rPr>
                <w:spacing w:val="-10"/>
                <w:sz w:val="21"/>
              </w:rPr>
              <w:t>具有有效的中华人民共和国《医师执业证书》，并按期到相关部门登记注册；</w:t>
            </w:r>
          </w:p>
          <w:p>
            <w:pPr>
              <w:pStyle w:val="TableParagraph"/>
              <w:spacing w:line="273" w:lineRule="auto" w:before="7"/>
              <w:ind w:left="148" w:right="226"/>
              <w:rPr>
                <w:sz w:val="21"/>
              </w:rPr>
            </w:pPr>
            <w:r>
              <w:rPr>
                <w:sz w:val="21"/>
              </w:rPr>
              <w:t>（3）具有有效的中华人民共和国主治医师或主治医师以上职称的《医师职称证书》；</w:t>
            </w:r>
          </w:p>
          <w:p>
            <w:pPr>
              <w:pStyle w:val="TableParagraph"/>
              <w:spacing w:before="7"/>
              <w:ind w:left="148"/>
              <w:rPr>
                <w:sz w:val="21"/>
              </w:rPr>
            </w:pPr>
            <w:r>
              <w:rPr>
                <w:sz w:val="21"/>
              </w:rPr>
              <w:t>（4）在二级或二级以上医院的相应科室从事临床工作三年以上。</w:t>
            </w:r>
          </w:p>
        </w:tc>
      </w:tr>
      <w:tr>
        <w:trPr>
          <w:trHeight w:val="936" w:hRule="atLeast"/>
        </w:trPr>
        <w:tc>
          <w:tcPr>
            <w:tcW w:w="732" w:type="dxa"/>
          </w:tcPr>
          <w:p>
            <w:pPr>
              <w:pStyle w:val="TableParagraph"/>
              <w:spacing w:before="142"/>
              <w:ind w:left="200"/>
              <w:rPr>
                <w:b/>
                <w:sz w:val="21"/>
              </w:rPr>
            </w:pPr>
            <w:r>
              <w:rPr>
                <w:b/>
                <w:sz w:val="21"/>
              </w:rPr>
              <w:t>7.8</w:t>
            </w:r>
          </w:p>
        </w:tc>
        <w:tc>
          <w:tcPr>
            <w:tcW w:w="1948" w:type="dxa"/>
          </w:tcPr>
          <w:p>
            <w:pPr>
              <w:pStyle w:val="TableParagraph"/>
              <w:spacing w:before="142"/>
              <w:ind w:left="109"/>
              <w:rPr>
                <w:b/>
                <w:sz w:val="21"/>
              </w:rPr>
            </w:pPr>
            <w:r>
              <w:rPr>
                <w:b/>
                <w:sz w:val="21"/>
              </w:rPr>
              <w:t>酗酒</w:t>
            </w:r>
          </w:p>
        </w:tc>
        <w:tc>
          <w:tcPr>
            <w:tcW w:w="7491" w:type="dxa"/>
          </w:tcPr>
          <w:p>
            <w:pPr>
              <w:pStyle w:val="TableParagraph"/>
              <w:spacing w:line="273" w:lineRule="auto" w:before="142"/>
              <w:ind w:left="148" w:right="201"/>
              <w:rPr>
                <w:sz w:val="21"/>
              </w:rPr>
            </w:pPr>
            <w:r>
              <w:rPr>
                <w:sz w:val="21"/>
              </w:rPr>
              <w:t>指没有节制地喝酒，以医疗机构或司法部门出具的酒精中毒或酒精摄入过量的相关证明为依据。</w:t>
            </w:r>
          </w:p>
        </w:tc>
      </w:tr>
      <w:tr>
        <w:trPr>
          <w:trHeight w:val="1560" w:hRule="atLeast"/>
        </w:trPr>
        <w:tc>
          <w:tcPr>
            <w:tcW w:w="732" w:type="dxa"/>
          </w:tcPr>
          <w:p>
            <w:pPr>
              <w:pStyle w:val="TableParagraph"/>
              <w:spacing w:before="142"/>
              <w:ind w:left="200"/>
              <w:rPr>
                <w:b/>
                <w:sz w:val="21"/>
              </w:rPr>
            </w:pPr>
            <w:r>
              <w:rPr>
                <w:b/>
                <w:sz w:val="21"/>
              </w:rPr>
              <w:t>7.9</w:t>
            </w:r>
          </w:p>
        </w:tc>
        <w:tc>
          <w:tcPr>
            <w:tcW w:w="1948" w:type="dxa"/>
          </w:tcPr>
          <w:p>
            <w:pPr>
              <w:pStyle w:val="TableParagraph"/>
              <w:spacing w:before="142"/>
              <w:ind w:left="109"/>
              <w:rPr>
                <w:b/>
                <w:sz w:val="21"/>
              </w:rPr>
            </w:pPr>
            <w:r>
              <w:rPr>
                <w:b/>
                <w:sz w:val="21"/>
              </w:rPr>
              <w:t>毒品</w:t>
            </w:r>
          </w:p>
        </w:tc>
        <w:tc>
          <w:tcPr>
            <w:tcW w:w="7491" w:type="dxa"/>
          </w:tcPr>
          <w:p>
            <w:pPr>
              <w:pStyle w:val="TableParagraph"/>
              <w:spacing w:line="273" w:lineRule="auto" w:before="142"/>
              <w:ind w:left="148" w:right="22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7"/>
                <w:sz w:val="21"/>
              </w:rPr>
              <w:t>品，但不包括由医生开具并遵医嘱使用的用于治疗疾病但含有毒品成分的处方药品。</w:t>
            </w:r>
          </w:p>
        </w:tc>
      </w:tr>
      <w:tr>
        <w:trPr>
          <w:trHeight w:val="1252" w:hRule="atLeast"/>
        </w:trPr>
        <w:tc>
          <w:tcPr>
            <w:tcW w:w="732" w:type="dxa"/>
          </w:tcPr>
          <w:p>
            <w:pPr>
              <w:pStyle w:val="TableParagraph"/>
              <w:spacing w:before="142"/>
              <w:ind w:left="200"/>
              <w:rPr>
                <w:b/>
                <w:sz w:val="21"/>
              </w:rPr>
            </w:pPr>
            <w:r>
              <w:rPr>
                <w:b/>
                <w:sz w:val="21"/>
              </w:rPr>
              <w:t>7.10</w:t>
            </w:r>
          </w:p>
        </w:tc>
        <w:tc>
          <w:tcPr>
            <w:tcW w:w="1948" w:type="dxa"/>
          </w:tcPr>
          <w:p>
            <w:pPr>
              <w:pStyle w:val="TableParagraph"/>
              <w:spacing w:before="142"/>
              <w:ind w:left="109"/>
              <w:rPr>
                <w:b/>
                <w:sz w:val="21"/>
              </w:rPr>
            </w:pPr>
            <w:r>
              <w:rPr>
                <w:b/>
                <w:sz w:val="21"/>
              </w:rPr>
              <w:t>酒后驾驶</w:t>
            </w:r>
          </w:p>
        </w:tc>
        <w:tc>
          <w:tcPr>
            <w:tcW w:w="7491" w:type="dxa"/>
          </w:tcPr>
          <w:p>
            <w:pPr>
              <w:pStyle w:val="TableParagraph"/>
              <w:spacing w:line="273" w:lineRule="auto" w:before="142"/>
              <w:ind w:left="148" w:right="221"/>
              <w:jc w:val="both"/>
              <w:rPr>
                <w:sz w:val="21"/>
              </w:rPr>
            </w:pPr>
            <w:r>
              <w:rPr>
                <w:spacing w:val="-6"/>
                <w:sz w:val="21"/>
              </w:rPr>
              <w:t>指经检测或鉴定，发生事故时车辆驾驶人员每百毫升血液中的酒精含量达到或</w:t>
            </w:r>
            <w:r>
              <w:rPr>
                <w:spacing w:val="-7"/>
                <w:sz w:val="21"/>
              </w:rPr>
              <w:t>超过一定的标准，公安机关交通管理部门依据《道路交通安全法》的规定认定</w:t>
            </w:r>
            <w:r>
              <w:rPr>
                <w:spacing w:val="-5"/>
                <w:sz w:val="21"/>
              </w:rPr>
              <w:t>为饮酒后驾驶或醉酒后驾驶。</w:t>
            </w:r>
          </w:p>
        </w:tc>
      </w:tr>
      <w:tr>
        <w:trPr>
          <w:trHeight w:val="765" w:hRule="atLeast"/>
        </w:trPr>
        <w:tc>
          <w:tcPr>
            <w:tcW w:w="732" w:type="dxa"/>
          </w:tcPr>
          <w:p>
            <w:pPr>
              <w:pStyle w:val="TableParagraph"/>
              <w:spacing w:before="147"/>
              <w:ind w:left="200"/>
              <w:rPr>
                <w:b/>
                <w:sz w:val="21"/>
              </w:rPr>
            </w:pPr>
            <w:r>
              <w:rPr>
                <w:b/>
                <w:sz w:val="21"/>
              </w:rPr>
              <w:t>7.11</w:t>
            </w:r>
          </w:p>
        </w:tc>
        <w:tc>
          <w:tcPr>
            <w:tcW w:w="1948" w:type="dxa"/>
          </w:tcPr>
          <w:p>
            <w:pPr>
              <w:pStyle w:val="TableParagraph"/>
              <w:spacing w:line="320" w:lineRule="atLeast" w:before="126"/>
              <w:ind w:left="109" w:right="147"/>
              <w:rPr>
                <w:b/>
                <w:sz w:val="21"/>
              </w:rPr>
            </w:pPr>
            <w:r>
              <w:rPr>
                <w:b/>
                <w:sz w:val="21"/>
              </w:rPr>
              <w:t>无合法有效驾驶证驾驶</w:t>
            </w:r>
          </w:p>
        </w:tc>
        <w:tc>
          <w:tcPr>
            <w:tcW w:w="7491" w:type="dxa"/>
          </w:tcPr>
          <w:p>
            <w:pPr>
              <w:pStyle w:val="TableParagraph"/>
              <w:spacing w:before="147"/>
              <w:ind w:left="148"/>
              <w:rPr>
                <w:sz w:val="21"/>
              </w:rPr>
            </w:pPr>
            <w:r>
              <w:rPr>
                <w:sz w:val="21"/>
              </w:rPr>
              <w:t>指下列情形之一：</w:t>
            </w:r>
          </w:p>
          <w:p>
            <w:pPr>
              <w:pStyle w:val="TableParagraph"/>
              <w:spacing w:before="37"/>
              <w:ind w:left="148"/>
              <w:rPr>
                <w:sz w:val="21"/>
              </w:rPr>
            </w:pPr>
            <w:r>
              <w:rPr>
                <w:sz w:val="21"/>
              </w:rPr>
              <w:t>（1）没有取得驾驶资格；</w:t>
            </w:r>
          </w:p>
        </w:tc>
      </w:tr>
    </w:tbl>
    <w:p>
      <w:pPr>
        <w:spacing w:after="0"/>
        <w:rPr>
          <w:sz w:val="21"/>
        </w:rPr>
        <w:sectPr>
          <w:pgSz w:w="11910" w:h="16840"/>
          <w:pgMar w:top="1160" w:bottom="280" w:left="600" w:right="9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6"/>
        <w:gridCol w:w="7527"/>
      </w:tblGrid>
      <w:tr>
        <w:trPr>
          <w:trHeight w:val="1353" w:hRule="atLeast"/>
        </w:trPr>
        <w:tc>
          <w:tcPr>
            <w:tcW w:w="732" w:type="dxa"/>
          </w:tcPr>
          <w:p>
            <w:pPr>
              <w:pStyle w:val="TableParagraph"/>
              <w:rPr>
                <w:rFonts w:ascii="Times New Roman"/>
                <w:sz w:val="20"/>
              </w:rPr>
            </w:pPr>
          </w:p>
        </w:tc>
        <w:tc>
          <w:tcPr>
            <w:tcW w:w="1996" w:type="dxa"/>
          </w:tcPr>
          <w:p>
            <w:pPr>
              <w:pStyle w:val="TableParagraph"/>
              <w:rPr>
                <w:rFonts w:ascii="Times New Roman"/>
                <w:sz w:val="20"/>
              </w:rPr>
            </w:pPr>
          </w:p>
        </w:tc>
        <w:tc>
          <w:tcPr>
            <w:tcW w:w="7527" w:type="dxa"/>
          </w:tcPr>
          <w:p>
            <w:pPr>
              <w:pStyle w:val="TableParagraph"/>
              <w:spacing w:line="211" w:lineRule="exact"/>
              <w:ind w:left="100"/>
              <w:rPr>
                <w:sz w:val="21"/>
              </w:rPr>
            </w:pPr>
            <w:r>
              <w:rPr>
                <w:sz w:val="21"/>
              </w:rPr>
              <w:t>（2）驾驶与驾驶证准驾车型不相符合的车辆；</w:t>
            </w:r>
          </w:p>
          <w:p>
            <w:pPr>
              <w:pStyle w:val="TableParagraph"/>
              <w:spacing w:before="37"/>
              <w:ind w:left="100"/>
              <w:rPr>
                <w:sz w:val="21"/>
              </w:rPr>
            </w:pPr>
            <w:r>
              <w:rPr>
                <w:sz w:val="21"/>
              </w:rPr>
              <w:t>（3）持审验不合格的驾驶证驾驶；</w:t>
            </w:r>
          </w:p>
          <w:p>
            <w:pPr>
              <w:pStyle w:val="TableParagraph"/>
              <w:spacing w:line="273" w:lineRule="auto" w:before="37"/>
              <w:ind w:left="100" w:right="384"/>
              <w:rPr>
                <w:sz w:val="21"/>
              </w:rPr>
            </w:pPr>
            <w:r>
              <w:rPr>
                <w:sz w:val="21"/>
              </w:rPr>
              <w:t>（4）持学习驾驶证学习驾车时，无教练员随车指导，或不按指定时间、路线学习驾车。</w:t>
            </w:r>
          </w:p>
        </w:tc>
      </w:tr>
      <w:tr>
        <w:trPr>
          <w:trHeight w:val="1560" w:hRule="atLeast"/>
        </w:trPr>
        <w:tc>
          <w:tcPr>
            <w:tcW w:w="732" w:type="dxa"/>
          </w:tcPr>
          <w:p>
            <w:pPr>
              <w:pStyle w:val="TableParagraph"/>
              <w:spacing w:before="142"/>
              <w:ind w:right="107"/>
              <w:jc w:val="right"/>
              <w:rPr>
                <w:b/>
                <w:sz w:val="21"/>
              </w:rPr>
            </w:pPr>
            <w:r>
              <w:rPr>
                <w:b/>
                <w:w w:val="95"/>
                <w:sz w:val="21"/>
              </w:rPr>
              <w:t>7.12</w:t>
            </w:r>
          </w:p>
        </w:tc>
        <w:tc>
          <w:tcPr>
            <w:tcW w:w="1996" w:type="dxa"/>
          </w:tcPr>
          <w:p>
            <w:pPr>
              <w:pStyle w:val="TableParagraph"/>
              <w:spacing w:before="142"/>
              <w:ind w:left="109"/>
              <w:rPr>
                <w:b/>
                <w:sz w:val="21"/>
              </w:rPr>
            </w:pPr>
            <w:r>
              <w:rPr>
                <w:b/>
                <w:sz w:val="21"/>
              </w:rPr>
              <w:t>无有效行驶证照</w:t>
            </w:r>
          </w:p>
        </w:tc>
        <w:tc>
          <w:tcPr>
            <w:tcW w:w="7527" w:type="dxa"/>
          </w:tcPr>
          <w:p>
            <w:pPr>
              <w:pStyle w:val="TableParagraph"/>
              <w:spacing w:before="142"/>
              <w:ind w:left="100"/>
              <w:rPr>
                <w:sz w:val="21"/>
              </w:rPr>
            </w:pPr>
            <w:r>
              <w:rPr>
                <w:sz w:val="21"/>
              </w:rPr>
              <w:t>指下列情形之一：</w:t>
            </w:r>
          </w:p>
          <w:p>
            <w:pPr>
              <w:pStyle w:val="TableParagraph"/>
              <w:spacing w:line="273" w:lineRule="auto" w:before="36"/>
              <w:ind w:left="100" w:right="383"/>
              <w:rPr>
                <w:sz w:val="21"/>
              </w:rPr>
            </w:pPr>
            <w:r>
              <w:rPr>
                <w:sz w:val="21"/>
              </w:rPr>
              <w:t>（1）发生保险事故时无公安机关交通管理部门核发的合法有效的行驶证、号牌，或临时号牌或临时移动号牌；</w:t>
            </w:r>
          </w:p>
          <w:p>
            <w:pPr>
              <w:pStyle w:val="TableParagraph"/>
              <w:spacing w:before="7"/>
              <w:ind w:left="100"/>
              <w:rPr>
                <w:sz w:val="21"/>
              </w:rPr>
            </w:pPr>
            <w:r>
              <w:rPr>
                <w:sz w:val="21"/>
              </w:rPr>
              <w:t>（2）未依法按时进行或通过机动车安全技术检验。</w:t>
            </w:r>
          </w:p>
        </w:tc>
      </w:tr>
      <w:tr>
        <w:trPr>
          <w:trHeight w:val="936" w:hRule="atLeast"/>
        </w:trPr>
        <w:tc>
          <w:tcPr>
            <w:tcW w:w="732" w:type="dxa"/>
          </w:tcPr>
          <w:p>
            <w:pPr>
              <w:pStyle w:val="TableParagraph"/>
              <w:spacing w:before="142"/>
              <w:ind w:right="107"/>
              <w:jc w:val="right"/>
              <w:rPr>
                <w:b/>
                <w:sz w:val="21"/>
              </w:rPr>
            </w:pPr>
            <w:r>
              <w:rPr>
                <w:b/>
                <w:w w:val="95"/>
                <w:sz w:val="21"/>
              </w:rPr>
              <w:t>7.13</w:t>
            </w:r>
          </w:p>
        </w:tc>
        <w:tc>
          <w:tcPr>
            <w:tcW w:w="1996" w:type="dxa"/>
          </w:tcPr>
          <w:p>
            <w:pPr>
              <w:pStyle w:val="TableParagraph"/>
              <w:spacing w:before="142"/>
              <w:ind w:left="109"/>
              <w:rPr>
                <w:b/>
                <w:sz w:val="21"/>
              </w:rPr>
            </w:pPr>
            <w:r>
              <w:rPr>
                <w:b/>
                <w:sz w:val="21"/>
              </w:rPr>
              <w:t>机动车</w:t>
            </w:r>
          </w:p>
        </w:tc>
        <w:tc>
          <w:tcPr>
            <w:tcW w:w="7527" w:type="dxa"/>
          </w:tcPr>
          <w:p>
            <w:pPr>
              <w:pStyle w:val="TableParagraph"/>
              <w:spacing w:line="273" w:lineRule="auto" w:before="142"/>
              <w:ind w:left="100" w:right="268"/>
              <w:rPr>
                <w:sz w:val="21"/>
              </w:rPr>
            </w:pPr>
            <w:r>
              <w:rPr>
                <w:sz w:val="21"/>
              </w:rPr>
              <w:t>指以动力装置驱动或者牵引，上道路行驶的供人员乘用或者用于运送物品以及进行工程专项作业的轮式车辆。</w:t>
            </w:r>
          </w:p>
        </w:tc>
      </w:tr>
      <w:tr>
        <w:trPr>
          <w:trHeight w:val="2184" w:hRule="atLeast"/>
        </w:trPr>
        <w:tc>
          <w:tcPr>
            <w:tcW w:w="732" w:type="dxa"/>
          </w:tcPr>
          <w:p>
            <w:pPr>
              <w:pStyle w:val="TableParagraph"/>
              <w:spacing w:before="142"/>
              <w:ind w:right="107"/>
              <w:jc w:val="right"/>
              <w:rPr>
                <w:b/>
                <w:sz w:val="21"/>
              </w:rPr>
            </w:pPr>
            <w:r>
              <w:rPr>
                <w:b/>
                <w:w w:val="95"/>
                <w:sz w:val="21"/>
              </w:rPr>
              <w:t>7.14</w:t>
            </w:r>
          </w:p>
        </w:tc>
        <w:tc>
          <w:tcPr>
            <w:tcW w:w="1996" w:type="dxa"/>
          </w:tcPr>
          <w:p>
            <w:pPr>
              <w:pStyle w:val="TableParagraph"/>
              <w:spacing w:line="280" w:lineRule="auto" w:before="166"/>
              <w:ind w:left="109" w:right="195"/>
              <w:rPr>
                <w:b/>
                <w:sz w:val="21"/>
              </w:rPr>
            </w:pPr>
            <w:r>
              <w:rPr>
                <w:b/>
                <w:sz w:val="21"/>
              </w:rPr>
              <w:t>感染艾滋病病毒或患艾滋病</w:t>
            </w:r>
          </w:p>
        </w:tc>
        <w:tc>
          <w:tcPr>
            <w:tcW w:w="7527" w:type="dxa"/>
          </w:tcPr>
          <w:p>
            <w:pPr>
              <w:pStyle w:val="TableParagraph"/>
              <w:spacing w:line="273" w:lineRule="auto" w:before="142"/>
              <w:ind w:left="100" w:right="33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0" w:right="305"/>
              <w:jc w:val="both"/>
              <w:rPr>
                <w:sz w:val="21"/>
              </w:rPr>
            </w:pPr>
            <w:r>
              <w:rPr>
                <w:spacing w:val="-4"/>
                <w:sz w:val="21"/>
              </w:rPr>
              <w:t>在人体血液或其它样本中检测到艾滋病病毒或其抗体呈阳性，没有出现临床症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32" w:type="dxa"/>
          </w:tcPr>
          <w:p>
            <w:pPr>
              <w:pStyle w:val="TableParagraph"/>
              <w:spacing w:before="142"/>
              <w:ind w:right="107"/>
              <w:jc w:val="right"/>
              <w:rPr>
                <w:b/>
                <w:sz w:val="21"/>
              </w:rPr>
            </w:pPr>
            <w:r>
              <w:rPr>
                <w:b/>
                <w:w w:val="95"/>
                <w:sz w:val="21"/>
              </w:rPr>
              <w:t>7.15</w:t>
            </w:r>
          </w:p>
        </w:tc>
        <w:tc>
          <w:tcPr>
            <w:tcW w:w="1996" w:type="dxa"/>
          </w:tcPr>
          <w:p>
            <w:pPr>
              <w:pStyle w:val="TableParagraph"/>
              <w:spacing w:before="142"/>
              <w:ind w:left="109"/>
              <w:rPr>
                <w:b/>
                <w:sz w:val="21"/>
              </w:rPr>
            </w:pPr>
            <w:r>
              <w:rPr>
                <w:b/>
                <w:sz w:val="21"/>
              </w:rPr>
              <w:t>遗传性疾病</w:t>
            </w:r>
          </w:p>
        </w:tc>
        <w:tc>
          <w:tcPr>
            <w:tcW w:w="7527" w:type="dxa"/>
          </w:tcPr>
          <w:p>
            <w:pPr>
              <w:pStyle w:val="TableParagraph"/>
              <w:spacing w:line="273" w:lineRule="auto" w:before="142"/>
              <w:ind w:left="100" w:right="25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2" w:type="dxa"/>
          </w:tcPr>
          <w:p>
            <w:pPr>
              <w:pStyle w:val="TableParagraph"/>
              <w:spacing w:before="142"/>
              <w:ind w:right="107"/>
              <w:jc w:val="right"/>
              <w:rPr>
                <w:b/>
                <w:sz w:val="21"/>
              </w:rPr>
            </w:pPr>
            <w:r>
              <w:rPr>
                <w:b/>
                <w:w w:val="95"/>
                <w:sz w:val="21"/>
              </w:rPr>
              <w:t>7.16</w:t>
            </w:r>
          </w:p>
        </w:tc>
        <w:tc>
          <w:tcPr>
            <w:tcW w:w="1996" w:type="dxa"/>
          </w:tcPr>
          <w:p>
            <w:pPr>
              <w:pStyle w:val="TableParagraph"/>
              <w:spacing w:line="273" w:lineRule="auto" w:before="142"/>
              <w:ind w:left="109" w:right="99"/>
              <w:rPr>
                <w:b/>
                <w:sz w:val="21"/>
              </w:rPr>
            </w:pPr>
            <w:r>
              <w:rPr>
                <w:b/>
                <w:sz w:val="21"/>
              </w:rPr>
              <w:t>先天性畸形、变形或染色体异常</w:t>
            </w:r>
          </w:p>
        </w:tc>
        <w:tc>
          <w:tcPr>
            <w:tcW w:w="7527" w:type="dxa"/>
          </w:tcPr>
          <w:p>
            <w:pPr>
              <w:pStyle w:val="TableParagraph"/>
              <w:spacing w:line="273" w:lineRule="auto" w:before="142"/>
              <w:ind w:left="100" w:right="200"/>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18"/>
                <w:sz w:val="21"/>
              </w:rPr>
              <w:t>》</w:t>
            </w:r>
            <w:r>
              <w:rPr>
                <w:sz w:val="21"/>
              </w:rPr>
              <w:t>（ICD-10） 确定。</w:t>
            </w:r>
          </w:p>
        </w:tc>
      </w:tr>
      <w:tr>
        <w:trPr>
          <w:trHeight w:val="3120" w:hRule="atLeast"/>
        </w:trPr>
        <w:tc>
          <w:tcPr>
            <w:tcW w:w="732" w:type="dxa"/>
          </w:tcPr>
          <w:p>
            <w:pPr>
              <w:pStyle w:val="TableParagraph"/>
              <w:spacing w:before="143"/>
              <w:ind w:right="107"/>
              <w:jc w:val="right"/>
              <w:rPr>
                <w:b/>
                <w:sz w:val="21"/>
              </w:rPr>
            </w:pPr>
            <w:r>
              <w:rPr>
                <w:b/>
                <w:w w:val="95"/>
                <w:sz w:val="21"/>
              </w:rPr>
              <w:t>7.17</w:t>
            </w:r>
          </w:p>
        </w:tc>
        <w:tc>
          <w:tcPr>
            <w:tcW w:w="1996" w:type="dxa"/>
          </w:tcPr>
          <w:p>
            <w:pPr>
              <w:pStyle w:val="TableParagraph"/>
              <w:spacing w:before="143"/>
              <w:ind w:left="109"/>
              <w:rPr>
                <w:b/>
                <w:sz w:val="21"/>
              </w:rPr>
            </w:pPr>
            <w:r>
              <w:rPr>
                <w:b/>
                <w:sz w:val="21"/>
              </w:rPr>
              <w:t>现金价值</w:t>
            </w:r>
          </w:p>
        </w:tc>
        <w:tc>
          <w:tcPr>
            <w:tcW w:w="7527" w:type="dxa"/>
          </w:tcPr>
          <w:p>
            <w:pPr>
              <w:pStyle w:val="TableParagraph"/>
              <w:spacing w:line="273" w:lineRule="auto" w:before="143"/>
              <w:ind w:left="100" w:right="306"/>
              <w:jc w:val="both"/>
              <w:rPr>
                <w:sz w:val="21"/>
              </w:rPr>
            </w:pPr>
            <w:r>
              <w:rPr>
                <w:spacing w:val="-6"/>
                <w:sz w:val="21"/>
              </w:rPr>
              <w:t>指本合同所具有的价值，通常体现为解除合同时，根据精算原理计算的，由我</w:t>
            </w:r>
            <w:r>
              <w:rPr>
                <w:spacing w:val="-4"/>
                <w:sz w:val="21"/>
              </w:rPr>
              <w:t>们退还的那部分金额。</w:t>
            </w:r>
          </w:p>
          <w:p>
            <w:pPr>
              <w:pStyle w:val="TableParagraph"/>
              <w:spacing w:before="5"/>
              <w:rPr>
                <w:sz w:val="24"/>
              </w:rPr>
            </w:pPr>
          </w:p>
          <w:p>
            <w:pPr>
              <w:pStyle w:val="TableParagraph"/>
              <w:spacing w:line="273" w:lineRule="auto" w:before="1"/>
              <w:ind w:left="100" w:right="304"/>
              <w:jc w:val="both"/>
              <w:rPr>
                <w:sz w:val="21"/>
              </w:rPr>
            </w:pPr>
            <w:r>
              <w:rPr>
                <w:spacing w:val="-1"/>
                <w:sz w:val="21"/>
              </w:rPr>
              <w:t>现金价值</w:t>
            </w:r>
            <w:r>
              <w:rPr>
                <w:spacing w:val="-3"/>
                <w:sz w:val="21"/>
              </w:rPr>
              <w:t>＝</w:t>
            </w:r>
            <w:r>
              <w:rPr>
                <w:spacing w:val="-5"/>
                <w:sz w:val="21"/>
              </w:rPr>
              <w:t>净保费×</w:t>
            </w:r>
            <w:r>
              <w:rPr>
                <w:spacing w:val="-12"/>
                <w:sz w:val="21"/>
              </w:rPr>
              <w:t>（1－</w:t>
            </w:r>
            <w:r>
              <w:rPr>
                <w:sz w:val="21"/>
              </w:rPr>
              <w:t>保险经过日数 /</w:t>
            </w:r>
            <w:r>
              <w:rPr>
                <w:spacing w:val="-1"/>
                <w:sz w:val="21"/>
              </w:rPr>
              <w:t> 保险期间的日数</w:t>
            </w:r>
            <w:r>
              <w:rPr>
                <w:spacing w:val="-74"/>
                <w:sz w:val="21"/>
              </w:rPr>
              <w:t>）</w:t>
            </w:r>
            <w:r>
              <w:rPr>
                <w:spacing w:val="-18"/>
                <w:sz w:val="21"/>
              </w:rPr>
              <w:t>，经过日数不足 </w:t>
            </w:r>
            <w:r>
              <w:rPr>
                <w:sz w:val="21"/>
              </w:rPr>
              <w:t>1 </w:t>
            </w:r>
            <w:r>
              <w:rPr>
                <w:spacing w:val="-14"/>
                <w:sz w:val="21"/>
              </w:rPr>
              <w:t>日的按 </w:t>
            </w:r>
            <w:r>
              <w:rPr>
                <w:sz w:val="21"/>
              </w:rPr>
              <w:t>1</w:t>
            </w:r>
            <w:r>
              <w:rPr>
                <w:spacing w:val="-12"/>
                <w:sz w:val="21"/>
              </w:rPr>
              <w:t> 日计算。</w:t>
            </w:r>
          </w:p>
          <w:p>
            <w:pPr>
              <w:pStyle w:val="TableParagraph"/>
              <w:spacing w:before="5"/>
              <w:rPr>
                <w:sz w:val="24"/>
              </w:rPr>
            </w:pPr>
          </w:p>
          <w:p>
            <w:pPr>
              <w:pStyle w:val="TableParagraph"/>
              <w:spacing w:line="273" w:lineRule="auto" w:before="1"/>
              <w:ind w:left="100" w:right="304"/>
              <w:jc w:val="both"/>
              <w:rPr>
                <w:sz w:val="21"/>
              </w:rPr>
            </w:pPr>
            <w:r>
              <w:rPr>
                <w:spacing w:val="-4"/>
                <w:sz w:val="21"/>
              </w:rPr>
              <w:t>净保费指您所支付的保险费扣除每张保险单平均承担的我们各项费用</w:t>
            </w:r>
            <w:r>
              <w:rPr>
                <w:spacing w:val="-3"/>
                <w:sz w:val="21"/>
              </w:rPr>
              <w:t>（</w:t>
            </w:r>
            <w:r>
              <w:rPr>
                <w:spacing w:val="-2"/>
                <w:sz w:val="21"/>
              </w:rPr>
              <w:t>含营业</w:t>
            </w:r>
            <w:r>
              <w:rPr>
                <w:spacing w:val="-5"/>
                <w:sz w:val="21"/>
              </w:rPr>
              <w:t>费用、代理费、各项税金、保险保障基金等</w:t>
            </w:r>
            <w:r>
              <w:rPr>
                <w:spacing w:val="-8"/>
                <w:sz w:val="21"/>
              </w:rPr>
              <w:t>）</w:t>
            </w:r>
            <w:r>
              <w:rPr>
                <w:spacing w:val="-4"/>
                <w:sz w:val="21"/>
              </w:rPr>
              <w:t>后的余额，扣除部分占所付保险</w:t>
            </w:r>
            <w:r>
              <w:rPr>
                <w:spacing w:val="-17"/>
                <w:sz w:val="21"/>
              </w:rPr>
              <w:t>费的 </w:t>
            </w:r>
            <w:r>
              <w:rPr>
                <w:sz w:val="21"/>
              </w:rPr>
              <w:t>35%。</w:t>
            </w:r>
          </w:p>
        </w:tc>
      </w:tr>
      <w:tr>
        <w:trPr>
          <w:trHeight w:val="730" w:hRule="atLeast"/>
        </w:trPr>
        <w:tc>
          <w:tcPr>
            <w:tcW w:w="732" w:type="dxa"/>
          </w:tcPr>
          <w:p>
            <w:pPr>
              <w:pStyle w:val="TableParagraph"/>
              <w:spacing w:before="142"/>
              <w:ind w:right="107"/>
              <w:jc w:val="right"/>
              <w:rPr>
                <w:b/>
                <w:sz w:val="21"/>
              </w:rPr>
            </w:pPr>
            <w:r>
              <w:rPr>
                <w:b/>
                <w:w w:val="95"/>
                <w:sz w:val="21"/>
              </w:rPr>
              <w:t>7.18</w:t>
            </w:r>
          </w:p>
        </w:tc>
        <w:tc>
          <w:tcPr>
            <w:tcW w:w="1996" w:type="dxa"/>
          </w:tcPr>
          <w:p>
            <w:pPr>
              <w:pStyle w:val="TableParagraph"/>
              <w:spacing w:before="142"/>
              <w:ind w:left="109"/>
              <w:rPr>
                <w:b/>
                <w:sz w:val="21"/>
              </w:rPr>
            </w:pPr>
            <w:r>
              <w:rPr>
                <w:b/>
                <w:sz w:val="21"/>
              </w:rPr>
              <w:t>有效身份证件</w:t>
            </w:r>
          </w:p>
        </w:tc>
        <w:tc>
          <w:tcPr>
            <w:tcW w:w="7527" w:type="dxa"/>
          </w:tcPr>
          <w:p>
            <w:pPr>
              <w:pStyle w:val="TableParagraph"/>
              <w:spacing w:line="310" w:lineRule="atLeast" w:before="107"/>
              <w:ind w:left="100" w:right="285"/>
              <w:rPr>
                <w:sz w:val="21"/>
              </w:rPr>
            </w:pPr>
            <w:r>
              <w:rPr>
                <w:sz w:val="21"/>
              </w:rPr>
              <w:t>指由政府主管部门规定的证明其身份的证件，如：居民身份证、按规定可使用的有效护照、军官证、武警警官证、士兵证等证件。</w:t>
            </w:r>
          </w:p>
        </w:tc>
      </w:tr>
    </w:tbl>
    <w:sectPr>
      <w:pgSz w:w="11910" w:h="16840"/>
      <w:pgMar w:top="1160" w:bottom="280" w:left="6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微软雅黑">
    <w:altName w:val="微软雅黑"/>
    <w:charset w:val="86"/>
    <w:family w:val="swiss"/>
    <w:pitch w:val="variable"/>
  </w:font>
  <w:font w:name="Calibri">
    <w:altName w:val="Calibri"/>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3" w:hanging="423"/>
        <w:jc w:val="left"/>
      </w:pPr>
      <w:rPr>
        <w:rFonts w:hint="default" w:ascii="黑体" w:hAnsi="黑体" w:eastAsia="黑体" w:cs="黑体"/>
        <w:w w:val="100"/>
        <w:sz w:val="21"/>
        <w:szCs w:val="21"/>
      </w:rPr>
    </w:lvl>
    <w:lvl w:ilvl="1">
      <w:start w:val="0"/>
      <w:numFmt w:val="bullet"/>
      <w:lvlText w:val="•"/>
      <w:lvlJc w:val="left"/>
      <w:pPr>
        <w:ind w:left="1259" w:hanging="423"/>
      </w:pPr>
      <w:rPr>
        <w:rFonts w:hint="default"/>
      </w:rPr>
    </w:lvl>
    <w:lvl w:ilvl="2">
      <w:start w:val="0"/>
      <w:numFmt w:val="bullet"/>
      <w:lvlText w:val="•"/>
      <w:lvlJc w:val="left"/>
      <w:pPr>
        <w:ind w:left="1939" w:hanging="423"/>
      </w:pPr>
      <w:rPr>
        <w:rFonts w:hint="default"/>
      </w:rPr>
    </w:lvl>
    <w:lvl w:ilvl="3">
      <w:start w:val="0"/>
      <w:numFmt w:val="bullet"/>
      <w:lvlText w:val="•"/>
      <w:lvlJc w:val="left"/>
      <w:pPr>
        <w:ind w:left="2619" w:hanging="423"/>
      </w:pPr>
      <w:rPr>
        <w:rFonts w:hint="default"/>
      </w:rPr>
    </w:lvl>
    <w:lvl w:ilvl="4">
      <w:start w:val="0"/>
      <w:numFmt w:val="bullet"/>
      <w:lvlText w:val="•"/>
      <w:lvlJc w:val="left"/>
      <w:pPr>
        <w:ind w:left="3298" w:hanging="423"/>
      </w:pPr>
      <w:rPr>
        <w:rFonts w:hint="default"/>
      </w:rPr>
    </w:lvl>
    <w:lvl w:ilvl="5">
      <w:start w:val="0"/>
      <w:numFmt w:val="bullet"/>
      <w:lvlText w:val="•"/>
      <w:lvlJc w:val="left"/>
      <w:pPr>
        <w:ind w:left="3978" w:hanging="423"/>
      </w:pPr>
      <w:rPr>
        <w:rFonts w:hint="default"/>
      </w:rPr>
    </w:lvl>
    <w:lvl w:ilvl="6">
      <w:start w:val="0"/>
      <w:numFmt w:val="bullet"/>
      <w:lvlText w:val="•"/>
      <w:lvlJc w:val="left"/>
      <w:pPr>
        <w:ind w:left="4658" w:hanging="423"/>
      </w:pPr>
      <w:rPr>
        <w:rFonts w:hint="default"/>
      </w:rPr>
    </w:lvl>
    <w:lvl w:ilvl="7">
      <w:start w:val="0"/>
      <w:numFmt w:val="bullet"/>
      <w:lvlText w:val="•"/>
      <w:lvlJc w:val="left"/>
      <w:pPr>
        <w:ind w:left="5337" w:hanging="423"/>
      </w:pPr>
      <w:rPr>
        <w:rFonts w:hint="default"/>
      </w:rPr>
    </w:lvl>
    <w:lvl w:ilvl="8">
      <w:start w:val="0"/>
      <w:numFmt w:val="bullet"/>
      <w:lvlText w:val="•"/>
      <w:lvlJc w:val="left"/>
      <w:pPr>
        <w:ind w:left="6017" w:hanging="423"/>
      </w:pPr>
      <w:rPr>
        <w:rFonts w:hint="default"/>
      </w:rPr>
    </w:lvl>
  </w:abstractNum>
  <w:abstractNum w:abstractNumId="0">
    <w:multiLevelType w:val="hybridMultilevel"/>
    <w:lvl w:ilvl="0">
      <w:start w:val="0"/>
      <w:numFmt w:val="bullet"/>
      <w:lvlText w:val=""/>
      <w:lvlJc w:val="left"/>
      <w:pPr>
        <w:ind w:left="1646" w:hanging="420"/>
      </w:pPr>
      <w:rPr>
        <w:rFonts w:hint="default" w:ascii="Wingdings" w:hAnsi="Wingdings" w:eastAsia="Wingdings" w:cs="Wingdings"/>
        <w:w w:val="100"/>
        <w:sz w:val="21"/>
        <w:szCs w:val="21"/>
      </w:rPr>
    </w:lvl>
    <w:lvl w:ilvl="1">
      <w:start w:val="0"/>
      <w:numFmt w:val="bullet"/>
      <w:lvlText w:val="•"/>
      <w:lvlJc w:val="left"/>
      <w:pPr>
        <w:ind w:left="2120" w:hanging="420"/>
      </w:pPr>
      <w:rPr>
        <w:rFonts w:hint="default"/>
      </w:rPr>
    </w:lvl>
    <w:lvl w:ilvl="2">
      <w:start w:val="0"/>
      <w:numFmt w:val="bullet"/>
      <w:lvlText w:val="•"/>
      <w:lvlJc w:val="left"/>
      <w:pPr>
        <w:ind w:left="2905" w:hanging="420"/>
      </w:pPr>
      <w:rPr>
        <w:rFonts w:hint="default"/>
      </w:rPr>
    </w:lvl>
    <w:lvl w:ilvl="3">
      <w:start w:val="0"/>
      <w:numFmt w:val="bullet"/>
      <w:lvlText w:val="•"/>
      <w:lvlJc w:val="left"/>
      <w:pPr>
        <w:ind w:left="3690" w:hanging="420"/>
      </w:pPr>
      <w:rPr>
        <w:rFonts w:hint="default"/>
      </w:rPr>
    </w:lvl>
    <w:lvl w:ilvl="4">
      <w:start w:val="0"/>
      <w:numFmt w:val="bullet"/>
      <w:lvlText w:val="•"/>
      <w:lvlJc w:val="left"/>
      <w:pPr>
        <w:ind w:left="4475" w:hanging="420"/>
      </w:pPr>
      <w:rPr>
        <w:rFonts w:hint="default"/>
      </w:rPr>
    </w:lvl>
    <w:lvl w:ilvl="5">
      <w:start w:val="0"/>
      <w:numFmt w:val="bullet"/>
      <w:lvlText w:val="•"/>
      <w:lvlJc w:val="left"/>
      <w:pPr>
        <w:ind w:left="5260" w:hanging="420"/>
      </w:pPr>
      <w:rPr>
        <w:rFonts w:hint="default"/>
      </w:rPr>
    </w:lvl>
    <w:lvl w:ilvl="6">
      <w:start w:val="0"/>
      <w:numFmt w:val="bullet"/>
      <w:lvlText w:val="•"/>
      <w:lvlJc w:val="left"/>
      <w:pPr>
        <w:ind w:left="6045" w:hanging="420"/>
      </w:pPr>
      <w:rPr>
        <w:rFonts w:hint="default"/>
      </w:rPr>
    </w:lvl>
    <w:lvl w:ilvl="7">
      <w:start w:val="0"/>
      <w:numFmt w:val="bullet"/>
      <w:lvlText w:val="•"/>
      <w:lvlJc w:val="left"/>
      <w:pPr>
        <w:ind w:left="6830" w:hanging="420"/>
      </w:pPr>
      <w:rPr>
        <w:rFonts w:hint="default"/>
      </w:rPr>
    </w:lvl>
    <w:lvl w:ilvl="8">
      <w:start w:val="0"/>
      <w:numFmt w:val="bullet"/>
      <w:lvlText w:val="•"/>
      <w:lvlJc w:val="left"/>
      <w:pPr>
        <w:ind w:left="7616"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862"/>
    </w:pPr>
    <w:rPr>
      <w:rFonts w:ascii="宋体" w:hAnsi="宋体" w:eastAsia="宋体" w:cs="宋体"/>
      <w:sz w:val="21"/>
      <w:szCs w:val="21"/>
    </w:rPr>
  </w:style>
  <w:style w:styleId="Heading1" w:type="paragraph">
    <w:name w:val="Heading 1"/>
    <w:basedOn w:val="Normal"/>
    <w:uiPriority w:val="1"/>
    <w:qFormat/>
    <w:pPr>
      <w:ind w:left="3005"/>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862"/>
      <w:outlineLvl w:val="2"/>
    </w:pPr>
    <w:rPr>
      <w:rFonts w:ascii="宋体" w:hAnsi="宋体" w:eastAsia="宋体" w:cs="宋体"/>
      <w:b/>
      <w:bCs/>
      <w:sz w:val="21"/>
      <w:szCs w:val="21"/>
    </w:rPr>
  </w:style>
  <w:style w:styleId="ListParagraph" w:type="paragraph">
    <w:name w:val="List Paragraph"/>
    <w:basedOn w:val="Normal"/>
    <w:uiPriority w:val="1"/>
    <w:qFormat/>
    <w:pPr>
      <w:spacing w:before="209"/>
      <w:ind w:left="1646" w:hanging="420"/>
    </w:pPr>
    <w:rPr>
      <w:rFonts w:ascii="仿宋" w:hAnsi="仿宋" w:eastAsia="仿宋" w:cs="仿宋"/>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2018-10-20T08:08:16Z</dcterms:created>
  <dcterms:modified xsi:type="dcterms:W3CDTF">2018-10-20T08:08:16Z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2016-10-31T00:00:00Z</vt:filetime>
  </property>
  <property fmtid="{D5CDD505-2E9C-101B-9397-08002B2CF9AE}" pid="3" name="Creator">
    <vt:lpwstr>Microsoft® Word 2010</vt:lpwstr>
  </property>
  <property fmtid="{D5CDD505-2E9C-101B-9397-08002B2CF9AE}" pid="4" name="LastSaved">
    <vt:filetime>2018-10-20T00:00:00Z</vt:filetime>
  </property>
</Properties>
</file>