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33"/>
        </w:rPr>
      </w:pPr>
    </w:p>
    <w:p>
      <w:pPr>
        <w:spacing w:before="0"/>
        <w:ind w:left="363" w:right="0" w:firstLine="0"/>
        <w:jc w:val="left"/>
        <w:rPr>
          <w:b/>
          <w:sz w:val="32"/>
        </w:rPr>
      </w:pPr>
      <w:r>
        <w:rPr>
          <w:b/>
          <w:color w:val="003F7E"/>
          <w:w w:val="95"/>
          <w:sz w:val="32"/>
        </w:rPr>
        <w:t>中美联泰大都会人寿保险有限公司</w:t>
      </w:r>
    </w:p>
    <w:p>
      <w:pPr>
        <w:spacing w:before="75"/>
        <w:ind w:left="382" w:right="0" w:firstLine="0"/>
        <w:jc w:val="left"/>
        <w:rPr>
          <w:b/>
          <w:sz w:val="24"/>
        </w:rPr>
      </w:pPr>
      <w:r>
        <w:rPr>
          <w:b/>
          <w:sz w:val="24"/>
        </w:rPr>
        <w:t>附加乐悠人生提前给付长期重大疾病保险（A</w:t>
      </w:r>
      <w:r>
        <w:rPr>
          <w:b/>
          <w:spacing w:val="-40"/>
          <w:sz w:val="24"/>
        </w:rPr>
        <w:t> 款</w:t>
      </w:r>
      <w:r>
        <w:rPr>
          <w:b/>
          <w:sz w:val="24"/>
        </w:rPr>
        <w:t>）条款</w:t>
      </w:r>
    </w:p>
    <w:p>
      <w:pPr>
        <w:spacing w:before="132"/>
        <w:ind w:left="382" w:right="0" w:firstLine="0"/>
        <w:jc w:val="left"/>
        <w:rPr>
          <w:sz w:val="16"/>
        </w:rPr>
      </w:pPr>
      <w:r>
        <w:rPr>
          <w:sz w:val="16"/>
        </w:rPr>
        <w:t>中美联泰大都会人寿保险有限公司（以下简称“我们”）</w:t>
      </w:r>
    </w:p>
    <w:p>
      <w:pPr>
        <w:pStyle w:val="Heading2"/>
        <w:spacing w:before="18"/>
      </w:pPr>
      <w:r>
        <w:rPr/>
        <w:br w:type="column"/>
      </w:r>
      <w:r>
        <w:rPr/>
        <w:t>中美联泰大都会[2011]疾病保险 172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spacing w:before="0"/>
        <w:ind w:left="259" w:right="383" w:firstLine="0"/>
        <w:jc w:val="center"/>
        <w:rPr>
          <w:sz w:val="20"/>
        </w:rPr>
      </w:pPr>
      <w:r>
        <w:rPr/>
        <w:drawing>
          <wp:anchor distT="0" distB="0" distL="0" distR="0" allowOverlap="1" layoutInCell="1" locked="0" behindDoc="1" simplePos="0" relativeHeight="268419839">
            <wp:simplePos x="0" y="0"/>
            <wp:positionH relativeFrom="page">
              <wp:posOffset>5380036</wp:posOffset>
            </wp:positionH>
            <wp:positionV relativeFrom="paragraph">
              <wp:posOffset>-697043</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860" w:bottom="940" w:left="880" w:right="720"/>
          <w:cols w:num="2" w:equalWidth="0">
            <w:col w:w="6088" w:space="40"/>
            <w:col w:w="4182"/>
          </w:cols>
        </w:sect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1"/>
        <w:ind w:left="1754" w:right="1772" w:firstLine="0"/>
        <w:jc w:val="center"/>
        <w:rPr>
          <w:b/>
          <w:sz w:val="28"/>
        </w:rPr>
      </w:pPr>
      <w:r>
        <w:rPr>
          <w:b/>
          <w:sz w:val="28"/>
        </w:rPr>
        <w:t>阅 读 指 南</w:t>
      </w:r>
    </w:p>
    <w:p>
      <w:pPr>
        <w:pStyle w:val="Heading1"/>
        <w:spacing w:line="463" w:lineRule="auto" w:before="128"/>
        <w:ind w:left="1756" w:right="1772"/>
        <w:jc w:val="center"/>
      </w:pPr>
      <w:r>
        <w:rPr/>
        <w:t>本阅读指南为帮助您理解本条款而设，对保险合同内容的解释以条款为准您拥有的重要权利</w:t>
      </w:r>
    </w:p>
    <w:p>
      <w:pPr>
        <w:spacing w:before="60"/>
        <w:ind w:left="538" w:right="0" w:firstLine="0"/>
        <w:jc w:val="left"/>
        <w:rPr>
          <w:sz w:val="21"/>
        </w:rPr>
      </w:pPr>
      <w:r>
        <w:rPr>
          <w:sz w:val="21"/>
        </w:rPr>
        <w:t>您有权解除保险合同</w:t>
      </w:r>
    </w:p>
    <w:p>
      <w:pPr>
        <w:spacing w:line="357" w:lineRule="auto" w:before="133"/>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pStyle w:val="Heading1"/>
        <w:spacing w:before="152"/>
        <w:ind w:left="1756" w:right="1772"/>
        <w:jc w:val="center"/>
      </w:pPr>
      <w:r>
        <w:rPr/>
        <w:t>您应当特别注意的事项</w:t>
      </w:r>
    </w:p>
    <w:p>
      <w:pPr>
        <w:pStyle w:val="BodyText"/>
        <w:spacing w:before="3"/>
        <w:ind w:left="0"/>
        <w:rPr>
          <w:b/>
          <w:sz w:val="19"/>
        </w:rPr>
      </w:pPr>
    </w:p>
    <w:p>
      <w:pPr>
        <w:spacing w:line="357" w:lineRule="auto" w:before="1"/>
        <w:ind w:left="538" w:right="208" w:hanging="1"/>
        <w:jc w:val="left"/>
        <w:rPr>
          <w:sz w:val="21"/>
        </w:rPr>
      </w:pPr>
      <w:r>
        <w:rPr>
          <w:sz w:val="21"/>
        </w:rPr>
        <w:t>在特定情况下，我们不承担保险责任，并作了显著标识，请您注意...........第四、五、十二、十三条解除合同会给您造成一定的损失，请您慎重抉择...........................第十二条</w:t>
      </w:r>
    </w:p>
    <w:p>
      <w:pPr>
        <w:spacing w:before="30"/>
        <w:ind w:left="539"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2"/>
        <w:gridCol w:w="1011"/>
        <w:gridCol w:w="493"/>
        <w:gridCol w:w="1088"/>
        <w:gridCol w:w="2677"/>
      </w:tblGrid>
      <w:tr>
        <w:trPr>
          <w:trHeight w:val="437" w:hRule="atLeast"/>
        </w:trPr>
        <w:tc>
          <w:tcPr>
            <w:tcW w:w="3655" w:type="dxa"/>
            <w:gridSpan w:val="2"/>
          </w:tcPr>
          <w:p>
            <w:pPr>
              <w:pStyle w:val="TableParagraph"/>
              <w:rPr>
                <w:rFonts w:ascii="Times New Roman"/>
                <w:sz w:val="20"/>
              </w:rPr>
            </w:pPr>
          </w:p>
        </w:tc>
        <w:tc>
          <w:tcPr>
            <w:tcW w:w="1011" w:type="dxa"/>
          </w:tcPr>
          <w:p>
            <w:pPr>
              <w:pStyle w:val="TableParagraph"/>
              <w:spacing w:line="281" w:lineRule="exact"/>
              <w:ind w:left="657"/>
              <w:rPr>
                <w:b/>
                <w:sz w:val="28"/>
              </w:rPr>
            </w:pPr>
            <w:r>
              <w:rPr>
                <w:b/>
                <w:w w:val="99"/>
                <w:sz w:val="28"/>
              </w:rPr>
              <w:t>目</w:t>
            </w:r>
          </w:p>
        </w:tc>
        <w:tc>
          <w:tcPr>
            <w:tcW w:w="493" w:type="dxa"/>
          </w:tcPr>
          <w:p>
            <w:pPr>
              <w:pStyle w:val="TableParagraph"/>
              <w:spacing w:line="281" w:lineRule="exact"/>
              <w:ind w:left="68"/>
              <w:rPr>
                <w:b/>
                <w:sz w:val="28"/>
              </w:rPr>
            </w:pPr>
            <w:r>
              <w:rPr>
                <w:b/>
                <w:w w:val="99"/>
                <w:sz w:val="28"/>
              </w:rPr>
              <w:t>录</w:t>
            </w:r>
          </w:p>
        </w:tc>
        <w:tc>
          <w:tcPr>
            <w:tcW w:w="3765" w:type="dxa"/>
            <w:gridSpan w:val="2"/>
          </w:tcPr>
          <w:p>
            <w:pPr>
              <w:pStyle w:val="TableParagraph"/>
              <w:rPr>
                <w:rFonts w:ascii="Times New Roman"/>
                <w:sz w:val="20"/>
              </w:rPr>
            </w:pPr>
          </w:p>
        </w:tc>
      </w:tr>
      <w:tr>
        <w:trPr>
          <w:trHeight w:val="466" w:hRule="atLeast"/>
        </w:trPr>
        <w:tc>
          <w:tcPr>
            <w:tcW w:w="893" w:type="dxa"/>
          </w:tcPr>
          <w:p>
            <w:pPr>
              <w:pStyle w:val="TableParagraph"/>
              <w:spacing w:before="93"/>
              <w:ind w:left="50"/>
              <w:rPr>
                <w:sz w:val="21"/>
              </w:rPr>
            </w:pPr>
            <w:hyperlink w:history="true" w:anchor="_bookmark0">
              <w:r>
                <w:rPr>
                  <w:sz w:val="21"/>
                </w:rPr>
                <w:t>第一条</w:t>
              </w:r>
            </w:hyperlink>
          </w:p>
        </w:tc>
        <w:tc>
          <w:tcPr>
            <w:tcW w:w="2762" w:type="dxa"/>
          </w:tcPr>
          <w:p>
            <w:pPr>
              <w:pStyle w:val="TableParagraph"/>
              <w:spacing w:before="93"/>
              <w:ind w:left="208"/>
              <w:rPr>
                <w:sz w:val="21"/>
              </w:rPr>
            </w:pPr>
            <w:hyperlink w:history="true" w:anchor="_bookmark0">
              <w:r>
                <w:rPr>
                  <w:sz w:val="21"/>
                </w:rPr>
                <w:t>附加保险合同的构成</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93"/>
              <w:ind w:left="138"/>
              <w:rPr>
                <w:sz w:val="21"/>
              </w:rPr>
            </w:pPr>
            <w:hyperlink w:history="true" w:anchor="_bookmark7">
              <w:r>
                <w:rPr>
                  <w:sz w:val="21"/>
                </w:rPr>
                <w:t>第八条</w:t>
              </w:r>
            </w:hyperlink>
          </w:p>
        </w:tc>
        <w:tc>
          <w:tcPr>
            <w:tcW w:w="2677" w:type="dxa"/>
          </w:tcPr>
          <w:p>
            <w:pPr>
              <w:pStyle w:val="TableParagraph"/>
              <w:spacing w:before="93"/>
              <w:ind w:left="101"/>
              <w:rPr>
                <w:sz w:val="21"/>
              </w:rPr>
            </w:pPr>
            <w:hyperlink w:history="true" w:anchor="_bookmark7">
              <w:r>
                <w:rPr>
                  <w:sz w:val="21"/>
                </w:rPr>
                <w:t>受益人</w:t>
              </w:r>
            </w:hyperlink>
          </w:p>
        </w:tc>
      </w:tr>
      <w:tr>
        <w:trPr>
          <w:trHeight w:val="409" w:hRule="atLeast"/>
        </w:trPr>
        <w:tc>
          <w:tcPr>
            <w:tcW w:w="893" w:type="dxa"/>
          </w:tcPr>
          <w:p>
            <w:pPr>
              <w:pStyle w:val="TableParagraph"/>
              <w:spacing w:before="34"/>
              <w:ind w:left="50"/>
              <w:rPr>
                <w:sz w:val="21"/>
              </w:rPr>
            </w:pPr>
            <w:hyperlink w:history="true" w:anchor="_bookmark1">
              <w:r>
                <w:rPr>
                  <w:sz w:val="21"/>
                </w:rPr>
                <w:t>第二条</w:t>
              </w:r>
            </w:hyperlink>
          </w:p>
        </w:tc>
        <w:tc>
          <w:tcPr>
            <w:tcW w:w="2762" w:type="dxa"/>
          </w:tcPr>
          <w:p>
            <w:pPr>
              <w:pStyle w:val="TableParagraph"/>
              <w:spacing w:before="34"/>
              <w:ind w:left="208"/>
              <w:rPr>
                <w:sz w:val="21"/>
              </w:rPr>
            </w:pPr>
            <w:hyperlink w:history="true" w:anchor="_bookmark1">
              <w:r>
                <w:rPr>
                  <w:sz w:val="21"/>
                </w:rPr>
                <w:t>保险合同成立与生效</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8">
              <w:r>
                <w:rPr>
                  <w:sz w:val="21"/>
                </w:rPr>
                <w:t>第九条</w:t>
              </w:r>
            </w:hyperlink>
          </w:p>
        </w:tc>
        <w:tc>
          <w:tcPr>
            <w:tcW w:w="2677" w:type="dxa"/>
          </w:tcPr>
          <w:p>
            <w:pPr>
              <w:pStyle w:val="TableParagraph"/>
              <w:spacing w:before="34"/>
              <w:ind w:left="101"/>
              <w:rPr>
                <w:sz w:val="21"/>
              </w:rPr>
            </w:pPr>
            <w:hyperlink w:history="true" w:anchor="_bookmark8">
              <w:r>
                <w:rPr>
                  <w:sz w:val="21"/>
                </w:rPr>
                <w:t>保险金申请</w:t>
              </w:r>
            </w:hyperlink>
          </w:p>
        </w:tc>
      </w:tr>
      <w:tr>
        <w:trPr>
          <w:trHeight w:val="410" w:hRule="atLeast"/>
        </w:trPr>
        <w:tc>
          <w:tcPr>
            <w:tcW w:w="893" w:type="dxa"/>
          </w:tcPr>
          <w:p>
            <w:pPr>
              <w:pStyle w:val="TableParagraph"/>
              <w:spacing w:before="36"/>
              <w:ind w:left="50"/>
              <w:rPr>
                <w:sz w:val="21"/>
              </w:rPr>
            </w:pPr>
            <w:hyperlink w:history="true" w:anchor="_bookmark2">
              <w:r>
                <w:rPr>
                  <w:sz w:val="21"/>
                </w:rPr>
                <w:t>第三条</w:t>
              </w:r>
            </w:hyperlink>
          </w:p>
        </w:tc>
        <w:tc>
          <w:tcPr>
            <w:tcW w:w="2762" w:type="dxa"/>
          </w:tcPr>
          <w:p>
            <w:pPr>
              <w:pStyle w:val="TableParagraph"/>
              <w:spacing w:before="36"/>
              <w:ind w:left="208"/>
              <w:rPr>
                <w:sz w:val="21"/>
              </w:rPr>
            </w:pPr>
            <w:hyperlink w:history="true" w:anchor="_bookmark2">
              <w:r>
                <w:rPr>
                  <w:sz w:val="21"/>
                </w:rPr>
                <w:t>承保范围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9">
              <w:r>
                <w:rPr>
                  <w:sz w:val="21"/>
                </w:rPr>
                <w:t>第十条</w:t>
              </w:r>
            </w:hyperlink>
          </w:p>
        </w:tc>
        <w:tc>
          <w:tcPr>
            <w:tcW w:w="2677" w:type="dxa"/>
          </w:tcPr>
          <w:p>
            <w:pPr>
              <w:pStyle w:val="TableParagraph"/>
              <w:spacing w:before="36"/>
              <w:ind w:left="101"/>
              <w:rPr>
                <w:sz w:val="21"/>
              </w:rPr>
            </w:pPr>
            <w:hyperlink w:history="true" w:anchor="_bookmark9">
              <w:r>
                <w:rPr>
                  <w:sz w:val="21"/>
                </w:rPr>
                <w:t>诉讼时效</w:t>
              </w:r>
            </w:hyperlink>
          </w:p>
        </w:tc>
      </w:tr>
      <w:tr>
        <w:trPr>
          <w:trHeight w:val="409" w:hRule="atLeast"/>
        </w:trPr>
        <w:tc>
          <w:tcPr>
            <w:tcW w:w="893" w:type="dxa"/>
          </w:tcPr>
          <w:p>
            <w:pPr>
              <w:pStyle w:val="TableParagraph"/>
              <w:spacing w:before="36"/>
              <w:ind w:left="50"/>
              <w:rPr>
                <w:sz w:val="21"/>
              </w:rPr>
            </w:pPr>
            <w:hyperlink w:history="true" w:anchor="_bookmark3">
              <w:r>
                <w:rPr>
                  <w:sz w:val="21"/>
                </w:rPr>
                <w:t>第四条</w:t>
              </w:r>
            </w:hyperlink>
          </w:p>
        </w:tc>
        <w:tc>
          <w:tcPr>
            <w:tcW w:w="2762" w:type="dxa"/>
          </w:tcPr>
          <w:p>
            <w:pPr>
              <w:pStyle w:val="TableParagraph"/>
              <w:spacing w:before="36"/>
              <w:ind w:left="208"/>
              <w:rPr>
                <w:sz w:val="21"/>
              </w:rPr>
            </w:pPr>
            <w:hyperlink w:history="true" w:anchor="_bookmark3">
              <w:r>
                <w:rPr>
                  <w:sz w:val="21"/>
                </w:rPr>
                <w:t>保险责任</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10">
              <w:r>
                <w:rPr>
                  <w:sz w:val="21"/>
                </w:rPr>
                <w:t>第十一条</w:t>
              </w:r>
            </w:hyperlink>
          </w:p>
        </w:tc>
        <w:tc>
          <w:tcPr>
            <w:tcW w:w="2677" w:type="dxa"/>
          </w:tcPr>
          <w:p>
            <w:pPr>
              <w:pStyle w:val="TableParagraph"/>
              <w:spacing w:before="36"/>
              <w:ind w:left="310"/>
              <w:rPr>
                <w:sz w:val="21"/>
              </w:rPr>
            </w:pPr>
            <w:hyperlink w:history="true" w:anchor="_bookmark10">
              <w:r>
                <w:rPr>
                  <w:sz w:val="21"/>
                </w:rPr>
                <w:t>合同终止</w:t>
              </w:r>
            </w:hyperlink>
          </w:p>
        </w:tc>
      </w:tr>
      <w:tr>
        <w:trPr>
          <w:trHeight w:val="409" w:hRule="atLeast"/>
        </w:trPr>
        <w:tc>
          <w:tcPr>
            <w:tcW w:w="893" w:type="dxa"/>
          </w:tcPr>
          <w:p>
            <w:pPr>
              <w:pStyle w:val="TableParagraph"/>
              <w:spacing w:before="34"/>
              <w:ind w:left="50"/>
              <w:rPr>
                <w:sz w:val="21"/>
              </w:rPr>
            </w:pPr>
            <w:hyperlink w:history="true" w:anchor="_bookmark4">
              <w:r>
                <w:rPr>
                  <w:sz w:val="21"/>
                </w:rPr>
                <w:t>第五条</w:t>
              </w:r>
            </w:hyperlink>
          </w:p>
        </w:tc>
        <w:tc>
          <w:tcPr>
            <w:tcW w:w="2762" w:type="dxa"/>
          </w:tcPr>
          <w:p>
            <w:pPr>
              <w:pStyle w:val="TableParagraph"/>
              <w:spacing w:before="34"/>
              <w:ind w:left="208"/>
              <w:rPr>
                <w:sz w:val="21"/>
              </w:rPr>
            </w:pPr>
            <w:hyperlink w:history="true" w:anchor="_bookmark4">
              <w:r>
                <w:rPr>
                  <w:sz w:val="21"/>
                </w:rPr>
                <w:t>责任免除</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11">
              <w:r>
                <w:rPr>
                  <w:sz w:val="21"/>
                </w:rPr>
                <w:t>第十二条</w:t>
              </w:r>
            </w:hyperlink>
          </w:p>
        </w:tc>
        <w:tc>
          <w:tcPr>
            <w:tcW w:w="2677" w:type="dxa"/>
          </w:tcPr>
          <w:p>
            <w:pPr>
              <w:pStyle w:val="TableParagraph"/>
              <w:spacing w:before="34"/>
              <w:ind w:left="310"/>
              <w:rPr>
                <w:sz w:val="21"/>
              </w:rPr>
            </w:pPr>
            <w:hyperlink w:history="true" w:anchor="_bookmark11">
              <w:r>
                <w:rPr>
                  <w:sz w:val="21"/>
                </w:rPr>
                <w:t>您解除合同的手续及风险</w:t>
              </w:r>
            </w:hyperlink>
          </w:p>
        </w:tc>
      </w:tr>
      <w:tr>
        <w:trPr>
          <w:trHeight w:val="410" w:hRule="atLeast"/>
        </w:trPr>
        <w:tc>
          <w:tcPr>
            <w:tcW w:w="893" w:type="dxa"/>
          </w:tcPr>
          <w:p>
            <w:pPr>
              <w:pStyle w:val="TableParagraph"/>
              <w:spacing w:before="36"/>
              <w:ind w:left="50"/>
              <w:rPr>
                <w:sz w:val="21"/>
              </w:rPr>
            </w:pPr>
            <w:hyperlink w:history="true" w:anchor="_bookmark5">
              <w:r>
                <w:rPr>
                  <w:sz w:val="21"/>
                </w:rPr>
                <w:t>第六条</w:t>
              </w:r>
            </w:hyperlink>
          </w:p>
        </w:tc>
        <w:tc>
          <w:tcPr>
            <w:tcW w:w="2762" w:type="dxa"/>
          </w:tcPr>
          <w:p>
            <w:pPr>
              <w:pStyle w:val="TableParagraph"/>
              <w:spacing w:before="36"/>
              <w:ind w:left="208"/>
              <w:rPr>
                <w:sz w:val="21"/>
              </w:rPr>
            </w:pPr>
            <w:hyperlink w:history="true" w:anchor="_bookmark5">
              <w:r>
                <w:rPr>
                  <w:sz w:val="21"/>
                </w:rPr>
                <w:t>保险期间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12">
              <w:r>
                <w:rPr>
                  <w:sz w:val="21"/>
                </w:rPr>
                <w:t>第十三条</w:t>
              </w:r>
            </w:hyperlink>
          </w:p>
        </w:tc>
        <w:tc>
          <w:tcPr>
            <w:tcW w:w="2677" w:type="dxa"/>
          </w:tcPr>
          <w:p>
            <w:pPr>
              <w:pStyle w:val="TableParagraph"/>
              <w:spacing w:before="36"/>
              <w:ind w:left="310"/>
              <w:rPr>
                <w:sz w:val="21"/>
              </w:rPr>
            </w:pPr>
            <w:hyperlink w:history="true" w:anchor="_bookmark12">
              <w:r>
                <w:rPr>
                  <w:sz w:val="21"/>
                </w:rPr>
                <w:t>重大疾病的释义</w:t>
              </w:r>
            </w:hyperlink>
          </w:p>
        </w:tc>
      </w:tr>
      <w:tr>
        <w:trPr>
          <w:trHeight w:val="310" w:hRule="atLeast"/>
        </w:trPr>
        <w:tc>
          <w:tcPr>
            <w:tcW w:w="893" w:type="dxa"/>
          </w:tcPr>
          <w:p>
            <w:pPr>
              <w:pStyle w:val="TableParagraph"/>
              <w:spacing w:line="255" w:lineRule="exact" w:before="36"/>
              <w:ind w:left="50"/>
              <w:rPr>
                <w:sz w:val="21"/>
              </w:rPr>
            </w:pPr>
            <w:hyperlink w:history="true" w:anchor="_bookmark6">
              <w:r>
                <w:rPr>
                  <w:sz w:val="21"/>
                </w:rPr>
                <w:t>第七条</w:t>
              </w:r>
            </w:hyperlink>
          </w:p>
        </w:tc>
        <w:tc>
          <w:tcPr>
            <w:tcW w:w="2762" w:type="dxa"/>
          </w:tcPr>
          <w:p>
            <w:pPr>
              <w:pStyle w:val="TableParagraph"/>
              <w:spacing w:line="255" w:lineRule="exact" w:before="36"/>
              <w:ind w:left="208"/>
              <w:rPr>
                <w:sz w:val="21"/>
              </w:rPr>
            </w:pPr>
            <w:hyperlink w:history="true" w:anchor="_bookmark6">
              <w:r>
                <w:rPr>
                  <w:sz w:val="21"/>
                </w:rPr>
                <w:t>保险费率的调整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line="255" w:lineRule="exact" w:before="36"/>
              <w:ind w:left="138"/>
              <w:rPr>
                <w:sz w:val="21"/>
              </w:rPr>
            </w:pPr>
            <w:hyperlink w:history="true" w:anchor="_bookmark13">
              <w:r>
                <w:rPr>
                  <w:sz w:val="21"/>
                </w:rPr>
                <w:t>第十四条</w:t>
              </w:r>
            </w:hyperlink>
          </w:p>
        </w:tc>
        <w:tc>
          <w:tcPr>
            <w:tcW w:w="2677" w:type="dxa"/>
          </w:tcPr>
          <w:p>
            <w:pPr>
              <w:pStyle w:val="TableParagraph"/>
              <w:spacing w:line="255" w:lineRule="exact" w:before="36"/>
              <w:ind w:left="310"/>
              <w:rPr>
                <w:sz w:val="21"/>
              </w:rPr>
            </w:pPr>
            <w:hyperlink w:history="true" w:anchor="_bookmark13">
              <w:r>
                <w:rPr>
                  <w:sz w:val="21"/>
                </w:rPr>
                <w:t>释义</w:t>
              </w:r>
            </w:hyperlink>
          </w:p>
        </w:tc>
      </w:tr>
    </w:tbl>
    <w:p>
      <w:pPr>
        <w:spacing w:after="0" w:line="255" w:lineRule="exact"/>
        <w:rPr>
          <w:sz w:val="21"/>
        </w:rPr>
        <w:sectPr>
          <w:type w:val="continuous"/>
          <w:pgSz w:w="11910" w:h="16840"/>
          <w:pgMar w:top="86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5" w:hanging="650"/>
        <w:jc w:val="both"/>
        <w:rPr>
          <w:sz w:val="18"/>
        </w:rPr>
      </w:pPr>
      <w:r>
        <w:rPr>
          <w:sz w:val="18"/>
        </w:rPr>
        <w:t>本《附加乐悠人生提前给付长期重大疾病保险（A</w:t>
      </w:r>
      <w:r>
        <w:rPr>
          <w:spacing w:val="-4"/>
          <w:sz w:val="18"/>
        </w:rPr>
        <w:t> 款</w:t>
      </w:r>
      <w:r>
        <w:rPr>
          <w:sz w:val="18"/>
        </w:rPr>
        <w:t>）》合同（以下简称“本附加合同”）必须附加于我们提供选择的人身保险合同</w:t>
      </w:r>
      <w:r>
        <w:rPr>
          <w:spacing w:val="2"/>
          <w:sz w:val="18"/>
        </w:rPr>
        <w:t>（</w:t>
      </w:r>
      <w:r>
        <w:rPr>
          <w:sz w:val="18"/>
        </w:rPr>
        <w:t>以下简称“主合同”）。如投保人（以下简称“您”）申请投保本附加合同，经我们审核同意后，可订立本附加合同。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3"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55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5"/>
        <w:jc w:val="left"/>
        <w:rPr>
          <w:rFonts w:ascii="Arial" w:eastAsia="Arial"/>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numPr>
          <w:ilvl w:val="3"/>
          <w:numId w:val="3"/>
        </w:numPr>
        <w:tabs>
          <w:tab w:pos="2238" w:val="left" w:leader="none"/>
        </w:tabs>
        <w:spacing w:line="340" w:lineRule="auto" w:before="106" w:after="0"/>
        <w:ind w:left="2237" w:right="172" w:hanging="708"/>
        <w:jc w:val="left"/>
        <w:rPr>
          <w:rFonts w:ascii="Arial" w:eastAsia="Arial"/>
        </w:rPr>
      </w:pPr>
      <w:r>
        <w:rPr>
          <w:w w:val="95"/>
        </w:rPr>
        <w:t>在本附加合同保险期间内，若被保险人于等待期（见释义）内因疾病导致被保险人首次发病并经专科   医生（见释义）首次确诊患有本附加合同约定的重大疾病（见释义）中一项或多项，我们将无息返还</w:t>
      </w:r>
    </w:p>
    <w:p>
      <w:pPr>
        <w:spacing w:before="38"/>
        <w:ind w:left="2237" w:right="0" w:firstLine="0"/>
        <w:jc w:val="left"/>
        <w:rPr>
          <w:b/>
          <w:sz w:val="18"/>
        </w:rPr>
      </w:pPr>
      <w:r>
        <w:rPr>
          <w:b/>
          <w:sz w:val="18"/>
        </w:rPr>
        <w:t>《乐悠人生两全保险（A 款）（分红型）》及本附加合同所交保险费的总和，《乐悠人生两全保险</w:t>
      </w:r>
    </w:p>
    <w:p>
      <w:pPr>
        <w:spacing w:before="116"/>
        <w:ind w:left="2237" w:right="0" w:firstLine="0"/>
        <w:jc w:val="left"/>
        <w:rPr>
          <w:b/>
          <w:sz w:val="18"/>
        </w:rPr>
      </w:pPr>
      <w:r>
        <w:rPr>
          <w:b/>
          <w:sz w:val="18"/>
        </w:rPr>
        <w:t>（A 款）（分红型）》及本附加合同同时终止。</w:t>
      </w:r>
    </w:p>
    <w:p>
      <w:pPr>
        <w:pStyle w:val="ListParagraph"/>
        <w:numPr>
          <w:ilvl w:val="3"/>
          <w:numId w:val="3"/>
        </w:numPr>
        <w:tabs>
          <w:tab w:pos="2238" w:val="left" w:leader="none"/>
        </w:tabs>
        <w:spacing w:line="348" w:lineRule="auto" w:before="116" w:after="0"/>
        <w:ind w:left="2237" w:right="172" w:hanging="708"/>
        <w:jc w:val="both"/>
        <w:rPr>
          <w:rFonts w:ascii="Arial" w:eastAsia="Arial"/>
          <w:sz w:val="18"/>
        </w:rPr>
      </w:pPr>
      <w:r>
        <w:rPr>
          <w:sz w:val="18"/>
        </w:rPr>
        <w:t>在本附加合同保险期间内，若被保险人因</w:t>
      </w:r>
      <w:r>
        <w:rPr>
          <w:b/>
          <w:sz w:val="18"/>
        </w:rPr>
        <w:t>意外伤害事故</w:t>
      </w:r>
      <w:r>
        <w:rPr>
          <w:sz w:val="18"/>
        </w:rPr>
        <w:t>（见释义）或于等待期后因疾病导致被保险人首次发病并经专科医生首次确诊患有本附加合同约定的重大疾病中一项或多项，我们将按以下二项中的金额较大者给付重大疾病保险金，本附加合同终止。</w:t>
      </w:r>
    </w:p>
    <w:p>
      <w:pPr>
        <w:pStyle w:val="ListParagraph"/>
        <w:numPr>
          <w:ilvl w:val="4"/>
          <w:numId w:val="3"/>
        </w:numPr>
        <w:tabs>
          <w:tab w:pos="2632" w:val="left" w:leader="none"/>
        </w:tabs>
        <w:spacing w:line="240" w:lineRule="auto" w:before="35" w:after="0"/>
        <w:ind w:left="2631" w:right="0" w:hanging="351"/>
        <w:jc w:val="left"/>
        <w:rPr>
          <w:sz w:val="18"/>
        </w:rPr>
      </w:pPr>
      <w:r>
        <w:rPr>
          <w:w w:val="95"/>
          <w:sz w:val="18"/>
        </w:rPr>
        <w:t>本附加合同所载的基本保险金额；</w:t>
      </w:r>
    </w:p>
    <w:p>
      <w:pPr>
        <w:pStyle w:val="ListParagraph"/>
        <w:numPr>
          <w:ilvl w:val="4"/>
          <w:numId w:val="3"/>
        </w:numPr>
        <w:tabs>
          <w:tab w:pos="2632" w:val="left" w:leader="none"/>
        </w:tabs>
        <w:spacing w:line="348" w:lineRule="auto" w:before="106" w:after="0"/>
        <w:ind w:left="2631" w:right="166" w:hanging="351"/>
        <w:jc w:val="both"/>
        <w:rPr>
          <w:sz w:val="18"/>
        </w:rPr>
      </w:pPr>
      <w:r>
        <w:rPr>
          <w:sz w:val="18"/>
        </w:rPr>
        <w:t>本附加合同所载的基本保险金额所对应的《乐悠人生两全保险（A</w:t>
      </w:r>
      <w:r>
        <w:rPr>
          <w:spacing w:val="-7"/>
          <w:sz w:val="18"/>
        </w:rPr>
        <w:t> 款</w:t>
      </w:r>
      <w:r>
        <w:rPr>
          <w:sz w:val="18"/>
        </w:rPr>
        <w:t>）（分红型）</w:t>
      </w:r>
      <w:r>
        <w:rPr>
          <w:spacing w:val="-1"/>
          <w:sz w:val="18"/>
        </w:rPr>
        <w:t>》和本附加合</w:t>
      </w:r>
      <w:r>
        <w:rPr>
          <w:sz w:val="18"/>
        </w:rPr>
        <w:t>同的累计已交保险费之和扣除由于被保险人从事的职业或其健康状况等因素而导致增加的保险</w:t>
      </w:r>
      <w:r>
        <w:rPr>
          <w:w w:val="95"/>
          <w:sz w:val="18"/>
        </w:rPr>
        <w:t>费后的余额。</w:t>
      </w:r>
    </w:p>
    <w:p>
      <w:pPr>
        <w:pStyle w:val="ListParagraph"/>
        <w:numPr>
          <w:ilvl w:val="2"/>
          <w:numId w:val="3"/>
        </w:numPr>
        <w:tabs>
          <w:tab w:pos="1552" w:val="left" w:leader="none"/>
        </w:tabs>
        <w:spacing w:line="240" w:lineRule="auto" w:before="38" w:after="0"/>
        <w:ind w:left="1551" w:right="0" w:hanging="480"/>
        <w:jc w:val="left"/>
        <w:rPr>
          <w:sz w:val="18"/>
        </w:rPr>
      </w:pPr>
      <w:r>
        <w:rPr>
          <w:sz w:val="18"/>
        </w:rPr>
        <w:t>额外给付保险金</w:t>
      </w:r>
    </w:p>
    <w:p>
      <w:pPr>
        <w:pStyle w:val="BodyText"/>
        <w:spacing w:line="357" w:lineRule="auto" w:before="106"/>
        <w:ind w:left="1551" w:right="164" w:hanging="1"/>
        <w:jc w:val="both"/>
      </w:pPr>
      <w:r>
        <w:rPr/>
        <w:t>在本附加合同保险期间内，若被保险人因意外伤害事故或于等待期后因疾病导致被保险人首次发病并经专科医生首次确诊患有本附加合同约定的以下四项疾病中的一项或多项，我们将按本附加合同所载的基本保险金</w:t>
      </w:r>
      <w:r>
        <w:rPr>
          <w:spacing w:val="-16"/>
        </w:rPr>
        <w:t>额的 </w:t>
      </w:r>
      <w:r>
        <w:rPr>
          <w:rFonts w:ascii="Arial" w:eastAsia="Arial"/>
        </w:rPr>
        <w:t>10%</w:t>
      </w:r>
      <w:r>
        <w:rPr>
          <w:spacing w:val="-1"/>
        </w:rPr>
        <w:t>给付额外给付保险金，此后我们将不再承担给付额外给付保险金的责任。</w:t>
      </w:r>
    </w:p>
    <w:p>
      <w:pPr>
        <w:pStyle w:val="ListParagraph"/>
        <w:numPr>
          <w:ilvl w:val="0"/>
          <w:numId w:val="4"/>
        </w:numPr>
        <w:tabs>
          <w:tab w:pos="1955" w:val="left" w:leader="none"/>
        </w:tabs>
        <w:spacing w:line="240" w:lineRule="auto" w:before="5" w:after="0"/>
        <w:ind w:left="1954" w:right="0" w:hanging="403"/>
        <w:jc w:val="both"/>
        <w:rPr>
          <w:sz w:val="18"/>
        </w:rPr>
      </w:pPr>
      <w:r>
        <w:rPr>
          <w:b/>
          <w:w w:val="95"/>
          <w:sz w:val="18"/>
        </w:rPr>
        <w:t>冠状动脉手术成型术</w:t>
      </w:r>
      <w:r>
        <w:rPr>
          <w:w w:val="95"/>
          <w:sz w:val="18"/>
        </w:rPr>
        <w:t>（</w:t>
      </w:r>
      <w:r>
        <w:rPr>
          <w:spacing w:val="-1"/>
          <w:w w:val="95"/>
          <w:sz w:val="18"/>
        </w:rPr>
        <w:t>见释义</w:t>
      </w:r>
      <w:r>
        <w:rPr>
          <w:w w:val="95"/>
          <w:sz w:val="18"/>
        </w:rPr>
        <w:t>）；</w:t>
      </w:r>
    </w:p>
    <w:p>
      <w:pPr>
        <w:pStyle w:val="ListParagraph"/>
        <w:numPr>
          <w:ilvl w:val="0"/>
          <w:numId w:val="4"/>
        </w:numPr>
        <w:tabs>
          <w:tab w:pos="1955" w:val="left" w:leader="none"/>
        </w:tabs>
        <w:spacing w:line="240" w:lineRule="auto" w:before="106" w:after="0"/>
        <w:ind w:left="1954" w:right="0" w:hanging="403"/>
        <w:jc w:val="both"/>
        <w:rPr>
          <w:sz w:val="18"/>
        </w:rPr>
      </w:pPr>
      <w:r>
        <w:rPr>
          <w:b/>
          <w:w w:val="95"/>
          <w:sz w:val="18"/>
        </w:rPr>
        <w:t>冠状动脉粥样斑块切除术</w:t>
      </w:r>
      <w:r>
        <w:rPr>
          <w:w w:val="95"/>
          <w:sz w:val="18"/>
        </w:rPr>
        <w:t>（</w:t>
      </w:r>
      <w:r>
        <w:rPr>
          <w:spacing w:val="-2"/>
          <w:w w:val="95"/>
          <w:sz w:val="18"/>
        </w:rPr>
        <w:t>见释义</w:t>
      </w:r>
      <w:r>
        <w:rPr>
          <w:b/>
          <w:w w:val="95"/>
          <w:sz w:val="18"/>
        </w:rPr>
        <w:t>）</w:t>
      </w:r>
      <w:r>
        <w:rPr>
          <w:w w:val="95"/>
          <w:sz w:val="18"/>
        </w:rPr>
        <w:t>；</w:t>
      </w:r>
    </w:p>
    <w:p>
      <w:pPr>
        <w:pStyle w:val="ListParagraph"/>
        <w:numPr>
          <w:ilvl w:val="0"/>
          <w:numId w:val="4"/>
        </w:numPr>
        <w:tabs>
          <w:tab w:pos="1955" w:val="left" w:leader="none"/>
        </w:tabs>
        <w:spacing w:line="240" w:lineRule="auto" w:before="106" w:after="0"/>
        <w:ind w:left="1954" w:right="0" w:hanging="403"/>
        <w:jc w:val="both"/>
        <w:rPr>
          <w:sz w:val="18"/>
        </w:rPr>
      </w:pPr>
      <w:r>
        <w:rPr>
          <w:b/>
          <w:w w:val="95"/>
          <w:sz w:val="18"/>
        </w:rPr>
        <w:t>原位癌</w:t>
      </w:r>
      <w:r>
        <w:rPr>
          <w:w w:val="95"/>
          <w:sz w:val="18"/>
        </w:rPr>
        <w:t>（见释义）；</w:t>
      </w:r>
    </w:p>
    <w:p>
      <w:pPr>
        <w:pStyle w:val="ListParagraph"/>
        <w:numPr>
          <w:ilvl w:val="0"/>
          <w:numId w:val="4"/>
        </w:numPr>
        <w:tabs>
          <w:tab w:pos="1955" w:val="left" w:leader="none"/>
        </w:tabs>
        <w:spacing w:line="240" w:lineRule="auto" w:before="106" w:after="0"/>
        <w:ind w:left="1954" w:right="0" w:hanging="403"/>
        <w:jc w:val="both"/>
        <w:rPr>
          <w:sz w:val="18"/>
        </w:rPr>
      </w:pPr>
      <w:r>
        <w:rPr>
          <w:b/>
          <w:w w:val="95"/>
          <w:sz w:val="18"/>
        </w:rPr>
        <w:t>重度烧伤</w:t>
      </w:r>
      <w:r>
        <w:rPr>
          <w:w w:val="95"/>
          <w:sz w:val="18"/>
        </w:rPr>
        <w:t>（见释义）。</w:t>
      </w:r>
    </w:p>
    <w:p>
      <w:pPr>
        <w:pStyle w:val="ListParagraph"/>
        <w:numPr>
          <w:ilvl w:val="1"/>
          <w:numId w:val="3"/>
        </w:numPr>
        <w:tabs>
          <w:tab w:pos="1102" w:val="left" w:leader="none"/>
          <w:tab w:pos="1103" w:val="left" w:leader="none"/>
        </w:tabs>
        <w:spacing w:line="240" w:lineRule="auto" w:before="106" w:after="0"/>
        <w:ind w:left="1102" w:right="0" w:hanging="545"/>
        <w:jc w:val="left"/>
        <w:rPr>
          <w:rFonts w:ascii="Arial" w:eastAsia="Arial"/>
          <w:sz w:val="18"/>
        </w:rPr>
      </w:pPr>
      <w:r>
        <w:rPr>
          <w:sz w:val="18"/>
        </w:rPr>
        <w:t>我们给付重大疾病保险金后，本附加合同终止，主合同的基本保险金额和保险费将按以下情形之一办理：</w:t>
      </w:r>
    </w:p>
    <w:p>
      <w:pPr>
        <w:pStyle w:val="ListParagraph"/>
        <w:numPr>
          <w:ilvl w:val="2"/>
          <w:numId w:val="3"/>
        </w:numPr>
        <w:tabs>
          <w:tab w:pos="1672" w:val="left" w:leader="none"/>
        </w:tabs>
        <w:spacing w:line="340" w:lineRule="auto" w:before="106" w:after="0"/>
        <w:ind w:left="1671" w:right="172" w:hanging="600"/>
        <w:jc w:val="left"/>
        <w:rPr>
          <w:sz w:val="18"/>
        </w:rPr>
      </w:pPr>
      <w:r>
        <w:rPr>
          <w:sz w:val="18"/>
        </w:rPr>
        <w:t>若本附加合同已给付的重大疾病保险金等于以下二项中的金额较大者，《乐悠人生两全保险（</w:t>
      </w:r>
      <w:r>
        <w:rPr>
          <w:rFonts w:ascii="Arial" w:eastAsia="Arial"/>
          <w:sz w:val="18"/>
        </w:rPr>
        <w:t>A</w:t>
      </w:r>
      <w:r>
        <w:rPr>
          <w:rFonts w:ascii="Arial" w:eastAsia="Arial"/>
          <w:spacing w:val="46"/>
          <w:sz w:val="18"/>
        </w:rPr>
        <w:t> </w:t>
      </w:r>
      <w:r>
        <w:rPr>
          <w:sz w:val="18"/>
        </w:rPr>
        <w:t>款）（分红型）》的效力同时终止；</w:t>
      </w:r>
    </w:p>
    <w:p>
      <w:pPr>
        <w:pStyle w:val="ListParagraph"/>
        <w:numPr>
          <w:ilvl w:val="0"/>
          <w:numId w:val="5"/>
        </w:numPr>
        <w:tabs>
          <w:tab w:pos="2095" w:val="left" w:leader="none"/>
          <w:tab w:pos="2097" w:val="left" w:leader="none"/>
        </w:tabs>
        <w:spacing w:line="240" w:lineRule="auto" w:before="41" w:after="0"/>
        <w:ind w:left="2151" w:right="0" w:hanging="480"/>
        <w:jc w:val="left"/>
        <w:rPr>
          <w:sz w:val="18"/>
        </w:rPr>
      </w:pPr>
      <w:r>
        <w:rPr>
          <w:sz w:val="18"/>
        </w:rPr>
        <w:t>《乐悠人生两全保险（</w:t>
      </w:r>
      <w:r>
        <w:rPr>
          <w:rFonts w:ascii="Arial" w:eastAsia="Arial"/>
          <w:sz w:val="18"/>
        </w:rPr>
        <w:t>A</w:t>
      </w:r>
      <w:r>
        <w:rPr>
          <w:rFonts w:ascii="Arial" w:eastAsia="Arial"/>
          <w:spacing w:val="-11"/>
          <w:sz w:val="18"/>
        </w:rPr>
        <w:t> </w:t>
      </w:r>
      <w:r>
        <w:rPr>
          <w:sz w:val="18"/>
        </w:rPr>
        <w:t>款）（分红型）》所载的基本保险金额；</w:t>
      </w:r>
    </w:p>
    <w:p>
      <w:pPr>
        <w:spacing w:after="0" w:line="240" w:lineRule="auto"/>
        <w:jc w:val="left"/>
        <w:rPr>
          <w:sz w:val="18"/>
        </w:rPr>
        <w:sectPr>
          <w:headerReference w:type="default" r:id="rId7"/>
          <w:pgSz w:w="11910" w:h="16840"/>
          <w:pgMar w:header="672" w:footer="759" w:top="860" w:bottom="940" w:left="880" w:right="680"/>
        </w:sectPr>
      </w:pPr>
    </w:p>
    <w:p>
      <w:pPr>
        <w:pStyle w:val="BodyText"/>
        <w:spacing w:before="9"/>
        <w:ind w:left="0"/>
        <w:rPr>
          <w:sz w:val="13"/>
        </w:rPr>
      </w:pPr>
    </w:p>
    <w:p>
      <w:pPr>
        <w:pStyle w:val="ListParagraph"/>
        <w:numPr>
          <w:ilvl w:val="0"/>
          <w:numId w:val="5"/>
        </w:numPr>
        <w:tabs>
          <w:tab w:pos="2151" w:val="left" w:leader="none"/>
          <w:tab w:pos="2152" w:val="left" w:leader="none"/>
        </w:tabs>
        <w:spacing w:line="340" w:lineRule="auto" w:before="53" w:after="0"/>
        <w:ind w:left="2151" w:right="106" w:hanging="480"/>
        <w:jc w:val="left"/>
        <w:rPr>
          <w:sz w:val="18"/>
        </w:rPr>
      </w:pPr>
      <w:r>
        <w:rPr>
          <w:sz w:val="18"/>
        </w:rPr>
        <w:t>当时已交《乐悠人生两全保险（</w:t>
      </w:r>
      <w:r>
        <w:rPr>
          <w:rFonts w:ascii="Arial" w:eastAsia="Arial"/>
          <w:sz w:val="18"/>
        </w:rPr>
        <w:t>A</w:t>
      </w:r>
      <w:r>
        <w:rPr>
          <w:rFonts w:ascii="Arial" w:eastAsia="Arial"/>
          <w:spacing w:val="40"/>
          <w:sz w:val="18"/>
        </w:rPr>
        <w:t> </w:t>
      </w:r>
      <w:r>
        <w:rPr>
          <w:sz w:val="18"/>
        </w:rPr>
        <w:t>款）（分红型）》以及本附加合同保险费的总和扣除由于被保险人</w:t>
      </w:r>
      <w:r>
        <w:rPr>
          <w:w w:val="95"/>
          <w:sz w:val="18"/>
        </w:rPr>
        <w:t>从事的职业或其健康状况等因素而导致增加的保险费后的余额。</w:t>
      </w:r>
    </w:p>
    <w:p>
      <w:pPr>
        <w:pStyle w:val="ListParagraph"/>
        <w:numPr>
          <w:ilvl w:val="2"/>
          <w:numId w:val="3"/>
        </w:numPr>
        <w:tabs>
          <w:tab w:pos="1672" w:val="left" w:leader="none"/>
        </w:tabs>
        <w:spacing w:line="348" w:lineRule="auto" w:before="41" w:after="0"/>
        <w:ind w:left="1671" w:right="112" w:hanging="600"/>
        <w:jc w:val="both"/>
        <w:rPr>
          <w:sz w:val="18"/>
        </w:rPr>
      </w:pPr>
      <w:r>
        <w:rPr>
          <w:sz w:val="18"/>
        </w:rPr>
        <w:t>若本附加合同已给付的重大疾病保险金低于以下二项中的金额较大者，《乐悠人生两全保险（</w:t>
      </w:r>
      <w:r>
        <w:rPr>
          <w:rFonts w:ascii="Arial" w:eastAsia="Arial"/>
          <w:sz w:val="18"/>
        </w:rPr>
        <w:t>A</w:t>
      </w:r>
      <w:r>
        <w:rPr>
          <w:rFonts w:ascii="Arial" w:eastAsia="Arial"/>
          <w:spacing w:val="46"/>
          <w:sz w:val="18"/>
        </w:rPr>
        <w:t> </w:t>
      </w:r>
      <w:r>
        <w:rPr>
          <w:sz w:val="18"/>
        </w:rPr>
        <w:t>款）（分红型）》所载的基本保险金额变更为其原基本保险金额扣除本附加合同已给付的重大疾病保险金后的余额。主合同的保险费将按被保险人投保年龄的费率，自下一应交费日起按变更后的基本保险金额交付。</w:t>
      </w:r>
    </w:p>
    <w:p>
      <w:pPr>
        <w:pStyle w:val="ListParagraph"/>
        <w:numPr>
          <w:ilvl w:val="0"/>
          <w:numId w:val="6"/>
        </w:numPr>
        <w:tabs>
          <w:tab w:pos="2095" w:val="left" w:leader="none"/>
          <w:tab w:pos="2096" w:val="left" w:leader="none"/>
        </w:tabs>
        <w:spacing w:line="240" w:lineRule="auto" w:before="36" w:after="0"/>
        <w:ind w:left="2151" w:right="0" w:hanging="480"/>
        <w:jc w:val="left"/>
        <w:rPr>
          <w:sz w:val="18"/>
        </w:rPr>
      </w:pPr>
      <w:r>
        <w:rPr>
          <w:sz w:val="18"/>
        </w:rPr>
        <w:t>《乐悠人生两全保险（</w:t>
      </w:r>
      <w:r>
        <w:rPr>
          <w:rFonts w:ascii="Arial" w:eastAsia="Arial"/>
          <w:sz w:val="18"/>
        </w:rPr>
        <w:t>A</w:t>
      </w:r>
      <w:r>
        <w:rPr>
          <w:rFonts w:ascii="Arial" w:eastAsia="Arial"/>
          <w:spacing w:val="-11"/>
          <w:sz w:val="18"/>
        </w:rPr>
        <w:t> </w:t>
      </w:r>
      <w:r>
        <w:rPr>
          <w:sz w:val="18"/>
        </w:rPr>
        <w:t>款）（分红型）》所载的基本保险金额；</w:t>
      </w:r>
    </w:p>
    <w:p>
      <w:pPr>
        <w:pStyle w:val="ListParagraph"/>
        <w:numPr>
          <w:ilvl w:val="0"/>
          <w:numId w:val="6"/>
        </w:numPr>
        <w:tabs>
          <w:tab w:pos="2151" w:val="left" w:leader="none"/>
          <w:tab w:pos="2152" w:val="left" w:leader="none"/>
        </w:tabs>
        <w:spacing w:line="340" w:lineRule="auto" w:before="106" w:after="0"/>
        <w:ind w:left="2151" w:right="106" w:hanging="480"/>
        <w:jc w:val="left"/>
        <w:rPr>
          <w:sz w:val="18"/>
        </w:rPr>
      </w:pPr>
      <w:r>
        <w:rPr>
          <w:sz w:val="18"/>
        </w:rPr>
        <w:t>当时已交《乐悠人生两全保险（</w:t>
      </w:r>
      <w:r>
        <w:rPr>
          <w:rFonts w:ascii="Arial" w:eastAsia="Arial"/>
          <w:sz w:val="18"/>
        </w:rPr>
        <w:t>A</w:t>
      </w:r>
      <w:r>
        <w:rPr>
          <w:rFonts w:ascii="Arial" w:eastAsia="Arial"/>
          <w:spacing w:val="40"/>
          <w:sz w:val="18"/>
        </w:rPr>
        <w:t> </w:t>
      </w:r>
      <w:r>
        <w:rPr>
          <w:sz w:val="18"/>
        </w:rPr>
        <w:t>款）（分红型）》以及本附加合同保险费的总和扣除由于被保险人</w:t>
      </w:r>
      <w:r>
        <w:rPr>
          <w:w w:val="95"/>
          <w:sz w:val="18"/>
        </w:rPr>
        <w:t>从事的职业或其健康状况等因素而导致增加的保险费后的余额。</w:t>
      </w:r>
    </w:p>
    <w:p>
      <w:pPr>
        <w:pStyle w:val="Heading3"/>
        <w:numPr>
          <w:ilvl w:val="1"/>
          <w:numId w:val="3"/>
        </w:numPr>
        <w:tabs>
          <w:tab w:pos="1102" w:val="left" w:leader="none"/>
          <w:tab w:pos="1103" w:val="left" w:leader="none"/>
        </w:tabs>
        <w:spacing w:line="240" w:lineRule="auto" w:before="41" w:after="0"/>
        <w:ind w:left="1102" w:right="0" w:hanging="545"/>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7"/>
        </w:numPr>
        <w:tabs>
          <w:tab w:pos="1047" w:val="left" w:leader="none"/>
          <w:tab w:pos="1048" w:val="left" w:leader="none"/>
        </w:tabs>
        <w:spacing w:line="240" w:lineRule="auto" w:before="141"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7"/>
        </w:numPr>
        <w:tabs>
          <w:tab w:pos="1672" w:val="left" w:leader="none"/>
        </w:tabs>
        <w:spacing w:line="240" w:lineRule="auto" w:before="104" w:after="0"/>
        <w:ind w:left="1671" w:right="0" w:hanging="569"/>
        <w:jc w:val="left"/>
        <w:rPr>
          <w:b/>
          <w:sz w:val="18"/>
        </w:rPr>
      </w:pPr>
      <w:r>
        <w:rPr>
          <w:b/>
          <w:w w:val="95"/>
          <w:sz w:val="18"/>
        </w:rPr>
        <w:t>您对被保险人的故意杀害、故意伤害；</w:t>
      </w:r>
    </w:p>
    <w:p>
      <w:pPr>
        <w:pStyle w:val="ListParagraph"/>
        <w:numPr>
          <w:ilvl w:val="2"/>
          <w:numId w:val="7"/>
        </w:numPr>
        <w:tabs>
          <w:tab w:pos="1672" w:val="left" w:leader="none"/>
        </w:tabs>
        <w:spacing w:line="240" w:lineRule="auto" w:before="107" w:after="0"/>
        <w:ind w:left="1671" w:right="0" w:hanging="569"/>
        <w:jc w:val="left"/>
        <w:rPr>
          <w:b/>
          <w:sz w:val="18"/>
        </w:rPr>
      </w:pPr>
      <w:r>
        <w:rPr>
          <w:b/>
          <w:w w:val="95"/>
          <w:sz w:val="18"/>
        </w:rPr>
        <w:t>被保险人故意自伤、故意犯罪或者抗拒依法采取的刑事强制措施；</w:t>
      </w:r>
    </w:p>
    <w:p>
      <w:pPr>
        <w:pStyle w:val="ListParagraph"/>
        <w:numPr>
          <w:ilvl w:val="2"/>
          <w:numId w:val="7"/>
        </w:numPr>
        <w:tabs>
          <w:tab w:pos="1672" w:val="left" w:leader="none"/>
        </w:tabs>
        <w:spacing w:line="240" w:lineRule="auto" w:before="107" w:after="0"/>
        <w:ind w:left="1671" w:right="0" w:hanging="569"/>
        <w:jc w:val="left"/>
        <w:rPr>
          <w:b/>
          <w:sz w:val="18"/>
        </w:rPr>
      </w:pPr>
      <w:r>
        <w:rPr>
          <w:b/>
          <w:w w:val="95"/>
          <w:sz w:val="18"/>
        </w:rPr>
        <w:t>被保险人主动吸食或注射毒品（见释义）；</w:t>
      </w:r>
    </w:p>
    <w:p>
      <w:pPr>
        <w:pStyle w:val="ListParagraph"/>
        <w:numPr>
          <w:ilvl w:val="2"/>
          <w:numId w:val="7"/>
        </w:numPr>
        <w:tabs>
          <w:tab w:pos="1672" w:val="left" w:leader="none"/>
        </w:tabs>
        <w:spacing w:line="340" w:lineRule="auto" w:before="107" w:after="0"/>
        <w:ind w:left="1671" w:right="11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7"/>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7"/>
        </w:numPr>
        <w:tabs>
          <w:tab w:pos="1672" w:val="left" w:leader="none"/>
        </w:tabs>
        <w:spacing w:line="240" w:lineRule="auto" w:before="106" w:after="0"/>
        <w:ind w:left="1671" w:right="0" w:hanging="567"/>
        <w:jc w:val="left"/>
        <w:rPr>
          <w:b/>
          <w:sz w:val="18"/>
        </w:rPr>
      </w:pPr>
      <w:r>
        <w:rPr>
          <w:b/>
          <w:w w:val="95"/>
          <w:sz w:val="18"/>
        </w:rPr>
        <w:t>核爆炸、核辐射或核污染；</w:t>
      </w:r>
    </w:p>
    <w:p>
      <w:pPr>
        <w:pStyle w:val="ListParagraph"/>
        <w:numPr>
          <w:ilvl w:val="2"/>
          <w:numId w:val="7"/>
        </w:numPr>
        <w:tabs>
          <w:tab w:pos="1672" w:val="left" w:leader="none"/>
        </w:tabs>
        <w:spacing w:line="340" w:lineRule="auto" w:before="106" w:after="0"/>
        <w:ind w:left="1671" w:right="103" w:hanging="567"/>
        <w:jc w:val="left"/>
        <w:rPr>
          <w:b/>
          <w:sz w:val="18"/>
        </w:rPr>
      </w:pPr>
      <w:r>
        <w:rPr>
          <w:b/>
          <w:spacing w:val="2"/>
          <w:sz w:val="18"/>
        </w:rPr>
        <w:t>被保险人感染艾滋病病毒或患艾滋病（见释义</w:t>
      </w:r>
      <w:r>
        <w:rPr>
          <w:b/>
          <w:spacing w:val="1"/>
          <w:sz w:val="18"/>
        </w:rPr>
        <w:t>）（</w:t>
      </w:r>
      <w:r>
        <w:rPr>
          <w:b/>
          <w:spacing w:val="2"/>
          <w:sz w:val="18"/>
        </w:rPr>
        <w:t>急诊和医疗服务导致的艾滋病病毒感染（见重大疾病释</w:t>
      </w:r>
      <w:r>
        <w:rPr>
          <w:b/>
          <w:w w:val="95"/>
          <w:sz w:val="18"/>
        </w:rPr>
        <w:t>义）、由输血而感染艾滋病病毒（见重大疾病释义）除外）；</w:t>
      </w:r>
    </w:p>
    <w:p>
      <w:pPr>
        <w:pStyle w:val="ListParagraph"/>
        <w:numPr>
          <w:ilvl w:val="2"/>
          <w:numId w:val="7"/>
        </w:numPr>
        <w:tabs>
          <w:tab w:pos="1672" w:val="left" w:leader="none"/>
        </w:tabs>
        <w:spacing w:line="340" w:lineRule="auto" w:before="41" w:after="0"/>
        <w:ind w:left="1671" w:right="112" w:hanging="567"/>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1"/>
          <w:numId w:val="7"/>
        </w:numPr>
        <w:tabs>
          <w:tab w:pos="1047" w:val="left" w:leader="none"/>
          <w:tab w:pos="1048" w:val="left" w:leader="none"/>
        </w:tabs>
        <w:spacing w:line="338" w:lineRule="auto" w:before="44" w:after="0"/>
        <w:ind w:left="1047" w:right="10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7"/>
        </w:numPr>
        <w:tabs>
          <w:tab w:pos="1047" w:val="left" w:leader="none"/>
          <w:tab w:pos="1048" w:val="left" w:leader="none"/>
        </w:tabs>
        <w:spacing w:line="340" w:lineRule="auto" w:before="45" w:after="0"/>
        <w:ind w:left="1047" w:right="111" w:hanging="504"/>
        <w:jc w:val="left"/>
        <w:rPr>
          <w:rFonts w:ascii="Arial" w:eastAsia="Arial"/>
          <w:sz w:val="18"/>
        </w:rPr>
      </w:pPr>
      <w:r>
        <w:rPr>
          <w:spacing w:val="-7"/>
          <w:sz w:val="18"/>
        </w:rPr>
        <w:t>发生上述除 </w:t>
      </w:r>
      <w:r>
        <w:rPr>
          <w:rFonts w:ascii="Arial" w:eastAsia="Arial"/>
          <w:sz w:val="18"/>
        </w:rPr>
        <w:t>5.1.1</w:t>
      </w:r>
      <w:r>
        <w:rPr>
          <w:rFonts w:ascii="Arial" w:eastAsia="Arial"/>
          <w:spacing w:val="-10"/>
          <w:sz w:val="18"/>
        </w:rPr>
        <w:t> </w:t>
      </w:r>
      <w:r>
        <w:rPr>
          <w:spacing w:val="-1"/>
          <w:sz w:val="18"/>
        </w:rPr>
        <w:t>外其他情形导致被保险人发生疾病、达到疾病状态或进行手术的，本附加合同终止，我们向您退还本附加合同的现金价值。</w:t>
      </w:r>
    </w:p>
    <w:p>
      <w:pPr>
        <w:pStyle w:val="Heading1"/>
        <w:spacing w:before="39"/>
      </w:pPr>
      <w:bookmarkStart w:name="_bookmark5" w:id="6"/>
      <w:bookmarkEnd w:id="6"/>
      <w:r>
        <w:rPr>
          <w:b w:val="0"/>
        </w:rPr>
      </w:r>
      <w:r>
        <w:rPr/>
        <w:t>第六条 保险期间</w:t>
      </w:r>
    </w:p>
    <w:p>
      <w:pPr>
        <w:pStyle w:val="BodyText"/>
        <w:tabs>
          <w:tab w:pos="1104" w:val="left" w:leader="none"/>
        </w:tabs>
        <w:spacing w:before="139"/>
        <w:ind w:left="538"/>
      </w:pPr>
      <w:r>
        <w:rPr>
          <w:rFonts w:ascii="Arial" w:eastAsia="Arial"/>
        </w:rPr>
        <w:t>6.1</w:t>
        <w:tab/>
      </w:r>
      <w:r>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8"/>
        </w:numPr>
        <w:tabs>
          <w:tab w:pos="1104" w:val="left" w:leader="none"/>
          <w:tab w:pos="1105" w:val="left" w:leader="none"/>
        </w:tabs>
        <w:spacing w:line="340" w:lineRule="auto" w:before="139" w:after="0"/>
        <w:ind w:left="1105" w:right="105" w:hanging="567"/>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8"/>
        </w:numPr>
        <w:tabs>
          <w:tab w:pos="1102" w:val="left" w:leader="none"/>
          <w:tab w:pos="1103" w:val="left" w:leader="none"/>
        </w:tabs>
        <w:spacing w:line="240" w:lineRule="auto" w:before="44"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8"/>
        </w:numPr>
        <w:tabs>
          <w:tab w:pos="1102" w:val="left" w:leader="none"/>
          <w:tab w:pos="1103" w:val="left" w:leader="none"/>
        </w:tabs>
        <w:spacing w:line="240" w:lineRule="auto" w:before="104" w:after="0"/>
        <w:ind w:left="1102" w:right="0" w:hanging="564"/>
        <w:jc w:val="left"/>
        <w:rPr>
          <w:sz w:val="18"/>
        </w:rPr>
      </w:pPr>
      <w:r>
        <w:rPr>
          <w:sz w:val="18"/>
        </w:rPr>
        <w:t>若本附加合同保险费率发生调整，我们将及时通知您。</w:t>
      </w:r>
    </w:p>
    <w:p>
      <w:pPr>
        <w:pStyle w:val="Heading1"/>
      </w:pPr>
      <w:bookmarkStart w:name="_bookmark7" w:id="8"/>
      <w:bookmarkEnd w:id="8"/>
      <w:r>
        <w:rPr>
          <w:b w:val="0"/>
        </w:rPr>
      </w:r>
      <w:r>
        <w:rPr/>
        <w:t>第八条 受益人</w:t>
      </w:r>
    </w:p>
    <w:p>
      <w:pPr>
        <w:pStyle w:val="ListParagraph"/>
        <w:numPr>
          <w:ilvl w:val="1"/>
          <w:numId w:val="9"/>
        </w:numPr>
        <w:tabs>
          <w:tab w:pos="1243" w:val="left" w:leader="none"/>
          <w:tab w:pos="1245" w:val="left" w:leader="none"/>
        </w:tabs>
        <w:spacing w:line="240" w:lineRule="auto" w:before="142" w:after="0"/>
        <w:ind w:left="1244" w:right="0" w:hanging="682"/>
        <w:jc w:val="left"/>
        <w:rPr>
          <w:sz w:val="18"/>
        </w:rPr>
      </w:pPr>
      <w:r>
        <w:rPr>
          <w:sz w:val="18"/>
        </w:rPr>
        <w:t>除本附加合同另有约定外，重大疾病保险金、额外给付保险金受益人为被保险人本人。</w:t>
      </w:r>
    </w:p>
    <w:p>
      <w:pPr>
        <w:pStyle w:val="ListParagraph"/>
        <w:numPr>
          <w:ilvl w:val="1"/>
          <w:numId w:val="9"/>
        </w:numPr>
        <w:tabs>
          <w:tab w:pos="1243" w:val="left" w:leader="none"/>
          <w:tab w:pos="1245" w:val="left" w:leader="none"/>
        </w:tabs>
        <w:spacing w:line="240" w:lineRule="auto" w:before="107"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9"/>
        </w:numPr>
        <w:tabs>
          <w:tab w:pos="1243" w:val="left" w:leader="none"/>
          <w:tab w:pos="1245" w:val="left" w:leader="none"/>
        </w:tabs>
        <w:spacing w:line="240" w:lineRule="auto" w:before="104"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9"/>
        </w:numPr>
        <w:tabs>
          <w:tab w:pos="1243" w:val="left" w:leader="none"/>
          <w:tab w:pos="1245" w:val="left" w:leader="none"/>
        </w:tabs>
        <w:spacing w:line="340" w:lineRule="auto" w:before="106"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9"/>
        </w:numPr>
        <w:tabs>
          <w:tab w:pos="1243" w:val="left" w:leader="none"/>
          <w:tab w:pos="1245" w:val="left" w:leader="none"/>
        </w:tabs>
        <w:spacing w:line="240" w:lineRule="auto" w:before="43" w:after="0"/>
        <w:ind w:left="1244" w:right="0" w:hanging="682"/>
        <w:jc w:val="left"/>
        <w:rPr>
          <w:sz w:val="18"/>
        </w:rPr>
      </w:pPr>
      <w:r>
        <w:rPr>
          <w:sz w:val="18"/>
        </w:rPr>
        <w:t>您在指定和变更受益人时，必须经过被保险人同意。</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9"/>
        </w:numPr>
        <w:tabs>
          <w:tab w:pos="1243" w:val="left" w:leader="none"/>
          <w:tab w:pos="1245" w:val="left" w:leader="none"/>
        </w:tabs>
        <w:spacing w:line="340" w:lineRule="auto" w:before="53"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9"/>
        </w:numPr>
        <w:tabs>
          <w:tab w:pos="1812" w:val="left" w:leader="none"/>
          <w:tab w:pos="1813" w:val="left" w:leader="none"/>
        </w:tabs>
        <w:spacing w:line="240" w:lineRule="auto" w:before="41" w:after="0"/>
        <w:ind w:left="1812" w:right="0" w:hanging="568"/>
        <w:jc w:val="left"/>
        <w:rPr>
          <w:sz w:val="18"/>
        </w:rPr>
      </w:pPr>
      <w:r>
        <w:rPr>
          <w:w w:val="95"/>
          <w:sz w:val="18"/>
        </w:rPr>
        <w:t>没有指定受益人，或者受益人指定不明无法确定的；</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受益人依法丧失受益权或者放弃受益权，没有其他受益人的。</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9"/>
        </w:numPr>
        <w:tabs>
          <w:tab w:pos="1243" w:val="left" w:leader="none"/>
          <w:tab w:pos="1245" w:val="left" w:leader="none"/>
        </w:tabs>
        <w:spacing w:line="240" w:lineRule="auto" w:before="103"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8" w:id="9"/>
      <w:bookmarkEnd w:id="9"/>
      <w:r>
        <w:rPr>
          <w:b w:val="0"/>
        </w:rPr>
      </w:r>
      <w:r>
        <w:rPr/>
        <w:t>第九条 保险金申请</w:t>
      </w:r>
    </w:p>
    <w:p>
      <w:pPr>
        <w:pStyle w:val="ListParagraph"/>
        <w:numPr>
          <w:ilvl w:val="1"/>
          <w:numId w:val="10"/>
        </w:numPr>
        <w:tabs>
          <w:tab w:pos="1104" w:val="left" w:leader="none"/>
          <w:tab w:pos="1105" w:val="left" w:leader="none"/>
        </w:tabs>
        <w:spacing w:line="340" w:lineRule="auto" w:before="142" w:after="0"/>
        <w:ind w:left="1104" w:right="107" w:hanging="566"/>
        <w:jc w:val="left"/>
        <w:rPr>
          <w:sz w:val="18"/>
        </w:rPr>
      </w:pPr>
      <w:r>
        <w:rPr>
          <w:sz w:val="18"/>
        </w:rPr>
        <w:t>重大疾病保险金的申请人为重大疾病保险金受益人，额外给付保险金的申请人为额外给付保险金的受益人，在申请重大疾病保险金和额外给付保险金时，申请人须填写保险金给付申请书，并提供下列证明和资料：</w:t>
      </w:r>
    </w:p>
    <w:p>
      <w:pPr>
        <w:pStyle w:val="ListParagraph"/>
        <w:numPr>
          <w:ilvl w:val="2"/>
          <w:numId w:val="10"/>
        </w:numPr>
        <w:tabs>
          <w:tab w:pos="1642" w:val="left" w:leader="none"/>
          <w:tab w:pos="1643" w:val="left" w:leader="none"/>
        </w:tabs>
        <w:spacing w:line="240" w:lineRule="auto" w:before="41" w:after="0"/>
        <w:ind w:left="1642" w:right="0" w:hanging="538"/>
        <w:jc w:val="left"/>
        <w:rPr>
          <w:sz w:val="18"/>
        </w:rPr>
      </w:pPr>
      <w:r>
        <w:rPr>
          <w:w w:val="95"/>
          <w:sz w:val="18"/>
        </w:rPr>
        <w:t>保险合同；</w:t>
      </w:r>
    </w:p>
    <w:p>
      <w:pPr>
        <w:pStyle w:val="ListParagraph"/>
        <w:numPr>
          <w:ilvl w:val="2"/>
          <w:numId w:val="10"/>
        </w:numPr>
        <w:tabs>
          <w:tab w:pos="1642" w:val="left" w:leader="none"/>
          <w:tab w:pos="1643" w:val="left" w:leader="none"/>
        </w:tabs>
        <w:spacing w:line="240" w:lineRule="auto" w:before="106"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医院出具的被保险人病理组织学检查、血液检查、及其他科学方法检验报告的疾病诊断证明书；</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10"/>
        </w:numPr>
        <w:tabs>
          <w:tab w:pos="1642" w:val="left" w:leader="none"/>
          <w:tab w:pos="1643" w:val="left" w:leader="none"/>
        </w:tabs>
        <w:spacing w:line="240" w:lineRule="auto" w:before="106" w:after="0"/>
        <w:ind w:left="1642" w:right="0" w:hanging="538"/>
        <w:jc w:val="left"/>
        <w:rPr>
          <w:sz w:val="18"/>
        </w:rPr>
      </w:pPr>
      <w:r>
        <w:rPr>
          <w:w w:val="95"/>
          <w:sz w:val="18"/>
        </w:rPr>
        <w:t>申请人与被保险人的相关关系证明（如有需要）。</w:t>
      </w:r>
    </w:p>
    <w:p>
      <w:pPr>
        <w:pStyle w:val="ListParagraph"/>
        <w:numPr>
          <w:ilvl w:val="1"/>
          <w:numId w:val="10"/>
        </w:numPr>
        <w:tabs>
          <w:tab w:pos="1104" w:val="left" w:leader="none"/>
          <w:tab w:pos="1105" w:val="left" w:leader="none"/>
        </w:tabs>
        <w:spacing w:line="240" w:lineRule="auto" w:before="103" w:after="0"/>
        <w:ind w:left="1104" w:right="0" w:hanging="566"/>
        <w:jc w:val="left"/>
        <w:rPr>
          <w:sz w:val="18"/>
        </w:rPr>
      </w:pPr>
      <w:r>
        <w:rPr>
          <w:sz w:val="18"/>
        </w:rPr>
        <w:t>保险金作为被保险人遗产时，必须提供可证明合法继承权的相关权利文件。</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1"/>
      </w:pPr>
      <w:bookmarkStart w:name="_bookmark9" w:id="10"/>
      <w:bookmarkEnd w:id="10"/>
      <w:r>
        <w:rPr>
          <w:b w:val="0"/>
        </w:rPr>
      </w:r>
      <w:r>
        <w:rPr/>
        <w:t>第十条 诉讼时效</w:t>
      </w:r>
    </w:p>
    <w:p>
      <w:pPr>
        <w:pStyle w:val="BodyText"/>
        <w:tabs>
          <w:tab w:pos="1104" w:val="left" w:leader="none"/>
        </w:tabs>
        <w:spacing w:before="138"/>
        <w:ind w:left="538"/>
      </w:pPr>
      <w:r>
        <w:rPr>
          <w:rFonts w:ascii="Arial" w:eastAsia="Arial"/>
        </w:rPr>
        <w:t>10.1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spacing w:before="104"/>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11"/>
        </w:numPr>
        <w:tabs>
          <w:tab w:pos="1104" w:val="left" w:leader="none"/>
          <w:tab w:pos="1105" w:val="left" w:leader="none"/>
        </w:tabs>
        <w:spacing w:line="240" w:lineRule="auto" w:before="141" w:after="0"/>
        <w:ind w:left="1104" w:right="0" w:hanging="566"/>
        <w:jc w:val="left"/>
        <w:rPr>
          <w:sz w:val="18"/>
        </w:rPr>
      </w:pPr>
      <w:r>
        <w:rPr>
          <w:sz w:val="18"/>
        </w:rPr>
        <w:t>发生下列情况之一时，本附加合同即行终止：</w:t>
      </w:r>
    </w:p>
    <w:p>
      <w:pPr>
        <w:pStyle w:val="ListParagraph"/>
        <w:numPr>
          <w:ilvl w:val="2"/>
          <w:numId w:val="11"/>
        </w:numPr>
        <w:tabs>
          <w:tab w:pos="1642" w:val="left" w:leader="none"/>
          <w:tab w:pos="1643" w:val="left" w:leader="none"/>
        </w:tabs>
        <w:spacing w:line="240" w:lineRule="auto" w:before="106" w:after="0"/>
        <w:ind w:left="1642" w:right="0" w:hanging="562"/>
        <w:jc w:val="left"/>
        <w:rPr>
          <w:sz w:val="18"/>
        </w:rPr>
      </w:pPr>
      <w:r>
        <w:rPr>
          <w:w w:val="95"/>
          <w:sz w:val="18"/>
        </w:rPr>
        <w:t>您于本附加合同的保险期间内按约定申请解除本附加合同；</w:t>
      </w:r>
    </w:p>
    <w:p>
      <w:pPr>
        <w:pStyle w:val="ListParagraph"/>
        <w:numPr>
          <w:ilvl w:val="2"/>
          <w:numId w:val="11"/>
        </w:numPr>
        <w:tabs>
          <w:tab w:pos="1642" w:val="left" w:leader="none"/>
          <w:tab w:pos="1643" w:val="left" w:leader="none"/>
        </w:tabs>
        <w:spacing w:line="240" w:lineRule="auto" w:before="104" w:after="0"/>
        <w:ind w:left="1642" w:right="0" w:hanging="562"/>
        <w:jc w:val="left"/>
        <w:rPr>
          <w:sz w:val="18"/>
        </w:rPr>
      </w:pPr>
      <w:r>
        <w:rPr>
          <w:w w:val="95"/>
          <w:sz w:val="18"/>
        </w:rPr>
        <w:t>主合同解除或终止；</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本附加合同期满；</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2"/>
        </w:numPr>
        <w:tabs>
          <w:tab w:pos="1104" w:val="left" w:leader="none"/>
          <w:tab w:pos="1105" w:val="left" w:leader="none"/>
        </w:tabs>
        <w:spacing w:line="240" w:lineRule="auto" w:before="138" w:after="0"/>
        <w:ind w:left="1104" w:right="0" w:hanging="566"/>
        <w:jc w:val="left"/>
        <w:rPr>
          <w:sz w:val="18"/>
        </w:rPr>
      </w:pPr>
      <w:r>
        <w:rPr>
          <w:sz w:val="18"/>
        </w:rPr>
        <w:t>如您申请解除本附加合同，请填写解除合同申请书并向我们提供下列资料：</w:t>
      </w:r>
    </w:p>
    <w:p>
      <w:pPr>
        <w:pStyle w:val="ListParagraph"/>
        <w:numPr>
          <w:ilvl w:val="2"/>
          <w:numId w:val="12"/>
        </w:numPr>
        <w:tabs>
          <w:tab w:pos="1812" w:val="left" w:leader="none"/>
          <w:tab w:pos="1813" w:val="left" w:leader="none"/>
        </w:tabs>
        <w:spacing w:line="240" w:lineRule="auto" w:before="106" w:after="0"/>
        <w:ind w:left="1812" w:right="0" w:hanging="568"/>
        <w:jc w:val="left"/>
        <w:rPr>
          <w:sz w:val="18"/>
        </w:rPr>
      </w:pPr>
      <w:r>
        <w:rPr>
          <w:w w:val="95"/>
          <w:sz w:val="18"/>
        </w:rPr>
        <w:t>保险合同；</w:t>
      </w:r>
    </w:p>
    <w:p>
      <w:pPr>
        <w:pStyle w:val="ListParagraph"/>
        <w:numPr>
          <w:ilvl w:val="2"/>
          <w:numId w:val="12"/>
        </w:numPr>
        <w:tabs>
          <w:tab w:pos="1812" w:val="left" w:leader="none"/>
          <w:tab w:pos="1813" w:val="left" w:leader="none"/>
        </w:tabs>
        <w:spacing w:line="240" w:lineRule="auto" w:before="106" w:after="0"/>
        <w:ind w:left="1812" w:right="0" w:hanging="568"/>
        <w:jc w:val="left"/>
        <w:rPr>
          <w:sz w:val="18"/>
        </w:rPr>
      </w:pPr>
      <w:r>
        <w:rPr>
          <w:w w:val="95"/>
          <w:sz w:val="18"/>
        </w:rPr>
        <w:t>您的有效身份证件。</w:t>
      </w:r>
    </w:p>
    <w:p>
      <w:pPr>
        <w:pStyle w:val="ListParagraph"/>
        <w:numPr>
          <w:ilvl w:val="1"/>
          <w:numId w:val="12"/>
        </w:numPr>
        <w:tabs>
          <w:tab w:pos="1105" w:val="left" w:leader="none"/>
        </w:tabs>
        <w:spacing w:line="340" w:lineRule="auto" w:before="106"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7"/>
          <w:sz w:val="18"/>
        </w:rPr>
        <w:t> </w:t>
      </w:r>
      <w:r>
        <w:rPr>
          <w:sz w:val="18"/>
        </w:rPr>
        <w:t>日内无息退还已收保险费。</w:t>
      </w:r>
    </w:p>
    <w:p>
      <w:pPr>
        <w:pStyle w:val="ListParagraph"/>
        <w:numPr>
          <w:ilvl w:val="1"/>
          <w:numId w:val="12"/>
        </w:numPr>
        <w:tabs>
          <w:tab w:pos="1104" w:val="left" w:leader="none"/>
          <w:tab w:pos="1105" w:val="left" w:leader="none"/>
        </w:tabs>
        <w:spacing w:line="340" w:lineRule="auto" w:before="44"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2"/>
        </w:numPr>
        <w:tabs>
          <w:tab w:pos="1104" w:val="left" w:leader="none"/>
          <w:tab w:pos="1105" w:val="left" w:leader="none"/>
        </w:tabs>
        <w:spacing w:line="240" w:lineRule="auto" w:before="20" w:after="0"/>
        <w:ind w:left="1104" w:right="0" w:hanging="566"/>
        <w:jc w:val="left"/>
        <w:rPr>
          <w:sz w:val="18"/>
        </w:rPr>
      </w:pPr>
      <w:r>
        <w:rPr>
          <w:sz w:val="18"/>
        </w:rPr>
        <w:t>您犹豫期后解除合同会遭受一定损失。</w:t>
      </w:r>
    </w:p>
    <w:p>
      <w:pPr>
        <w:pStyle w:val="Heading1"/>
        <w:tabs>
          <w:tab w:pos="1623" w:val="left" w:leader="none"/>
        </w:tabs>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3"/>
        </w:numPr>
        <w:tabs>
          <w:tab w:pos="1104" w:val="left" w:leader="none"/>
          <w:tab w:pos="1105" w:val="left" w:leader="none"/>
        </w:tabs>
        <w:spacing w:line="240" w:lineRule="auto" w:before="139" w:after="0"/>
        <w:ind w:left="536" w:right="0" w:firstLine="2"/>
        <w:jc w:val="left"/>
        <w:rPr>
          <w:sz w:val="18"/>
        </w:rPr>
      </w:pPr>
      <w:r>
        <w:rPr>
          <w:sz w:val="18"/>
        </w:rPr>
        <w:t>恶性肿瘤</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60" w:lineRule="auto" w:before="44"/>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4"/>
        <w:ind w:left="951" w:right="6964"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0"/>
        <w:ind w:left="1051"/>
      </w:pPr>
      <w:r>
        <w:rPr>
          <w:w w:val="95"/>
        </w:rPr>
        <w:t>（</w:t>
      </w:r>
      <w:r>
        <w:rPr>
          <w:rFonts w:ascii="Arial" w:eastAsia="Arial"/>
          <w:w w:val="95"/>
        </w:rPr>
        <w:t>1</w:t>
      </w:r>
      <w:r>
        <w:rPr>
          <w:w w:val="95"/>
        </w:rPr>
        <w:t>）原位癌；</w:t>
      </w:r>
    </w:p>
    <w:p>
      <w:pPr>
        <w:spacing w:before="103"/>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1"/>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1"/>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0"/>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4"/>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3"/>
        </w:numPr>
        <w:tabs>
          <w:tab w:pos="1104" w:val="left" w:leader="none"/>
          <w:tab w:pos="1105" w:val="left" w:leader="none"/>
        </w:tabs>
        <w:spacing w:line="240" w:lineRule="auto" w:before="103" w:after="0"/>
        <w:ind w:left="536" w:right="0" w:firstLine="2"/>
        <w:jc w:val="left"/>
        <w:rPr>
          <w:sz w:val="18"/>
        </w:rPr>
      </w:pPr>
      <w:r>
        <w:rPr>
          <w:sz w:val="18"/>
        </w:rPr>
        <w:t>急性心肌梗塞</w:t>
      </w:r>
    </w:p>
    <w:p>
      <w:pPr>
        <w:pStyle w:val="BodyText"/>
        <w:spacing w:before="103"/>
        <w:ind w:left="951"/>
      </w:pPr>
      <w:r>
        <w:rPr/>
        <w:t>指因冠状动脉阻塞导致的相应区域供血不足造成部分心肌坏死。须满足下列至少三项条件：</w:t>
      </w:r>
    </w:p>
    <w:p>
      <w:pPr>
        <w:pStyle w:val="BodyText"/>
        <w:spacing w:before="114"/>
        <w:ind w:left="1052"/>
      </w:pPr>
      <w:r>
        <w:rPr/>
        <w:t>（</w:t>
      </w:r>
      <w:r>
        <w:rPr>
          <w:rFonts w:ascii="Arial" w:eastAsia="Arial"/>
        </w:rPr>
        <w:t>1</w:t>
      </w:r>
      <w:r>
        <w:rPr/>
        <w:t>）典型临床表现，例如急性胸痛等；</w:t>
      </w:r>
    </w:p>
    <w:p>
      <w:pPr>
        <w:pStyle w:val="BodyText"/>
        <w:spacing w:before="102"/>
        <w:ind w:left="1052"/>
      </w:pPr>
      <w:r>
        <w:rPr/>
        <w:t>（</w:t>
      </w:r>
      <w:r>
        <w:rPr>
          <w:rFonts w:ascii="Arial" w:eastAsia="Arial"/>
        </w:rPr>
        <w:t>2</w:t>
      </w:r>
      <w:r>
        <w:rPr/>
        <w:t>）新近的心电图改变提示急性心肌梗塞；</w:t>
      </w:r>
    </w:p>
    <w:p>
      <w:pPr>
        <w:pStyle w:val="BodyText"/>
        <w:ind w:left="1052"/>
      </w:pPr>
      <w:r>
        <w:rPr/>
        <w:t>（</w:t>
      </w:r>
      <w:r>
        <w:rPr>
          <w:rFonts w:ascii="Arial" w:eastAsia="Arial"/>
        </w:rPr>
        <w:t>3</w:t>
      </w:r>
      <w:r>
        <w:rPr/>
        <w:t>）心肌酶或肌钙蛋白有诊断意义的升高，或呈符合急性心肌梗塞的动态性变化；</w:t>
      </w:r>
    </w:p>
    <w:p>
      <w:pPr>
        <w:pStyle w:val="BodyText"/>
        <w:spacing w:before="101"/>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3"/>
        </w:numPr>
        <w:tabs>
          <w:tab w:pos="1104" w:val="left" w:leader="none"/>
          <w:tab w:pos="1105" w:val="left" w:leader="none"/>
        </w:tabs>
        <w:spacing w:line="240" w:lineRule="auto" w:before="104" w:after="0"/>
        <w:ind w:left="536" w:right="0" w:firstLine="2"/>
        <w:jc w:val="left"/>
        <w:rPr>
          <w:sz w:val="18"/>
        </w:rPr>
      </w:pPr>
      <w:r>
        <w:rPr>
          <w:sz w:val="18"/>
        </w:rPr>
        <w:t>脑中风后遗症</w:t>
      </w:r>
    </w:p>
    <w:p>
      <w:pPr>
        <w:pStyle w:val="BodyText"/>
        <w:spacing w:line="357" w:lineRule="auto"/>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2"/>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3"/>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3"/>
        </w:numPr>
        <w:tabs>
          <w:tab w:pos="1104" w:val="left" w:leader="none"/>
          <w:tab w:pos="1105" w:val="left" w:leader="none"/>
        </w:tabs>
        <w:spacing w:line="240" w:lineRule="auto" w:before="104" w:after="0"/>
        <w:ind w:left="536" w:right="0" w:firstLine="2"/>
        <w:jc w:val="left"/>
        <w:rPr>
          <w:sz w:val="18"/>
        </w:rPr>
      </w:pPr>
      <w:r>
        <w:rPr>
          <w:sz w:val="18"/>
        </w:rPr>
        <w:t>重大器官移植术或造血干细胞移植术</w:t>
      </w:r>
    </w:p>
    <w:p>
      <w:pPr>
        <w:pStyle w:val="BodyText"/>
        <w:ind w:left="951"/>
      </w:pPr>
      <w:r>
        <w:rPr/>
        <w:t>重大器官移植术，指因相应器官功能衰竭，已经实施了肾脏、肝脏、心脏或肺脏的异体移植手术。</w:t>
      </w:r>
    </w:p>
    <w:p>
      <w:pPr>
        <w:pStyle w:val="BodyText"/>
        <w:spacing w:line="360" w:lineRule="auto" w:before="11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3"/>
        </w:numPr>
        <w:tabs>
          <w:tab w:pos="1104" w:val="left" w:leader="none"/>
          <w:tab w:pos="1106" w:val="left" w:leader="none"/>
        </w:tabs>
        <w:spacing w:line="240" w:lineRule="auto" w:before="26" w:after="0"/>
        <w:ind w:left="1105" w:right="0" w:hanging="567"/>
        <w:jc w:val="left"/>
        <w:rPr>
          <w:sz w:val="18"/>
        </w:rPr>
      </w:pPr>
      <w:r>
        <w:rPr>
          <w:sz w:val="18"/>
        </w:rPr>
        <w:t>冠状动脉搭桥术（或称冠状动脉旁路移植术）</w:t>
      </w:r>
    </w:p>
    <w:p>
      <w:pPr>
        <w:pStyle w:val="BodyText"/>
        <w:spacing w:before="103"/>
        <w:ind w:left="951"/>
      </w:pPr>
      <w:r>
        <w:rPr/>
        <w:t>指为治疗严重的冠心病，实际实施了开胸进行的冠状动脉血管旁路移植的手术。</w:t>
      </w:r>
    </w:p>
    <w:p>
      <w:pPr>
        <w:pStyle w:val="Heading3"/>
        <w:spacing w:before="114"/>
        <w:ind w:left="951"/>
      </w:pPr>
      <w:r>
        <w:rPr>
          <w:w w:val="95"/>
        </w:rPr>
        <w:t>冠状动脉支架植入术、心导管球囊扩张术、激光射频技术及其它非开胸的介入手术、腔镜手术不在保障范围内。</w:t>
      </w:r>
    </w:p>
    <w:p>
      <w:pPr>
        <w:pStyle w:val="ListParagraph"/>
        <w:numPr>
          <w:ilvl w:val="1"/>
          <w:numId w:val="13"/>
        </w:numPr>
        <w:tabs>
          <w:tab w:pos="1104" w:val="left" w:leader="none"/>
          <w:tab w:pos="1105" w:val="left" w:leader="none"/>
        </w:tabs>
        <w:spacing w:line="240" w:lineRule="auto" w:before="117" w:after="0"/>
        <w:ind w:left="536" w:right="0" w:firstLine="2"/>
        <w:jc w:val="left"/>
        <w:rPr>
          <w:sz w:val="18"/>
        </w:rPr>
      </w:pPr>
      <w:r>
        <w:rPr>
          <w:sz w:val="18"/>
        </w:rPr>
        <w:t>终末期肾病（或称慢性肾功能衰竭尿毒症期）</w:t>
      </w:r>
    </w:p>
    <w:p>
      <w:pPr>
        <w:pStyle w:val="BodyText"/>
        <w:spacing w:line="338" w:lineRule="auto"/>
        <w:ind w:left="951" w:right="163"/>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3"/>
        </w:numPr>
        <w:tabs>
          <w:tab w:pos="1072" w:val="left" w:leader="none"/>
        </w:tabs>
        <w:spacing w:line="240" w:lineRule="auto" w:before="45" w:after="0"/>
        <w:ind w:left="1071" w:right="0" w:hanging="533"/>
        <w:jc w:val="left"/>
        <w:rPr>
          <w:sz w:val="18"/>
        </w:rPr>
      </w:pPr>
      <w:r>
        <w:rPr>
          <w:sz w:val="18"/>
        </w:rPr>
        <w:t>多个肢体缺失</w:t>
      </w:r>
    </w:p>
    <w:p>
      <w:pPr>
        <w:pStyle w:val="BodyText"/>
        <w:spacing w:before="106"/>
        <w:ind w:left="951"/>
      </w:pPr>
      <w:r>
        <w:rPr/>
        <w:t>指因疾病或意外伤害导致两个或两个以上肢体自腕关节或踝关节近端（靠近躯干端）以上完全性断离。</w:t>
      </w:r>
    </w:p>
    <w:p>
      <w:pPr>
        <w:pStyle w:val="ListParagraph"/>
        <w:numPr>
          <w:ilvl w:val="1"/>
          <w:numId w:val="13"/>
        </w:numPr>
        <w:tabs>
          <w:tab w:pos="1104" w:val="left" w:leader="none"/>
          <w:tab w:pos="1106" w:val="left" w:leader="none"/>
        </w:tabs>
        <w:spacing w:line="240" w:lineRule="auto" w:before="119" w:after="0"/>
        <w:ind w:left="1105" w:right="0" w:hanging="567"/>
        <w:jc w:val="left"/>
        <w:rPr>
          <w:sz w:val="18"/>
        </w:rPr>
      </w:pPr>
      <w:r>
        <w:rPr>
          <w:sz w:val="18"/>
        </w:rPr>
        <w:t>急性或亚急性重症肝炎</w:t>
      </w:r>
    </w:p>
    <w:p>
      <w:pPr>
        <w:pStyle w:val="BodyText"/>
        <w:spacing w:line="360" w:lineRule="auto" w:before="101"/>
        <w:ind w:left="951" w:right="155"/>
      </w:pPr>
      <w:r>
        <w:rPr/>
        <w:t>指因肝炎病毒感染引起肝脏组织弥漫性坏死，导致急性肝功能衰竭，且经血清学或病毒学检查证实，并须满足下列全部条件：</w:t>
      </w:r>
    </w:p>
    <w:p>
      <w:pPr>
        <w:pStyle w:val="BodyText"/>
        <w:spacing w:before="24"/>
        <w:ind w:left="1131"/>
      </w:pPr>
      <w:r>
        <w:rPr>
          <w:w w:val="95"/>
        </w:rPr>
        <w:t>（</w:t>
      </w:r>
      <w:r>
        <w:rPr>
          <w:rFonts w:ascii="Arial" w:eastAsia="Arial"/>
          <w:w w:val="95"/>
        </w:rPr>
        <w:t>1</w:t>
      </w:r>
      <w:r>
        <w:rPr>
          <w:w w:val="95"/>
        </w:rPr>
        <w:t>）重度黄疸或黄疸迅速加重；</w:t>
      </w:r>
    </w:p>
    <w:p>
      <w:pPr>
        <w:pStyle w:val="BodyText"/>
        <w:spacing w:before="101"/>
        <w:ind w:left="1131"/>
      </w:pPr>
      <w:r>
        <w:rPr>
          <w:w w:val="95"/>
        </w:rPr>
        <w:t>（</w:t>
      </w:r>
      <w:r>
        <w:rPr>
          <w:rFonts w:ascii="Arial" w:eastAsia="Arial"/>
          <w:w w:val="95"/>
        </w:rPr>
        <w:t>2</w:t>
      </w:r>
      <w:r>
        <w:rPr>
          <w:w w:val="95"/>
        </w:rPr>
        <w:t>）肝性脑病；</w:t>
      </w:r>
    </w:p>
    <w:p>
      <w:pPr>
        <w:pStyle w:val="BodyText"/>
        <w:spacing w:before="101"/>
        <w:ind w:left="1131"/>
      </w:pPr>
      <w:r>
        <w:rPr/>
        <w:t>（</w:t>
      </w:r>
      <w:r>
        <w:rPr>
          <w:rFonts w:ascii="Arial" w:eastAsia="Arial"/>
        </w:rPr>
        <w:t>3</w:t>
      </w:r>
      <w:r>
        <w:rPr/>
        <w:t>）</w:t>
      </w:r>
      <w:r>
        <w:rPr>
          <w:rFonts w:ascii="Arial" w:eastAsia="Arial"/>
        </w:rPr>
        <w:t>B </w:t>
      </w:r>
      <w:r>
        <w:rPr/>
        <w:t>超或其他影像学检查显示肝脏体积急速萎缩；</w:t>
      </w:r>
    </w:p>
    <w:p>
      <w:pPr>
        <w:pStyle w:val="BodyText"/>
        <w:ind w:left="1131"/>
      </w:pPr>
      <w:r>
        <w:rPr>
          <w:w w:val="95"/>
        </w:rPr>
        <w:t>（</w:t>
      </w:r>
      <w:r>
        <w:rPr>
          <w:rFonts w:ascii="Arial" w:eastAsia="Arial"/>
          <w:w w:val="95"/>
        </w:rPr>
        <w:t>4</w:t>
      </w:r>
      <w:r>
        <w:rPr>
          <w:w w:val="95"/>
        </w:rPr>
        <w:t>）肝功能指标进行性恶化。</w:t>
      </w:r>
    </w:p>
    <w:p>
      <w:pPr>
        <w:spacing w:after="0"/>
        <w:sectPr>
          <w:pgSz w:w="11910" w:h="16840"/>
          <w:pgMar w:header="672" w:footer="759" w:top="860" w:bottom="940" w:left="880" w:right="740"/>
        </w:sectPr>
      </w:pPr>
    </w:p>
    <w:p>
      <w:pPr>
        <w:pStyle w:val="BodyText"/>
        <w:spacing w:before="9"/>
        <w:ind w:left="0"/>
        <w:rPr>
          <w:sz w:val="13"/>
        </w:rPr>
      </w:pPr>
    </w:p>
    <w:p>
      <w:pPr>
        <w:pStyle w:val="ListParagraph"/>
        <w:numPr>
          <w:ilvl w:val="1"/>
          <w:numId w:val="13"/>
        </w:numPr>
        <w:tabs>
          <w:tab w:pos="1104" w:val="left" w:leader="none"/>
          <w:tab w:pos="1105" w:val="left" w:leader="none"/>
        </w:tabs>
        <w:spacing w:line="240" w:lineRule="auto" w:before="53" w:after="0"/>
        <w:ind w:left="536" w:right="0" w:firstLine="2"/>
        <w:jc w:val="left"/>
        <w:rPr>
          <w:sz w:val="18"/>
        </w:rPr>
      </w:pPr>
      <w:r>
        <w:rPr>
          <w:sz w:val="18"/>
        </w:rPr>
        <w:t>良性脑肿瘤</w:t>
      </w:r>
    </w:p>
    <w:p>
      <w:pPr>
        <w:pStyle w:val="BodyText"/>
        <w:spacing w:line="348" w:lineRule="auto" w:before="103"/>
        <w:ind w:left="951" w:right="133"/>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1"/>
      </w:pPr>
      <w:r>
        <w:rPr>
          <w:w w:val="95"/>
        </w:rPr>
        <w:t>（</w:t>
      </w:r>
      <w:r>
        <w:rPr>
          <w:rFonts w:ascii="Arial" w:eastAsia="Arial"/>
          <w:w w:val="95"/>
        </w:rPr>
        <w:t>1</w:t>
      </w:r>
      <w:r>
        <w:rPr>
          <w:w w:val="95"/>
        </w:rPr>
        <w:t>）实际实施了开颅进行的脑肿瘤完全切除或部分切除的手术；</w:t>
      </w:r>
    </w:p>
    <w:p>
      <w:pPr>
        <w:pStyle w:val="BodyText"/>
        <w:ind w:left="1131"/>
      </w:pPr>
      <w:r>
        <w:rPr>
          <w:w w:val="95"/>
        </w:rPr>
        <w:t>（</w:t>
      </w:r>
      <w:r>
        <w:rPr>
          <w:rFonts w:ascii="Arial" w:eastAsia="Arial"/>
          <w:w w:val="95"/>
        </w:rPr>
        <w:t>2</w:t>
      </w:r>
      <w:r>
        <w:rPr>
          <w:w w:val="95"/>
        </w:rPr>
        <w:t>）实际实施了对脑肿瘤进行的放射治疗。</w:t>
      </w:r>
    </w:p>
    <w:p>
      <w:pPr>
        <w:pStyle w:val="Heading3"/>
        <w:spacing w:before="101"/>
        <w:ind w:left="951"/>
        <w:jc w:val="both"/>
      </w:pPr>
      <w:r>
        <w:rPr>
          <w:w w:val="95"/>
        </w:rPr>
        <w:t>脑垂体瘤、脑囊肿、脑血管性疾病不在保障范围内。</w:t>
      </w:r>
    </w:p>
    <w:p>
      <w:pPr>
        <w:pStyle w:val="ListParagraph"/>
        <w:numPr>
          <w:ilvl w:val="1"/>
          <w:numId w:val="13"/>
        </w:numPr>
        <w:tabs>
          <w:tab w:pos="1105" w:val="left" w:leader="none"/>
        </w:tabs>
        <w:spacing w:line="240" w:lineRule="auto" w:before="116" w:after="0"/>
        <w:ind w:left="536" w:right="0" w:firstLine="2"/>
        <w:jc w:val="left"/>
        <w:rPr>
          <w:sz w:val="18"/>
        </w:rPr>
      </w:pPr>
      <w:r>
        <w:rPr>
          <w:sz w:val="18"/>
        </w:rPr>
        <w:t>慢性肝功能衰竭失代偿期</w:t>
      </w:r>
    </w:p>
    <w:p>
      <w:pPr>
        <w:pStyle w:val="BodyText"/>
        <w:spacing w:before="103"/>
        <w:ind w:left="951"/>
        <w:jc w:val="both"/>
      </w:pPr>
      <w:r>
        <w:rPr/>
        <w:t>指因慢性肝脏疾病导致肝功能衰竭。须满足下列全部条件：</w:t>
      </w:r>
    </w:p>
    <w:p>
      <w:pPr>
        <w:pStyle w:val="BodyText"/>
        <w:spacing w:before="114"/>
        <w:ind w:left="1071"/>
      </w:pPr>
      <w:r>
        <w:rPr>
          <w:w w:val="95"/>
        </w:rPr>
        <w:t>（</w:t>
      </w:r>
      <w:r>
        <w:rPr>
          <w:rFonts w:ascii="Arial" w:eastAsia="Arial"/>
          <w:w w:val="95"/>
        </w:rPr>
        <w:t>1</w:t>
      </w:r>
      <w:r>
        <w:rPr>
          <w:w w:val="95"/>
        </w:rPr>
        <w:t>）持续性黄疸；</w:t>
      </w:r>
    </w:p>
    <w:p>
      <w:pPr>
        <w:pStyle w:val="BodyText"/>
        <w:ind w:left="1071"/>
      </w:pPr>
      <w:r>
        <w:rPr>
          <w:w w:val="95"/>
        </w:rPr>
        <w:t>（</w:t>
      </w:r>
      <w:r>
        <w:rPr>
          <w:rFonts w:ascii="Arial" w:eastAsia="Arial"/>
          <w:w w:val="95"/>
        </w:rPr>
        <w:t>2</w:t>
      </w:r>
      <w:r>
        <w:rPr>
          <w:w w:val="95"/>
        </w:rPr>
        <w:t>）腹水；</w:t>
      </w:r>
    </w:p>
    <w:p>
      <w:pPr>
        <w:pStyle w:val="BodyText"/>
        <w:spacing w:before="102"/>
        <w:ind w:left="1071"/>
      </w:pPr>
      <w:r>
        <w:rPr>
          <w:w w:val="95"/>
        </w:rPr>
        <w:t>（</w:t>
      </w:r>
      <w:r>
        <w:rPr>
          <w:rFonts w:ascii="Arial" w:eastAsia="Arial"/>
          <w:w w:val="95"/>
        </w:rPr>
        <w:t>3</w:t>
      </w:r>
      <w:r>
        <w:rPr>
          <w:w w:val="95"/>
        </w:rPr>
        <w:t>）肝性脑病；</w:t>
      </w:r>
    </w:p>
    <w:p>
      <w:pPr>
        <w:spacing w:line="338" w:lineRule="auto" w:before="102"/>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3"/>
        </w:numPr>
        <w:tabs>
          <w:tab w:pos="1243" w:val="left" w:leader="none"/>
          <w:tab w:pos="1244" w:val="left" w:leader="none"/>
        </w:tabs>
        <w:spacing w:line="240" w:lineRule="auto" w:before="45" w:after="0"/>
        <w:ind w:left="1244" w:right="0" w:hanging="706"/>
        <w:jc w:val="left"/>
        <w:rPr>
          <w:sz w:val="18"/>
        </w:rPr>
      </w:pPr>
      <w:r>
        <w:rPr>
          <w:sz w:val="18"/>
        </w:rPr>
        <w:t>脑炎后遗症或脑膜炎后遗症</w:t>
      </w:r>
    </w:p>
    <w:p>
      <w:pPr>
        <w:pStyle w:val="BodyText"/>
        <w:spacing w:line="340" w:lineRule="auto" w:before="101"/>
        <w:ind w:left="831" w:right="183"/>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0"/>
          <w:numId w:val="14"/>
        </w:numPr>
        <w:tabs>
          <w:tab w:pos="1192" w:val="left" w:leader="none"/>
        </w:tabs>
        <w:spacing w:line="240" w:lineRule="auto" w:before="39" w:after="0"/>
        <w:ind w:left="1191" w:right="0" w:hanging="360"/>
        <w:jc w:val="left"/>
        <w:rPr>
          <w:sz w:val="18"/>
        </w:rPr>
      </w:pPr>
      <w:r>
        <w:rPr>
          <w:w w:val="95"/>
          <w:sz w:val="18"/>
        </w:rPr>
        <w:t>一肢或一肢以上肢体机能完全丧失；</w:t>
      </w:r>
    </w:p>
    <w:p>
      <w:pPr>
        <w:pStyle w:val="ListParagraph"/>
        <w:numPr>
          <w:ilvl w:val="0"/>
          <w:numId w:val="14"/>
        </w:numPr>
        <w:tabs>
          <w:tab w:pos="1192" w:val="left" w:leader="none"/>
        </w:tabs>
        <w:spacing w:line="240" w:lineRule="auto" w:before="102" w:after="0"/>
        <w:ind w:left="1191" w:right="0" w:hanging="360"/>
        <w:jc w:val="left"/>
        <w:rPr>
          <w:sz w:val="18"/>
        </w:rPr>
      </w:pPr>
      <w:r>
        <w:rPr>
          <w:w w:val="95"/>
          <w:sz w:val="18"/>
        </w:rPr>
        <w:t>语言能力或咀嚼吞咽能力完全丧失；</w:t>
      </w:r>
    </w:p>
    <w:p>
      <w:pPr>
        <w:pStyle w:val="ListParagraph"/>
        <w:numPr>
          <w:ilvl w:val="0"/>
          <w:numId w:val="14"/>
        </w:numPr>
        <w:tabs>
          <w:tab w:pos="1192" w:val="left" w:leader="none"/>
        </w:tabs>
        <w:spacing w:line="240" w:lineRule="auto" w:before="102" w:after="0"/>
        <w:ind w:left="1191" w:right="0" w:hanging="360"/>
        <w:jc w:val="left"/>
        <w:rPr>
          <w:sz w:val="18"/>
        </w:rPr>
      </w:pPr>
      <w:r>
        <w:rPr>
          <w:w w:val="95"/>
          <w:sz w:val="18"/>
        </w:rPr>
        <w:t>自主生活能力完全丧失，无法独立完成六项基本日常生活活动。</w:t>
      </w:r>
    </w:p>
    <w:p>
      <w:pPr>
        <w:pStyle w:val="ListParagraph"/>
        <w:numPr>
          <w:ilvl w:val="1"/>
          <w:numId w:val="13"/>
        </w:numPr>
        <w:tabs>
          <w:tab w:pos="1105" w:val="left" w:leader="none"/>
        </w:tabs>
        <w:spacing w:line="240" w:lineRule="auto" w:before="107" w:after="0"/>
        <w:ind w:left="1104" w:right="0" w:hanging="566"/>
        <w:jc w:val="left"/>
        <w:rPr>
          <w:sz w:val="18"/>
        </w:rPr>
      </w:pPr>
      <w:r>
        <w:rPr>
          <w:sz w:val="18"/>
        </w:rPr>
        <w:t>深度昏迷</w:t>
      </w:r>
    </w:p>
    <w:p>
      <w:pPr>
        <w:pStyle w:val="BodyText"/>
        <w:spacing w:line="338" w:lineRule="auto"/>
        <w:ind w:left="951" w:right="122"/>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9"/>
        <w:ind w:left="951"/>
        <w:jc w:val="both"/>
      </w:pPr>
      <w:r>
        <w:rPr>
          <w:w w:val="95"/>
        </w:rPr>
        <w:t>因酗酒或药物滥用导致的深度昏迷不在保障范围内。</w:t>
      </w:r>
    </w:p>
    <w:p>
      <w:pPr>
        <w:pStyle w:val="ListParagraph"/>
        <w:numPr>
          <w:ilvl w:val="1"/>
          <w:numId w:val="13"/>
        </w:numPr>
        <w:tabs>
          <w:tab w:pos="1243" w:val="left" w:leader="none"/>
          <w:tab w:pos="1244" w:val="left" w:leader="none"/>
        </w:tabs>
        <w:spacing w:line="240" w:lineRule="auto" w:before="117" w:after="0"/>
        <w:ind w:left="1244" w:right="0" w:hanging="706"/>
        <w:jc w:val="left"/>
        <w:rPr>
          <w:sz w:val="18"/>
        </w:rPr>
      </w:pPr>
      <w:r>
        <w:rPr>
          <w:sz w:val="18"/>
        </w:rPr>
        <w:t>双耳失聪</w:t>
      </w:r>
    </w:p>
    <w:p>
      <w:pPr>
        <w:pStyle w:val="BodyText"/>
        <w:ind w:left="951"/>
        <w:jc w:val="both"/>
      </w:pPr>
      <w:r>
        <w:rPr/>
        <w:t>指因疾病或意外伤害导致双耳听力永久不可逆性（见释义）丧失，在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ind w:left="950"/>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3"/>
        </w:numPr>
        <w:tabs>
          <w:tab w:pos="1105" w:val="left" w:leader="none"/>
        </w:tabs>
        <w:spacing w:line="240" w:lineRule="auto" w:before="104" w:after="0"/>
        <w:ind w:left="1104" w:right="0" w:hanging="566"/>
        <w:jc w:val="left"/>
        <w:rPr>
          <w:sz w:val="18"/>
        </w:rPr>
      </w:pPr>
      <w:r>
        <w:rPr>
          <w:sz w:val="18"/>
        </w:rPr>
        <w:t>双目失明</w:t>
      </w:r>
    </w:p>
    <w:p>
      <w:pPr>
        <w:pStyle w:val="BodyText"/>
        <w:ind w:left="951"/>
        <w:jc w:val="both"/>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ind w:left="1251"/>
      </w:pPr>
      <w:r>
        <w:rPr>
          <w:w w:val="95"/>
        </w:rPr>
        <w:t>（</w:t>
      </w:r>
      <w:r>
        <w:rPr>
          <w:rFonts w:ascii="Arial" w:eastAsia="Arial"/>
          <w:w w:val="95"/>
        </w:rPr>
        <w:t>1</w:t>
      </w:r>
      <w:r>
        <w:rPr>
          <w:w w:val="95"/>
        </w:rPr>
        <w:t>）眼球缺失或摘除；</w:t>
      </w:r>
    </w:p>
    <w:p>
      <w:pPr>
        <w:pStyle w:val="BodyText"/>
        <w:spacing w:before="101"/>
        <w:ind w:left="125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251"/>
      </w:pPr>
      <w:r>
        <w:rPr/>
        <w:t>（</w:t>
      </w:r>
      <w:r>
        <w:rPr>
          <w:rFonts w:ascii="Arial" w:eastAsia="Arial"/>
        </w:rPr>
        <w:t>3</w:t>
      </w:r>
      <w:r>
        <w:rPr/>
        <w:t>）视野半径小于 </w:t>
      </w:r>
      <w:r>
        <w:rPr>
          <w:rFonts w:ascii="Arial" w:eastAsia="Arial"/>
        </w:rPr>
        <w:t>5 </w:t>
      </w:r>
      <w:r>
        <w:rPr/>
        <w:t>度。</w:t>
      </w:r>
    </w:p>
    <w:p>
      <w:pPr>
        <w:pStyle w:val="ListParagraph"/>
        <w:numPr>
          <w:ilvl w:val="1"/>
          <w:numId w:val="13"/>
        </w:numPr>
        <w:tabs>
          <w:tab w:pos="1105" w:val="left" w:leader="none"/>
        </w:tabs>
        <w:spacing w:line="240" w:lineRule="auto" w:before="106" w:after="0"/>
        <w:ind w:left="536" w:right="0" w:firstLine="2"/>
        <w:jc w:val="left"/>
        <w:rPr>
          <w:sz w:val="18"/>
        </w:rPr>
      </w:pPr>
      <w:r>
        <w:rPr>
          <w:sz w:val="18"/>
        </w:rPr>
        <w:t>瘫痪</w:t>
      </w:r>
    </w:p>
    <w:p>
      <w:pPr>
        <w:pStyle w:val="BodyText"/>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2"/>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3"/>
        </w:numPr>
        <w:tabs>
          <w:tab w:pos="1105" w:val="left" w:leader="none"/>
        </w:tabs>
        <w:spacing w:line="240" w:lineRule="auto" w:before="104" w:after="0"/>
        <w:ind w:left="1104" w:right="0" w:hanging="566"/>
        <w:jc w:val="left"/>
        <w:rPr>
          <w:sz w:val="18"/>
        </w:rPr>
      </w:pPr>
      <w:r>
        <w:rPr>
          <w:sz w:val="18"/>
        </w:rPr>
        <w:t>心脏瓣膜手术</w:t>
      </w:r>
    </w:p>
    <w:p>
      <w:pPr>
        <w:pStyle w:val="BodyText"/>
        <w:ind w:left="831"/>
      </w:pPr>
      <w:r>
        <w:rPr/>
        <w:t>指为治疗心脏瓣膜疾病，实际实施了开胸进行的心脏瓣膜置换或修复的手术。</w:t>
      </w:r>
    </w:p>
    <w:p>
      <w:pPr>
        <w:pStyle w:val="ListParagraph"/>
        <w:numPr>
          <w:ilvl w:val="1"/>
          <w:numId w:val="13"/>
        </w:numPr>
        <w:tabs>
          <w:tab w:pos="1105" w:val="left" w:leader="none"/>
        </w:tabs>
        <w:spacing w:line="240" w:lineRule="auto" w:before="117" w:after="0"/>
        <w:ind w:left="1104" w:right="0" w:hanging="566"/>
        <w:jc w:val="left"/>
        <w:rPr>
          <w:sz w:val="18"/>
        </w:rPr>
      </w:pPr>
      <w:r>
        <w:rPr>
          <w:sz w:val="18"/>
        </w:rPr>
        <w:t>严重阿尔茨海默病</w:t>
      </w:r>
    </w:p>
    <w:p>
      <w:pPr>
        <w:pStyle w:val="BodyText"/>
        <w:spacing w:line="357" w:lineRule="auto"/>
        <w:ind w:left="831"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pStyle w:val="BodyText"/>
        <w:spacing w:before="5"/>
        <w:ind w:left="831"/>
      </w:pPr>
      <w:r>
        <w:rPr/>
        <w:t>（</w:t>
      </w:r>
      <w:r>
        <w:rPr>
          <w:rFonts w:ascii="Arial" w:eastAsia="Arial"/>
        </w:rPr>
        <w:t>PET</w:t>
      </w:r>
      <w:r>
        <w:rPr/>
        <w:t>）等影像学检查证实，且自主生活能力完全丧失，无法独立完成六项基本日常生活活动中的三项或三项以上。</w:t>
      </w:r>
    </w:p>
    <w:p>
      <w:pPr>
        <w:spacing w:after="0"/>
        <w:sectPr>
          <w:pgSz w:w="11910" w:h="16840"/>
          <w:pgMar w:header="672" w:footer="759" w:top="860" w:bottom="940" w:left="880" w:right="740"/>
        </w:sectPr>
      </w:pPr>
    </w:p>
    <w:p>
      <w:pPr>
        <w:pStyle w:val="BodyText"/>
        <w:spacing w:before="5"/>
        <w:ind w:left="0"/>
        <w:rPr>
          <w:sz w:val="14"/>
        </w:rPr>
      </w:pPr>
    </w:p>
    <w:p>
      <w:pPr>
        <w:pStyle w:val="Heading3"/>
        <w:spacing w:before="44"/>
      </w:pPr>
      <w:r>
        <w:rPr>
          <w:w w:val="95"/>
        </w:rPr>
        <w:t>神经官能症和精神疾病不在保障范围内。</w:t>
      </w:r>
    </w:p>
    <w:p>
      <w:pPr>
        <w:spacing w:before="116"/>
        <w:ind w:left="831" w:right="0" w:firstLine="0"/>
        <w:jc w:val="left"/>
        <w:rPr>
          <w:b/>
          <w:sz w:val="18"/>
        </w:rPr>
      </w:pPr>
      <w:r>
        <w:rPr>
          <w:b/>
          <w:sz w:val="18"/>
        </w:rPr>
        <w:t>我们仅承担被保险人在 </w:t>
      </w:r>
      <w:r>
        <w:rPr>
          <w:rFonts w:ascii="Arial" w:eastAsia="Arial"/>
          <w:b/>
          <w:sz w:val="18"/>
        </w:rPr>
        <w:t>65 </w:t>
      </w:r>
      <w:r>
        <w:rPr>
          <w:b/>
          <w:sz w:val="18"/>
        </w:rPr>
        <w:t>周岁之前的保障责任。</w:t>
      </w:r>
    </w:p>
    <w:p>
      <w:pPr>
        <w:pStyle w:val="ListParagraph"/>
        <w:numPr>
          <w:ilvl w:val="1"/>
          <w:numId w:val="13"/>
        </w:numPr>
        <w:tabs>
          <w:tab w:pos="1105" w:val="left" w:leader="none"/>
        </w:tabs>
        <w:spacing w:line="240" w:lineRule="auto" w:before="103" w:after="0"/>
        <w:ind w:left="536" w:right="0" w:firstLine="2"/>
        <w:jc w:val="left"/>
        <w:rPr>
          <w:sz w:val="18"/>
        </w:rPr>
      </w:pPr>
      <w:r>
        <w:rPr>
          <w:sz w:val="18"/>
        </w:rPr>
        <w:t>严重脑损伤</w:t>
      </w:r>
    </w:p>
    <w:p>
      <w:pPr>
        <w:pStyle w:val="BodyText"/>
        <w:spacing w:line="338" w:lineRule="auto" w:before="103"/>
        <w:ind w:left="831" w:right="217"/>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42"/>
        <w:ind w:left="1011"/>
      </w:pPr>
      <w:r>
        <w:rPr>
          <w:w w:val="95"/>
        </w:rPr>
        <w:t>（</w:t>
      </w:r>
      <w:r>
        <w:rPr>
          <w:rFonts w:ascii="Arial" w:eastAsia="Arial"/>
          <w:w w:val="95"/>
        </w:rPr>
        <w:t>1</w:t>
      </w:r>
      <w:r>
        <w:rPr>
          <w:w w:val="95"/>
        </w:rPr>
        <w:t>）一肢或一肢以上肢体机能完全丧失；</w:t>
      </w:r>
    </w:p>
    <w:p>
      <w:pPr>
        <w:pStyle w:val="BodyText"/>
        <w:spacing w:before="101"/>
        <w:ind w:left="1011"/>
      </w:pPr>
      <w:r>
        <w:rPr>
          <w:w w:val="95"/>
        </w:rPr>
        <w:t>（</w:t>
      </w:r>
      <w:r>
        <w:rPr>
          <w:rFonts w:ascii="Arial" w:eastAsia="Arial"/>
          <w:w w:val="95"/>
        </w:rPr>
        <w:t>2</w:t>
      </w:r>
      <w:r>
        <w:rPr>
          <w:w w:val="95"/>
        </w:rPr>
        <w:t>）语言能力或咀嚼吞咽能力完全丧失；</w:t>
      </w:r>
    </w:p>
    <w:p>
      <w:pPr>
        <w:pStyle w:val="BodyText"/>
        <w:spacing w:before="101"/>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3"/>
        </w:numPr>
        <w:tabs>
          <w:tab w:pos="1105" w:val="left" w:leader="none"/>
        </w:tabs>
        <w:spacing w:line="240" w:lineRule="auto" w:before="103" w:after="0"/>
        <w:ind w:left="536" w:right="0" w:firstLine="2"/>
        <w:jc w:val="left"/>
        <w:rPr>
          <w:sz w:val="18"/>
        </w:rPr>
      </w:pPr>
      <w:r>
        <w:rPr>
          <w:sz w:val="18"/>
        </w:rPr>
        <w:t>严重帕金森病</w:t>
      </w:r>
    </w:p>
    <w:p>
      <w:pPr>
        <w:pStyle w:val="BodyText"/>
        <w:spacing w:before="103"/>
        <w:ind w:left="831"/>
      </w:pPr>
      <w:r>
        <w:rPr/>
        <w:t>是一种中枢神经系统的退行性疾病，临床表现为震颤麻痹、共济失调等。须满足下列全部条件：</w:t>
      </w:r>
    </w:p>
    <w:p>
      <w:pPr>
        <w:pStyle w:val="BodyText"/>
        <w:spacing w:before="114"/>
        <w:ind w:left="1011"/>
      </w:pPr>
      <w:r>
        <w:rPr>
          <w:w w:val="95"/>
        </w:rPr>
        <w:t>（</w:t>
      </w:r>
      <w:r>
        <w:rPr>
          <w:rFonts w:ascii="Arial" w:eastAsia="Arial"/>
          <w:w w:val="95"/>
        </w:rPr>
        <w:t>1</w:t>
      </w:r>
      <w:r>
        <w:rPr>
          <w:w w:val="95"/>
        </w:rPr>
        <w:t>）药物治疗无法控制病情；</w:t>
      </w:r>
    </w:p>
    <w:p>
      <w:pPr>
        <w:spacing w:line="338" w:lineRule="auto" w:before="104"/>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0"/>
      </w:pPr>
      <w:r>
        <w:rPr/>
        <w:t>我们仅承担被保险人在 </w:t>
      </w:r>
      <w:r>
        <w:rPr>
          <w:rFonts w:ascii="Arial" w:eastAsia="Arial"/>
        </w:rPr>
        <w:t>65 </w:t>
      </w:r>
      <w:r>
        <w:rPr/>
        <w:t>周岁之前的保障责任。</w:t>
      </w:r>
    </w:p>
    <w:p>
      <w:pPr>
        <w:pStyle w:val="ListParagraph"/>
        <w:numPr>
          <w:ilvl w:val="1"/>
          <w:numId w:val="13"/>
        </w:numPr>
        <w:tabs>
          <w:tab w:pos="1105" w:val="left" w:leader="none"/>
        </w:tabs>
        <w:spacing w:line="240" w:lineRule="auto" w:before="103" w:after="0"/>
        <w:ind w:left="536" w:right="0" w:firstLine="2"/>
        <w:jc w:val="left"/>
        <w:rPr>
          <w:sz w:val="18"/>
        </w:rPr>
      </w:pPr>
      <w:r>
        <w:rPr>
          <w:sz w:val="18"/>
        </w:rPr>
        <w:t>严重Ⅲ度烧伤</w:t>
      </w:r>
    </w:p>
    <w:p>
      <w:pPr>
        <w:pStyle w:val="BodyText"/>
        <w:spacing w:before="103"/>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3"/>
        </w:numPr>
        <w:tabs>
          <w:tab w:pos="1105" w:val="left" w:leader="none"/>
        </w:tabs>
        <w:spacing w:line="240" w:lineRule="auto" w:before="106" w:after="0"/>
        <w:ind w:left="1104" w:right="0" w:hanging="566"/>
        <w:jc w:val="left"/>
        <w:rPr>
          <w:sz w:val="18"/>
        </w:rPr>
      </w:pPr>
      <w:r>
        <w:rPr>
          <w:sz w:val="18"/>
        </w:rPr>
        <w:t>严重原发性肺动脉高压</w:t>
      </w:r>
    </w:p>
    <w:p>
      <w:pPr>
        <w:pStyle w:val="BodyText"/>
        <w:spacing w:line="357" w:lineRule="auto"/>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3"/>
        </w:numPr>
        <w:tabs>
          <w:tab w:pos="1243" w:val="left" w:leader="none"/>
          <w:tab w:pos="1244" w:val="left" w:leader="none"/>
        </w:tabs>
        <w:spacing w:line="240" w:lineRule="auto" w:before="5" w:after="0"/>
        <w:ind w:left="1243" w:right="0" w:hanging="705"/>
        <w:jc w:val="left"/>
        <w:rPr>
          <w:sz w:val="18"/>
        </w:rPr>
      </w:pPr>
      <w:r>
        <w:rPr>
          <w:sz w:val="18"/>
        </w:rPr>
        <w:t>严重运动神经元病</w:t>
      </w:r>
    </w:p>
    <w:p>
      <w:pPr>
        <w:pStyle w:val="BodyText"/>
        <w:spacing w:line="357" w:lineRule="auto" w:before="106"/>
        <w:ind w:left="830" w:right="275"/>
      </w:pPr>
      <w:r>
        <w:rPr/>
        <w:t>是一组中枢神经系统运动神经元的进行性变性疾病，包括进行性脊肌萎缩症、进行性延髓麻痹症、原发性侧索硬化 症、肌萎缩性侧索硬化症。须满足自主生活能力完全丧失，无法独立完成六项基本日常生活活动中的三项或三项以上的条件。</w:t>
      </w:r>
    </w:p>
    <w:p>
      <w:pPr>
        <w:pStyle w:val="ListParagraph"/>
        <w:numPr>
          <w:ilvl w:val="1"/>
          <w:numId w:val="13"/>
        </w:numPr>
        <w:tabs>
          <w:tab w:pos="1243" w:val="left" w:leader="none"/>
          <w:tab w:pos="1244" w:val="left" w:leader="none"/>
        </w:tabs>
        <w:spacing w:line="240" w:lineRule="auto" w:before="28" w:after="0"/>
        <w:ind w:left="1243" w:right="0" w:hanging="705"/>
        <w:jc w:val="left"/>
        <w:rPr>
          <w:sz w:val="18"/>
        </w:rPr>
      </w:pPr>
      <w:r>
        <w:rPr>
          <w:sz w:val="18"/>
        </w:rPr>
        <w:t>语言能力丧失</w:t>
      </w:r>
    </w:p>
    <w:p>
      <w:pPr>
        <w:pStyle w:val="BodyText"/>
        <w:spacing w:line="340" w:lineRule="auto" w:before="103"/>
        <w:ind w:left="830" w:right="104"/>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pPr>
      <w:r>
        <w:rPr>
          <w:w w:val="95"/>
        </w:rPr>
        <w:t>精神心理因素所致的语言能力丧失不在保障范围内。</w:t>
      </w:r>
    </w:p>
    <w:p>
      <w:pPr>
        <w:pStyle w:val="ListParagraph"/>
        <w:numPr>
          <w:ilvl w:val="1"/>
          <w:numId w:val="13"/>
        </w:numPr>
        <w:tabs>
          <w:tab w:pos="1105" w:val="left" w:leader="none"/>
        </w:tabs>
        <w:spacing w:line="240" w:lineRule="auto" w:before="119" w:after="0"/>
        <w:ind w:left="536" w:right="0" w:firstLine="2"/>
        <w:jc w:val="left"/>
        <w:rPr>
          <w:sz w:val="18"/>
        </w:rPr>
      </w:pPr>
      <w:r>
        <w:rPr>
          <w:sz w:val="18"/>
        </w:rPr>
        <w:t>重型再生障碍性贫血</w:t>
      </w:r>
    </w:p>
    <w:p>
      <w:pPr>
        <w:pStyle w:val="BodyText"/>
        <w:spacing w:before="103"/>
        <w:ind w:left="831"/>
      </w:pPr>
      <w:r>
        <w:rPr/>
        <w:t>指因骨髓造血功能慢性持续性衰竭导致的贫血、中性粒细胞减少及血小板减少。须满足下列全部条件：</w:t>
      </w:r>
    </w:p>
    <w:p>
      <w:pPr>
        <w:pStyle w:val="BodyText"/>
        <w:spacing w:before="114"/>
        <w:ind w:left="1011"/>
      </w:pPr>
      <w:r>
        <w:rPr>
          <w:w w:val="95"/>
        </w:rPr>
        <w:t>（</w:t>
      </w:r>
      <w:r>
        <w:rPr>
          <w:rFonts w:ascii="Arial" w:eastAsia="Arial"/>
          <w:w w:val="95"/>
        </w:rPr>
        <w:t>1</w:t>
      </w:r>
      <w:r>
        <w:rPr>
          <w:w w:val="95"/>
        </w:rPr>
        <w:t>）骨髓穿刺检查或骨髓活检结果支持诊断；</w:t>
      </w:r>
    </w:p>
    <w:p>
      <w:pPr>
        <w:pStyle w:val="BodyText"/>
        <w:spacing w:before="102"/>
        <w:ind w:left="1011"/>
      </w:pPr>
      <w:r>
        <w:rPr>
          <w:w w:val="95"/>
        </w:rPr>
        <w:t>（</w:t>
      </w:r>
      <w:r>
        <w:rPr>
          <w:rFonts w:ascii="Arial" w:eastAsia="Arial"/>
          <w:w w:val="95"/>
        </w:rPr>
        <w:t>2</w:t>
      </w:r>
      <w:r>
        <w:rPr>
          <w:w w:val="95"/>
        </w:rPr>
        <w:t>）外周血象须具备以下三项条件：</w:t>
      </w:r>
    </w:p>
    <w:p>
      <w:pPr>
        <w:pStyle w:val="BodyText"/>
        <w:spacing w:before="102"/>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ind w:left="1611"/>
      </w:pPr>
      <w:r>
        <w:rPr/>
        <w:t>② 网织红细胞＜</w:t>
      </w:r>
      <w:r>
        <w:rPr>
          <w:rFonts w:ascii="Arial" w:hAnsi="Arial" w:eastAsia="Arial"/>
        </w:rPr>
        <w:t>1%</w:t>
      </w:r>
      <w:r>
        <w:rPr/>
        <w:t>；</w:t>
      </w:r>
    </w:p>
    <w:p>
      <w:pPr>
        <w:pStyle w:val="BodyText"/>
        <w:spacing w:before="102"/>
        <w:ind w:left="1573" w:right="6326"/>
        <w:jc w:val="center"/>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3"/>
        </w:numPr>
        <w:tabs>
          <w:tab w:pos="1105" w:val="left" w:leader="none"/>
        </w:tabs>
        <w:spacing w:line="240" w:lineRule="auto" w:before="104" w:after="0"/>
        <w:ind w:left="536" w:right="0" w:firstLine="2"/>
        <w:jc w:val="left"/>
        <w:rPr>
          <w:sz w:val="18"/>
        </w:rPr>
      </w:pPr>
      <w:r>
        <w:rPr>
          <w:sz w:val="18"/>
        </w:rPr>
        <w:t>主动脉手术</w:t>
      </w:r>
    </w:p>
    <w:p>
      <w:pPr>
        <w:pStyle w:val="BodyText"/>
        <w:spacing w:line="357" w:lineRule="auto"/>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9"/>
      </w:pPr>
      <w:r>
        <w:rPr>
          <w:w w:val="95"/>
        </w:rPr>
        <w:t>动脉内血管成形术不在保障范围内。</w:t>
      </w:r>
    </w:p>
    <w:p>
      <w:pPr>
        <w:pStyle w:val="ListParagraph"/>
        <w:numPr>
          <w:ilvl w:val="1"/>
          <w:numId w:val="13"/>
        </w:numPr>
        <w:tabs>
          <w:tab w:pos="1105" w:val="left" w:leader="none"/>
        </w:tabs>
        <w:spacing w:line="240" w:lineRule="auto" w:before="117" w:after="0"/>
        <w:ind w:left="536" w:right="0" w:firstLine="2"/>
        <w:jc w:val="left"/>
        <w:rPr>
          <w:sz w:val="18"/>
        </w:rPr>
      </w:pPr>
      <w:r>
        <w:rPr>
          <w:sz w:val="18"/>
        </w:rPr>
        <w:t>多发性硬化</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BodyText"/>
        <w:spacing w:line="348" w:lineRule="auto" w:before="53"/>
        <w:ind w:left="831" w:right="270"/>
        <w:jc w:val="both"/>
      </w:pPr>
      <w:r>
        <w:rPr/>
        <w:t>被保险人因脑及脊髓内的脱髓鞘病变而出现神经系统多灶性（多发性）多时相（</w:t>
      </w:r>
      <w:r>
        <w:rPr>
          <w:spacing w:val="-16"/>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3"/>
        <w:ind w:left="831"/>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3"/>
        </w:numPr>
        <w:tabs>
          <w:tab w:pos="1105" w:val="left" w:leader="none"/>
        </w:tabs>
        <w:spacing w:line="240" w:lineRule="auto" w:before="104" w:after="0"/>
        <w:ind w:left="1104" w:right="0" w:hanging="566"/>
        <w:jc w:val="left"/>
        <w:rPr>
          <w:sz w:val="18"/>
        </w:rPr>
      </w:pPr>
      <w:r>
        <w:rPr>
          <w:sz w:val="18"/>
        </w:rPr>
        <w:t>肌营养不良症</w:t>
      </w:r>
    </w:p>
    <w:p>
      <w:pPr>
        <w:pStyle w:val="BodyText"/>
        <w:spacing w:line="360" w:lineRule="auto"/>
        <w:ind w:left="831" w:right="275"/>
      </w:pPr>
      <w:r>
        <w:rPr/>
        <w:t>是一组原发于肌肉的遗传性的肌肉病变。主要临床特征为受累骨骼肌肉的无力和肌肉萎缩。经我们认可的神经专科医生确认符合以下四项诊断指标中的三项：</w:t>
      </w:r>
    </w:p>
    <w:p>
      <w:pPr>
        <w:pStyle w:val="BodyText"/>
        <w:spacing w:before="24"/>
        <w:ind w:left="1011"/>
      </w:pPr>
      <w:r>
        <w:rPr>
          <w:w w:val="95"/>
        </w:rPr>
        <w:t>（</w:t>
      </w:r>
      <w:r>
        <w:rPr>
          <w:rFonts w:ascii="Arial" w:eastAsia="Arial"/>
          <w:w w:val="95"/>
        </w:rPr>
        <w:t>1</w:t>
      </w:r>
      <w:r>
        <w:rPr>
          <w:w w:val="95"/>
        </w:rPr>
        <w:t>）家族史中有其他成员患相同疾病；</w:t>
      </w:r>
    </w:p>
    <w:p>
      <w:pPr>
        <w:pStyle w:val="BodyText"/>
        <w:spacing w:before="101"/>
        <w:ind w:left="1011"/>
      </w:pPr>
      <w:r>
        <w:rPr>
          <w:w w:val="95"/>
        </w:rPr>
        <w:t>（</w:t>
      </w:r>
      <w:r>
        <w:rPr>
          <w:rFonts w:ascii="Arial" w:eastAsia="Arial"/>
          <w:w w:val="95"/>
        </w:rPr>
        <w:t>2</w:t>
      </w:r>
      <w:r>
        <w:rPr>
          <w:w w:val="95"/>
        </w:rPr>
        <w:t>）临床表现包括：无感觉神经紊乱，正常脑脊液及轻微腱反射的减退；</w:t>
      </w:r>
    </w:p>
    <w:p>
      <w:pPr>
        <w:pStyle w:val="BodyText"/>
        <w:spacing w:before="101"/>
        <w:ind w:left="1011"/>
      </w:pPr>
      <w:r>
        <w:rPr>
          <w:w w:val="95"/>
        </w:rPr>
        <w:t>（</w:t>
      </w:r>
      <w:r>
        <w:rPr>
          <w:rFonts w:ascii="Arial" w:eastAsia="Arial"/>
          <w:w w:val="95"/>
        </w:rPr>
        <w:t>3</w:t>
      </w:r>
      <w:r>
        <w:rPr>
          <w:w w:val="95"/>
        </w:rPr>
        <w:t>）典型的肌电图；</w:t>
      </w:r>
    </w:p>
    <w:p>
      <w:pPr>
        <w:pStyle w:val="BodyText"/>
        <w:spacing w:before="103"/>
        <w:ind w:left="1011"/>
      </w:pPr>
      <w:r>
        <w:rPr>
          <w:w w:val="95"/>
        </w:rPr>
        <w:t>（</w:t>
      </w:r>
      <w:r>
        <w:rPr>
          <w:rFonts w:ascii="Arial" w:eastAsia="Arial"/>
          <w:w w:val="95"/>
        </w:rPr>
        <w:t>4</w:t>
      </w:r>
      <w:r>
        <w:rPr>
          <w:w w:val="95"/>
        </w:rPr>
        <w:t>）临床推测必须有肌肉或组织检查加以证实。</w:t>
      </w:r>
    </w:p>
    <w:p>
      <w:pPr>
        <w:pStyle w:val="ListParagraph"/>
        <w:numPr>
          <w:ilvl w:val="1"/>
          <w:numId w:val="13"/>
        </w:numPr>
        <w:tabs>
          <w:tab w:pos="1105" w:val="left" w:leader="none"/>
        </w:tabs>
        <w:spacing w:line="240" w:lineRule="auto" w:before="103" w:after="0"/>
        <w:ind w:left="1104" w:right="0" w:hanging="566"/>
        <w:jc w:val="left"/>
        <w:rPr>
          <w:sz w:val="18"/>
        </w:rPr>
      </w:pPr>
      <w:r>
        <w:rPr>
          <w:sz w:val="18"/>
        </w:rPr>
        <w:t>急诊和医疗服务导致的人类免疫缺陷病毒感染</w:t>
      </w:r>
    </w:p>
    <w:p>
      <w:pPr>
        <w:pStyle w:val="BodyText"/>
        <w:spacing w:line="357" w:lineRule="auto" w:before="103"/>
        <w:ind w:left="831" w:right="275"/>
      </w:pPr>
      <w:r>
        <w:rPr/>
        <w:t>在本附加险保单签发日、合同签署日或复效日（取其最晚者）之后，被保险人在从事正常职业生活中感染人类免疫缺陷病毒，并且证实满足以下所有条件者：</w:t>
      </w:r>
    </w:p>
    <w:p>
      <w:pPr>
        <w:pStyle w:val="BodyText"/>
        <w:spacing w:before="26"/>
        <w:ind w:left="1071"/>
      </w:pPr>
      <w:r>
        <w:rPr/>
        <w:t>（</w:t>
      </w:r>
      <w:r>
        <w:rPr>
          <w:rFonts w:ascii="Arial" w:eastAsia="Arial"/>
        </w:rPr>
        <w:t>1</w:t>
      </w:r>
      <w:r>
        <w:rPr/>
        <w:t>）导致感染人类免疫缺陷病毒的意外伤害事故必须在意外发生后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2"/>
        <w:ind w:left="1071"/>
      </w:pPr>
      <w:r>
        <w:rPr>
          <w:w w:val="95"/>
        </w:rPr>
        <w:t>（</w:t>
      </w:r>
      <w:r>
        <w:rPr>
          <w:rFonts w:ascii="Arial" w:eastAsia="Arial"/>
          <w:w w:val="95"/>
        </w:rPr>
        <w:t>2</w:t>
      </w:r>
      <w:r>
        <w:rPr>
          <w:w w:val="95"/>
        </w:rPr>
        <w:t>）导致意外伤害事故的明确的人类免疫缺陷病毒感染的液体的证据；</w:t>
      </w:r>
    </w:p>
    <w:p>
      <w:pPr>
        <w:pStyle w:val="BodyText"/>
        <w:spacing w:line="338" w:lineRule="auto"/>
        <w:ind w:left="1070" w:right="194"/>
      </w:pPr>
      <w:r>
        <w:rPr/>
        <w:t>（</w:t>
      </w:r>
      <w:r>
        <w:rPr>
          <w:rFonts w:ascii="Arial" w:eastAsia="Arial"/>
        </w:rPr>
        <w:t>3</w:t>
      </w:r>
      <w:r>
        <w:rPr/>
        <w:t>）</w:t>
      </w:r>
      <w:r>
        <w:rPr>
          <w:spacing w:val="-4"/>
        </w:rPr>
        <w:t>在书面报告意外发生后的 </w:t>
      </w:r>
      <w:r>
        <w:rPr>
          <w:rFonts w:ascii="Arial" w:eastAsia="Arial"/>
        </w:rPr>
        <w:t>180 </w:t>
      </w:r>
      <w:r>
        <w:rPr/>
        <w:t>日内（</w:t>
      </w:r>
      <w:r>
        <w:rPr>
          <w:spacing w:val="-16"/>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18"/>
      </w:pPr>
      <w:r>
        <w:rPr>
          <w:w w:val="95"/>
        </w:rPr>
        <w:t>由其他途径感染的人类免疫缺陷病毒，包括性行为和静脉注射毒品，不在保障范围内。</w:t>
      </w:r>
    </w:p>
    <w:p>
      <w:pPr>
        <w:pStyle w:val="BodyText"/>
        <w:spacing w:before="114"/>
        <w:ind w:left="831"/>
      </w:pPr>
      <w:r>
        <w:rPr/>
        <w:t>意外伤害事故后 </w:t>
      </w:r>
      <w:r>
        <w:rPr>
          <w:rFonts w:ascii="Arial" w:eastAsia="Arial"/>
        </w:rPr>
        <w:t>12 </w:t>
      </w:r>
      <w:r>
        <w:rPr/>
        <w:t>个月内需要进行进一步的血液检查以确认存在人类免疫缺陷病毒抗体的存在。</w:t>
      </w:r>
    </w:p>
    <w:p>
      <w:pPr>
        <w:pStyle w:val="BodyText"/>
        <w:spacing w:line="357" w:lineRule="auto"/>
        <w:ind w:left="831" w:right="275"/>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3"/>
        </w:numPr>
        <w:tabs>
          <w:tab w:pos="1105" w:val="left" w:leader="none"/>
        </w:tabs>
        <w:spacing w:line="240" w:lineRule="auto" w:before="28" w:after="0"/>
        <w:ind w:left="1104" w:right="0" w:hanging="566"/>
        <w:jc w:val="left"/>
        <w:rPr>
          <w:sz w:val="18"/>
        </w:rPr>
      </w:pPr>
      <w:r>
        <w:rPr>
          <w:sz w:val="18"/>
        </w:rPr>
        <w:t>慢性复发性胰腺炎</w:t>
      </w:r>
    </w:p>
    <w:p>
      <w:pPr>
        <w:pStyle w:val="BodyText"/>
        <w:spacing w:line="348" w:lineRule="auto" w:before="103"/>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pPr>
      <w:r>
        <w:rPr>
          <w:w w:val="95"/>
        </w:rPr>
        <w:t>酒精导致的慢性复发性胰腺炎不在保障范围内。</w:t>
      </w:r>
    </w:p>
    <w:p>
      <w:pPr>
        <w:pStyle w:val="ListParagraph"/>
        <w:numPr>
          <w:ilvl w:val="1"/>
          <w:numId w:val="13"/>
        </w:numPr>
        <w:tabs>
          <w:tab w:pos="1105" w:val="left" w:leader="none"/>
        </w:tabs>
        <w:spacing w:line="240" w:lineRule="auto" w:before="117" w:after="0"/>
        <w:ind w:left="536" w:right="0" w:firstLine="2"/>
        <w:jc w:val="left"/>
        <w:rPr>
          <w:sz w:val="18"/>
        </w:rPr>
      </w:pPr>
      <w:r>
        <w:rPr>
          <w:sz w:val="18"/>
        </w:rPr>
        <w:t>系统性红斑狼疮</w:t>
      </w:r>
    </w:p>
    <w:p>
      <w:pPr>
        <w:pStyle w:val="BodyText"/>
        <w:ind w:left="831"/>
      </w:pPr>
      <w:r>
        <w:rPr/>
        <w:t>限于被保险人因系统性红斑狼疮并发狼疮性肾炎并引起肾功能损害或中枢神经系统病变符合下列定义的：</w:t>
      </w:r>
    </w:p>
    <w:p>
      <w:pPr>
        <w:pStyle w:val="BodyText"/>
        <w:spacing w:line="340" w:lineRule="auto" w:before="114"/>
        <w:ind w:left="831" w:right="154"/>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38"/>
        <w:ind w:left="831"/>
      </w:pPr>
      <w:r>
        <w:rPr/>
        <w:t>世界卫生组织（</w:t>
      </w:r>
      <w:r>
        <w:rPr>
          <w:rFonts w:ascii="Arial" w:eastAsia="Arial"/>
        </w:rPr>
        <w:t>WHO</w:t>
      </w:r>
      <w:r>
        <w:rPr/>
        <w:t>）对狼疮性肾炎的分类标准：</w:t>
      </w:r>
    </w:p>
    <w:p>
      <w:pPr>
        <w:pStyle w:val="ListParagraph"/>
        <w:numPr>
          <w:ilvl w:val="0"/>
          <w:numId w:val="15"/>
        </w:numPr>
        <w:tabs>
          <w:tab w:pos="1293" w:val="left" w:leader="none"/>
        </w:tabs>
        <w:spacing w:line="240" w:lineRule="auto" w:before="101"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5"/>
        </w:numPr>
        <w:tabs>
          <w:tab w:pos="1333" w:val="left" w:leader="none"/>
        </w:tabs>
        <w:spacing w:line="240" w:lineRule="auto" w:before="101" w:after="0"/>
        <w:ind w:left="1332" w:right="0" w:hanging="141"/>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5"/>
        </w:numPr>
        <w:tabs>
          <w:tab w:pos="1384" w:val="left" w:leader="none"/>
        </w:tabs>
        <w:spacing w:line="240" w:lineRule="auto" w:before="104" w:after="0"/>
        <w:ind w:left="1383" w:right="4913"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5"/>
        </w:numPr>
        <w:tabs>
          <w:tab w:pos="1403" w:val="left" w:leader="none"/>
        </w:tabs>
        <w:spacing w:line="240" w:lineRule="auto" w:before="102"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5"/>
        </w:numPr>
        <w:tabs>
          <w:tab w:pos="1352" w:val="left" w:leader="none"/>
        </w:tabs>
        <w:spacing w:line="240" w:lineRule="auto" w:before="102"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5"/>
        </w:numPr>
        <w:tabs>
          <w:tab w:pos="1403" w:val="left" w:leader="none"/>
        </w:tabs>
        <w:spacing w:line="240" w:lineRule="auto" w:before="102"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3"/>
        <w:ind w:left="831" w:right="268"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3"/>
        </w:numPr>
        <w:tabs>
          <w:tab w:pos="1105" w:val="left" w:leader="none"/>
        </w:tabs>
        <w:spacing w:line="240" w:lineRule="auto" w:before="28" w:after="0"/>
        <w:ind w:left="536" w:right="0" w:firstLine="2"/>
        <w:jc w:val="left"/>
        <w:rPr>
          <w:sz w:val="18"/>
        </w:rPr>
      </w:pPr>
      <w:r>
        <w:rPr>
          <w:sz w:val="18"/>
        </w:rPr>
        <w:t>植物人状态</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57" w:lineRule="auto" w:before="44"/>
        <w:ind w:left="831" w:right="275"/>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3"/>
        </w:numPr>
        <w:tabs>
          <w:tab w:pos="1105" w:val="left" w:leader="none"/>
        </w:tabs>
        <w:spacing w:line="240" w:lineRule="auto" w:before="28" w:after="0"/>
        <w:ind w:left="1104" w:right="0" w:hanging="566"/>
        <w:jc w:val="left"/>
        <w:rPr>
          <w:sz w:val="18"/>
        </w:rPr>
      </w:pPr>
      <w:r>
        <w:rPr>
          <w:sz w:val="18"/>
        </w:rPr>
        <w:t>终末期肺病</w:t>
      </w:r>
    </w:p>
    <w:p>
      <w:pPr>
        <w:pStyle w:val="BodyText"/>
        <w:ind w:left="831"/>
      </w:pPr>
      <w:r>
        <w:rPr/>
        <w:t>由我们认可的呼吸科专家确诊被保险人患有终末期肺病而出现慢性呼吸功能衰竭，其诊断标准包括以下各项：</w:t>
      </w:r>
    </w:p>
    <w:p>
      <w:pPr>
        <w:pStyle w:val="BodyText"/>
        <w:spacing w:before="115"/>
        <w:ind w:left="1011"/>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ind w:left="1011"/>
      </w:pPr>
      <w:r>
        <w:rPr>
          <w:w w:val="95"/>
        </w:rPr>
        <w:t>（</w:t>
      </w:r>
      <w:r>
        <w:rPr>
          <w:rFonts w:ascii="Arial" w:eastAsia="Arial"/>
          <w:w w:val="95"/>
        </w:rPr>
        <w:t>2</w:t>
      </w:r>
      <w:r>
        <w:rPr>
          <w:w w:val="95"/>
        </w:rPr>
        <w:t>）病人缺氧必须广泛而持续地进行输氧治疗；</w:t>
      </w:r>
    </w:p>
    <w:p>
      <w:pPr>
        <w:pStyle w:val="BodyText"/>
        <w:spacing w:before="101"/>
        <w:ind w:left="1011"/>
      </w:pPr>
      <w:r>
        <w:rPr/>
        <w:t>（</w:t>
      </w:r>
      <w:r>
        <w:rPr>
          <w:rFonts w:ascii="Arial" w:eastAsia="Arial"/>
        </w:rPr>
        <w:t>3</w:t>
      </w:r>
      <w:r>
        <w:rPr/>
        <w:t>）动脉血气分析氧分压低于 </w:t>
      </w:r>
      <w:r>
        <w:rPr>
          <w:rFonts w:ascii="Arial" w:eastAsia="Arial"/>
        </w:rPr>
        <w:t>55mmHg</w:t>
      </w:r>
      <w:r>
        <w:rPr/>
        <w:t>。</w:t>
      </w:r>
    </w:p>
    <w:p>
      <w:pPr>
        <w:pStyle w:val="BodyText"/>
        <w:spacing w:before="101"/>
        <w:ind w:left="830"/>
      </w:pPr>
      <w:r>
        <w:rPr/>
        <w:t>理赔时必须提供以上各项中相应的医院证明文件或检查报告。</w:t>
      </w:r>
    </w:p>
    <w:p>
      <w:pPr>
        <w:pStyle w:val="ListParagraph"/>
        <w:numPr>
          <w:ilvl w:val="1"/>
          <w:numId w:val="13"/>
        </w:numPr>
        <w:tabs>
          <w:tab w:pos="1243" w:val="left" w:leader="none"/>
          <w:tab w:pos="1244" w:val="left" w:leader="none"/>
        </w:tabs>
        <w:spacing w:line="240" w:lineRule="auto" w:before="117" w:after="0"/>
        <w:ind w:left="1243" w:right="0" w:hanging="706"/>
        <w:jc w:val="left"/>
        <w:rPr>
          <w:sz w:val="18"/>
        </w:rPr>
      </w:pPr>
      <w:r>
        <w:rPr>
          <w:sz w:val="18"/>
        </w:rPr>
        <w:t>严重原发性心肌病</w:t>
      </w:r>
    </w:p>
    <w:p>
      <w:pPr>
        <w:pStyle w:val="BodyText"/>
        <w:spacing w:line="345" w:lineRule="auto"/>
        <w:ind w:left="830" w:right="177"/>
        <w:rPr>
          <w:b/>
        </w:rPr>
      </w:pPr>
      <w:r>
        <w:rPr/>
        <w:t>指不明原因引起的一类心肌病变，包括原发性扩张型心肌病、原发性肥厚型心肌病及原发性限制型心肌病三种，病变</w:t>
      </w:r>
      <w:r>
        <w:rPr>
          <w:spacing w:val="-1"/>
        </w:rPr>
        <w:t>必须已造成事实上心室功能障碍而出现明显的心功能衰竭，达到美国纽约心脏病协会心功能状态分级 </w:t>
      </w:r>
      <w:r>
        <w:rPr>
          <w:rFonts w:ascii="Arial" w:eastAsia="Arial"/>
        </w:rPr>
        <w:t>IV </w:t>
      </w:r>
      <w:r>
        <w:rPr/>
        <w:t>级，且有相关</w:t>
      </w:r>
      <w:r>
        <w:rPr>
          <w:spacing w:val="-6"/>
        </w:rPr>
        <w:t>住院医疗记录显示 </w:t>
      </w:r>
      <w:r>
        <w:rPr>
          <w:rFonts w:ascii="Arial" w:eastAsia="Arial"/>
        </w:rPr>
        <w:t>IV </w:t>
      </w:r>
      <w:r>
        <w:rPr>
          <w:spacing w:val="-6"/>
        </w:rPr>
        <w:t>级心功能状态持续至少 </w:t>
      </w:r>
      <w:r>
        <w:rPr>
          <w:rFonts w:ascii="Arial" w:eastAsia="Arial"/>
        </w:rPr>
        <w:t>180 </w:t>
      </w:r>
      <w:r>
        <w:rPr>
          <w:spacing w:val="-1"/>
        </w:rPr>
        <w:t>天。该疾病索赔时须要经专科医生做出明确诊断并经心脏超声检查证</w:t>
      </w:r>
      <w:r>
        <w:rPr>
          <w:spacing w:val="-1"/>
          <w:w w:val="95"/>
        </w:rPr>
        <w:t>实。</w:t>
      </w:r>
      <w:r>
        <w:rPr>
          <w:b/>
          <w:spacing w:val="-1"/>
          <w:w w:val="95"/>
        </w:rPr>
        <w:t>继发于全身性疾病或其它器官系统疾病不在保障范围内。</w:t>
      </w:r>
    </w:p>
    <w:p>
      <w:pPr>
        <w:pStyle w:val="ListParagraph"/>
        <w:numPr>
          <w:ilvl w:val="1"/>
          <w:numId w:val="13"/>
        </w:numPr>
        <w:tabs>
          <w:tab w:pos="1243" w:val="left" w:leader="none"/>
          <w:tab w:pos="1244" w:val="left" w:leader="none"/>
        </w:tabs>
        <w:spacing w:line="240" w:lineRule="auto" w:before="37" w:after="0"/>
        <w:ind w:left="1244" w:right="0" w:hanging="706"/>
        <w:jc w:val="left"/>
        <w:rPr>
          <w:sz w:val="18"/>
        </w:rPr>
      </w:pPr>
      <w:r>
        <w:rPr>
          <w:sz w:val="18"/>
        </w:rPr>
        <w:t>严重的类风湿关节炎</w:t>
      </w:r>
    </w:p>
    <w:p>
      <w:pPr>
        <w:pStyle w:val="BodyText"/>
        <w:ind w:left="831"/>
      </w:pPr>
      <w:r>
        <w:rPr/>
        <w:t>严重的类风湿关节炎需符合下列各项：</w:t>
      </w:r>
    </w:p>
    <w:p>
      <w:pPr>
        <w:pStyle w:val="ListParagraph"/>
        <w:numPr>
          <w:ilvl w:val="0"/>
          <w:numId w:val="16"/>
        </w:numPr>
        <w:tabs>
          <w:tab w:pos="1244" w:val="left" w:leader="none"/>
        </w:tabs>
        <w:spacing w:line="340" w:lineRule="auto" w:before="115" w:after="0"/>
        <w:ind w:left="1244" w:right="222" w:hanging="413"/>
        <w:jc w:val="left"/>
        <w:rPr>
          <w:sz w:val="18"/>
        </w:rPr>
      </w:pPr>
      <w:r>
        <w:rPr>
          <w:sz w:val="18"/>
        </w:rPr>
        <w:t>关节变形性病变累及三组或以上所列关节：指间关节（所有指间关节计为一组）、腕关节、肘关节、膝关节、髋</w:t>
      </w:r>
      <w:r>
        <w:rPr>
          <w:w w:val="95"/>
          <w:sz w:val="18"/>
        </w:rPr>
        <w:t>关节、踝关节、椎间关节（所有椎间关节计为一组）；</w:t>
      </w:r>
    </w:p>
    <w:p>
      <w:pPr>
        <w:pStyle w:val="ListParagraph"/>
        <w:numPr>
          <w:ilvl w:val="0"/>
          <w:numId w:val="16"/>
        </w:numPr>
        <w:tabs>
          <w:tab w:pos="1244" w:val="left" w:leader="none"/>
        </w:tabs>
        <w:spacing w:line="338" w:lineRule="auto" w:before="39" w:after="0"/>
        <w:ind w:left="1244" w:right="242" w:hanging="413"/>
        <w:jc w:val="left"/>
        <w:rPr>
          <w:sz w:val="18"/>
        </w:rPr>
      </w:pPr>
      <w:r>
        <w:rPr>
          <w:rFonts w:ascii="Arial" w:eastAsia="Arial"/>
          <w:sz w:val="18"/>
        </w:rPr>
        <w:t>X</w:t>
      </w:r>
      <w:r>
        <w:rPr>
          <w:rFonts w:ascii="Arial" w:eastAsia="Arial"/>
          <w:spacing w:val="-11"/>
          <w:sz w:val="18"/>
        </w:rPr>
        <w:t> </w:t>
      </w:r>
      <w:r>
        <w:rPr>
          <w:sz w:val="18"/>
        </w:rPr>
        <w:t>光片显示有典型的类风湿改变（关节间隙狭窄，关节软骨下囊性破坏，关节半脱位，关节融合，关节纤维性强</w:t>
      </w:r>
      <w:r>
        <w:rPr>
          <w:w w:val="95"/>
          <w:sz w:val="18"/>
        </w:rPr>
        <w:t>直或骨性强直）；</w:t>
      </w:r>
    </w:p>
    <w:p>
      <w:pPr>
        <w:pStyle w:val="ListParagraph"/>
        <w:numPr>
          <w:ilvl w:val="0"/>
          <w:numId w:val="16"/>
        </w:numPr>
        <w:tabs>
          <w:tab w:pos="1244" w:val="left" w:leader="none"/>
        </w:tabs>
        <w:spacing w:line="240" w:lineRule="auto" w:before="41" w:after="0"/>
        <w:ind w:left="1244" w:right="0" w:hanging="413"/>
        <w:jc w:val="left"/>
        <w:rPr>
          <w:sz w:val="18"/>
        </w:rPr>
      </w:pPr>
      <w:r>
        <w:rPr>
          <w:spacing w:val="-5"/>
          <w:sz w:val="18"/>
        </w:rPr>
        <w:t>关节变形状态至少持续 </w:t>
      </w:r>
      <w:r>
        <w:rPr>
          <w:rFonts w:ascii="Arial" w:eastAsia="Arial"/>
          <w:sz w:val="18"/>
        </w:rPr>
        <w:t>180</w:t>
      </w:r>
      <w:r>
        <w:rPr>
          <w:rFonts w:ascii="Arial" w:eastAsia="Arial"/>
          <w:spacing w:val="-10"/>
          <w:sz w:val="18"/>
        </w:rPr>
        <w:t> </w:t>
      </w:r>
      <w:r>
        <w:rPr>
          <w:spacing w:val="-3"/>
          <w:sz w:val="18"/>
        </w:rPr>
        <w:t>天。</w:t>
      </w:r>
    </w:p>
    <w:p>
      <w:pPr>
        <w:pStyle w:val="ListParagraph"/>
        <w:numPr>
          <w:ilvl w:val="1"/>
          <w:numId w:val="13"/>
        </w:numPr>
        <w:tabs>
          <w:tab w:pos="1243" w:val="left" w:leader="none"/>
          <w:tab w:pos="1244" w:val="left" w:leader="none"/>
        </w:tabs>
        <w:spacing w:line="240" w:lineRule="auto" w:before="107" w:after="0"/>
        <w:ind w:left="1244" w:right="0" w:hanging="706"/>
        <w:jc w:val="left"/>
        <w:rPr>
          <w:sz w:val="18"/>
        </w:rPr>
      </w:pPr>
      <w:r>
        <w:rPr>
          <w:sz w:val="18"/>
        </w:rPr>
        <w:t>由输血而感染艾滋病病毒</w:t>
      </w:r>
    </w:p>
    <w:p>
      <w:pPr>
        <w:pStyle w:val="BodyText"/>
        <w:ind w:left="831"/>
      </w:pPr>
      <w:r>
        <w:rPr/>
        <w:t>指被保险人感染艾滋病病毒，并须满足下列全部条件：</w:t>
      </w:r>
    </w:p>
    <w:p>
      <w:pPr>
        <w:pStyle w:val="ListParagraph"/>
        <w:numPr>
          <w:ilvl w:val="0"/>
          <w:numId w:val="17"/>
        </w:numPr>
        <w:tabs>
          <w:tab w:pos="1192" w:val="left" w:leader="none"/>
        </w:tabs>
        <w:spacing w:line="340" w:lineRule="auto" w:before="116" w:after="0"/>
        <w:ind w:left="1188" w:right="275" w:hanging="360"/>
        <w:jc w:val="left"/>
        <w:rPr>
          <w:sz w:val="18"/>
        </w:rPr>
      </w:pPr>
      <w:r>
        <w:rPr>
          <w:sz w:val="18"/>
        </w:rPr>
        <w:t>在本附加合同生效日或最后复效日（取其最晚者）之后，被保险人因治疗必需而接受输血，并且因输血而感染艾</w:t>
      </w:r>
      <w:r>
        <w:rPr>
          <w:w w:val="95"/>
          <w:sz w:val="18"/>
        </w:rPr>
        <w:t>滋病病毒；</w:t>
      </w:r>
    </w:p>
    <w:p>
      <w:pPr>
        <w:pStyle w:val="ListParagraph"/>
        <w:numPr>
          <w:ilvl w:val="0"/>
          <w:numId w:val="17"/>
        </w:numPr>
        <w:tabs>
          <w:tab w:pos="1192" w:val="left" w:leader="none"/>
        </w:tabs>
        <w:spacing w:line="240" w:lineRule="auto" w:before="41" w:after="0"/>
        <w:ind w:left="1188" w:right="0" w:hanging="360"/>
        <w:jc w:val="left"/>
        <w:rPr>
          <w:sz w:val="18"/>
        </w:rPr>
      </w:pPr>
      <w:r>
        <w:rPr>
          <w:w w:val="95"/>
          <w:sz w:val="18"/>
        </w:rPr>
        <w:t>提供输血治疗的输血中心或医院出具该项输血感染属医疗责任事故的报告，或者法院终审判决为医疗责任；</w:t>
      </w:r>
    </w:p>
    <w:p>
      <w:pPr>
        <w:pStyle w:val="ListParagraph"/>
        <w:numPr>
          <w:ilvl w:val="0"/>
          <w:numId w:val="17"/>
        </w:numPr>
        <w:tabs>
          <w:tab w:pos="1192" w:val="left" w:leader="none"/>
        </w:tabs>
        <w:spacing w:line="240" w:lineRule="auto" w:before="107" w:after="0"/>
        <w:ind w:left="1188" w:right="0" w:hanging="360"/>
        <w:jc w:val="left"/>
        <w:rPr>
          <w:sz w:val="18"/>
        </w:rPr>
      </w:pPr>
      <w:r>
        <w:rPr>
          <w:w w:val="95"/>
          <w:sz w:val="18"/>
        </w:rPr>
        <w:t>提供输血治疗的输血中心或医院必须拥有合法经营执照；</w:t>
      </w:r>
    </w:p>
    <w:p>
      <w:pPr>
        <w:pStyle w:val="ListParagraph"/>
        <w:numPr>
          <w:ilvl w:val="0"/>
          <w:numId w:val="17"/>
        </w:numPr>
        <w:tabs>
          <w:tab w:pos="1192" w:val="left" w:leader="none"/>
        </w:tabs>
        <w:spacing w:line="240" w:lineRule="auto" w:before="107" w:after="0"/>
        <w:ind w:left="1188" w:right="0" w:hanging="360"/>
        <w:jc w:val="left"/>
        <w:rPr>
          <w:sz w:val="18"/>
        </w:rPr>
      </w:pPr>
      <w:r>
        <w:rPr>
          <w:w w:val="95"/>
          <w:sz w:val="18"/>
        </w:rPr>
        <w:t>受感染的被保险人不是血友病患者。</w:t>
      </w:r>
    </w:p>
    <w:p>
      <w:pPr>
        <w:pStyle w:val="Heading3"/>
        <w:spacing w:before="107"/>
      </w:pPr>
      <w:r>
        <w:rPr>
          <w:w w:val="95"/>
        </w:rPr>
        <w:t>任何因其他传播方式（包括：性传播或静脉注射毒品）导致感染艾滋病病毒不在保障范围内。</w:t>
      </w:r>
    </w:p>
    <w:p>
      <w:pPr>
        <w:pStyle w:val="ListParagraph"/>
        <w:numPr>
          <w:ilvl w:val="1"/>
          <w:numId w:val="13"/>
        </w:numPr>
        <w:tabs>
          <w:tab w:pos="1243" w:val="left" w:leader="none"/>
          <w:tab w:pos="1244" w:val="left" w:leader="none"/>
        </w:tabs>
        <w:spacing w:line="240" w:lineRule="auto" w:before="120" w:after="0"/>
        <w:ind w:left="1244" w:right="0" w:hanging="706"/>
        <w:jc w:val="left"/>
        <w:rPr>
          <w:sz w:val="18"/>
        </w:rPr>
      </w:pPr>
      <w:r>
        <w:rPr>
          <w:sz w:val="18"/>
        </w:rPr>
        <w:t>严重脊髓灰质炎</w:t>
      </w:r>
    </w:p>
    <w:p>
      <w:pPr>
        <w:spacing w:line="350" w:lineRule="auto" w:before="107"/>
        <w:ind w:left="831" w:right="268" w:firstLine="0"/>
        <w:jc w:val="both"/>
        <w:rPr>
          <w:b/>
          <w:sz w:val="18"/>
        </w:rPr>
      </w:pPr>
      <w:r>
        <w:rPr>
          <w:sz w:val="18"/>
        </w:rPr>
        <w:t>指由于脊髓灰质炎病毒感染所导致的运动功能障碍或呼吸功能减弱的瘫痪性疾病。诊断必须由神经科专科医生确认并提供相关的脊髓灰质炎病毒感染的证据（例如：脑脊液检查或血清学抗体检查报告）。被保险人若无因此感染而导致</w:t>
      </w:r>
      <w:r>
        <w:rPr>
          <w:w w:val="95"/>
          <w:sz w:val="18"/>
        </w:rPr>
        <w:t>的瘫痪，则不符合理赔条件。</w:t>
      </w:r>
      <w:r>
        <w:rPr>
          <w:b/>
          <w:w w:val="95"/>
          <w:sz w:val="18"/>
        </w:rPr>
        <w:t>未导致肢体瘫痪及其它病因所致的瘫痪，例如格林</w:t>
      </w:r>
      <w:r>
        <w:rPr>
          <w:rFonts w:ascii="Arial" w:eastAsia="Arial"/>
          <w:b/>
          <w:spacing w:val="-3"/>
          <w:w w:val="95"/>
          <w:sz w:val="18"/>
        </w:rPr>
        <w:t>-</w:t>
      </w:r>
      <w:r>
        <w:rPr>
          <w:b/>
          <w:w w:val="95"/>
          <w:sz w:val="18"/>
        </w:rPr>
        <w:t>巴利综合征</w:t>
      </w:r>
      <w:r>
        <w:rPr>
          <w:rFonts w:ascii="Arial" w:eastAsia="Arial"/>
          <w:b/>
          <w:spacing w:val="-3"/>
          <w:w w:val="95"/>
          <w:sz w:val="18"/>
        </w:rPr>
        <w:t>(</w:t>
      </w:r>
      <w:r>
        <w:rPr>
          <w:b/>
          <w:w w:val="95"/>
          <w:sz w:val="18"/>
        </w:rPr>
        <w:t>急性感染性多神经炎</w:t>
      </w:r>
      <w:r>
        <w:rPr>
          <w:rFonts w:ascii="Arial" w:eastAsia="Arial"/>
          <w:b/>
          <w:spacing w:val="-3"/>
          <w:w w:val="95"/>
          <w:sz w:val="18"/>
        </w:rPr>
        <w:t>)</w:t>
      </w:r>
      <w:r>
        <w:rPr>
          <w:b/>
          <w:w w:val="95"/>
          <w:sz w:val="18"/>
        </w:rPr>
        <w:t>则    不在保障范围内。</w:t>
      </w:r>
    </w:p>
    <w:p>
      <w:pPr>
        <w:pStyle w:val="ListParagraph"/>
        <w:numPr>
          <w:ilvl w:val="1"/>
          <w:numId w:val="13"/>
        </w:numPr>
        <w:tabs>
          <w:tab w:pos="1105" w:val="left" w:leader="none"/>
        </w:tabs>
        <w:spacing w:line="340" w:lineRule="auto" w:before="34" w:after="0"/>
        <w:ind w:left="536" w:right="155" w:firstLine="2"/>
        <w:jc w:val="left"/>
        <w:rPr>
          <w:sz w:val="18"/>
        </w:rPr>
      </w:pPr>
      <w:r>
        <w:rPr>
          <w:sz w:val="18"/>
        </w:rPr>
        <w:t>上述定义的各项重大疾病中，</w:t>
      </w:r>
      <w:r>
        <w:rPr>
          <w:rFonts w:ascii="Arial" w:eastAsia="Arial"/>
          <w:sz w:val="18"/>
        </w:rPr>
        <w:t>13.1</w:t>
      </w:r>
      <w:r>
        <w:rPr>
          <w:rFonts w:ascii="Arial" w:eastAsia="Arial"/>
          <w:spacing w:val="-10"/>
          <w:sz w:val="18"/>
        </w:rPr>
        <w:t> </w:t>
      </w:r>
      <w:r>
        <w:rPr>
          <w:spacing w:val="-24"/>
          <w:sz w:val="18"/>
        </w:rPr>
        <w:t>至 </w:t>
      </w:r>
      <w:r>
        <w:rPr>
          <w:rFonts w:ascii="Arial" w:eastAsia="Arial"/>
          <w:sz w:val="18"/>
        </w:rPr>
        <w:t>13.25</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39"/>
      </w:pPr>
      <w:bookmarkStart w:name="_bookmark13" w:id="14"/>
      <w:bookmarkEnd w:id="14"/>
      <w:r>
        <w:rPr>
          <w:b w:val="0"/>
        </w:rPr>
      </w:r>
      <w:r>
        <w:rPr/>
        <w:t>第十</w:t>
      </w:r>
      <w:r>
        <w:rPr>
          <w:spacing w:val="-3"/>
        </w:rPr>
        <w:t>四</w:t>
      </w:r>
      <w:r>
        <w:rPr/>
        <w:t>条</w:t>
        <w:tab/>
        <w:t>释义</w:t>
      </w:r>
    </w:p>
    <w:p>
      <w:pPr>
        <w:pStyle w:val="ListParagraph"/>
        <w:numPr>
          <w:ilvl w:val="1"/>
          <w:numId w:val="18"/>
        </w:numPr>
        <w:tabs>
          <w:tab w:pos="1263" w:val="left" w:leader="none"/>
          <w:tab w:pos="1264" w:val="left" w:leader="none"/>
        </w:tabs>
        <w:spacing w:line="240" w:lineRule="auto" w:before="141" w:after="0"/>
        <w:ind w:left="1243" w:right="0" w:hanging="705"/>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8"/>
        </w:numPr>
        <w:tabs>
          <w:tab w:pos="1263" w:val="left" w:leader="none"/>
          <w:tab w:pos="1264" w:val="left" w:leader="none"/>
        </w:tabs>
        <w:spacing w:line="240" w:lineRule="auto" w:before="106" w:after="0"/>
        <w:ind w:left="1263" w:right="0" w:hanging="725"/>
        <w:jc w:val="left"/>
        <w:rPr>
          <w:sz w:val="18"/>
        </w:rPr>
      </w:pPr>
      <w:r>
        <w:rPr>
          <w:sz w:val="18"/>
        </w:rPr>
        <w:t>专科医生：专科医生应当同时满足以下四项资格条件：</w:t>
      </w:r>
    </w:p>
    <w:p>
      <w:pPr>
        <w:pStyle w:val="BodyText"/>
        <w:spacing w:before="103"/>
      </w:pPr>
      <w:r>
        <w:rPr/>
        <w:t>（1）具有有效的中华人民共和国《医师资格证书》；</w:t>
      </w:r>
    </w:p>
    <w:p>
      <w:pPr>
        <w:pStyle w:val="BodyText"/>
        <w:spacing w:before="119"/>
      </w:pPr>
      <w:r>
        <w:rPr/>
        <w:t>（2）具有有效的中华人民共和国《医师执业证书》，并按期到相关部门登记注册；</w:t>
      </w:r>
    </w:p>
    <w:p>
      <w:pPr>
        <w:spacing w:after="0"/>
        <w:sectPr>
          <w:pgSz w:w="11910" w:h="16840"/>
          <w:pgMar w:header="672" w:footer="759" w:top="860" w:bottom="940" w:left="880" w:right="740"/>
        </w:sectPr>
      </w:pPr>
    </w:p>
    <w:p>
      <w:pPr>
        <w:pStyle w:val="BodyText"/>
        <w:spacing w:before="5"/>
        <w:ind w:left="0"/>
        <w:rPr>
          <w:sz w:val="14"/>
        </w:rPr>
      </w:pPr>
    </w:p>
    <w:p>
      <w:pPr>
        <w:pStyle w:val="BodyText"/>
        <w:spacing w:before="44"/>
      </w:pPr>
      <w:r>
        <w:rPr/>
        <w:t>（3）具有有效的中华人民共和国主治医师或主治医师以上职称的《医师职称证书》；</w:t>
      </w:r>
    </w:p>
    <w:p>
      <w:pPr>
        <w:pStyle w:val="BodyText"/>
        <w:spacing w:before="119"/>
      </w:pPr>
      <w:r>
        <w:rPr/>
        <w:t>（4）在二级或二级以上医院的相应科室从事临床工作三年以上。</w:t>
      </w:r>
    </w:p>
    <w:p>
      <w:pPr>
        <w:pStyle w:val="ListParagraph"/>
        <w:numPr>
          <w:ilvl w:val="1"/>
          <w:numId w:val="18"/>
        </w:numPr>
        <w:tabs>
          <w:tab w:pos="1263" w:val="left" w:leader="none"/>
          <w:tab w:pos="1264" w:val="left" w:leader="none"/>
        </w:tabs>
        <w:spacing w:line="240" w:lineRule="auto" w:before="117" w:after="0"/>
        <w:ind w:left="1243" w:right="0" w:hanging="705"/>
        <w:jc w:val="left"/>
        <w:rPr>
          <w:sz w:val="18"/>
        </w:rPr>
      </w:pPr>
      <w:r>
        <w:rPr>
          <w:sz w:val="18"/>
        </w:rPr>
        <w:t>重大疾病：指本附加合同第十三条所约定的疾病、疾病状态或手术。</w:t>
      </w:r>
    </w:p>
    <w:p>
      <w:pPr>
        <w:pStyle w:val="ListParagraph"/>
        <w:numPr>
          <w:ilvl w:val="1"/>
          <w:numId w:val="18"/>
        </w:numPr>
        <w:tabs>
          <w:tab w:pos="1264" w:val="left" w:leader="none"/>
        </w:tabs>
        <w:spacing w:line="350" w:lineRule="auto" w:before="106" w:after="0"/>
        <w:ind w:left="1243" w:right="105" w:hanging="705"/>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8"/>
        </w:numPr>
        <w:tabs>
          <w:tab w:pos="1264" w:val="left" w:leader="none"/>
        </w:tabs>
        <w:spacing w:line="340" w:lineRule="auto" w:before="33" w:after="0"/>
        <w:ind w:left="1244" w:right="109" w:hanging="706"/>
        <w:jc w:val="both"/>
        <w:rPr>
          <w:sz w:val="18"/>
        </w:rPr>
      </w:pPr>
      <w:r>
        <w:rPr>
          <w:sz w:val="18"/>
        </w:rPr>
        <w:t>冠状动脉手术成型术：为了治疗严重的冠心病，实际接受了 </w:t>
      </w:r>
      <w:r>
        <w:rPr>
          <w:rFonts w:ascii="Arial" w:eastAsia="Arial"/>
          <w:sz w:val="18"/>
        </w:rPr>
        <w:t>2</w:t>
      </w:r>
      <w:r>
        <w:rPr>
          <w:rFonts w:ascii="Arial" w:eastAsia="Arial"/>
          <w:spacing w:val="28"/>
          <w:sz w:val="18"/>
        </w:rPr>
        <w:t> </w:t>
      </w:r>
      <w:r>
        <w:rPr>
          <w:sz w:val="18"/>
        </w:rPr>
        <w:t>支或以上的冠状动脉血管成形术以矫正或者治疗狭窄的冠状动脉。必须提供进行这一手术必要性的证据，即冠状动脉检查报告证实 </w:t>
      </w:r>
      <w:r>
        <w:rPr>
          <w:rFonts w:ascii="Arial" w:eastAsia="Arial"/>
          <w:sz w:val="18"/>
        </w:rPr>
        <w:t>2</w:t>
      </w:r>
      <w:r>
        <w:rPr>
          <w:rFonts w:ascii="Arial" w:eastAsia="Arial"/>
          <w:spacing w:val="35"/>
          <w:sz w:val="18"/>
        </w:rPr>
        <w:t> </w:t>
      </w:r>
      <w:r>
        <w:rPr>
          <w:sz w:val="18"/>
        </w:rPr>
        <w:t>支或以上的冠状动脉血管有超</w:t>
      </w:r>
      <w:r>
        <w:rPr>
          <w:spacing w:val="-23"/>
          <w:sz w:val="18"/>
        </w:rPr>
        <w:t>过 </w:t>
      </w:r>
      <w:r>
        <w:rPr>
          <w:rFonts w:ascii="Arial" w:eastAsia="Arial"/>
          <w:sz w:val="18"/>
        </w:rPr>
        <w:t>70%</w:t>
      </w:r>
      <w:r>
        <w:rPr>
          <w:sz w:val="18"/>
        </w:rPr>
        <w:t>的狭窄。</w:t>
      </w:r>
    </w:p>
    <w:p>
      <w:pPr>
        <w:pStyle w:val="ListParagraph"/>
        <w:numPr>
          <w:ilvl w:val="1"/>
          <w:numId w:val="18"/>
        </w:numPr>
        <w:tabs>
          <w:tab w:pos="1264" w:val="left" w:leader="none"/>
        </w:tabs>
        <w:spacing w:line="340" w:lineRule="auto" w:before="19" w:after="0"/>
        <w:ind w:left="1244" w:right="105" w:hanging="706"/>
        <w:jc w:val="both"/>
        <w:rPr>
          <w:sz w:val="18"/>
        </w:rPr>
      </w:pPr>
      <w:r>
        <w:rPr>
          <w:sz w:val="18"/>
        </w:rPr>
        <w:t>冠状动脉粥样斑块切除术：为了治疗严重的冠心病，通过切除粥样斑块组织来矫正两支或者两支以上变窄或阻塞的冠状动脉。必须提供进行这一手术必要性的证据，即冠状动脉检查报告证实 </w:t>
      </w:r>
      <w:r>
        <w:rPr>
          <w:rFonts w:ascii="Arial" w:eastAsia="Arial"/>
          <w:sz w:val="18"/>
        </w:rPr>
        <w:t>2</w:t>
      </w:r>
      <w:r>
        <w:rPr>
          <w:rFonts w:ascii="Arial" w:eastAsia="Arial"/>
          <w:spacing w:val="36"/>
          <w:sz w:val="18"/>
        </w:rPr>
        <w:t> </w:t>
      </w:r>
      <w:r>
        <w:rPr>
          <w:sz w:val="18"/>
        </w:rPr>
        <w:t>支或以上的冠状动脉血管有超过</w:t>
      </w:r>
    </w:p>
    <w:p>
      <w:pPr>
        <w:pStyle w:val="BodyText"/>
        <w:spacing w:before="17"/>
        <w:ind w:left="1243"/>
      </w:pPr>
      <w:r>
        <w:rPr>
          <w:rFonts w:ascii="Arial" w:eastAsia="Arial"/>
          <w:w w:val="95"/>
        </w:rPr>
        <w:t>70%</w:t>
      </w:r>
      <w:r>
        <w:rPr>
          <w:w w:val="95"/>
        </w:rPr>
        <w:t>的狭窄。</w:t>
      </w:r>
    </w:p>
    <w:p>
      <w:pPr>
        <w:pStyle w:val="ListParagraph"/>
        <w:numPr>
          <w:ilvl w:val="1"/>
          <w:numId w:val="18"/>
        </w:numPr>
        <w:tabs>
          <w:tab w:pos="1263" w:val="left" w:leader="none"/>
          <w:tab w:pos="1264" w:val="left" w:leader="none"/>
        </w:tabs>
        <w:spacing w:line="240" w:lineRule="auto" w:before="106" w:after="0"/>
        <w:ind w:left="1243" w:right="0" w:hanging="705"/>
        <w:jc w:val="left"/>
        <w:rPr>
          <w:sz w:val="18"/>
        </w:rPr>
      </w:pPr>
      <w:r>
        <w:rPr>
          <w:sz w:val="18"/>
        </w:rPr>
        <w:t>原位癌：是指恶性肿瘤未穿透基底膜的原位无浸润恶性肿瘤。原位癌的诊断必须经病理学检查结果明确诊断。</w:t>
      </w:r>
    </w:p>
    <w:p>
      <w:pPr>
        <w:pStyle w:val="ListParagraph"/>
        <w:numPr>
          <w:ilvl w:val="1"/>
          <w:numId w:val="18"/>
        </w:numPr>
        <w:tabs>
          <w:tab w:pos="1263" w:val="left" w:leader="none"/>
          <w:tab w:pos="1264" w:val="left" w:leader="none"/>
        </w:tabs>
        <w:spacing w:line="240" w:lineRule="auto" w:before="106" w:after="0"/>
        <w:ind w:left="1243" w:right="0" w:hanging="705"/>
        <w:jc w:val="left"/>
        <w:rPr>
          <w:sz w:val="18"/>
        </w:rPr>
      </w:pPr>
      <w:r>
        <w:rPr>
          <w:spacing w:val="-3"/>
          <w:sz w:val="18"/>
        </w:rPr>
        <w:t>重度烧伤：Ⅲ度烧伤面积达到全身体表面积的 </w:t>
      </w:r>
      <w:r>
        <w:rPr>
          <w:rFonts w:ascii="Arial" w:hAnsi="Arial" w:eastAsia="Arial"/>
          <w:sz w:val="18"/>
        </w:rPr>
        <w:t>10%</w:t>
      </w:r>
      <w:r>
        <w:rPr>
          <w:spacing w:val="-17"/>
          <w:sz w:val="18"/>
        </w:rPr>
        <w:t>以上 </w:t>
      </w:r>
      <w:r>
        <w:rPr>
          <w:rFonts w:ascii="Arial" w:hAnsi="Arial" w:eastAsia="Arial"/>
          <w:sz w:val="18"/>
        </w:rPr>
        <w:t>20%</w:t>
      </w:r>
      <w:r>
        <w:rPr>
          <w:sz w:val="18"/>
        </w:rPr>
        <w:t>以下，或者头面部Ⅲ度烧伤面积达到全身体表面积的</w:t>
      </w:r>
    </w:p>
    <w:p>
      <w:pPr>
        <w:pStyle w:val="BodyText"/>
      </w:pPr>
      <w:r>
        <w:rPr>
          <w:rFonts w:ascii="Arial" w:hAnsi="Arial" w:eastAsia="Arial"/>
        </w:rPr>
        <w:t>5%</w:t>
      </w:r>
      <w:r>
        <w:rPr/>
        <w:t>或 </w:t>
      </w:r>
      <w:r>
        <w:rPr>
          <w:rFonts w:ascii="Arial" w:hAnsi="Arial" w:eastAsia="Arial"/>
        </w:rPr>
        <w:t>5%</w:t>
      </w:r>
      <w:r>
        <w:rPr/>
        <w:t>以上且全身Ⅲ度烧伤面积在全身体表面积的 </w:t>
      </w:r>
      <w:r>
        <w:rPr>
          <w:rFonts w:ascii="Arial" w:hAnsi="Arial" w:eastAsia="Arial"/>
        </w:rPr>
        <w:t>20%</w:t>
      </w:r>
      <w:r>
        <w:rPr/>
        <w:t>以下。体表面积根据《中国新九分法》计算。</w:t>
      </w:r>
    </w:p>
    <w:p>
      <w:pPr>
        <w:pStyle w:val="ListParagraph"/>
        <w:numPr>
          <w:ilvl w:val="1"/>
          <w:numId w:val="18"/>
        </w:numPr>
        <w:tabs>
          <w:tab w:pos="1264" w:val="left" w:leader="none"/>
        </w:tabs>
        <w:spacing w:line="348" w:lineRule="auto" w:before="104" w:after="0"/>
        <w:ind w:left="1244" w:right="105"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8"/>
        </w:numPr>
        <w:tabs>
          <w:tab w:pos="1264" w:val="left" w:leader="none"/>
        </w:tabs>
        <w:spacing w:line="340" w:lineRule="auto" w:before="35" w:after="0"/>
        <w:ind w:left="1244" w:right="105" w:hanging="706"/>
        <w:jc w:val="both"/>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8"/>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pPr>
      <w:r>
        <w:rPr/>
        <w:t>（1）没有取得驾驶资格；</w:t>
      </w:r>
    </w:p>
    <w:p>
      <w:pPr>
        <w:pStyle w:val="BodyText"/>
        <w:spacing w:before="116"/>
      </w:pPr>
      <w:r>
        <w:rPr/>
        <w:t>（2）驾驶与驾驶证准驾车型不相符合的车辆；</w:t>
      </w:r>
    </w:p>
    <w:p>
      <w:pPr>
        <w:pStyle w:val="BodyText"/>
        <w:spacing w:before="114"/>
      </w:pPr>
      <w:r>
        <w:rPr/>
        <w:t>（3）持审验不合格的驾驶证驾驶；</w:t>
      </w:r>
    </w:p>
    <w:p>
      <w:pPr>
        <w:pStyle w:val="BodyText"/>
        <w:spacing w:before="114"/>
      </w:pPr>
      <w:r>
        <w:rPr/>
        <w:t>（4）持学习驾驶证学习驾车时，无教练员随车指导，或不按指定时间、路线学习驾车。</w:t>
      </w:r>
    </w:p>
    <w:p>
      <w:pPr>
        <w:pStyle w:val="ListParagraph"/>
        <w:numPr>
          <w:ilvl w:val="1"/>
          <w:numId w:val="18"/>
        </w:numPr>
        <w:tabs>
          <w:tab w:pos="1243" w:val="left" w:leader="none"/>
          <w:tab w:pos="1244" w:val="left" w:leader="none"/>
        </w:tabs>
        <w:spacing w:line="240" w:lineRule="auto" w:before="116" w:after="0"/>
        <w:ind w:left="1244" w:right="0" w:hanging="706"/>
        <w:jc w:val="left"/>
        <w:rPr>
          <w:sz w:val="18"/>
        </w:rPr>
      </w:pPr>
      <w:r>
        <w:rPr>
          <w:sz w:val="18"/>
        </w:rPr>
        <w:t>无有效行驶证：是指下列情形之一：</w:t>
      </w:r>
    </w:p>
    <w:p>
      <w:pPr>
        <w:pStyle w:val="BodyText"/>
      </w:pPr>
      <w:r>
        <w:rPr/>
        <w:t>（1）没有机动车行驶证或已被依法注销登记；</w:t>
      </w:r>
    </w:p>
    <w:p>
      <w:pPr>
        <w:pStyle w:val="BodyText"/>
        <w:spacing w:before="115"/>
      </w:pPr>
      <w:r>
        <w:rPr/>
        <w:t>（2）未依法按时进行或通过机动车安全技术检验。</w:t>
      </w:r>
    </w:p>
    <w:p>
      <w:pPr>
        <w:pStyle w:val="ListParagraph"/>
        <w:numPr>
          <w:ilvl w:val="1"/>
          <w:numId w:val="18"/>
        </w:numPr>
        <w:tabs>
          <w:tab w:pos="1264" w:val="left" w:leader="none"/>
        </w:tabs>
        <w:spacing w:line="340" w:lineRule="auto" w:before="119" w:after="0"/>
        <w:ind w:left="1244" w:right="105" w:hanging="706"/>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8"/>
        </w:numPr>
        <w:tabs>
          <w:tab w:pos="1264" w:val="left" w:leader="none"/>
        </w:tabs>
        <w:spacing w:line="340" w:lineRule="auto" w:before="41" w:after="0"/>
        <w:ind w:left="1244" w:right="10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8"/>
        </w:numPr>
        <w:tabs>
          <w:tab w:pos="1264" w:val="left" w:leader="none"/>
        </w:tabs>
        <w:spacing w:line="340" w:lineRule="auto" w:before="41" w:after="0"/>
        <w:ind w:left="1244" w:right="105" w:hanging="706"/>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8"/>
        </w:numPr>
        <w:tabs>
          <w:tab w:pos="1264" w:val="left" w:leader="none"/>
        </w:tabs>
        <w:spacing w:line="340" w:lineRule="auto" w:before="41" w:after="0"/>
        <w:ind w:left="1244" w:right="105" w:hanging="706"/>
        <w:jc w:val="both"/>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8"/>
        </w:numPr>
        <w:tabs>
          <w:tab w:pos="1263" w:val="left" w:leader="none"/>
          <w:tab w:pos="1264" w:val="left" w:leader="none"/>
        </w:tabs>
        <w:spacing w:line="240" w:lineRule="auto" w:before="22" w:after="0"/>
        <w:ind w:left="1243" w:right="0" w:hanging="705"/>
        <w:jc w:val="left"/>
        <w:rPr>
          <w:sz w:val="18"/>
        </w:rPr>
      </w:pPr>
      <w:r>
        <w:rPr>
          <w:sz w:val="18"/>
        </w:rPr>
        <w:t>现金价值：指保险单所具有的价值，通常体现为解除合同时，根据精算原理计算的，由我们退还的那部分金额。</w:t>
      </w:r>
    </w:p>
    <w:p>
      <w:pPr>
        <w:pStyle w:val="ListParagraph"/>
        <w:numPr>
          <w:ilvl w:val="1"/>
          <w:numId w:val="18"/>
        </w:numPr>
        <w:tabs>
          <w:tab w:pos="1264" w:val="left" w:leader="none"/>
        </w:tabs>
        <w:spacing w:line="338" w:lineRule="auto" w:before="106" w:after="0"/>
        <w:ind w:left="1244" w:right="103" w:hanging="706"/>
        <w:jc w:val="both"/>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8"/>
        </w:numPr>
        <w:tabs>
          <w:tab w:pos="1243" w:val="left" w:leader="none"/>
          <w:tab w:pos="1244" w:val="left" w:leader="none"/>
        </w:tabs>
        <w:spacing w:line="240" w:lineRule="auto" w:before="45" w:after="0"/>
        <w:ind w:left="1244" w:right="0" w:hanging="706"/>
        <w:jc w:val="left"/>
        <w:rPr>
          <w:sz w:val="18"/>
        </w:rPr>
      </w:pPr>
      <w:r>
        <w:rPr>
          <w:sz w:val="18"/>
        </w:rPr>
        <w:t>犹豫期：是指您在书面签收保险合同之日起的十日内（含第十日）。</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8"/>
        </w:numPr>
        <w:tabs>
          <w:tab w:pos="1283" w:val="left" w:leader="none"/>
          <w:tab w:pos="1284" w:val="left" w:leader="none"/>
        </w:tabs>
        <w:spacing w:line="340" w:lineRule="auto" w:before="53" w:after="0"/>
        <w:ind w:left="1264" w:right="54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8"/>
        </w:numPr>
        <w:tabs>
          <w:tab w:pos="1283" w:val="left" w:leader="none"/>
          <w:tab w:pos="1284" w:val="left" w:leader="none"/>
        </w:tabs>
        <w:spacing w:line="240" w:lineRule="auto" w:before="41" w:after="0"/>
        <w:ind w:left="1283" w:right="0" w:hanging="725"/>
        <w:jc w:val="left"/>
        <w:rPr>
          <w:sz w:val="18"/>
        </w:rPr>
      </w:pPr>
      <w:r>
        <w:rPr>
          <w:sz w:val="18"/>
        </w:rPr>
        <w:t>语言能力或咀嚼吞咽能力完全丧失：</w:t>
      </w:r>
    </w:p>
    <w:p>
      <w:pPr>
        <w:pStyle w:val="BodyText"/>
        <w:spacing w:line="360" w:lineRule="auto" w:before="106"/>
        <w:ind w:left="1264" w:right="548"/>
      </w:pPr>
      <w:r>
        <w:rPr/>
        <w:t>语言能力完全丧失，指无法发出四种语音（包括口唇音、齿舌音、口盖音和喉头音）中的任何三种、或声带全部切除，或因大脑语言中枢受伤害而患失语症。</w:t>
      </w:r>
    </w:p>
    <w:p>
      <w:pPr>
        <w:pStyle w:val="BodyText"/>
        <w:spacing w:line="360" w:lineRule="auto" w:before="26"/>
        <w:ind w:left="1264" w:right="548"/>
      </w:pPr>
      <w:r>
        <w:rPr/>
        <w:t>咀嚼吞咽能力完全丧失，指因牙齿以外的原因导致器质障碍或机能障碍，以致不能作咀嚼吞咽运动，除流质食物外不能摄取或吞咽的状态。</w:t>
      </w:r>
    </w:p>
    <w:p>
      <w:pPr>
        <w:pStyle w:val="ListParagraph"/>
        <w:numPr>
          <w:ilvl w:val="1"/>
          <w:numId w:val="18"/>
        </w:numPr>
        <w:tabs>
          <w:tab w:pos="1283" w:val="left" w:leader="none"/>
          <w:tab w:pos="1284" w:val="left" w:leader="none"/>
        </w:tabs>
        <w:spacing w:line="240" w:lineRule="auto" w:before="27" w:after="0"/>
        <w:ind w:left="1283" w:right="0" w:hanging="725"/>
        <w:jc w:val="left"/>
        <w:rPr>
          <w:sz w:val="18"/>
        </w:rPr>
      </w:pPr>
      <w:r>
        <w:rPr>
          <w:sz w:val="18"/>
        </w:rPr>
        <w:t>六项基本日常生活活动是指：</w:t>
      </w:r>
    </w:p>
    <w:p>
      <w:pPr>
        <w:pStyle w:val="BodyText"/>
        <w:spacing w:before="107"/>
        <w:ind w:left="1264"/>
      </w:pPr>
      <w:r>
        <w:rPr/>
        <w:t>（1）穿衣：自己能够穿衣及脱衣；</w:t>
      </w:r>
    </w:p>
    <w:p>
      <w:pPr>
        <w:pStyle w:val="BodyText"/>
        <w:spacing w:before="119"/>
        <w:ind w:left="1264"/>
      </w:pPr>
      <w:r>
        <w:rPr/>
        <w:t>（2）移动：自己从一个房间到另一个房间；</w:t>
      </w:r>
    </w:p>
    <w:p>
      <w:pPr>
        <w:pStyle w:val="BodyText"/>
        <w:spacing w:before="119"/>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8"/>
        </w:numPr>
        <w:tabs>
          <w:tab w:pos="1283" w:val="left" w:leader="none"/>
          <w:tab w:pos="1284" w:val="left" w:leader="none"/>
        </w:tabs>
        <w:spacing w:line="240" w:lineRule="auto" w:before="119"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8"/>
        </w:numPr>
        <w:tabs>
          <w:tab w:pos="1283" w:val="left" w:leader="none"/>
          <w:tab w:pos="1284" w:val="left" w:leader="none"/>
        </w:tabs>
        <w:spacing w:line="240" w:lineRule="auto" w:before="104"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8"/>
        </w:numPr>
        <w:tabs>
          <w:tab w:pos="1283" w:val="left" w:leader="none"/>
          <w:tab w:pos="1284" w:val="left" w:leader="none"/>
        </w:tabs>
        <w:spacing w:line="240" w:lineRule="auto" w:before="106"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1"/>
        <w:ind w:left="0"/>
        <w:rPr>
          <w:sz w:val="16"/>
        </w:rPr>
      </w:pPr>
      <w:r>
        <w:rPr/>
        <w:pict>
          <v:line style="position:absolute;mso-position-horizontal-relative:page;mso-position-vertical-relative:paragraph;z-index:1072;mso-wrap-distance-left:0;mso-wrap-distance-right:0" from="48.119999pt,12.735867pt" to="575.159999pt,12.735867pt" stroked="true" strokeweight=".48pt" strokecolor="#000000">
            <v:stroke dashstyle="shortdot"/>
            <w10:wrap type="topAndBottom"/>
          </v:line>
        </w:pict>
      </w:r>
    </w:p>
    <w:p>
      <w:pPr>
        <w:pStyle w:val="Heading2"/>
        <w:spacing w:before="39"/>
        <w:ind w:left="4972" w:right="4978"/>
      </w:pPr>
      <w:r>
        <w:rPr>
          <w:w w:val="95"/>
        </w:rPr>
        <w:t>以下空白</w:t>
      </w:r>
    </w:p>
    <w:sectPr>
      <w:pgSz w:w="11910" w:h="16840"/>
      <w:pgMar w:header="672" w:footer="759"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2.35pt;height:11pt;mso-position-horizontal-relative:page;mso-position-vertical-relative:page;z-index:-15640" type="#_x0000_t202" filled="false" stroked="false">
          <v:textbox inset="0,0,0,0">
            <w:txbxContent>
              <w:p>
                <w:pPr>
                  <w:spacing w:before="15"/>
                  <w:ind w:left="20" w:right="0" w:firstLine="0"/>
                  <w:jc w:val="left"/>
                  <w:rPr>
                    <w:rFonts w:ascii="Arial"/>
                    <w:sz w:val="16"/>
                  </w:rPr>
                </w:pPr>
                <w:r>
                  <w:rPr>
                    <w:rFonts w:ascii="Arial"/>
                    <w:sz w:val="16"/>
                  </w:rPr>
                  <w:t>ACI09-A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5616"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43" w:hanging="725"/>
        <w:jc w:val="left"/>
      </w:pPr>
      <w:rPr>
        <w:rFonts w:hint="default" w:ascii="Arial" w:hAnsi="Arial" w:eastAsia="Arial" w:cs="Arial"/>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6">
    <w:multiLevelType w:val="hybridMultilevel"/>
    <w:lvl w:ilvl="0">
      <w:start w:val="1"/>
      <w:numFmt w:val="decimal"/>
      <w:lvlText w:val="(%1)"/>
      <w:lvlJc w:val="left"/>
      <w:pPr>
        <w:ind w:left="1188" w:hanging="363"/>
        <w:jc w:val="left"/>
      </w:pPr>
      <w:rPr>
        <w:rFonts w:hint="default" w:ascii="Arial" w:hAnsi="Arial" w:eastAsia="Arial" w:cs="Arial"/>
        <w:spacing w:val="-9"/>
        <w:w w:val="99"/>
        <w:sz w:val="18"/>
        <w:szCs w:val="18"/>
      </w:rPr>
    </w:lvl>
    <w:lvl w:ilvl="1">
      <w:start w:val="0"/>
      <w:numFmt w:val="bullet"/>
      <w:lvlText w:val="•"/>
      <w:lvlJc w:val="left"/>
      <w:pPr>
        <w:ind w:left="2090" w:hanging="363"/>
      </w:pPr>
      <w:rPr>
        <w:rFonts w:hint="default"/>
      </w:rPr>
    </w:lvl>
    <w:lvl w:ilvl="2">
      <w:start w:val="0"/>
      <w:numFmt w:val="bullet"/>
      <w:lvlText w:val="•"/>
      <w:lvlJc w:val="left"/>
      <w:pPr>
        <w:ind w:left="3001" w:hanging="363"/>
      </w:pPr>
      <w:rPr>
        <w:rFonts w:hint="default"/>
      </w:rPr>
    </w:lvl>
    <w:lvl w:ilvl="3">
      <w:start w:val="0"/>
      <w:numFmt w:val="bullet"/>
      <w:lvlText w:val="•"/>
      <w:lvlJc w:val="left"/>
      <w:pPr>
        <w:ind w:left="3912" w:hanging="363"/>
      </w:pPr>
      <w:rPr>
        <w:rFonts w:hint="default"/>
      </w:rPr>
    </w:lvl>
    <w:lvl w:ilvl="4">
      <w:start w:val="0"/>
      <w:numFmt w:val="bullet"/>
      <w:lvlText w:val="•"/>
      <w:lvlJc w:val="left"/>
      <w:pPr>
        <w:ind w:left="4823" w:hanging="363"/>
      </w:pPr>
      <w:rPr>
        <w:rFonts w:hint="default"/>
      </w:rPr>
    </w:lvl>
    <w:lvl w:ilvl="5">
      <w:start w:val="0"/>
      <w:numFmt w:val="bullet"/>
      <w:lvlText w:val="•"/>
      <w:lvlJc w:val="left"/>
      <w:pPr>
        <w:ind w:left="5734" w:hanging="363"/>
      </w:pPr>
      <w:rPr>
        <w:rFonts w:hint="default"/>
      </w:rPr>
    </w:lvl>
    <w:lvl w:ilvl="6">
      <w:start w:val="0"/>
      <w:numFmt w:val="bullet"/>
      <w:lvlText w:val="•"/>
      <w:lvlJc w:val="left"/>
      <w:pPr>
        <w:ind w:left="6645" w:hanging="363"/>
      </w:pPr>
      <w:rPr>
        <w:rFonts w:hint="default"/>
      </w:rPr>
    </w:lvl>
    <w:lvl w:ilvl="7">
      <w:start w:val="0"/>
      <w:numFmt w:val="bullet"/>
      <w:lvlText w:val="•"/>
      <w:lvlJc w:val="left"/>
      <w:pPr>
        <w:ind w:left="7556" w:hanging="363"/>
      </w:pPr>
      <w:rPr>
        <w:rFonts w:hint="default"/>
      </w:rPr>
    </w:lvl>
    <w:lvl w:ilvl="8">
      <w:start w:val="0"/>
      <w:numFmt w:val="bullet"/>
      <w:lvlText w:val="•"/>
      <w:lvlJc w:val="left"/>
      <w:pPr>
        <w:ind w:left="8467" w:hanging="363"/>
      </w:pPr>
      <w:rPr>
        <w:rFonts w:hint="default"/>
      </w:rPr>
    </w:lvl>
  </w:abstractNum>
  <w:abstractNum w:abstractNumId="15">
    <w:multiLevelType w:val="hybridMultilevel"/>
    <w:lvl w:ilvl="0">
      <w:start w:val="1"/>
      <w:numFmt w:val="decimal"/>
      <w:lvlText w:val="(%1)"/>
      <w:lvlJc w:val="left"/>
      <w:pPr>
        <w:ind w:left="1244" w:hanging="413"/>
        <w:jc w:val="left"/>
      </w:pPr>
      <w:rPr>
        <w:rFonts w:hint="default" w:ascii="Arial" w:hAnsi="Arial" w:eastAsia="Arial" w:cs="Arial"/>
        <w:spacing w:val="-8"/>
        <w:w w:val="99"/>
        <w:sz w:val="18"/>
        <w:szCs w:val="18"/>
      </w:rPr>
    </w:lvl>
    <w:lvl w:ilvl="1">
      <w:start w:val="0"/>
      <w:numFmt w:val="bullet"/>
      <w:lvlText w:val="•"/>
      <w:lvlJc w:val="left"/>
      <w:pPr>
        <w:ind w:left="2144" w:hanging="413"/>
      </w:pPr>
      <w:rPr>
        <w:rFonts w:hint="default"/>
      </w:rPr>
    </w:lvl>
    <w:lvl w:ilvl="2">
      <w:start w:val="0"/>
      <w:numFmt w:val="bullet"/>
      <w:lvlText w:val="•"/>
      <w:lvlJc w:val="left"/>
      <w:pPr>
        <w:ind w:left="3049" w:hanging="413"/>
      </w:pPr>
      <w:rPr>
        <w:rFonts w:hint="default"/>
      </w:rPr>
    </w:lvl>
    <w:lvl w:ilvl="3">
      <w:start w:val="0"/>
      <w:numFmt w:val="bullet"/>
      <w:lvlText w:val="•"/>
      <w:lvlJc w:val="left"/>
      <w:pPr>
        <w:ind w:left="3954" w:hanging="413"/>
      </w:pPr>
      <w:rPr>
        <w:rFonts w:hint="default"/>
      </w:rPr>
    </w:lvl>
    <w:lvl w:ilvl="4">
      <w:start w:val="0"/>
      <w:numFmt w:val="bullet"/>
      <w:lvlText w:val="•"/>
      <w:lvlJc w:val="left"/>
      <w:pPr>
        <w:ind w:left="4859" w:hanging="413"/>
      </w:pPr>
      <w:rPr>
        <w:rFonts w:hint="default"/>
      </w:rPr>
    </w:lvl>
    <w:lvl w:ilvl="5">
      <w:start w:val="0"/>
      <w:numFmt w:val="bullet"/>
      <w:lvlText w:val="•"/>
      <w:lvlJc w:val="left"/>
      <w:pPr>
        <w:ind w:left="5764" w:hanging="413"/>
      </w:pPr>
      <w:rPr>
        <w:rFonts w:hint="default"/>
      </w:rPr>
    </w:lvl>
    <w:lvl w:ilvl="6">
      <w:start w:val="0"/>
      <w:numFmt w:val="bullet"/>
      <w:lvlText w:val="•"/>
      <w:lvlJc w:val="left"/>
      <w:pPr>
        <w:ind w:left="6669" w:hanging="413"/>
      </w:pPr>
      <w:rPr>
        <w:rFonts w:hint="default"/>
      </w:rPr>
    </w:lvl>
    <w:lvl w:ilvl="7">
      <w:start w:val="0"/>
      <w:numFmt w:val="bullet"/>
      <w:lvlText w:val="•"/>
      <w:lvlJc w:val="left"/>
      <w:pPr>
        <w:ind w:left="7574" w:hanging="413"/>
      </w:pPr>
      <w:rPr>
        <w:rFonts w:hint="default"/>
      </w:rPr>
    </w:lvl>
    <w:lvl w:ilvl="8">
      <w:start w:val="0"/>
      <w:numFmt w:val="bullet"/>
      <w:lvlText w:val="•"/>
      <w:lvlJc w:val="left"/>
      <w:pPr>
        <w:ind w:left="8479" w:hanging="413"/>
      </w:pPr>
      <w:rPr>
        <w:rFonts w:hint="default"/>
      </w:rPr>
    </w:lvl>
  </w:abstractNum>
  <w:abstractNum w:abstractNumId="14">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3">
    <w:multiLevelType w:val="hybridMultilevel"/>
    <w:lvl w:ilvl="0">
      <w:start w:val="1"/>
      <w:numFmt w:val="decimal"/>
      <w:lvlText w:val="(%1)"/>
      <w:lvlJc w:val="left"/>
      <w:pPr>
        <w:ind w:left="1191" w:hanging="360"/>
        <w:jc w:val="left"/>
      </w:pPr>
      <w:rPr>
        <w:rFonts w:hint="default" w:ascii="Arial" w:hAnsi="Arial" w:eastAsia="Arial" w:cs="Arial"/>
        <w:spacing w:val="-11"/>
        <w:w w:val="99"/>
        <w:sz w:val="18"/>
        <w:szCs w:val="18"/>
      </w:rPr>
    </w:lvl>
    <w:lvl w:ilvl="1">
      <w:start w:val="0"/>
      <w:numFmt w:val="bullet"/>
      <w:lvlText w:val="•"/>
      <w:lvlJc w:val="left"/>
      <w:pPr>
        <w:ind w:left="2108" w:hanging="360"/>
      </w:pPr>
      <w:rPr>
        <w:rFonts w:hint="default"/>
      </w:rPr>
    </w:lvl>
    <w:lvl w:ilvl="2">
      <w:start w:val="0"/>
      <w:numFmt w:val="bullet"/>
      <w:lvlText w:val="•"/>
      <w:lvlJc w:val="left"/>
      <w:pPr>
        <w:ind w:left="3017" w:hanging="360"/>
      </w:pPr>
      <w:rPr>
        <w:rFonts w:hint="default"/>
      </w:rPr>
    </w:lvl>
    <w:lvl w:ilvl="3">
      <w:start w:val="0"/>
      <w:numFmt w:val="bullet"/>
      <w:lvlText w:val="•"/>
      <w:lvlJc w:val="left"/>
      <w:pPr>
        <w:ind w:left="3926" w:hanging="360"/>
      </w:pPr>
      <w:rPr>
        <w:rFonts w:hint="default"/>
      </w:rPr>
    </w:lvl>
    <w:lvl w:ilvl="4">
      <w:start w:val="0"/>
      <w:numFmt w:val="bullet"/>
      <w:lvlText w:val="•"/>
      <w:lvlJc w:val="left"/>
      <w:pPr>
        <w:ind w:left="4835" w:hanging="360"/>
      </w:pPr>
      <w:rPr>
        <w:rFonts w:hint="default"/>
      </w:rPr>
    </w:lvl>
    <w:lvl w:ilvl="5">
      <w:start w:val="0"/>
      <w:numFmt w:val="bullet"/>
      <w:lvlText w:val="•"/>
      <w:lvlJc w:val="left"/>
      <w:pPr>
        <w:ind w:left="5744" w:hanging="360"/>
      </w:pPr>
      <w:rPr>
        <w:rFonts w:hint="default"/>
      </w:rPr>
    </w:lvl>
    <w:lvl w:ilvl="6">
      <w:start w:val="0"/>
      <w:numFmt w:val="bullet"/>
      <w:lvlText w:val="•"/>
      <w:lvlJc w:val="left"/>
      <w:pPr>
        <w:ind w:left="6653" w:hanging="360"/>
      </w:pPr>
      <w:rPr>
        <w:rFonts w:hint="default"/>
      </w:rPr>
    </w:lvl>
    <w:lvl w:ilvl="7">
      <w:start w:val="0"/>
      <w:numFmt w:val="bullet"/>
      <w:lvlText w:val="•"/>
      <w:lvlJc w:val="left"/>
      <w:pPr>
        <w:ind w:left="7562" w:hanging="360"/>
      </w:pPr>
      <w:rPr>
        <w:rFonts w:hint="default"/>
      </w:rPr>
    </w:lvl>
    <w:lvl w:ilvl="8">
      <w:start w:val="0"/>
      <w:numFmt w:val="bullet"/>
      <w:lvlText w:val="•"/>
      <w:lvlJc w:val="left"/>
      <w:pPr>
        <w:ind w:left="8471" w:hanging="360"/>
      </w:pPr>
      <w:rPr>
        <w:rFonts w:hint="default"/>
      </w:rPr>
    </w:lvl>
  </w:abstractNum>
  <w:abstractNum w:abstractNumId="12">
    <w:multiLevelType w:val="hybridMultilevel"/>
    <w:lvl w:ilvl="0">
      <w:start w:val="13"/>
      <w:numFmt w:val="decimal"/>
      <w:lvlText w:val="%1"/>
      <w:lvlJc w:val="left"/>
      <w:pPr>
        <w:ind w:left="1104" w:hanging="567"/>
        <w:jc w:val="left"/>
      </w:pPr>
      <w:rPr>
        <w:rFonts w:hint="default"/>
      </w:rPr>
    </w:lvl>
    <w:lvl w:ilvl="1">
      <w:start w:val="1"/>
      <w:numFmt w:val="decimal"/>
      <w:lvlText w:val="%1.%2"/>
      <w:lvlJc w:val="left"/>
      <w:pPr>
        <w:ind w:left="536" w:hanging="567"/>
        <w:jc w:val="left"/>
      </w:pPr>
      <w:rPr>
        <w:rFonts w:hint="default" w:ascii="Arial" w:hAnsi="Arial" w:eastAsia="Arial" w:cs="Arial"/>
        <w:w w:val="99"/>
        <w:sz w:val="18"/>
        <w:szCs w:val="18"/>
      </w:rPr>
    </w:lvl>
    <w:lvl w:ilvl="2">
      <w:start w:val="0"/>
      <w:numFmt w:val="bullet"/>
      <w:lvlText w:val="•"/>
      <w:lvlJc w:val="left"/>
      <w:pPr>
        <w:ind w:left="1520" w:hanging="567"/>
      </w:pPr>
      <w:rPr>
        <w:rFonts w:hint="default"/>
      </w:rPr>
    </w:lvl>
    <w:lvl w:ilvl="3">
      <w:start w:val="0"/>
      <w:numFmt w:val="bullet"/>
      <w:lvlText w:val="•"/>
      <w:lvlJc w:val="left"/>
      <w:pPr>
        <w:ind w:left="2616" w:hanging="567"/>
      </w:pPr>
      <w:rPr>
        <w:rFonts w:hint="default"/>
      </w:rPr>
    </w:lvl>
    <w:lvl w:ilvl="4">
      <w:start w:val="0"/>
      <w:numFmt w:val="bullet"/>
      <w:lvlText w:val="•"/>
      <w:lvlJc w:val="left"/>
      <w:pPr>
        <w:ind w:left="3712" w:hanging="567"/>
      </w:pPr>
      <w:rPr>
        <w:rFonts w:hint="default"/>
      </w:rPr>
    </w:lvl>
    <w:lvl w:ilvl="5">
      <w:start w:val="0"/>
      <w:numFmt w:val="bullet"/>
      <w:lvlText w:val="•"/>
      <w:lvlJc w:val="left"/>
      <w:pPr>
        <w:ind w:left="4808" w:hanging="567"/>
      </w:pPr>
      <w:rPr>
        <w:rFonts w:hint="default"/>
      </w:rPr>
    </w:lvl>
    <w:lvl w:ilvl="6">
      <w:start w:val="0"/>
      <w:numFmt w:val="bullet"/>
      <w:lvlText w:val="•"/>
      <w:lvlJc w:val="left"/>
      <w:pPr>
        <w:ind w:left="5904" w:hanging="567"/>
      </w:pPr>
      <w:rPr>
        <w:rFonts w:hint="default"/>
      </w:rPr>
    </w:lvl>
    <w:lvl w:ilvl="7">
      <w:start w:val="0"/>
      <w:numFmt w:val="bullet"/>
      <w:lvlText w:val="•"/>
      <w:lvlJc w:val="left"/>
      <w:pPr>
        <w:ind w:left="7000" w:hanging="567"/>
      </w:pPr>
      <w:rPr>
        <w:rFonts w:hint="default"/>
      </w:rPr>
    </w:lvl>
    <w:lvl w:ilvl="8">
      <w:start w:val="0"/>
      <w:numFmt w:val="bullet"/>
      <w:lvlText w:val="•"/>
      <w:lvlJc w:val="left"/>
      <w:pPr>
        <w:ind w:left="8096" w:hanging="567"/>
      </w:pPr>
      <w:rPr>
        <w:rFonts w:hint="default"/>
      </w:rPr>
    </w:lvl>
  </w:abstractNum>
  <w:abstractNum w:abstractNumId="11">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10">
    <w:multiLevelType w:val="hybridMultilevel"/>
    <w:lvl w:ilvl="0">
      <w:start w:val="11"/>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9">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8">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7">
    <w:multiLevelType w:val="hybridMultilevel"/>
    <w:lvl w:ilvl="0">
      <w:start w:val="7"/>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6">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5">
    <w:multiLevelType w:val="hybridMultilevel"/>
    <w:lvl w:ilvl="0">
      <w:start w:val="1"/>
      <w:numFmt w:val="decimal"/>
      <w:lvlText w:val="(%1)"/>
      <w:lvlJc w:val="left"/>
      <w:pPr>
        <w:ind w:left="2151" w:hanging="425"/>
        <w:jc w:val="left"/>
      </w:pPr>
      <w:rPr>
        <w:rFonts w:hint="default" w:ascii="Arial" w:hAnsi="Arial" w:eastAsia="Arial" w:cs="Arial"/>
        <w:spacing w:val="-10"/>
        <w:w w:val="99"/>
        <w:sz w:val="18"/>
        <w:szCs w:val="18"/>
      </w:rPr>
    </w:lvl>
    <w:lvl w:ilvl="1">
      <w:start w:val="0"/>
      <w:numFmt w:val="bullet"/>
      <w:lvlText w:val="•"/>
      <w:lvlJc w:val="left"/>
      <w:pPr>
        <w:ind w:left="2972" w:hanging="425"/>
      </w:pPr>
      <w:rPr>
        <w:rFonts w:hint="default"/>
      </w:rPr>
    </w:lvl>
    <w:lvl w:ilvl="2">
      <w:start w:val="0"/>
      <w:numFmt w:val="bullet"/>
      <w:lvlText w:val="•"/>
      <w:lvlJc w:val="left"/>
      <w:pPr>
        <w:ind w:left="3785" w:hanging="425"/>
      </w:pPr>
      <w:rPr>
        <w:rFonts w:hint="default"/>
      </w:rPr>
    </w:lvl>
    <w:lvl w:ilvl="3">
      <w:start w:val="0"/>
      <w:numFmt w:val="bullet"/>
      <w:lvlText w:val="•"/>
      <w:lvlJc w:val="left"/>
      <w:pPr>
        <w:ind w:left="4598" w:hanging="425"/>
      </w:pPr>
      <w:rPr>
        <w:rFonts w:hint="default"/>
      </w:rPr>
    </w:lvl>
    <w:lvl w:ilvl="4">
      <w:start w:val="0"/>
      <w:numFmt w:val="bullet"/>
      <w:lvlText w:val="•"/>
      <w:lvlJc w:val="left"/>
      <w:pPr>
        <w:ind w:left="5411" w:hanging="425"/>
      </w:pPr>
      <w:rPr>
        <w:rFonts w:hint="default"/>
      </w:rPr>
    </w:lvl>
    <w:lvl w:ilvl="5">
      <w:start w:val="0"/>
      <w:numFmt w:val="bullet"/>
      <w:lvlText w:val="•"/>
      <w:lvlJc w:val="left"/>
      <w:pPr>
        <w:ind w:left="6224" w:hanging="425"/>
      </w:pPr>
      <w:rPr>
        <w:rFonts w:hint="default"/>
      </w:rPr>
    </w:lvl>
    <w:lvl w:ilvl="6">
      <w:start w:val="0"/>
      <w:numFmt w:val="bullet"/>
      <w:lvlText w:val="•"/>
      <w:lvlJc w:val="left"/>
      <w:pPr>
        <w:ind w:left="7037" w:hanging="425"/>
      </w:pPr>
      <w:rPr>
        <w:rFonts w:hint="default"/>
      </w:rPr>
    </w:lvl>
    <w:lvl w:ilvl="7">
      <w:start w:val="0"/>
      <w:numFmt w:val="bullet"/>
      <w:lvlText w:val="•"/>
      <w:lvlJc w:val="left"/>
      <w:pPr>
        <w:ind w:left="7850" w:hanging="425"/>
      </w:pPr>
      <w:rPr>
        <w:rFonts w:hint="default"/>
      </w:rPr>
    </w:lvl>
    <w:lvl w:ilvl="8">
      <w:start w:val="0"/>
      <w:numFmt w:val="bullet"/>
      <w:lvlText w:val="•"/>
      <w:lvlJc w:val="left"/>
      <w:pPr>
        <w:ind w:left="8663" w:hanging="425"/>
      </w:pPr>
      <w:rPr>
        <w:rFonts w:hint="default"/>
      </w:rPr>
    </w:lvl>
  </w:abstractNum>
  <w:abstractNum w:abstractNumId="4">
    <w:multiLevelType w:val="hybridMultilevel"/>
    <w:lvl w:ilvl="0">
      <w:start w:val="1"/>
      <w:numFmt w:val="decimal"/>
      <w:lvlText w:val="(%1)"/>
      <w:lvlJc w:val="left"/>
      <w:pPr>
        <w:ind w:left="2151" w:hanging="425"/>
        <w:jc w:val="left"/>
      </w:pPr>
      <w:rPr>
        <w:rFonts w:hint="default" w:ascii="Arial" w:hAnsi="Arial" w:eastAsia="Arial" w:cs="Arial"/>
        <w:spacing w:val="-10"/>
        <w:w w:val="99"/>
        <w:sz w:val="18"/>
        <w:szCs w:val="18"/>
      </w:rPr>
    </w:lvl>
    <w:lvl w:ilvl="1">
      <w:start w:val="0"/>
      <w:numFmt w:val="bullet"/>
      <w:lvlText w:val="•"/>
      <w:lvlJc w:val="left"/>
      <w:pPr>
        <w:ind w:left="2978" w:hanging="425"/>
      </w:pPr>
      <w:rPr>
        <w:rFonts w:hint="default"/>
      </w:rPr>
    </w:lvl>
    <w:lvl w:ilvl="2">
      <w:start w:val="0"/>
      <w:numFmt w:val="bullet"/>
      <w:lvlText w:val="•"/>
      <w:lvlJc w:val="left"/>
      <w:pPr>
        <w:ind w:left="3797" w:hanging="425"/>
      </w:pPr>
      <w:rPr>
        <w:rFonts w:hint="default"/>
      </w:rPr>
    </w:lvl>
    <w:lvl w:ilvl="3">
      <w:start w:val="0"/>
      <w:numFmt w:val="bullet"/>
      <w:lvlText w:val="•"/>
      <w:lvlJc w:val="left"/>
      <w:pPr>
        <w:ind w:left="4616" w:hanging="425"/>
      </w:pPr>
      <w:rPr>
        <w:rFonts w:hint="default"/>
      </w:rPr>
    </w:lvl>
    <w:lvl w:ilvl="4">
      <w:start w:val="0"/>
      <w:numFmt w:val="bullet"/>
      <w:lvlText w:val="•"/>
      <w:lvlJc w:val="left"/>
      <w:pPr>
        <w:ind w:left="5435" w:hanging="425"/>
      </w:pPr>
      <w:rPr>
        <w:rFonts w:hint="default"/>
      </w:rPr>
    </w:lvl>
    <w:lvl w:ilvl="5">
      <w:start w:val="0"/>
      <w:numFmt w:val="bullet"/>
      <w:lvlText w:val="•"/>
      <w:lvlJc w:val="left"/>
      <w:pPr>
        <w:ind w:left="6254" w:hanging="425"/>
      </w:pPr>
      <w:rPr>
        <w:rFonts w:hint="default"/>
      </w:rPr>
    </w:lvl>
    <w:lvl w:ilvl="6">
      <w:start w:val="0"/>
      <w:numFmt w:val="bullet"/>
      <w:lvlText w:val="•"/>
      <w:lvlJc w:val="left"/>
      <w:pPr>
        <w:ind w:left="7073" w:hanging="425"/>
      </w:pPr>
      <w:rPr>
        <w:rFonts w:hint="default"/>
      </w:rPr>
    </w:lvl>
    <w:lvl w:ilvl="7">
      <w:start w:val="0"/>
      <w:numFmt w:val="bullet"/>
      <w:lvlText w:val="•"/>
      <w:lvlJc w:val="left"/>
      <w:pPr>
        <w:ind w:left="7892" w:hanging="425"/>
      </w:pPr>
      <w:rPr>
        <w:rFonts w:hint="default"/>
      </w:rPr>
    </w:lvl>
    <w:lvl w:ilvl="8">
      <w:start w:val="0"/>
      <w:numFmt w:val="bullet"/>
      <w:lvlText w:val="•"/>
      <w:lvlJc w:val="left"/>
      <w:pPr>
        <w:ind w:left="8711" w:hanging="425"/>
      </w:pPr>
      <w:rPr>
        <w:rFonts w:hint="default"/>
      </w:rPr>
    </w:lvl>
  </w:abstractNum>
  <w:abstractNum w:abstractNumId="3">
    <w:multiLevelType w:val="hybridMultilevel"/>
    <w:lvl w:ilvl="0">
      <w:start w:val="1"/>
      <w:numFmt w:val="decimal"/>
      <w:lvlText w:val="(%1)"/>
      <w:lvlJc w:val="left"/>
      <w:pPr>
        <w:ind w:left="1954" w:hanging="404"/>
        <w:jc w:val="left"/>
      </w:pPr>
      <w:rPr>
        <w:rFonts w:hint="default" w:ascii="Arial" w:hAnsi="Arial" w:eastAsia="Arial" w:cs="Arial"/>
        <w:spacing w:val="-18"/>
        <w:w w:val="99"/>
        <w:sz w:val="18"/>
        <w:szCs w:val="18"/>
      </w:rPr>
    </w:lvl>
    <w:lvl w:ilvl="1">
      <w:start w:val="0"/>
      <w:numFmt w:val="bullet"/>
      <w:lvlText w:val="•"/>
      <w:lvlJc w:val="left"/>
      <w:pPr>
        <w:ind w:left="2798" w:hanging="404"/>
      </w:pPr>
      <w:rPr>
        <w:rFonts w:hint="default"/>
      </w:rPr>
    </w:lvl>
    <w:lvl w:ilvl="2">
      <w:start w:val="0"/>
      <w:numFmt w:val="bullet"/>
      <w:lvlText w:val="•"/>
      <w:lvlJc w:val="left"/>
      <w:pPr>
        <w:ind w:left="3637" w:hanging="404"/>
      </w:pPr>
      <w:rPr>
        <w:rFonts w:hint="default"/>
      </w:rPr>
    </w:lvl>
    <w:lvl w:ilvl="3">
      <w:start w:val="0"/>
      <w:numFmt w:val="bullet"/>
      <w:lvlText w:val="•"/>
      <w:lvlJc w:val="left"/>
      <w:pPr>
        <w:ind w:left="4476" w:hanging="404"/>
      </w:pPr>
      <w:rPr>
        <w:rFonts w:hint="default"/>
      </w:rPr>
    </w:lvl>
    <w:lvl w:ilvl="4">
      <w:start w:val="0"/>
      <w:numFmt w:val="bullet"/>
      <w:lvlText w:val="•"/>
      <w:lvlJc w:val="left"/>
      <w:pPr>
        <w:ind w:left="5315" w:hanging="404"/>
      </w:pPr>
      <w:rPr>
        <w:rFonts w:hint="default"/>
      </w:rPr>
    </w:lvl>
    <w:lvl w:ilvl="5">
      <w:start w:val="0"/>
      <w:numFmt w:val="bullet"/>
      <w:lvlText w:val="•"/>
      <w:lvlJc w:val="left"/>
      <w:pPr>
        <w:ind w:left="6154" w:hanging="404"/>
      </w:pPr>
      <w:rPr>
        <w:rFonts w:hint="default"/>
      </w:rPr>
    </w:lvl>
    <w:lvl w:ilvl="6">
      <w:start w:val="0"/>
      <w:numFmt w:val="bullet"/>
      <w:lvlText w:val="•"/>
      <w:lvlJc w:val="left"/>
      <w:pPr>
        <w:ind w:left="6993" w:hanging="404"/>
      </w:pPr>
      <w:rPr>
        <w:rFonts w:hint="default"/>
      </w:rPr>
    </w:lvl>
    <w:lvl w:ilvl="7">
      <w:start w:val="0"/>
      <w:numFmt w:val="bullet"/>
      <w:lvlText w:val="•"/>
      <w:lvlJc w:val="left"/>
      <w:pPr>
        <w:ind w:left="7832" w:hanging="404"/>
      </w:pPr>
      <w:rPr>
        <w:rFonts w:hint="default"/>
      </w:rPr>
    </w:lvl>
    <w:lvl w:ilvl="8">
      <w:start w:val="0"/>
      <w:numFmt w:val="bullet"/>
      <w:lvlText w:val="•"/>
      <w:lvlJc w:val="left"/>
      <w:pPr>
        <w:ind w:left="8671" w:hanging="404"/>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1"/>
        <w:jc w:val="left"/>
      </w:pPr>
      <w:rPr>
        <w:rFonts w:hint="default" w:ascii="Arial" w:hAnsi="Arial" w:eastAsia="Arial" w:cs="Arial"/>
        <w:spacing w:val="-23"/>
        <w:w w:val="99"/>
        <w:sz w:val="18"/>
        <w:szCs w:val="18"/>
      </w:rPr>
    </w:lvl>
    <w:lvl w:ilvl="3">
      <w:start w:val="1"/>
      <w:numFmt w:val="decimal"/>
      <w:lvlText w:val="%1.%2.%3.%4"/>
      <w:lvlJc w:val="left"/>
      <w:pPr>
        <w:ind w:left="2237" w:hanging="708"/>
        <w:jc w:val="left"/>
      </w:pPr>
      <w:rPr>
        <w:rFonts w:hint="default"/>
        <w:b/>
        <w:bCs/>
        <w:spacing w:val="-2"/>
        <w:w w:val="99"/>
      </w:rPr>
    </w:lvl>
    <w:lvl w:ilvl="4">
      <w:start w:val="1"/>
      <w:numFmt w:val="decimal"/>
      <w:lvlText w:val="(%5)"/>
      <w:lvlJc w:val="left"/>
      <w:pPr>
        <w:ind w:left="2631" w:hanging="351"/>
        <w:jc w:val="left"/>
      </w:pPr>
      <w:rPr>
        <w:rFonts w:hint="default" w:ascii="Arial" w:hAnsi="Arial" w:eastAsia="Arial" w:cs="Arial"/>
        <w:spacing w:val="-21"/>
        <w:w w:val="99"/>
        <w:sz w:val="18"/>
        <w:szCs w:val="18"/>
      </w:rPr>
    </w:lvl>
    <w:lvl w:ilvl="5">
      <w:start w:val="0"/>
      <w:numFmt w:val="bullet"/>
      <w:lvlText w:val="•"/>
      <w:lvlJc w:val="left"/>
      <w:pPr>
        <w:ind w:left="3924" w:hanging="351"/>
      </w:pPr>
      <w:rPr>
        <w:rFonts w:hint="default"/>
      </w:rPr>
    </w:lvl>
    <w:lvl w:ilvl="6">
      <w:start w:val="0"/>
      <w:numFmt w:val="bullet"/>
      <w:lvlText w:val="•"/>
      <w:lvlJc w:val="left"/>
      <w:pPr>
        <w:ind w:left="5209" w:hanging="351"/>
      </w:pPr>
      <w:rPr>
        <w:rFonts w:hint="default"/>
      </w:rPr>
    </w:lvl>
    <w:lvl w:ilvl="7">
      <w:start w:val="0"/>
      <w:numFmt w:val="bullet"/>
      <w:lvlText w:val="•"/>
      <w:lvlJc w:val="left"/>
      <w:pPr>
        <w:ind w:left="6494" w:hanging="351"/>
      </w:pPr>
      <w:rPr>
        <w:rFonts w:hint="default"/>
      </w:rPr>
    </w:lvl>
    <w:lvl w:ilvl="8">
      <w:start w:val="0"/>
      <w:numFmt w:val="bullet"/>
      <w:lvlText w:val="•"/>
      <w:lvlJc w:val="left"/>
      <w:pPr>
        <w:ind w:left="7779" w:hanging="351"/>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8"/>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24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259" w:right="383"/>
      <w:jc w:val="center"/>
      <w:outlineLvl w:val="2"/>
    </w:pPr>
    <w:rPr>
      <w:rFonts w:ascii="宋体" w:hAnsi="宋体" w:eastAsia="宋体" w:cs="宋体"/>
      <w:sz w:val="20"/>
      <w:szCs w:val="20"/>
    </w:rPr>
  </w:style>
  <w:style w:styleId="Heading3" w:type="paragraph">
    <w:name w:val="Heading 3"/>
    <w:basedOn w:val="Normal"/>
    <w:uiPriority w:val="1"/>
    <w:qFormat/>
    <w:pPr>
      <w:spacing w:before="41"/>
      <w:ind w:left="83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7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2018-10-20T08:11:42Z</dcterms:created>
  <dcterms:modified xsi:type="dcterms:W3CDTF">2018-10-20T08:11:42Z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2018-10-20T00:00:00Z</vt:filetime>
  </property>
</Properties>
</file>