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spacing w:before="8"/>
        <w:rPr>
          <w:rFonts w:ascii="Times New Roman"/>
          <w:sz w:val="25"/>
        </w:rPr>
      </w:pPr>
    </w:p>
    <w:tbl>
      <w:tblPr>
        <w:tblW w:w="0" w:type="auto"/>
        <w:jc w:val="left"/>
        <w:tblInd w:w="4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11"/>
        <w:gridCol w:w="1742"/>
      </w:tblGrid>
      <w:tr>
        <w:trPr>
          <w:trHeight w:val="213" w:hRule="atLeast"/>
        </w:trPr>
        <w:tc>
          <w:tcPr>
            <w:tcW w:w="9553" w:type="dxa"/>
            <w:gridSpan w:val="2"/>
          </w:tcPr>
          <w:p>
            <w:pPr>
              <w:pStyle w:val="TableParagraph"/>
              <w:spacing w:line="194" w:lineRule="exact"/>
              <w:ind w:right="197"/>
              <w:jc w:val="right"/>
              <w:rPr>
                <w:sz w:val="20"/>
              </w:rPr>
            </w:pPr>
            <w:r>
              <w:rPr>
                <w:sz w:val="20"/>
              </w:rPr>
              <w:t>君龙人寿[2016]疾病保险 015 号</w:t>
            </w:r>
          </w:p>
        </w:tc>
      </w:tr>
      <w:tr>
        <w:trPr>
          <w:trHeight w:val="1169" w:hRule="atLeast"/>
        </w:trPr>
        <w:tc>
          <w:tcPr>
            <w:tcW w:w="7811" w:type="dxa"/>
          </w:tcPr>
          <w:p>
            <w:pPr>
              <w:pStyle w:val="TableParagraph"/>
              <w:spacing w:before="132"/>
              <w:ind w:left="200"/>
              <w:rPr>
                <w:rFonts w:ascii="微软雅黑" w:eastAsia="微软雅黑" w:hint="eastAsia"/>
                <w:b/>
                <w:sz w:val="40"/>
              </w:rPr>
            </w:pPr>
            <w:r>
              <w:rPr>
                <w:rFonts w:ascii="微软雅黑" w:eastAsia="微软雅黑" w:hint="eastAsia"/>
                <w:b/>
                <w:sz w:val="40"/>
              </w:rPr>
              <w:t>君龙附加安心豁免保费重大疾病保险条款</w:t>
            </w:r>
          </w:p>
        </w:tc>
        <w:tc>
          <w:tcPr>
            <w:tcW w:w="1742" w:type="dxa"/>
          </w:tcPr>
          <w:p>
            <w:pPr>
              <w:pStyle w:val="TableParagraph"/>
              <w:ind w:left="399"/>
              <w:rPr>
                <w:rFonts w:ascii="Times New Roman"/>
                <w:sz w:val="20"/>
              </w:rPr>
            </w:pPr>
            <w:r>
              <w:rPr>
                <w:rFonts w:ascii="Times New Roman"/>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3900" cy="723900"/>
                          </a:xfrm>
                          <a:prstGeom prst="rect">
                            <a:avLst/>
                          </a:prstGeom>
                        </pic:spPr>
                      </pic:pic>
                    </a:graphicData>
                  </a:graphic>
                </wp:inline>
              </w:drawing>
            </w:r>
            <w:r>
              <w:rPr>
                <w:rFonts w:ascii="Times New Roman"/>
                <w:sz w:val="20"/>
              </w:rPr>
            </w:r>
          </w:p>
        </w:tc>
      </w:tr>
      <w:tr>
        <w:trPr>
          <w:trHeight w:val="214" w:hRule="atLeast"/>
        </w:trPr>
        <w:tc>
          <w:tcPr>
            <w:tcW w:w="9553" w:type="dxa"/>
            <w:gridSpan w:val="2"/>
          </w:tcPr>
          <w:p>
            <w:pPr>
              <w:pStyle w:val="TableParagraph"/>
              <w:spacing w:line="194" w:lineRule="exact"/>
              <w:ind w:right="201"/>
              <w:jc w:val="right"/>
              <w:rPr>
                <w:sz w:val="20"/>
              </w:rPr>
            </w:pPr>
            <w:r>
              <w:rPr>
                <w:w w:val="95"/>
                <w:sz w:val="20"/>
              </w:rPr>
              <w:t>请扫描以查询验证条款</w:t>
            </w:r>
          </w:p>
        </w:tc>
      </w:tr>
    </w:tbl>
    <w:p>
      <w:pPr>
        <w:pStyle w:val="Heading1"/>
        <w:spacing w:line="564" w:lineRule="exact"/>
        <w:ind w:left="3997" w:right="4115"/>
        <w:jc w:val="center"/>
      </w:pPr>
      <w:r>
        <w:rPr/>
        <w:t>阅 读 指 引</w:t>
      </w:r>
    </w:p>
    <w:p>
      <w:pPr>
        <w:pStyle w:val="BodyText"/>
        <w:spacing w:before="5"/>
        <w:rPr>
          <w:rFonts w:ascii="微软雅黑"/>
          <w:b/>
          <w:sz w:val="21"/>
        </w:rPr>
      </w:pPr>
    </w:p>
    <w:p>
      <w:pPr>
        <w:spacing w:before="38"/>
        <w:ind w:left="173" w:right="0" w:firstLine="0"/>
        <w:jc w:val="left"/>
        <w:rPr>
          <w:sz w:val="20"/>
        </w:rPr>
      </w:pPr>
      <w:r>
        <w:rPr/>
        <w:drawing>
          <wp:anchor distT="0" distB="0" distL="0" distR="0" allowOverlap="1" layoutInCell="1" locked="0" behindDoc="1" simplePos="0" relativeHeight="268390127">
            <wp:simplePos x="0" y="0"/>
            <wp:positionH relativeFrom="page">
              <wp:posOffset>679704</wp:posOffset>
            </wp:positionH>
            <wp:positionV relativeFrom="paragraph">
              <wp:posOffset>209038</wp:posOffset>
            </wp:positionV>
            <wp:extent cx="6198108" cy="655751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198108" cy="6557518"/>
                    </a:xfrm>
                    <a:prstGeom prst="rect">
                      <a:avLst/>
                    </a:prstGeom>
                  </pic:spPr>
                </pic:pic>
              </a:graphicData>
            </a:graphic>
          </wp:anchor>
        </w:drawing>
      </w:r>
      <w:r>
        <w:rPr>
          <w:w w:val="95"/>
          <w:sz w:val="20"/>
        </w:rPr>
        <w:t>本阅读指引有助于您理解条款，对</w:t>
      </w:r>
      <w:r>
        <w:rPr>
          <w:b/>
          <w:w w:val="95"/>
          <w:sz w:val="20"/>
        </w:rPr>
        <w:t>《君龙附加安心豁免保费重大疾病保险条款》</w:t>
      </w:r>
      <w:r>
        <w:rPr>
          <w:w w:val="95"/>
          <w:sz w:val="20"/>
        </w:rPr>
        <w:t>合同内容的解释以条款为准</w:t>
      </w:r>
    </w:p>
    <w:p>
      <w:pPr>
        <w:pStyle w:val="BodyText"/>
        <w:spacing w:before="12"/>
        <w:rPr>
          <w:sz w:val="29"/>
        </w:rPr>
      </w:pPr>
    </w:p>
    <w:p>
      <w:pPr>
        <w:pStyle w:val="Heading3"/>
        <w:spacing w:line="580" w:lineRule="exact"/>
      </w:pPr>
      <w:r>
        <w:rPr>
          <w:rFonts w:ascii="Arial" w:hAnsi="Arial" w:eastAsia="Arial"/>
          <w:w w:val="105"/>
          <w:position w:val="-11"/>
          <w:sz w:val="52"/>
        </w:rPr>
        <w:t></w:t>
      </w:r>
      <w:r>
        <w:rPr>
          <w:w w:val="105"/>
        </w:rPr>
        <w:t>您拥有的重要权益</w:t>
      </w:r>
    </w:p>
    <w:p>
      <w:pPr>
        <w:pStyle w:val="ListParagraph"/>
        <w:numPr>
          <w:ilvl w:val="0"/>
          <w:numId w:val="1"/>
        </w:numPr>
        <w:tabs>
          <w:tab w:pos="1009" w:val="left" w:leader="none"/>
        </w:tabs>
        <w:spacing w:line="285" w:lineRule="exact" w:before="0" w:after="0"/>
        <w:ind w:left="1008" w:right="0" w:hanging="307"/>
        <w:jc w:val="left"/>
        <w:rPr>
          <w:sz w:val="22"/>
        </w:rPr>
      </w:pPr>
      <w:r>
        <w:rPr>
          <w:spacing w:val="-7"/>
          <w:sz w:val="22"/>
        </w:rPr>
        <w:t>签收本附加合同次日起 </w:t>
      </w:r>
      <w:r>
        <w:rPr>
          <w:sz w:val="22"/>
        </w:rPr>
        <w:t>10</w:t>
      </w:r>
      <w:r>
        <w:rPr>
          <w:spacing w:val="-8"/>
          <w:sz w:val="22"/>
        </w:rPr>
        <w:t> 日&lt;即犹豫期&gt;内您可以要求退还扣除工本费外的全部保险费. </w:t>
      </w:r>
      <w:r>
        <w:rPr>
          <w:sz w:val="22"/>
        </w:rPr>
        <w:t>1.4</w:t>
      </w:r>
    </w:p>
    <w:p>
      <w:pPr>
        <w:pStyle w:val="ListParagraph"/>
        <w:numPr>
          <w:ilvl w:val="0"/>
          <w:numId w:val="1"/>
        </w:numPr>
        <w:tabs>
          <w:tab w:pos="1009" w:val="left" w:leader="none"/>
          <w:tab w:pos="9808" w:val="right" w:leader="dot"/>
        </w:tabs>
        <w:spacing w:line="240" w:lineRule="auto" w:before="124" w:after="0"/>
        <w:ind w:left="1008" w:right="0" w:hanging="307"/>
        <w:jc w:val="left"/>
        <w:rPr>
          <w:sz w:val="22"/>
        </w:rPr>
      </w:pPr>
      <w:r>
        <w:rPr>
          <w:sz w:val="22"/>
        </w:rPr>
        <w:t>被保</w:t>
      </w:r>
      <w:r>
        <w:rPr>
          <w:spacing w:val="-3"/>
          <w:sz w:val="22"/>
        </w:rPr>
        <w:t>险</w:t>
      </w:r>
      <w:r>
        <w:rPr>
          <w:sz w:val="22"/>
        </w:rPr>
        <w:t>人可</w:t>
      </w:r>
      <w:r>
        <w:rPr>
          <w:spacing w:val="-3"/>
          <w:sz w:val="22"/>
        </w:rPr>
        <w:t>以</w:t>
      </w:r>
      <w:r>
        <w:rPr>
          <w:sz w:val="22"/>
        </w:rPr>
        <w:t>享受</w:t>
      </w:r>
      <w:r>
        <w:rPr>
          <w:spacing w:val="-3"/>
          <w:sz w:val="22"/>
        </w:rPr>
        <w:t>本</w:t>
      </w:r>
      <w:r>
        <w:rPr>
          <w:sz w:val="22"/>
        </w:rPr>
        <w:t>附加合</w:t>
      </w:r>
      <w:r>
        <w:rPr>
          <w:spacing w:val="-3"/>
          <w:sz w:val="22"/>
        </w:rPr>
        <w:t>同</w:t>
      </w:r>
      <w:r>
        <w:rPr>
          <w:sz w:val="22"/>
        </w:rPr>
        <w:t>提供</w:t>
      </w:r>
      <w:r>
        <w:rPr>
          <w:spacing w:val="-3"/>
          <w:sz w:val="22"/>
        </w:rPr>
        <w:t>的</w:t>
      </w:r>
      <w:r>
        <w:rPr>
          <w:sz w:val="22"/>
        </w:rPr>
        <w:t>保障</w:t>
        <w:tab/>
        <w:t>2.3</w:t>
      </w:r>
    </w:p>
    <w:p>
      <w:pPr>
        <w:pStyle w:val="ListParagraph"/>
        <w:numPr>
          <w:ilvl w:val="0"/>
          <w:numId w:val="1"/>
        </w:numPr>
        <w:tabs>
          <w:tab w:pos="1009" w:val="left" w:leader="none"/>
          <w:tab w:pos="9808" w:val="right" w:leader="dot"/>
        </w:tabs>
        <w:spacing w:line="240" w:lineRule="auto" w:before="126" w:after="0"/>
        <w:ind w:left="1008" w:right="0" w:hanging="307"/>
        <w:jc w:val="left"/>
        <w:rPr>
          <w:sz w:val="22"/>
        </w:rPr>
      </w:pPr>
      <w:r>
        <w:rPr>
          <w:sz w:val="22"/>
        </w:rPr>
        <w:t>您有</w:t>
      </w:r>
      <w:r>
        <w:rPr>
          <w:spacing w:val="-3"/>
          <w:sz w:val="22"/>
        </w:rPr>
        <w:t>退</w:t>
      </w:r>
      <w:r>
        <w:rPr>
          <w:sz w:val="22"/>
        </w:rPr>
        <w:t>保的</w:t>
      </w:r>
      <w:r>
        <w:rPr>
          <w:spacing w:val="-3"/>
          <w:sz w:val="22"/>
        </w:rPr>
        <w:t>权</w:t>
      </w:r>
      <w:r>
        <w:rPr>
          <w:sz w:val="22"/>
        </w:rPr>
        <w:t>利</w:t>
        <w:tab/>
        <w:t>7.1</w:t>
      </w:r>
    </w:p>
    <w:p>
      <w:pPr>
        <w:pStyle w:val="BodyText"/>
        <w:spacing w:before="6"/>
        <w:rPr>
          <w:sz w:val="17"/>
        </w:rPr>
      </w:pPr>
    </w:p>
    <w:p>
      <w:pPr>
        <w:pStyle w:val="Heading3"/>
        <w:spacing w:line="580" w:lineRule="exact"/>
      </w:pPr>
      <w:r>
        <w:rPr>
          <w:rFonts w:ascii="Arial" w:hAnsi="Arial" w:eastAsia="Arial"/>
          <w:position w:val="-11"/>
          <w:sz w:val="52"/>
        </w:rPr>
        <w:t></w:t>
      </w:r>
      <w:r>
        <w:rPr/>
        <w:t>您应当特别注意的事项</w:t>
      </w:r>
    </w:p>
    <w:p>
      <w:pPr>
        <w:pStyle w:val="ListParagraph"/>
        <w:numPr>
          <w:ilvl w:val="0"/>
          <w:numId w:val="1"/>
        </w:numPr>
        <w:tabs>
          <w:tab w:pos="1009" w:val="left" w:leader="none"/>
        </w:tabs>
        <w:spacing w:line="285" w:lineRule="exact" w:before="0" w:after="0"/>
        <w:ind w:left="1008" w:right="0" w:hanging="307"/>
        <w:jc w:val="left"/>
        <w:rPr>
          <w:sz w:val="22"/>
        </w:rPr>
      </w:pPr>
      <w:r>
        <w:rPr>
          <w:spacing w:val="-3"/>
          <w:sz w:val="22"/>
        </w:rPr>
        <w:t>我们对免除保险人责任的条款作了特别提示，详见条款正文中背景突出部份 .............</w:t>
      </w:r>
    </w:p>
    <w:p>
      <w:pPr>
        <w:pStyle w:val="BodyText"/>
        <w:spacing w:before="127"/>
        <w:ind w:left="1138"/>
      </w:pPr>
      <w:r>
        <w:rPr/>
        <w:t>................................... 1.4、2.3、2.4、3.2、4.2、6.1、9.4、9.7、9.8</w:t>
      </w:r>
    </w:p>
    <w:p>
      <w:pPr>
        <w:pStyle w:val="ListParagraph"/>
        <w:numPr>
          <w:ilvl w:val="0"/>
          <w:numId w:val="1"/>
        </w:numPr>
        <w:tabs>
          <w:tab w:pos="1009" w:val="left" w:leader="none"/>
          <w:tab w:pos="9808" w:val="right" w:leader="dot"/>
        </w:tabs>
        <w:spacing w:line="240" w:lineRule="auto" w:before="139" w:after="0"/>
        <w:ind w:left="1008" w:right="0" w:hanging="307"/>
        <w:jc w:val="left"/>
        <w:rPr>
          <w:sz w:val="22"/>
        </w:rPr>
      </w:pPr>
      <w:r>
        <w:rPr>
          <w:sz w:val="22"/>
        </w:rPr>
        <w:t>保险</w:t>
      </w:r>
      <w:r>
        <w:rPr>
          <w:spacing w:val="-3"/>
          <w:sz w:val="22"/>
        </w:rPr>
        <w:t>事</w:t>
      </w:r>
      <w:r>
        <w:rPr>
          <w:sz w:val="22"/>
        </w:rPr>
        <w:t>故发</w:t>
      </w:r>
      <w:r>
        <w:rPr>
          <w:spacing w:val="-3"/>
          <w:sz w:val="22"/>
        </w:rPr>
        <w:t>生</w:t>
      </w:r>
      <w:r>
        <w:rPr>
          <w:sz w:val="22"/>
        </w:rPr>
        <w:t>后请</w:t>
      </w:r>
      <w:r>
        <w:rPr>
          <w:spacing w:val="-3"/>
          <w:sz w:val="22"/>
        </w:rPr>
        <w:t>您</w:t>
      </w:r>
      <w:r>
        <w:rPr>
          <w:sz w:val="22"/>
        </w:rPr>
        <w:t>及时通</w:t>
      </w:r>
      <w:r>
        <w:rPr>
          <w:spacing w:val="-3"/>
          <w:sz w:val="22"/>
        </w:rPr>
        <w:t>知</w:t>
      </w:r>
      <w:r>
        <w:rPr>
          <w:sz w:val="22"/>
        </w:rPr>
        <w:t>我们</w:t>
        <w:tab/>
        <w:t>3.2</w:t>
      </w:r>
    </w:p>
    <w:p>
      <w:pPr>
        <w:pStyle w:val="ListParagraph"/>
        <w:numPr>
          <w:ilvl w:val="0"/>
          <w:numId w:val="1"/>
        </w:numPr>
        <w:tabs>
          <w:tab w:pos="1009" w:val="left" w:leader="none"/>
          <w:tab w:pos="9808" w:val="right" w:leader="dot"/>
        </w:tabs>
        <w:spacing w:line="240" w:lineRule="auto" w:before="123" w:after="0"/>
        <w:ind w:left="1008" w:right="0" w:hanging="307"/>
        <w:jc w:val="left"/>
        <w:rPr>
          <w:sz w:val="22"/>
        </w:rPr>
      </w:pPr>
      <w:r>
        <w:rPr>
          <w:sz w:val="22"/>
        </w:rPr>
        <w:t>您应</w:t>
      </w:r>
      <w:r>
        <w:rPr>
          <w:spacing w:val="-3"/>
          <w:sz w:val="22"/>
        </w:rPr>
        <w:t>当</w:t>
      </w:r>
      <w:r>
        <w:rPr>
          <w:sz w:val="22"/>
        </w:rPr>
        <w:t>按时</w:t>
      </w:r>
      <w:r>
        <w:rPr>
          <w:spacing w:val="-3"/>
          <w:sz w:val="22"/>
        </w:rPr>
        <w:t>支</w:t>
      </w:r>
      <w:r>
        <w:rPr>
          <w:sz w:val="22"/>
        </w:rPr>
        <w:t>付保</w:t>
      </w:r>
      <w:r>
        <w:rPr>
          <w:spacing w:val="-3"/>
          <w:sz w:val="22"/>
        </w:rPr>
        <w:t>险</w:t>
      </w:r>
      <w:r>
        <w:rPr>
          <w:sz w:val="22"/>
        </w:rPr>
        <w:t>费</w:t>
        <w:tab/>
        <w:t>4.1</w:t>
      </w:r>
    </w:p>
    <w:p>
      <w:pPr>
        <w:pStyle w:val="ListParagraph"/>
        <w:numPr>
          <w:ilvl w:val="0"/>
          <w:numId w:val="1"/>
        </w:numPr>
        <w:tabs>
          <w:tab w:pos="1009" w:val="left" w:leader="none"/>
          <w:tab w:pos="9808" w:val="right" w:leader="dot"/>
        </w:tabs>
        <w:spacing w:line="240" w:lineRule="auto" w:before="125" w:after="0"/>
        <w:ind w:left="1008" w:right="0" w:hanging="307"/>
        <w:jc w:val="left"/>
        <w:rPr>
          <w:sz w:val="22"/>
        </w:rPr>
      </w:pPr>
      <w:r>
        <w:rPr>
          <w:sz w:val="22"/>
        </w:rPr>
        <w:t>退保</w:t>
      </w:r>
      <w:r>
        <w:rPr>
          <w:spacing w:val="-3"/>
          <w:sz w:val="22"/>
        </w:rPr>
        <w:t>会</w:t>
      </w:r>
      <w:r>
        <w:rPr>
          <w:sz w:val="22"/>
        </w:rPr>
        <w:t>给您</w:t>
      </w:r>
      <w:r>
        <w:rPr>
          <w:spacing w:val="-3"/>
          <w:sz w:val="22"/>
        </w:rPr>
        <w:t>造</w:t>
      </w:r>
      <w:r>
        <w:rPr>
          <w:sz w:val="22"/>
        </w:rPr>
        <w:t>成一</w:t>
      </w:r>
      <w:r>
        <w:rPr>
          <w:spacing w:val="-3"/>
          <w:sz w:val="22"/>
        </w:rPr>
        <w:t>定</w:t>
      </w:r>
      <w:r>
        <w:rPr>
          <w:sz w:val="22"/>
        </w:rPr>
        <w:t>的损失</w:t>
      </w:r>
      <w:r>
        <w:rPr>
          <w:spacing w:val="-3"/>
          <w:sz w:val="22"/>
        </w:rPr>
        <w:t>，</w:t>
      </w:r>
      <w:r>
        <w:rPr>
          <w:sz w:val="22"/>
        </w:rPr>
        <w:t>请您</w:t>
      </w:r>
      <w:r>
        <w:rPr>
          <w:spacing w:val="-3"/>
          <w:sz w:val="22"/>
        </w:rPr>
        <w:t>慎</w:t>
      </w:r>
      <w:r>
        <w:rPr>
          <w:sz w:val="22"/>
        </w:rPr>
        <w:t>重决策</w:t>
        <w:tab/>
        <w:t>7.1</w:t>
      </w:r>
    </w:p>
    <w:p>
      <w:pPr>
        <w:pStyle w:val="ListParagraph"/>
        <w:numPr>
          <w:ilvl w:val="0"/>
          <w:numId w:val="1"/>
        </w:numPr>
        <w:tabs>
          <w:tab w:pos="1009" w:val="left" w:leader="none"/>
          <w:tab w:pos="9808" w:val="right" w:leader="dot"/>
        </w:tabs>
        <w:spacing w:line="240" w:lineRule="auto" w:before="123" w:after="0"/>
        <w:ind w:left="1008" w:right="0" w:hanging="307"/>
        <w:jc w:val="left"/>
        <w:rPr>
          <w:sz w:val="22"/>
        </w:rPr>
      </w:pPr>
      <w:r>
        <w:rPr>
          <w:sz w:val="22"/>
        </w:rPr>
        <w:t>主合</w:t>
      </w:r>
      <w:r>
        <w:rPr>
          <w:spacing w:val="-3"/>
          <w:sz w:val="22"/>
        </w:rPr>
        <w:t>同</w:t>
      </w:r>
      <w:r>
        <w:rPr>
          <w:sz w:val="22"/>
        </w:rPr>
        <w:t>中的</w:t>
      </w:r>
      <w:r>
        <w:rPr>
          <w:spacing w:val="-3"/>
          <w:sz w:val="22"/>
        </w:rPr>
        <w:t>部</w:t>
      </w:r>
      <w:r>
        <w:rPr>
          <w:sz w:val="22"/>
        </w:rPr>
        <w:t>分条</w:t>
      </w:r>
      <w:r>
        <w:rPr>
          <w:spacing w:val="-3"/>
          <w:sz w:val="22"/>
        </w:rPr>
        <w:t>款</w:t>
      </w:r>
      <w:r>
        <w:rPr>
          <w:sz w:val="22"/>
        </w:rPr>
        <w:t>适用于</w:t>
      </w:r>
      <w:r>
        <w:rPr>
          <w:spacing w:val="-3"/>
          <w:sz w:val="22"/>
        </w:rPr>
        <w:t>本</w:t>
      </w:r>
      <w:r>
        <w:rPr>
          <w:sz w:val="22"/>
        </w:rPr>
        <w:t>附加</w:t>
      </w:r>
      <w:r>
        <w:rPr>
          <w:spacing w:val="-3"/>
          <w:sz w:val="22"/>
        </w:rPr>
        <w:t>合</w:t>
      </w:r>
      <w:r>
        <w:rPr>
          <w:sz w:val="22"/>
        </w:rPr>
        <w:t>同，</w:t>
      </w:r>
      <w:r>
        <w:rPr>
          <w:spacing w:val="-3"/>
          <w:sz w:val="22"/>
        </w:rPr>
        <w:t>请您</w:t>
      </w:r>
      <w:r>
        <w:rPr>
          <w:sz w:val="22"/>
        </w:rPr>
        <w:t>仔细阅读</w:t>
        <w:tab/>
        <w:t>8.2</w:t>
      </w:r>
    </w:p>
    <w:p>
      <w:pPr>
        <w:pStyle w:val="ListParagraph"/>
        <w:numPr>
          <w:ilvl w:val="0"/>
          <w:numId w:val="1"/>
        </w:numPr>
        <w:tabs>
          <w:tab w:pos="1009" w:val="left" w:leader="none"/>
          <w:tab w:pos="9808" w:val="right" w:leader="dot"/>
        </w:tabs>
        <w:spacing w:line="240" w:lineRule="auto" w:before="123" w:after="0"/>
        <w:ind w:left="1008" w:right="0" w:hanging="307"/>
        <w:jc w:val="left"/>
        <w:rPr>
          <w:sz w:val="22"/>
        </w:rPr>
      </w:pPr>
      <w:r>
        <w:rPr>
          <w:sz w:val="22"/>
        </w:rPr>
        <w:t>我们</w:t>
      </w:r>
      <w:r>
        <w:rPr>
          <w:spacing w:val="-3"/>
          <w:sz w:val="22"/>
        </w:rPr>
        <w:t>对</w:t>
      </w:r>
      <w:r>
        <w:rPr>
          <w:sz w:val="22"/>
        </w:rPr>
        <w:t>一些</w:t>
      </w:r>
      <w:r>
        <w:rPr>
          <w:spacing w:val="-3"/>
          <w:sz w:val="22"/>
        </w:rPr>
        <w:t>重</w:t>
      </w:r>
      <w:r>
        <w:rPr>
          <w:sz w:val="22"/>
        </w:rPr>
        <w:t>要术</w:t>
      </w:r>
      <w:r>
        <w:rPr>
          <w:spacing w:val="-3"/>
          <w:sz w:val="22"/>
        </w:rPr>
        <w:t>语</w:t>
      </w:r>
      <w:r>
        <w:rPr>
          <w:sz w:val="22"/>
        </w:rPr>
        <w:t>进行了</w:t>
      </w:r>
      <w:r>
        <w:rPr>
          <w:spacing w:val="-3"/>
          <w:sz w:val="22"/>
        </w:rPr>
        <w:t>解</w:t>
      </w:r>
      <w:r>
        <w:rPr>
          <w:sz w:val="22"/>
        </w:rPr>
        <w:t>释，</w:t>
      </w:r>
      <w:r>
        <w:rPr>
          <w:spacing w:val="-3"/>
          <w:sz w:val="22"/>
        </w:rPr>
        <w:t>并</w:t>
      </w:r>
      <w:r>
        <w:rPr>
          <w:sz w:val="22"/>
        </w:rPr>
        <w:t>作了</w:t>
      </w:r>
      <w:r>
        <w:rPr>
          <w:spacing w:val="-3"/>
          <w:sz w:val="22"/>
        </w:rPr>
        <w:t>显著</w:t>
      </w:r>
      <w:r>
        <w:rPr>
          <w:sz w:val="22"/>
        </w:rPr>
        <w:t>标识，</w:t>
      </w:r>
      <w:r>
        <w:rPr>
          <w:spacing w:val="-3"/>
          <w:sz w:val="22"/>
        </w:rPr>
        <w:t>请</w:t>
      </w:r>
      <w:r>
        <w:rPr>
          <w:sz w:val="22"/>
        </w:rPr>
        <w:t>您注意</w:t>
        <w:tab/>
        <w:t>9</w:t>
      </w:r>
    </w:p>
    <w:p>
      <w:pPr>
        <w:pStyle w:val="Heading3"/>
        <w:spacing w:before="231"/>
      </w:pPr>
      <w:r>
        <w:rPr>
          <w:rFonts w:ascii="Arial" w:hAnsi="Arial" w:eastAsia="Arial"/>
          <w:position w:val="-11"/>
          <w:sz w:val="52"/>
        </w:rPr>
        <w:t></w:t>
      </w:r>
      <w:r>
        <w:rPr/>
        <w:t>条款是保险合同的重要内容，为充分保障您的权益，请您仔细阅读本条款</w:t>
      </w:r>
    </w:p>
    <w:p>
      <w:pPr>
        <w:spacing w:after="0"/>
        <w:sectPr>
          <w:headerReference w:type="default" r:id="rId5"/>
          <w:footerReference w:type="default" r:id="rId6"/>
          <w:type w:val="continuous"/>
          <w:pgSz w:w="11910" w:h="16840"/>
          <w:pgMar w:header="484" w:footer="479" w:top="680" w:bottom="660" w:left="960" w:right="840"/>
          <w:pgNumType w:start="1"/>
        </w:sectPr>
      </w:pPr>
    </w:p>
    <w:p>
      <w:pPr>
        <w:spacing w:line="336" w:lineRule="auto" w:before="688"/>
        <w:ind w:left="4059" w:right="1407" w:hanging="2612"/>
        <w:jc w:val="left"/>
        <w:rPr>
          <w:rFonts w:ascii="微软雅黑" w:eastAsia="微软雅黑" w:hint="eastAsia"/>
          <w:b/>
          <w:sz w:val="40"/>
        </w:rPr>
      </w:pPr>
      <w:r>
        <w:rPr/>
        <w:pict>
          <v:group style="position:absolute;margin-left:52.080002pt;margin-top:134.387894pt;width:491.05pt;height:555.25pt;mso-position-horizontal-relative:page;mso-position-vertical-relative:paragraph;z-index:-45304" coordorigin="1042,2688" coordsize="9821,11105">
            <v:shape style="position:absolute;left:1041;top:2687;width:9821;height:11105" type="#_x0000_t75" stroked="false">
              <v:imagedata r:id="rId9" o:title=""/>
            </v:shape>
            <v:shape style="position:absolute;left:4321;top:2747;width:6542;height:11045" type="#_x0000_t75" stroked="false">
              <v:imagedata r:id="rId10" o:title=""/>
            </v:shape>
            <w10:wrap type="none"/>
          </v:group>
        </w:pict>
      </w:r>
      <w:r>
        <w:rPr>
          <w:rFonts w:ascii="微软雅黑" w:eastAsia="微软雅黑" w:hint="eastAsia"/>
          <w:b/>
          <w:sz w:val="40"/>
        </w:rPr>
        <w:t>君龙附加安心豁免保费重大疾病保险条款条 款 目 录</w:t>
      </w:r>
    </w:p>
    <w:p>
      <w:pPr>
        <w:pStyle w:val="BodyText"/>
        <w:spacing w:before="5"/>
        <w:rPr>
          <w:rFonts w:ascii="微软雅黑"/>
          <w:b/>
          <w:sz w:val="2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45"/>
        <w:gridCol w:w="3345"/>
        <w:gridCol w:w="3153"/>
      </w:tblGrid>
      <w:tr>
        <w:trPr>
          <w:trHeight w:val="10067" w:hRule="atLeast"/>
        </w:trPr>
        <w:tc>
          <w:tcPr>
            <w:tcW w:w="3245" w:type="dxa"/>
          </w:tcPr>
          <w:p>
            <w:pPr>
              <w:pStyle w:val="TableParagraph"/>
              <w:numPr>
                <w:ilvl w:val="0"/>
                <w:numId w:val="2"/>
              </w:numPr>
              <w:tabs>
                <w:tab w:pos="512" w:val="left" w:leader="none"/>
              </w:tabs>
              <w:spacing w:line="221" w:lineRule="exact" w:before="0" w:after="0"/>
              <w:ind w:left="512" w:right="0" w:hanging="312"/>
              <w:jc w:val="left"/>
              <w:rPr>
                <w:b/>
                <w:sz w:val="22"/>
              </w:rPr>
            </w:pPr>
            <w:r>
              <w:rPr>
                <w:b/>
                <w:w w:val="95"/>
                <w:sz w:val="22"/>
              </w:rPr>
              <w:t>您与我们订立的合同</w:t>
            </w:r>
          </w:p>
          <w:p>
            <w:pPr>
              <w:pStyle w:val="TableParagraph"/>
              <w:numPr>
                <w:ilvl w:val="1"/>
                <w:numId w:val="2"/>
              </w:numPr>
              <w:tabs>
                <w:tab w:pos="1078" w:val="left" w:leader="none"/>
                <w:tab w:pos="1079" w:val="left" w:leader="none"/>
              </w:tabs>
              <w:spacing w:line="240" w:lineRule="auto" w:before="141" w:after="0"/>
              <w:ind w:left="1078" w:right="0" w:hanging="566"/>
              <w:jc w:val="left"/>
              <w:rPr>
                <w:sz w:val="22"/>
              </w:rPr>
            </w:pPr>
            <w:r>
              <w:rPr>
                <w:sz w:val="22"/>
              </w:rPr>
              <w:t>合同构成</w:t>
            </w:r>
          </w:p>
          <w:p>
            <w:pPr>
              <w:pStyle w:val="TableParagraph"/>
              <w:numPr>
                <w:ilvl w:val="1"/>
                <w:numId w:val="2"/>
              </w:numPr>
              <w:tabs>
                <w:tab w:pos="1078" w:val="left" w:leader="none"/>
                <w:tab w:pos="1079" w:val="left" w:leader="none"/>
              </w:tabs>
              <w:spacing w:line="240" w:lineRule="auto" w:before="139" w:after="0"/>
              <w:ind w:left="1078" w:right="0" w:hanging="566"/>
              <w:jc w:val="left"/>
              <w:rPr>
                <w:sz w:val="22"/>
              </w:rPr>
            </w:pPr>
            <w:r>
              <w:rPr>
                <w:spacing w:val="-2"/>
                <w:sz w:val="22"/>
              </w:rPr>
              <w:t>保险合同成立与生效</w:t>
            </w:r>
          </w:p>
          <w:p>
            <w:pPr>
              <w:pStyle w:val="TableParagraph"/>
              <w:numPr>
                <w:ilvl w:val="1"/>
                <w:numId w:val="2"/>
              </w:numPr>
              <w:tabs>
                <w:tab w:pos="1078" w:val="left" w:leader="none"/>
                <w:tab w:pos="1079" w:val="left" w:leader="none"/>
              </w:tabs>
              <w:spacing w:line="240" w:lineRule="auto" w:before="139" w:after="0"/>
              <w:ind w:left="1078" w:right="0" w:hanging="566"/>
              <w:jc w:val="left"/>
              <w:rPr>
                <w:sz w:val="22"/>
              </w:rPr>
            </w:pPr>
            <w:r>
              <w:rPr>
                <w:spacing w:val="-2"/>
                <w:sz w:val="22"/>
              </w:rPr>
              <w:t>投保年龄、投保范围</w:t>
            </w:r>
          </w:p>
          <w:p>
            <w:pPr>
              <w:pStyle w:val="TableParagraph"/>
              <w:numPr>
                <w:ilvl w:val="1"/>
                <w:numId w:val="2"/>
              </w:numPr>
              <w:tabs>
                <w:tab w:pos="1078" w:val="left" w:leader="none"/>
                <w:tab w:pos="1079" w:val="left" w:leader="none"/>
              </w:tabs>
              <w:spacing w:line="240" w:lineRule="auto" w:before="141" w:after="0"/>
              <w:ind w:left="1078" w:right="0" w:hanging="566"/>
              <w:jc w:val="left"/>
              <w:rPr>
                <w:sz w:val="22"/>
              </w:rPr>
            </w:pPr>
            <w:r>
              <w:rPr>
                <w:sz w:val="22"/>
              </w:rPr>
              <w:t>犹豫期</w:t>
            </w:r>
          </w:p>
          <w:p>
            <w:pPr>
              <w:pStyle w:val="TableParagraph"/>
              <w:numPr>
                <w:ilvl w:val="0"/>
                <w:numId w:val="2"/>
              </w:numPr>
              <w:tabs>
                <w:tab w:pos="512" w:val="left" w:leader="none"/>
              </w:tabs>
              <w:spacing w:line="240" w:lineRule="auto" w:before="138" w:after="0"/>
              <w:ind w:left="512" w:right="0" w:hanging="312"/>
              <w:jc w:val="left"/>
              <w:rPr>
                <w:b/>
                <w:sz w:val="22"/>
              </w:rPr>
            </w:pPr>
            <w:r>
              <w:rPr>
                <w:b/>
                <w:w w:val="95"/>
                <w:sz w:val="22"/>
              </w:rPr>
              <w:t>我们提供的保障</w:t>
            </w:r>
          </w:p>
          <w:p>
            <w:pPr>
              <w:pStyle w:val="TableParagraph"/>
              <w:numPr>
                <w:ilvl w:val="1"/>
                <w:numId w:val="2"/>
              </w:numPr>
              <w:tabs>
                <w:tab w:pos="1078" w:val="left" w:leader="none"/>
                <w:tab w:pos="1079" w:val="left" w:leader="none"/>
              </w:tabs>
              <w:spacing w:line="240" w:lineRule="auto" w:before="138" w:after="0"/>
              <w:ind w:left="1078" w:right="0" w:hanging="566"/>
              <w:jc w:val="left"/>
              <w:rPr>
                <w:sz w:val="22"/>
              </w:rPr>
            </w:pPr>
            <w:r>
              <w:rPr>
                <w:spacing w:val="-1"/>
                <w:sz w:val="22"/>
              </w:rPr>
              <w:t>基本保险金额</w:t>
            </w:r>
          </w:p>
          <w:p>
            <w:pPr>
              <w:pStyle w:val="TableParagraph"/>
              <w:numPr>
                <w:ilvl w:val="1"/>
                <w:numId w:val="2"/>
              </w:numPr>
              <w:tabs>
                <w:tab w:pos="1078" w:val="left" w:leader="none"/>
                <w:tab w:pos="1079" w:val="left" w:leader="none"/>
              </w:tabs>
              <w:spacing w:line="240" w:lineRule="auto" w:before="141" w:after="0"/>
              <w:ind w:left="1078" w:right="0" w:hanging="566"/>
              <w:jc w:val="left"/>
              <w:rPr>
                <w:sz w:val="22"/>
              </w:rPr>
            </w:pPr>
            <w:r>
              <w:rPr>
                <w:sz w:val="22"/>
              </w:rPr>
              <w:t>保险期间</w:t>
            </w:r>
          </w:p>
          <w:p>
            <w:pPr>
              <w:pStyle w:val="TableParagraph"/>
              <w:numPr>
                <w:ilvl w:val="1"/>
                <w:numId w:val="2"/>
              </w:numPr>
              <w:tabs>
                <w:tab w:pos="1078" w:val="left" w:leader="none"/>
                <w:tab w:pos="1079" w:val="left" w:leader="none"/>
              </w:tabs>
              <w:spacing w:line="240" w:lineRule="auto" w:before="139" w:after="0"/>
              <w:ind w:left="1078" w:right="0" w:hanging="566"/>
              <w:jc w:val="left"/>
              <w:rPr>
                <w:sz w:val="22"/>
              </w:rPr>
            </w:pPr>
            <w:r>
              <w:rPr>
                <w:sz w:val="22"/>
              </w:rPr>
              <w:t>保险责任</w:t>
            </w:r>
          </w:p>
          <w:p>
            <w:pPr>
              <w:pStyle w:val="TableParagraph"/>
              <w:numPr>
                <w:ilvl w:val="1"/>
                <w:numId w:val="2"/>
              </w:numPr>
              <w:tabs>
                <w:tab w:pos="1078" w:val="left" w:leader="none"/>
                <w:tab w:pos="1079" w:val="left" w:leader="none"/>
              </w:tabs>
              <w:spacing w:line="240" w:lineRule="auto" w:before="139" w:after="0"/>
              <w:ind w:left="1078" w:right="0" w:hanging="566"/>
              <w:jc w:val="left"/>
              <w:rPr>
                <w:sz w:val="22"/>
              </w:rPr>
            </w:pPr>
            <w:r>
              <w:rPr>
                <w:sz w:val="22"/>
              </w:rPr>
              <w:t>责任免除</w:t>
            </w:r>
          </w:p>
          <w:p>
            <w:pPr>
              <w:pStyle w:val="TableParagraph"/>
              <w:numPr>
                <w:ilvl w:val="0"/>
                <w:numId w:val="2"/>
              </w:numPr>
              <w:tabs>
                <w:tab w:pos="512" w:val="left" w:leader="none"/>
              </w:tabs>
              <w:spacing w:line="240" w:lineRule="auto" w:before="141" w:after="0"/>
              <w:ind w:left="512" w:right="0" w:hanging="312"/>
              <w:jc w:val="left"/>
              <w:rPr>
                <w:b/>
                <w:sz w:val="22"/>
              </w:rPr>
            </w:pPr>
            <w:r>
              <w:rPr>
                <w:b/>
                <w:w w:val="95"/>
                <w:sz w:val="22"/>
              </w:rPr>
              <w:t>豁免保险费的申请</w:t>
            </w:r>
          </w:p>
          <w:p>
            <w:pPr>
              <w:pStyle w:val="TableParagraph"/>
              <w:numPr>
                <w:ilvl w:val="1"/>
                <w:numId w:val="2"/>
              </w:numPr>
              <w:tabs>
                <w:tab w:pos="1078" w:val="left" w:leader="none"/>
                <w:tab w:pos="1079" w:val="left" w:leader="none"/>
              </w:tabs>
              <w:spacing w:line="240" w:lineRule="auto" w:before="139" w:after="0"/>
              <w:ind w:left="1078" w:right="0" w:hanging="566"/>
              <w:jc w:val="left"/>
              <w:rPr>
                <w:sz w:val="22"/>
              </w:rPr>
            </w:pPr>
            <w:r>
              <w:rPr>
                <w:sz w:val="22"/>
              </w:rPr>
              <w:t>受益人</w:t>
            </w:r>
          </w:p>
          <w:p>
            <w:pPr>
              <w:pStyle w:val="TableParagraph"/>
              <w:numPr>
                <w:ilvl w:val="1"/>
                <w:numId w:val="2"/>
              </w:numPr>
              <w:tabs>
                <w:tab w:pos="1078" w:val="left" w:leader="none"/>
                <w:tab w:pos="1079" w:val="left" w:leader="none"/>
              </w:tabs>
              <w:spacing w:line="240" w:lineRule="auto" w:before="139" w:after="0"/>
              <w:ind w:left="1078" w:right="0" w:hanging="566"/>
              <w:jc w:val="left"/>
              <w:rPr>
                <w:sz w:val="22"/>
              </w:rPr>
            </w:pPr>
            <w:r>
              <w:rPr>
                <w:spacing w:val="-1"/>
                <w:sz w:val="22"/>
              </w:rPr>
              <w:t>保险事故通知</w:t>
            </w:r>
          </w:p>
          <w:p>
            <w:pPr>
              <w:pStyle w:val="TableParagraph"/>
              <w:numPr>
                <w:ilvl w:val="1"/>
                <w:numId w:val="2"/>
              </w:numPr>
              <w:tabs>
                <w:tab w:pos="1078" w:val="left" w:leader="none"/>
                <w:tab w:pos="1079" w:val="left" w:leader="none"/>
              </w:tabs>
              <w:spacing w:line="240" w:lineRule="auto" w:before="141" w:after="0"/>
              <w:ind w:left="1078" w:right="0" w:hanging="566"/>
              <w:jc w:val="left"/>
              <w:rPr>
                <w:sz w:val="22"/>
              </w:rPr>
            </w:pPr>
            <w:r>
              <w:rPr>
                <w:spacing w:val="-1"/>
                <w:sz w:val="22"/>
              </w:rPr>
              <w:t>豁免保险费申请</w:t>
            </w:r>
          </w:p>
          <w:p>
            <w:pPr>
              <w:pStyle w:val="TableParagraph"/>
              <w:numPr>
                <w:ilvl w:val="1"/>
                <w:numId w:val="2"/>
              </w:numPr>
              <w:tabs>
                <w:tab w:pos="1078" w:val="left" w:leader="none"/>
                <w:tab w:pos="1079" w:val="left" w:leader="none"/>
              </w:tabs>
              <w:spacing w:line="240" w:lineRule="auto" w:before="139" w:after="0"/>
              <w:ind w:left="1078" w:right="0" w:hanging="566"/>
              <w:jc w:val="left"/>
              <w:rPr>
                <w:sz w:val="22"/>
              </w:rPr>
            </w:pPr>
            <w:r>
              <w:rPr>
                <w:spacing w:val="-1"/>
                <w:sz w:val="22"/>
              </w:rPr>
              <w:t>保险金给付</w:t>
            </w:r>
          </w:p>
          <w:p>
            <w:pPr>
              <w:pStyle w:val="TableParagraph"/>
              <w:numPr>
                <w:ilvl w:val="1"/>
                <w:numId w:val="2"/>
              </w:numPr>
              <w:tabs>
                <w:tab w:pos="1078" w:val="left" w:leader="none"/>
                <w:tab w:pos="1079" w:val="left" w:leader="none"/>
              </w:tabs>
              <w:spacing w:line="240" w:lineRule="auto" w:before="139" w:after="0"/>
              <w:ind w:left="1078" w:right="0" w:hanging="566"/>
              <w:jc w:val="left"/>
              <w:rPr>
                <w:sz w:val="22"/>
              </w:rPr>
            </w:pPr>
            <w:r>
              <w:rPr>
                <w:sz w:val="22"/>
              </w:rPr>
              <w:t>失踪处理</w:t>
            </w:r>
          </w:p>
          <w:p>
            <w:pPr>
              <w:pStyle w:val="TableParagraph"/>
              <w:numPr>
                <w:ilvl w:val="1"/>
                <w:numId w:val="2"/>
              </w:numPr>
              <w:tabs>
                <w:tab w:pos="1078" w:val="left" w:leader="none"/>
                <w:tab w:pos="1079" w:val="left" w:leader="none"/>
              </w:tabs>
              <w:spacing w:line="240" w:lineRule="auto" w:before="142" w:after="0"/>
              <w:ind w:left="1078" w:right="0" w:hanging="566"/>
              <w:jc w:val="left"/>
              <w:rPr>
                <w:sz w:val="22"/>
              </w:rPr>
            </w:pPr>
            <w:r>
              <w:rPr>
                <w:sz w:val="22"/>
              </w:rPr>
              <w:t>诉讼时效</w:t>
            </w:r>
          </w:p>
          <w:p>
            <w:pPr>
              <w:pStyle w:val="TableParagraph"/>
              <w:numPr>
                <w:ilvl w:val="0"/>
                <w:numId w:val="2"/>
              </w:numPr>
              <w:tabs>
                <w:tab w:pos="512" w:val="left" w:leader="none"/>
              </w:tabs>
              <w:spacing w:line="240" w:lineRule="auto" w:before="139" w:after="0"/>
              <w:ind w:left="512" w:right="0" w:hanging="312"/>
              <w:jc w:val="left"/>
              <w:rPr>
                <w:b/>
                <w:sz w:val="22"/>
              </w:rPr>
            </w:pPr>
            <w:r>
              <w:rPr>
                <w:b/>
                <w:w w:val="95"/>
                <w:sz w:val="22"/>
              </w:rPr>
              <w:t>保险费的支付</w:t>
            </w:r>
          </w:p>
          <w:p>
            <w:pPr>
              <w:pStyle w:val="TableParagraph"/>
              <w:numPr>
                <w:ilvl w:val="1"/>
                <w:numId w:val="2"/>
              </w:numPr>
              <w:tabs>
                <w:tab w:pos="1078" w:val="left" w:leader="none"/>
                <w:tab w:pos="1079" w:val="left" w:leader="none"/>
              </w:tabs>
              <w:spacing w:line="240" w:lineRule="auto" w:before="139" w:after="0"/>
              <w:ind w:left="1078" w:right="0" w:hanging="566"/>
              <w:jc w:val="left"/>
              <w:rPr>
                <w:sz w:val="22"/>
              </w:rPr>
            </w:pPr>
            <w:r>
              <w:rPr>
                <w:spacing w:val="-1"/>
                <w:sz w:val="22"/>
              </w:rPr>
              <w:t>保险费的支付</w:t>
            </w:r>
          </w:p>
          <w:p>
            <w:pPr>
              <w:pStyle w:val="TableParagraph"/>
              <w:numPr>
                <w:ilvl w:val="1"/>
                <w:numId w:val="2"/>
              </w:numPr>
              <w:tabs>
                <w:tab w:pos="1078" w:val="left" w:leader="none"/>
                <w:tab w:pos="1079" w:val="left" w:leader="none"/>
              </w:tabs>
              <w:spacing w:line="240" w:lineRule="auto" w:before="142" w:after="0"/>
              <w:ind w:left="1078" w:right="0" w:hanging="566"/>
              <w:jc w:val="left"/>
              <w:rPr>
                <w:sz w:val="22"/>
              </w:rPr>
            </w:pPr>
            <w:r>
              <w:rPr>
                <w:sz w:val="22"/>
              </w:rPr>
              <w:t>宽限期</w:t>
            </w:r>
          </w:p>
          <w:p>
            <w:pPr>
              <w:pStyle w:val="TableParagraph"/>
              <w:numPr>
                <w:ilvl w:val="0"/>
                <w:numId w:val="2"/>
              </w:numPr>
              <w:tabs>
                <w:tab w:pos="512" w:val="left" w:leader="none"/>
              </w:tabs>
              <w:spacing w:line="240" w:lineRule="auto" w:before="139" w:after="0"/>
              <w:ind w:left="512" w:right="0" w:hanging="312"/>
              <w:jc w:val="left"/>
              <w:rPr>
                <w:b/>
                <w:sz w:val="22"/>
              </w:rPr>
            </w:pPr>
            <w:r>
              <w:rPr>
                <w:b/>
                <w:w w:val="95"/>
                <w:sz w:val="22"/>
              </w:rPr>
              <w:t>现金价值权益</w:t>
            </w:r>
          </w:p>
          <w:p>
            <w:pPr>
              <w:pStyle w:val="TableParagraph"/>
              <w:numPr>
                <w:ilvl w:val="1"/>
                <w:numId w:val="2"/>
              </w:numPr>
              <w:tabs>
                <w:tab w:pos="1078" w:val="left" w:leader="none"/>
                <w:tab w:pos="1079" w:val="left" w:leader="none"/>
              </w:tabs>
              <w:spacing w:line="240" w:lineRule="auto" w:before="139" w:after="0"/>
              <w:ind w:left="1078" w:right="0" w:hanging="566"/>
              <w:jc w:val="left"/>
              <w:rPr>
                <w:sz w:val="22"/>
              </w:rPr>
            </w:pPr>
            <w:r>
              <w:rPr>
                <w:sz w:val="22"/>
              </w:rPr>
              <w:t>现金价值</w:t>
            </w:r>
          </w:p>
          <w:p>
            <w:pPr>
              <w:pStyle w:val="TableParagraph"/>
              <w:numPr>
                <w:ilvl w:val="0"/>
                <w:numId w:val="2"/>
              </w:numPr>
              <w:tabs>
                <w:tab w:pos="512" w:val="left" w:leader="none"/>
              </w:tabs>
              <w:spacing w:line="240" w:lineRule="auto" w:before="139" w:after="0"/>
              <w:ind w:left="512" w:right="0" w:hanging="312"/>
              <w:jc w:val="left"/>
              <w:rPr>
                <w:b/>
                <w:sz w:val="22"/>
              </w:rPr>
            </w:pPr>
            <w:r>
              <w:rPr>
                <w:b/>
                <w:w w:val="95"/>
                <w:sz w:val="22"/>
              </w:rPr>
              <w:t>合同效力的中止及恢复</w:t>
            </w:r>
          </w:p>
          <w:p>
            <w:pPr>
              <w:pStyle w:val="TableParagraph"/>
              <w:numPr>
                <w:ilvl w:val="1"/>
                <w:numId w:val="2"/>
              </w:numPr>
              <w:tabs>
                <w:tab w:pos="1078" w:val="left" w:leader="none"/>
                <w:tab w:pos="1079" w:val="left" w:leader="none"/>
              </w:tabs>
              <w:spacing w:line="268" w:lineRule="exact" w:before="141" w:after="0"/>
              <w:ind w:left="1078" w:right="0" w:hanging="566"/>
              <w:jc w:val="left"/>
              <w:rPr>
                <w:sz w:val="22"/>
              </w:rPr>
            </w:pPr>
            <w:r>
              <w:rPr>
                <w:sz w:val="22"/>
              </w:rPr>
              <w:t>效力中止</w:t>
            </w:r>
          </w:p>
        </w:tc>
        <w:tc>
          <w:tcPr>
            <w:tcW w:w="3345" w:type="dxa"/>
          </w:tcPr>
          <w:p>
            <w:pPr>
              <w:pStyle w:val="TableParagraph"/>
              <w:tabs>
                <w:tab w:pos="1061" w:val="left" w:leader="none"/>
              </w:tabs>
              <w:spacing w:line="221" w:lineRule="exact"/>
              <w:ind w:left="495"/>
              <w:rPr>
                <w:sz w:val="22"/>
              </w:rPr>
            </w:pPr>
            <w:r>
              <w:rPr>
                <w:sz w:val="22"/>
              </w:rPr>
              <w:t>6.2</w:t>
              <w:tab/>
            </w:r>
            <w:r>
              <w:rPr>
                <w:spacing w:val="-1"/>
                <w:sz w:val="22"/>
              </w:rPr>
              <w:t>效力恢复(复效)</w:t>
            </w:r>
          </w:p>
          <w:p>
            <w:pPr>
              <w:pStyle w:val="TableParagraph"/>
              <w:numPr>
                <w:ilvl w:val="0"/>
                <w:numId w:val="3"/>
              </w:numPr>
              <w:tabs>
                <w:tab w:pos="496" w:val="left" w:leader="none"/>
              </w:tabs>
              <w:spacing w:line="240" w:lineRule="auto" w:before="141" w:after="0"/>
              <w:ind w:left="495" w:right="0" w:hanging="312"/>
              <w:jc w:val="left"/>
              <w:rPr>
                <w:b/>
                <w:sz w:val="22"/>
              </w:rPr>
            </w:pPr>
            <w:r>
              <w:rPr>
                <w:b/>
                <w:w w:val="95"/>
                <w:sz w:val="22"/>
              </w:rPr>
              <w:t>合同解除</w:t>
            </w:r>
          </w:p>
          <w:p>
            <w:pPr>
              <w:pStyle w:val="TableParagraph"/>
              <w:numPr>
                <w:ilvl w:val="1"/>
                <w:numId w:val="3"/>
              </w:numPr>
              <w:tabs>
                <w:tab w:pos="1061" w:val="left" w:leader="none"/>
                <w:tab w:pos="1062" w:val="left" w:leader="none"/>
              </w:tabs>
              <w:spacing w:line="355" w:lineRule="auto" w:before="139" w:after="0"/>
              <w:ind w:left="1061" w:right="298" w:hanging="566"/>
              <w:jc w:val="left"/>
              <w:rPr>
                <w:sz w:val="22"/>
              </w:rPr>
            </w:pPr>
            <w:r>
              <w:rPr>
                <w:spacing w:val="-2"/>
                <w:sz w:val="22"/>
              </w:rPr>
              <w:t>投保人解除合同的手续及风险</w:t>
            </w:r>
          </w:p>
          <w:p>
            <w:pPr>
              <w:pStyle w:val="TableParagraph"/>
              <w:numPr>
                <w:ilvl w:val="0"/>
                <w:numId w:val="3"/>
              </w:numPr>
              <w:tabs>
                <w:tab w:pos="496" w:val="left" w:leader="none"/>
              </w:tabs>
              <w:spacing w:line="240" w:lineRule="auto" w:before="36" w:after="0"/>
              <w:ind w:left="495" w:right="0" w:hanging="312"/>
              <w:jc w:val="left"/>
              <w:rPr>
                <w:b/>
                <w:sz w:val="22"/>
              </w:rPr>
            </w:pPr>
            <w:r>
              <w:rPr>
                <w:b/>
                <w:w w:val="95"/>
                <w:sz w:val="22"/>
              </w:rPr>
              <w:t>其他需要关注的事项</w:t>
            </w:r>
          </w:p>
          <w:p>
            <w:pPr>
              <w:pStyle w:val="TableParagraph"/>
              <w:numPr>
                <w:ilvl w:val="1"/>
                <w:numId w:val="3"/>
              </w:numPr>
              <w:tabs>
                <w:tab w:pos="1061" w:val="left" w:leader="none"/>
                <w:tab w:pos="1062" w:val="left" w:leader="none"/>
              </w:tabs>
              <w:spacing w:line="240" w:lineRule="auto" w:before="139" w:after="0"/>
              <w:ind w:left="1061" w:right="0" w:hanging="566"/>
              <w:jc w:val="left"/>
              <w:rPr>
                <w:sz w:val="22"/>
              </w:rPr>
            </w:pPr>
            <w:r>
              <w:rPr>
                <w:sz w:val="22"/>
              </w:rPr>
              <w:t>效力终止</w:t>
            </w:r>
          </w:p>
          <w:p>
            <w:pPr>
              <w:pStyle w:val="TableParagraph"/>
              <w:numPr>
                <w:ilvl w:val="1"/>
                <w:numId w:val="3"/>
              </w:numPr>
              <w:tabs>
                <w:tab w:pos="1061" w:val="left" w:leader="none"/>
                <w:tab w:pos="1062" w:val="left" w:leader="none"/>
              </w:tabs>
              <w:spacing w:line="240" w:lineRule="auto" w:before="139" w:after="0"/>
              <w:ind w:left="1061" w:right="0" w:hanging="566"/>
              <w:jc w:val="left"/>
              <w:rPr>
                <w:sz w:val="22"/>
              </w:rPr>
            </w:pPr>
            <w:r>
              <w:rPr>
                <w:spacing w:val="-1"/>
                <w:sz w:val="22"/>
              </w:rPr>
              <w:t>适用主合同条款</w:t>
            </w:r>
          </w:p>
          <w:p>
            <w:pPr>
              <w:pStyle w:val="TableParagraph"/>
              <w:numPr>
                <w:ilvl w:val="0"/>
                <w:numId w:val="3"/>
              </w:numPr>
              <w:tabs>
                <w:tab w:pos="496" w:val="left" w:leader="none"/>
              </w:tabs>
              <w:spacing w:line="240" w:lineRule="auto" w:before="142" w:after="0"/>
              <w:ind w:left="495" w:right="0" w:hanging="312"/>
              <w:jc w:val="left"/>
              <w:rPr>
                <w:b/>
                <w:sz w:val="22"/>
              </w:rPr>
            </w:pPr>
            <w:r>
              <w:rPr>
                <w:b/>
                <w:w w:val="95"/>
                <w:sz w:val="22"/>
              </w:rPr>
              <w:t>释义</w:t>
            </w:r>
          </w:p>
          <w:p>
            <w:pPr>
              <w:pStyle w:val="TableParagraph"/>
              <w:numPr>
                <w:ilvl w:val="1"/>
                <w:numId w:val="3"/>
              </w:numPr>
              <w:tabs>
                <w:tab w:pos="1061" w:val="left" w:leader="none"/>
                <w:tab w:pos="1062" w:val="left" w:leader="none"/>
              </w:tabs>
              <w:spacing w:line="240" w:lineRule="auto" w:before="139" w:after="0"/>
              <w:ind w:left="1061" w:right="0" w:hanging="566"/>
              <w:jc w:val="left"/>
              <w:rPr>
                <w:sz w:val="22"/>
              </w:rPr>
            </w:pPr>
            <w:r>
              <w:rPr>
                <w:sz w:val="22"/>
              </w:rPr>
              <w:t>保单年度</w:t>
            </w:r>
          </w:p>
          <w:p>
            <w:pPr>
              <w:pStyle w:val="TableParagraph"/>
              <w:numPr>
                <w:ilvl w:val="1"/>
                <w:numId w:val="3"/>
              </w:numPr>
              <w:tabs>
                <w:tab w:pos="1061" w:val="left" w:leader="none"/>
                <w:tab w:pos="1062" w:val="left" w:leader="none"/>
              </w:tabs>
              <w:spacing w:line="240" w:lineRule="auto" w:before="139" w:after="0"/>
              <w:ind w:left="1061" w:right="0" w:hanging="566"/>
              <w:jc w:val="left"/>
              <w:rPr>
                <w:sz w:val="22"/>
              </w:rPr>
            </w:pPr>
            <w:r>
              <w:rPr>
                <w:spacing w:val="-2"/>
                <w:sz w:val="22"/>
              </w:rPr>
              <w:t>保险费约定支付日</w:t>
            </w:r>
          </w:p>
          <w:p>
            <w:pPr>
              <w:pStyle w:val="TableParagraph"/>
              <w:numPr>
                <w:ilvl w:val="1"/>
                <w:numId w:val="3"/>
              </w:numPr>
              <w:tabs>
                <w:tab w:pos="1061" w:val="left" w:leader="none"/>
                <w:tab w:pos="1062" w:val="left" w:leader="none"/>
              </w:tabs>
              <w:spacing w:line="240" w:lineRule="auto" w:before="141" w:after="0"/>
              <w:ind w:left="1061" w:right="0" w:hanging="566"/>
              <w:jc w:val="left"/>
              <w:rPr>
                <w:sz w:val="22"/>
              </w:rPr>
            </w:pPr>
            <w:r>
              <w:rPr>
                <w:sz w:val="22"/>
              </w:rPr>
              <w:t>周岁</w:t>
            </w:r>
          </w:p>
          <w:p>
            <w:pPr>
              <w:pStyle w:val="TableParagraph"/>
              <w:numPr>
                <w:ilvl w:val="1"/>
                <w:numId w:val="3"/>
              </w:numPr>
              <w:tabs>
                <w:tab w:pos="1061" w:val="left" w:leader="none"/>
                <w:tab w:pos="1062" w:val="left" w:leader="none"/>
              </w:tabs>
              <w:spacing w:line="240" w:lineRule="auto" w:before="138" w:after="0"/>
              <w:ind w:left="1061" w:right="0" w:hanging="566"/>
              <w:jc w:val="left"/>
              <w:rPr>
                <w:sz w:val="22"/>
              </w:rPr>
            </w:pPr>
            <w:r>
              <w:rPr>
                <w:sz w:val="22"/>
              </w:rPr>
              <w:t>重大疾病</w:t>
            </w:r>
          </w:p>
          <w:p>
            <w:pPr>
              <w:pStyle w:val="TableParagraph"/>
              <w:numPr>
                <w:ilvl w:val="1"/>
                <w:numId w:val="3"/>
              </w:numPr>
              <w:tabs>
                <w:tab w:pos="1061" w:val="left" w:leader="none"/>
                <w:tab w:pos="1062" w:val="left" w:leader="none"/>
              </w:tabs>
              <w:spacing w:line="240" w:lineRule="auto" w:before="138" w:after="0"/>
              <w:ind w:left="1061" w:right="0" w:hanging="566"/>
              <w:jc w:val="left"/>
              <w:rPr>
                <w:sz w:val="22"/>
              </w:rPr>
            </w:pPr>
            <w:r>
              <w:rPr>
                <w:spacing w:val="-1"/>
                <w:sz w:val="22"/>
              </w:rPr>
              <w:t>意外伤害事故</w:t>
            </w:r>
          </w:p>
          <w:p>
            <w:pPr>
              <w:pStyle w:val="TableParagraph"/>
              <w:numPr>
                <w:ilvl w:val="1"/>
                <w:numId w:val="3"/>
              </w:numPr>
              <w:tabs>
                <w:tab w:pos="1061" w:val="left" w:leader="none"/>
                <w:tab w:pos="1062" w:val="left" w:leader="none"/>
              </w:tabs>
              <w:spacing w:line="240" w:lineRule="auto" w:before="141" w:after="0"/>
              <w:ind w:left="1061" w:right="0" w:hanging="566"/>
              <w:jc w:val="left"/>
              <w:rPr>
                <w:sz w:val="22"/>
              </w:rPr>
            </w:pPr>
            <w:r>
              <w:rPr>
                <w:sz w:val="22"/>
              </w:rPr>
              <w:t>初次发生</w:t>
            </w:r>
          </w:p>
          <w:p>
            <w:pPr>
              <w:pStyle w:val="TableParagraph"/>
              <w:numPr>
                <w:ilvl w:val="1"/>
                <w:numId w:val="3"/>
              </w:numPr>
              <w:tabs>
                <w:tab w:pos="1061" w:val="left" w:leader="none"/>
                <w:tab w:pos="1062" w:val="left" w:leader="none"/>
              </w:tabs>
              <w:spacing w:line="240" w:lineRule="auto" w:before="139" w:after="0"/>
              <w:ind w:left="1061" w:right="0" w:hanging="566"/>
              <w:jc w:val="left"/>
              <w:rPr>
                <w:sz w:val="22"/>
              </w:rPr>
            </w:pPr>
            <w:r>
              <w:rPr>
                <w:sz w:val="22"/>
              </w:rPr>
              <w:t>医院</w:t>
            </w:r>
          </w:p>
          <w:p>
            <w:pPr>
              <w:pStyle w:val="TableParagraph"/>
              <w:numPr>
                <w:ilvl w:val="1"/>
                <w:numId w:val="3"/>
              </w:numPr>
              <w:tabs>
                <w:tab w:pos="1061" w:val="left" w:leader="none"/>
                <w:tab w:pos="1062" w:val="left" w:leader="none"/>
              </w:tabs>
              <w:spacing w:line="240" w:lineRule="auto" w:before="139" w:after="0"/>
              <w:ind w:left="1061" w:right="0" w:hanging="566"/>
              <w:jc w:val="left"/>
              <w:rPr>
                <w:sz w:val="22"/>
              </w:rPr>
            </w:pPr>
            <w:r>
              <w:rPr>
                <w:sz w:val="22"/>
              </w:rPr>
              <w:t>专科医生</w:t>
            </w:r>
          </w:p>
          <w:p>
            <w:pPr>
              <w:pStyle w:val="TableParagraph"/>
              <w:numPr>
                <w:ilvl w:val="1"/>
                <w:numId w:val="3"/>
              </w:numPr>
              <w:tabs>
                <w:tab w:pos="1061" w:val="left" w:leader="none"/>
                <w:tab w:pos="1062" w:val="left" w:leader="none"/>
              </w:tabs>
              <w:spacing w:line="240" w:lineRule="auto" w:before="142" w:after="0"/>
              <w:ind w:left="1061" w:right="0" w:hanging="566"/>
              <w:jc w:val="left"/>
              <w:rPr>
                <w:sz w:val="22"/>
              </w:rPr>
            </w:pPr>
            <w:r>
              <w:rPr>
                <w:sz w:val="22"/>
              </w:rPr>
              <w:t>毒品</w:t>
            </w:r>
          </w:p>
          <w:p>
            <w:pPr>
              <w:pStyle w:val="TableParagraph"/>
              <w:numPr>
                <w:ilvl w:val="1"/>
                <w:numId w:val="3"/>
              </w:numPr>
              <w:tabs>
                <w:tab w:pos="1062" w:val="left" w:leader="none"/>
              </w:tabs>
              <w:spacing w:line="240" w:lineRule="auto" w:before="139" w:after="0"/>
              <w:ind w:left="1061" w:right="0" w:hanging="566"/>
              <w:jc w:val="left"/>
              <w:rPr>
                <w:sz w:val="22"/>
              </w:rPr>
            </w:pPr>
            <w:r>
              <w:rPr>
                <w:sz w:val="22"/>
              </w:rPr>
              <w:t>酒后驾驶</w:t>
            </w:r>
          </w:p>
          <w:p>
            <w:pPr>
              <w:pStyle w:val="TableParagraph"/>
              <w:numPr>
                <w:ilvl w:val="1"/>
                <w:numId w:val="3"/>
              </w:numPr>
              <w:tabs>
                <w:tab w:pos="1062" w:val="left" w:leader="none"/>
              </w:tabs>
              <w:spacing w:line="357" w:lineRule="auto" w:before="139" w:after="0"/>
              <w:ind w:left="1061" w:right="298" w:hanging="566"/>
              <w:jc w:val="left"/>
              <w:rPr>
                <w:sz w:val="22"/>
              </w:rPr>
            </w:pPr>
            <w:r>
              <w:rPr>
                <w:spacing w:val="-2"/>
                <w:sz w:val="22"/>
              </w:rPr>
              <w:t>无合法有效驾驶证驾驶</w:t>
            </w:r>
          </w:p>
          <w:p>
            <w:pPr>
              <w:pStyle w:val="TableParagraph"/>
              <w:numPr>
                <w:ilvl w:val="1"/>
                <w:numId w:val="3"/>
              </w:numPr>
              <w:tabs>
                <w:tab w:pos="1062" w:val="left" w:leader="none"/>
              </w:tabs>
              <w:spacing w:line="240" w:lineRule="auto" w:before="31" w:after="0"/>
              <w:ind w:left="1061" w:right="0" w:hanging="566"/>
              <w:jc w:val="left"/>
              <w:rPr>
                <w:sz w:val="22"/>
              </w:rPr>
            </w:pPr>
            <w:r>
              <w:rPr>
                <w:spacing w:val="-1"/>
                <w:sz w:val="22"/>
              </w:rPr>
              <w:t>无有效行驶证</w:t>
            </w:r>
          </w:p>
          <w:p>
            <w:pPr>
              <w:pStyle w:val="TableParagraph"/>
              <w:numPr>
                <w:ilvl w:val="1"/>
                <w:numId w:val="3"/>
              </w:numPr>
              <w:tabs>
                <w:tab w:pos="1062" w:val="left" w:leader="none"/>
              </w:tabs>
              <w:spacing w:line="240" w:lineRule="auto" w:before="139" w:after="0"/>
              <w:ind w:left="1061" w:right="0" w:hanging="566"/>
              <w:jc w:val="left"/>
              <w:rPr>
                <w:sz w:val="22"/>
              </w:rPr>
            </w:pPr>
            <w:r>
              <w:rPr>
                <w:sz w:val="22"/>
              </w:rPr>
              <w:t>机动车</w:t>
            </w:r>
          </w:p>
          <w:p>
            <w:pPr>
              <w:pStyle w:val="TableParagraph"/>
              <w:numPr>
                <w:ilvl w:val="1"/>
                <w:numId w:val="3"/>
              </w:numPr>
              <w:tabs>
                <w:tab w:pos="1062" w:val="left" w:leader="none"/>
              </w:tabs>
              <w:spacing w:line="430" w:lineRule="exact" w:before="52" w:after="0"/>
              <w:ind w:left="1061" w:right="298" w:hanging="566"/>
              <w:jc w:val="left"/>
              <w:rPr>
                <w:sz w:val="22"/>
              </w:rPr>
            </w:pPr>
            <w:r>
              <w:rPr>
                <w:spacing w:val="-2"/>
                <w:sz w:val="22"/>
              </w:rPr>
              <w:t>感染艾滋病病毒或患艾滋病</w:t>
            </w:r>
          </w:p>
        </w:tc>
        <w:tc>
          <w:tcPr>
            <w:tcW w:w="3153" w:type="dxa"/>
          </w:tcPr>
          <w:p>
            <w:pPr>
              <w:pStyle w:val="TableParagraph"/>
              <w:numPr>
                <w:ilvl w:val="1"/>
                <w:numId w:val="4"/>
              </w:numPr>
              <w:tabs>
                <w:tab w:pos="970" w:val="left" w:leader="none"/>
              </w:tabs>
              <w:spacing w:line="221" w:lineRule="exact" w:before="0" w:after="0"/>
              <w:ind w:left="969" w:right="0" w:hanging="566"/>
              <w:jc w:val="left"/>
              <w:rPr>
                <w:sz w:val="22"/>
              </w:rPr>
            </w:pPr>
            <w:r>
              <w:rPr>
                <w:spacing w:val="-1"/>
                <w:sz w:val="22"/>
              </w:rPr>
              <w:t>遗传性疾病</w:t>
            </w:r>
          </w:p>
          <w:p>
            <w:pPr>
              <w:pStyle w:val="TableParagraph"/>
              <w:numPr>
                <w:ilvl w:val="1"/>
                <w:numId w:val="4"/>
              </w:numPr>
              <w:tabs>
                <w:tab w:pos="970" w:val="left" w:leader="none"/>
              </w:tabs>
              <w:spacing w:line="357" w:lineRule="auto" w:before="141" w:after="0"/>
              <w:ind w:left="969" w:right="198" w:hanging="566"/>
              <w:jc w:val="left"/>
              <w:rPr>
                <w:sz w:val="22"/>
              </w:rPr>
            </w:pPr>
            <w:r>
              <w:rPr>
                <w:spacing w:val="-2"/>
                <w:sz w:val="22"/>
              </w:rPr>
              <w:t>先天性畸形、变形或</w:t>
            </w:r>
            <w:r>
              <w:rPr>
                <w:spacing w:val="-3"/>
                <w:sz w:val="22"/>
              </w:rPr>
              <w:t>者染色体异常</w:t>
            </w:r>
          </w:p>
          <w:p>
            <w:pPr>
              <w:pStyle w:val="TableParagraph"/>
              <w:numPr>
                <w:ilvl w:val="1"/>
                <w:numId w:val="4"/>
              </w:numPr>
              <w:tabs>
                <w:tab w:pos="970" w:val="left" w:leader="none"/>
              </w:tabs>
              <w:spacing w:line="240" w:lineRule="auto" w:before="31" w:after="0"/>
              <w:ind w:left="969" w:right="0" w:hanging="566"/>
              <w:jc w:val="left"/>
              <w:rPr>
                <w:sz w:val="22"/>
              </w:rPr>
            </w:pPr>
            <w:r>
              <w:rPr>
                <w:sz w:val="22"/>
              </w:rPr>
              <w:t>现金价值</w:t>
            </w:r>
          </w:p>
          <w:p>
            <w:pPr>
              <w:pStyle w:val="TableParagraph"/>
              <w:numPr>
                <w:ilvl w:val="1"/>
                <w:numId w:val="4"/>
              </w:numPr>
              <w:tabs>
                <w:tab w:pos="970" w:val="left" w:leader="none"/>
              </w:tabs>
              <w:spacing w:line="240" w:lineRule="auto" w:before="142" w:after="0"/>
              <w:ind w:left="969" w:right="0" w:hanging="566"/>
              <w:jc w:val="left"/>
              <w:rPr>
                <w:sz w:val="22"/>
              </w:rPr>
            </w:pPr>
            <w:r>
              <w:rPr>
                <w:sz w:val="22"/>
              </w:rPr>
              <w:t>保险事故</w:t>
            </w:r>
          </w:p>
          <w:p>
            <w:pPr>
              <w:pStyle w:val="TableParagraph"/>
              <w:numPr>
                <w:ilvl w:val="1"/>
                <w:numId w:val="4"/>
              </w:numPr>
              <w:tabs>
                <w:tab w:pos="970" w:val="left" w:leader="none"/>
              </w:tabs>
              <w:spacing w:line="240" w:lineRule="auto" w:before="139" w:after="0"/>
              <w:ind w:left="969" w:right="0" w:hanging="566"/>
              <w:jc w:val="left"/>
              <w:rPr>
                <w:sz w:val="22"/>
              </w:rPr>
            </w:pPr>
            <w:r>
              <w:rPr>
                <w:sz w:val="22"/>
              </w:rPr>
              <w:t>原位癌</w:t>
            </w:r>
          </w:p>
          <w:p>
            <w:pPr>
              <w:pStyle w:val="TableParagraph"/>
              <w:numPr>
                <w:ilvl w:val="1"/>
                <w:numId w:val="4"/>
              </w:numPr>
              <w:tabs>
                <w:tab w:pos="970" w:val="left" w:leader="none"/>
              </w:tabs>
              <w:spacing w:line="240" w:lineRule="auto" w:before="139" w:after="0"/>
              <w:ind w:left="969" w:right="0" w:hanging="566"/>
              <w:jc w:val="left"/>
              <w:rPr>
                <w:sz w:val="22"/>
              </w:rPr>
            </w:pPr>
            <w:r>
              <w:rPr>
                <w:spacing w:val="-2"/>
                <w:sz w:val="22"/>
              </w:rPr>
              <w:t>肢体机能完全丧失</w:t>
            </w:r>
          </w:p>
          <w:p>
            <w:pPr>
              <w:pStyle w:val="TableParagraph"/>
              <w:numPr>
                <w:ilvl w:val="1"/>
                <w:numId w:val="4"/>
              </w:numPr>
              <w:tabs>
                <w:tab w:pos="970" w:val="left" w:leader="none"/>
              </w:tabs>
              <w:spacing w:line="355" w:lineRule="auto" w:before="141" w:after="0"/>
              <w:ind w:left="969" w:right="198" w:hanging="566"/>
              <w:jc w:val="left"/>
              <w:rPr>
                <w:sz w:val="22"/>
              </w:rPr>
            </w:pPr>
            <w:r>
              <w:rPr>
                <w:spacing w:val="-2"/>
                <w:sz w:val="22"/>
              </w:rPr>
              <w:t>语言能力或咀嚼吞咽</w:t>
            </w:r>
            <w:r>
              <w:rPr>
                <w:spacing w:val="-3"/>
                <w:sz w:val="22"/>
              </w:rPr>
              <w:t>能力完全丧失</w:t>
            </w:r>
          </w:p>
          <w:p>
            <w:pPr>
              <w:pStyle w:val="TableParagraph"/>
              <w:numPr>
                <w:ilvl w:val="1"/>
                <w:numId w:val="4"/>
              </w:numPr>
              <w:tabs>
                <w:tab w:pos="970" w:val="left" w:leader="none"/>
              </w:tabs>
              <w:spacing w:line="357" w:lineRule="auto" w:before="33" w:after="0"/>
              <w:ind w:left="969" w:right="198" w:hanging="566"/>
              <w:jc w:val="left"/>
              <w:rPr>
                <w:sz w:val="22"/>
              </w:rPr>
            </w:pPr>
            <w:r>
              <w:rPr>
                <w:spacing w:val="-2"/>
                <w:sz w:val="22"/>
              </w:rPr>
              <w:t>六项基本日常生活活动</w:t>
            </w:r>
          </w:p>
          <w:p>
            <w:pPr>
              <w:pStyle w:val="TableParagraph"/>
              <w:numPr>
                <w:ilvl w:val="1"/>
                <w:numId w:val="4"/>
              </w:numPr>
              <w:tabs>
                <w:tab w:pos="970" w:val="left" w:leader="none"/>
              </w:tabs>
              <w:spacing w:line="240" w:lineRule="auto" w:before="31" w:after="0"/>
              <w:ind w:left="969" w:right="0" w:hanging="566"/>
              <w:jc w:val="left"/>
              <w:rPr>
                <w:sz w:val="22"/>
              </w:rPr>
            </w:pPr>
            <w:r>
              <w:rPr>
                <w:spacing w:val="-1"/>
                <w:sz w:val="22"/>
              </w:rPr>
              <w:t>永久不可逆</w:t>
            </w:r>
          </w:p>
          <w:p>
            <w:pPr>
              <w:pStyle w:val="TableParagraph"/>
              <w:spacing w:before="139"/>
              <w:ind w:left="300"/>
              <w:rPr>
                <w:b/>
                <w:sz w:val="22"/>
              </w:rPr>
            </w:pPr>
            <w:r>
              <w:rPr>
                <w:b/>
                <w:w w:val="95"/>
                <w:sz w:val="22"/>
              </w:rPr>
              <w:t>【附表】：全残项目表</w:t>
            </w:r>
          </w:p>
        </w:tc>
      </w:tr>
    </w:tbl>
    <w:p>
      <w:pPr>
        <w:spacing w:after="0"/>
        <w:rPr>
          <w:sz w:val="22"/>
        </w:rPr>
        <w:sectPr>
          <w:pgSz w:w="11910" w:h="16840"/>
          <w:pgMar w:header="484" w:footer="479" w:top="680" w:bottom="660" w:left="900" w:right="940"/>
        </w:sectPr>
      </w:pPr>
    </w:p>
    <w:p>
      <w:pPr>
        <w:pStyle w:val="BodyText"/>
        <w:rPr>
          <w:rFonts w:ascii="微软雅黑"/>
          <w:b/>
          <w:sz w:val="20"/>
        </w:rPr>
      </w:pPr>
    </w:p>
    <w:p>
      <w:pPr>
        <w:pStyle w:val="BodyText"/>
        <w:rPr>
          <w:rFonts w:ascii="微软雅黑"/>
          <w:b/>
          <w:sz w:val="20"/>
        </w:rPr>
      </w:pPr>
    </w:p>
    <w:p>
      <w:pPr>
        <w:pStyle w:val="BodyText"/>
        <w:spacing w:before="8"/>
        <w:rPr>
          <w:rFonts w:ascii="微软雅黑"/>
          <w:b/>
          <w:sz w:val="16"/>
        </w:rPr>
      </w:pPr>
    </w:p>
    <w:p>
      <w:pPr>
        <w:spacing w:line="608" w:lineRule="exact" w:before="0"/>
        <w:ind w:left="1527" w:right="0" w:firstLine="0"/>
        <w:jc w:val="left"/>
        <w:rPr>
          <w:rFonts w:ascii="微软雅黑" w:eastAsia="微软雅黑" w:hint="eastAsia"/>
          <w:b/>
          <w:sz w:val="40"/>
        </w:rPr>
      </w:pPr>
      <w:r>
        <w:rPr>
          <w:rFonts w:ascii="微软雅黑" w:eastAsia="微软雅黑" w:hint="eastAsia"/>
          <w:b/>
          <w:sz w:val="40"/>
        </w:rPr>
        <w:t>君龙附加安心豁免保费重大疾病保险条款</w:t>
      </w:r>
    </w:p>
    <w:p>
      <w:pPr>
        <w:pStyle w:val="BodyText"/>
        <w:spacing w:before="2"/>
        <w:rPr>
          <w:rFonts w:ascii="微软雅黑"/>
          <w:b/>
          <w:sz w:val="72"/>
        </w:rPr>
      </w:pPr>
    </w:p>
    <w:p>
      <w:pPr>
        <w:pStyle w:val="BodyText"/>
        <w:spacing w:line="316" w:lineRule="auto" w:before="1"/>
        <w:ind w:left="313" w:right="271"/>
      </w:pPr>
      <w:r>
        <w:rPr/>
        <w:t>在本条款中，“您”指投保人，“我们”、“本公司”均指君龙人寿保险有限公司，“本附加合同” 指您与我们之间订立的“君龙附加安心豁免保费重大疾病保险保险合同”。</w:t>
      </w:r>
    </w:p>
    <w:p>
      <w:pPr>
        <w:pStyle w:val="BodyText"/>
        <w:spacing w:before="12"/>
        <w:rPr>
          <w:sz w:val="27"/>
        </w:rPr>
      </w:pPr>
    </w:p>
    <w:p>
      <w:pPr>
        <w:pStyle w:val="ListParagraph"/>
        <w:numPr>
          <w:ilvl w:val="0"/>
          <w:numId w:val="5"/>
        </w:numPr>
        <w:tabs>
          <w:tab w:pos="636" w:val="left" w:leader="none"/>
        </w:tabs>
        <w:spacing w:line="240" w:lineRule="auto" w:before="0" w:after="19"/>
        <w:ind w:left="635" w:right="0" w:hanging="322"/>
        <w:jc w:val="left"/>
        <w:rPr>
          <w:b/>
          <w:sz w:val="32"/>
        </w:rPr>
      </w:pPr>
      <w:r>
        <w:rPr>
          <w:b/>
          <w:w w:val="95"/>
          <w:sz w:val="32"/>
        </w:rPr>
        <w:t>您与我们订立的合同</w:t>
      </w:r>
    </w:p>
    <w:p>
      <w:pPr>
        <w:spacing w:line="44" w:lineRule="exact"/>
        <w:ind w:left="262" w:right="0" w:firstLine="0"/>
        <w:rPr>
          <w:sz w:val="4"/>
        </w:rPr>
      </w:pPr>
      <w:r>
        <w:rPr>
          <w:rFonts w:ascii="Times New Roman"/>
          <w:spacing w:val="11"/>
          <w:sz w:val="4"/>
        </w:rPr>
        <w:t> </w:t>
      </w:r>
      <w:r>
        <w:rPr>
          <w:spacing w:val="11"/>
          <w:position w:val="0"/>
          <w:sz w:val="4"/>
        </w:rPr>
        <w:pict>
          <v:group style="width:484.9pt;height:2.2pt;mso-position-horizontal-relative:char;mso-position-vertical-relative:line" coordorigin="0,0" coordsize="9698,44">
            <v:line style="position:absolute" from="0,22" to="778,22" stroked="true" strokeweight="2.16pt" strokecolor="#000000">
              <v:stroke dashstyle="solid"/>
            </v:line>
            <v:rect style="position:absolute;left:777;top:0;width:44;height:44" filled="true" fillcolor="#000000" stroked="false">
              <v:fill type="solid"/>
            </v:rect>
            <v:line style="position:absolute" from="821,22" to="2328,22" stroked="true" strokeweight="2.16pt" strokecolor="#000000">
              <v:stroke dashstyle="solid"/>
            </v:line>
            <v:rect style="position:absolute;left:2328;top:0;width:44;height:44" filled="true" fillcolor="#000000" stroked="false">
              <v:fill type="solid"/>
            </v:rect>
            <v:line style="position:absolute" from="2372,22" to="9698,22" stroked="true" strokeweight="2.16pt" strokecolor="#000000">
              <v:stroke dashstyle="solid"/>
            </v:line>
          </v:group>
        </w:pict>
      </w:r>
      <w:r>
        <w:rPr>
          <w:spacing w:val="11"/>
          <w:position w:val="0"/>
          <w:sz w:val="4"/>
        </w:rPr>
      </w:r>
    </w:p>
    <w:p>
      <w:pPr>
        <w:pStyle w:val="BodyText"/>
        <w:rPr>
          <w:b/>
          <w:sz w:val="20"/>
        </w:rPr>
      </w:pPr>
    </w:p>
    <w:p>
      <w:pPr>
        <w:pStyle w:val="BodyText"/>
        <w:spacing w:before="12"/>
        <w:rPr>
          <w:b/>
          <w:sz w:val="17"/>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95"/>
        <w:gridCol w:w="7595"/>
      </w:tblGrid>
      <w:tr>
        <w:trPr>
          <w:trHeight w:val="2010" w:hRule="atLeast"/>
        </w:trPr>
        <w:tc>
          <w:tcPr>
            <w:tcW w:w="756" w:type="dxa"/>
          </w:tcPr>
          <w:p>
            <w:pPr>
              <w:pStyle w:val="TableParagraph"/>
              <w:spacing w:line="221" w:lineRule="exact"/>
              <w:ind w:left="200"/>
              <w:rPr>
                <w:b/>
                <w:sz w:val="22"/>
              </w:rPr>
            </w:pPr>
            <w:r>
              <w:rPr>
                <w:b/>
                <w:sz w:val="22"/>
              </w:rPr>
              <w:t>1.1</w:t>
            </w:r>
          </w:p>
        </w:tc>
        <w:tc>
          <w:tcPr>
            <w:tcW w:w="1695" w:type="dxa"/>
          </w:tcPr>
          <w:p>
            <w:pPr>
              <w:pStyle w:val="TableParagraph"/>
              <w:spacing w:line="221" w:lineRule="exact"/>
              <w:ind w:left="221"/>
              <w:rPr>
                <w:b/>
                <w:sz w:val="22"/>
              </w:rPr>
            </w:pPr>
            <w:r>
              <w:rPr>
                <w:b/>
                <w:w w:val="95"/>
                <w:sz w:val="22"/>
              </w:rPr>
              <w:t>合同构成</w:t>
            </w:r>
          </w:p>
        </w:tc>
        <w:tc>
          <w:tcPr>
            <w:tcW w:w="7595" w:type="dxa"/>
          </w:tcPr>
          <w:p>
            <w:pPr>
              <w:pStyle w:val="TableParagraph"/>
              <w:spacing w:line="221" w:lineRule="exact"/>
              <w:ind w:left="77"/>
              <w:rPr>
                <w:sz w:val="22"/>
              </w:rPr>
            </w:pPr>
            <w:r>
              <w:rPr>
                <w:sz w:val="22"/>
              </w:rPr>
              <w:t>本附加合同由主保险合同（以下简称“主合同”）的投保人提出申请，经我</w:t>
            </w:r>
          </w:p>
          <w:p>
            <w:pPr>
              <w:pStyle w:val="TableParagraph"/>
              <w:spacing w:before="91"/>
              <w:ind w:left="77"/>
              <w:rPr>
                <w:sz w:val="22"/>
              </w:rPr>
            </w:pPr>
            <w:r>
              <w:rPr>
                <w:sz w:val="22"/>
              </w:rPr>
              <w:t>们同意附加在主合同订定。</w:t>
            </w:r>
          </w:p>
          <w:p>
            <w:pPr>
              <w:pStyle w:val="TableParagraph"/>
              <w:spacing w:line="316" w:lineRule="auto" w:before="93"/>
              <w:ind w:left="77" w:right="202"/>
              <w:jc w:val="both"/>
              <w:rPr>
                <w:sz w:val="22"/>
              </w:rPr>
            </w:pPr>
            <w:r>
              <w:rPr>
                <w:sz w:val="22"/>
              </w:rPr>
              <w:t>本附加合同是您与我们约定保险权利义务关系的协议，包括本保险条款、保险单或其它保险凭证、投保单、与保险合同有关的投保文件、合法有效的声明、批注、批单及其它您与我们共同认可的书面协议。</w:t>
            </w:r>
          </w:p>
        </w:tc>
      </w:tr>
      <w:tr>
        <w:trPr>
          <w:trHeight w:val="1520" w:hRule="atLeast"/>
        </w:trPr>
        <w:tc>
          <w:tcPr>
            <w:tcW w:w="756" w:type="dxa"/>
          </w:tcPr>
          <w:p>
            <w:pPr>
              <w:pStyle w:val="TableParagraph"/>
              <w:spacing w:before="6"/>
              <w:rPr>
                <w:b/>
                <w:sz w:val="15"/>
              </w:rPr>
            </w:pPr>
          </w:p>
          <w:p>
            <w:pPr>
              <w:pStyle w:val="TableParagraph"/>
              <w:ind w:left="200"/>
              <w:rPr>
                <w:b/>
                <w:sz w:val="22"/>
              </w:rPr>
            </w:pPr>
            <w:r>
              <w:rPr>
                <w:b/>
                <w:sz w:val="22"/>
              </w:rPr>
              <w:t>1.2</w:t>
            </w:r>
          </w:p>
        </w:tc>
        <w:tc>
          <w:tcPr>
            <w:tcW w:w="1695" w:type="dxa"/>
          </w:tcPr>
          <w:p>
            <w:pPr>
              <w:pStyle w:val="TableParagraph"/>
              <w:spacing w:before="6"/>
              <w:rPr>
                <w:b/>
                <w:sz w:val="15"/>
              </w:rPr>
            </w:pPr>
          </w:p>
          <w:p>
            <w:pPr>
              <w:pStyle w:val="TableParagraph"/>
              <w:spacing w:line="316" w:lineRule="auto"/>
              <w:ind w:left="221" w:right="367"/>
              <w:rPr>
                <w:b/>
                <w:sz w:val="22"/>
              </w:rPr>
            </w:pPr>
            <w:r>
              <w:rPr>
                <w:b/>
                <w:sz w:val="22"/>
              </w:rPr>
              <w:t>保险合同成</w:t>
            </w:r>
            <w:r>
              <w:rPr>
                <w:b/>
                <w:w w:val="95"/>
                <w:sz w:val="22"/>
              </w:rPr>
              <w:t>立与生效</w:t>
            </w:r>
          </w:p>
        </w:tc>
        <w:tc>
          <w:tcPr>
            <w:tcW w:w="7595" w:type="dxa"/>
          </w:tcPr>
          <w:p>
            <w:pPr>
              <w:pStyle w:val="TableParagraph"/>
              <w:spacing w:before="6"/>
              <w:rPr>
                <w:b/>
                <w:sz w:val="15"/>
              </w:rPr>
            </w:pPr>
          </w:p>
          <w:p>
            <w:pPr>
              <w:pStyle w:val="TableParagraph"/>
              <w:ind w:left="77"/>
              <w:rPr>
                <w:sz w:val="22"/>
              </w:rPr>
            </w:pPr>
            <w:r>
              <w:rPr>
                <w:sz w:val="22"/>
              </w:rPr>
              <w:t>您提出保险申请、我们同意承保，本附加合同成立。</w:t>
            </w:r>
          </w:p>
          <w:p>
            <w:pPr>
              <w:pStyle w:val="TableParagraph"/>
              <w:spacing w:line="319" w:lineRule="auto" w:before="90"/>
              <w:ind w:left="77" w:right="201"/>
              <w:rPr>
                <w:sz w:val="22"/>
              </w:rPr>
            </w:pPr>
            <w:r>
              <w:rPr>
                <w:sz w:val="22"/>
              </w:rPr>
              <w:t>合同生效日期在保险单上载明。</w:t>
            </w:r>
            <w:r>
              <w:rPr>
                <w:b/>
                <w:sz w:val="22"/>
              </w:rPr>
              <w:t>保单年度</w:t>
            </w:r>
            <w:r>
              <w:rPr>
                <w:sz w:val="22"/>
              </w:rPr>
              <w:t>、</w:t>
            </w:r>
            <w:r>
              <w:rPr>
                <w:b/>
                <w:sz w:val="22"/>
              </w:rPr>
              <w:t>保险费约定支付日</w:t>
            </w:r>
            <w:r>
              <w:rPr>
                <w:sz w:val="22"/>
              </w:rPr>
              <w:t>均以该日期进行计算。</w:t>
            </w:r>
          </w:p>
        </w:tc>
      </w:tr>
      <w:tr>
        <w:trPr>
          <w:trHeight w:val="1520" w:hRule="atLeast"/>
        </w:trPr>
        <w:tc>
          <w:tcPr>
            <w:tcW w:w="756" w:type="dxa"/>
          </w:tcPr>
          <w:p>
            <w:pPr>
              <w:pStyle w:val="TableParagraph"/>
              <w:spacing w:before="5"/>
              <w:rPr>
                <w:b/>
                <w:sz w:val="15"/>
              </w:rPr>
            </w:pPr>
          </w:p>
          <w:p>
            <w:pPr>
              <w:pStyle w:val="TableParagraph"/>
              <w:ind w:left="200"/>
              <w:rPr>
                <w:b/>
                <w:sz w:val="22"/>
              </w:rPr>
            </w:pPr>
            <w:r>
              <w:rPr>
                <w:b/>
                <w:sz w:val="22"/>
              </w:rPr>
              <w:t>1.3</w:t>
            </w:r>
          </w:p>
        </w:tc>
        <w:tc>
          <w:tcPr>
            <w:tcW w:w="1695" w:type="dxa"/>
          </w:tcPr>
          <w:p>
            <w:pPr>
              <w:pStyle w:val="TableParagraph"/>
              <w:spacing w:before="5"/>
              <w:rPr>
                <w:b/>
                <w:sz w:val="15"/>
              </w:rPr>
            </w:pPr>
          </w:p>
          <w:p>
            <w:pPr>
              <w:pStyle w:val="TableParagraph"/>
              <w:spacing w:line="319" w:lineRule="auto"/>
              <w:ind w:left="221" w:right="77"/>
              <w:rPr>
                <w:b/>
                <w:sz w:val="22"/>
              </w:rPr>
            </w:pPr>
            <w:r>
              <w:rPr>
                <w:b/>
                <w:sz w:val="22"/>
              </w:rPr>
              <w:t>投保年龄、投</w:t>
            </w:r>
            <w:r>
              <w:rPr>
                <w:b/>
                <w:w w:val="95"/>
                <w:sz w:val="22"/>
              </w:rPr>
              <w:t>保范围</w:t>
            </w:r>
          </w:p>
        </w:tc>
        <w:tc>
          <w:tcPr>
            <w:tcW w:w="7595" w:type="dxa"/>
          </w:tcPr>
          <w:p>
            <w:pPr>
              <w:pStyle w:val="TableParagraph"/>
              <w:spacing w:before="5"/>
              <w:rPr>
                <w:b/>
                <w:sz w:val="15"/>
              </w:rPr>
            </w:pPr>
          </w:p>
          <w:p>
            <w:pPr>
              <w:pStyle w:val="TableParagraph"/>
              <w:ind w:left="77"/>
              <w:rPr>
                <w:sz w:val="22"/>
              </w:rPr>
            </w:pPr>
            <w:r>
              <w:rPr>
                <w:sz w:val="22"/>
              </w:rPr>
              <w:t>指您投保时被保险人的年龄，投保年龄以</w:t>
            </w:r>
            <w:r>
              <w:rPr>
                <w:b/>
                <w:sz w:val="22"/>
              </w:rPr>
              <w:t>周岁</w:t>
            </w:r>
            <w:r>
              <w:rPr>
                <w:sz w:val="22"/>
              </w:rPr>
              <w:t>计算。</w:t>
            </w:r>
          </w:p>
          <w:p>
            <w:pPr>
              <w:pStyle w:val="TableParagraph"/>
              <w:spacing w:line="316" w:lineRule="auto" w:before="93"/>
              <w:ind w:left="77" w:right="201"/>
              <w:rPr>
                <w:sz w:val="22"/>
              </w:rPr>
            </w:pPr>
            <w:r>
              <w:rPr>
                <w:sz w:val="22"/>
              </w:rPr>
              <w:t>主合同投保人和主合同被保险人不为同一人时方可投保本附加合同。本附加合同被保险人与主合同的投保人为同一人。</w:t>
            </w:r>
          </w:p>
        </w:tc>
      </w:tr>
      <w:tr>
        <w:trPr>
          <w:trHeight w:val="2771" w:hRule="atLeast"/>
        </w:trPr>
        <w:tc>
          <w:tcPr>
            <w:tcW w:w="756" w:type="dxa"/>
          </w:tcPr>
          <w:p>
            <w:pPr>
              <w:pStyle w:val="TableParagraph"/>
              <w:spacing w:before="6"/>
              <w:rPr>
                <w:b/>
                <w:sz w:val="15"/>
              </w:rPr>
            </w:pPr>
          </w:p>
          <w:p>
            <w:pPr>
              <w:pStyle w:val="TableParagraph"/>
              <w:spacing w:before="1"/>
              <w:ind w:left="200"/>
              <w:rPr>
                <w:b/>
                <w:sz w:val="22"/>
              </w:rPr>
            </w:pPr>
            <w:r>
              <w:rPr>
                <w:b/>
                <w:sz w:val="22"/>
              </w:rPr>
              <w:t>1.4</w:t>
            </w:r>
          </w:p>
        </w:tc>
        <w:tc>
          <w:tcPr>
            <w:tcW w:w="1695" w:type="dxa"/>
          </w:tcPr>
          <w:p>
            <w:pPr>
              <w:pStyle w:val="TableParagraph"/>
              <w:spacing w:before="6"/>
              <w:rPr>
                <w:b/>
                <w:sz w:val="15"/>
              </w:rPr>
            </w:pPr>
          </w:p>
          <w:p>
            <w:pPr>
              <w:pStyle w:val="TableParagraph"/>
              <w:spacing w:before="1"/>
              <w:ind w:left="221"/>
              <w:rPr>
                <w:b/>
                <w:sz w:val="22"/>
              </w:rPr>
            </w:pPr>
            <w:r>
              <w:rPr>
                <w:b/>
                <w:w w:val="95"/>
                <w:sz w:val="22"/>
              </w:rPr>
              <w:t>犹豫期</w:t>
            </w:r>
          </w:p>
        </w:tc>
        <w:tc>
          <w:tcPr>
            <w:tcW w:w="7595" w:type="dxa"/>
          </w:tcPr>
          <w:p>
            <w:pPr>
              <w:pStyle w:val="TableParagraph"/>
              <w:spacing w:before="6"/>
              <w:rPr>
                <w:b/>
                <w:sz w:val="15"/>
              </w:rPr>
            </w:pPr>
          </w:p>
          <w:p>
            <w:pPr>
              <w:pStyle w:val="TableParagraph"/>
              <w:spacing w:line="316" w:lineRule="auto" w:before="1"/>
              <w:ind w:left="77" w:right="199"/>
              <w:jc w:val="both"/>
              <w:rPr>
                <w:sz w:val="22"/>
              </w:rPr>
            </w:pPr>
            <w:r>
              <w:rPr>
                <w:sz w:val="22"/>
              </w:rPr>
              <w:t>自您签收本附加合同的次日起，有10日的犹豫期。在此期间，请您认真审视本附加合同，如果您认为本附加合同与您的需求不相符，您可以在此期间提出解除本附加合同，我们将在扣除不超过10元的工本费后无息退还您所交纳的保险费。</w:t>
            </w:r>
          </w:p>
          <w:p>
            <w:pPr>
              <w:pStyle w:val="TableParagraph"/>
              <w:spacing w:line="316" w:lineRule="auto" w:before="21"/>
              <w:ind w:left="77" w:right="198"/>
              <w:jc w:val="both"/>
              <w:rPr>
                <w:sz w:val="22"/>
              </w:rPr>
            </w:pPr>
            <w:r>
              <w:rPr>
                <w:sz w:val="22"/>
              </w:rPr>
              <w:t>解除合同时，您需要填写申请书，并提供您的保险合同及有效身份证件。</w:t>
            </w:r>
            <w:r>
              <w:rPr>
                <w:sz w:val="22"/>
                <w:shd w:fill="D9D9D9" w:color="auto" w:val="clear"/>
              </w:rPr>
              <w:t>自您书面申请解除合同之日起，本附加合同即被解除，我们自本附加合同生效</w:t>
            </w:r>
          </w:p>
          <w:p>
            <w:pPr>
              <w:pStyle w:val="TableParagraph"/>
              <w:spacing w:line="268" w:lineRule="exact" w:before="23"/>
              <w:ind w:left="77"/>
              <w:jc w:val="both"/>
              <w:rPr>
                <w:sz w:val="22"/>
              </w:rPr>
            </w:pPr>
            <w:r>
              <w:rPr>
                <w:sz w:val="22"/>
                <w:shd w:fill="D9D9D9" w:color="auto" w:val="clear"/>
              </w:rPr>
              <w:t>日起自始不承担保险责任。</w:t>
            </w:r>
          </w:p>
        </w:tc>
      </w:tr>
    </w:tbl>
    <w:p>
      <w:pPr>
        <w:pStyle w:val="BodyText"/>
        <w:rPr>
          <w:b/>
          <w:sz w:val="20"/>
        </w:rPr>
      </w:pPr>
    </w:p>
    <w:p>
      <w:pPr>
        <w:pStyle w:val="Heading2"/>
        <w:numPr>
          <w:ilvl w:val="0"/>
          <w:numId w:val="6"/>
        </w:numPr>
        <w:tabs>
          <w:tab w:pos="636" w:val="left" w:leader="none"/>
        </w:tabs>
        <w:spacing w:line="240" w:lineRule="auto" w:before="171" w:after="19"/>
        <w:ind w:left="635" w:right="0" w:hanging="322"/>
        <w:jc w:val="left"/>
      </w:pPr>
      <w:r>
        <w:rPr>
          <w:w w:val="95"/>
        </w:rPr>
        <w:t>我们提供的保障</w:t>
      </w:r>
    </w:p>
    <w:p>
      <w:pPr>
        <w:spacing w:line="44" w:lineRule="exact"/>
        <w:ind w:left="262" w:right="0" w:firstLine="0"/>
        <w:rPr>
          <w:sz w:val="4"/>
        </w:rPr>
      </w:pPr>
      <w:r>
        <w:rPr>
          <w:rFonts w:ascii="Times New Roman"/>
          <w:spacing w:val="11"/>
          <w:sz w:val="4"/>
        </w:rPr>
        <w:t> </w:t>
      </w:r>
      <w:r>
        <w:rPr>
          <w:spacing w:val="11"/>
          <w:position w:val="0"/>
          <w:sz w:val="4"/>
        </w:rPr>
        <w:pict>
          <v:group style="width:484.9pt;height:2.2pt;mso-position-horizontal-relative:char;mso-position-vertical-relative:line" coordorigin="0,0" coordsize="9698,44">
            <v:line style="position:absolute" from="0,22" to="778,22" stroked="true" strokeweight="2.16pt" strokecolor="#000000">
              <v:stroke dashstyle="solid"/>
            </v:line>
            <v:rect style="position:absolute;left:777;top:0;width:44;height:44" filled="true" fillcolor="#000000" stroked="false">
              <v:fill type="solid"/>
            </v:rect>
            <v:line style="position:absolute" from="821,22" to="2328,22" stroked="true" strokeweight="2.16pt" strokecolor="#000000">
              <v:stroke dashstyle="solid"/>
            </v:line>
            <v:rect style="position:absolute;left:2328;top:0;width:44;height:44" filled="true" fillcolor="#000000" stroked="false">
              <v:fill type="solid"/>
            </v:rect>
            <v:line style="position:absolute" from="2372,22" to="9698,22" stroked="true" strokeweight="2.16pt" strokecolor="#000000">
              <v:stroke dashstyle="solid"/>
            </v:line>
          </v:group>
        </w:pict>
      </w:r>
      <w:r>
        <w:rPr>
          <w:spacing w:val="11"/>
          <w:position w:val="0"/>
          <w:sz w:val="4"/>
        </w:rPr>
      </w:r>
    </w:p>
    <w:p>
      <w:pPr>
        <w:pStyle w:val="BodyText"/>
        <w:rPr>
          <w:b/>
          <w:sz w:val="20"/>
        </w:rPr>
      </w:pPr>
    </w:p>
    <w:p>
      <w:pPr>
        <w:pStyle w:val="BodyText"/>
        <w:spacing w:before="12"/>
        <w:rPr>
          <w:b/>
          <w:sz w:val="17"/>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60"/>
        <w:gridCol w:w="7629"/>
      </w:tblGrid>
      <w:tr>
        <w:trPr>
          <w:trHeight w:val="220" w:hRule="atLeast"/>
        </w:trPr>
        <w:tc>
          <w:tcPr>
            <w:tcW w:w="756" w:type="dxa"/>
          </w:tcPr>
          <w:p>
            <w:pPr>
              <w:pStyle w:val="TableParagraph"/>
              <w:spacing w:line="201" w:lineRule="exact"/>
              <w:ind w:left="200"/>
              <w:rPr>
                <w:b/>
                <w:sz w:val="22"/>
              </w:rPr>
            </w:pPr>
            <w:r>
              <w:rPr>
                <w:b/>
                <w:sz w:val="22"/>
              </w:rPr>
              <w:t>2.1</w:t>
            </w:r>
          </w:p>
        </w:tc>
        <w:tc>
          <w:tcPr>
            <w:tcW w:w="1660" w:type="dxa"/>
          </w:tcPr>
          <w:p>
            <w:pPr>
              <w:pStyle w:val="TableParagraph"/>
              <w:spacing w:line="201" w:lineRule="exact"/>
              <w:ind w:left="221"/>
              <w:rPr>
                <w:b/>
                <w:sz w:val="22"/>
              </w:rPr>
            </w:pPr>
            <w:r>
              <w:rPr>
                <w:b/>
                <w:w w:val="95"/>
                <w:sz w:val="22"/>
              </w:rPr>
              <w:t>基本保险金额</w:t>
            </w:r>
          </w:p>
        </w:tc>
        <w:tc>
          <w:tcPr>
            <w:tcW w:w="7629" w:type="dxa"/>
          </w:tcPr>
          <w:p>
            <w:pPr>
              <w:pStyle w:val="TableParagraph"/>
              <w:spacing w:line="201" w:lineRule="exact"/>
              <w:ind w:left="112"/>
              <w:rPr>
                <w:sz w:val="22"/>
              </w:rPr>
            </w:pPr>
            <w:r>
              <w:rPr>
                <w:sz w:val="22"/>
              </w:rPr>
              <w:t>本附加合同的基本保险金额，即所豁免的期交保险费由您在投保时与我们约</w:t>
            </w:r>
          </w:p>
        </w:tc>
      </w:tr>
    </w:tbl>
    <w:p>
      <w:pPr>
        <w:spacing w:after="0" w:line="201" w:lineRule="exact"/>
        <w:rPr>
          <w:sz w:val="22"/>
        </w:rPr>
        <w:sectPr>
          <w:pgSz w:w="11910" w:h="16840"/>
          <w:pgMar w:header="484" w:footer="479" w:top="680" w:bottom="660" w:left="820" w:right="82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after="1"/>
        <w:rPr>
          <w:rFonts w:ascii="Times New Roman"/>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95"/>
        <w:gridCol w:w="7598"/>
      </w:tblGrid>
      <w:tr>
        <w:trPr>
          <w:trHeight w:val="489" w:hRule="atLeast"/>
        </w:trPr>
        <w:tc>
          <w:tcPr>
            <w:tcW w:w="756" w:type="dxa"/>
          </w:tcPr>
          <w:p>
            <w:pPr>
              <w:pStyle w:val="TableParagraph"/>
              <w:rPr>
                <w:rFonts w:ascii="Times New Roman"/>
                <w:sz w:val="20"/>
              </w:rPr>
            </w:pPr>
          </w:p>
        </w:tc>
        <w:tc>
          <w:tcPr>
            <w:tcW w:w="1695" w:type="dxa"/>
          </w:tcPr>
          <w:p>
            <w:pPr>
              <w:pStyle w:val="TableParagraph"/>
              <w:rPr>
                <w:rFonts w:ascii="Times New Roman"/>
                <w:sz w:val="20"/>
              </w:rPr>
            </w:pPr>
          </w:p>
        </w:tc>
        <w:tc>
          <w:tcPr>
            <w:tcW w:w="7598" w:type="dxa"/>
          </w:tcPr>
          <w:p>
            <w:pPr>
              <w:pStyle w:val="TableParagraph"/>
              <w:spacing w:line="221" w:lineRule="exact"/>
              <w:ind w:left="77"/>
              <w:rPr>
                <w:sz w:val="22"/>
              </w:rPr>
            </w:pPr>
            <w:r>
              <w:rPr>
                <w:sz w:val="22"/>
              </w:rPr>
              <w:t>定，并在保险单上载明。</w:t>
            </w:r>
          </w:p>
        </w:tc>
      </w:tr>
      <w:tr>
        <w:trPr>
          <w:trHeight w:val="1140" w:hRule="atLeast"/>
        </w:trPr>
        <w:tc>
          <w:tcPr>
            <w:tcW w:w="756" w:type="dxa"/>
          </w:tcPr>
          <w:p>
            <w:pPr>
              <w:pStyle w:val="TableParagraph"/>
              <w:spacing w:before="6"/>
              <w:rPr>
                <w:rFonts w:ascii="Times New Roman"/>
                <w:sz w:val="17"/>
              </w:rPr>
            </w:pPr>
          </w:p>
          <w:p>
            <w:pPr>
              <w:pStyle w:val="TableParagraph"/>
              <w:ind w:left="200"/>
              <w:rPr>
                <w:b/>
                <w:sz w:val="22"/>
              </w:rPr>
            </w:pPr>
            <w:r>
              <w:rPr>
                <w:b/>
                <w:sz w:val="22"/>
              </w:rPr>
              <w:t>2.2</w:t>
            </w:r>
          </w:p>
        </w:tc>
        <w:tc>
          <w:tcPr>
            <w:tcW w:w="1695" w:type="dxa"/>
          </w:tcPr>
          <w:p>
            <w:pPr>
              <w:pStyle w:val="TableParagraph"/>
              <w:spacing w:before="6"/>
              <w:rPr>
                <w:rFonts w:ascii="Times New Roman"/>
                <w:sz w:val="17"/>
              </w:rPr>
            </w:pPr>
          </w:p>
          <w:p>
            <w:pPr>
              <w:pStyle w:val="TableParagraph"/>
              <w:ind w:left="221"/>
              <w:rPr>
                <w:b/>
                <w:sz w:val="22"/>
              </w:rPr>
            </w:pPr>
            <w:r>
              <w:rPr>
                <w:b/>
                <w:w w:val="95"/>
                <w:sz w:val="22"/>
              </w:rPr>
              <w:t>保险期间</w:t>
            </w:r>
          </w:p>
        </w:tc>
        <w:tc>
          <w:tcPr>
            <w:tcW w:w="7598" w:type="dxa"/>
          </w:tcPr>
          <w:p>
            <w:pPr>
              <w:pStyle w:val="TableParagraph"/>
              <w:spacing w:before="6"/>
              <w:rPr>
                <w:rFonts w:ascii="Times New Roman"/>
                <w:sz w:val="17"/>
              </w:rPr>
            </w:pPr>
          </w:p>
          <w:p>
            <w:pPr>
              <w:pStyle w:val="TableParagraph"/>
              <w:spacing w:line="319" w:lineRule="auto"/>
              <w:ind w:left="77" w:right="202"/>
              <w:rPr>
                <w:sz w:val="22"/>
              </w:rPr>
            </w:pPr>
            <w:r>
              <w:rPr>
                <w:sz w:val="22"/>
              </w:rPr>
              <w:t>本附加合同的保险期间与主合同的交费期间一致，自本附加合同生效日零时开始起算。</w:t>
            </w:r>
          </w:p>
        </w:tc>
      </w:tr>
      <w:tr>
        <w:trPr>
          <w:trHeight w:val="7981" w:hRule="atLeast"/>
        </w:trPr>
        <w:tc>
          <w:tcPr>
            <w:tcW w:w="756" w:type="dxa"/>
          </w:tcPr>
          <w:p>
            <w:pPr>
              <w:pStyle w:val="TableParagraph"/>
              <w:spacing w:before="6"/>
              <w:rPr>
                <w:rFonts w:ascii="Times New Roman"/>
                <w:sz w:val="17"/>
              </w:rPr>
            </w:pPr>
          </w:p>
          <w:p>
            <w:pPr>
              <w:pStyle w:val="TableParagraph"/>
              <w:ind w:left="200"/>
              <w:rPr>
                <w:b/>
                <w:sz w:val="22"/>
              </w:rPr>
            </w:pPr>
            <w:r>
              <w:rPr>
                <w:b/>
                <w:sz w:val="22"/>
              </w:rPr>
              <w:t>2.3</w:t>
            </w:r>
          </w:p>
        </w:tc>
        <w:tc>
          <w:tcPr>
            <w:tcW w:w="1695" w:type="dxa"/>
          </w:tcPr>
          <w:p>
            <w:pPr>
              <w:pStyle w:val="TableParagraph"/>
              <w:spacing w:before="6"/>
              <w:rPr>
                <w:rFonts w:ascii="Times New Roman"/>
                <w:sz w:val="17"/>
              </w:rPr>
            </w:pPr>
          </w:p>
          <w:p>
            <w:pPr>
              <w:pStyle w:val="TableParagraph"/>
              <w:ind w:left="221"/>
              <w:rPr>
                <w:b/>
                <w:sz w:val="22"/>
              </w:rPr>
            </w:pPr>
            <w:r>
              <w:rPr>
                <w:b/>
                <w:w w:val="95"/>
                <w:sz w:val="22"/>
              </w:rPr>
              <w:t>保险责任</w:t>
            </w:r>
          </w:p>
          <w:p>
            <w:pPr>
              <w:pStyle w:val="TableParagraph"/>
              <w:rPr>
                <w:rFonts w:ascii="Times New Roman"/>
                <w:sz w:val="22"/>
              </w:rPr>
            </w:pPr>
          </w:p>
          <w:p>
            <w:pPr>
              <w:pStyle w:val="TableParagraph"/>
              <w:spacing w:before="154"/>
              <w:ind w:left="221"/>
              <w:rPr>
                <w:rFonts w:ascii="微软雅黑" w:eastAsia="微软雅黑" w:hint="eastAsia"/>
                <w:b/>
                <w:sz w:val="22"/>
              </w:rPr>
            </w:pPr>
            <w:r>
              <w:rPr>
                <w:rFonts w:ascii="微软雅黑" w:eastAsia="微软雅黑" w:hint="eastAsia"/>
                <w:b/>
                <w:sz w:val="22"/>
              </w:rPr>
              <w:t>等待期</w:t>
            </w:r>
          </w:p>
          <w:p>
            <w:pPr>
              <w:pStyle w:val="TableParagraph"/>
              <w:rPr>
                <w:rFonts w:ascii="Times New Roman"/>
                <w:sz w:val="28"/>
              </w:rPr>
            </w:pPr>
          </w:p>
          <w:p>
            <w:pPr>
              <w:pStyle w:val="TableParagraph"/>
              <w:rPr>
                <w:rFonts w:ascii="Times New Roman"/>
                <w:sz w:val="28"/>
              </w:rPr>
            </w:pPr>
          </w:p>
          <w:p>
            <w:pPr>
              <w:pStyle w:val="TableParagraph"/>
              <w:rPr>
                <w:rFonts w:ascii="Times New Roman"/>
                <w:sz w:val="28"/>
              </w:rPr>
            </w:pPr>
          </w:p>
          <w:p>
            <w:pPr>
              <w:pStyle w:val="TableParagraph"/>
              <w:spacing w:before="173"/>
              <w:ind w:left="221" w:right="146"/>
              <w:rPr>
                <w:rFonts w:ascii="微软雅黑" w:eastAsia="微软雅黑" w:hint="eastAsia"/>
                <w:b/>
                <w:sz w:val="22"/>
              </w:rPr>
            </w:pPr>
            <w:r>
              <w:rPr>
                <w:rFonts w:ascii="微软雅黑" w:eastAsia="微软雅黑" w:hint="eastAsia"/>
                <w:b/>
                <w:sz w:val="22"/>
              </w:rPr>
              <w:t>身故豁免保险费</w:t>
            </w:r>
          </w:p>
          <w:p>
            <w:pPr>
              <w:pStyle w:val="TableParagraph"/>
              <w:rPr>
                <w:rFonts w:ascii="Times New Roman"/>
                <w:sz w:val="28"/>
              </w:rPr>
            </w:pPr>
          </w:p>
          <w:p>
            <w:pPr>
              <w:pStyle w:val="TableParagraph"/>
              <w:rPr>
                <w:rFonts w:ascii="Times New Roman"/>
                <w:sz w:val="38"/>
              </w:rPr>
            </w:pPr>
          </w:p>
          <w:p>
            <w:pPr>
              <w:pStyle w:val="TableParagraph"/>
              <w:ind w:left="221" w:right="146"/>
              <w:rPr>
                <w:rFonts w:ascii="微软雅黑" w:eastAsia="微软雅黑" w:hint="eastAsia"/>
                <w:b/>
                <w:sz w:val="22"/>
              </w:rPr>
            </w:pPr>
            <w:r>
              <w:rPr>
                <w:rFonts w:ascii="微软雅黑" w:eastAsia="微软雅黑" w:hint="eastAsia"/>
                <w:b/>
                <w:sz w:val="22"/>
              </w:rPr>
              <w:t>全残豁免保险费</w:t>
            </w:r>
          </w:p>
          <w:p>
            <w:pPr>
              <w:pStyle w:val="TableParagraph"/>
              <w:rPr>
                <w:rFonts w:ascii="Times New Roman"/>
                <w:sz w:val="28"/>
              </w:rPr>
            </w:pPr>
          </w:p>
          <w:p>
            <w:pPr>
              <w:pStyle w:val="TableParagraph"/>
              <w:rPr>
                <w:rFonts w:ascii="Times New Roman"/>
                <w:sz w:val="28"/>
              </w:rPr>
            </w:pPr>
          </w:p>
          <w:p>
            <w:pPr>
              <w:pStyle w:val="TableParagraph"/>
              <w:rPr>
                <w:rFonts w:ascii="Times New Roman"/>
                <w:sz w:val="28"/>
              </w:rPr>
            </w:pPr>
          </w:p>
          <w:p>
            <w:pPr>
              <w:pStyle w:val="TableParagraph"/>
              <w:spacing w:before="172"/>
              <w:ind w:left="221" w:right="77"/>
              <w:rPr>
                <w:rFonts w:ascii="微软雅黑" w:eastAsia="微软雅黑" w:hint="eastAsia"/>
                <w:b/>
                <w:sz w:val="22"/>
              </w:rPr>
            </w:pPr>
            <w:r>
              <w:rPr>
                <w:rFonts w:ascii="微软雅黑" w:eastAsia="微软雅黑" w:hint="eastAsia"/>
                <w:b/>
                <w:sz w:val="22"/>
              </w:rPr>
              <w:t>重大疾病豁免保险费</w:t>
            </w:r>
          </w:p>
        </w:tc>
        <w:tc>
          <w:tcPr>
            <w:tcW w:w="7598" w:type="dxa"/>
          </w:tcPr>
          <w:p>
            <w:pPr>
              <w:pStyle w:val="TableParagraph"/>
              <w:spacing w:before="6"/>
              <w:rPr>
                <w:rFonts w:ascii="Times New Roman"/>
                <w:sz w:val="17"/>
              </w:rPr>
            </w:pPr>
          </w:p>
          <w:p>
            <w:pPr>
              <w:pStyle w:val="TableParagraph"/>
              <w:ind w:left="77"/>
              <w:rPr>
                <w:sz w:val="22"/>
              </w:rPr>
            </w:pPr>
            <w:r>
              <w:rPr>
                <w:sz w:val="22"/>
              </w:rPr>
              <w:t>本附加合同保险期间内，我们承担下列保险责任：</w:t>
            </w:r>
          </w:p>
          <w:p>
            <w:pPr>
              <w:pStyle w:val="TableParagraph"/>
              <w:rPr>
                <w:rFonts w:ascii="Times New Roman"/>
                <w:sz w:val="22"/>
              </w:rPr>
            </w:pPr>
          </w:p>
          <w:p>
            <w:pPr>
              <w:pStyle w:val="TableParagraph"/>
              <w:spacing w:before="1"/>
              <w:rPr>
                <w:rFonts w:ascii="Times New Roman"/>
                <w:sz w:val="19"/>
              </w:rPr>
            </w:pPr>
          </w:p>
          <w:p>
            <w:pPr>
              <w:pStyle w:val="TableParagraph"/>
              <w:spacing w:line="316" w:lineRule="auto"/>
              <w:ind w:left="77" w:right="250"/>
              <w:jc w:val="both"/>
              <w:rPr>
                <w:sz w:val="22"/>
              </w:rPr>
            </w:pPr>
            <w:r>
              <w:rPr>
                <w:sz w:val="22"/>
              </w:rPr>
              <w:t>从本附加合同生效（或复效）之日起90天内，被保险人发生</w:t>
            </w:r>
            <w:r>
              <w:rPr>
                <w:b/>
                <w:sz w:val="22"/>
              </w:rPr>
              <w:t>重大疾病</w:t>
            </w:r>
            <w:r>
              <w:rPr>
                <w:sz w:val="22"/>
              </w:rPr>
              <w:t>的， 我们不承担保险责任，本附加合同终止，并无息退还保险费。这90天的时间称为等待期。被保险人因</w:t>
            </w:r>
            <w:r>
              <w:rPr>
                <w:b/>
                <w:sz w:val="22"/>
              </w:rPr>
              <w:t>意外伤害事故</w:t>
            </w:r>
            <w:r>
              <w:rPr>
                <w:sz w:val="22"/>
              </w:rPr>
              <w:t>发生重大疾病的，无等待期。</w:t>
            </w:r>
          </w:p>
          <w:p>
            <w:pPr>
              <w:pStyle w:val="TableParagraph"/>
              <w:rPr>
                <w:rFonts w:ascii="Times New Roman"/>
                <w:sz w:val="22"/>
              </w:rPr>
            </w:pPr>
          </w:p>
          <w:p>
            <w:pPr>
              <w:pStyle w:val="TableParagraph"/>
              <w:spacing w:before="146"/>
              <w:ind w:left="77"/>
              <w:rPr>
                <w:sz w:val="22"/>
              </w:rPr>
            </w:pPr>
            <w:r>
              <w:rPr>
                <w:sz w:val="22"/>
              </w:rPr>
              <w:t>被保险人身故，我们豁免被保险人身故以后的主合同及其保险期间在一年</w:t>
            </w:r>
          </w:p>
          <w:p>
            <w:pPr>
              <w:pStyle w:val="TableParagraph"/>
              <w:spacing w:line="316" w:lineRule="auto" w:before="93"/>
              <w:ind w:left="77" w:right="249"/>
              <w:jc w:val="both"/>
              <w:rPr>
                <w:sz w:val="22"/>
              </w:rPr>
            </w:pPr>
            <w:r>
              <w:rPr>
                <w:sz w:val="22"/>
              </w:rPr>
              <w:t>（不含）</w:t>
            </w:r>
            <w:r>
              <w:rPr>
                <w:spacing w:val="-3"/>
                <w:sz w:val="22"/>
              </w:rPr>
              <w:t>以上的其他附加合同的以后各期保险费，</w:t>
            </w:r>
            <w:r>
              <w:rPr>
                <w:spacing w:val="-1"/>
                <w:sz w:val="22"/>
                <w:shd w:fill="D9D9D9" w:color="auto" w:val="clear"/>
              </w:rPr>
              <w:t>但不包含被保险人身故之前所欠</w:t>
            </w:r>
            <w:r>
              <w:rPr>
                <w:spacing w:val="-221"/>
                <w:sz w:val="22"/>
                <w:shd w:fill="D9D9D9" w:color="auto" w:val="clear"/>
              </w:rPr>
              <w:t>交</w:t>
            </w:r>
            <w:r>
              <w:rPr>
                <w:spacing w:val="-2"/>
                <w:sz w:val="22"/>
                <w:shd w:fill="D9D9D9" w:color="auto" w:val="clear"/>
              </w:rPr>
              <w:t>的保险费及利息</w:t>
            </w:r>
            <w:r>
              <w:rPr>
                <w:spacing w:val="-2"/>
                <w:sz w:val="22"/>
              </w:rPr>
              <w:t>，本附加合同终止。</w:t>
            </w:r>
          </w:p>
          <w:p>
            <w:pPr>
              <w:pStyle w:val="TableParagraph"/>
              <w:rPr>
                <w:rFonts w:ascii="Times New Roman"/>
                <w:sz w:val="22"/>
              </w:rPr>
            </w:pPr>
          </w:p>
          <w:p>
            <w:pPr>
              <w:pStyle w:val="TableParagraph"/>
              <w:spacing w:line="316" w:lineRule="auto" w:before="149"/>
              <w:ind w:left="77" w:right="250"/>
              <w:jc w:val="both"/>
              <w:rPr>
                <w:sz w:val="22"/>
              </w:rPr>
            </w:pPr>
            <w:r>
              <w:rPr>
                <w:sz w:val="22"/>
              </w:rPr>
              <w:t>被保险人导致附表所列全残项目之一，并经具有伤残等级鉴定资格的鉴定机构鉴定确认的，我们豁免被保险人确认全残以后的主合同及其保险期间在一年（不含）以上的其他附加合同的以后各期保险费，</w:t>
            </w:r>
            <w:r>
              <w:rPr>
                <w:sz w:val="22"/>
                <w:shd w:fill="D9D9D9" w:color="auto" w:val="clear"/>
              </w:rPr>
              <w:t>但不包含被保险人全残之前所欠交的保险费及利息</w:t>
            </w:r>
            <w:r>
              <w:rPr>
                <w:sz w:val="22"/>
              </w:rPr>
              <w:t>，本附加合同终止。</w:t>
            </w:r>
          </w:p>
          <w:p>
            <w:pPr>
              <w:pStyle w:val="TableParagraph"/>
              <w:rPr>
                <w:rFonts w:ascii="Times New Roman"/>
                <w:sz w:val="22"/>
              </w:rPr>
            </w:pPr>
          </w:p>
          <w:p>
            <w:pPr>
              <w:pStyle w:val="TableParagraph"/>
              <w:spacing w:line="316" w:lineRule="auto" w:before="146"/>
              <w:ind w:left="77" w:right="250"/>
              <w:jc w:val="both"/>
              <w:rPr>
                <w:sz w:val="22"/>
              </w:rPr>
            </w:pPr>
            <w:r>
              <w:rPr>
                <w:sz w:val="22"/>
              </w:rPr>
              <w:t>被保险人于等待期后</w:t>
            </w:r>
            <w:r>
              <w:rPr>
                <w:b/>
                <w:sz w:val="22"/>
              </w:rPr>
              <w:t>初次发生</w:t>
            </w:r>
            <w:r>
              <w:rPr>
                <w:sz w:val="22"/>
              </w:rPr>
              <w:t>并经</w:t>
            </w:r>
            <w:r>
              <w:rPr>
                <w:b/>
                <w:sz w:val="22"/>
              </w:rPr>
              <w:t>医院专科医生</w:t>
            </w:r>
            <w:r>
              <w:rPr>
                <w:sz w:val="22"/>
              </w:rPr>
              <w:t>明确诊断确定罹患本附加合同约定的重大疾病（无论一种或多种），我们豁免自重大疾病确诊之日以后主合同及其保险期间在一年（不含）以上的其他附加合同的以后各期保险费，</w:t>
            </w:r>
            <w:r>
              <w:rPr>
                <w:sz w:val="22"/>
                <w:shd w:fill="D9D9D9" w:color="auto" w:val="clear"/>
              </w:rPr>
              <w:t>但不包含被保险人确诊之日之前所欠交的保险费及利息</w:t>
            </w:r>
            <w:r>
              <w:rPr>
                <w:sz w:val="22"/>
              </w:rPr>
              <w:t>，本附加合同终止。</w:t>
            </w:r>
          </w:p>
        </w:tc>
      </w:tr>
      <w:tr>
        <w:trPr>
          <w:trHeight w:val="3910" w:hRule="atLeast"/>
        </w:trPr>
        <w:tc>
          <w:tcPr>
            <w:tcW w:w="756" w:type="dxa"/>
          </w:tcPr>
          <w:p>
            <w:pPr>
              <w:pStyle w:val="TableParagraph"/>
              <w:spacing w:before="6"/>
              <w:rPr>
                <w:rFonts w:ascii="Times New Roman"/>
                <w:sz w:val="17"/>
              </w:rPr>
            </w:pPr>
          </w:p>
          <w:p>
            <w:pPr>
              <w:pStyle w:val="TableParagraph"/>
              <w:ind w:left="200"/>
              <w:rPr>
                <w:b/>
                <w:sz w:val="22"/>
              </w:rPr>
            </w:pPr>
            <w:r>
              <w:rPr>
                <w:b/>
                <w:sz w:val="22"/>
              </w:rPr>
              <w:t>2.4</w:t>
            </w:r>
          </w:p>
        </w:tc>
        <w:tc>
          <w:tcPr>
            <w:tcW w:w="1695" w:type="dxa"/>
          </w:tcPr>
          <w:p>
            <w:pPr>
              <w:pStyle w:val="TableParagraph"/>
              <w:spacing w:before="6"/>
              <w:rPr>
                <w:rFonts w:ascii="Times New Roman"/>
                <w:sz w:val="17"/>
              </w:rPr>
            </w:pPr>
          </w:p>
          <w:p>
            <w:pPr>
              <w:pStyle w:val="TableParagraph"/>
              <w:ind w:left="221"/>
              <w:rPr>
                <w:b/>
                <w:sz w:val="22"/>
              </w:rPr>
            </w:pPr>
            <w:r>
              <w:rPr>
                <w:b/>
                <w:w w:val="95"/>
                <w:sz w:val="22"/>
              </w:rPr>
              <w:t>责任免除</w:t>
            </w:r>
          </w:p>
        </w:tc>
        <w:tc>
          <w:tcPr>
            <w:tcW w:w="7598" w:type="dxa"/>
          </w:tcPr>
          <w:p>
            <w:pPr>
              <w:pStyle w:val="TableParagraph"/>
              <w:spacing w:before="6"/>
              <w:rPr>
                <w:rFonts w:ascii="Times New Roman"/>
                <w:sz w:val="17"/>
              </w:rPr>
            </w:pPr>
          </w:p>
          <w:p>
            <w:pPr>
              <w:pStyle w:val="TableParagraph"/>
              <w:spacing w:line="316" w:lineRule="auto"/>
              <w:ind w:left="77" w:right="199"/>
              <w:jc w:val="both"/>
              <w:rPr>
                <w:sz w:val="22"/>
              </w:rPr>
            </w:pPr>
            <w:r>
              <w:rPr>
                <w:spacing w:val="2"/>
                <w:sz w:val="22"/>
                <w:shd w:fill="D9D9D9" w:color="auto" w:val="clear"/>
              </w:rPr>
              <w:t>因下列</w:t>
            </w:r>
            <w:r>
              <w:rPr>
                <w:spacing w:val="1"/>
                <w:sz w:val="22"/>
                <w:shd w:fill="D9D9D9" w:color="auto" w:val="clear"/>
              </w:rPr>
              <w:t>（1）-（7）</w:t>
            </w:r>
            <w:r>
              <w:rPr>
                <w:sz w:val="22"/>
                <w:shd w:fill="D9D9D9" w:color="auto" w:val="clear"/>
              </w:rPr>
              <w:t>情形之一，导致被保险人发生身故、全残的，我们不承</w:t>
            </w:r>
            <w:r>
              <w:rPr>
                <w:spacing w:val="-199"/>
                <w:sz w:val="22"/>
                <w:shd w:fill="D9D9D9" w:color="auto" w:val="clear"/>
              </w:rPr>
              <w:t>担</w:t>
            </w:r>
            <w:r>
              <w:rPr>
                <w:sz w:val="22"/>
                <w:shd w:fill="D9D9D9" w:color="auto" w:val="clear"/>
              </w:rPr>
              <w:t>给付身故豁免保险费、全残豁免保险费的责任,因下列（1）-（9）情形之一，导致被保险人初次发生重大疾病的，我们不承担给付重大疾病豁免保险 </w:t>
            </w:r>
            <w:r>
              <w:rPr>
                <w:spacing w:val="-1"/>
                <w:sz w:val="22"/>
                <w:shd w:fill="D9D9D9" w:color="auto" w:val="clear"/>
              </w:rPr>
              <w:t>费的责任：</w:t>
            </w:r>
          </w:p>
          <w:p>
            <w:pPr>
              <w:pStyle w:val="TableParagraph"/>
              <w:numPr>
                <w:ilvl w:val="0"/>
                <w:numId w:val="7"/>
              </w:numPr>
              <w:tabs>
                <w:tab w:pos="532" w:val="left" w:leader="none"/>
              </w:tabs>
              <w:spacing w:line="240" w:lineRule="auto" w:before="23" w:after="0"/>
              <w:ind w:left="531" w:right="0" w:hanging="454"/>
              <w:jc w:val="left"/>
              <w:rPr>
                <w:sz w:val="22"/>
              </w:rPr>
            </w:pPr>
            <w:r>
              <w:rPr>
                <w:spacing w:val="-3"/>
                <w:sz w:val="22"/>
                <w:shd w:fill="D9D9D9" w:color="auto" w:val="clear"/>
              </w:rPr>
              <w:t>投保人对被保险人的故意杀害、故意伤害；</w:t>
            </w:r>
          </w:p>
          <w:p>
            <w:pPr>
              <w:pStyle w:val="TableParagraph"/>
              <w:numPr>
                <w:ilvl w:val="0"/>
                <w:numId w:val="7"/>
              </w:numPr>
              <w:tabs>
                <w:tab w:pos="532" w:val="left" w:leader="none"/>
              </w:tabs>
              <w:spacing w:line="240" w:lineRule="auto" w:before="91" w:after="0"/>
              <w:ind w:left="531" w:right="0" w:hanging="454"/>
              <w:jc w:val="left"/>
              <w:rPr>
                <w:sz w:val="22"/>
              </w:rPr>
            </w:pPr>
            <w:r>
              <w:rPr>
                <w:spacing w:val="-3"/>
                <w:sz w:val="22"/>
                <w:shd w:fill="D9D9D9" w:color="auto" w:val="clear"/>
              </w:rPr>
              <w:t>被保险人故意犯罪或者抗拒依法采取的刑事强制措施；</w:t>
            </w:r>
          </w:p>
          <w:p>
            <w:pPr>
              <w:pStyle w:val="TableParagraph"/>
              <w:numPr>
                <w:ilvl w:val="0"/>
                <w:numId w:val="7"/>
              </w:numPr>
              <w:tabs>
                <w:tab w:pos="532" w:val="left" w:leader="none"/>
              </w:tabs>
              <w:spacing w:line="240" w:lineRule="auto" w:before="91" w:after="0"/>
              <w:ind w:left="531" w:right="0" w:hanging="454"/>
              <w:jc w:val="left"/>
              <w:rPr>
                <w:sz w:val="22"/>
              </w:rPr>
            </w:pPr>
            <w:r>
              <w:rPr>
                <w:spacing w:val="-3"/>
                <w:sz w:val="22"/>
                <w:shd w:fill="D9D9D9" w:color="auto" w:val="clear"/>
              </w:rPr>
              <w:t>被保险人主动吸食或注射</w:t>
            </w:r>
            <w:r>
              <w:rPr>
                <w:b/>
                <w:sz w:val="22"/>
                <w:shd w:fill="D9D9D9" w:color="auto" w:val="clear"/>
              </w:rPr>
              <w:t>毒品</w:t>
            </w:r>
            <w:r>
              <w:rPr>
                <w:sz w:val="22"/>
                <w:shd w:fill="D9D9D9" w:color="auto" w:val="clear"/>
              </w:rPr>
              <w:t>；</w:t>
            </w:r>
          </w:p>
          <w:p>
            <w:pPr>
              <w:pStyle w:val="TableParagraph"/>
              <w:numPr>
                <w:ilvl w:val="0"/>
                <w:numId w:val="7"/>
              </w:numPr>
              <w:tabs>
                <w:tab w:pos="532" w:val="left" w:leader="none"/>
              </w:tabs>
              <w:spacing w:line="316" w:lineRule="auto" w:before="93" w:after="0"/>
              <w:ind w:left="531" w:right="206" w:hanging="454"/>
              <w:jc w:val="left"/>
              <w:rPr>
                <w:sz w:val="22"/>
              </w:rPr>
            </w:pPr>
            <w:r>
              <w:rPr>
                <w:sz w:val="22"/>
                <w:shd w:fill="D9D9D9" w:color="auto" w:val="clear"/>
              </w:rPr>
              <w:t>被保险人</w:t>
            </w:r>
            <w:r>
              <w:rPr>
                <w:b/>
                <w:sz w:val="22"/>
                <w:shd w:fill="D9D9D9" w:color="auto" w:val="clear"/>
              </w:rPr>
              <w:t>酒后驾驶</w:t>
            </w:r>
            <w:r>
              <w:rPr>
                <w:spacing w:val="-3"/>
                <w:sz w:val="22"/>
                <w:shd w:fill="D9D9D9" w:color="auto" w:val="clear"/>
              </w:rPr>
              <w:t>、</w:t>
            </w:r>
            <w:r>
              <w:rPr>
                <w:b/>
                <w:sz w:val="22"/>
                <w:shd w:fill="D9D9D9" w:color="auto" w:val="clear"/>
              </w:rPr>
              <w:t>无合法有效驾驶证驾驶</w:t>
            </w:r>
            <w:r>
              <w:rPr>
                <w:spacing w:val="-1"/>
                <w:sz w:val="22"/>
                <w:shd w:fill="D9D9D9" w:color="auto" w:val="clear"/>
              </w:rPr>
              <w:t>，或驾驶</w:t>
            </w:r>
            <w:r>
              <w:rPr>
                <w:b/>
                <w:sz w:val="22"/>
                <w:shd w:fill="D9D9D9" w:color="auto" w:val="clear"/>
              </w:rPr>
              <w:t>无有效行驶证</w:t>
            </w:r>
            <w:r>
              <w:rPr>
                <w:spacing w:val="-3"/>
                <w:sz w:val="22"/>
                <w:shd w:fill="D9D9D9" w:color="auto" w:val="clear"/>
              </w:rPr>
              <w:t>的</w:t>
            </w:r>
            <w:r>
              <w:rPr>
                <w:b/>
                <w:sz w:val="22"/>
                <w:shd w:fill="D9D9D9" w:color="auto" w:val="clear"/>
              </w:rPr>
              <w:t>机</w:t>
            </w:r>
            <w:r>
              <w:rPr>
                <w:b/>
                <w:spacing w:val="-221"/>
                <w:sz w:val="22"/>
                <w:shd w:fill="D9D9D9" w:color="auto" w:val="clear"/>
              </w:rPr>
              <w:t>动</w:t>
            </w:r>
            <w:r>
              <w:rPr>
                <w:b/>
                <w:sz w:val="22"/>
                <w:shd w:fill="D9D9D9" w:color="auto" w:val="clear"/>
              </w:rPr>
              <w:t>车</w:t>
            </w:r>
            <w:r>
              <w:rPr>
                <w:sz w:val="22"/>
                <w:shd w:fill="D9D9D9" w:color="auto" w:val="clear"/>
              </w:rPr>
              <w:t>；</w:t>
            </w:r>
          </w:p>
          <w:p>
            <w:pPr>
              <w:pStyle w:val="TableParagraph"/>
              <w:numPr>
                <w:ilvl w:val="0"/>
                <w:numId w:val="7"/>
              </w:numPr>
              <w:tabs>
                <w:tab w:pos="532" w:val="left" w:leader="none"/>
              </w:tabs>
              <w:spacing w:line="268" w:lineRule="exact" w:before="20" w:after="0"/>
              <w:ind w:left="531" w:right="0" w:hanging="454"/>
              <w:jc w:val="left"/>
              <w:rPr>
                <w:sz w:val="22"/>
              </w:rPr>
            </w:pPr>
            <w:r>
              <w:rPr>
                <w:spacing w:val="-3"/>
                <w:sz w:val="22"/>
                <w:shd w:fill="D9D9D9" w:color="auto" w:val="clear"/>
              </w:rPr>
              <w:t>战争、军事冲突、暴乱或武装叛乱；</w:t>
            </w:r>
          </w:p>
        </w:tc>
      </w:tr>
    </w:tbl>
    <w:p>
      <w:pPr>
        <w:spacing w:after="0" w:line="268" w:lineRule="exact"/>
        <w:jc w:val="left"/>
        <w:rPr>
          <w:sz w:val="22"/>
        </w:rPr>
        <w:sectPr>
          <w:pgSz w:w="11910" w:h="16840"/>
          <w:pgMar w:header="484" w:footer="479" w:top="680" w:bottom="660" w:left="820" w:right="820"/>
        </w:sectPr>
      </w:pPr>
    </w:p>
    <w:p>
      <w:pPr>
        <w:pStyle w:val="BodyText"/>
        <w:rPr>
          <w:rFonts w:ascii="Times New Roman"/>
          <w:sz w:val="20"/>
        </w:rPr>
      </w:pPr>
    </w:p>
    <w:p>
      <w:pPr>
        <w:pStyle w:val="BodyText"/>
        <w:rPr>
          <w:rFonts w:ascii="Times New Roman"/>
          <w:sz w:val="20"/>
        </w:rPr>
      </w:pPr>
    </w:p>
    <w:p>
      <w:pPr>
        <w:pStyle w:val="BodyText"/>
        <w:spacing w:before="4"/>
        <w:rPr>
          <w:rFonts w:ascii="Times New Roman"/>
          <w:sz w:val="24"/>
        </w:rPr>
      </w:pPr>
    </w:p>
    <w:p>
      <w:pPr>
        <w:pStyle w:val="ListParagraph"/>
        <w:numPr>
          <w:ilvl w:val="1"/>
          <w:numId w:val="6"/>
        </w:numPr>
        <w:tabs>
          <w:tab w:pos="2896" w:val="left" w:leader="none"/>
        </w:tabs>
        <w:spacing w:line="240" w:lineRule="auto" w:before="33" w:after="0"/>
        <w:ind w:left="2895" w:right="0" w:hanging="454"/>
        <w:jc w:val="left"/>
        <w:rPr>
          <w:sz w:val="22"/>
        </w:rPr>
      </w:pPr>
      <w:r>
        <w:rPr>
          <w:spacing w:val="-3"/>
          <w:sz w:val="22"/>
          <w:shd w:fill="D9D9D9" w:color="auto" w:val="clear"/>
        </w:rPr>
        <w:t>核爆炸、核辐射或核污染；</w:t>
      </w:r>
    </w:p>
    <w:p>
      <w:pPr>
        <w:pStyle w:val="ListParagraph"/>
        <w:numPr>
          <w:ilvl w:val="1"/>
          <w:numId w:val="6"/>
        </w:numPr>
        <w:tabs>
          <w:tab w:pos="2896" w:val="left" w:leader="none"/>
        </w:tabs>
        <w:spacing w:line="316" w:lineRule="auto" w:before="91" w:after="0"/>
        <w:ind w:left="2895" w:right="109" w:hanging="454"/>
        <w:jc w:val="left"/>
        <w:rPr>
          <w:sz w:val="22"/>
        </w:rPr>
      </w:pPr>
      <w:r>
        <w:rPr>
          <w:sz w:val="22"/>
          <w:shd w:fill="D9D9D9" w:color="auto" w:val="clear"/>
        </w:rPr>
        <w:t>被保险人在本附加合同成立或者合同效力恢复之日起</w:t>
      </w:r>
      <w:r>
        <w:rPr>
          <w:spacing w:val="2"/>
          <w:sz w:val="22"/>
          <w:shd w:fill="D9D9D9" w:color="auto" w:val="clear"/>
        </w:rPr>
        <w:t>2</w:t>
      </w:r>
      <w:r>
        <w:rPr>
          <w:sz w:val="22"/>
          <w:shd w:fill="D9D9D9" w:color="auto" w:val="clear"/>
        </w:rPr>
        <w:t>年内自杀，但被</w:t>
      </w:r>
      <w:r>
        <w:rPr>
          <w:spacing w:val="-3"/>
          <w:sz w:val="22"/>
          <w:shd w:fill="D9D9D9" w:color="auto" w:val="clear"/>
        </w:rPr>
        <w:t>保险人自杀时为无民事行为能力人的除外；</w:t>
      </w:r>
    </w:p>
    <w:p>
      <w:pPr>
        <w:pStyle w:val="ListParagraph"/>
        <w:numPr>
          <w:ilvl w:val="1"/>
          <w:numId w:val="6"/>
        </w:numPr>
        <w:tabs>
          <w:tab w:pos="2896" w:val="left" w:leader="none"/>
        </w:tabs>
        <w:spacing w:line="316" w:lineRule="auto" w:before="23" w:after="0"/>
        <w:ind w:left="2895" w:right="111" w:hanging="454"/>
        <w:jc w:val="left"/>
        <w:rPr>
          <w:sz w:val="22"/>
        </w:rPr>
      </w:pPr>
      <w:r>
        <w:rPr>
          <w:sz w:val="22"/>
          <w:shd w:fill="D9D9D9" w:color="auto" w:val="clear"/>
        </w:rPr>
        <w:t>被保险人</w:t>
      </w:r>
      <w:r>
        <w:rPr>
          <w:b/>
          <w:sz w:val="22"/>
          <w:shd w:fill="D9D9D9" w:color="auto" w:val="clear"/>
        </w:rPr>
        <w:t>感染艾滋病病毒或患艾滋病</w:t>
      </w:r>
      <w:r>
        <w:rPr>
          <w:spacing w:val="-1"/>
          <w:sz w:val="22"/>
          <w:shd w:fill="D9D9D9" w:color="auto" w:val="clear"/>
        </w:rPr>
        <w:t>，但是重大疾病定义所述经输血或</w:t>
      </w:r>
      <w:r>
        <w:rPr>
          <w:spacing w:val="-3"/>
          <w:sz w:val="22"/>
          <w:shd w:fill="D9D9D9" w:color="auto" w:val="clear"/>
        </w:rPr>
        <w:t>因职业关系导致感染艾滋病病毒的除外；</w:t>
      </w:r>
    </w:p>
    <w:p>
      <w:pPr>
        <w:pStyle w:val="Heading4"/>
        <w:numPr>
          <w:ilvl w:val="1"/>
          <w:numId w:val="6"/>
        </w:numPr>
        <w:tabs>
          <w:tab w:pos="2896" w:val="left" w:leader="none"/>
        </w:tabs>
        <w:spacing w:line="240" w:lineRule="auto" w:before="20" w:after="0"/>
        <w:ind w:left="2895" w:right="0" w:hanging="454"/>
        <w:jc w:val="left"/>
        <w:rPr>
          <w:rFonts w:ascii="宋体" w:eastAsia="宋体" w:hint="eastAsia"/>
          <w:b w:val="0"/>
        </w:rPr>
      </w:pPr>
      <w:r>
        <w:rPr>
          <w:rFonts w:ascii="宋体" w:eastAsia="宋体" w:hint="eastAsia"/>
          <w:shd w:fill="D9D9D9" w:color="auto" w:val="clear"/>
        </w:rPr>
        <w:t>遗传性疾病，先天性畸形、变形或者染色体异常</w:t>
      </w:r>
      <w:r>
        <w:rPr>
          <w:rFonts w:ascii="宋体" w:eastAsia="宋体" w:hint="eastAsia"/>
          <w:b w:val="0"/>
          <w:shd w:fill="D9D9D9" w:color="auto" w:val="clear"/>
        </w:rPr>
        <w:t>。</w:t>
      </w:r>
    </w:p>
    <w:p>
      <w:pPr>
        <w:pStyle w:val="BodyText"/>
        <w:spacing w:line="316" w:lineRule="auto" w:before="93"/>
        <w:ind w:left="2441" w:right="106"/>
      </w:pPr>
      <w:r>
        <w:rPr>
          <w:spacing w:val="2"/>
          <w:shd w:fill="D9D9D9" w:color="auto" w:val="clear"/>
        </w:rPr>
        <w:t>发生上述第</w:t>
      </w:r>
      <w:r>
        <w:rPr>
          <w:spacing w:val="1"/>
          <w:shd w:fill="D9D9D9" w:color="auto" w:val="clear"/>
        </w:rPr>
        <w:t>（1）</w:t>
      </w:r>
      <w:r>
        <w:rPr>
          <w:shd w:fill="D9D9D9" w:color="auto" w:val="clear"/>
        </w:rPr>
        <w:t>项情形导致被保险人发生身故、全残、重大疾病的，本附</w:t>
      </w:r>
      <w:r>
        <w:rPr>
          <w:spacing w:val="-209"/>
          <w:shd w:fill="D9D9D9" w:color="auto" w:val="clear"/>
        </w:rPr>
        <w:t>加</w:t>
      </w:r>
      <w:r>
        <w:rPr>
          <w:spacing w:val="-3"/>
          <w:shd w:fill="D9D9D9" w:color="auto" w:val="clear"/>
        </w:rPr>
        <w:t>合同终止，我们向其它权利人退还本附加合同的</w:t>
      </w:r>
      <w:r>
        <w:rPr>
          <w:b/>
          <w:shd w:fill="D9D9D9" w:color="auto" w:val="clear"/>
        </w:rPr>
        <w:t>现金价值</w:t>
      </w:r>
      <w:r>
        <w:rPr>
          <w:shd w:fill="D9D9D9" w:color="auto" w:val="clear"/>
        </w:rPr>
        <w:t>。</w:t>
      </w:r>
    </w:p>
    <w:p>
      <w:pPr>
        <w:pStyle w:val="BodyText"/>
        <w:spacing w:line="319" w:lineRule="auto" w:before="21"/>
        <w:ind w:left="2441" w:right="108"/>
      </w:pPr>
      <w:r>
        <w:rPr>
          <w:shd w:fill="D9D9D9" w:color="auto" w:val="clear"/>
        </w:rPr>
        <w:t>发生上述第（2）-（7）项情形导致被保险人发生身故、全残的，本附加合同终止，我们向您退还本附加合同的现金价值</w:t>
      </w:r>
      <w:r>
        <w:rPr/>
        <w:t>。</w:t>
      </w:r>
    </w:p>
    <w:p>
      <w:pPr>
        <w:pStyle w:val="BodyText"/>
        <w:spacing w:line="316" w:lineRule="auto" w:before="18"/>
        <w:ind w:left="2441" w:right="103"/>
      </w:pPr>
      <w:r>
        <w:rPr>
          <w:shd w:fill="D9D9D9" w:color="auto" w:val="clear"/>
        </w:rPr>
        <w:t>发生上述第（2）-（9）项情形导致被保险人发生重大疾病的，本附加合同终止，我们向您退还本附加合同的现金价值</w:t>
      </w:r>
      <w:r>
        <w:rPr/>
        <w:t>。</w:t>
      </w:r>
    </w:p>
    <w:p>
      <w:pPr>
        <w:pStyle w:val="BodyText"/>
        <w:spacing w:before="11"/>
        <w:rPr>
          <w:sz w:val="27"/>
        </w:rPr>
      </w:pPr>
    </w:p>
    <w:p>
      <w:pPr>
        <w:pStyle w:val="Heading2"/>
        <w:numPr>
          <w:ilvl w:val="0"/>
          <w:numId w:val="8"/>
        </w:numPr>
        <w:tabs>
          <w:tab w:pos="436" w:val="left" w:leader="none"/>
        </w:tabs>
        <w:spacing w:line="240" w:lineRule="auto" w:before="0" w:after="19"/>
        <w:ind w:left="435" w:right="0" w:hanging="322"/>
        <w:jc w:val="left"/>
      </w:pPr>
      <w:r>
        <w:rPr>
          <w:w w:val="95"/>
        </w:rPr>
        <w:t>豁免保险费的申请</w:t>
      </w:r>
    </w:p>
    <w:p>
      <w:pPr>
        <w:spacing w:line="44" w:lineRule="exact"/>
        <w:ind w:left="91" w:right="0" w:firstLine="0"/>
        <w:rPr>
          <w:sz w:val="4"/>
        </w:rPr>
      </w:pPr>
      <w:r>
        <w:rPr>
          <w:rFonts w:ascii="Times New Roman"/>
          <w:spacing w:val="11"/>
          <w:sz w:val="4"/>
        </w:rPr>
        <w:t> </w:t>
      </w:r>
      <w:r>
        <w:rPr>
          <w:spacing w:val="11"/>
          <w:position w:val="0"/>
          <w:sz w:val="4"/>
        </w:rPr>
        <w:pict>
          <v:group style="width:482.05pt;height:2.2pt;mso-position-horizontal-relative:char;mso-position-vertical-relative:line" coordorigin="0,0" coordsize="9641,44">
            <v:line style="position:absolute" from="0,22" to="770,22" stroked="true" strokeweight="2.16pt" strokecolor="#000000">
              <v:stroke dashstyle="solid"/>
            </v:line>
            <v:rect style="position:absolute;left:770;top:0;width:44;height:44" filled="true" fillcolor="#000000" stroked="false">
              <v:fill type="solid"/>
            </v:rect>
            <v:line style="position:absolute" from="814,22" to="2314,22" stroked="true" strokeweight="2.16pt" strokecolor="#000000">
              <v:stroke dashstyle="solid"/>
            </v:line>
            <v:rect style="position:absolute;left:2314;top:0;width:44;height:44" filled="true" fillcolor="#000000" stroked="false">
              <v:fill type="solid"/>
            </v:rect>
            <v:line style="position:absolute" from="2357,22" to="9640,22" stroked="true" strokeweight="2.16pt" strokecolor="#000000">
              <v:stroke dashstyle="solid"/>
            </v:line>
          </v:group>
        </w:pict>
      </w:r>
      <w:r>
        <w:rPr>
          <w:spacing w:val="11"/>
          <w:position w:val="0"/>
          <w:sz w:val="4"/>
        </w:rPr>
      </w:r>
    </w:p>
    <w:p>
      <w:pPr>
        <w:pStyle w:val="BodyText"/>
        <w:rPr>
          <w:b/>
          <w:sz w:val="20"/>
        </w:rPr>
      </w:pPr>
    </w:p>
    <w:p>
      <w:pPr>
        <w:pStyle w:val="ListParagraph"/>
        <w:numPr>
          <w:ilvl w:val="1"/>
          <w:numId w:val="9"/>
        </w:numPr>
        <w:tabs>
          <w:tab w:pos="885" w:val="left" w:leader="none"/>
          <w:tab w:pos="887" w:val="left" w:leader="none"/>
          <w:tab w:pos="2427" w:val="left" w:leader="none"/>
        </w:tabs>
        <w:spacing w:line="319" w:lineRule="auto" w:before="167" w:after="0"/>
        <w:ind w:left="2427" w:right="106" w:hanging="2314"/>
        <w:jc w:val="left"/>
        <w:rPr>
          <w:sz w:val="22"/>
        </w:rPr>
      </w:pPr>
      <w:r>
        <w:rPr>
          <w:b/>
          <w:sz w:val="22"/>
        </w:rPr>
        <w:t>受益人</w:t>
        <w:tab/>
      </w:r>
      <w:r>
        <w:rPr>
          <w:sz w:val="22"/>
        </w:rPr>
        <w:t>除另有约定外，身故豁免保险费、全残豁免保险费及重大疾病豁免保险费的 受益人</w:t>
      </w:r>
      <w:r>
        <w:rPr>
          <w:spacing w:val="-3"/>
          <w:sz w:val="22"/>
        </w:rPr>
        <w:t>为</w:t>
      </w:r>
      <w:r>
        <w:rPr>
          <w:sz w:val="22"/>
        </w:rPr>
        <w:t>被保</w:t>
      </w:r>
      <w:r>
        <w:rPr>
          <w:spacing w:val="-3"/>
          <w:sz w:val="22"/>
        </w:rPr>
        <w:t>险</w:t>
      </w:r>
      <w:r>
        <w:rPr>
          <w:sz w:val="22"/>
        </w:rPr>
        <w:t>人本</w:t>
      </w:r>
      <w:r>
        <w:rPr>
          <w:spacing w:val="-3"/>
          <w:sz w:val="22"/>
        </w:rPr>
        <w:t>人</w:t>
      </w:r>
      <w:r>
        <w:rPr>
          <w:sz w:val="22"/>
        </w:rPr>
        <w:t>。</w:t>
      </w:r>
    </w:p>
    <w:p>
      <w:pPr>
        <w:pStyle w:val="BodyText"/>
        <w:spacing w:before="5"/>
        <w:rPr>
          <w:sz w:val="30"/>
        </w:rPr>
      </w:pPr>
    </w:p>
    <w:p>
      <w:pPr>
        <w:pStyle w:val="ListParagraph"/>
        <w:numPr>
          <w:ilvl w:val="1"/>
          <w:numId w:val="9"/>
        </w:numPr>
        <w:tabs>
          <w:tab w:pos="885" w:val="left" w:leader="none"/>
          <w:tab w:pos="887" w:val="left" w:leader="none"/>
          <w:tab w:pos="2427" w:val="left" w:leader="none"/>
        </w:tabs>
        <w:spacing w:line="240" w:lineRule="auto" w:before="0" w:after="0"/>
        <w:ind w:left="2427" w:right="0" w:hanging="2314"/>
        <w:jc w:val="left"/>
        <w:rPr>
          <w:sz w:val="22"/>
        </w:rPr>
      </w:pPr>
      <w:r>
        <w:rPr>
          <w:b/>
          <w:sz w:val="22"/>
        </w:rPr>
        <w:t>保险事故通知</w:t>
        <w:tab/>
      </w:r>
      <w:r>
        <w:rPr>
          <w:spacing w:val="-1"/>
          <w:sz w:val="22"/>
        </w:rPr>
        <w:t>您</w:t>
      </w:r>
      <w:r>
        <w:rPr>
          <w:sz w:val="22"/>
        </w:rPr>
        <w:t>或受</w:t>
      </w:r>
      <w:r>
        <w:rPr>
          <w:spacing w:val="-3"/>
          <w:sz w:val="22"/>
        </w:rPr>
        <w:t>益</w:t>
      </w:r>
      <w:r>
        <w:rPr>
          <w:sz w:val="22"/>
        </w:rPr>
        <w:t>人在</w:t>
      </w:r>
      <w:r>
        <w:rPr>
          <w:spacing w:val="-3"/>
          <w:sz w:val="22"/>
        </w:rPr>
        <w:t>知道</w:t>
      </w:r>
      <w:r>
        <w:rPr>
          <w:b/>
          <w:sz w:val="22"/>
        </w:rPr>
        <w:t>保险事故</w:t>
      </w:r>
      <w:r>
        <w:rPr>
          <w:spacing w:val="-3"/>
          <w:sz w:val="22"/>
        </w:rPr>
        <w:t>发</w:t>
      </w:r>
      <w:r>
        <w:rPr>
          <w:sz w:val="22"/>
        </w:rPr>
        <w:t>生后</w:t>
      </w:r>
      <w:r>
        <w:rPr>
          <w:spacing w:val="-3"/>
          <w:sz w:val="22"/>
        </w:rPr>
        <w:t>应</w:t>
      </w:r>
      <w:r>
        <w:rPr>
          <w:sz w:val="22"/>
        </w:rPr>
        <w:t>当在10日内</w:t>
      </w:r>
      <w:r>
        <w:rPr>
          <w:spacing w:val="-3"/>
          <w:sz w:val="22"/>
        </w:rPr>
        <w:t>通</w:t>
      </w:r>
      <w:r>
        <w:rPr>
          <w:sz w:val="22"/>
        </w:rPr>
        <w:t>知我们。</w:t>
      </w:r>
    </w:p>
    <w:p>
      <w:pPr>
        <w:pStyle w:val="BodyText"/>
        <w:spacing w:line="316" w:lineRule="auto" w:before="93"/>
        <w:ind w:left="2427" w:right="106"/>
        <w:jc w:val="both"/>
      </w:pPr>
      <w:r>
        <w:rPr>
          <w:shd w:fill="D9D9D9" w:color="auto" w:val="clear"/>
        </w:rPr>
        <w:t>如果您或受益人故意或者因重大过失未及时通知，致使保险事故的性质、原因、损失程度等难以确定的，我们对无法确定的部分，不承担豁免保险费的责任</w:t>
      </w:r>
      <w:r>
        <w:rPr/>
        <w:t>，但我</w:t>
      </w:r>
      <w:r>
        <w:rPr>
          <w:spacing w:val="-221"/>
        </w:rPr>
        <w:t>们</w:t>
      </w:r>
      <w:r>
        <w:rPr/>
        <w:t>通过其他途径已经及时知道或者应当及时知道保险事故发生或者</w:t>
      </w:r>
      <w:r>
        <w:rPr>
          <w:spacing w:val="0"/>
        </w:rPr>
        <w:t>虽未及时通知但不影响我们确定保险事故的性质、原因、损失程度的除外。</w:t>
      </w:r>
    </w:p>
    <w:p>
      <w:pPr>
        <w:pStyle w:val="BodyText"/>
        <w:spacing w:before="3"/>
        <w:rPr>
          <w:sz w:val="28"/>
        </w:rPr>
      </w:pPr>
    </w:p>
    <w:p>
      <w:pPr>
        <w:spacing w:after="0"/>
        <w:rPr>
          <w:sz w:val="28"/>
        </w:rPr>
        <w:sectPr>
          <w:pgSz w:w="11910" w:h="16840"/>
          <w:pgMar w:header="484" w:footer="479" w:top="680" w:bottom="660" w:left="1020" w:right="1020"/>
        </w:sectPr>
      </w:pPr>
    </w:p>
    <w:p>
      <w:pPr>
        <w:pStyle w:val="Heading4"/>
        <w:numPr>
          <w:ilvl w:val="1"/>
          <w:numId w:val="9"/>
        </w:numPr>
        <w:tabs>
          <w:tab w:pos="885" w:val="left" w:leader="none"/>
          <w:tab w:pos="887" w:val="left" w:leader="none"/>
        </w:tabs>
        <w:spacing w:line="316" w:lineRule="auto" w:before="33" w:after="0"/>
        <w:ind w:left="886" w:right="0" w:hanging="773"/>
        <w:jc w:val="left"/>
        <w:rPr>
          <w:rFonts w:ascii="宋体" w:eastAsia="宋体" w:hint="eastAsia"/>
        </w:rPr>
      </w:pPr>
      <w:r>
        <w:rPr>
          <w:rFonts w:ascii="宋体" w:eastAsia="宋体" w:hint="eastAsia"/>
          <w:spacing w:val="-1"/>
        </w:rPr>
        <w:t>豁免保险费申请</w:t>
      </w:r>
    </w:p>
    <w:p>
      <w:pPr>
        <w:pStyle w:val="BodyText"/>
        <w:spacing w:before="33"/>
        <w:ind w:left="113"/>
      </w:pPr>
      <w:r>
        <w:rPr/>
        <w:br w:type="column"/>
      </w:r>
      <w:r>
        <w:rPr/>
        <w:t>在申请豁免保险费时，请按照下列方式办理：</w:t>
      </w:r>
    </w:p>
    <w:p>
      <w:pPr>
        <w:spacing w:after="0"/>
        <w:sectPr>
          <w:type w:val="continuous"/>
          <w:pgSz w:w="11910" w:h="16840"/>
          <w:pgMar w:top="680" w:bottom="660" w:left="1020" w:right="1020"/>
          <w:cols w:num="2" w:equalWidth="0">
            <w:col w:w="2211" w:space="103"/>
            <w:col w:w="7556"/>
          </w:cols>
        </w:sectPr>
      </w:pPr>
    </w:p>
    <w:p>
      <w:pPr>
        <w:pStyle w:val="BodyText"/>
        <w:spacing w:before="9"/>
        <w:rPr>
          <w:sz w:val="25"/>
        </w:rPr>
      </w:pPr>
    </w:p>
    <w:p>
      <w:pPr>
        <w:spacing w:after="0"/>
        <w:rPr>
          <w:sz w:val="25"/>
        </w:rPr>
        <w:sectPr>
          <w:type w:val="continuous"/>
          <w:pgSz w:w="11910" w:h="16840"/>
          <w:pgMar w:top="680" w:bottom="660" w:left="1020" w:right="1020"/>
        </w:sectPr>
      </w:pPr>
    </w:p>
    <w:p>
      <w:pPr>
        <w:pStyle w:val="Heading4"/>
        <w:spacing w:before="1"/>
        <w:ind w:left="886"/>
      </w:pPr>
      <w:r>
        <w:rPr/>
        <w:t>身故豁免保险费的申请</w:t>
      </w:r>
    </w:p>
    <w:p>
      <w:pPr>
        <w:pStyle w:val="BodyText"/>
        <w:spacing w:line="316" w:lineRule="auto" w:before="66"/>
        <w:ind w:left="176" w:right="155"/>
      </w:pPr>
      <w:r>
        <w:rPr/>
        <w:br w:type="column"/>
      </w:r>
      <w:r>
        <w:rPr/>
        <w:t>在申请身故豁免保险费时，申请人须填写豁免保险费申请书，并须提供下列证明和资料：</w:t>
      </w:r>
    </w:p>
    <w:p>
      <w:pPr>
        <w:pStyle w:val="ListParagraph"/>
        <w:numPr>
          <w:ilvl w:val="0"/>
          <w:numId w:val="10"/>
        </w:numPr>
        <w:tabs>
          <w:tab w:pos="631" w:val="left" w:leader="none"/>
        </w:tabs>
        <w:spacing w:line="240" w:lineRule="auto" w:before="20" w:after="0"/>
        <w:ind w:left="630" w:right="0" w:hanging="454"/>
        <w:jc w:val="left"/>
        <w:rPr>
          <w:sz w:val="22"/>
        </w:rPr>
      </w:pPr>
      <w:r>
        <w:rPr>
          <w:spacing w:val="-1"/>
          <w:sz w:val="22"/>
        </w:rPr>
        <w:t>保险合同；</w:t>
      </w:r>
    </w:p>
    <w:p>
      <w:pPr>
        <w:pStyle w:val="ListParagraph"/>
        <w:numPr>
          <w:ilvl w:val="0"/>
          <w:numId w:val="10"/>
        </w:numPr>
        <w:tabs>
          <w:tab w:pos="631" w:val="left" w:leader="none"/>
        </w:tabs>
        <w:spacing w:line="240" w:lineRule="auto" w:before="93" w:after="0"/>
        <w:ind w:left="630" w:right="0" w:hanging="454"/>
        <w:jc w:val="left"/>
        <w:rPr>
          <w:sz w:val="22"/>
        </w:rPr>
      </w:pPr>
      <w:r>
        <w:rPr>
          <w:spacing w:val="-3"/>
          <w:sz w:val="22"/>
        </w:rPr>
        <w:t>申请人的有效身份证件；</w:t>
      </w:r>
    </w:p>
    <w:p>
      <w:pPr>
        <w:pStyle w:val="ListParagraph"/>
        <w:numPr>
          <w:ilvl w:val="0"/>
          <w:numId w:val="10"/>
        </w:numPr>
        <w:tabs>
          <w:tab w:pos="631" w:val="left" w:leader="none"/>
        </w:tabs>
        <w:spacing w:line="316" w:lineRule="auto" w:before="91" w:after="0"/>
        <w:ind w:left="630" w:right="155" w:hanging="454"/>
        <w:jc w:val="left"/>
        <w:rPr>
          <w:sz w:val="22"/>
        </w:rPr>
      </w:pPr>
      <w:r>
        <w:rPr>
          <w:spacing w:val="-3"/>
          <w:sz w:val="22"/>
        </w:rPr>
        <w:t>国家卫生行政部门认定的医疗机构、公安部门或其他相关机构出具的被保险人的死亡证明；</w:t>
      </w:r>
    </w:p>
    <w:p>
      <w:pPr>
        <w:pStyle w:val="ListParagraph"/>
        <w:numPr>
          <w:ilvl w:val="0"/>
          <w:numId w:val="10"/>
        </w:numPr>
        <w:tabs>
          <w:tab w:pos="631" w:val="left" w:leader="none"/>
        </w:tabs>
        <w:spacing w:line="240" w:lineRule="auto" w:before="22" w:after="0"/>
        <w:ind w:left="630" w:right="0" w:hanging="454"/>
        <w:jc w:val="left"/>
        <w:rPr>
          <w:sz w:val="22"/>
        </w:rPr>
      </w:pPr>
      <w:r>
        <w:rPr>
          <w:spacing w:val="-3"/>
          <w:sz w:val="22"/>
        </w:rPr>
        <w:t>所能提供的与确认保险事故的性质、原因等有关的其它证明和资料。</w:t>
      </w:r>
    </w:p>
    <w:p>
      <w:pPr>
        <w:spacing w:after="0" w:line="240" w:lineRule="auto"/>
        <w:jc w:val="left"/>
        <w:rPr>
          <w:sz w:val="22"/>
        </w:rPr>
        <w:sectPr>
          <w:type w:val="continuous"/>
          <w:pgSz w:w="11910" w:h="16840"/>
          <w:pgMar w:top="680" w:bottom="660" w:left="1020" w:right="1020"/>
          <w:cols w:num="2" w:equalWidth="0">
            <w:col w:w="2211" w:space="40"/>
            <w:col w:w="7619"/>
          </w:cols>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sz w:val="10"/>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3"/>
        <w:gridCol w:w="1652"/>
        <w:gridCol w:w="7639"/>
      </w:tblGrid>
      <w:tr>
        <w:trPr>
          <w:trHeight w:val="2405" w:hRule="atLeast"/>
        </w:trPr>
        <w:tc>
          <w:tcPr>
            <w:tcW w:w="753" w:type="dxa"/>
          </w:tcPr>
          <w:p>
            <w:pPr>
              <w:pStyle w:val="TableParagraph"/>
              <w:rPr>
                <w:rFonts w:ascii="Times New Roman"/>
                <w:sz w:val="20"/>
              </w:rPr>
            </w:pPr>
          </w:p>
        </w:tc>
        <w:tc>
          <w:tcPr>
            <w:tcW w:w="1652" w:type="dxa"/>
          </w:tcPr>
          <w:p>
            <w:pPr>
              <w:pStyle w:val="TableParagraph"/>
              <w:spacing w:line="280" w:lineRule="exact"/>
              <w:ind w:left="219"/>
              <w:rPr>
                <w:rFonts w:ascii="微软雅黑" w:eastAsia="微软雅黑" w:hint="eastAsia"/>
                <w:b/>
                <w:sz w:val="22"/>
              </w:rPr>
            </w:pPr>
            <w:r>
              <w:rPr>
                <w:rFonts w:ascii="微软雅黑" w:eastAsia="微软雅黑" w:hint="eastAsia"/>
                <w:b/>
                <w:sz w:val="22"/>
              </w:rPr>
              <w:t>全残豁免保险</w:t>
            </w:r>
          </w:p>
          <w:p>
            <w:pPr>
              <w:pStyle w:val="TableParagraph"/>
              <w:spacing w:line="380" w:lineRule="exact"/>
              <w:ind w:left="219"/>
              <w:rPr>
                <w:rFonts w:ascii="微软雅黑" w:eastAsia="微软雅黑" w:hint="eastAsia"/>
                <w:b/>
                <w:sz w:val="22"/>
              </w:rPr>
            </w:pPr>
            <w:r>
              <w:rPr>
                <w:rFonts w:ascii="微软雅黑" w:eastAsia="微软雅黑" w:hint="eastAsia"/>
                <w:b/>
                <w:sz w:val="22"/>
              </w:rPr>
              <w:t>费的申请</w:t>
            </w:r>
          </w:p>
        </w:tc>
        <w:tc>
          <w:tcPr>
            <w:tcW w:w="7639" w:type="dxa"/>
          </w:tcPr>
          <w:p>
            <w:pPr>
              <w:pStyle w:val="TableParagraph"/>
              <w:spacing w:line="253" w:lineRule="exact"/>
              <w:ind w:left="109"/>
              <w:rPr>
                <w:sz w:val="22"/>
              </w:rPr>
            </w:pPr>
            <w:r>
              <w:rPr>
                <w:sz w:val="22"/>
              </w:rPr>
              <w:t>在申请全残豁免保险费时，申请人须填写豁免保险费申请书，并提供下列证</w:t>
            </w:r>
          </w:p>
          <w:p>
            <w:pPr>
              <w:pStyle w:val="TableParagraph"/>
              <w:spacing w:before="91"/>
              <w:ind w:left="109"/>
              <w:rPr>
                <w:sz w:val="22"/>
              </w:rPr>
            </w:pPr>
            <w:r>
              <w:rPr>
                <w:sz w:val="22"/>
              </w:rPr>
              <w:t>明和资料：</w:t>
            </w:r>
          </w:p>
          <w:p>
            <w:pPr>
              <w:pStyle w:val="TableParagraph"/>
              <w:numPr>
                <w:ilvl w:val="0"/>
                <w:numId w:val="11"/>
              </w:numPr>
              <w:tabs>
                <w:tab w:pos="563" w:val="left" w:leader="none"/>
              </w:tabs>
              <w:spacing w:line="240" w:lineRule="auto" w:before="91" w:after="0"/>
              <w:ind w:left="562" w:right="0" w:hanging="453"/>
              <w:jc w:val="left"/>
              <w:rPr>
                <w:sz w:val="22"/>
              </w:rPr>
            </w:pPr>
            <w:r>
              <w:rPr>
                <w:spacing w:val="-1"/>
                <w:sz w:val="22"/>
              </w:rPr>
              <w:t>保险合同；</w:t>
            </w:r>
          </w:p>
          <w:p>
            <w:pPr>
              <w:pStyle w:val="TableParagraph"/>
              <w:numPr>
                <w:ilvl w:val="0"/>
                <w:numId w:val="11"/>
              </w:numPr>
              <w:tabs>
                <w:tab w:pos="563" w:val="left" w:leader="none"/>
              </w:tabs>
              <w:spacing w:line="240" w:lineRule="auto" w:before="93" w:after="0"/>
              <w:ind w:left="562" w:right="0" w:hanging="453"/>
              <w:jc w:val="left"/>
              <w:rPr>
                <w:sz w:val="22"/>
              </w:rPr>
            </w:pPr>
            <w:r>
              <w:rPr>
                <w:spacing w:val="-3"/>
                <w:sz w:val="22"/>
              </w:rPr>
              <w:t>申请人的有效身份证件；</w:t>
            </w:r>
          </w:p>
          <w:p>
            <w:pPr>
              <w:pStyle w:val="TableParagraph"/>
              <w:numPr>
                <w:ilvl w:val="0"/>
                <w:numId w:val="11"/>
              </w:numPr>
              <w:tabs>
                <w:tab w:pos="563" w:val="left" w:leader="none"/>
              </w:tabs>
              <w:spacing w:line="240" w:lineRule="auto" w:before="90" w:after="0"/>
              <w:ind w:left="562" w:right="0" w:hanging="453"/>
              <w:jc w:val="left"/>
              <w:rPr>
                <w:sz w:val="22"/>
              </w:rPr>
            </w:pPr>
            <w:r>
              <w:rPr>
                <w:spacing w:val="-3"/>
                <w:sz w:val="22"/>
              </w:rPr>
              <w:t>具有伤残等级鉴定资格的鉴定机构出具的被保险人残疾程度鉴定书；</w:t>
            </w:r>
          </w:p>
          <w:p>
            <w:pPr>
              <w:pStyle w:val="TableParagraph"/>
              <w:numPr>
                <w:ilvl w:val="0"/>
                <w:numId w:val="11"/>
              </w:numPr>
              <w:tabs>
                <w:tab w:pos="563" w:val="left" w:leader="none"/>
              </w:tabs>
              <w:spacing w:line="240" w:lineRule="auto" w:before="90" w:after="0"/>
              <w:ind w:left="562" w:right="0" w:hanging="453"/>
              <w:jc w:val="left"/>
              <w:rPr>
                <w:sz w:val="22"/>
              </w:rPr>
            </w:pPr>
            <w:r>
              <w:rPr>
                <w:spacing w:val="-3"/>
                <w:sz w:val="22"/>
              </w:rPr>
              <w:t>所能提供的与确认保险事故的性质、原因等有关的其它证明和资料。</w:t>
            </w:r>
          </w:p>
        </w:tc>
      </w:tr>
      <w:tr>
        <w:trPr>
          <w:trHeight w:val="5338" w:hRule="atLeast"/>
        </w:trPr>
        <w:tc>
          <w:tcPr>
            <w:tcW w:w="753" w:type="dxa"/>
          </w:tcPr>
          <w:p>
            <w:pPr>
              <w:pStyle w:val="TableParagraph"/>
              <w:rPr>
                <w:rFonts w:ascii="Times New Roman"/>
                <w:sz w:val="20"/>
              </w:rPr>
            </w:pPr>
          </w:p>
        </w:tc>
        <w:tc>
          <w:tcPr>
            <w:tcW w:w="1652" w:type="dxa"/>
          </w:tcPr>
          <w:p>
            <w:pPr>
              <w:pStyle w:val="TableParagraph"/>
              <w:spacing w:before="153"/>
              <w:ind w:left="219" w:right="105"/>
              <w:rPr>
                <w:rFonts w:ascii="微软雅黑" w:eastAsia="微软雅黑" w:hint="eastAsia"/>
                <w:b/>
                <w:sz w:val="22"/>
              </w:rPr>
            </w:pPr>
            <w:r>
              <w:rPr>
                <w:rFonts w:ascii="微软雅黑" w:eastAsia="微软雅黑" w:hint="eastAsia"/>
                <w:b/>
                <w:sz w:val="22"/>
              </w:rPr>
              <w:t>重大疾病豁免保险费的申请</w:t>
            </w:r>
          </w:p>
        </w:tc>
        <w:tc>
          <w:tcPr>
            <w:tcW w:w="7639" w:type="dxa"/>
          </w:tcPr>
          <w:p>
            <w:pPr>
              <w:pStyle w:val="TableParagraph"/>
              <w:rPr>
                <w:rFonts w:ascii="Times New Roman"/>
                <w:sz w:val="19"/>
              </w:rPr>
            </w:pPr>
          </w:p>
          <w:p>
            <w:pPr>
              <w:pStyle w:val="TableParagraph"/>
              <w:spacing w:line="316" w:lineRule="auto"/>
              <w:ind w:left="109" w:right="244"/>
              <w:rPr>
                <w:sz w:val="22"/>
              </w:rPr>
            </w:pPr>
            <w:r>
              <w:rPr>
                <w:sz w:val="22"/>
              </w:rPr>
              <w:t>在申请重大疾病豁免保险费时，申请人须填写豁免保险费申请书，并须提供下列证明和资料：</w:t>
            </w:r>
          </w:p>
          <w:p>
            <w:pPr>
              <w:pStyle w:val="TableParagraph"/>
              <w:spacing w:before="22"/>
              <w:ind w:left="109"/>
              <w:rPr>
                <w:sz w:val="22"/>
              </w:rPr>
            </w:pPr>
            <w:r>
              <w:rPr>
                <w:sz w:val="22"/>
              </w:rPr>
              <w:t>(1) 保险合同；</w:t>
            </w:r>
          </w:p>
          <w:p>
            <w:pPr>
              <w:pStyle w:val="TableParagraph"/>
              <w:spacing w:before="90"/>
              <w:ind w:left="109"/>
              <w:rPr>
                <w:sz w:val="22"/>
              </w:rPr>
            </w:pPr>
            <w:r>
              <w:rPr>
                <w:sz w:val="22"/>
              </w:rPr>
              <w:t>(5) 申请人的有效身份证件；</w:t>
            </w:r>
          </w:p>
          <w:p>
            <w:pPr>
              <w:pStyle w:val="TableParagraph"/>
              <w:numPr>
                <w:ilvl w:val="0"/>
                <w:numId w:val="12"/>
              </w:numPr>
              <w:tabs>
                <w:tab w:pos="563" w:val="left" w:leader="none"/>
              </w:tabs>
              <w:spacing w:line="316" w:lineRule="auto" w:before="90" w:after="0"/>
              <w:ind w:left="562" w:right="245" w:hanging="453"/>
              <w:jc w:val="both"/>
              <w:rPr>
                <w:sz w:val="22"/>
              </w:rPr>
            </w:pPr>
            <w:r>
              <w:rPr>
                <w:spacing w:val="-3"/>
                <w:sz w:val="22"/>
              </w:rPr>
              <w:t>医院专科医生出具的附有病理显微镜检查、血液检验及其他科学方法检验报告的疾病诊断证明书，若接受外科手术者，还需提供外科手术证明文件；</w:t>
            </w:r>
          </w:p>
          <w:p>
            <w:pPr>
              <w:pStyle w:val="TableParagraph"/>
              <w:numPr>
                <w:ilvl w:val="0"/>
                <w:numId w:val="12"/>
              </w:numPr>
              <w:tabs>
                <w:tab w:pos="563" w:val="left" w:leader="none"/>
              </w:tabs>
              <w:spacing w:line="240" w:lineRule="auto" w:before="20" w:after="0"/>
              <w:ind w:left="562" w:right="0" w:hanging="453"/>
              <w:jc w:val="left"/>
              <w:rPr>
                <w:sz w:val="22"/>
              </w:rPr>
            </w:pPr>
            <w:r>
              <w:rPr>
                <w:spacing w:val="-3"/>
                <w:sz w:val="22"/>
              </w:rPr>
              <w:t>所能提供的与确认保险事故的性质、原因等有关的其它证明和资料。</w:t>
            </w:r>
          </w:p>
          <w:p>
            <w:pPr>
              <w:pStyle w:val="TableParagraph"/>
              <w:rPr>
                <w:rFonts w:ascii="Times New Roman"/>
                <w:sz w:val="22"/>
              </w:rPr>
            </w:pPr>
          </w:p>
          <w:p>
            <w:pPr>
              <w:pStyle w:val="TableParagraph"/>
              <w:spacing w:before="1"/>
              <w:rPr>
                <w:rFonts w:ascii="Times New Roman"/>
                <w:sz w:val="19"/>
              </w:rPr>
            </w:pPr>
          </w:p>
          <w:p>
            <w:pPr>
              <w:pStyle w:val="TableParagraph"/>
              <w:spacing w:line="316" w:lineRule="auto"/>
              <w:ind w:left="109" w:right="245"/>
              <w:rPr>
                <w:sz w:val="22"/>
              </w:rPr>
            </w:pPr>
            <w:r>
              <w:rPr>
                <w:sz w:val="22"/>
              </w:rPr>
              <w:t>受益人申请重大疾病豁免保险费时，我们若有疑义，我们可以委托相关鉴定机构对被保险人的身体予以鉴定，其鉴定费用由我们负担。</w:t>
            </w:r>
          </w:p>
          <w:p>
            <w:pPr>
              <w:pStyle w:val="TableParagraph"/>
              <w:spacing w:line="316" w:lineRule="auto" w:before="22"/>
              <w:ind w:left="109" w:right="246"/>
              <w:rPr>
                <w:sz w:val="22"/>
              </w:rPr>
            </w:pPr>
            <w:r>
              <w:rPr>
                <w:sz w:val="22"/>
              </w:rPr>
              <w:t>以上证明和资料不完整的，我们将及时一次性通知申请人补充提供有关证明和资料。</w:t>
            </w:r>
          </w:p>
        </w:tc>
      </w:tr>
      <w:tr>
        <w:trPr>
          <w:trHeight w:val="3799" w:hRule="atLeast"/>
        </w:trPr>
        <w:tc>
          <w:tcPr>
            <w:tcW w:w="753" w:type="dxa"/>
          </w:tcPr>
          <w:p>
            <w:pPr>
              <w:pStyle w:val="TableParagraph"/>
              <w:spacing w:before="7"/>
              <w:rPr>
                <w:rFonts w:ascii="Times New Roman"/>
                <w:sz w:val="17"/>
              </w:rPr>
            </w:pPr>
          </w:p>
          <w:p>
            <w:pPr>
              <w:pStyle w:val="TableParagraph"/>
              <w:ind w:left="200"/>
              <w:rPr>
                <w:b/>
                <w:sz w:val="22"/>
              </w:rPr>
            </w:pPr>
            <w:r>
              <w:rPr>
                <w:b/>
                <w:sz w:val="22"/>
              </w:rPr>
              <w:t>3.4</w:t>
            </w:r>
          </w:p>
        </w:tc>
        <w:tc>
          <w:tcPr>
            <w:tcW w:w="1652" w:type="dxa"/>
          </w:tcPr>
          <w:p>
            <w:pPr>
              <w:pStyle w:val="TableParagraph"/>
              <w:spacing w:before="7"/>
              <w:rPr>
                <w:rFonts w:ascii="Times New Roman"/>
                <w:sz w:val="17"/>
              </w:rPr>
            </w:pPr>
          </w:p>
          <w:p>
            <w:pPr>
              <w:pStyle w:val="TableParagraph"/>
              <w:ind w:left="219"/>
              <w:rPr>
                <w:b/>
                <w:sz w:val="22"/>
              </w:rPr>
            </w:pPr>
            <w:r>
              <w:rPr>
                <w:b/>
                <w:w w:val="95"/>
                <w:sz w:val="22"/>
              </w:rPr>
              <w:t>保险金给付</w:t>
            </w:r>
          </w:p>
        </w:tc>
        <w:tc>
          <w:tcPr>
            <w:tcW w:w="7639" w:type="dxa"/>
          </w:tcPr>
          <w:p>
            <w:pPr>
              <w:pStyle w:val="TableParagraph"/>
              <w:spacing w:before="7"/>
              <w:rPr>
                <w:rFonts w:ascii="Times New Roman"/>
                <w:sz w:val="17"/>
              </w:rPr>
            </w:pPr>
          </w:p>
          <w:p>
            <w:pPr>
              <w:pStyle w:val="TableParagraph"/>
              <w:spacing w:line="316" w:lineRule="auto"/>
              <w:ind w:left="109" w:right="196"/>
              <w:jc w:val="both"/>
              <w:rPr>
                <w:sz w:val="22"/>
              </w:rPr>
            </w:pPr>
            <w:r>
              <w:rPr>
                <w:sz w:val="22"/>
              </w:rPr>
              <w:t>我们在收到豁免保险费申请书及合同约定的有关证明和资料后，将在5日内作出核定；情形复杂的，在30日内作出核定。</w:t>
            </w:r>
          </w:p>
          <w:p>
            <w:pPr>
              <w:pStyle w:val="TableParagraph"/>
              <w:spacing w:line="319" w:lineRule="auto" w:before="20"/>
              <w:ind w:left="109" w:right="201"/>
              <w:jc w:val="both"/>
              <w:rPr>
                <w:sz w:val="22"/>
              </w:rPr>
            </w:pPr>
            <w:r>
              <w:rPr>
                <w:sz w:val="22"/>
              </w:rPr>
              <w:t>我们未及时履行前款规定义务的，除豁免保险费外，应当赔偿受益人因此受到的损失。</w:t>
            </w:r>
          </w:p>
          <w:p>
            <w:pPr>
              <w:pStyle w:val="TableParagraph"/>
              <w:spacing w:line="316" w:lineRule="auto" w:before="18"/>
              <w:ind w:left="109" w:right="199"/>
              <w:jc w:val="both"/>
              <w:rPr>
                <w:sz w:val="22"/>
              </w:rPr>
            </w:pPr>
            <w:r>
              <w:rPr>
                <w:sz w:val="22"/>
              </w:rPr>
              <w:t>赔偿损失范围和损失计算方法：按赔偿当时最近一次中国人民银行公布的金融机构人民币一年期定期存款基准利率以单利方式计算并支付逾期豁免的保险费的利息损失。</w:t>
            </w:r>
          </w:p>
          <w:p>
            <w:pPr>
              <w:pStyle w:val="TableParagraph"/>
              <w:spacing w:line="316" w:lineRule="auto" w:before="20"/>
              <w:ind w:left="109" w:right="199"/>
              <w:jc w:val="both"/>
              <w:rPr>
                <w:sz w:val="22"/>
              </w:rPr>
            </w:pPr>
            <w:r>
              <w:rPr>
                <w:sz w:val="22"/>
              </w:rPr>
              <w:t>对不属于保险责任的，我们自作出核定之日起3日内向受益人发出拒绝豁免保险费通知书并说明理由。</w:t>
            </w:r>
          </w:p>
        </w:tc>
      </w:tr>
      <w:tr>
        <w:trPr>
          <w:trHeight w:val="2010" w:hRule="atLeast"/>
        </w:trPr>
        <w:tc>
          <w:tcPr>
            <w:tcW w:w="753" w:type="dxa"/>
          </w:tcPr>
          <w:p>
            <w:pPr>
              <w:pStyle w:val="TableParagraph"/>
              <w:spacing w:before="7"/>
              <w:rPr>
                <w:rFonts w:ascii="Times New Roman"/>
                <w:sz w:val="17"/>
              </w:rPr>
            </w:pPr>
          </w:p>
          <w:p>
            <w:pPr>
              <w:pStyle w:val="TableParagraph"/>
              <w:ind w:left="200"/>
              <w:rPr>
                <w:b/>
                <w:sz w:val="22"/>
              </w:rPr>
            </w:pPr>
            <w:r>
              <w:rPr>
                <w:b/>
                <w:sz w:val="22"/>
              </w:rPr>
              <w:t>3.5</w:t>
            </w:r>
          </w:p>
        </w:tc>
        <w:tc>
          <w:tcPr>
            <w:tcW w:w="1652" w:type="dxa"/>
          </w:tcPr>
          <w:p>
            <w:pPr>
              <w:pStyle w:val="TableParagraph"/>
              <w:spacing w:before="7"/>
              <w:rPr>
                <w:rFonts w:ascii="Times New Roman"/>
                <w:sz w:val="17"/>
              </w:rPr>
            </w:pPr>
          </w:p>
          <w:p>
            <w:pPr>
              <w:pStyle w:val="TableParagraph"/>
              <w:ind w:left="219"/>
              <w:rPr>
                <w:b/>
                <w:sz w:val="22"/>
              </w:rPr>
            </w:pPr>
            <w:r>
              <w:rPr>
                <w:b/>
                <w:w w:val="95"/>
                <w:sz w:val="22"/>
              </w:rPr>
              <w:t>失踪处理</w:t>
            </w:r>
          </w:p>
        </w:tc>
        <w:tc>
          <w:tcPr>
            <w:tcW w:w="7639" w:type="dxa"/>
          </w:tcPr>
          <w:p>
            <w:pPr>
              <w:pStyle w:val="TableParagraph"/>
              <w:spacing w:before="7"/>
              <w:rPr>
                <w:rFonts w:ascii="Times New Roman"/>
                <w:sz w:val="17"/>
              </w:rPr>
            </w:pPr>
          </w:p>
          <w:p>
            <w:pPr>
              <w:pStyle w:val="TableParagraph"/>
              <w:spacing w:line="316" w:lineRule="auto"/>
              <w:ind w:left="109" w:right="153"/>
              <w:rPr>
                <w:sz w:val="22"/>
              </w:rPr>
            </w:pPr>
            <w:r>
              <w:rPr>
                <w:sz w:val="22"/>
              </w:rPr>
              <w:t>如果被保险人在本附加合同有效期内失踪，而且被法院宣告死亡，我们以判决书宣告之日为准，按本附加合同的约定豁免保险费，本附加合同终止。 如果被保险人在宣告死亡后重新出现或者确知其没有死亡，受益人或者其它领取保险金的人应于知道后 30 日内向我们退还已豁免的保险费，本附加合</w:t>
            </w:r>
          </w:p>
          <w:p>
            <w:pPr>
              <w:pStyle w:val="TableParagraph"/>
              <w:spacing w:line="268" w:lineRule="exact" w:before="20"/>
              <w:ind w:left="109"/>
              <w:rPr>
                <w:sz w:val="22"/>
              </w:rPr>
            </w:pPr>
            <w:r>
              <w:rPr>
                <w:sz w:val="22"/>
              </w:rPr>
              <w:t>同的效力由我们双方依法协商处理。</w:t>
            </w:r>
          </w:p>
        </w:tc>
      </w:tr>
    </w:tbl>
    <w:p>
      <w:pPr>
        <w:spacing w:after="0" w:line="268" w:lineRule="exact"/>
        <w:rPr>
          <w:sz w:val="22"/>
        </w:rPr>
        <w:sectPr>
          <w:pgSz w:w="11910" w:h="16840"/>
          <w:pgMar w:header="484" w:footer="479" w:top="680" w:bottom="660" w:left="820" w:right="82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3"/>
        <w:gridCol w:w="1432"/>
        <w:gridCol w:w="7857"/>
      </w:tblGrid>
      <w:tr>
        <w:trPr>
          <w:trHeight w:val="599" w:hRule="atLeast"/>
        </w:trPr>
        <w:tc>
          <w:tcPr>
            <w:tcW w:w="753" w:type="dxa"/>
          </w:tcPr>
          <w:p>
            <w:pPr>
              <w:pStyle w:val="TableParagraph"/>
              <w:spacing w:line="221" w:lineRule="exact"/>
              <w:ind w:left="200"/>
              <w:rPr>
                <w:b/>
                <w:sz w:val="22"/>
              </w:rPr>
            </w:pPr>
            <w:r>
              <w:rPr>
                <w:b/>
                <w:sz w:val="22"/>
              </w:rPr>
              <w:t>3.6</w:t>
            </w:r>
          </w:p>
        </w:tc>
        <w:tc>
          <w:tcPr>
            <w:tcW w:w="1432" w:type="dxa"/>
          </w:tcPr>
          <w:p>
            <w:pPr>
              <w:pStyle w:val="TableParagraph"/>
              <w:spacing w:line="221" w:lineRule="exact"/>
              <w:ind w:left="219"/>
              <w:rPr>
                <w:b/>
                <w:sz w:val="22"/>
              </w:rPr>
            </w:pPr>
            <w:r>
              <w:rPr>
                <w:b/>
                <w:w w:val="95"/>
                <w:sz w:val="22"/>
              </w:rPr>
              <w:t>诉讼时效</w:t>
            </w:r>
          </w:p>
        </w:tc>
        <w:tc>
          <w:tcPr>
            <w:tcW w:w="7857" w:type="dxa"/>
          </w:tcPr>
          <w:p>
            <w:pPr>
              <w:pStyle w:val="TableParagraph"/>
              <w:spacing w:line="221" w:lineRule="exact"/>
              <w:ind w:left="329"/>
              <w:rPr>
                <w:sz w:val="22"/>
              </w:rPr>
            </w:pPr>
            <w:r>
              <w:rPr>
                <w:sz w:val="22"/>
              </w:rPr>
              <w:t>受益人向我们请求豁免保险费的诉讼时效期间为2年，自其知道或者应当知</w:t>
            </w:r>
          </w:p>
          <w:p>
            <w:pPr>
              <w:pStyle w:val="TableParagraph"/>
              <w:spacing w:line="268" w:lineRule="exact" w:before="91"/>
              <w:ind w:left="329"/>
              <w:rPr>
                <w:sz w:val="22"/>
              </w:rPr>
            </w:pPr>
            <w:r>
              <w:rPr>
                <w:sz w:val="22"/>
              </w:rPr>
              <w:t>道保险事故发生之日起计算。</w:t>
            </w:r>
          </w:p>
        </w:tc>
      </w:tr>
    </w:tbl>
    <w:p>
      <w:pPr>
        <w:pStyle w:val="BodyText"/>
        <w:rPr>
          <w:rFonts w:ascii="Times New Roman"/>
          <w:sz w:val="20"/>
        </w:rPr>
      </w:pPr>
    </w:p>
    <w:p>
      <w:pPr>
        <w:pStyle w:val="Heading2"/>
        <w:spacing w:before="205"/>
      </w:pPr>
      <w:r>
        <w:rPr>
          <w:rFonts w:ascii="Wingdings" w:hAnsi="Wingdings" w:eastAsia="Wingdings"/>
          <w:b w:val="0"/>
          <w:w w:val="95"/>
          <w:sz w:val="36"/>
        </w:rPr>
        <w:t></w:t>
      </w:r>
      <w:r>
        <w:rPr>
          <w:w w:val="95"/>
        </w:rPr>
        <w:t>保险费的支付</w:t>
      </w:r>
    </w:p>
    <w:p>
      <w:pPr>
        <w:spacing w:line="44" w:lineRule="exact"/>
        <w:ind w:left="291" w:right="0" w:firstLine="0"/>
        <w:rPr>
          <w:sz w:val="4"/>
        </w:rPr>
      </w:pPr>
      <w:r>
        <w:rPr>
          <w:rFonts w:ascii="Times New Roman"/>
          <w:spacing w:val="11"/>
          <w:sz w:val="4"/>
        </w:rPr>
        <w:t> </w:t>
      </w:r>
      <w:r>
        <w:rPr>
          <w:spacing w:val="11"/>
          <w:position w:val="0"/>
          <w:sz w:val="4"/>
        </w:rPr>
        <w:pict>
          <v:group style="width:482.05pt;height:2.2pt;mso-position-horizontal-relative:char;mso-position-vertical-relative:line" coordorigin="0,0" coordsize="9641,44">
            <v:line style="position:absolute" from="0,22" to="770,22" stroked="true" strokeweight="2.16pt" strokecolor="#000000">
              <v:stroke dashstyle="solid"/>
            </v:line>
            <v:rect style="position:absolute;left:770;top:0;width:44;height:44" filled="true" fillcolor="#000000" stroked="false">
              <v:fill type="solid"/>
            </v:rect>
            <v:line style="position:absolute" from="814,22" to="2314,22" stroked="true" strokeweight="2.16pt" strokecolor="#000000">
              <v:stroke dashstyle="solid"/>
            </v:line>
            <v:rect style="position:absolute;left:2314;top:0;width:44;height:44" filled="true" fillcolor="#000000" stroked="false">
              <v:fill type="solid"/>
            </v:rect>
            <v:line style="position:absolute" from="2357,22" to="9640,22" stroked="true" strokeweight="2.16pt" strokecolor="#000000">
              <v:stroke dashstyle="solid"/>
            </v:line>
          </v:group>
        </w:pict>
      </w:r>
      <w:r>
        <w:rPr>
          <w:spacing w:val="11"/>
          <w:position w:val="0"/>
          <w:sz w:val="4"/>
        </w:rPr>
      </w:r>
    </w:p>
    <w:p>
      <w:pPr>
        <w:pStyle w:val="BodyText"/>
        <w:rPr>
          <w:b/>
          <w:sz w:val="20"/>
        </w:rPr>
      </w:pPr>
    </w:p>
    <w:p>
      <w:pPr>
        <w:pStyle w:val="BodyText"/>
        <w:spacing w:before="12"/>
        <w:rPr>
          <w:b/>
          <w:sz w:val="17"/>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3"/>
        <w:gridCol w:w="1653"/>
        <w:gridCol w:w="7640"/>
      </w:tblGrid>
      <w:tr>
        <w:trPr>
          <w:trHeight w:val="2011" w:hRule="atLeast"/>
        </w:trPr>
        <w:tc>
          <w:tcPr>
            <w:tcW w:w="753" w:type="dxa"/>
          </w:tcPr>
          <w:p>
            <w:pPr>
              <w:pStyle w:val="TableParagraph"/>
              <w:spacing w:line="221" w:lineRule="exact"/>
              <w:ind w:left="200"/>
              <w:rPr>
                <w:b/>
                <w:sz w:val="22"/>
              </w:rPr>
            </w:pPr>
            <w:r>
              <w:rPr>
                <w:b/>
                <w:sz w:val="22"/>
              </w:rPr>
              <w:t>4.1</w:t>
            </w:r>
          </w:p>
        </w:tc>
        <w:tc>
          <w:tcPr>
            <w:tcW w:w="1653" w:type="dxa"/>
          </w:tcPr>
          <w:p>
            <w:pPr>
              <w:pStyle w:val="TableParagraph"/>
              <w:spacing w:line="221" w:lineRule="exact"/>
              <w:ind w:left="219"/>
              <w:rPr>
                <w:b/>
                <w:sz w:val="22"/>
              </w:rPr>
            </w:pPr>
            <w:r>
              <w:rPr>
                <w:b/>
                <w:w w:val="95"/>
                <w:sz w:val="22"/>
              </w:rPr>
              <w:t>保险费的支付</w:t>
            </w:r>
          </w:p>
        </w:tc>
        <w:tc>
          <w:tcPr>
            <w:tcW w:w="7640" w:type="dxa"/>
          </w:tcPr>
          <w:p>
            <w:pPr>
              <w:pStyle w:val="TableParagraph"/>
              <w:spacing w:line="221" w:lineRule="exact"/>
              <w:ind w:left="108"/>
              <w:rPr>
                <w:sz w:val="22"/>
              </w:rPr>
            </w:pPr>
            <w:r>
              <w:rPr>
                <w:sz w:val="22"/>
              </w:rPr>
              <w:t>本附加合同保险费支付方式和支付期限由您和我们约定并在保险单上载明。</w:t>
            </w:r>
          </w:p>
          <w:p>
            <w:pPr>
              <w:pStyle w:val="TableParagraph"/>
              <w:spacing w:line="316" w:lineRule="auto" w:before="93"/>
              <w:ind w:left="108" w:right="198"/>
              <w:rPr>
                <w:sz w:val="22"/>
              </w:rPr>
            </w:pPr>
            <w:r>
              <w:rPr>
                <w:sz w:val="22"/>
              </w:rPr>
              <w:t>分期支付保险费的，在支付首期保险费后，您应当按照约定，在每个保险费约定支付日支付其余各期的保险费。</w:t>
            </w:r>
          </w:p>
          <w:p>
            <w:pPr>
              <w:pStyle w:val="TableParagraph"/>
              <w:spacing w:line="319" w:lineRule="auto" w:before="20"/>
              <w:ind w:left="108" w:right="928"/>
              <w:rPr>
                <w:sz w:val="22"/>
              </w:rPr>
            </w:pPr>
            <w:r>
              <w:rPr>
                <w:sz w:val="22"/>
              </w:rPr>
              <w:t>本附加合同的保险费应与主合同的保险费一起交付，不能单独交付。本附加合同的交费期间与保险期间一致。</w:t>
            </w:r>
          </w:p>
        </w:tc>
      </w:tr>
      <w:tr>
        <w:trPr>
          <w:trHeight w:val="2390" w:hRule="atLeast"/>
        </w:trPr>
        <w:tc>
          <w:tcPr>
            <w:tcW w:w="753" w:type="dxa"/>
          </w:tcPr>
          <w:p>
            <w:pPr>
              <w:pStyle w:val="TableParagraph"/>
              <w:spacing w:before="5"/>
              <w:rPr>
                <w:b/>
                <w:sz w:val="15"/>
              </w:rPr>
            </w:pPr>
          </w:p>
          <w:p>
            <w:pPr>
              <w:pStyle w:val="TableParagraph"/>
              <w:ind w:left="200"/>
              <w:rPr>
                <w:b/>
                <w:sz w:val="22"/>
              </w:rPr>
            </w:pPr>
            <w:r>
              <w:rPr>
                <w:b/>
                <w:sz w:val="22"/>
              </w:rPr>
              <w:t>4.2</w:t>
            </w:r>
          </w:p>
        </w:tc>
        <w:tc>
          <w:tcPr>
            <w:tcW w:w="1653" w:type="dxa"/>
          </w:tcPr>
          <w:p>
            <w:pPr>
              <w:pStyle w:val="TableParagraph"/>
              <w:spacing w:before="5"/>
              <w:rPr>
                <w:b/>
                <w:sz w:val="15"/>
              </w:rPr>
            </w:pPr>
          </w:p>
          <w:p>
            <w:pPr>
              <w:pStyle w:val="TableParagraph"/>
              <w:ind w:left="219"/>
              <w:rPr>
                <w:b/>
                <w:sz w:val="22"/>
              </w:rPr>
            </w:pPr>
            <w:r>
              <w:rPr>
                <w:b/>
                <w:w w:val="95"/>
                <w:sz w:val="22"/>
              </w:rPr>
              <w:t>宽限期</w:t>
            </w:r>
          </w:p>
        </w:tc>
        <w:tc>
          <w:tcPr>
            <w:tcW w:w="7640" w:type="dxa"/>
          </w:tcPr>
          <w:p>
            <w:pPr>
              <w:pStyle w:val="TableParagraph"/>
              <w:spacing w:before="5"/>
              <w:rPr>
                <w:b/>
                <w:sz w:val="15"/>
              </w:rPr>
            </w:pPr>
          </w:p>
          <w:p>
            <w:pPr>
              <w:pStyle w:val="TableParagraph"/>
              <w:spacing w:line="316" w:lineRule="auto"/>
              <w:ind w:left="108" w:right="199"/>
              <w:jc w:val="both"/>
              <w:rPr>
                <w:sz w:val="22"/>
              </w:rPr>
            </w:pPr>
            <w:r>
              <w:rPr>
                <w:sz w:val="22"/>
              </w:rPr>
              <w:t>分期支付保险费的，您支付首期保险费后，除本附加合同另有约定外，如果您到期未支付保险费，自保险费约定支付日的次日零时起60日为宽限期。宽限期内发生的保险事故，我们仍会承担保险责任，但在给付保险金时会扣减您欠交的保险费。</w:t>
            </w:r>
          </w:p>
          <w:p>
            <w:pPr>
              <w:pStyle w:val="TableParagraph"/>
              <w:spacing w:before="23"/>
              <w:ind w:left="108"/>
              <w:jc w:val="both"/>
              <w:rPr>
                <w:sz w:val="22"/>
              </w:rPr>
            </w:pPr>
            <w:r>
              <w:rPr>
                <w:sz w:val="22"/>
                <w:shd w:fill="D9D9D9" w:color="auto" w:val="clear"/>
              </w:rPr>
              <w:t>如果您宽限期结束之后仍未支付保险费，则本附加合同自宽限期满的次日零</w:t>
            </w:r>
          </w:p>
          <w:p>
            <w:pPr>
              <w:pStyle w:val="TableParagraph"/>
              <w:spacing w:line="268" w:lineRule="exact" w:before="91"/>
              <w:ind w:left="108"/>
              <w:jc w:val="both"/>
              <w:rPr>
                <w:sz w:val="22"/>
              </w:rPr>
            </w:pPr>
            <w:r>
              <w:rPr>
                <w:sz w:val="22"/>
                <w:shd w:fill="D9D9D9" w:color="auto" w:val="clear"/>
              </w:rPr>
              <w:t>时起效力中止。</w:t>
            </w:r>
          </w:p>
        </w:tc>
      </w:tr>
    </w:tbl>
    <w:p>
      <w:pPr>
        <w:pStyle w:val="BodyText"/>
        <w:spacing w:before="8"/>
        <w:rPr>
          <w:b/>
          <w:sz w:val="28"/>
        </w:rPr>
      </w:pPr>
    </w:p>
    <w:p>
      <w:pPr>
        <w:pStyle w:val="Heading2"/>
        <w:spacing w:before="0"/>
      </w:pPr>
      <w:r>
        <w:rPr>
          <w:rFonts w:ascii="Wingdings" w:hAnsi="Wingdings" w:eastAsia="Wingdings"/>
          <w:b w:val="0"/>
          <w:w w:val="95"/>
          <w:position w:val="-5"/>
          <w:sz w:val="36"/>
        </w:rPr>
        <w:t></w:t>
      </w:r>
      <w:r>
        <w:rPr>
          <w:w w:val="95"/>
        </w:rPr>
        <w:t>现金价值权益</w:t>
      </w:r>
    </w:p>
    <w:p>
      <w:pPr>
        <w:spacing w:line="44" w:lineRule="exact"/>
        <w:ind w:left="291" w:right="0" w:firstLine="0"/>
        <w:rPr>
          <w:sz w:val="4"/>
        </w:rPr>
      </w:pPr>
      <w:r>
        <w:rPr>
          <w:rFonts w:ascii="Times New Roman"/>
          <w:spacing w:val="11"/>
          <w:sz w:val="4"/>
        </w:rPr>
        <w:t> </w:t>
      </w:r>
      <w:r>
        <w:rPr>
          <w:spacing w:val="11"/>
          <w:position w:val="0"/>
          <w:sz w:val="4"/>
        </w:rPr>
        <w:pict>
          <v:group style="width:482.05pt;height:2.2pt;mso-position-horizontal-relative:char;mso-position-vertical-relative:line" coordorigin="0,0" coordsize="9641,44">
            <v:line style="position:absolute" from="0,22" to="770,22" stroked="true" strokeweight="2.16pt" strokecolor="#000000">
              <v:stroke dashstyle="solid"/>
            </v:line>
            <v:rect style="position:absolute;left:770;top:0;width:44;height:44" filled="true" fillcolor="#000000" stroked="false">
              <v:fill type="solid"/>
            </v:rect>
            <v:line style="position:absolute" from="814,22" to="2314,22" stroked="true" strokeweight="2.16pt" strokecolor="#000000">
              <v:stroke dashstyle="solid"/>
            </v:line>
            <v:rect style="position:absolute;left:2314;top:0;width:44;height:44" filled="true" fillcolor="#000000" stroked="false">
              <v:fill type="solid"/>
            </v:rect>
            <v:line style="position:absolute" from="2357,22" to="9640,22" stroked="true" strokeweight="2.16pt" strokecolor="#000000">
              <v:stroke dashstyle="solid"/>
            </v:line>
          </v:group>
        </w:pict>
      </w:r>
      <w:r>
        <w:rPr>
          <w:spacing w:val="11"/>
          <w:position w:val="0"/>
          <w:sz w:val="4"/>
        </w:rPr>
      </w:r>
    </w:p>
    <w:p>
      <w:pPr>
        <w:pStyle w:val="BodyText"/>
        <w:rPr>
          <w:b/>
          <w:sz w:val="20"/>
        </w:rPr>
      </w:pPr>
    </w:p>
    <w:p>
      <w:pPr>
        <w:pStyle w:val="BodyText"/>
        <w:spacing w:before="12"/>
        <w:rPr>
          <w:b/>
          <w:sz w:val="17"/>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3"/>
        <w:gridCol w:w="1393"/>
        <w:gridCol w:w="6069"/>
      </w:tblGrid>
      <w:tr>
        <w:trPr>
          <w:trHeight w:val="220" w:hRule="atLeast"/>
        </w:trPr>
        <w:tc>
          <w:tcPr>
            <w:tcW w:w="753" w:type="dxa"/>
          </w:tcPr>
          <w:p>
            <w:pPr>
              <w:pStyle w:val="TableParagraph"/>
              <w:spacing w:line="201" w:lineRule="exact"/>
              <w:ind w:left="200"/>
              <w:rPr>
                <w:b/>
                <w:sz w:val="22"/>
              </w:rPr>
            </w:pPr>
            <w:r>
              <w:rPr>
                <w:b/>
                <w:sz w:val="22"/>
              </w:rPr>
              <w:t>5.1</w:t>
            </w:r>
          </w:p>
        </w:tc>
        <w:tc>
          <w:tcPr>
            <w:tcW w:w="1393" w:type="dxa"/>
          </w:tcPr>
          <w:p>
            <w:pPr>
              <w:pStyle w:val="TableParagraph"/>
              <w:spacing w:line="201" w:lineRule="exact"/>
              <w:ind w:left="219"/>
              <w:rPr>
                <w:b/>
                <w:sz w:val="22"/>
              </w:rPr>
            </w:pPr>
            <w:r>
              <w:rPr>
                <w:b/>
                <w:w w:val="95"/>
                <w:sz w:val="22"/>
              </w:rPr>
              <w:t>现金价值</w:t>
            </w:r>
          </w:p>
        </w:tc>
        <w:tc>
          <w:tcPr>
            <w:tcW w:w="6069" w:type="dxa"/>
          </w:tcPr>
          <w:p>
            <w:pPr>
              <w:pStyle w:val="TableParagraph"/>
              <w:spacing w:line="201" w:lineRule="exact"/>
              <w:ind w:left="368"/>
              <w:rPr>
                <w:sz w:val="22"/>
              </w:rPr>
            </w:pPr>
            <w:r>
              <w:rPr>
                <w:sz w:val="22"/>
              </w:rPr>
              <w:t>本附加合同保单年度末的现金价值会在保险合同上载明。</w:t>
            </w:r>
          </w:p>
        </w:tc>
      </w:tr>
    </w:tbl>
    <w:p>
      <w:pPr>
        <w:pStyle w:val="BodyText"/>
        <w:rPr>
          <w:b/>
          <w:sz w:val="20"/>
        </w:rPr>
      </w:pPr>
    </w:p>
    <w:p>
      <w:pPr>
        <w:pStyle w:val="Heading2"/>
      </w:pPr>
      <w:r>
        <w:rPr>
          <w:rFonts w:ascii="Wingdings" w:hAnsi="Wingdings" w:eastAsia="Wingdings"/>
          <w:b w:val="0"/>
          <w:w w:val="95"/>
          <w:sz w:val="36"/>
        </w:rPr>
        <w:t></w:t>
      </w:r>
      <w:r>
        <w:rPr>
          <w:w w:val="95"/>
        </w:rPr>
        <w:t>合同效力的中止及恢复</w:t>
      </w:r>
    </w:p>
    <w:p>
      <w:pPr>
        <w:spacing w:line="44" w:lineRule="exact"/>
        <w:ind w:left="291" w:right="0" w:firstLine="0"/>
        <w:rPr>
          <w:sz w:val="4"/>
        </w:rPr>
      </w:pPr>
      <w:r>
        <w:rPr>
          <w:rFonts w:ascii="Times New Roman"/>
          <w:spacing w:val="11"/>
          <w:sz w:val="4"/>
        </w:rPr>
        <w:t> </w:t>
      </w:r>
      <w:r>
        <w:rPr>
          <w:spacing w:val="11"/>
          <w:position w:val="0"/>
          <w:sz w:val="4"/>
        </w:rPr>
        <w:pict>
          <v:group style="width:482.05pt;height:2.2pt;mso-position-horizontal-relative:char;mso-position-vertical-relative:line" coordorigin="0,0" coordsize="9641,44">
            <v:line style="position:absolute" from="0,22" to="770,22" stroked="true" strokeweight="2.16pt" strokecolor="#000000">
              <v:stroke dashstyle="solid"/>
            </v:line>
            <v:rect style="position:absolute;left:770;top:0;width:44;height:44" filled="true" fillcolor="#000000" stroked="false">
              <v:fill type="solid"/>
            </v:rect>
            <v:line style="position:absolute" from="814,22" to="2314,22" stroked="true" strokeweight="2.16pt" strokecolor="#000000">
              <v:stroke dashstyle="solid"/>
            </v:line>
            <v:rect style="position:absolute;left:2314;top:0;width:44;height:44" filled="true" fillcolor="#000000" stroked="false">
              <v:fill type="solid"/>
            </v:rect>
            <v:line style="position:absolute" from="2357,22" to="9640,22" stroked="true" strokeweight="2.16pt" strokecolor="#000000">
              <v:stroke dashstyle="solid"/>
            </v:line>
          </v:group>
        </w:pict>
      </w:r>
      <w:r>
        <w:rPr>
          <w:spacing w:val="11"/>
          <w:position w:val="0"/>
          <w:sz w:val="4"/>
        </w:rPr>
      </w:r>
    </w:p>
    <w:p>
      <w:pPr>
        <w:pStyle w:val="BodyText"/>
        <w:rPr>
          <w:b/>
          <w:sz w:val="20"/>
        </w:rPr>
      </w:pPr>
    </w:p>
    <w:p>
      <w:pPr>
        <w:pStyle w:val="BodyText"/>
        <w:spacing w:before="12"/>
        <w:rPr>
          <w:b/>
          <w:sz w:val="17"/>
        </w:rPr>
      </w:pPr>
    </w:p>
    <w:tbl>
      <w:tblPr>
        <w:tblW w:w="0" w:type="auto"/>
        <w:jc w:val="left"/>
        <w:tblInd w:w="2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1597"/>
        <w:gridCol w:w="7543"/>
      </w:tblGrid>
      <w:tr>
        <w:trPr>
          <w:trHeight w:val="1630" w:hRule="atLeast"/>
        </w:trPr>
        <w:tc>
          <w:tcPr>
            <w:tcW w:w="603" w:type="dxa"/>
          </w:tcPr>
          <w:p>
            <w:pPr>
              <w:pStyle w:val="TableParagraph"/>
              <w:spacing w:line="221" w:lineRule="exact"/>
              <w:ind w:left="50"/>
              <w:rPr>
                <w:b/>
                <w:sz w:val="22"/>
              </w:rPr>
            </w:pPr>
            <w:r>
              <w:rPr>
                <w:b/>
                <w:sz w:val="22"/>
              </w:rPr>
              <w:t>6.1</w:t>
            </w:r>
          </w:p>
        </w:tc>
        <w:tc>
          <w:tcPr>
            <w:tcW w:w="1597" w:type="dxa"/>
          </w:tcPr>
          <w:p>
            <w:pPr>
              <w:pStyle w:val="TableParagraph"/>
              <w:spacing w:line="221" w:lineRule="exact"/>
              <w:ind w:left="219"/>
              <w:rPr>
                <w:b/>
                <w:sz w:val="22"/>
              </w:rPr>
            </w:pPr>
            <w:r>
              <w:rPr>
                <w:b/>
                <w:w w:val="95"/>
                <w:sz w:val="22"/>
              </w:rPr>
              <w:t>效力中止</w:t>
            </w:r>
          </w:p>
        </w:tc>
        <w:tc>
          <w:tcPr>
            <w:tcW w:w="7543" w:type="dxa"/>
          </w:tcPr>
          <w:p>
            <w:pPr>
              <w:pStyle w:val="TableParagraph"/>
              <w:spacing w:line="221" w:lineRule="exact"/>
              <w:ind w:left="164"/>
              <w:rPr>
                <w:sz w:val="22"/>
              </w:rPr>
            </w:pPr>
            <w:r>
              <w:rPr>
                <w:sz w:val="22"/>
                <w:shd w:fill="D9D9D9" w:color="auto" w:val="clear"/>
              </w:rPr>
              <w:t>出现下列情形时，本附加合同效力中止：</w:t>
            </w:r>
          </w:p>
          <w:p>
            <w:pPr>
              <w:pStyle w:val="TableParagraph"/>
              <w:numPr>
                <w:ilvl w:val="0"/>
                <w:numId w:val="13"/>
              </w:numPr>
              <w:tabs>
                <w:tab w:pos="618" w:val="left" w:leader="none"/>
              </w:tabs>
              <w:spacing w:line="240" w:lineRule="auto" w:before="93" w:after="0"/>
              <w:ind w:left="617" w:right="0" w:hanging="453"/>
              <w:jc w:val="left"/>
              <w:rPr>
                <w:sz w:val="22"/>
              </w:rPr>
            </w:pPr>
            <w:r>
              <w:rPr>
                <w:spacing w:val="-2"/>
                <w:sz w:val="22"/>
                <w:shd w:fill="D9D9D9" w:color="auto" w:val="clear"/>
              </w:rPr>
              <w:t>主合同效力中止；</w:t>
            </w:r>
          </w:p>
          <w:p>
            <w:pPr>
              <w:pStyle w:val="TableParagraph"/>
              <w:numPr>
                <w:ilvl w:val="0"/>
                <w:numId w:val="13"/>
              </w:numPr>
              <w:tabs>
                <w:tab w:pos="618" w:val="left" w:leader="none"/>
              </w:tabs>
              <w:spacing w:line="240" w:lineRule="auto" w:before="90" w:after="0"/>
              <w:ind w:left="617" w:right="0" w:hanging="453"/>
              <w:jc w:val="left"/>
              <w:rPr>
                <w:sz w:val="22"/>
              </w:rPr>
            </w:pPr>
            <w:r>
              <w:rPr>
                <w:spacing w:val="-3"/>
                <w:sz w:val="22"/>
                <w:shd w:fill="D9D9D9" w:color="auto" w:val="clear"/>
              </w:rPr>
              <w:t>其他本附加合同约定的效力中止情形。</w:t>
            </w:r>
          </w:p>
          <w:p>
            <w:pPr>
              <w:pStyle w:val="TableParagraph"/>
              <w:spacing w:before="90"/>
              <w:ind w:left="164"/>
              <w:rPr>
                <w:sz w:val="22"/>
              </w:rPr>
            </w:pPr>
            <w:r>
              <w:rPr>
                <w:sz w:val="22"/>
                <w:shd w:fill="D9D9D9" w:color="auto" w:val="clear"/>
              </w:rPr>
              <w:t>在本附加合同效力中止期间，我们不承担保险责任。</w:t>
            </w:r>
          </w:p>
        </w:tc>
      </w:tr>
      <w:tr>
        <w:trPr>
          <w:trHeight w:val="2010" w:hRule="atLeast"/>
        </w:trPr>
        <w:tc>
          <w:tcPr>
            <w:tcW w:w="603" w:type="dxa"/>
          </w:tcPr>
          <w:p>
            <w:pPr>
              <w:pStyle w:val="TableParagraph"/>
              <w:spacing w:before="6"/>
              <w:rPr>
                <w:b/>
                <w:sz w:val="15"/>
              </w:rPr>
            </w:pPr>
          </w:p>
          <w:p>
            <w:pPr>
              <w:pStyle w:val="TableParagraph"/>
              <w:ind w:left="50"/>
              <w:rPr>
                <w:b/>
                <w:sz w:val="22"/>
              </w:rPr>
            </w:pPr>
            <w:r>
              <w:rPr>
                <w:b/>
                <w:sz w:val="22"/>
              </w:rPr>
              <w:t>6.2</w:t>
            </w:r>
          </w:p>
        </w:tc>
        <w:tc>
          <w:tcPr>
            <w:tcW w:w="1597" w:type="dxa"/>
          </w:tcPr>
          <w:p>
            <w:pPr>
              <w:pStyle w:val="TableParagraph"/>
              <w:spacing w:before="6"/>
              <w:rPr>
                <w:b/>
                <w:sz w:val="15"/>
              </w:rPr>
            </w:pPr>
          </w:p>
          <w:p>
            <w:pPr>
              <w:pStyle w:val="TableParagraph"/>
              <w:spacing w:line="316" w:lineRule="auto"/>
              <w:ind w:left="219" w:right="160"/>
              <w:rPr>
                <w:b/>
                <w:sz w:val="22"/>
              </w:rPr>
            </w:pPr>
            <w:r>
              <w:rPr>
                <w:b/>
                <w:sz w:val="22"/>
              </w:rPr>
              <w:t>效力恢复(复</w:t>
            </w:r>
            <w:r>
              <w:rPr>
                <w:b/>
                <w:w w:val="95"/>
                <w:sz w:val="22"/>
              </w:rPr>
              <w:t>效)</w:t>
            </w:r>
          </w:p>
        </w:tc>
        <w:tc>
          <w:tcPr>
            <w:tcW w:w="7543" w:type="dxa"/>
          </w:tcPr>
          <w:p>
            <w:pPr>
              <w:pStyle w:val="TableParagraph"/>
              <w:spacing w:before="6"/>
              <w:rPr>
                <w:b/>
                <w:sz w:val="15"/>
              </w:rPr>
            </w:pPr>
          </w:p>
          <w:p>
            <w:pPr>
              <w:pStyle w:val="TableParagraph"/>
              <w:spacing w:line="316" w:lineRule="auto"/>
              <w:ind w:left="164" w:right="49"/>
              <w:rPr>
                <w:sz w:val="22"/>
              </w:rPr>
            </w:pPr>
            <w:r>
              <w:rPr>
                <w:sz w:val="22"/>
              </w:rPr>
              <w:t>本附加合同效力中止后2年内，您可以申请恢复合同效力。经我们与您协商并达成协议，在您补交保险费之日起，合同效力恢复。</w:t>
            </w:r>
          </w:p>
          <w:p>
            <w:pPr>
              <w:pStyle w:val="TableParagraph"/>
              <w:spacing w:line="316" w:lineRule="auto" w:before="23"/>
              <w:ind w:left="164" w:right="47"/>
              <w:rPr>
                <w:sz w:val="22"/>
              </w:rPr>
            </w:pPr>
            <w:r>
              <w:rPr>
                <w:sz w:val="22"/>
              </w:rPr>
              <w:t>自本附加合同效力中止之日起满2年您和我们未达成协议的，我们有权解除合同。我们解除合同的，向您退还合同效力中止时本附加保险合同的现金价</w:t>
            </w:r>
          </w:p>
          <w:p>
            <w:pPr>
              <w:pStyle w:val="TableParagraph"/>
              <w:spacing w:line="268" w:lineRule="exact" w:before="21"/>
              <w:ind w:left="164"/>
              <w:rPr>
                <w:sz w:val="22"/>
              </w:rPr>
            </w:pPr>
            <w:r>
              <w:rPr>
                <w:sz w:val="22"/>
              </w:rPr>
              <w:t>值。</w:t>
            </w:r>
          </w:p>
        </w:tc>
      </w:tr>
    </w:tbl>
    <w:p>
      <w:pPr>
        <w:spacing w:after="0" w:line="268" w:lineRule="exact"/>
        <w:rPr>
          <w:sz w:val="22"/>
        </w:rPr>
        <w:sectPr>
          <w:pgSz w:w="11910" w:h="16840"/>
          <w:pgMar w:header="484" w:footer="479" w:top="680" w:bottom="660" w:left="820" w:right="820"/>
        </w:sectPr>
      </w:pPr>
    </w:p>
    <w:p>
      <w:pPr>
        <w:pStyle w:val="BodyText"/>
        <w:rPr>
          <w:b/>
          <w:sz w:val="20"/>
        </w:rPr>
      </w:pPr>
    </w:p>
    <w:p>
      <w:pPr>
        <w:pStyle w:val="BodyText"/>
        <w:rPr>
          <w:b/>
          <w:sz w:val="20"/>
        </w:rPr>
      </w:pPr>
    </w:p>
    <w:p>
      <w:pPr>
        <w:pStyle w:val="BodyText"/>
        <w:spacing w:before="7"/>
        <w:rPr>
          <w:b/>
          <w:sz w:val="16"/>
        </w:rPr>
      </w:pPr>
    </w:p>
    <w:p>
      <w:pPr>
        <w:pStyle w:val="BodyText"/>
        <w:spacing w:before="33"/>
        <w:ind w:left="2627"/>
      </w:pPr>
      <w:r>
        <w:rPr/>
        <w:t>主合同效力中止期间，本附加合同不得单独申请复效。</w:t>
      </w:r>
    </w:p>
    <w:p>
      <w:pPr>
        <w:pStyle w:val="BodyText"/>
        <w:rPr>
          <w:sz w:val="20"/>
        </w:rPr>
      </w:pPr>
    </w:p>
    <w:p>
      <w:pPr>
        <w:pStyle w:val="Heading2"/>
      </w:pPr>
      <w:r>
        <w:rPr>
          <w:rFonts w:ascii="Wingdings" w:hAnsi="Wingdings" w:eastAsia="Wingdings"/>
          <w:b w:val="0"/>
          <w:w w:val="95"/>
          <w:sz w:val="36"/>
        </w:rPr>
        <w:t></w:t>
      </w:r>
      <w:r>
        <w:rPr>
          <w:w w:val="95"/>
        </w:rPr>
        <w:t>合同解除</w:t>
      </w:r>
    </w:p>
    <w:p>
      <w:pPr>
        <w:spacing w:line="44" w:lineRule="exact"/>
        <w:ind w:left="291" w:right="0" w:firstLine="0"/>
        <w:rPr>
          <w:sz w:val="4"/>
        </w:rPr>
      </w:pPr>
      <w:r>
        <w:rPr>
          <w:rFonts w:ascii="Times New Roman"/>
          <w:spacing w:val="11"/>
          <w:sz w:val="4"/>
        </w:rPr>
        <w:t> </w:t>
      </w:r>
      <w:r>
        <w:rPr>
          <w:spacing w:val="11"/>
          <w:position w:val="0"/>
          <w:sz w:val="4"/>
        </w:rPr>
        <w:pict>
          <v:group style="width:482.05pt;height:2.2pt;mso-position-horizontal-relative:char;mso-position-vertical-relative:line" coordorigin="0,0" coordsize="9641,44">
            <v:line style="position:absolute" from="0,22" to="770,22" stroked="true" strokeweight="2.16pt" strokecolor="#000000">
              <v:stroke dashstyle="solid"/>
            </v:line>
            <v:rect style="position:absolute;left:770;top:0;width:44;height:44" filled="true" fillcolor="#000000" stroked="false">
              <v:fill type="solid"/>
            </v:rect>
            <v:line style="position:absolute" from="814,22" to="2314,22" stroked="true" strokeweight="2.16pt" strokecolor="#000000">
              <v:stroke dashstyle="solid"/>
            </v:line>
            <v:rect style="position:absolute;left:2314;top:0;width:44;height:44" filled="true" fillcolor="#000000" stroked="false">
              <v:fill type="solid"/>
            </v:rect>
            <v:line style="position:absolute" from="2357,22" to="9640,22" stroked="true" strokeweight="2.16pt" strokecolor="#000000">
              <v:stroke dashstyle="solid"/>
            </v:line>
          </v:group>
        </w:pict>
      </w:r>
      <w:r>
        <w:rPr>
          <w:spacing w:val="11"/>
          <w:position w:val="0"/>
          <w:sz w:val="4"/>
        </w:rPr>
      </w:r>
    </w:p>
    <w:p>
      <w:pPr>
        <w:pStyle w:val="BodyText"/>
        <w:rPr>
          <w:b/>
          <w:sz w:val="20"/>
        </w:rPr>
      </w:pPr>
    </w:p>
    <w:p>
      <w:pPr>
        <w:pStyle w:val="BodyText"/>
        <w:spacing w:before="1"/>
        <w:rPr>
          <w:b/>
          <w:sz w:val="1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4"/>
        <w:gridCol w:w="1651"/>
        <w:gridCol w:w="7634"/>
      </w:tblGrid>
      <w:tr>
        <w:trPr>
          <w:trHeight w:val="2501" w:hRule="atLeast"/>
        </w:trPr>
        <w:tc>
          <w:tcPr>
            <w:tcW w:w="754" w:type="dxa"/>
          </w:tcPr>
          <w:p>
            <w:pPr>
              <w:pStyle w:val="TableParagraph"/>
              <w:spacing w:line="221" w:lineRule="exact"/>
              <w:ind w:left="200"/>
              <w:rPr>
                <w:b/>
                <w:sz w:val="22"/>
              </w:rPr>
            </w:pPr>
            <w:r>
              <w:rPr>
                <w:b/>
                <w:sz w:val="22"/>
              </w:rPr>
              <w:t>7.1</w:t>
            </w:r>
          </w:p>
        </w:tc>
        <w:tc>
          <w:tcPr>
            <w:tcW w:w="1651" w:type="dxa"/>
          </w:tcPr>
          <w:p>
            <w:pPr>
              <w:pStyle w:val="TableParagraph"/>
              <w:spacing w:line="221" w:lineRule="exact"/>
              <w:ind w:left="218"/>
              <w:rPr>
                <w:b/>
                <w:sz w:val="22"/>
              </w:rPr>
            </w:pPr>
            <w:r>
              <w:rPr>
                <w:b/>
                <w:w w:val="95"/>
                <w:sz w:val="22"/>
              </w:rPr>
              <w:t>投保人解除合</w:t>
            </w:r>
          </w:p>
          <w:p>
            <w:pPr>
              <w:pStyle w:val="TableParagraph"/>
              <w:spacing w:line="316" w:lineRule="auto" w:before="91"/>
              <w:ind w:left="218" w:right="105"/>
              <w:rPr>
                <w:b/>
                <w:sz w:val="22"/>
              </w:rPr>
            </w:pPr>
            <w:r>
              <w:rPr>
                <w:b/>
                <w:sz w:val="22"/>
              </w:rPr>
              <w:t>同的手续及风险</w:t>
            </w:r>
          </w:p>
        </w:tc>
        <w:tc>
          <w:tcPr>
            <w:tcW w:w="7634" w:type="dxa"/>
          </w:tcPr>
          <w:p>
            <w:pPr>
              <w:pStyle w:val="TableParagraph"/>
              <w:spacing w:line="221" w:lineRule="exact"/>
              <w:ind w:left="109"/>
              <w:rPr>
                <w:sz w:val="22"/>
              </w:rPr>
            </w:pPr>
            <w:r>
              <w:rPr>
                <w:sz w:val="22"/>
              </w:rPr>
              <w:t>如您在犹豫期后申请解除本附加合同，请填写解除合同申请书并向我们提供</w:t>
            </w:r>
          </w:p>
          <w:p>
            <w:pPr>
              <w:pStyle w:val="TableParagraph"/>
              <w:spacing w:before="91"/>
              <w:ind w:left="109"/>
              <w:rPr>
                <w:sz w:val="22"/>
              </w:rPr>
            </w:pPr>
            <w:r>
              <w:rPr>
                <w:sz w:val="22"/>
              </w:rPr>
              <w:t>下列资料：</w:t>
            </w:r>
          </w:p>
          <w:p>
            <w:pPr>
              <w:pStyle w:val="TableParagraph"/>
              <w:numPr>
                <w:ilvl w:val="0"/>
                <w:numId w:val="14"/>
              </w:numPr>
              <w:tabs>
                <w:tab w:pos="530" w:val="left" w:leader="none"/>
              </w:tabs>
              <w:spacing w:line="240" w:lineRule="auto" w:before="91" w:after="0"/>
              <w:ind w:left="529" w:right="0" w:hanging="420"/>
              <w:jc w:val="left"/>
              <w:rPr>
                <w:sz w:val="22"/>
              </w:rPr>
            </w:pPr>
            <w:r>
              <w:rPr>
                <w:spacing w:val="-1"/>
                <w:sz w:val="22"/>
              </w:rPr>
              <w:t>保险合同；</w:t>
            </w:r>
          </w:p>
          <w:p>
            <w:pPr>
              <w:pStyle w:val="TableParagraph"/>
              <w:numPr>
                <w:ilvl w:val="0"/>
                <w:numId w:val="14"/>
              </w:numPr>
              <w:tabs>
                <w:tab w:pos="530" w:val="left" w:leader="none"/>
              </w:tabs>
              <w:spacing w:line="240" w:lineRule="auto" w:before="93" w:after="0"/>
              <w:ind w:left="529" w:right="0" w:hanging="420"/>
              <w:jc w:val="left"/>
              <w:rPr>
                <w:sz w:val="22"/>
              </w:rPr>
            </w:pPr>
            <w:r>
              <w:rPr>
                <w:spacing w:val="-2"/>
                <w:sz w:val="22"/>
              </w:rPr>
              <w:t>您的有效身份证件。</w:t>
            </w:r>
          </w:p>
          <w:p>
            <w:pPr>
              <w:pStyle w:val="TableParagraph"/>
              <w:spacing w:line="316" w:lineRule="auto" w:before="91"/>
              <w:ind w:left="109" w:right="196"/>
              <w:rPr>
                <w:sz w:val="22"/>
              </w:rPr>
            </w:pPr>
            <w:r>
              <w:rPr>
                <w:sz w:val="22"/>
              </w:rPr>
              <w:t>自我们收到解除合同申请书之日起，本附加合同终止。我们自收到解除合同申请书之日起30日内向您退还保险合同的现金价值。</w:t>
            </w:r>
          </w:p>
          <w:p>
            <w:pPr>
              <w:pStyle w:val="TableParagraph"/>
              <w:spacing w:line="268" w:lineRule="exact" w:before="23"/>
              <w:ind w:left="109"/>
              <w:rPr>
                <w:sz w:val="22"/>
              </w:rPr>
            </w:pPr>
            <w:r>
              <w:rPr>
                <w:sz w:val="22"/>
              </w:rPr>
              <w:t>您犹豫期后解除合同会遭受一定损失。</w:t>
            </w:r>
          </w:p>
        </w:tc>
      </w:tr>
    </w:tbl>
    <w:p>
      <w:pPr>
        <w:pStyle w:val="BodyText"/>
        <w:rPr>
          <w:b/>
          <w:sz w:val="20"/>
        </w:rPr>
      </w:pPr>
    </w:p>
    <w:p>
      <w:pPr>
        <w:pStyle w:val="Heading2"/>
      </w:pPr>
      <w:r>
        <w:rPr>
          <w:rFonts w:ascii="Wingdings" w:hAnsi="Wingdings" w:eastAsia="Wingdings"/>
          <w:b w:val="0"/>
          <w:w w:val="95"/>
          <w:sz w:val="36"/>
        </w:rPr>
        <w:t></w:t>
      </w:r>
      <w:r>
        <w:rPr>
          <w:w w:val="95"/>
        </w:rPr>
        <w:t>其他需要关注的事项</w:t>
      </w:r>
    </w:p>
    <w:p>
      <w:pPr>
        <w:spacing w:line="44" w:lineRule="exact"/>
        <w:ind w:left="291" w:right="0" w:firstLine="0"/>
        <w:rPr>
          <w:sz w:val="4"/>
        </w:rPr>
      </w:pPr>
      <w:r>
        <w:rPr>
          <w:rFonts w:ascii="Times New Roman"/>
          <w:spacing w:val="11"/>
          <w:sz w:val="4"/>
        </w:rPr>
        <w:t> </w:t>
      </w:r>
      <w:r>
        <w:rPr>
          <w:spacing w:val="11"/>
          <w:position w:val="0"/>
          <w:sz w:val="4"/>
        </w:rPr>
        <w:pict>
          <v:group style="width:482.05pt;height:2.2pt;mso-position-horizontal-relative:char;mso-position-vertical-relative:line" coordorigin="0,0" coordsize="9641,44">
            <v:line style="position:absolute" from="0,22" to="770,22" stroked="true" strokeweight="2.16pt" strokecolor="#000000">
              <v:stroke dashstyle="solid"/>
            </v:line>
            <v:rect style="position:absolute;left:770;top:0;width:44;height:44" filled="true" fillcolor="#000000" stroked="false">
              <v:fill type="solid"/>
            </v:rect>
            <v:line style="position:absolute" from="814,22" to="2314,22" stroked="true" strokeweight="2.16pt" strokecolor="#000000">
              <v:stroke dashstyle="solid"/>
            </v:line>
            <v:rect style="position:absolute;left:2314;top:0;width:44;height:44" filled="true" fillcolor="#000000" stroked="false">
              <v:fill type="solid"/>
            </v:rect>
            <v:line style="position:absolute" from="2357,22" to="9640,22" stroked="true" strokeweight="2.16pt" strokecolor="#000000">
              <v:stroke dashstyle="solid"/>
            </v:line>
          </v:group>
        </w:pict>
      </w:r>
      <w:r>
        <w:rPr>
          <w:spacing w:val="11"/>
          <w:position w:val="0"/>
          <w:sz w:val="4"/>
        </w:rPr>
      </w:r>
    </w:p>
    <w:p>
      <w:pPr>
        <w:pStyle w:val="BodyText"/>
        <w:rPr>
          <w:b/>
          <w:sz w:val="20"/>
        </w:rPr>
      </w:pPr>
    </w:p>
    <w:p>
      <w:pPr>
        <w:pStyle w:val="BodyText"/>
        <w:spacing w:before="12"/>
        <w:rPr>
          <w:b/>
          <w:sz w:val="17"/>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3"/>
        <w:gridCol w:w="1652"/>
        <w:gridCol w:w="4930"/>
      </w:tblGrid>
      <w:tr>
        <w:trPr>
          <w:trHeight w:val="1631" w:hRule="atLeast"/>
        </w:trPr>
        <w:tc>
          <w:tcPr>
            <w:tcW w:w="753" w:type="dxa"/>
          </w:tcPr>
          <w:p>
            <w:pPr>
              <w:pStyle w:val="TableParagraph"/>
              <w:spacing w:line="221" w:lineRule="exact"/>
              <w:ind w:left="200"/>
              <w:rPr>
                <w:b/>
                <w:sz w:val="22"/>
              </w:rPr>
            </w:pPr>
            <w:r>
              <w:rPr>
                <w:b/>
                <w:sz w:val="22"/>
              </w:rPr>
              <w:t>8.1</w:t>
            </w:r>
          </w:p>
        </w:tc>
        <w:tc>
          <w:tcPr>
            <w:tcW w:w="1652" w:type="dxa"/>
          </w:tcPr>
          <w:p>
            <w:pPr>
              <w:pStyle w:val="TableParagraph"/>
              <w:spacing w:line="221" w:lineRule="exact"/>
              <w:ind w:left="219"/>
              <w:rPr>
                <w:b/>
                <w:sz w:val="22"/>
              </w:rPr>
            </w:pPr>
            <w:r>
              <w:rPr>
                <w:b/>
                <w:w w:val="95"/>
                <w:sz w:val="22"/>
              </w:rPr>
              <w:t>效力终止</w:t>
            </w:r>
          </w:p>
        </w:tc>
        <w:tc>
          <w:tcPr>
            <w:tcW w:w="4930" w:type="dxa"/>
          </w:tcPr>
          <w:p>
            <w:pPr>
              <w:pStyle w:val="TableParagraph"/>
              <w:spacing w:line="221" w:lineRule="exact"/>
              <w:ind w:left="109"/>
              <w:rPr>
                <w:sz w:val="22"/>
              </w:rPr>
            </w:pPr>
            <w:r>
              <w:rPr>
                <w:sz w:val="22"/>
              </w:rPr>
              <w:t>当发生下列情况之一时，本附加合同效力终止：</w:t>
            </w:r>
          </w:p>
          <w:p>
            <w:pPr>
              <w:pStyle w:val="TableParagraph"/>
              <w:numPr>
                <w:ilvl w:val="0"/>
                <w:numId w:val="15"/>
              </w:numPr>
              <w:tabs>
                <w:tab w:pos="563" w:val="left" w:leader="none"/>
              </w:tabs>
              <w:spacing w:line="240" w:lineRule="auto" w:before="94" w:after="0"/>
              <w:ind w:left="562" w:right="0" w:hanging="453"/>
              <w:jc w:val="left"/>
              <w:rPr>
                <w:sz w:val="22"/>
              </w:rPr>
            </w:pPr>
            <w:r>
              <w:rPr>
                <w:spacing w:val="-2"/>
                <w:sz w:val="22"/>
              </w:rPr>
              <w:t>主合同效力终止；</w:t>
            </w:r>
          </w:p>
          <w:p>
            <w:pPr>
              <w:pStyle w:val="TableParagraph"/>
              <w:numPr>
                <w:ilvl w:val="0"/>
                <w:numId w:val="15"/>
              </w:numPr>
              <w:tabs>
                <w:tab w:pos="563" w:val="left" w:leader="none"/>
              </w:tabs>
              <w:spacing w:line="240" w:lineRule="auto" w:before="91" w:after="0"/>
              <w:ind w:left="562" w:right="0" w:hanging="453"/>
              <w:jc w:val="left"/>
              <w:rPr>
                <w:sz w:val="22"/>
              </w:rPr>
            </w:pPr>
            <w:r>
              <w:rPr>
                <w:spacing w:val="-2"/>
                <w:sz w:val="22"/>
              </w:rPr>
              <w:t>主合同办理减额交清；</w:t>
            </w:r>
          </w:p>
          <w:p>
            <w:pPr>
              <w:pStyle w:val="TableParagraph"/>
              <w:numPr>
                <w:ilvl w:val="0"/>
                <w:numId w:val="15"/>
              </w:numPr>
              <w:tabs>
                <w:tab w:pos="563" w:val="left" w:leader="none"/>
              </w:tabs>
              <w:spacing w:line="240" w:lineRule="auto" w:before="91" w:after="0"/>
              <w:ind w:left="562" w:right="0" w:hanging="453"/>
              <w:jc w:val="left"/>
              <w:rPr>
                <w:sz w:val="22"/>
              </w:rPr>
            </w:pPr>
            <w:r>
              <w:rPr>
                <w:spacing w:val="-3"/>
                <w:sz w:val="22"/>
              </w:rPr>
              <w:t>您申请解除本附加合同。</w:t>
            </w:r>
          </w:p>
        </w:tc>
      </w:tr>
      <w:tr>
        <w:trPr>
          <w:trHeight w:val="3150" w:hRule="atLeast"/>
        </w:trPr>
        <w:tc>
          <w:tcPr>
            <w:tcW w:w="753" w:type="dxa"/>
          </w:tcPr>
          <w:p>
            <w:pPr>
              <w:pStyle w:val="TableParagraph"/>
              <w:spacing w:before="6"/>
              <w:rPr>
                <w:b/>
                <w:sz w:val="15"/>
              </w:rPr>
            </w:pPr>
          </w:p>
          <w:p>
            <w:pPr>
              <w:pStyle w:val="TableParagraph"/>
              <w:ind w:left="200"/>
              <w:rPr>
                <w:b/>
                <w:sz w:val="22"/>
              </w:rPr>
            </w:pPr>
            <w:r>
              <w:rPr>
                <w:b/>
                <w:sz w:val="22"/>
              </w:rPr>
              <w:t>8.2</w:t>
            </w:r>
          </w:p>
        </w:tc>
        <w:tc>
          <w:tcPr>
            <w:tcW w:w="1652" w:type="dxa"/>
          </w:tcPr>
          <w:p>
            <w:pPr>
              <w:pStyle w:val="TableParagraph"/>
              <w:spacing w:before="6"/>
              <w:rPr>
                <w:b/>
                <w:sz w:val="15"/>
              </w:rPr>
            </w:pPr>
          </w:p>
          <w:p>
            <w:pPr>
              <w:pStyle w:val="TableParagraph"/>
              <w:spacing w:line="316" w:lineRule="auto"/>
              <w:ind w:left="219" w:right="105"/>
              <w:rPr>
                <w:b/>
                <w:sz w:val="22"/>
              </w:rPr>
            </w:pPr>
            <w:r>
              <w:rPr>
                <w:b/>
                <w:sz w:val="22"/>
              </w:rPr>
              <w:t>适用主合同条款</w:t>
            </w:r>
          </w:p>
        </w:tc>
        <w:tc>
          <w:tcPr>
            <w:tcW w:w="4930" w:type="dxa"/>
          </w:tcPr>
          <w:p>
            <w:pPr>
              <w:pStyle w:val="TableParagraph"/>
              <w:spacing w:before="6"/>
              <w:rPr>
                <w:b/>
                <w:sz w:val="15"/>
              </w:rPr>
            </w:pPr>
          </w:p>
          <w:p>
            <w:pPr>
              <w:pStyle w:val="TableParagraph"/>
              <w:ind w:left="109"/>
              <w:rPr>
                <w:sz w:val="22"/>
              </w:rPr>
            </w:pPr>
            <w:r>
              <w:rPr>
                <w:sz w:val="22"/>
              </w:rPr>
              <w:t>下列各项条款，适用主合同条款：</w:t>
            </w:r>
          </w:p>
          <w:p>
            <w:pPr>
              <w:pStyle w:val="TableParagraph"/>
              <w:numPr>
                <w:ilvl w:val="0"/>
                <w:numId w:val="16"/>
              </w:numPr>
              <w:tabs>
                <w:tab w:pos="563" w:val="left" w:leader="none"/>
              </w:tabs>
              <w:spacing w:line="240" w:lineRule="auto" w:before="91" w:after="0"/>
              <w:ind w:left="562" w:right="0" w:hanging="453"/>
              <w:jc w:val="left"/>
              <w:rPr>
                <w:sz w:val="22"/>
              </w:rPr>
            </w:pPr>
            <w:r>
              <w:rPr>
                <w:spacing w:val="-2"/>
                <w:sz w:val="22"/>
              </w:rPr>
              <w:t>明确说明与如实告知；</w:t>
            </w:r>
          </w:p>
          <w:p>
            <w:pPr>
              <w:pStyle w:val="TableParagraph"/>
              <w:numPr>
                <w:ilvl w:val="0"/>
                <w:numId w:val="16"/>
              </w:numPr>
              <w:tabs>
                <w:tab w:pos="563" w:val="left" w:leader="none"/>
              </w:tabs>
              <w:spacing w:line="240" w:lineRule="auto" w:before="94" w:after="0"/>
              <w:ind w:left="562" w:right="0" w:hanging="453"/>
              <w:jc w:val="left"/>
              <w:rPr>
                <w:sz w:val="22"/>
              </w:rPr>
            </w:pPr>
            <w:r>
              <w:rPr>
                <w:spacing w:val="-1"/>
                <w:sz w:val="22"/>
              </w:rPr>
              <w:t>年龄错误；</w:t>
            </w:r>
          </w:p>
          <w:p>
            <w:pPr>
              <w:pStyle w:val="TableParagraph"/>
              <w:numPr>
                <w:ilvl w:val="0"/>
                <w:numId w:val="16"/>
              </w:numPr>
              <w:tabs>
                <w:tab w:pos="563" w:val="left" w:leader="none"/>
              </w:tabs>
              <w:spacing w:line="240" w:lineRule="auto" w:before="91" w:after="0"/>
              <w:ind w:left="562" w:right="0" w:hanging="453"/>
              <w:jc w:val="left"/>
              <w:rPr>
                <w:sz w:val="22"/>
              </w:rPr>
            </w:pPr>
            <w:r>
              <w:rPr>
                <w:spacing w:val="-1"/>
                <w:sz w:val="22"/>
              </w:rPr>
              <w:t>未还款项；</w:t>
            </w:r>
          </w:p>
          <w:p>
            <w:pPr>
              <w:pStyle w:val="TableParagraph"/>
              <w:numPr>
                <w:ilvl w:val="0"/>
                <w:numId w:val="16"/>
              </w:numPr>
              <w:tabs>
                <w:tab w:pos="563" w:val="left" w:leader="none"/>
              </w:tabs>
              <w:spacing w:line="240" w:lineRule="auto" w:before="91" w:after="0"/>
              <w:ind w:left="562" w:right="0" w:hanging="453"/>
              <w:jc w:val="left"/>
              <w:rPr>
                <w:sz w:val="22"/>
              </w:rPr>
            </w:pPr>
            <w:r>
              <w:rPr>
                <w:spacing w:val="-3"/>
                <w:sz w:val="22"/>
              </w:rPr>
              <w:t>本公司合同解除权的限制；</w:t>
            </w:r>
          </w:p>
          <w:p>
            <w:pPr>
              <w:pStyle w:val="TableParagraph"/>
              <w:numPr>
                <w:ilvl w:val="0"/>
                <w:numId w:val="16"/>
              </w:numPr>
              <w:tabs>
                <w:tab w:pos="563" w:val="left" w:leader="none"/>
              </w:tabs>
              <w:spacing w:line="240" w:lineRule="auto" w:before="94" w:after="0"/>
              <w:ind w:left="562" w:right="0" w:hanging="453"/>
              <w:jc w:val="left"/>
              <w:rPr>
                <w:sz w:val="22"/>
              </w:rPr>
            </w:pPr>
            <w:r>
              <w:rPr>
                <w:spacing w:val="-1"/>
                <w:sz w:val="22"/>
              </w:rPr>
              <w:t>合同内容变更；</w:t>
            </w:r>
          </w:p>
          <w:p>
            <w:pPr>
              <w:pStyle w:val="TableParagraph"/>
              <w:numPr>
                <w:ilvl w:val="0"/>
                <w:numId w:val="16"/>
              </w:numPr>
              <w:tabs>
                <w:tab w:pos="563" w:val="left" w:leader="none"/>
              </w:tabs>
              <w:spacing w:line="240" w:lineRule="auto" w:before="91" w:after="0"/>
              <w:ind w:left="562" w:right="0" w:hanging="453"/>
              <w:jc w:val="left"/>
              <w:rPr>
                <w:sz w:val="22"/>
              </w:rPr>
            </w:pPr>
            <w:r>
              <w:rPr>
                <w:spacing w:val="-1"/>
                <w:sz w:val="22"/>
              </w:rPr>
              <w:t>地址变更；</w:t>
            </w:r>
          </w:p>
          <w:p>
            <w:pPr>
              <w:pStyle w:val="TableParagraph"/>
              <w:numPr>
                <w:ilvl w:val="0"/>
                <w:numId w:val="16"/>
              </w:numPr>
              <w:tabs>
                <w:tab w:pos="563" w:val="left" w:leader="none"/>
              </w:tabs>
              <w:spacing w:line="268" w:lineRule="exact" w:before="91" w:after="0"/>
              <w:ind w:left="562" w:right="0" w:hanging="453"/>
              <w:jc w:val="left"/>
              <w:rPr>
                <w:sz w:val="22"/>
              </w:rPr>
            </w:pPr>
            <w:r>
              <w:rPr>
                <w:spacing w:val="-1"/>
                <w:sz w:val="22"/>
              </w:rPr>
              <w:t>争议处理。</w:t>
            </w:r>
          </w:p>
        </w:tc>
      </w:tr>
    </w:tbl>
    <w:p>
      <w:pPr>
        <w:pStyle w:val="BodyText"/>
        <w:rPr>
          <w:b/>
          <w:sz w:val="20"/>
        </w:rPr>
      </w:pPr>
    </w:p>
    <w:p>
      <w:pPr>
        <w:spacing w:before="173" w:after="19"/>
        <w:ind w:left="313" w:right="0" w:firstLine="0"/>
        <w:jc w:val="left"/>
        <w:rPr>
          <w:b/>
          <w:sz w:val="32"/>
        </w:rPr>
      </w:pPr>
      <w:r>
        <w:rPr>
          <w:rFonts w:ascii="Wingdings" w:hAnsi="Wingdings" w:eastAsia="Wingdings"/>
          <w:w w:val="130"/>
          <w:sz w:val="36"/>
        </w:rPr>
        <w:t></w:t>
      </w:r>
      <w:r>
        <w:rPr>
          <w:b/>
          <w:w w:val="110"/>
          <w:sz w:val="32"/>
        </w:rPr>
        <w:t>释义</w:t>
      </w:r>
    </w:p>
    <w:p>
      <w:pPr>
        <w:spacing w:line="44" w:lineRule="exact"/>
        <w:ind w:left="291" w:right="0" w:firstLine="0"/>
        <w:rPr>
          <w:sz w:val="4"/>
        </w:rPr>
      </w:pPr>
      <w:r>
        <w:rPr>
          <w:rFonts w:ascii="Times New Roman"/>
          <w:spacing w:val="11"/>
          <w:sz w:val="4"/>
        </w:rPr>
        <w:t> </w:t>
      </w:r>
      <w:r>
        <w:rPr>
          <w:spacing w:val="11"/>
          <w:position w:val="0"/>
          <w:sz w:val="4"/>
        </w:rPr>
        <w:pict>
          <v:group style="width:482.05pt;height:2.2pt;mso-position-horizontal-relative:char;mso-position-vertical-relative:line" coordorigin="0,0" coordsize="9641,44">
            <v:line style="position:absolute" from="0,22" to="770,22" stroked="true" strokeweight="2.16pt" strokecolor="#000000">
              <v:stroke dashstyle="solid"/>
            </v:line>
            <v:rect style="position:absolute;left:770;top:0;width:44;height:44" filled="true" fillcolor="#000000" stroked="false">
              <v:fill type="solid"/>
            </v:rect>
            <v:line style="position:absolute" from="814,22" to="2314,22" stroked="true" strokeweight="2.16pt" strokecolor="#000000">
              <v:stroke dashstyle="solid"/>
            </v:line>
            <v:rect style="position:absolute;left:2314;top:0;width:44;height:44" filled="true" fillcolor="#000000" stroked="false">
              <v:fill type="solid"/>
            </v:rect>
            <v:line style="position:absolute" from="2357,22" to="9640,22" stroked="true" strokeweight="2.16pt" strokecolor="#000000">
              <v:stroke dashstyle="solid"/>
            </v:line>
          </v:group>
        </w:pict>
      </w:r>
      <w:r>
        <w:rPr>
          <w:spacing w:val="11"/>
          <w:position w:val="0"/>
          <w:sz w:val="4"/>
        </w:rPr>
      </w:r>
    </w:p>
    <w:p>
      <w:pPr>
        <w:pStyle w:val="BodyText"/>
        <w:rPr>
          <w:b/>
          <w:sz w:val="20"/>
        </w:rPr>
      </w:pPr>
    </w:p>
    <w:p>
      <w:pPr>
        <w:pStyle w:val="BodyText"/>
        <w:spacing w:before="12"/>
        <w:rPr>
          <w:b/>
          <w:sz w:val="17"/>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3"/>
        <w:gridCol w:w="1652"/>
        <w:gridCol w:w="7635"/>
      </w:tblGrid>
      <w:tr>
        <w:trPr>
          <w:trHeight w:val="1199" w:hRule="atLeast"/>
        </w:trPr>
        <w:tc>
          <w:tcPr>
            <w:tcW w:w="753" w:type="dxa"/>
          </w:tcPr>
          <w:p>
            <w:pPr>
              <w:pStyle w:val="TableParagraph"/>
              <w:spacing w:line="221" w:lineRule="exact"/>
              <w:ind w:left="200"/>
              <w:rPr>
                <w:b/>
                <w:sz w:val="22"/>
              </w:rPr>
            </w:pPr>
            <w:r>
              <w:rPr>
                <w:b/>
                <w:sz w:val="22"/>
              </w:rPr>
              <w:t>9.1</w:t>
            </w:r>
          </w:p>
        </w:tc>
        <w:tc>
          <w:tcPr>
            <w:tcW w:w="1652" w:type="dxa"/>
          </w:tcPr>
          <w:p>
            <w:pPr>
              <w:pStyle w:val="TableParagraph"/>
              <w:spacing w:line="221" w:lineRule="exact"/>
              <w:ind w:left="219"/>
              <w:rPr>
                <w:b/>
                <w:sz w:val="22"/>
              </w:rPr>
            </w:pPr>
            <w:r>
              <w:rPr>
                <w:b/>
                <w:w w:val="95"/>
                <w:sz w:val="22"/>
              </w:rPr>
              <w:t>保单年度</w:t>
            </w:r>
          </w:p>
        </w:tc>
        <w:tc>
          <w:tcPr>
            <w:tcW w:w="7635" w:type="dxa"/>
          </w:tcPr>
          <w:p>
            <w:pPr>
              <w:pStyle w:val="TableParagraph"/>
              <w:spacing w:line="221" w:lineRule="exact"/>
              <w:ind w:left="109"/>
              <w:rPr>
                <w:sz w:val="22"/>
              </w:rPr>
            </w:pPr>
            <w:r>
              <w:rPr>
                <w:sz w:val="22"/>
              </w:rPr>
              <w:t>从保险合同生效日或生效对应日零时起至下一年度保险合同生效对应日零时</w:t>
            </w:r>
          </w:p>
          <w:p>
            <w:pPr>
              <w:pStyle w:val="TableParagraph"/>
              <w:spacing w:line="319" w:lineRule="auto" w:before="91"/>
              <w:ind w:left="109" w:right="197"/>
              <w:rPr>
                <w:sz w:val="22"/>
              </w:rPr>
            </w:pPr>
            <w:r>
              <w:rPr>
                <w:sz w:val="22"/>
              </w:rPr>
              <w:t>止为一个保单年度。此处生效对应日是指保险合同生效日在每年的对应日， 如果该保单年度末无对应的同一日，则以该保单年度末最后一日为对应日。</w:t>
            </w:r>
          </w:p>
        </w:tc>
      </w:tr>
      <w:tr>
        <w:trPr>
          <w:trHeight w:val="437" w:hRule="atLeast"/>
        </w:trPr>
        <w:tc>
          <w:tcPr>
            <w:tcW w:w="753" w:type="dxa"/>
          </w:tcPr>
          <w:p>
            <w:pPr>
              <w:pStyle w:val="TableParagraph"/>
              <w:spacing w:line="268" w:lineRule="exact" w:before="150"/>
              <w:ind w:left="200"/>
              <w:rPr>
                <w:b/>
                <w:sz w:val="22"/>
              </w:rPr>
            </w:pPr>
            <w:r>
              <w:rPr>
                <w:b/>
                <w:sz w:val="22"/>
              </w:rPr>
              <w:t>9.2</w:t>
            </w:r>
          </w:p>
        </w:tc>
        <w:tc>
          <w:tcPr>
            <w:tcW w:w="1652" w:type="dxa"/>
          </w:tcPr>
          <w:p>
            <w:pPr>
              <w:pStyle w:val="TableParagraph"/>
              <w:spacing w:line="268" w:lineRule="exact" w:before="150"/>
              <w:ind w:left="219"/>
              <w:rPr>
                <w:b/>
                <w:sz w:val="22"/>
              </w:rPr>
            </w:pPr>
            <w:r>
              <w:rPr>
                <w:b/>
                <w:w w:val="95"/>
                <w:sz w:val="22"/>
              </w:rPr>
              <w:t>保险费约定支</w:t>
            </w:r>
          </w:p>
        </w:tc>
        <w:tc>
          <w:tcPr>
            <w:tcW w:w="7635" w:type="dxa"/>
          </w:tcPr>
          <w:p>
            <w:pPr>
              <w:pStyle w:val="TableParagraph"/>
              <w:spacing w:line="268" w:lineRule="exact" w:before="150"/>
              <w:ind w:left="109"/>
              <w:rPr>
                <w:sz w:val="22"/>
              </w:rPr>
            </w:pPr>
            <w:r>
              <w:rPr>
                <w:sz w:val="22"/>
              </w:rPr>
              <w:t>保险合同生效日在每月、每季、每半年或每年（根据支付方式确定）的对应</w:t>
            </w:r>
          </w:p>
        </w:tc>
      </w:tr>
    </w:tbl>
    <w:p>
      <w:pPr>
        <w:spacing w:after="0" w:line="268" w:lineRule="exact"/>
        <w:rPr>
          <w:sz w:val="22"/>
        </w:rPr>
        <w:sectPr>
          <w:pgSz w:w="11910" w:h="16840"/>
          <w:pgMar w:header="484" w:footer="479" w:top="680" w:bottom="660" w:left="820" w:right="820"/>
        </w:sectPr>
      </w:pPr>
    </w:p>
    <w:p>
      <w:pPr>
        <w:pStyle w:val="BodyText"/>
        <w:rPr>
          <w:b/>
          <w:sz w:val="20"/>
        </w:rPr>
      </w:pPr>
    </w:p>
    <w:p>
      <w:pPr>
        <w:pStyle w:val="BodyText"/>
        <w:rPr>
          <w:b/>
          <w:sz w:val="20"/>
        </w:rPr>
      </w:pPr>
    </w:p>
    <w:p>
      <w:pPr>
        <w:pStyle w:val="BodyText"/>
        <w:spacing w:before="7"/>
        <w:rPr>
          <w:b/>
          <w:sz w:val="16"/>
        </w:rPr>
      </w:pPr>
    </w:p>
    <w:p>
      <w:pPr>
        <w:pStyle w:val="BodyText"/>
        <w:tabs>
          <w:tab w:pos="2427" w:val="left" w:leader="none"/>
        </w:tabs>
        <w:spacing w:before="33"/>
        <w:ind w:left="886"/>
      </w:pPr>
      <w:r>
        <w:rPr>
          <w:b/>
        </w:rPr>
        <w:t>付日</w:t>
        <w:tab/>
      </w:r>
      <w:r>
        <w:rPr/>
        <w:t>日。如</w:t>
      </w:r>
      <w:r>
        <w:rPr>
          <w:spacing w:val="-3"/>
        </w:rPr>
        <w:t>果</w:t>
      </w:r>
      <w:r>
        <w:rPr/>
        <w:t>当月</w:t>
      </w:r>
      <w:r>
        <w:rPr>
          <w:spacing w:val="-3"/>
        </w:rPr>
        <w:t>无</w:t>
      </w:r>
      <w:r>
        <w:rPr/>
        <w:t>对应</w:t>
      </w:r>
      <w:r>
        <w:rPr>
          <w:spacing w:val="-3"/>
        </w:rPr>
        <w:t>的同</w:t>
      </w:r>
      <w:r>
        <w:rPr/>
        <w:t>一日，</w:t>
      </w:r>
      <w:r>
        <w:rPr>
          <w:spacing w:val="-3"/>
        </w:rPr>
        <w:t>则</w:t>
      </w:r>
      <w:r>
        <w:rPr/>
        <w:t>以该</w:t>
      </w:r>
      <w:r>
        <w:rPr>
          <w:spacing w:val="-3"/>
        </w:rPr>
        <w:t>月</w:t>
      </w:r>
      <w:r>
        <w:rPr/>
        <w:t>最后</w:t>
      </w:r>
      <w:r>
        <w:rPr>
          <w:spacing w:val="-3"/>
        </w:rPr>
        <w:t>一日</w:t>
      </w:r>
      <w:r>
        <w:rPr/>
        <w:t>为对应</w:t>
      </w:r>
      <w:r>
        <w:rPr>
          <w:spacing w:val="-3"/>
        </w:rPr>
        <w:t>日</w:t>
      </w:r>
      <w:r>
        <w:rPr/>
        <w:t>。</w:t>
      </w:r>
    </w:p>
    <w:p>
      <w:pPr>
        <w:pStyle w:val="BodyText"/>
      </w:pPr>
    </w:p>
    <w:p>
      <w:pPr>
        <w:pStyle w:val="ListParagraph"/>
        <w:numPr>
          <w:ilvl w:val="1"/>
          <w:numId w:val="17"/>
        </w:numPr>
        <w:tabs>
          <w:tab w:pos="887" w:val="left" w:leader="none"/>
        </w:tabs>
        <w:spacing w:line="319" w:lineRule="auto" w:before="182" w:after="0"/>
        <w:ind w:left="2427" w:right="130" w:hanging="2314"/>
        <w:jc w:val="both"/>
        <w:rPr>
          <w:sz w:val="22"/>
        </w:rPr>
      </w:pPr>
      <w:r>
        <w:rPr>
          <w:b/>
          <w:spacing w:val="3"/>
          <w:sz w:val="22"/>
        </w:rPr>
        <w:t>周岁         </w:t>
      </w:r>
      <w:r>
        <w:rPr>
          <w:sz w:val="22"/>
        </w:rPr>
        <w:t>指按有效身份证件中记载的出生日期计算的年龄，自出生之日起为零周岁， </w:t>
      </w:r>
      <w:r>
        <w:rPr>
          <w:spacing w:val="-3"/>
          <w:sz w:val="22"/>
        </w:rPr>
        <w:t>每经过一年增加一岁，不足一年的不计。</w:t>
      </w:r>
    </w:p>
    <w:p>
      <w:pPr>
        <w:pStyle w:val="BodyText"/>
        <w:spacing w:before="4"/>
        <w:rPr>
          <w:sz w:val="30"/>
        </w:rPr>
      </w:pPr>
    </w:p>
    <w:p>
      <w:pPr>
        <w:pStyle w:val="ListParagraph"/>
        <w:numPr>
          <w:ilvl w:val="1"/>
          <w:numId w:val="17"/>
        </w:numPr>
        <w:tabs>
          <w:tab w:pos="885" w:val="left" w:leader="none"/>
          <w:tab w:pos="887" w:val="left" w:leader="none"/>
          <w:tab w:pos="2427" w:val="left" w:leader="none"/>
        </w:tabs>
        <w:spacing w:line="240" w:lineRule="auto" w:before="1" w:after="0"/>
        <w:ind w:left="2427" w:right="0" w:hanging="2314"/>
        <w:jc w:val="left"/>
        <w:rPr>
          <w:sz w:val="22"/>
        </w:rPr>
      </w:pPr>
      <w:r>
        <w:rPr>
          <w:b/>
          <w:sz w:val="22"/>
        </w:rPr>
        <w:t>重大疾病</w:t>
        <w:tab/>
      </w:r>
      <w:r>
        <w:rPr>
          <w:sz w:val="22"/>
        </w:rPr>
        <w:t>指符合</w:t>
      </w:r>
      <w:r>
        <w:rPr>
          <w:spacing w:val="-3"/>
          <w:sz w:val="22"/>
        </w:rPr>
        <w:t>下</w:t>
      </w:r>
      <w:r>
        <w:rPr>
          <w:sz w:val="22"/>
        </w:rPr>
        <w:t>列定</w:t>
      </w:r>
      <w:r>
        <w:rPr>
          <w:spacing w:val="-3"/>
          <w:sz w:val="22"/>
        </w:rPr>
        <w:t>义</w:t>
      </w:r>
      <w:r>
        <w:rPr>
          <w:sz w:val="22"/>
        </w:rPr>
        <w:t>的疾病:</w:t>
      </w:r>
    </w:p>
    <w:p>
      <w:pPr>
        <w:pStyle w:val="BodyText"/>
        <w:spacing w:before="1"/>
        <w:rPr>
          <w:sz w:val="31"/>
        </w:rPr>
      </w:pPr>
    </w:p>
    <w:p>
      <w:pPr>
        <w:pStyle w:val="ListParagraph"/>
        <w:numPr>
          <w:ilvl w:val="2"/>
          <w:numId w:val="17"/>
        </w:numPr>
        <w:tabs>
          <w:tab w:pos="911" w:val="left" w:leader="none"/>
        </w:tabs>
        <w:spacing w:line="302" w:lineRule="auto" w:before="1" w:after="0"/>
        <w:ind w:left="2427" w:right="130" w:hanging="2314"/>
        <w:jc w:val="both"/>
        <w:rPr>
          <w:sz w:val="22"/>
        </w:rPr>
      </w:pPr>
      <w:r>
        <w:rPr>
          <w:rFonts w:ascii="微软雅黑" w:eastAsia="微软雅黑" w:hint="eastAsia"/>
          <w:b/>
          <w:spacing w:val="2"/>
          <w:sz w:val="22"/>
        </w:rPr>
        <w:t>恶性肿瘤       </w:t>
      </w:r>
      <w:r>
        <w:rPr>
          <w:sz w:val="22"/>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w:t>
      </w:r>
      <w:r>
        <w:rPr>
          <w:spacing w:val="-1"/>
          <w:sz w:val="22"/>
        </w:rPr>
        <w:t>类》（ICD-10）</w:t>
      </w:r>
      <w:r>
        <w:rPr>
          <w:spacing w:val="-2"/>
          <w:sz w:val="22"/>
        </w:rPr>
        <w:t>的恶性肿瘤范畴。</w:t>
      </w:r>
    </w:p>
    <w:p>
      <w:pPr>
        <w:pStyle w:val="BodyText"/>
        <w:spacing w:before="34"/>
        <w:ind w:left="2427"/>
      </w:pPr>
      <w:r>
        <w:rPr>
          <w:shd w:fill="D9D9D9" w:color="auto" w:val="clear"/>
        </w:rPr>
        <w:t>下列疾病不在保障范围内：</w:t>
      </w:r>
    </w:p>
    <w:p>
      <w:pPr>
        <w:pStyle w:val="ListParagraph"/>
        <w:numPr>
          <w:ilvl w:val="3"/>
          <w:numId w:val="17"/>
        </w:numPr>
        <w:tabs>
          <w:tab w:pos="2881" w:val="left" w:leader="none"/>
        </w:tabs>
        <w:spacing w:line="240" w:lineRule="auto" w:before="93" w:after="0"/>
        <w:ind w:left="2427" w:right="0" w:firstLine="0"/>
        <w:jc w:val="left"/>
        <w:rPr>
          <w:sz w:val="22"/>
        </w:rPr>
      </w:pPr>
      <w:r>
        <w:rPr>
          <w:b/>
          <w:sz w:val="22"/>
          <w:shd w:fill="D9D9D9" w:color="auto" w:val="clear"/>
        </w:rPr>
        <w:t>原位癌</w:t>
      </w:r>
      <w:r>
        <w:rPr>
          <w:sz w:val="22"/>
          <w:shd w:fill="D9D9D9" w:color="auto" w:val="clear"/>
        </w:rPr>
        <w:t>；</w:t>
      </w:r>
    </w:p>
    <w:p>
      <w:pPr>
        <w:pStyle w:val="ListParagraph"/>
        <w:numPr>
          <w:ilvl w:val="3"/>
          <w:numId w:val="17"/>
        </w:numPr>
        <w:tabs>
          <w:tab w:pos="2881" w:val="left" w:leader="none"/>
        </w:tabs>
        <w:spacing w:line="240" w:lineRule="auto" w:before="91" w:after="0"/>
        <w:ind w:left="2427" w:right="0" w:firstLine="0"/>
        <w:jc w:val="left"/>
        <w:rPr>
          <w:sz w:val="22"/>
        </w:rPr>
      </w:pPr>
      <w:r>
        <w:rPr>
          <w:spacing w:val="-13"/>
          <w:sz w:val="22"/>
          <w:shd w:fill="D9D9D9" w:color="auto" w:val="clear"/>
        </w:rPr>
        <w:t>相当于 </w:t>
      </w:r>
      <w:r>
        <w:rPr>
          <w:sz w:val="22"/>
          <w:shd w:fill="D9D9D9" w:color="auto" w:val="clear"/>
        </w:rPr>
        <w:t>Binet</w:t>
      </w:r>
      <w:r>
        <w:rPr>
          <w:spacing w:val="-19"/>
          <w:sz w:val="22"/>
          <w:shd w:fill="D9D9D9" w:color="auto" w:val="clear"/>
        </w:rPr>
        <w:t> 分期方案 </w:t>
      </w:r>
      <w:r>
        <w:rPr>
          <w:sz w:val="22"/>
          <w:shd w:fill="D9D9D9" w:color="auto" w:val="clear"/>
        </w:rPr>
        <w:t>A</w:t>
      </w:r>
      <w:r>
        <w:rPr>
          <w:spacing w:val="-9"/>
          <w:sz w:val="22"/>
          <w:shd w:fill="D9D9D9" w:color="auto" w:val="clear"/>
        </w:rPr>
        <w:t> 期程度的慢性淋巴细胞白血病；</w:t>
      </w:r>
    </w:p>
    <w:p>
      <w:pPr>
        <w:pStyle w:val="ListParagraph"/>
        <w:numPr>
          <w:ilvl w:val="3"/>
          <w:numId w:val="17"/>
        </w:numPr>
        <w:tabs>
          <w:tab w:pos="2881" w:val="left" w:leader="none"/>
        </w:tabs>
        <w:spacing w:line="240" w:lineRule="auto" w:before="91" w:after="0"/>
        <w:ind w:left="2427" w:right="0" w:firstLine="0"/>
        <w:jc w:val="left"/>
        <w:rPr>
          <w:sz w:val="22"/>
        </w:rPr>
      </w:pPr>
      <w:r>
        <w:rPr>
          <w:spacing w:val="-14"/>
          <w:sz w:val="22"/>
          <w:shd w:fill="D9D9D9" w:color="auto" w:val="clear"/>
        </w:rPr>
        <w:t>相当于 </w:t>
      </w:r>
      <w:r>
        <w:rPr>
          <w:sz w:val="22"/>
          <w:shd w:fill="D9D9D9" w:color="auto" w:val="clear"/>
        </w:rPr>
        <w:t>Ann</w:t>
      </w:r>
      <w:r>
        <w:rPr>
          <w:spacing w:val="2"/>
          <w:sz w:val="22"/>
          <w:shd w:fill="D9D9D9" w:color="auto" w:val="clear"/>
        </w:rPr>
        <w:t> </w:t>
      </w:r>
      <w:r>
        <w:rPr>
          <w:sz w:val="22"/>
          <w:shd w:fill="D9D9D9" w:color="auto" w:val="clear"/>
        </w:rPr>
        <w:t>Arbor</w:t>
      </w:r>
      <w:r>
        <w:rPr>
          <w:spacing w:val="-19"/>
          <w:sz w:val="22"/>
          <w:shd w:fill="D9D9D9" w:color="auto" w:val="clear"/>
        </w:rPr>
        <w:t> 分期方案 </w:t>
      </w:r>
      <w:r>
        <w:rPr>
          <w:sz w:val="22"/>
          <w:shd w:fill="D9D9D9" w:color="auto" w:val="clear"/>
        </w:rPr>
        <w:t>I</w:t>
      </w:r>
      <w:r>
        <w:rPr>
          <w:spacing w:val="-9"/>
          <w:sz w:val="22"/>
          <w:shd w:fill="D9D9D9" w:color="auto" w:val="clear"/>
        </w:rPr>
        <w:t> 期程度的何杰金氏病；</w:t>
      </w:r>
    </w:p>
    <w:p>
      <w:pPr>
        <w:pStyle w:val="ListParagraph"/>
        <w:numPr>
          <w:ilvl w:val="3"/>
          <w:numId w:val="17"/>
        </w:numPr>
        <w:tabs>
          <w:tab w:pos="2881" w:val="left" w:leader="none"/>
        </w:tabs>
        <w:spacing w:line="240" w:lineRule="auto" w:before="93" w:after="0"/>
        <w:ind w:left="2427" w:right="0" w:firstLine="0"/>
        <w:jc w:val="left"/>
        <w:rPr>
          <w:sz w:val="22"/>
        </w:rPr>
      </w:pPr>
      <w:r>
        <w:rPr>
          <w:sz w:val="22"/>
          <w:shd w:fill="D9D9D9" w:color="auto" w:val="clear"/>
        </w:rPr>
        <w:t>皮肤癌</w:t>
      </w:r>
      <w:r>
        <w:rPr>
          <w:spacing w:val="-3"/>
          <w:sz w:val="22"/>
          <w:shd w:fill="D9D9D9" w:color="auto" w:val="clear"/>
        </w:rPr>
        <w:t>（不包括恶性黑色素瘤及已发生转移的皮肤癌</w:t>
      </w:r>
      <w:r>
        <w:rPr>
          <w:sz w:val="22"/>
          <w:shd w:fill="D9D9D9" w:color="auto" w:val="clear"/>
        </w:rPr>
        <w:t>）；</w:t>
      </w:r>
    </w:p>
    <w:p>
      <w:pPr>
        <w:pStyle w:val="ListParagraph"/>
        <w:numPr>
          <w:ilvl w:val="3"/>
          <w:numId w:val="17"/>
        </w:numPr>
        <w:tabs>
          <w:tab w:pos="2881" w:val="left" w:leader="none"/>
        </w:tabs>
        <w:spacing w:line="240" w:lineRule="auto" w:before="91" w:after="0"/>
        <w:ind w:left="2427" w:right="0" w:firstLine="0"/>
        <w:jc w:val="left"/>
        <w:rPr>
          <w:sz w:val="22"/>
        </w:rPr>
      </w:pPr>
      <w:r>
        <w:rPr>
          <w:position w:val="1"/>
          <w:sz w:val="22"/>
          <w:shd w:fill="D9D9D9" w:color="auto" w:val="clear"/>
        </w:rPr>
        <w:t>TNM</w:t>
      </w:r>
      <w:r>
        <w:rPr>
          <w:spacing w:val="-22"/>
          <w:position w:val="1"/>
          <w:sz w:val="22"/>
          <w:shd w:fill="D9D9D9" w:color="auto" w:val="clear"/>
        </w:rPr>
        <w:t> 分期为 </w:t>
      </w:r>
      <w:r>
        <w:rPr>
          <w:position w:val="1"/>
          <w:sz w:val="22"/>
          <w:shd w:fill="D9D9D9" w:color="auto" w:val="clear"/>
        </w:rPr>
        <w:t>T</w:t>
      </w:r>
      <w:r>
        <w:rPr>
          <w:sz w:val="11"/>
        </w:rPr>
        <w:t>1</w:t>
      </w:r>
      <w:r>
        <w:rPr>
          <w:position w:val="1"/>
          <w:sz w:val="22"/>
          <w:shd w:fill="D9D9D9" w:color="auto" w:val="clear"/>
        </w:rPr>
        <w:t>N</w:t>
      </w:r>
      <w:r>
        <w:rPr>
          <w:sz w:val="11"/>
        </w:rPr>
        <w:t>0</w:t>
      </w:r>
      <w:r>
        <w:rPr>
          <w:position w:val="1"/>
          <w:sz w:val="22"/>
          <w:shd w:fill="D9D9D9" w:color="auto" w:val="clear"/>
        </w:rPr>
        <w:t>M</w:t>
      </w:r>
      <w:r>
        <w:rPr>
          <w:sz w:val="11"/>
        </w:rPr>
        <w:t>0</w:t>
      </w:r>
      <w:r>
        <w:rPr>
          <w:spacing w:val="-27"/>
          <w:position w:val="1"/>
          <w:sz w:val="11"/>
        </w:rPr>
        <w:t> </w:t>
      </w:r>
      <w:r>
        <w:rPr>
          <w:spacing w:val="-3"/>
          <w:position w:val="1"/>
          <w:sz w:val="22"/>
          <w:shd w:fill="D9D9D9" w:color="auto" w:val="clear"/>
        </w:rPr>
        <w:t>期或更轻分期的前列腺癌</w:t>
      </w:r>
      <w:r>
        <w:rPr>
          <w:position w:val="1"/>
          <w:sz w:val="22"/>
          <w:shd w:fill="D9D9D9" w:color="auto" w:val="clear"/>
        </w:rPr>
        <w:t>（</w:t>
      </w:r>
      <w:r>
        <w:rPr>
          <w:spacing w:val="-3"/>
          <w:position w:val="1"/>
          <w:sz w:val="22"/>
          <w:shd w:fill="D9D9D9" w:color="auto" w:val="clear"/>
        </w:rPr>
        <w:t>注</w:t>
      </w:r>
      <w:r>
        <w:rPr>
          <w:position w:val="1"/>
          <w:sz w:val="22"/>
          <w:shd w:fill="D9D9D9" w:color="auto" w:val="clear"/>
        </w:rPr>
        <w:t>）；</w:t>
      </w:r>
    </w:p>
    <w:p>
      <w:pPr>
        <w:pStyle w:val="ListParagraph"/>
        <w:numPr>
          <w:ilvl w:val="3"/>
          <w:numId w:val="17"/>
        </w:numPr>
        <w:tabs>
          <w:tab w:pos="2881" w:val="left" w:leader="none"/>
        </w:tabs>
        <w:spacing w:line="319" w:lineRule="auto" w:before="91" w:after="0"/>
        <w:ind w:left="2427" w:right="2380" w:firstLine="0"/>
        <w:jc w:val="left"/>
        <w:rPr>
          <w:sz w:val="22"/>
        </w:rPr>
      </w:pPr>
      <w:r>
        <w:rPr>
          <w:spacing w:val="-3"/>
          <w:sz w:val="22"/>
          <w:shd w:fill="D9D9D9" w:color="auto" w:val="clear"/>
        </w:rPr>
        <w:t>感染艾滋病病毒或患艾滋病期间所患恶性肿瘤。注：如果为女性重大疾</w:t>
      </w:r>
      <w:r>
        <w:rPr>
          <w:spacing w:val="-221"/>
          <w:sz w:val="22"/>
          <w:shd w:fill="D9D9D9" w:color="auto" w:val="clear"/>
        </w:rPr>
        <w:t>病</w:t>
      </w:r>
      <w:r>
        <w:rPr>
          <w:spacing w:val="-2"/>
          <w:sz w:val="22"/>
          <w:shd w:fill="D9D9D9" w:color="auto" w:val="clear"/>
        </w:rPr>
        <w:t>保险，则不包括此项。</w:t>
      </w:r>
    </w:p>
    <w:p>
      <w:pPr>
        <w:pStyle w:val="BodyText"/>
        <w:spacing w:before="4"/>
        <w:rPr>
          <w:sz w:val="25"/>
        </w:rPr>
      </w:pPr>
    </w:p>
    <w:p>
      <w:pPr>
        <w:pStyle w:val="ListParagraph"/>
        <w:numPr>
          <w:ilvl w:val="2"/>
          <w:numId w:val="17"/>
        </w:numPr>
        <w:tabs>
          <w:tab w:pos="911" w:val="left" w:leader="none"/>
        </w:tabs>
        <w:spacing w:line="283" w:lineRule="auto" w:before="0" w:after="0"/>
        <w:ind w:left="2427" w:right="126" w:hanging="2314"/>
        <w:jc w:val="both"/>
        <w:rPr>
          <w:sz w:val="22"/>
        </w:rPr>
      </w:pPr>
      <w:r>
        <w:rPr>
          <w:rFonts w:ascii="微软雅黑" w:eastAsia="微软雅黑" w:hint="eastAsia"/>
          <w:b/>
          <w:spacing w:val="7"/>
          <w:sz w:val="22"/>
        </w:rPr>
        <w:t>急性心肌梗塞 </w:t>
      </w:r>
      <w:r>
        <w:rPr>
          <w:sz w:val="22"/>
        </w:rPr>
        <w:t>指因冠状动脉阻塞导致的相应区域供血不足造成部分心肌坏死。</w:t>
      </w:r>
      <w:r>
        <w:rPr>
          <w:sz w:val="22"/>
          <w:shd w:fill="D9D9D9" w:color="auto" w:val="clear"/>
        </w:rPr>
        <w:t>须满足下列至少三</w:t>
      </w:r>
      <w:r>
        <w:rPr>
          <w:spacing w:val="-221"/>
          <w:sz w:val="22"/>
          <w:shd w:fill="D9D9D9" w:color="auto" w:val="clear"/>
        </w:rPr>
        <w:t>项</w:t>
      </w:r>
      <w:r>
        <w:rPr>
          <w:sz w:val="22"/>
          <w:shd w:fill="D9D9D9" w:color="auto" w:val="clear"/>
        </w:rPr>
        <w:t>条件</w:t>
      </w:r>
      <w:r>
        <w:rPr>
          <w:sz w:val="22"/>
        </w:rPr>
        <w:t>：</w:t>
      </w:r>
    </w:p>
    <w:p>
      <w:pPr>
        <w:pStyle w:val="ListParagraph"/>
        <w:numPr>
          <w:ilvl w:val="3"/>
          <w:numId w:val="17"/>
        </w:numPr>
        <w:tabs>
          <w:tab w:pos="2881" w:val="left" w:leader="none"/>
        </w:tabs>
        <w:spacing w:line="240" w:lineRule="auto" w:before="51" w:after="0"/>
        <w:ind w:left="2881" w:right="0" w:hanging="454"/>
        <w:jc w:val="left"/>
        <w:rPr>
          <w:sz w:val="22"/>
        </w:rPr>
      </w:pPr>
      <w:r>
        <w:rPr>
          <w:spacing w:val="-3"/>
          <w:sz w:val="22"/>
        </w:rPr>
        <w:t>典型临床表现，例如急性胸痛等；</w:t>
      </w:r>
    </w:p>
    <w:p>
      <w:pPr>
        <w:pStyle w:val="ListParagraph"/>
        <w:numPr>
          <w:ilvl w:val="3"/>
          <w:numId w:val="17"/>
        </w:numPr>
        <w:tabs>
          <w:tab w:pos="2881" w:val="left" w:leader="none"/>
        </w:tabs>
        <w:spacing w:line="240" w:lineRule="auto" w:before="91" w:after="0"/>
        <w:ind w:left="2881" w:right="0" w:hanging="454"/>
        <w:jc w:val="left"/>
        <w:rPr>
          <w:sz w:val="22"/>
        </w:rPr>
      </w:pPr>
      <w:r>
        <w:rPr>
          <w:spacing w:val="-3"/>
          <w:sz w:val="22"/>
        </w:rPr>
        <w:t>新近的心电图改变提示急性心肌梗塞；</w:t>
      </w:r>
    </w:p>
    <w:p>
      <w:pPr>
        <w:pStyle w:val="ListParagraph"/>
        <w:numPr>
          <w:ilvl w:val="3"/>
          <w:numId w:val="17"/>
        </w:numPr>
        <w:tabs>
          <w:tab w:pos="2881" w:val="left" w:leader="none"/>
        </w:tabs>
        <w:spacing w:line="316" w:lineRule="auto" w:before="94" w:after="0"/>
        <w:ind w:left="2881" w:right="127" w:hanging="454"/>
        <w:jc w:val="left"/>
        <w:rPr>
          <w:sz w:val="22"/>
        </w:rPr>
      </w:pPr>
      <w:r>
        <w:rPr>
          <w:sz w:val="22"/>
        </w:rPr>
        <w:t>心肌酶或肌钙蛋白有诊断意义的升高，或呈符合急性心肌梗塞的动态性</w:t>
      </w:r>
      <w:r>
        <w:rPr>
          <w:spacing w:val="-3"/>
          <w:sz w:val="22"/>
        </w:rPr>
        <w:t>变化；</w:t>
      </w:r>
    </w:p>
    <w:p>
      <w:pPr>
        <w:pStyle w:val="ListParagraph"/>
        <w:numPr>
          <w:ilvl w:val="3"/>
          <w:numId w:val="17"/>
        </w:numPr>
        <w:tabs>
          <w:tab w:pos="2881" w:val="left" w:leader="none"/>
        </w:tabs>
        <w:spacing w:line="240" w:lineRule="auto" w:before="21" w:after="0"/>
        <w:ind w:left="2881" w:right="0" w:hanging="454"/>
        <w:jc w:val="left"/>
        <w:rPr>
          <w:sz w:val="22"/>
        </w:rPr>
      </w:pPr>
      <w:r>
        <w:rPr>
          <w:spacing w:val="15"/>
          <w:sz w:val="22"/>
        </w:rPr>
        <w:t>发病</w:t>
      </w:r>
      <w:r>
        <w:rPr>
          <w:spacing w:val="6"/>
          <w:sz w:val="22"/>
        </w:rPr>
        <w:t>90</w:t>
      </w:r>
      <w:r>
        <w:rPr>
          <w:spacing w:val="15"/>
          <w:sz w:val="22"/>
        </w:rPr>
        <w:t>天后，经检查证实左心室功能降低，如左心室射血分数低于</w:t>
      </w:r>
    </w:p>
    <w:p>
      <w:pPr>
        <w:pStyle w:val="BodyText"/>
        <w:spacing w:before="94"/>
        <w:ind w:left="2881"/>
      </w:pPr>
      <w:r>
        <w:rPr/>
        <w:t>50%。</w:t>
      </w:r>
    </w:p>
    <w:p>
      <w:pPr>
        <w:pStyle w:val="BodyText"/>
        <w:spacing w:before="12"/>
        <w:rPr>
          <w:sz w:val="30"/>
        </w:rPr>
      </w:pPr>
    </w:p>
    <w:p>
      <w:pPr>
        <w:pStyle w:val="ListParagraph"/>
        <w:numPr>
          <w:ilvl w:val="2"/>
          <w:numId w:val="17"/>
        </w:numPr>
        <w:tabs>
          <w:tab w:pos="911" w:val="left" w:leader="none"/>
        </w:tabs>
        <w:spacing w:line="297" w:lineRule="auto" w:before="0" w:after="0"/>
        <w:ind w:left="2427" w:right="130" w:hanging="2314"/>
        <w:jc w:val="both"/>
        <w:rPr>
          <w:sz w:val="22"/>
        </w:rPr>
      </w:pPr>
      <w:r>
        <w:rPr>
          <w:rFonts w:ascii="微软雅黑" w:eastAsia="微软雅黑" w:hint="eastAsia"/>
          <w:b/>
          <w:spacing w:val="7"/>
          <w:sz w:val="22"/>
        </w:rPr>
        <w:t>脑中风后遗症 </w:t>
      </w:r>
      <w:r>
        <w:rPr>
          <w:sz w:val="22"/>
        </w:rPr>
        <w:t>指因脑血管的突发病变引起脑血管出血、栓塞或梗塞，并导致神经系统永久</w:t>
      </w:r>
      <w:r>
        <w:rPr>
          <w:spacing w:val="-4"/>
          <w:sz w:val="22"/>
        </w:rPr>
        <w:t>性的功能障碍。神经系统永久性的功能障碍，指疾病确诊 </w:t>
      </w:r>
      <w:r>
        <w:rPr>
          <w:sz w:val="22"/>
        </w:rPr>
        <w:t>180</w:t>
      </w:r>
      <w:r>
        <w:rPr>
          <w:spacing w:val="-4"/>
          <w:sz w:val="22"/>
        </w:rPr>
        <w:t> 天后，仍遗留下列一种或一种以上障碍：</w:t>
      </w:r>
    </w:p>
    <w:p>
      <w:pPr>
        <w:pStyle w:val="ListParagraph"/>
        <w:numPr>
          <w:ilvl w:val="3"/>
          <w:numId w:val="17"/>
        </w:numPr>
        <w:tabs>
          <w:tab w:pos="2881" w:val="left" w:leader="none"/>
        </w:tabs>
        <w:spacing w:line="240" w:lineRule="auto" w:before="38" w:after="0"/>
        <w:ind w:left="2881" w:right="0" w:hanging="454"/>
        <w:jc w:val="left"/>
        <w:rPr>
          <w:sz w:val="22"/>
        </w:rPr>
      </w:pPr>
      <w:r>
        <w:rPr>
          <w:spacing w:val="-2"/>
          <w:sz w:val="22"/>
        </w:rPr>
        <w:t>一肢或一肢以上</w:t>
      </w:r>
      <w:r>
        <w:rPr>
          <w:b/>
          <w:sz w:val="22"/>
        </w:rPr>
        <w:t>肢体机能完全丧失</w:t>
      </w:r>
      <w:r>
        <w:rPr>
          <w:sz w:val="22"/>
        </w:rPr>
        <w:t>；</w:t>
      </w:r>
    </w:p>
    <w:p>
      <w:pPr>
        <w:pStyle w:val="Heading4"/>
        <w:numPr>
          <w:ilvl w:val="3"/>
          <w:numId w:val="17"/>
        </w:numPr>
        <w:tabs>
          <w:tab w:pos="2881" w:val="left" w:leader="none"/>
        </w:tabs>
        <w:spacing w:line="240" w:lineRule="auto" w:before="93" w:after="0"/>
        <w:ind w:left="2881" w:right="0" w:hanging="454"/>
        <w:jc w:val="left"/>
        <w:rPr>
          <w:rFonts w:ascii="宋体" w:eastAsia="宋体" w:hint="eastAsia"/>
          <w:b w:val="0"/>
        </w:rPr>
      </w:pPr>
      <w:r>
        <w:rPr>
          <w:rFonts w:ascii="宋体" w:eastAsia="宋体" w:hint="eastAsia"/>
        </w:rPr>
        <w:t>语言能力或咀嚼吞咽能力完全丧失</w:t>
      </w:r>
      <w:r>
        <w:rPr>
          <w:rFonts w:ascii="宋体" w:eastAsia="宋体" w:hint="eastAsia"/>
          <w:b w:val="0"/>
        </w:rPr>
        <w:t>；</w:t>
      </w:r>
    </w:p>
    <w:p>
      <w:pPr>
        <w:pStyle w:val="ListParagraph"/>
        <w:numPr>
          <w:ilvl w:val="3"/>
          <w:numId w:val="17"/>
        </w:numPr>
        <w:tabs>
          <w:tab w:pos="2881" w:val="left" w:leader="none"/>
        </w:tabs>
        <w:spacing w:line="316" w:lineRule="auto" w:before="91" w:after="0"/>
        <w:ind w:left="2881" w:right="126" w:hanging="454"/>
        <w:jc w:val="left"/>
        <w:rPr>
          <w:sz w:val="22"/>
        </w:rPr>
      </w:pPr>
      <w:r>
        <w:rPr>
          <w:sz w:val="22"/>
        </w:rPr>
        <w:t>自主生活能力完全丧失，无法独立完成</w:t>
      </w:r>
      <w:r>
        <w:rPr>
          <w:b/>
          <w:sz w:val="22"/>
        </w:rPr>
        <w:t>六项基本日常生活活动</w:t>
      </w:r>
      <w:r>
        <w:rPr>
          <w:sz w:val="22"/>
        </w:rPr>
        <w:t>中的三项</w:t>
      </w:r>
      <w:r>
        <w:rPr>
          <w:spacing w:val="-1"/>
          <w:sz w:val="22"/>
        </w:rPr>
        <w:t>或三项以上。</w:t>
      </w:r>
    </w:p>
    <w:p>
      <w:pPr>
        <w:spacing w:after="0" w:line="316" w:lineRule="auto"/>
        <w:jc w:val="left"/>
        <w:rPr>
          <w:sz w:val="22"/>
        </w:rPr>
        <w:sectPr>
          <w:pgSz w:w="11910" w:h="16840"/>
          <w:pgMar w:header="484" w:footer="479" w:top="680" w:bottom="660" w:left="1020" w:right="100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sz w:val="2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0"/>
        <w:gridCol w:w="1489"/>
        <w:gridCol w:w="7628"/>
      </w:tblGrid>
      <w:tr>
        <w:trPr>
          <w:trHeight w:val="2026" w:hRule="atLeast"/>
        </w:trPr>
        <w:tc>
          <w:tcPr>
            <w:tcW w:w="930" w:type="dxa"/>
          </w:tcPr>
          <w:p>
            <w:pPr>
              <w:pStyle w:val="TableParagraph"/>
              <w:spacing w:line="253" w:lineRule="exact"/>
              <w:ind w:left="200"/>
              <w:rPr>
                <w:sz w:val="22"/>
              </w:rPr>
            </w:pPr>
            <w:r>
              <w:rPr>
                <w:sz w:val="22"/>
              </w:rPr>
              <w:t>9.4.4</w:t>
            </w:r>
          </w:p>
        </w:tc>
        <w:tc>
          <w:tcPr>
            <w:tcW w:w="1489" w:type="dxa"/>
          </w:tcPr>
          <w:p>
            <w:pPr>
              <w:pStyle w:val="TableParagraph"/>
              <w:spacing w:line="280" w:lineRule="exact"/>
              <w:ind w:left="66"/>
              <w:rPr>
                <w:rFonts w:ascii="微软雅黑" w:eastAsia="微软雅黑" w:hint="eastAsia"/>
                <w:b/>
                <w:sz w:val="22"/>
              </w:rPr>
            </w:pPr>
            <w:r>
              <w:rPr>
                <w:rFonts w:ascii="微软雅黑" w:eastAsia="微软雅黑" w:hint="eastAsia"/>
                <w:b/>
                <w:sz w:val="22"/>
              </w:rPr>
              <w:t>重大器官移植</w:t>
            </w:r>
          </w:p>
          <w:p>
            <w:pPr>
              <w:pStyle w:val="TableParagraph"/>
              <w:ind w:left="66" w:right="95"/>
              <w:rPr>
                <w:rFonts w:ascii="微软雅黑" w:eastAsia="微软雅黑" w:hint="eastAsia"/>
                <w:b/>
                <w:sz w:val="22"/>
              </w:rPr>
            </w:pPr>
            <w:r>
              <w:rPr>
                <w:rFonts w:ascii="微软雅黑" w:eastAsia="微软雅黑" w:hint="eastAsia"/>
                <w:b/>
                <w:sz w:val="22"/>
              </w:rPr>
              <w:t>术或造血干细胞移植术</w:t>
            </w:r>
          </w:p>
        </w:tc>
        <w:tc>
          <w:tcPr>
            <w:tcW w:w="7628" w:type="dxa"/>
          </w:tcPr>
          <w:p>
            <w:pPr>
              <w:pStyle w:val="TableParagraph"/>
              <w:spacing w:line="253" w:lineRule="exact"/>
              <w:ind w:left="95"/>
              <w:rPr>
                <w:sz w:val="22"/>
              </w:rPr>
            </w:pPr>
            <w:r>
              <w:rPr>
                <w:sz w:val="22"/>
              </w:rPr>
              <w:t>重大器官移植术，指因相应器官功能衰竭，已经实施了肾脏、肝脏、心脏或</w:t>
            </w:r>
          </w:p>
          <w:p>
            <w:pPr>
              <w:pStyle w:val="TableParagraph"/>
              <w:spacing w:before="91"/>
              <w:ind w:left="95"/>
              <w:rPr>
                <w:sz w:val="22"/>
              </w:rPr>
            </w:pPr>
            <w:r>
              <w:rPr>
                <w:sz w:val="22"/>
              </w:rPr>
              <w:t>肺脏的异体移植手术。</w:t>
            </w:r>
          </w:p>
          <w:p>
            <w:pPr>
              <w:pStyle w:val="TableParagraph"/>
              <w:spacing w:line="316" w:lineRule="auto" w:before="93"/>
              <w:ind w:left="95" w:right="204"/>
              <w:jc w:val="both"/>
              <w:rPr>
                <w:sz w:val="22"/>
              </w:rPr>
            </w:pPr>
            <w:r>
              <w:rPr>
                <w:sz w:val="22"/>
              </w:rPr>
              <w:t>造血干细胞移植术，指因造血功能损害或造血系统恶性肿瘤，已经实施了造血干细胞（包括骨髓造血干细胞、外周血造血干细胞和脐血造血干细胞）的异体移植手术。</w:t>
            </w:r>
          </w:p>
        </w:tc>
      </w:tr>
      <w:tr>
        <w:trPr>
          <w:trHeight w:val="1920" w:hRule="atLeast"/>
        </w:trPr>
        <w:tc>
          <w:tcPr>
            <w:tcW w:w="930" w:type="dxa"/>
          </w:tcPr>
          <w:p>
            <w:pPr>
              <w:pStyle w:val="TableParagraph"/>
              <w:rPr>
                <w:rFonts w:ascii="Times New Roman"/>
                <w:sz w:val="19"/>
              </w:rPr>
            </w:pPr>
          </w:p>
          <w:p>
            <w:pPr>
              <w:pStyle w:val="TableParagraph"/>
              <w:ind w:left="200"/>
              <w:rPr>
                <w:sz w:val="22"/>
              </w:rPr>
            </w:pPr>
            <w:r>
              <w:rPr>
                <w:sz w:val="22"/>
              </w:rPr>
              <w:t>9.4.5</w:t>
            </w:r>
          </w:p>
        </w:tc>
        <w:tc>
          <w:tcPr>
            <w:tcW w:w="1489" w:type="dxa"/>
          </w:tcPr>
          <w:p>
            <w:pPr>
              <w:pStyle w:val="TableParagraph"/>
              <w:spacing w:before="153"/>
              <w:ind w:left="66" w:right="95"/>
              <w:jc w:val="both"/>
              <w:rPr>
                <w:rFonts w:ascii="微软雅黑" w:eastAsia="微软雅黑" w:hint="eastAsia"/>
                <w:b/>
                <w:sz w:val="22"/>
              </w:rPr>
            </w:pPr>
            <w:r>
              <w:rPr>
                <w:rFonts w:ascii="微软雅黑" w:eastAsia="微软雅黑" w:hint="eastAsia"/>
                <w:b/>
                <w:sz w:val="22"/>
              </w:rPr>
              <w:t>冠状动脉搭桥术（或称冠状动脉旁路移植术）</w:t>
            </w:r>
          </w:p>
        </w:tc>
        <w:tc>
          <w:tcPr>
            <w:tcW w:w="7628" w:type="dxa"/>
          </w:tcPr>
          <w:p>
            <w:pPr>
              <w:pStyle w:val="TableParagraph"/>
              <w:rPr>
                <w:rFonts w:ascii="Times New Roman"/>
                <w:sz w:val="19"/>
              </w:rPr>
            </w:pPr>
          </w:p>
          <w:p>
            <w:pPr>
              <w:pStyle w:val="TableParagraph"/>
              <w:spacing w:line="316" w:lineRule="auto"/>
              <w:ind w:left="95" w:right="204"/>
              <w:rPr>
                <w:sz w:val="22"/>
              </w:rPr>
            </w:pPr>
            <w:r>
              <w:rPr>
                <w:sz w:val="22"/>
              </w:rPr>
              <w:t>指为治疗严重的冠心病，实际实施了开胸进行的冠状动脉血管旁路移植的手术。</w:t>
            </w:r>
          </w:p>
          <w:p>
            <w:pPr>
              <w:pStyle w:val="TableParagraph"/>
              <w:spacing w:line="316" w:lineRule="auto" w:before="22"/>
              <w:ind w:left="95" w:right="201"/>
              <w:rPr>
                <w:sz w:val="22"/>
              </w:rPr>
            </w:pPr>
            <w:r>
              <w:rPr>
                <w:sz w:val="22"/>
                <w:shd w:fill="D9D9D9" w:color="auto" w:val="clear"/>
              </w:rPr>
              <w:t>冠状动脉支架植入术、心导管球囊扩张术、激光射频技术及其它非开胸的介入手术、腔镜手术不在保障范围内。</w:t>
            </w:r>
          </w:p>
        </w:tc>
      </w:tr>
      <w:tr>
        <w:trPr>
          <w:trHeight w:val="1899" w:hRule="atLeast"/>
        </w:trPr>
        <w:tc>
          <w:tcPr>
            <w:tcW w:w="930" w:type="dxa"/>
          </w:tcPr>
          <w:p>
            <w:pPr>
              <w:pStyle w:val="TableParagraph"/>
              <w:spacing w:before="4"/>
              <w:rPr>
                <w:rFonts w:ascii="Times New Roman"/>
                <w:sz w:val="17"/>
              </w:rPr>
            </w:pPr>
          </w:p>
          <w:p>
            <w:pPr>
              <w:pStyle w:val="TableParagraph"/>
              <w:ind w:left="200"/>
              <w:rPr>
                <w:sz w:val="22"/>
              </w:rPr>
            </w:pPr>
            <w:r>
              <w:rPr>
                <w:sz w:val="22"/>
              </w:rPr>
              <w:t>9.4.6</w:t>
            </w:r>
          </w:p>
        </w:tc>
        <w:tc>
          <w:tcPr>
            <w:tcW w:w="1489" w:type="dxa"/>
          </w:tcPr>
          <w:p>
            <w:pPr>
              <w:pStyle w:val="TableParagraph"/>
              <w:spacing w:line="380" w:lineRule="exact" w:before="134"/>
              <w:ind w:left="66"/>
              <w:rPr>
                <w:rFonts w:ascii="微软雅黑" w:eastAsia="微软雅黑" w:hint="eastAsia"/>
                <w:b/>
                <w:sz w:val="22"/>
              </w:rPr>
            </w:pPr>
            <w:r>
              <w:rPr>
                <w:rFonts w:ascii="微软雅黑" w:eastAsia="微软雅黑" w:hint="eastAsia"/>
                <w:b/>
                <w:sz w:val="22"/>
              </w:rPr>
              <w:t>终末期肾病</w:t>
            </w:r>
          </w:p>
          <w:p>
            <w:pPr>
              <w:pStyle w:val="TableParagraph"/>
              <w:ind w:left="66" w:right="95"/>
              <w:jc w:val="both"/>
              <w:rPr>
                <w:rFonts w:ascii="微软雅黑" w:eastAsia="微软雅黑" w:hint="eastAsia"/>
                <w:b/>
                <w:sz w:val="22"/>
              </w:rPr>
            </w:pPr>
            <w:r>
              <w:rPr>
                <w:rFonts w:ascii="微软雅黑" w:eastAsia="微软雅黑" w:hint="eastAsia"/>
                <w:b/>
                <w:sz w:val="22"/>
              </w:rPr>
              <w:t>（或称慢性肾功能衰竭尿毒症期）</w:t>
            </w:r>
          </w:p>
        </w:tc>
        <w:tc>
          <w:tcPr>
            <w:tcW w:w="7628" w:type="dxa"/>
          </w:tcPr>
          <w:p>
            <w:pPr>
              <w:pStyle w:val="TableParagraph"/>
              <w:spacing w:before="4"/>
              <w:rPr>
                <w:rFonts w:ascii="Times New Roman"/>
                <w:sz w:val="17"/>
              </w:rPr>
            </w:pPr>
          </w:p>
          <w:p>
            <w:pPr>
              <w:pStyle w:val="TableParagraph"/>
              <w:spacing w:line="316" w:lineRule="auto"/>
              <w:ind w:left="95" w:right="144"/>
              <w:rPr>
                <w:sz w:val="22"/>
              </w:rPr>
            </w:pPr>
            <w:r>
              <w:rPr>
                <w:sz w:val="22"/>
              </w:rPr>
              <w:t>指双肾功能慢性不可逆性衰竭，达到尿毒症期，经诊断后已经进行了至少 90 天的规律性透析治疗或实施了肾脏移植手术。</w:t>
            </w:r>
          </w:p>
        </w:tc>
      </w:tr>
      <w:tr>
        <w:trPr>
          <w:trHeight w:val="1120" w:hRule="atLeast"/>
        </w:trPr>
        <w:tc>
          <w:tcPr>
            <w:tcW w:w="930" w:type="dxa"/>
          </w:tcPr>
          <w:p>
            <w:pPr>
              <w:pStyle w:val="TableParagraph"/>
              <w:spacing w:before="3"/>
              <w:rPr>
                <w:rFonts w:ascii="Times New Roman"/>
                <w:sz w:val="17"/>
              </w:rPr>
            </w:pPr>
          </w:p>
          <w:p>
            <w:pPr>
              <w:pStyle w:val="TableParagraph"/>
              <w:ind w:left="200"/>
              <w:rPr>
                <w:sz w:val="22"/>
              </w:rPr>
            </w:pPr>
            <w:r>
              <w:rPr>
                <w:sz w:val="22"/>
              </w:rPr>
              <w:t>9.4.7</w:t>
            </w:r>
          </w:p>
        </w:tc>
        <w:tc>
          <w:tcPr>
            <w:tcW w:w="1489" w:type="dxa"/>
          </w:tcPr>
          <w:p>
            <w:pPr>
              <w:pStyle w:val="TableParagraph"/>
              <w:spacing w:before="133"/>
              <w:ind w:left="66"/>
              <w:rPr>
                <w:rFonts w:ascii="微软雅黑" w:eastAsia="微软雅黑" w:hint="eastAsia"/>
                <w:b/>
                <w:sz w:val="22"/>
              </w:rPr>
            </w:pPr>
            <w:r>
              <w:rPr>
                <w:rFonts w:ascii="微软雅黑" w:eastAsia="微软雅黑" w:hint="eastAsia"/>
                <w:b/>
                <w:sz w:val="22"/>
              </w:rPr>
              <w:t>多个肢体缺失</w:t>
            </w:r>
          </w:p>
        </w:tc>
        <w:tc>
          <w:tcPr>
            <w:tcW w:w="7628" w:type="dxa"/>
          </w:tcPr>
          <w:p>
            <w:pPr>
              <w:pStyle w:val="TableParagraph"/>
              <w:spacing w:before="3"/>
              <w:rPr>
                <w:rFonts w:ascii="Times New Roman"/>
                <w:sz w:val="17"/>
              </w:rPr>
            </w:pPr>
          </w:p>
          <w:p>
            <w:pPr>
              <w:pStyle w:val="TableParagraph"/>
              <w:spacing w:line="319" w:lineRule="auto"/>
              <w:ind w:left="95" w:right="204"/>
              <w:rPr>
                <w:sz w:val="22"/>
              </w:rPr>
            </w:pPr>
            <w:r>
              <w:rPr>
                <w:sz w:val="22"/>
              </w:rPr>
              <w:t>指因疾病或意外伤害导致两个或两个以上肢体自腕关节或踝关节近端（靠近躯干端）以上完全性断离。</w:t>
            </w:r>
          </w:p>
        </w:tc>
      </w:tr>
      <w:tr>
        <w:trPr>
          <w:trHeight w:val="2661" w:hRule="atLeast"/>
        </w:trPr>
        <w:tc>
          <w:tcPr>
            <w:tcW w:w="930" w:type="dxa"/>
          </w:tcPr>
          <w:p>
            <w:pPr>
              <w:pStyle w:val="TableParagraph"/>
              <w:spacing w:before="10"/>
              <w:rPr>
                <w:rFonts w:ascii="Times New Roman"/>
                <w:sz w:val="18"/>
              </w:rPr>
            </w:pPr>
          </w:p>
          <w:p>
            <w:pPr>
              <w:pStyle w:val="TableParagraph"/>
              <w:spacing w:before="1"/>
              <w:ind w:left="200"/>
              <w:rPr>
                <w:sz w:val="22"/>
              </w:rPr>
            </w:pPr>
            <w:r>
              <w:rPr>
                <w:sz w:val="22"/>
              </w:rPr>
              <w:t>9.4.8</w:t>
            </w:r>
          </w:p>
        </w:tc>
        <w:tc>
          <w:tcPr>
            <w:tcW w:w="1489" w:type="dxa"/>
          </w:tcPr>
          <w:p>
            <w:pPr>
              <w:pStyle w:val="TableParagraph"/>
              <w:spacing w:before="152"/>
              <w:ind w:left="66" w:right="95"/>
              <w:rPr>
                <w:rFonts w:ascii="微软雅黑" w:eastAsia="微软雅黑" w:hint="eastAsia"/>
                <w:b/>
                <w:sz w:val="22"/>
              </w:rPr>
            </w:pPr>
            <w:r>
              <w:rPr>
                <w:rFonts w:ascii="微软雅黑" w:eastAsia="微软雅黑" w:hint="eastAsia"/>
                <w:b/>
                <w:sz w:val="22"/>
              </w:rPr>
              <w:t>急性或亚急性重症肝炎</w:t>
            </w:r>
          </w:p>
        </w:tc>
        <w:tc>
          <w:tcPr>
            <w:tcW w:w="7628" w:type="dxa"/>
          </w:tcPr>
          <w:p>
            <w:pPr>
              <w:pStyle w:val="TableParagraph"/>
              <w:spacing w:before="10"/>
              <w:rPr>
                <w:rFonts w:ascii="Times New Roman"/>
                <w:sz w:val="18"/>
              </w:rPr>
            </w:pPr>
          </w:p>
          <w:p>
            <w:pPr>
              <w:pStyle w:val="TableParagraph"/>
              <w:spacing w:line="319" w:lineRule="auto" w:before="1"/>
              <w:ind w:left="95" w:right="204"/>
              <w:rPr>
                <w:sz w:val="22"/>
              </w:rPr>
            </w:pPr>
            <w:r>
              <w:rPr>
                <w:sz w:val="22"/>
              </w:rPr>
              <w:t>指因肝炎病毒感染引起肝脏组织弥漫性坏死，导致急性肝功能衰竭，且经血清学或病毒学检查证实，</w:t>
            </w:r>
            <w:r>
              <w:rPr>
                <w:sz w:val="22"/>
                <w:shd w:fill="D9D9D9" w:color="auto" w:val="clear"/>
              </w:rPr>
              <w:t>并须满足下列全部条件</w:t>
            </w:r>
            <w:r>
              <w:rPr>
                <w:sz w:val="22"/>
              </w:rPr>
              <w:t>：</w:t>
            </w:r>
          </w:p>
          <w:p>
            <w:pPr>
              <w:pStyle w:val="TableParagraph"/>
              <w:numPr>
                <w:ilvl w:val="0"/>
                <w:numId w:val="18"/>
              </w:numPr>
              <w:tabs>
                <w:tab w:pos="549" w:val="left" w:leader="none"/>
              </w:tabs>
              <w:spacing w:line="240" w:lineRule="auto" w:before="18" w:after="0"/>
              <w:ind w:left="548" w:right="0" w:hanging="453"/>
              <w:jc w:val="left"/>
              <w:rPr>
                <w:sz w:val="22"/>
              </w:rPr>
            </w:pPr>
            <w:r>
              <w:rPr>
                <w:spacing w:val="-3"/>
                <w:sz w:val="22"/>
              </w:rPr>
              <w:t>重度黄疸或黄疸迅速加重；</w:t>
            </w:r>
          </w:p>
          <w:p>
            <w:pPr>
              <w:pStyle w:val="TableParagraph"/>
              <w:numPr>
                <w:ilvl w:val="0"/>
                <w:numId w:val="18"/>
              </w:numPr>
              <w:tabs>
                <w:tab w:pos="549" w:val="left" w:leader="none"/>
              </w:tabs>
              <w:spacing w:line="240" w:lineRule="auto" w:before="90" w:after="0"/>
              <w:ind w:left="548" w:right="0" w:hanging="453"/>
              <w:jc w:val="left"/>
              <w:rPr>
                <w:sz w:val="22"/>
              </w:rPr>
            </w:pPr>
            <w:r>
              <w:rPr>
                <w:spacing w:val="-1"/>
                <w:sz w:val="22"/>
              </w:rPr>
              <w:t>肝性脑病；</w:t>
            </w:r>
          </w:p>
          <w:p>
            <w:pPr>
              <w:pStyle w:val="TableParagraph"/>
              <w:numPr>
                <w:ilvl w:val="0"/>
                <w:numId w:val="18"/>
              </w:numPr>
              <w:tabs>
                <w:tab w:pos="549" w:val="left" w:leader="none"/>
              </w:tabs>
              <w:spacing w:line="240" w:lineRule="auto" w:before="93" w:after="0"/>
              <w:ind w:left="548" w:right="0" w:hanging="453"/>
              <w:jc w:val="left"/>
              <w:rPr>
                <w:sz w:val="22"/>
              </w:rPr>
            </w:pPr>
            <w:r>
              <w:rPr>
                <w:sz w:val="22"/>
              </w:rPr>
              <w:t>B</w:t>
            </w:r>
            <w:r>
              <w:rPr>
                <w:spacing w:val="-8"/>
                <w:sz w:val="22"/>
              </w:rPr>
              <w:t> 超或其它影像学检查显示肝脏体积急速萎缩；</w:t>
            </w:r>
          </w:p>
          <w:p>
            <w:pPr>
              <w:pStyle w:val="TableParagraph"/>
              <w:numPr>
                <w:ilvl w:val="0"/>
                <w:numId w:val="18"/>
              </w:numPr>
              <w:tabs>
                <w:tab w:pos="549" w:val="left" w:leader="none"/>
              </w:tabs>
              <w:spacing w:line="240" w:lineRule="auto" w:before="90" w:after="0"/>
              <w:ind w:left="548" w:right="0" w:hanging="453"/>
              <w:jc w:val="left"/>
              <w:rPr>
                <w:sz w:val="22"/>
              </w:rPr>
            </w:pPr>
            <w:r>
              <w:rPr>
                <w:spacing w:val="-3"/>
                <w:sz w:val="22"/>
              </w:rPr>
              <w:t>肝功能指标进行性恶化。</w:t>
            </w:r>
          </w:p>
        </w:tc>
      </w:tr>
      <w:tr>
        <w:trPr>
          <w:trHeight w:val="3039" w:hRule="atLeast"/>
        </w:trPr>
        <w:tc>
          <w:tcPr>
            <w:tcW w:w="930" w:type="dxa"/>
          </w:tcPr>
          <w:p>
            <w:pPr>
              <w:pStyle w:val="TableParagraph"/>
              <w:rPr>
                <w:rFonts w:ascii="Times New Roman"/>
                <w:sz w:val="19"/>
              </w:rPr>
            </w:pPr>
          </w:p>
          <w:p>
            <w:pPr>
              <w:pStyle w:val="TableParagraph"/>
              <w:ind w:left="200"/>
              <w:rPr>
                <w:sz w:val="22"/>
              </w:rPr>
            </w:pPr>
            <w:r>
              <w:rPr>
                <w:sz w:val="22"/>
              </w:rPr>
              <w:t>9.4.9</w:t>
            </w:r>
          </w:p>
        </w:tc>
        <w:tc>
          <w:tcPr>
            <w:tcW w:w="1489" w:type="dxa"/>
          </w:tcPr>
          <w:p>
            <w:pPr>
              <w:pStyle w:val="TableParagraph"/>
              <w:spacing w:before="153"/>
              <w:ind w:left="66"/>
              <w:rPr>
                <w:rFonts w:ascii="微软雅黑" w:eastAsia="微软雅黑" w:hint="eastAsia"/>
                <w:b/>
                <w:sz w:val="22"/>
              </w:rPr>
            </w:pPr>
            <w:r>
              <w:rPr>
                <w:rFonts w:ascii="微软雅黑" w:eastAsia="微软雅黑" w:hint="eastAsia"/>
                <w:b/>
                <w:sz w:val="22"/>
              </w:rPr>
              <w:t>良性脑肿瘤</w:t>
            </w:r>
          </w:p>
        </w:tc>
        <w:tc>
          <w:tcPr>
            <w:tcW w:w="7628" w:type="dxa"/>
          </w:tcPr>
          <w:p>
            <w:pPr>
              <w:pStyle w:val="TableParagraph"/>
              <w:rPr>
                <w:rFonts w:ascii="Times New Roman"/>
                <w:sz w:val="19"/>
              </w:rPr>
            </w:pPr>
          </w:p>
          <w:p>
            <w:pPr>
              <w:pStyle w:val="TableParagraph"/>
              <w:spacing w:line="316" w:lineRule="auto"/>
              <w:ind w:left="95" w:right="200"/>
              <w:jc w:val="both"/>
              <w:rPr>
                <w:sz w:val="22"/>
              </w:rPr>
            </w:pPr>
            <w:r>
              <w:rPr>
                <w:sz w:val="22"/>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TableParagraph"/>
              <w:numPr>
                <w:ilvl w:val="0"/>
                <w:numId w:val="19"/>
              </w:numPr>
              <w:tabs>
                <w:tab w:pos="549" w:val="left" w:leader="none"/>
              </w:tabs>
              <w:spacing w:line="240" w:lineRule="auto" w:before="20" w:after="0"/>
              <w:ind w:left="548" w:right="0" w:hanging="453"/>
              <w:jc w:val="both"/>
              <w:rPr>
                <w:sz w:val="22"/>
              </w:rPr>
            </w:pPr>
            <w:r>
              <w:rPr>
                <w:spacing w:val="-3"/>
                <w:sz w:val="22"/>
              </w:rPr>
              <w:t>实际实施了开颅进行的脑肿瘤完全切除或部分切除的手术；</w:t>
            </w:r>
          </w:p>
          <w:p>
            <w:pPr>
              <w:pStyle w:val="TableParagraph"/>
              <w:numPr>
                <w:ilvl w:val="0"/>
                <w:numId w:val="19"/>
              </w:numPr>
              <w:tabs>
                <w:tab w:pos="549" w:val="left" w:leader="none"/>
              </w:tabs>
              <w:spacing w:line="240" w:lineRule="auto" w:before="91" w:after="0"/>
              <w:ind w:left="548" w:right="0" w:hanging="453"/>
              <w:jc w:val="both"/>
              <w:rPr>
                <w:sz w:val="22"/>
              </w:rPr>
            </w:pPr>
            <w:r>
              <w:rPr>
                <w:spacing w:val="-3"/>
                <w:sz w:val="22"/>
              </w:rPr>
              <w:t>实际实施了对脑肿瘤进行的放射治疗。</w:t>
            </w:r>
          </w:p>
          <w:p>
            <w:pPr>
              <w:pStyle w:val="TableParagraph"/>
              <w:spacing w:before="93"/>
              <w:ind w:left="95"/>
              <w:jc w:val="both"/>
              <w:rPr>
                <w:sz w:val="22"/>
              </w:rPr>
            </w:pPr>
            <w:r>
              <w:rPr>
                <w:sz w:val="22"/>
                <w:shd w:fill="D9D9D9" w:color="auto" w:val="clear"/>
              </w:rPr>
              <w:t>脑垂体瘤、脑囊肿、脑血管性疾病不在保障范围内。</w:t>
            </w:r>
          </w:p>
        </w:tc>
      </w:tr>
      <w:tr>
        <w:trPr>
          <w:trHeight w:val="545" w:hRule="atLeast"/>
        </w:trPr>
        <w:tc>
          <w:tcPr>
            <w:tcW w:w="930" w:type="dxa"/>
          </w:tcPr>
          <w:p>
            <w:pPr>
              <w:pStyle w:val="TableParagraph"/>
              <w:spacing w:before="10"/>
              <w:rPr>
                <w:rFonts w:ascii="Times New Roman"/>
                <w:sz w:val="18"/>
              </w:rPr>
            </w:pPr>
          </w:p>
          <w:p>
            <w:pPr>
              <w:pStyle w:val="TableParagraph"/>
              <w:spacing w:before="1"/>
              <w:ind w:left="200"/>
              <w:rPr>
                <w:sz w:val="22"/>
              </w:rPr>
            </w:pPr>
            <w:r>
              <w:rPr>
                <w:sz w:val="22"/>
              </w:rPr>
              <w:t>9.4.10</w:t>
            </w:r>
          </w:p>
        </w:tc>
        <w:tc>
          <w:tcPr>
            <w:tcW w:w="1489" w:type="dxa"/>
          </w:tcPr>
          <w:p>
            <w:pPr>
              <w:pStyle w:val="TableParagraph"/>
              <w:spacing w:line="373" w:lineRule="exact" w:before="152"/>
              <w:ind w:left="66"/>
              <w:rPr>
                <w:rFonts w:ascii="微软雅黑" w:eastAsia="微软雅黑" w:hint="eastAsia"/>
                <w:b/>
                <w:sz w:val="22"/>
              </w:rPr>
            </w:pPr>
            <w:r>
              <w:rPr>
                <w:rFonts w:ascii="微软雅黑" w:eastAsia="微软雅黑" w:hint="eastAsia"/>
                <w:b/>
                <w:sz w:val="22"/>
              </w:rPr>
              <w:t>慢性肝功能衰</w:t>
            </w:r>
          </w:p>
        </w:tc>
        <w:tc>
          <w:tcPr>
            <w:tcW w:w="7628" w:type="dxa"/>
          </w:tcPr>
          <w:p>
            <w:pPr>
              <w:pStyle w:val="TableParagraph"/>
              <w:spacing w:before="10"/>
              <w:rPr>
                <w:rFonts w:ascii="Times New Roman"/>
                <w:sz w:val="18"/>
              </w:rPr>
            </w:pPr>
          </w:p>
          <w:p>
            <w:pPr>
              <w:pStyle w:val="TableParagraph"/>
              <w:spacing w:before="1"/>
              <w:ind w:left="95"/>
              <w:rPr>
                <w:sz w:val="22"/>
              </w:rPr>
            </w:pPr>
            <w:r>
              <w:rPr>
                <w:sz w:val="22"/>
              </w:rPr>
              <w:t>指因慢性肝脏疾病导致肝功能衰竭。</w:t>
            </w:r>
            <w:r>
              <w:rPr>
                <w:sz w:val="22"/>
                <w:shd w:fill="D9D9D9" w:color="auto" w:val="clear"/>
              </w:rPr>
              <w:t>须满足下列全部条件</w:t>
            </w:r>
            <w:r>
              <w:rPr>
                <w:sz w:val="22"/>
              </w:rPr>
              <w:t>：</w:t>
            </w:r>
          </w:p>
        </w:tc>
      </w:tr>
    </w:tbl>
    <w:p>
      <w:pPr>
        <w:spacing w:after="0"/>
        <w:rPr>
          <w:sz w:val="22"/>
        </w:rPr>
        <w:sectPr>
          <w:pgSz w:w="11910" w:h="16840"/>
          <w:pgMar w:header="484" w:footer="479" w:top="680" w:bottom="660" w:left="820" w:right="820"/>
        </w:sectPr>
      </w:pPr>
    </w:p>
    <w:p>
      <w:pPr>
        <w:pStyle w:val="BodyText"/>
        <w:rPr>
          <w:rFonts w:ascii="Times New Roman"/>
          <w:sz w:val="20"/>
        </w:rPr>
      </w:pPr>
    </w:p>
    <w:p>
      <w:pPr>
        <w:pStyle w:val="BodyText"/>
        <w:rPr>
          <w:rFonts w:ascii="Times New Roman"/>
          <w:sz w:val="20"/>
        </w:rPr>
      </w:pPr>
    </w:p>
    <w:p>
      <w:pPr>
        <w:pStyle w:val="BodyText"/>
        <w:spacing w:before="6"/>
        <w:rPr>
          <w:rFonts w:ascii="Times New Roman"/>
          <w:sz w:val="21"/>
        </w:rPr>
      </w:pPr>
    </w:p>
    <w:p>
      <w:pPr>
        <w:tabs>
          <w:tab w:pos="2427" w:val="left" w:leader="none"/>
        </w:tabs>
        <w:spacing w:before="0"/>
        <w:ind w:left="910" w:right="0" w:firstLine="0"/>
        <w:jc w:val="left"/>
        <w:rPr>
          <w:sz w:val="22"/>
        </w:rPr>
      </w:pPr>
      <w:r>
        <w:rPr>
          <w:rFonts w:ascii="微软雅黑" w:eastAsia="微软雅黑" w:hint="eastAsia"/>
          <w:b/>
          <w:sz w:val="22"/>
        </w:rPr>
        <w:t>竭失代偿期</w:t>
        <w:tab/>
      </w:r>
      <w:r>
        <w:rPr>
          <w:sz w:val="22"/>
        </w:rPr>
        <w:t>(1)</w:t>
      </w:r>
      <w:r>
        <w:rPr>
          <w:spacing w:val="17"/>
          <w:sz w:val="22"/>
        </w:rPr>
        <w:t> </w:t>
      </w:r>
      <w:r>
        <w:rPr>
          <w:sz w:val="22"/>
        </w:rPr>
        <w:t>持续性</w:t>
      </w:r>
      <w:r>
        <w:rPr>
          <w:spacing w:val="-3"/>
          <w:sz w:val="22"/>
        </w:rPr>
        <w:t>黄</w:t>
      </w:r>
      <w:r>
        <w:rPr>
          <w:sz w:val="22"/>
        </w:rPr>
        <w:t>疸；</w:t>
      </w:r>
    </w:p>
    <w:p>
      <w:pPr>
        <w:pStyle w:val="ListParagraph"/>
        <w:numPr>
          <w:ilvl w:val="0"/>
          <w:numId w:val="20"/>
        </w:numPr>
        <w:tabs>
          <w:tab w:pos="2881" w:val="left" w:leader="none"/>
        </w:tabs>
        <w:spacing w:line="240" w:lineRule="auto" w:before="64" w:after="0"/>
        <w:ind w:left="2427" w:right="0" w:firstLine="0"/>
        <w:jc w:val="left"/>
        <w:rPr>
          <w:sz w:val="22"/>
        </w:rPr>
      </w:pPr>
      <w:r>
        <w:rPr>
          <w:sz w:val="22"/>
        </w:rPr>
        <w:t>腹水；</w:t>
      </w:r>
    </w:p>
    <w:p>
      <w:pPr>
        <w:pStyle w:val="ListParagraph"/>
        <w:numPr>
          <w:ilvl w:val="0"/>
          <w:numId w:val="20"/>
        </w:numPr>
        <w:tabs>
          <w:tab w:pos="2881" w:val="left" w:leader="none"/>
        </w:tabs>
        <w:spacing w:line="240" w:lineRule="auto" w:before="91" w:after="0"/>
        <w:ind w:left="2427" w:right="0" w:firstLine="0"/>
        <w:jc w:val="left"/>
        <w:rPr>
          <w:sz w:val="22"/>
        </w:rPr>
      </w:pPr>
      <w:r>
        <w:rPr>
          <w:spacing w:val="-1"/>
          <w:sz w:val="22"/>
        </w:rPr>
        <w:t>肝性脑病；</w:t>
      </w:r>
    </w:p>
    <w:p>
      <w:pPr>
        <w:pStyle w:val="ListParagraph"/>
        <w:numPr>
          <w:ilvl w:val="0"/>
          <w:numId w:val="20"/>
        </w:numPr>
        <w:tabs>
          <w:tab w:pos="2881" w:val="left" w:leader="none"/>
        </w:tabs>
        <w:spacing w:line="316" w:lineRule="auto" w:before="94" w:after="0"/>
        <w:ind w:left="2427" w:right="2142" w:firstLine="0"/>
        <w:jc w:val="left"/>
        <w:rPr>
          <w:sz w:val="22"/>
        </w:rPr>
      </w:pPr>
      <w:r>
        <w:rPr>
          <w:spacing w:val="-3"/>
          <w:sz w:val="22"/>
        </w:rPr>
        <w:t>充血性脾肿大伴脾功能亢进或食管胃底静脉曲张。</w:t>
      </w:r>
      <w:r>
        <w:rPr>
          <w:spacing w:val="-3"/>
          <w:sz w:val="22"/>
          <w:shd w:fill="D9D9D9" w:color="auto" w:val="clear"/>
        </w:rPr>
        <w:t>因酗酒或药物滥用导致的肝功能衰竭不在保障范围内。</w:t>
      </w:r>
    </w:p>
    <w:p>
      <w:pPr>
        <w:pStyle w:val="BodyText"/>
        <w:spacing w:before="10"/>
        <w:rPr>
          <w:sz w:val="25"/>
        </w:rPr>
      </w:pPr>
    </w:p>
    <w:p>
      <w:pPr>
        <w:spacing w:after="0"/>
        <w:rPr>
          <w:sz w:val="25"/>
        </w:rPr>
        <w:sectPr>
          <w:pgSz w:w="11910" w:h="16840"/>
          <w:pgMar w:header="484" w:footer="479" w:top="680" w:bottom="660" w:left="1020" w:right="1020"/>
        </w:sectPr>
      </w:pPr>
    </w:p>
    <w:p>
      <w:pPr>
        <w:pStyle w:val="Heading4"/>
        <w:numPr>
          <w:ilvl w:val="2"/>
          <w:numId w:val="21"/>
        </w:numPr>
        <w:tabs>
          <w:tab w:pos="911" w:val="left" w:leader="none"/>
        </w:tabs>
        <w:spacing w:line="380" w:lineRule="exact" w:before="0" w:after="0"/>
        <w:ind w:left="2427" w:right="0" w:hanging="2314"/>
        <w:jc w:val="left"/>
      </w:pPr>
      <w:r>
        <w:rPr/>
        <w:t>脑炎后遗症或</w:t>
      </w:r>
    </w:p>
    <w:p>
      <w:pPr>
        <w:spacing w:line="380" w:lineRule="exact" w:before="0"/>
        <w:ind w:left="910" w:right="0" w:firstLine="0"/>
        <w:jc w:val="left"/>
        <w:rPr>
          <w:rFonts w:ascii="微软雅黑" w:eastAsia="微软雅黑" w:hint="eastAsia"/>
          <w:b/>
          <w:sz w:val="22"/>
        </w:rPr>
      </w:pPr>
      <w:r>
        <w:rPr>
          <w:rFonts w:ascii="微软雅黑" w:eastAsia="微软雅黑" w:hint="eastAsia"/>
          <w:b/>
          <w:sz w:val="22"/>
        </w:rPr>
        <w:t>脑膜炎后遗症</w:t>
      </w:r>
    </w:p>
    <w:p>
      <w:pPr>
        <w:pStyle w:val="BodyText"/>
        <w:spacing w:line="316" w:lineRule="auto" w:before="65"/>
        <w:ind w:left="113" w:right="110"/>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22"/>
        </w:numPr>
        <w:tabs>
          <w:tab w:pos="567" w:val="left" w:leader="none"/>
        </w:tabs>
        <w:spacing w:line="240" w:lineRule="auto" w:before="21" w:after="0"/>
        <w:ind w:left="566" w:right="0" w:hanging="453"/>
        <w:jc w:val="left"/>
        <w:rPr>
          <w:sz w:val="22"/>
        </w:rPr>
      </w:pPr>
      <w:r>
        <w:rPr>
          <w:spacing w:val="-3"/>
          <w:sz w:val="22"/>
        </w:rPr>
        <w:t>一肢或一肢以上肢体机能完全丧失；</w:t>
      </w:r>
    </w:p>
    <w:p>
      <w:pPr>
        <w:pStyle w:val="ListParagraph"/>
        <w:numPr>
          <w:ilvl w:val="0"/>
          <w:numId w:val="22"/>
        </w:numPr>
        <w:tabs>
          <w:tab w:pos="567" w:val="left" w:leader="none"/>
        </w:tabs>
        <w:spacing w:line="240" w:lineRule="auto" w:before="93" w:after="0"/>
        <w:ind w:left="566" w:right="0" w:hanging="453"/>
        <w:jc w:val="left"/>
        <w:rPr>
          <w:sz w:val="22"/>
        </w:rPr>
      </w:pPr>
      <w:r>
        <w:rPr>
          <w:spacing w:val="-3"/>
          <w:sz w:val="22"/>
        </w:rPr>
        <w:t>语言能力或咀嚼吞咽能力完全丧失；</w:t>
      </w:r>
    </w:p>
    <w:p>
      <w:pPr>
        <w:pStyle w:val="ListParagraph"/>
        <w:numPr>
          <w:ilvl w:val="0"/>
          <w:numId w:val="22"/>
        </w:numPr>
        <w:tabs>
          <w:tab w:pos="567" w:val="left" w:leader="none"/>
        </w:tabs>
        <w:spacing w:line="316" w:lineRule="auto" w:before="90" w:after="0"/>
        <w:ind w:left="566" w:right="111" w:hanging="453"/>
        <w:jc w:val="left"/>
        <w:rPr>
          <w:sz w:val="22"/>
        </w:rPr>
      </w:pPr>
      <w:r>
        <w:rPr>
          <w:sz w:val="22"/>
        </w:rPr>
        <w:t>自主生活能力完全丧失，无法独立完成六项基本日常生活活动中的三项</w:t>
      </w:r>
      <w:r>
        <w:rPr>
          <w:spacing w:val="-1"/>
          <w:sz w:val="22"/>
        </w:rPr>
        <w:t>或三项以上。</w:t>
      </w:r>
    </w:p>
    <w:p>
      <w:pPr>
        <w:spacing w:after="0" w:line="316" w:lineRule="auto"/>
        <w:jc w:val="left"/>
        <w:rPr>
          <w:sz w:val="22"/>
        </w:rPr>
        <w:sectPr>
          <w:type w:val="continuous"/>
          <w:pgSz w:w="11910" w:h="16840"/>
          <w:pgMar w:top="680" w:bottom="660" w:left="1020" w:right="1020"/>
          <w:cols w:num="2" w:equalWidth="0">
            <w:col w:w="2235" w:space="79"/>
            <w:col w:w="7556"/>
          </w:cols>
        </w:sectPr>
      </w:pPr>
    </w:p>
    <w:p>
      <w:pPr>
        <w:pStyle w:val="BodyText"/>
        <w:spacing w:before="9"/>
        <w:rPr>
          <w:sz w:val="25"/>
        </w:rPr>
      </w:pPr>
    </w:p>
    <w:p>
      <w:pPr>
        <w:pStyle w:val="ListParagraph"/>
        <w:numPr>
          <w:ilvl w:val="2"/>
          <w:numId w:val="21"/>
        </w:numPr>
        <w:tabs>
          <w:tab w:pos="911" w:val="left" w:leader="none"/>
        </w:tabs>
        <w:spacing w:line="297" w:lineRule="auto" w:before="0" w:after="0"/>
        <w:ind w:left="2427" w:right="106" w:hanging="2314"/>
        <w:jc w:val="both"/>
        <w:rPr>
          <w:sz w:val="22"/>
        </w:rPr>
      </w:pPr>
      <w:r>
        <w:rPr>
          <w:rFonts w:ascii="微软雅黑" w:eastAsia="微软雅黑" w:hint="eastAsia"/>
          <w:b/>
          <w:spacing w:val="2"/>
          <w:sz w:val="22"/>
        </w:rPr>
        <w:t>深度昏迷       </w:t>
      </w:r>
      <w:r>
        <w:rPr>
          <w:sz w:val="22"/>
        </w:rPr>
        <w:t>指因疾病或意外伤害导致意识丧失，对外界刺激和体内需求均无反应，昏迷程度按照格拉斯哥昏迷分级（Glasgow</w:t>
      </w:r>
      <w:r>
        <w:rPr>
          <w:spacing w:val="10"/>
          <w:sz w:val="22"/>
        </w:rPr>
        <w:t> </w:t>
      </w:r>
      <w:r>
        <w:rPr>
          <w:sz w:val="22"/>
        </w:rPr>
        <w:t>coma</w:t>
      </w:r>
      <w:r>
        <w:rPr>
          <w:spacing w:val="7"/>
          <w:sz w:val="22"/>
        </w:rPr>
        <w:t> </w:t>
      </w:r>
      <w:r>
        <w:rPr>
          <w:sz w:val="22"/>
        </w:rPr>
        <w:t>scale）</w:t>
      </w:r>
      <w:r>
        <w:rPr>
          <w:spacing w:val="1"/>
          <w:sz w:val="22"/>
        </w:rPr>
        <w:t>结果为 </w:t>
      </w:r>
      <w:r>
        <w:rPr>
          <w:sz w:val="22"/>
        </w:rPr>
        <w:t>5</w:t>
      </w:r>
      <w:r>
        <w:rPr>
          <w:spacing w:val="2"/>
          <w:sz w:val="22"/>
        </w:rPr>
        <w:t> 分或 </w:t>
      </w:r>
      <w:r>
        <w:rPr>
          <w:sz w:val="22"/>
        </w:rPr>
        <w:t>5</w:t>
      </w:r>
      <w:r>
        <w:rPr>
          <w:spacing w:val="0"/>
          <w:sz w:val="22"/>
        </w:rPr>
        <w:t> 分以</w:t>
      </w:r>
      <w:r>
        <w:rPr>
          <w:spacing w:val="-6"/>
          <w:sz w:val="22"/>
        </w:rPr>
        <w:t>下，且已经持续使用呼吸机及其它生命维持系统 </w:t>
      </w:r>
      <w:r>
        <w:rPr>
          <w:sz w:val="22"/>
        </w:rPr>
        <w:t>96</w:t>
      </w:r>
      <w:r>
        <w:rPr>
          <w:spacing w:val="-10"/>
          <w:sz w:val="22"/>
        </w:rPr>
        <w:t> 小时以上。</w:t>
      </w:r>
    </w:p>
    <w:p>
      <w:pPr>
        <w:pStyle w:val="BodyText"/>
        <w:spacing w:before="38"/>
        <w:ind w:left="2427"/>
      </w:pPr>
      <w:r>
        <w:rPr>
          <w:shd w:fill="D9D9D9" w:color="auto" w:val="clear"/>
        </w:rPr>
        <w:t>因酗酒或药物滥用导致的深度昏迷不在保障范围内。</w:t>
      </w:r>
    </w:p>
    <w:p>
      <w:pPr>
        <w:pStyle w:val="BodyText"/>
        <w:spacing w:before="1"/>
        <w:rPr>
          <w:sz w:val="31"/>
        </w:rPr>
      </w:pPr>
    </w:p>
    <w:p>
      <w:pPr>
        <w:pStyle w:val="ListParagraph"/>
        <w:numPr>
          <w:ilvl w:val="2"/>
          <w:numId w:val="21"/>
        </w:numPr>
        <w:tabs>
          <w:tab w:pos="911" w:val="left" w:leader="none"/>
        </w:tabs>
        <w:spacing w:line="295" w:lineRule="auto" w:before="0" w:after="0"/>
        <w:ind w:left="2427" w:right="110" w:hanging="2314"/>
        <w:jc w:val="both"/>
        <w:rPr>
          <w:sz w:val="22"/>
        </w:rPr>
      </w:pPr>
      <w:r>
        <w:rPr>
          <w:rFonts w:ascii="微软雅黑" w:eastAsia="微软雅黑" w:hint="eastAsia"/>
          <w:b/>
          <w:spacing w:val="5"/>
          <w:sz w:val="22"/>
        </w:rPr>
        <w:t>双耳失聪      </w:t>
      </w:r>
      <w:r>
        <w:rPr>
          <w:spacing w:val="-3"/>
          <w:sz w:val="22"/>
        </w:rPr>
        <w:t>指因疾病或意外伤害导致双耳听力</w:t>
      </w:r>
      <w:r>
        <w:rPr>
          <w:b/>
          <w:sz w:val="22"/>
        </w:rPr>
        <w:t>永久不可逆</w:t>
      </w:r>
      <w:r>
        <w:rPr>
          <w:spacing w:val="-11"/>
          <w:sz w:val="22"/>
        </w:rPr>
        <w:t>性丧失，在 </w:t>
      </w:r>
      <w:r>
        <w:rPr>
          <w:sz w:val="22"/>
        </w:rPr>
        <w:t>500</w:t>
      </w:r>
      <w:r>
        <w:rPr>
          <w:spacing w:val="-15"/>
          <w:sz w:val="22"/>
        </w:rPr>
        <w:t> 赫兹、</w:t>
      </w:r>
      <w:r>
        <w:rPr>
          <w:sz w:val="22"/>
        </w:rPr>
        <w:t>1000</w:t>
      </w:r>
      <w:r>
        <w:rPr>
          <w:spacing w:val="-27"/>
          <w:sz w:val="22"/>
        </w:rPr>
        <w:t> 赫</w:t>
      </w:r>
      <w:r>
        <w:rPr>
          <w:spacing w:val="-30"/>
          <w:sz w:val="22"/>
        </w:rPr>
        <w:t>兹和 </w:t>
      </w:r>
      <w:r>
        <w:rPr>
          <w:sz w:val="22"/>
        </w:rPr>
        <w:t>2000</w:t>
      </w:r>
      <w:r>
        <w:rPr>
          <w:spacing w:val="-9"/>
          <w:sz w:val="22"/>
        </w:rPr>
        <w:t> 赫兹语音频率下，平均听阈大于 </w:t>
      </w:r>
      <w:r>
        <w:rPr>
          <w:sz w:val="22"/>
        </w:rPr>
        <w:t>90</w:t>
      </w:r>
      <w:r>
        <w:rPr>
          <w:spacing w:val="-7"/>
          <w:sz w:val="22"/>
        </w:rPr>
        <w:t> 分贝，且经纯音听力测试、声</w:t>
      </w:r>
      <w:r>
        <w:rPr>
          <w:spacing w:val="-5"/>
          <w:sz w:val="22"/>
        </w:rPr>
        <w:t>导抗检测或听觉诱发电位检测等证实。</w:t>
      </w:r>
    </w:p>
    <w:p>
      <w:pPr>
        <w:pStyle w:val="BodyText"/>
        <w:spacing w:line="316" w:lineRule="auto" w:before="43"/>
        <w:ind w:left="2427" w:right="110"/>
      </w:pPr>
      <w:r>
        <w:rPr>
          <w:shd w:fill="D9D9D9" w:color="auto" w:val="clear"/>
        </w:rPr>
        <w:t>被保险人申请理赔时年龄必须在三周岁以上，并且提供理赔当时的听力丧失诊断及检查证据。</w:t>
      </w:r>
    </w:p>
    <w:p>
      <w:pPr>
        <w:pStyle w:val="BodyText"/>
        <w:spacing w:before="10"/>
        <w:rPr>
          <w:sz w:val="25"/>
        </w:rPr>
      </w:pPr>
    </w:p>
    <w:p>
      <w:pPr>
        <w:pStyle w:val="ListParagraph"/>
        <w:numPr>
          <w:ilvl w:val="2"/>
          <w:numId w:val="21"/>
        </w:numPr>
        <w:tabs>
          <w:tab w:pos="911" w:val="left" w:leader="none"/>
        </w:tabs>
        <w:spacing w:line="280" w:lineRule="auto" w:before="0" w:after="0"/>
        <w:ind w:left="2427" w:right="110" w:hanging="2314"/>
        <w:jc w:val="both"/>
        <w:rPr>
          <w:sz w:val="22"/>
        </w:rPr>
      </w:pPr>
      <w:r>
        <w:rPr>
          <w:rFonts w:ascii="微软雅黑" w:eastAsia="微软雅黑" w:hint="eastAsia"/>
          <w:b/>
          <w:spacing w:val="2"/>
          <w:sz w:val="22"/>
        </w:rPr>
        <w:t>双目失明       </w:t>
      </w:r>
      <w:r>
        <w:rPr>
          <w:sz w:val="22"/>
        </w:rPr>
        <w:t>指因疾病或意外伤害导致双目视力永久不可逆性丧失，双眼中较好眼须满足</w:t>
      </w:r>
      <w:r>
        <w:rPr>
          <w:spacing w:val="-2"/>
          <w:sz w:val="22"/>
        </w:rPr>
        <w:t>下列至少一项条件：</w:t>
      </w:r>
    </w:p>
    <w:p>
      <w:pPr>
        <w:pStyle w:val="ListParagraph"/>
        <w:numPr>
          <w:ilvl w:val="3"/>
          <w:numId w:val="21"/>
        </w:numPr>
        <w:tabs>
          <w:tab w:pos="2881" w:val="left" w:leader="none"/>
        </w:tabs>
        <w:spacing w:line="240" w:lineRule="auto" w:before="53" w:after="0"/>
        <w:ind w:left="2881" w:right="0" w:hanging="454"/>
        <w:jc w:val="left"/>
        <w:rPr>
          <w:sz w:val="22"/>
        </w:rPr>
      </w:pPr>
      <w:r>
        <w:rPr>
          <w:spacing w:val="-2"/>
          <w:sz w:val="22"/>
        </w:rPr>
        <w:t>眼球缺失或摘除；</w:t>
      </w:r>
    </w:p>
    <w:p>
      <w:pPr>
        <w:pStyle w:val="ListParagraph"/>
        <w:numPr>
          <w:ilvl w:val="3"/>
          <w:numId w:val="21"/>
        </w:numPr>
        <w:tabs>
          <w:tab w:pos="2881" w:val="left" w:leader="none"/>
        </w:tabs>
        <w:spacing w:line="316" w:lineRule="auto" w:before="93" w:after="0"/>
        <w:ind w:left="2881" w:right="101" w:hanging="454"/>
        <w:jc w:val="left"/>
        <w:rPr>
          <w:sz w:val="22"/>
        </w:rPr>
      </w:pPr>
      <w:r>
        <w:rPr>
          <w:spacing w:val="-8"/>
          <w:sz w:val="22"/>
        </w:rPr>
        <w:t>矫正视力低于 </w:t>
      </w:r>
      <w:r>
        <w:rPr>
          <w:spacing w:val="-9"/>
          <w:sz w:val="22"/>
        </w:rPr>
        <w:t>0.02（</w:t>
      </w:r>
      <w:r>
        <w:rPr>
          <w:spacing w:val="-10"/>
          <w:sz w:val="22"/>
        </w:rPr>
        <w:t>采用国际标准视力表，如果使用其他视力表应进行换</w:t>
      </w:r>
      <w:r>
        <w:rPr>
          <w:spacing w:val="-8"/>
          <w:sz w:val="22"/>
        </w:rPr>
        <w:t>算</w:t>
      </w:r>
      <w:r>
        <w:rPr>
          <w:spacing w:val="-5"/>
          <w:sz w:val="22"/>
        </w:rPr>
        <w:t>）；</w:t>
      </w:r>
    </w:p>
    <w:p>
      <w:pPr>
        <w:pStyle w:val="ListParagraph"/>
        <w:numPr>
          <w:ilvl w:val="3"/>
          <w:numId w:val="21"/>
        </w:numPr>
        <w:tabs>
          <w:tab w:pos="2881" w:val="left" w:leader="none"/>
        </w:tabs>
        <w:spacing w:line="240" w:lineRule="auto" w:before="20" w:after="0"/>
        <w:ind w:left="2881" w:right="0" w:hanging="454"/>
        <w:jc w:val="left"/>
        <w:rPr>
          <w:sz w:val="22"/>
        </w:rPr>
      </w:pPr>
      <w:r>
        <w:rPr>
          <w:spacing w:val="-9"/>
          <w:sz w:val="22"/>
        </w:rPr>
        <w:t>视野半径小于 </w:t>
      </w:r>
      <w:r>
        <w:rPr>
          <w:sz w:val="22"/>
        </w:rPr>
        <w:t>5</w:t>
      </w:r>
      <w:r>
        <w:rPr>
          <w:spacing w:val="-19"/>
          <w:sz w:val="22"/>
        </w:rPr>
        <w:t> 度。</w:t>
      </w:r>
    </w:p>
    <w:p>
      <w:pPr>
        <w:pStyle w:val="BodyText"/>
        <w:spacing w:line="316" w:lineRule="auto" w:before="93"/>
        <w:ind w:left="2427" w:right="110"/>
      </w:pPr>
      <w:r>
        <w:rPr>
          <w:shd w:fill="D9D9D9" w:color="auto" w:val="clear"/>
        </w:rPr>
        <w:t>被保险人申请理赔时年龄必须在三周岁以上，并且提供理赔当时的视力丧失</w:t>
      </w:r>
      <w:r>
        <w:rPr>
          <w:spacing w:val="-1"/>
          <w:shd w:fill="D9D9D9" w:color="auto" w:val="clear"/>
        </w:rPr>
        <w:t>诊断及检</w:t>
      </w:r>
      <w:r>
        <w:rPr>
          <w:spacing w:val="-221"/>
          <w:shd w:fill="D9D9D9" w:color="auto" w:val="clear"/>
        </w:rPr>
        <w:t>查</w:t>
      </w:r>
      <w:r>
        <w:rPr>
          <w:spacing w:val="-2"/>
          <w:shd w:fill="D9D9D9" w:color="auto" w:val="clear"/>
        </w:rPr>
        <w:t>证据。</w:t>
      </w:r>
    </w:p>
    <w:p>
      <w:pPr>
        <w:pStyle w:val="BodyText"/>
        <w:spacing w:before="10"/>
        <w:rPr>
          <w:sz w:val="25"/>
        </w:rPr>
      </w:pPr>
    </w:p>
    <w:p>
      <w:pPr>
        <w:pStyle w:val="ListParagraph"/>
        <w:numPr>
          <w:ilvl w:val="2"/>
          <w:numId w:val="21"/>
        </w:numPr>
        <w:tabs>
          <w:tab w:pos="911" w:val="left" w:leader="none"/>
          <w:tab w:pos="2427" w:val="left" w:leader="none"/>
        </w:tabs>
        <w:spacing w:line="295" w:lineRule="auto" w:before="0" w:after="0"/>
        <w:ind w:left="2427" w:right="108" w:hanging="2314"/>
        <w:jc w:val="both"/>
        <w:rPr>
          <w:sz w:val="22"/>
        </w:rPr>
      </w:pPr>
      <w:r>
        <w:rPr>
          <w:rFonts w:ascii="微软雅黑" w:eastAsia="微软雅黑" w:hint="eastAsia"/>
          <w:b/>
          <w:sz w:val="22"/>
        </w:rPr>
        <w:t>瘫痪</w:t>
        <w:tab/>
      </w:r>
      <w:r>
        <w:rPr>
          <w:sz w:val="22"/>
        </w:rPr>
        <w:t>指因疾病或意外伤害导致两肢或两肢以上肢体机能永久完全丧失。肢体机能 永久完</w:t>
      </w:r>
      <w:r>
        <w:rPr>
          <w:spacing w:val="-3"/>
          <w:sz w:val="22"/>
        </w:rPr>
        <w:t>全</w:t>
      </w:r>
      <w:r>
        <w:rPr>
          <w:sz w:val="22"/>
        </w:rPr>
        <w:t>丧失</w:t>
      </w:r>
      <w:r>
        <w:rPr>
          <w:spacing w:val="-3"/>
          <w:sz w:val="22"/>
        </w:rPr>
        <w:t>，</w:t>
      </w:r>
      <w:r>
        <w:rPr>
          <w:sz w:val="22"/>
        </w:rPr>
        <w:t>指疾</w:t>
      </w:r>
      <w:r>
        <w:rPr>
          <w:spacing w:val="-3"/>
          <w:sz w:val="22"/>
        </w:rPr>
        <w:t>病确</w:t>
      </w:r>
      <w:r>
        <w:rPr>
          <w:sz w:val="22"/>
        </w:rPr>
        <w:t>诊</w:t>
      </w:r>
      <w:r>
        <w:rPr>
          <w:spacing w:val="-32"/>
          <w:sz w:val="22"/>
        </w:rPr>
        <w:t> </w:t>
      </w:r>
      <w:r>
        <w:rPr>
          <w:sz w:val="22"/>
        </w:rPr>
        <w:t>180</w:t>
      </w:r>
      <w:r>
        <w:rPr>
          <w:spacing w:val="-36"/>
          <w:sz w:val="22"/>
        </w:rPr>
        <w:t> </w:t>
      </w:r>
      <w:r>
        <w:rPr>
          <w:sz w:val="22"/>
        </w:rPr>
        <w:t>天后</w:t>
      </w:r>
      <w:r>
        <w:rPr>
          <w:spacing w:val="-3"/>
          <w:sz w:val="22"/>
        </w:rPr>
        <w:t>或</w:t>
      </w:r>
      <w:r>
        <w:rPr>
          <w:sz w:val="22"/>
        </w:rPr>
        <w:t>意外</w:t>
      </w:r>
      <w:r>
        <w:rPr>
          <w:spacing w:val="-3"/>
          <w:sz w:val="22"/>
        </w:rPr>
        <w:t>伤</w:t>
      </w:r>
      <w:r>
        <w:rPr>
          <w:sz w:val="22"/>
        </w:rPr>
        <w:t>害</w:t>
      </w:r>
      <w:r>
        <w:rPr>
          <w:spacing w:val="-3"/>
          <w:sz w:val="22"/>
        </w:rPr>
        <w:t>发</w:t>
      </w:r>
      <w:r>
        <w:rPr>
          <w:sz w:val="22"/>
        </w:rPr>
        <w:t>生</w:t>
      </w:r>
      <w:r>
        <w:rPr>
          <w:spacing w:val="-32"/>
          <w:sz w:val="22"/>
        </w:rPr>
        <w:t> </w:t>
      </w:r>
      <w:r>
        <w:rPr>
          <w:sz w:val="22"/>
        </w:rPr>
        <w:t>180</w:t>
      </w:r>
      <w:r>
        <w:rPr>
          <w:spacing w:val="-36"/>
          <w:sz w:val="22"/>
        </w:rPr>
        <w:t> </w:t>
      </w:r>
      <w:r>
        <w:rPr>
          <w:sz w:val="22"/>
        </w:rPr>
        <w:t>天后</w:t>
      </w:r>
      <w:r>
        <w:rPr>
          <w:spacing w:val="-3"/>
          <w:sz w:val="22"/>
        </w:rPr>
        <w:t>，</w:t>
      </w:r>
      <w:r>
        <w:rPr>
          <w:sz w:val="22"/>
        </w:rPr>
        <w:t>每肢</w:t>
      </w:r>
      <w:r>
        <w:rPr>
          <w:spacing w:val="-3"/>
          <w:sz w:val="22"/>
        </w:rPr>
        <w:t>三</w:t>
      </w:r>
      <w:r>
        <w:rPr>
          <w:sz w:val="22"/>
        </w:rPr>
        <w:t>大关节中的</w:t>
      </w:r>
      <w:r>
        <w:rPr>
          <w:spacing w:val="-3"/>
          <w:sz w:val="22"/>
        </w:rPr>
        <w:t>两</w:t>
      </w:r>
      <w:r>
        <w:rPr>
          <w:sz w:val="22"/>
        </w:rPr>
        <w:t>大关</w:t>
      </w:r>
      <w:r>
        <w:rPr>
          <w:spacing w:val="-3"/>
          <w:sz w:val="22"/>
        </w:rPr>
        <w:t>节</w:t>
      </w:r>
      <w:r>
        <w:rPr>
          <w:sz w:val="22"/>
        </w:rPr>
        <w:t>仍然</w:t>
      </w:r>
      <w:r>
        <w:rPr>
          <w:spacing w:val="-3"/>
          <w:sz w:val="22"/>
        </w:rPr>
        <w:t>完全</w:t>
      </w:r>
      <w:r>
        <w:rPr>
          <w:sz w:val="22"/>
        </w:rPr>
        <w:t>僵硬，</w:t>
      </w:r>
      <w:r>
        <w:rPr>
          <w:spacing w:val="-3"/>
          <w:sz w:val="22"/>
        </w:rPr>
        <w:t>或</w:t>
      </w:r>
      <w:r>
        <w:rPr>
          <w:sz w:val="22"/>
        </w:rPr>
        <w:t>不能</w:t>
      </w:r>
      <w:r>
        <w:rPr>
          <w:spacing w:val="-3"/>
          <w:sz w:val="22"/>
        </w:rPr>
        <w:t>随</w:t>
      </w:r>
      <w:r>
        <w:rPr>
          <w:sz w:val="22"/>
        </w:rPr>
        <w:t>意识</w:t>
      </w:r>
      <w:r>
        <w:rPr>
          <w:spacing w:val="-3"/>
          <w:sz w:val="22"/>
        </w:rPr>
        <w:t>活动</w:t>
      </w:r>
      <w:r>
        <w:rPr>
          <w:sz w:val="22"/>
        </w:rPr>
        <w:t>。</w:t>
      </w:r>
    </w:p>
    <w:p>
      <w:pPr>
        <w:spacing w:after="0" w:line="295" w:lineRule="auto"/>
        <w:jc w:val="both"/>
        <w:rPr>
          <w:sz w:val="22"/>
        </w:rPr>
        <w:sectPr>
          <w:type w:val="continuous"/>
          <w:pgSz w:w="11910" w:h="16840"/>
          <w:pgMar w:top="680" w:bottom="660" w:left="1020" w:right="1020"/>
        </w:sectPr>
      </w:pPr>
    </w:p>
    <w:p>
      <w:pPr>
        <w:pStyle w:val="BodyText"/>
        <w:rPr>
          <w:sz w:val="20"/>
        </w:rPr>
      </w:pPr>
    </w:p>
    <w:p>
      <w:pPr>
        <w:pStyle w:val="BodyText"/>
        <w:rPr>
          <w:sz w:val="20"/>
        </w:rPr>
      </w:pPr>
    </w:p>
    <w:p>
      <w:pPr>
        <w:pStyle w:val="BodyText"/>
        <w:rPr>
          <w:sz w:val="20"/>
        </w:rPr>
      </w:pPr>
    </w:p>
    <w:p>
      <w:pPr>
        <w:pStyle w:val="BodyText"/>
        <w:rPr>
          <w:sz w:val="23"/>
        </w:rPr>
      </w:pPr>
    </w:p>
    <w:p>
      <w:pPr>
        <w:pStyle w:val="ListParagraph"/>
        <w:numPr>
          <w:ilvl w:val="2"/>
          <w:numId w:val="21"/>
        </w:numPr>
        <w:tabs>
          <w:tab w:pos="911" w:val="left" w:leader="none"/>
        </w:tabs>
        <w:spacing w:line="280" w:lineRule="auto" w:before="0" w:after="0"/>
        <w:ind w:left="2427" w:right="117" w:hanging="2314"/>
        <w:jc w:val="left"/>
        <w:rPr>
          <w:sz w:val="22"/>
        </w:rPr>
      </w:pPr>
      <w:r>
        <w:rPr>
          <w:rFonts w:ascii="微软雅黑" w:eastAsia="微软雅黑" w:hint="eastAsia"/>
          <w:b/>
          <w:spacing w:val="6"/>
          <w:sz w:val="22"/>
        </w:rPr>
        <w:t>心脏瓣膜手术 </w:t>
      </w:r>
      <w:r>
        <w:rPr>
          <w:spacing w:val="5"/>
          <w:sz w:val="22"/>
        </w:rPr>
        <w:t>指为治疗心脏瓣膜疾病，实际实施了开胸进行的心脏瓣膜置换或修复的手术。</w:t>
      </w:r>
    </w:p>
    <w:p>
      <w:pPr>
        <w:pStyle w:val="BodyText"/>
        <w:spacing w:before="3"/>
        <w:rPr>
          <w:sz w:val="28"/>
        </w:rPr>
      </w:pPr>
    </w:p>
    <w:p>
      <w:pPr>
        <w:spacing w:after="0"/>
        <w:rPr>
          <w:sz w:val="28"/>
        </w:rPr>
        <w:sectPr>
          <w:pgSz w:w="11910" w:h="16840"/>
          <w:pgMar w:header="484" w:footer="479" w:top="680" w:bottom="660" w:left="1020" w:right="1020"/>
        </w:sectPr>
      </w:pPr>
    </w:p>
    <w:p>
      <w:pPr>
        <w:pStyle w:val="Heading4"/>
        <w:numPr>
          <w:ilvl w:val="2"/>
          <w:numId w:val="21"/>
        </w:numPr>
        <w:tabs>
          <w:tab w:pos="911" w:val="left" w:leader="none"/>
        </w:tabs>
        <w:spacing w:line="240" w:lineRule="auto" w:before="0" w:after="0"/>
        <w:ind w:left="910" w:right="0" w:hanging="797"/>
        <w:jc w:val="left"/>
      </w:pPr>
      <w:r>
        <w:rPr/>
        <w:t>严重阿尔茨海默病</w:t>
      </w:r>
    </w:p>
    <w:p>
      <w:pPr>
        <w:pStyle w:val="BodyText"/>
        <w:spacing w:line="316" w:lineRule="auto" w:before="65"/>
        <w:ind w:left="113" w:right="106"/>
        <w:jc w:val="both"/>
      </w:pPr>
      <w:r>
        <w:rPr/>
        <w:br w:type="column"/>
      </w: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BodyText"/>
        <w:spacing w:before="23"/>
        <w:ind w:left="113"/>
      </w:pPr>
      <w:r>
        <w:rPr>
          <w:shd w:fill="D9D9D9" w:color="auto" w:val="clear"/>
        </w:rPr>
        <w:t>神经官能症和精神疾病不在保障范围内。</w:t>
      </w:r>
    </w:p>
    <w:p>
      <w:pPr>
        <w:pStyle w:val="BodyText"/>
        <w:spacing w:line="316" w:lineRule="auto" w:before="91"/>
        <w:ind w:left="113" w:right="108"/>
        <w:jc w:val="both"/>
      </w:pPr>
      <w:r>
        <w:rPr>
          <w:spacing w:val="-10"/>
          <w:shd w:fill="D9D9D9" w:color="auto" w:val="clear"/>
        </w:rPr>
        <w:t>在 </w:t>
      </w:r>
      <w:r>
        <w:rPr>
          <w:shd w:fill="D9D9D9" w:color="auto" w:val="clear"/>
        </w:rPr>
        <w:t>70</w:t>
      </w:r>
      <w:r>
        <w:rPr>
          <w:spacing w:val="-7"/>
          <w:shd w:fill="D9D9D9" w:color="auto" w:val="clear"/>
        </w:rPr>
        <w:t> 周岁以上</w:t>
      </w:r>
      <w:r>
        <w:rPr>
          <w:spacing w:val="-5"/>
          <w:shd w:fill="D9D9D9" w:color="auto" w:val="clear"/>
        </w:rPr>
        <w:t>（</w:t>
      </w:r>
      <w:r>
        <w:rPr>
          <w:spacing w:val="-10"/>
          <w:shd w:fill="D9D9D9" w:color="auto" w:val="clear"/>
        </w:rPr>
        <w:t>含 </w:t>
      </w:r>
      <w:r>
        <w:rPr>
          <w:shd w:fill="D9D9D9" w:color="auto" w:val="clear"/>
        </w:rPr>
        <w:t>70</w:t>
      </w:r>
      <w:r>
        <w:rPr>
          <w:spacing w:val="-10"/>
          <w:shd w:fill="D9D9D9" w:color="auto" w:val="clear"/>
        </w:rPr>
        <w:t> 周岁</w:t>
      </w:r>
      <w:r>
        <w:rPr>
          <w:spacing w:val="-3"/>
          <w:shd w:fill="D9D9D9" w:color="auto" w:val="clear"/>
        </w:rPr>
        <w:t>），</w:t>
      </w:r>
      <w:r>
        <w:rPr>
          <w:spacing w:val="-5"/>
          <w:shd w:fill="D9D9D9" w:color="auto" w:val="clear"/>
        </w:rPr>
        <w:t>被保险人罹患严重阿尔茨海默病不在保障范</w:t>
      </w:r>
      <w:r>
        <w:rPr>
          <w:spacing w:val="-212"/>
          <w:shd w:fill="D9D9D9" w:color="auto" w:val="clear"/>
        </w:rPr>
        <w:t>围</w:t>
      </w:r>
      <w:r>
        <w:rPr>
          <w:spacing w:val="-3"/>
          <w:shd w:fill="D9D9D9" w:color="auto" w:val="clear"/>
        </w:rPr>
        <w:t>内。</w:t>
      </w:r>
    </w:p>
    <w:p>
      <w:pPr>
        <w:spacing w:after="0" w:line="316" w:lineRule="auto"/>
        <w:jc w:val="both"/>
        <w:sectPr>
          <w:type w:val="continuous"/>
          <w:pgSz w:w="11910" w:h="16840"/>
          <w:pgMar w:top="680" w:bottom="660" w:left="1020" w:right="1020"/>
          <w:cols w:num="2" w:equalWidth="0">
            <w:col w:w="2235" w:space="79"/>
            <w:col w:w="7556"/>
          </w:cols>
        </w:sectPr>
      </w:pPr>
    </w:p>
    <w:p>
      <w:pPr>
        <w:pStyle w:val="BodyText"/>
        <w:spacing w:before="9"/>
        <w:rPr>
          <w:sz w:val="25"/>
        </w:rPr>
      </w:pPr>
    </w:p>
    <w:p>
      <w:pPr>
        <w:pStyle w:val="ListParagraph"/>
        <w:numPr>
          <w:ilvl w:val="2"/>
          <w:numId w:val="21"/>
        </w:numPr>
        <w:tabs>
          <w:tab w:pos="911" w:val="left" w:leader="none"/>
        </w:tabs>
        <w:spacing w:line="297" w:lineRule="auto" w:before="0" w:after="0"/>
        <w:ind w:left="2427" w:right="106" w:hanging="2314"/>
        <w:jc w:val="both"/>
        <w:rPr>
          <w:sz w:val="22"/>
        </w:rPr>
      </w:pPr>
      <w:r>
        <w:rPr>
          <w:rFonts w:ascii="微软雅黑" w:eastAsia="微软雅黑" w:hint="eastAsia"/>
          <w:b/>
          <w:spacing w:val="0"/>
          <w:sz w:val="22"/>
        </w:rPr>
        <w:t>严重脑损伤    </w:t>
      </w:r>
      <w:r>
        <w:rPr>
          <w:sz w:val="22"/>
        </w:rPr>
        <w:t>指因头部遭受机械性外力，引起脑重要部位损伤，导致神经系统永久性的功</w:t>
      </w:r>
      <w:r>
        <w:rPr>
          <w:spacing w:val="2"/>
          <w:sz w:val="22"/>
        </w:rPr>
        <w:t>能障碍。须由头颅断层扫描</w:t>
      </w:r>
      <w:r>
        <w:rPr>
          <w:spacing w:val="1"/>
          <w:sz w:val="22"/>
        </w:rPr>
        <w:t>（CT）</w:t>
      </w:r>
      <w:r>
        <w:rPr>
          <w:spacing w:val="2"/>
          <w:sz w:val="22"/>
        </w:rPr>
        <w:t>、核磁共振检查</w:t>
      </w:r>
      <w:r>
        <w:rPr>
          <w:spacing w:val="1"/>
          <w:sz w:val="22"/>
        </w:rPr>
        <w:t>（MRI）</w:t>
      </w:r>
      <w:r>
        <w:rPr>
          <w:spacing w:val="2"/>
          <w:sz w:val="22"/>
        </w:rPr>
        <w:t>或正电子发射断层扫描</w:t>
      </w:r>
      <w:r>
        <w:rPr>
          <w:sz w:val="22"/>
        </w:rPr>
        <w:t>（PET）</w:t>
      </w:r>
      <w:r>
        <w:rPr>
          <w:spacing w:val="2"/>
          <w:sz w:val="22"/>
        </w:rPr>
        <w:t>等影像学检查证实。神经系统永久性的功能障碍，指脑损伤</w:t>
      </w:r>
    </w:p>
    <w:p>
      <w:pPr>
        <w:pStyle w:val="BodyText"/>
        <w:spacing w:before="38"/>
        <w:ind w:left="2427"/>
      </w:pPr>
      <w:r>
        <w:rPr/>
        <w:t>180 天后，仍遗留下列一种或一种以上障碍：</w:t>
      </w:r>
    </w:p>
    <w:p>
      <w:pPr>
        <w:pStyle w:val="ListParagraph"/>
        <w:numPr>
          <w:ilvl w:val="0"/>
          <w:numId w:val="23"/>
        </w:numPr>
        <w:tabs>
          <w:tab w:pos="2881" w:val="left" w:leader="none"/>
        </w:tabs>
        <w:spacing w:line="240" w:lineRule="auto" w:before="91" w:after="0"/>
        <w:ind w:left="2881" w:right="0" w:hanging="454"/>
        <w:jc w:val="left"/>
        <w:rPr>
          <w:sz w:val="22"/>
        </w:rPr>
      </w:pPr>
      <w:r>
        <w:rPr>
          <w:spacing w:val="-3"/>
          <w:sz w:val="22"/>
        </w:rPr>
        <w:t>一肢或一肢以上肢体机能完全丧失；</w:t>
      </w:r>
    </w:p>
    <w:p>
      <w:pPr>
        <w:pStyle w:val="ListParagraph"/>
        <w:numPr>
          <w:ilvl w:val="0"/>
          <w:numId w:val="23"/>
        </w:numPr>
        <w:tabs>
          <w:tab w:pos="2881" w:val="left" w:leader="none"/>
        </w:tabs>
        <w:spacing w:line="240" w:lineRule="auto" w:before="94" w:after="0"/>
        <w:ind w:left="2881" w:right="0" w:hanging="454"/>
        <w:jc w:val="left"/>
        <w:rPr>
          <w:sz w:val="22"/>
        </w:rPr>
      </w:pPr>
      <w:r>
        <w:rPr>
          <w:spacing w:val="-3"/>
          <w:sz w:val="22"/>
        </w:rPr>
        <w:t>语言能力或咀嚼吞咽能力完全丧失；</w:t>
      </w:r>
    </w:p>
    <w:p>
      <w:pPr>
        <w:pStyle w:val="ListParagraph"/>
        <w:numPr>
          <w:ilvl w:val="0"/>
          <w:numId w:val="23"/>
        </w:numPr>
        <w:tabs>
          <w:tab w:pos="2881" w:val="left" w:leader="none"/>
        </w:tabs>
        <w:spacing w:line="316" w:lineRule="auto" w:before="91" w:after="0"/>
        <w:ind w:left="2881" w:right="112" w:hanging="454"/>
        <w:jc w:val="left"/>
        <w:rPr>
          <w:sz w:val="22"/>
        </w:rPr>
      </w:pPr>
      <w:r>
        <w:rPr>
          <w:sz w:val="22"/>
        </w:rPr>
        <w:t>自主生活能力完全丧失，无法独立完成六项基本日常生活活动中的三项</w:t>
      </w:r>
      <w:r>
        <w:rPr>
          <w:spacing w:val="-1"/>
          <w:sz w:val="22"/>
        </w:rPr>
        <w:t>或三项以上。</w:t>
      </w:r>
    </w:p>
    <w:p>
      <w:pPr>
        <w:pStyle w:val="BodyText"/>
        <w:spacing w:before="9"/>
        <w:rPr>
          <w:sz w:val="25"/>
        </w:rPr>
      </w:pPr>
    </w:p>
    <w:p>
      <w:pPr>
        <w:pStyle w:val="ListParagraph"/>
        <w:numPr>
          <w:ilvl w:val="2"/>
          <w:numId w:val="21"/>
        </w:numPr>
        <w:tabs>
          <w:tab w:pos="911" w:val="left" w:leader="none"/>
        </w:tabs>
        <w:spacing w:line="280" w:lineRule="auto" w:before="0" w:after="0"/>
        <w:ind w:left="2427" w:right="106" w:hanging="2314"/>
        <w:jc w:val="both"/>
        <w:rPr>
          <w:sz w:val="22"/>
        </w:rPr>
      </w:pPr>
      <w:r>
        <w:rPr>
          <w:rFonts w:ascii="微软雅黑" w:eastAsia="微软雅黑" w:hint="eastAsia"/>
          <w:b/>
          <w:spacing w:val="7"/>
          <w:sz w:val="22"/>
        </w:rPr>
        <w:t>严重帕金森病 </w:t>
      </w:r>
      <w:r>
        <w:rPr>
          <w:sz w:val="22"/>
        </w:rPr>
        <w:t>是一种中枢神经系统的退行性疾病，临床表现为震颤麻痹、共济失调等。</w:t>
      </w:r>
      <w:r>
        <w:rPr>
          <w:sz w:val="22"/>
          <w:shd w:fill="D9D9D9" w:color="auto" w:val="clear"/>
        </w:rPr>
        <w:t>须</w:t>
      </w:r>
      <w:r>
        <w:rPr>
          <w:spacing w:val="-1"/>
          <w:sz w:val="22"/>
          <w:shd w:fill="D9D9D9" w:color="auto" w:val="clear"/>
        </w:rPr>
        <w:t>满足下列全部</w:t>
      </w:r>
      <w:r>
        <w:rPr>
          <w:spacing w:val="-221"/>
          <w:sz w:val="22"/>
          <w:shd w:fill="D9D9D9" w:color="auto" w:val="clear"/>
        </w:rPr>
        <w:t>条</w:t>
      </w:r>
      <w:r>
        <w:rPr>
          <w:sz w:val="22"/>
          <w:shd w:fill="D9D9D9" w:color="auto" w:val="clear"/>
        </w:rPr>
        <w:t>件</w:t>
      </w:r>
      <w:r>
        <w:rPr>
          <w:sz w:val="22"/>
        </w:rPr>
        <w:t>：</w:t>
      </w:r>
    </w:p>
    <w:p>
      <w:pPr>
        <w:pStyle w:val="ListParagraph"/>
        <w:numPr>
          <w:ilvl w:val="3"/>
          <w:numId w:val="21"/>
        </w:numPr>
        <w:tabs>
          <w:tab w:pos="2881" w:val="left" w:leader="none"/>
        </w:tabs>
        <w:spacing w:line="240" w:lineRule="auto" w:before="56" w:after="0"/>
        <w:ind w:left="2881" w:right="0" w:hanging="454"/>
        <w:jc w:val="left"/>
        <w:rPr>
          <w:sz w:val="22"/>
        </w:rPr>
      </w:pPr>
      <w:r>
        <w:rPr>
          <w:spacing w:val="-3"/>
          <w:sz w:val="22"/>
        </w:rPr>
        <w:t>药物治疗无法控制病情；</w:t>
      </w:r>
    </w:p>
    <w:p>
      <w:pPr>
        <w:pStyle w:val="ListParagraph"/>
        <w:numPr>
          <w:ilvl w:val="3"/>
          <w:numId w:val="21"/>
        </w:numPr>
        <w:tabs>
          <w:tab w:pos="2881" w:val="left" w:leader="none"/>
        </w:tabs>
        <w:spacing w:line="316" w:lineRule="auto" w:before="91" w:after="0"/>
        <w:ind w:left="2881" w:right="112" w:hanging="454"/>
        <w:jc w:val="left"/>
        <w:rPr>
          <w:sz w:val="22"/>
        </w:rPr>
      </w:pPr>
      <w:r>
        <w:rPr>
          <w:sz w:val="22"/>
        </w:rPr>
        <w:t>自主生活能力完全丧失，无法独立完成六项基本日常生活活动中的三项</w:t>
      </w:r>
      <w:r>
        <w:rPr>
          <w:spacing w:val="-1"/>
          <w:sz w:val="22"/>
        </w:rPr>
        <w:t>或三项以上。</w:t>
      </w:r>
    </w:p>
    <w:p>
      <w:pPr>
        <w:pStyle w:val="BodyText"/>
        <w:spacing w:before="23"/>
        <w:ind w:left="2427"/>
      </w:pPr>
      <w:r>
        <w:rPr>
          <w:shd w:fill="D9D9D9" w:color="auto" w:val="clear"/>
        </w:rPr>
        <w:t>继发性帕金森综合征不在保障范围内。</w:t>
      </w:r>
    </w:p>
    <w:p>
      <w:pPr>
        <w:pStyle w:val="BodyText"/>
        <w:spacing w:line="316" w:lineRule="auto" w:before="91"/>
        <w:ind w:left="2427" w:right="109"/>
      </w:pPr>
      <w:r>
        <w:rPr>
          <w:spacing w:val="6"/>
          <w:shd w:fill="D9D9D9" w:color="auto" w:val="clear"/>
        </w:rPr>
        <w:t>在 </w:t>
      </w:r>
      <w:r>
        <w:rPr>
          <w:shd w:fill="D9D9D9" w:color="auto" w:val="clear"/>
        </w:rPr>
        <w:t>70</w:t>
      </w:r>
      <w:r>
        <w:rPr>
          <w:spacing w:val="0"/>
          <w:shd w:fill="D9D9D9" w:color="auto" w:val="clear"/>
        </w:rPr>
        <w:t> 周岁以上</w:t>
      </w:r>
      <w:r>
        <w:rPr>
          <w:shd w:fill="D9D9D9" w:color="auto" w:val="clear"/>
        </w:rPr>
        <w:t>（</w:t>
      </w:r>
      <w:r>
        <w:rPr>
          <w:spacing w:val="7"/>
          <w:shd w:fill="D9D9D9" w:color="auto" w:val="clear"/>
        </w:rPr>
        <w:t>含 </w:t>
      </w:r>
      <w:r>
        <w:rPr>
          <w:shd w:fill="D9D9D9" w:color="auto" w:val="clear"/>
        </w:rPr>
        <w:t>70</w:t>
      </w:r>
      <w:r>
        <w:rPr>
          <w:spacing w:val="2"/>
          <w:shd w:fill="D9D9D9" w:color="auto" w:val="clear"/>
        </w:rPr>
        <w:t> 周岁</w:t>
      </w:r>
      <w:r>
        <w:rPr>
          <w:shd w:fill="D9D9D9" w:color="auto" w:val="clear"/>
        </w:rPr>
        <w:t>），被保险人罹患严重帕金森病不在保障范围</w:t>
      </w:r>
      <w:r>
        <w:rPr>
          <w:spacing w:val="-221"/>
          <w:shd w:fill="D9D9D9" w:color="auto" w:val="clear"/>
        </w:rPr>
        <w:t>内</w:t>
      </w:r>
      <w:r>
        <w:rPr>
          <w:shd w:fill="D9D9D9" w:color="auto" w:val="clear"/>
        </w:rPr>
        <w:t>。</w:t>
      </w:r>
    </w:p>
    <w:p>
      <w:pPr>
        <w:pStyle w:val="BodyText"/>
        <w:spacing w:before="10"/>
        <w:rPr>
          <w:sz w:val="25"/>
        </w:rPr>
      </w:pPr>
    </w:p>
    <w:p>
      <w:pPr>
        <w:pStyle w:val="ListParagraph"/>
        <w:numPr>
          <w:ilvl w:val="2"/>
          <w:numId w:val="21"/>
        </w:numPr>
        <w:tabs>
          <w:tab w:pos="911" w:val="left" w:leader="none"/>
        </w:tabs>
        <w:spacing w:line="280" w:lineRule="auto" w:before="0" w:after="0"/>
        <w:ind w:left="2427" w:right="110" w:hanging="2314"/>
        <w:jc w:val="both"/>
        <w:rPr>
          <w:sz w:val="22"/>
        </w:rPr>
      </w:pPr>
      <w:r>
        <w:rPr>
          <w:rFonts w:ascii="微软雅黑" w:hAnsi="微软雅黑" w:eastAsia="微软雅黑" w:hint="eastAsia"/>
          <w:b/>
          <w:spacing w:val="2"/>
          <w:sz w:val="22"/>
        </w:rPr>
        <w:t>严重Ⅲ度烧伤 </w:t>
      </w:r>
      <w:r>
        <w:rPr>
          <w:spacing w:val="1"/>
          <w:sz w:val="22"/>
        </w:rPr>
        <w:t>指烧伤程度为Ⅲ度，且Ⅲ度烧伤的面积达到全身体表面积的 </w:t>
      </w:r>
      <w:r>
        <w:rPr>
          <w:sz w:val="22"/>
        </w:rPr>
        <w:t>20％</w:t>
      </w:r>
      <w:r>
        <w:rPr>
          <w:spacing w:val="10"/>
          <w:sz w:val="22"/>
        </w:rPr>
        <w:t>或 </w:t>
      </w:r>
      <w:r>
        <w:rPr>
          <w:sz w:val="22"/>
        </w:rPr>
        <w:t>20%以</w:t>
      </w:r>
      <w:r>
        <w:rPr>
          <w:spacing w:val="-3"/>
          <w:sz w:val="22"/>
        </w:rPr>
        <w:t>上。体表面积根据《中国新九分法》计算。</w:t>
      </w:r>
    </w:p>
    <w:p>
      <w:pPr>
        <w:pStyle w:val="BodyText"/>
        <w:spacing w:before="3"/>
        <w:rPr>
          <w:sz w:val="28"/>
        </w:rPr>
      </w:pPr>
    </w:p>
    <w:p>
      <w:pPr>
        <w:spacing w:after="0"/>
        <w:rPr>
          <w:sz w:val="28"/>
        </w:rPr>
        <w:sectPr>
          <w:type w:val="continuous"/>
          <w:pgSz w:w="11910" w:h="16840"/>
          <w:pgMar w:top="680" w:bottom="660" w:left="1020" w:right="1020"/>
        </w:sectPr>
      </w:pPr>
    </w:p>
    <w:p>
      <w:pPr>
        <w:pStyle w:val="Heading4"/>
        <w:numPr>
          <w:ilvl w:val="2"/>
          <w:numId w:val="21"/>
        </w:numPr>
        <w:tabs>
          <w:tab w:pos="911" w:val="left" w:leader="none"/>
        </w:tabs>
        <w:spacing w:line="380" w:lineRule="exact" w:before="0" w:after="0"/>
        <w:ind w:left="2427" w:right="0" w:hanging="2314"/>
        <w:jc w:val="left"/>
      </w:pPr>
      <w:r>
        <w:rPr/>
        <w:t>严重原发性肺</w:t>
      </w:r>
    </w:p>
    <w:p>
      <w:pPr>
        <w:spacing w:line="380" w:lineRule="exact" w:before="0"/>
        <w:ind w:left="910" w:right="0" w:firstLine="0"/>
        <w:jc w:val="left"/>
        <w:rPr>
          <w:rFonts w:ascii="微软雅黑" w:eastAsia="微软雅黑" w:hint="eastAsia"/>
          <w:b/>
          <w:sz w:val="22"/>
        </w:rPr>
      </w:pPr>
      <w:r>
        <w:rPr>
          <w:rFonts w:ascii="微软雅黑" w:eastAsia="微软雅黑" w:hint="eastAsia"/>
          <w:b/>
          <w:sz w:val="22"/>
        </w:rPr>
        <w:t>动脉高压</w:t>
      </w:r>
    </w:p>
    <w:p>
      <w:pPr>
        <w:pStyle w:val="BodyText"/>
        <w:spacing w:line="316" w:lineRule="auto" w:before="66"/>
        <w:ind w:left="113" w:right="110"/>
      </w:pPr>
      <w:r>
        <w:rPr/>
        <w:br w:type="column"/>
      </w:r>
      <w:r>
        <w:rPr/>
        <w:t>指不明原因的肺动脉压力持续性增高，进行性发展而导致的慢性疾病，已经造成永久不可逆性的体力活动能力受限，达到美国纽约心脏病学会心功能状</w:t>
      </w:r>
    </w:p>
    <w:p>
      <w:pPr>
        <w:spacing w:after="0" w:line="316" w:lineRule="auto"/>
        <w:sectPr>
          <w:type w:val="continuous"/>
          <w:pgSz w:w="11910" w:h="16840"/>
          <w:pgMar w:top="680" w:bottom="660" w:left="1020" w:right="1020"/>
          <w:cols w:num="2" w:equalWidth="0">
            <w:col w:w="2235" w:space="79"/>
            <w:col w:w="7556"/>
          </w:cols>
        </w:sectPr>
      </w:pPr>
    </w:p>
    <w:p>
      <w:pPr>
        <w:pStyle w:val="BodyText"/>
        <w:rPr>
          <w:sz w:val="20"/>
        </w:rPr>
      </w:pPr>
    </w:p>
    <w:p>
      <w:pPr>
        <w:pStyle w:val="BodyText"/>
        <w:rPr>
          <w:sz w:val="20"/>
        </w:rPr>
      </w:pPr>
    </w:p>
    <w:p>
      <w:pPr>
        <w:pStyle w:val="BodyText"/>
        <w:spacing w:before="7"/>
        <w:rPr>
          <w:sz w:val="16"/>
        </w:rPr>
      </w:pPr>
    </w:p>
    <w:p>
      <w:pPr>
        <w:pStyle w:val="BodyText"/>
        <w:spacing w:before="33"/>
        <w:ind w:left="2427"/>
      </w:pPr>
      <w:r>
        <w:rPr/>
        <w:t>态分级 IV 级，且静息状态下肺动脉平均压超过 30mmHg。</w:t>
      </w:r>
    </w:p>
    <w:p>
      <w:pPr>
        <w:pStyle w:val="BodyText"/>
        <w:rPr>
          <w:sz w:val="20"/>
        </w:rPr>
      </w:pPr>
    </w:p>
    <w:p>
      <w:pPr>
        <w:spacing w:after="0"/>
        <w:rPr>
          <w:sz w:val="20"/>
        </w:rPr>
        <w:sectPr>
          <w:pgSz w:w="11910" w:h="16840"/>
          <w:pgMar w:header="484" w:footer="479" w:top="680" w:bottom="660" w:left="1020" w:right="1020"/>
        </w:sectPr>
      </w:pPr>
    </w:p>
    <w:p>
      <w:pPr>
        <w:pStyle w:val="Heading4"/>
        <w:numPr>
          <w:ilvl w:val="2"/>
          <w:numId w:val="21"/>
        </w:numPr>
        <w:tabs>
          <w:tab w:pos="911" w:val="left" w:leader="none"/>
        </w:tabs>
        <w:spacing w:line="240" w:lineRule="auto" w:before="143" w:after="0"/>
        <w:ind w:left="910" w:right="0" w:hanging="797"/>
        <w:jc w:val="left"/>
      </w:pPr>
      <w:r>
        <w:rPr/>
        <w:t>严重运动神经元病</w:t>
      </w:r>
    </w:p>
    <w:p>
      <w:pPr>
        <w:pStyle w:val="BodyText"/>
        <w:spacing w:before="1"/>
        <w:rPr>
          <w:rFonts w:ascii="微软雅黑"/>
          <w:b/>
          <w:sz w:val="12"/>
        </w:rPr>
      </w:pPr>
      <w:r>
        <w:rPr/>
        <w:br w:type="column"/>
      </w:r>
      <w:r>
        <w:rPr>
          <w:rFonts w:ascii="微软雅黑"/>
          <w:b/>
          <w:sz w:val="12"/>
        </w:rPr>
      </w:r>
    </w:p>
    <w:p>
      <w:pPr>
        <w:pStyle w:val="BodyText"/>
        <w:spacing w:line="316" w:lineRule="auto"/>
        <w:ind w:left="113" w:right="107"/>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316" w:lineRule="auto"/>
        <w:jc w:val="both"/>
        <w:sectPr>
          <w:type w:val="continuous"/>
          <w:pgSz w:w="11910" w:h="16840"/>
          <w:pgMar w:top="680" w:bottom="660" w:left="1020" w:right="1020"/>
          <w:cols w:num="2" w:equalWidth="0">
            <w:col w:w="2235" w:space="79"/>
            <w:col w:w="7556"/>
          </w:cols>
        </w:sectPr>
      </w:pPr>
    </w:p>
    <w:p>
      <w:pPr>
        <w:pStyle w:val="BodyText"/>
        <w:spacing w:before="9"/>
        <w:rPr>
          <w:sz w:val="25"/>
        </w:rPr>
      </w:pPr>
    </w:p>
    <w:p>
      <w:pPr>
        <w:pStyle w:val="ListParagraph"/>
        <w:numPr>
          <w:ilvl w:val="2"/>
          <w:numId w:val="21"/>
        </w:numPr>
        <w:tabs>
          <w:tab w:pos="911" w:val="left" w:leader="none"/>
        </w:tabs>
        <w:spacing w:line="240" w:lineRule="auto" w:before="0" w:after="0"/>
        <w:ind w:left="2427" w:right="0" w:hanging="2314"/>
        <w:jc w:val="left"/>
        <w:rPr>
          <w:sz w:val="22"/>
        </w:rPr>
      </w:pPr>
      <w:r>
        <w:rPr>
          <w:rFonts w:ascii="微软雅黑" w:eastAsia="微软雅黑" w:hint="eastAsia"/>
          <w:b/>
          <w:spacing w:val="1"/>
          <w:sz w:val="22"/>
        </w:rPr>
        <w:t>语言能力丧失   </w:t>
      </w:r>
      <w:r>
        <w:rPr>
          <w:spacing w:val="5"/>
          <w:sz w:val="22"/>
        </w:rPr>
        <w:t>指因疾病或意外伤害导致完全丧失语言能力，经过积极治疗至少 </w:t>
      </w:r>
      <w:r>
        <w:rPr>
          <w:sz w:val="22"/>
        </w:rPr>
        <w:t>12</w:t>
      </w:r>
      <w:r>
        <w:rPr>
          <w:spacing w:val="10"/>
          <w:sz w:val="22"/>
        </w:rPr>
        <w:t> 个月</w:t>
      </w:r>
    </w:p>
    <w:p>
      <w:pPr>
        <w:pStyle w:val="BodyText"/>
        <w:spacing w:line="319" w:lineRule="auto" w:before="64"/>
        <w:ind w:left="2427" w:right="837"/>
      </w:pPr>
      <w:r>
        <w:rPr/>
        <w:t>（声带完全切除不受此时间限制），仍无法通过现有医疗手段恢复。</w:t>
      </w:r>
      <w:r>
        <w:rPr>
          <w:shd w:fill="D9D9D9" w:color="auto" w:val="clear"/>
        </w:rPr>
        <w:t>精神心理因素所致的语言能力丧失不在保障范围内。</w:t>
      </w:r>
    </w:p>
    <w:p>
      <w:pPr>
        <w:pStyle w:val="BodyText"/>
        <w:spacing w:line="316" w:lineRule="auto" w:before="18"/>
        <w:ind w:left="2427" w:right="110"/>
      </w:pPr>
      <w:r>
        <w:rPr>
          <w:shd w:fill="D9D9D9" w:color="auto" w:val="clear"/>
        </w:rPr>
        <w:t>被保险人申请理赔时年龄必须在三周岁以上，并且提供理赔当时的语言能力丧失诊断及检查证据。</w:t>
      </w:r>
    </w:p>
    <w:p>
      <w:pPr>
        <w:pStyle w:val="BodyText"/>
        <w:spacing w:before="9"/>
        <w:rPr>
          <w:sz w:val="25"/>
        </w:rPr>
      </w:pPr>
    </w:p>
    <w:p>
      <w:pPr>
        <w:spacing w:after="0"/>
        <w:rPr>
          <w:sz w:val="25"/>
        </w:rPr>
        <w:sectPr>
          <w:type w:val="continuous"/>
          <w:pgSz w:w="11910" w:h="16840"/>
          <w:pgMar w:top="680" w:bottom="660" w:left="1020" w:right="1020"/>
        </w:sectPr>
      </w:pPr>
    </w:p>
    <w:p>
      <w:pPr>
        <w:pStyle w:val="Heading4"/>
        <w:numPr>
          <w:ilvl w:val="2"/>
          <w:numId w:val="21"/>
        </w:numPr>
        <w:tabs>
          <w:tab w:pos="911" w:val="left" w:leader="none"/>
        </w:tabs>
        <w:spacing w:line="240" w:lineRule="auto" w:before="1" w:after="0"/>
        <w:ind w:left="910" w:right="0" w:hanging="797"/>
        <w:jc w:val="left"/>
      </w:pPr>
      <w:r>
        <w:rPr/>
        <w:t>重型再生障碍性贫血</w:t>
      </w:r>
    </w:p>
    <w:p>
      <w:pPr>
        <w:pStyle w:val="BodyText"/>
        <w:spacing w:line="316" w:lineRule="auto" w:before="66"/>
        <w:ind w:left="113" w:right="103"/>
      </w:pPr>
      <w:r>
        <w:rPr/>
        <w:br w:type="column"/>
      </w:r>
      <w:r>
        <w:rPr/>
        <w:t>指因骨髓造血功能慢性持续性衰竭导致的贫血、中性粒细胞减少及血小板减少。</w:t>
      </w:r>
      <w:r>
        <w:rPr>
          <w:shd w:fill="D9D9D9" w:color="auto" w:val="clear"/>
        </w:rPr>
        <w:t>须满足下列全部条件</w:t>
      </w:r>
      <w:r>
        <w:rPr/>
        <w:t>：</w:t>
      </w:r>
    </w:p>
    <w:p>
      <w:pPr>
        <w:pStyle w:val="ListParagraph"/>
        <w:numPr>
          <w:ilvl w:val="0"/>
          <w:numId w:val="24"/>
        </w:numPr>
        <w:tabs>
          <w:tab w:pos="567" w:val="left" w:leader="none"/>
        </w:tabs>
        <w:spacing w:line="240" w:lineRule="auto" w:before="23" w:after="0"/>
        <w:ind w:left="566" w:right="0" w:hanging="453"/>
        <w:jc w:val="left"/>
        <w:rPr>
          <w:sz w:val="22"/>
        </w:rPr>
      </w:pPr>
      <w:r>
        <w:rPr>
          <w:spacing w:val="-3"/>
          <w:sz w:val="22"/>
        </w:rPr>
        <w:t>骨髓穿刺检查或骨髓活检结果支持诊断；</w:t>
      </w:r>
    </w:p>
    <w:p>
      <w:pPr>
        <w:pStyle w:val="ListParagraph"/>
        <w:numPr>
          <w:ilvl w:val="0"/>
          <w:numId w:val="24"/>
        </w:numPr>
        <w:tabs>
          <w:tab w:pos="567" w:val="left" w:leader="none"/>
        </w:tabs>
        <w:spacing w:line="240" w:lineRule="auto" w:before="91" w:after="0"/>
        <w:ind w:left="566" w:right="0" w:hanging="453"/>
        <w:jc w:val="left"/>
        <w:rPr>
          <w:sz w:val="22"/>
        </w:rPr>
      </w:pPr>
      <w:r>
        <w:rPr>
          <w:spacing w:val="-3"/>
          <w:sz w:val="22"/>
        </w:rPr>
        <w:t>外周血象须具备以下三项条件：</w:t>
      </w:r>
    </w:p>
    <w:p>
      <w:pPr>
        <w:pStyle w:val="BodyText"/>
        <w:spacing w:before="90"/>
        <w:ind w:left="566"/>
      </w:pPr>
      <w:r>
        <w:rPr/>
        <w:t>① 中性粒细胞绝对值≤0.5×10</w:t>
      </w:r>
      <w:r>
        <w:rPr>
          <w:position w:val="11"/>
          <w:sz w:val="11"/>
        </w:rPr>
        <w:t>9</w:t>
      </w:r>
      <w:r>
        <w:rPr/>
        <w:t>/L ；</w:t>
      </w:r>
    </w:p>
    <w:p>
      <w:pPr>
        <w:pStyle w:val="BodyText"/>
        <w:spacing w:before="93"/>
        <w:ind w:left="566"/>
      </w:pPr>
      <w:r>
        <w:rPr/>
        <w:t>② 网织红细胞＜1%；</w:t>
      </w:r>
    </w:p>
    <w:p>
      <w:pPr>
        <w:pStyle w:val="BodyText"/>
        <w:spacing w:before="91"/>
        <w:ind w:left="566"/>
      </w:pPr>
      <w:r>
        <w:rPr/>
        <w:t>③ 血小板绝对值≤20×10</w:t>
      </w:r>
      <w:r>
        <w:rPr>
          <w:position w:val="11"/>
          <w:sz w:val="11"/>
        </w:rPr>
        <w:t>9</w:t>
      </w:r>
      <w:r>
        <w:rPr/>
        <w:t>/L。</w:t>
      </w:r>
    </w:p>
    <w:p>
      <w:pPr>
        <w:spacing w:after="0"/>
        <w:sectPr>
          <w:type w:val="continuous"/>
          <w:pgSz w:w="11910" w:h="16840"/>
          <w:pgMar w:top="680" w:bottom="660" w:left="1020" w:right="1020"/>
          <w:cols w:num="2" w:equalWidth="0">
            <w:col w:w="2235" w:space="79"/>
            <w:col w:w="7556"/>
          </w:cols>
        </w:sectPr>
      </w:pPr>
    </w:p>
    <w:p>
      <w:pPr>
        <w:pStyle w:val="BodyText"/>
        <w:rPr>
          <w:sz w:val="20"/>
        </w:rPr>
      </w:pPr>
    </w:p>
    <w:p>
      <w:pPr>
        <w:pStyle w:val="ListParagraph"/>
        <w:numPr>
          <w:ilvl w:val="2"/>
          <w:numId w:val="21"/>
        </w:numPr>
        <w:tabs>
          <w:tab w:pos="911" w:val="left" w:leader="none"/>
        </w:tabs>
        <w:spacing w:line="295" w:lineRule="auto" w:before="145" w:after="0"/>
        <w:ind w:left="2427" w:right="110" w:hanging="2314"/>
        <w:jc w:val="both"/>
        <w:rPr>
          <w:sz w:val="22"/>
        </w:rPr>
      </w:pPr>
      <w:r>
        <w:rPr>
          <w:rFonts w:ascii="微软雅黑" w:eastAsia="微软雅黑" w:hint="eastAsia"/>
          <w:b/>
          <w:spacing w:val="1"/>
          <w:sz w:val="22"/>
        </w:rPr>
        <w:t>主动脉手术    </w:t>
      </w:r>
      <w:r>
        <w:rPr>
          <w:sz w:val="22"/>
        </w:rPr>
        <w:t>指为治疗主动脉疾病，实际实施了开胸或开腹进行的切除、置换、修补病损主动脉血管的手术。主动脉指胸主动脉和腹主动脉，不包括胸主动脉和腹主</w:t>
      </w:r>
      <w:r>
        <w:rPr>
          <w:spacing w:val="-2"/>
          <w:sz w:val="22"/>
        </w:rPr>
        <w:t>动脉的分支血管。</w:t>
      </w:r>
    </w:p>
    <w:p>
      <w:pPr>
        <w:pStyle w:val="BodyText"/>
        <w:spacing w:before="43"/>
        <w:ind w:left="2427"/>
      </w:pPr>
      <w:r>
        <w:rPr>
          <w:shd w:fill="D9D9D9" w:color="auto" w:val="clear"/>
        </w:rPr>
        <w:t>动脉内血管成形术不在保障范围内。</w:t>
      </w:r>
    </w:p>
    <w:p>
      <w:pPr>
        <w:pStyle w:val="BodyText"/>
      </w:pPr>
    </w:p>
    <w:p>
      <w:pPr>
        <w:pStyle w:val="Heading4"/>
        <w:spacing w:line="319" w:lineRule="auto" w:before="182"/>
        <w:ind w:left="2427" w:right="113"/>
        <w:rPr>
          <w:rFonts w:ascii="宋体" w:eastAsia="宋体" w:hint="eastAsia"/>
        </w:rPr>
      </w:pPr>
      <w:r>
        <w:rPr>
          <w:rFonts w:ascii="宋体" w:eastAsia="宋体" w:hint="eastAsia"/>
        </w:rPr>
        <w:t>以上是中国保险行业协会与中国医师协会制定的《重大疾病保险疾病定义使用规范》所规范的重大疾病种类，以下是本公司为扩大保障范围所增设的</w:t>
      </w:r>
    </w:p>
    <w:p>
      <w:pPr>
        <w:spacing w:before="18"/>
        <w:ind w:left="2427" w:right="0" w:firstLine="0"/>
        <w:jc w:val="left"/>
        <w:rPr>
          <w:b/>
          <w:sz w:val="22"/>
        </w:rPr>
      </w:pPr>
      <w:r>
        <w:rPr>
          <w:b/>
          <w:sz w:val="22"/>
        </w:rPr>
        <w:t>45 种重大疾病。</w:t>
      </w:r>
    </w:p>
    <w:p>
      <w:pPr>
        <w:pStyle w:val="BodyText"/>
        <w:rPr>
          <w:b/>
          <w:sz w:val="20"/>
        </w:rPr>
      </w:pPr>
    </w:p>
    <w:p>
      <w:pPr>
        <w:spacing w:after="0"/>
        <w:rPr>
          <w:sz w:val="20"/>
        </w:rPr>
        <w:sectPr>
          <w:type w:val="continuous"/>
          <w:pgSz w:w="11910" w:h="16840"/>
          <w:pgMar w:top="680" w:bottom="660" w:left="1020" w:right="1020"/>
        </w:sectPr>
      </w:pPr>
    </w:p>
    <w:p>
      <w:pPr>
        <w:pStyle w:val="ListParagraph"/>
        <w:numPr>
          <w:ilvl w:val="2"/>
          <w:numId w:val="21"/>
        </w:numPr>
        <w:tabs>
          <w:tab w:pos="911" w:val="left" w:leader="none"/>
        </w:tabs>
        <w:spacing w:line="240" w:lineRule="auto" w:before="145" w:after="0"/>
        <w:ind w:left="910" w:right="0" w:hanging="797"/>
        <w:jc w:val="left"/>
        <w:rPr>
          <w:rFonts w:ascii="微软雅黑" w:eastAsia="微软雅黑" w:hint="eastAsia"/>
          <w:b/>
          <w:sz w:val="22"/>
        </w:rPr>
      </w:pPr>
      <w:r>
        <w:rPr>
          <w:rFonts w:ascii="微软雅黑" w:eastAsia="微软雅黑" w:hint="eastAsia"/>
          <w:b/>
          <w:sz w:val="22"/>
        </w:rPr>
        <w:t>慢性呼吸功能衰竭</w:t>
      </w:r>
    </w:p>
    <w:p>
      <w:pPr>
        <w:pStyle w:val="BodyText"/>
        <w:spacing w:before="3"/>
        <w:rPr>
          <w:rFonts w:ascii="微软雅黑"/>
          <w:b/>
          <w:sz w:val="12"/>
        </w:rPr>
      </w:pPr>
      <w:r>
        <w:rPr/>
        <w:br w:type="column"/>
      </w:r>
      <w:r>
        <w:rPr>
          <w:rFonts w:ascii="微软雅黑"/>
          <w:b/>
          <w:sz w:val="12"/>
        </w:rPr>
      </w:r>
    </w:p>
    <w:p>
      <w:pPr>
        <w:pStyle w:val="BodyText"/>
        <w:spacing w:line="316" w:lineRule="auto"/>
        <w:ind w:left="113" w:right="107"/>
      </w:pPr>
      <w:r>
        <w:rPr/>
        <w:t>慢性肺部疾病导致永久不可逆性的慢性呼吸功能衰竭，</w:t>
      </w:r>
      <w:r>
        <w:rPr>
          <w:shd w:fill="D9D9D9" w:color="auto" w:val="clear"/>
        </w:rPr>
        <w:t>必须符合下列所有条件</w:t>
      </w:r>
      <w:r>
        <w:rPr/>
        <w:t>：</w:t>
      </w:r>
    </w:p>
    <w:p>
      <w:pPr>
        <w:pStyle w:val="ListParagraph"/>
        <w:numPr>
          <w:ilvl w:val="0"/>
          <w:numId w:val="25"/>
        </w:numPr>
        <w:tabs>
          <w:tab w:pos="567" w:val="left" w:leader="none"/>
        </w:tabs>
        <w:spacing w:line="240" w:lineRule="auto" w:before="20" w:after="0"/>
        <w:ind w:left="566" w:right="0" w:hanging="453"/>
        <w:jc w:val="left"/>
        <w:rPr>
          <w:sz w:val="22"/>
        </w:rPr>
      </w:pPr>
      <w:r>
        <w:rPr>
          <w:spacing w:val="-2"/>
          <w:sz w:val="22"/>
        </w:rPr>
        <w:t>休息时出现呼吸困难；</w:t>
      </w:r>
    </w:p>
    <w:p>
      <w:pPr>
        <w:pStyle w:val="ListParagraph"/>
        <w:numPr>
          <w:ilvl w:val="0"/>
          <w:numId w:val="25"/>
        </w:numPr>
        <w:tabs>
          <w:tab w:pos="567" w:val="left" w:leader="none"/>
        </w:tabs>
        <w:spacing w:line="240" w:lineRule="auto" w:before="92" w:after="0"/>
        <w:ind w:left="566" w:right="0" w:hanging="453"/>
        <w:jc w:val="left"/>
        <w:rPr>
          <w:sz w:val="22"/>
        </w:rPr>
      </w:pPr>
      <w:r>
        <w:rPr>
          <w:spacing w:val="-1"/>
          <w:position w:val="1"/>
          <w:sz w:val="22"/>
        </w:rPr>
        <w:t>动脉血氧分压 </w:t>
      </w:r>
      <w:r>
        <w:rPr>
          <w:position w:val="1"/>
          <w:sz w:val="22"/>
        </w:rPr>
        <w:t>（PaO</w:t>
      </w:r>
      <w:r>
        <w:rPr>
          <w:sz w:val="11"/>
        </w:rPr>
        <w:t>2</w:t>
      </w:r>
      <w:r>
        <w:rPr>
          <w:position w:val="1"/>
          <w:sz w:val="22"/>
        </w:rPr>
        <w:t>）&lt; 50mmHg；</w:t>
      </w:r>
    </w:p>
    <w:p>
      <w:pPr>
        <w:pStyle w:val="ListParagraph"/>
        <w:numPr>
          <w:ilvl w:val="0"/>
          <w:numId w:val="25"/>
        </w:numPr>
        <w:tabs>
          <w:tab w:pos="567" w:val="left" w:leader="none"/>
        </w:tabs>
        <w:spacing w:line="240" w:lineRule="auto" w:before="90" w:after="0"/>
        <w:ind w:left="566" w:right="0" w:hanging="453"/>
        <w:jc w:val="left"/>
        <w:rPr>
          <w:sz w:val="22"/>
        </w:rPr>
      </w:pPr>
      <w:r>
        <w:rPr>
          <w:spacing w:val="-1"/>
          <w:position w:val="1"/>
          <w:sz w:val="22"/>
        </w:rPr>
        <w:t>动脉血氧饱和度 </w:t>
      </w:r>
      <w:r>
        <w:rPr>
          <w:position w:val="1"/>
          <w:sz w:val="22"/>
        </w:rPr>
        <w:t>（SaO</w:t>
      </w:r>
      <w:r>
        <w:rPr>
          <w:sz w:val="11"/>
        </w:rPr>
        <w:t>2</w:t>
      </w:r>
      <w:r>
        <w:rPr>
          <w:position w:val="1"/>
          <w:sz w:val="22"/>
        </w:rPr>
        <w:t>）&lt;</w:t>
      </w:r>
      <w:r>
        <w:rPr>
          <w:spacing w:val="0"/>
          <w:position w:val="1"/>
          <w:sz w:val="22"/>
        </w:rPr>
        <w:t> </w:t>
      </w:r>
      <w:r>
        <w:rPr>
          <w:position w:val="1"/>
          <w:sz w:val="22"/>
        </w:rPr>
        <w:t>80％；</w:t>
      </w:r>
    </w:p>
    <w:p>
      <w:pPr>
        <w:pStyle w:val="ListParagraph"/>
        <w:numPr>
          <w:ilvl w:val="0"/>
          <w:numId w:val="25"/>
        </w:numPr>
        <w:tabs>
          <w:tab w:pos="567" w:val="left" w:leader="none"/>
        </w:tabs>
        <w:spacing w:line="240" w:lineRule="auto" w:before="91" w:after="0"/>
        <w:ind w:left="566" w:right="0" w:hanging="453"/>
        <w:jc w:val="left"/>
        <w:rPr>
          <w:sz w:val="22"/>
        </w:rPr>
      </w:pPr>
      <w:r>
        <w:rPr>
          <w:spacing w:val="-3"/>
          <w:sz w:val="22"/>
        </w:rPr>
        <w:t>因缺氧必须接受持续的输氧治疗。</w:t>
      </w:r>
    </w:p>
    <w:p>
      <w:pPr>
        <w:spacing w:after="0" w:line="240" w:lineRule="auto"/>
        <w:jc w:val="left"/>
        <w:rPr>
          <w:sz w:val="22"/>
        </w:rPr>
        <w:sectPr>
          <w:type w:val="continuous"/>
          <w:pgSz w:w="11910" w:h="16840"/>
          <w:pgMar w:top="680" w:bottom="660" w:left="1020" w:right="1020"/>
          <w:cols w:num="2" w:equalWidth="0">
            <w:col w:w="2235" w:space="79"/>
            <w:col w:w="7556"/>
          </w:cols>
        </w:sectPr>
      </w:pPr>
    </w:p>
    <w:p>
      <w:pPr>
        <w:pStyle w:val="BodyText"/>
        <w:rPr>
          <w:sz w:val="20"/>
        </w:rPr>
      </w:pPr>
    </w:p>
    <w:p>
      <w:pPr>
        <w:pStyle w:val="BodyText"/>
        <w:rPr>
          <w:sz w:val="20"/>
        </w:rPr>
      </w:pPr>
    </w:p>
    <w:p>
      <w:pPr>
        <w:pStyle w:val="BodyText"/>
        <w:rPr>
          <w:sz w:val="20"/>
        </w:rPr>
      </w:pPr>
    </w:p>
    <w:p>
      <w:pPr>
        <w:pStyle w:val="BodyText"/>
        <w:rPr>
          <w:sz w:val="23"/>
        </w:rPr>
      </w:pPr>
    </w:p>
    <w:p>
      <w:pPr>
        <w:spacing w:after="0"/>
        <w:rPr>
          <w:sz w:val="23"/>
        </w:rPr>
        <w:sectPr>
          <w:pgSz w:w="11910" w:h="16840"/>
          <w:pgMar w:header="484" w:footer="479" w:top="680" w:bottom="660" w:left="1020" w:right="1020"/>
        </w:sectPr>
      </w:pPr>
    </w:p>
    <w:p>
      <w:pPr>
        <w:pStyle w:val="Heading4"/>
        <w:numPr>
          <w:ilvl w:val="2"/>
          <w:numId w:val="21"/>
        </w:numPr>
        <w:tabs>
          <w:tab w:pos="911" w:val="left" w:leader="none"/>
        </w:tabs>
        <w:spacing w:line="380" w:lineRule="exact" w:before="0" w:after="0"/>
        <w:ind w:left="2427" w:right="0" w:hanging="2314"/>
        <w:jc w:val="left"/>
      </w:pPr>
      <w:r>
        <w:rPr/>
        <w:t>严重多发性硬</w:t>
      </w:r>
    </w:p>
    <w:p>
      <w:pPr>
        <w:spacing w:line="380" w:lineRule="exact" w:before="0"/>
        <w:ind w:left="0" w:right="191" w:firstLine="0"/>
        <w:jc w:val="center"/>
        <w:rPr>
          <w:rFonts w:ascii="微软雅黑" w:eastAsia="微软雅黑" w:hint="eastAsia"/>
          <w:b/>
          <w:sz w:val="22"/>
        </w:rPr>
      </w:pPr>
      <w:r>
        <w:rPr>
          <w:rFonts w:ascii="微软雅黑" w:eastAsia="微软雅黑" w:hint="eastAsia"/>
          <w:b/>
          <w:w w:val="100"/>
          <w:sz w:val="22"/>
        </w:rPr>
        <w:t>化</w:t>
      </w:r>
    </w:p>
    <w:p>
      <w:pPr>
        <w:pStyle w:val="BodyText"/>
        <w:spacing w:line="316" w:lineRule="auto" w:before="66"/>
        <w:ind w:left="113" w:right="110"/>
        <w:jc w:val="both"/>
      </w:pPr>
      <w:r>
        <w:rPr/>
        <w:br w:type="column"/>
      </w:r>
      <w:r>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ListParagraph"/>
        <w:numPr>
          <w:ilvl w:val="0"/>
          <w:numId w:val="26"/>
        </w:numPr>
        <w:tabs>
          <w:tab w:pos="567" w:val="left" w:leader="none"/>
        </w:tabs>
        <w:spacing w:line="240" w:lineRule="auto" w:before="20" w:after="0"/>
        <w:ind w:left="566" w:right="0" w:hanging="453"/>
        <w:jc w:val="both"/>
        <w:rPr>
          <w:sz w:val="22"/>
        </w:rPr>
      </w:pPr>
      <w:r>
        <w:rPr>
          <w:spacing w:val="-3"/>
          <w:sz w:val="22"/>
        </w:rPr>
        <w:t>移动：自己从一个房间移动到另一个房间；或者</w:t>
      </w:r>
    </w:p>
    <w:p>
      <w:pPr>
        <w:pStyle w:val="ListParagraph"/>
        <w:numPr>
          <w:ilvl w:val="0"/>
          <w:numId w:val="26"/>
        </w:numPr>
        <w:tabs>
          <w:tab w:pos="567" w:val="left" w:leader="none"/>
        </w:tabs>
        <w:spacing w:line="240" w:lineRule="auto" w:before="90" w:after="0"/>
        <w:ind w:left="566" w:right="0" w:hanging="453"/>
        <w:jc w:val="both"/>
        <w:rPr>
          <w:sz w:val="22"/>
        </w:rPr>
      </w:pPr>
      <w:r>
        <w:rPr>
          <w:spacing w:val="-3"/>
          <w:sz w:val="22"/>
        </w:rPr>
        <w:t>进食：自己从已准备好的碗或碟中取食物放入口中。</w:t>
      </w:r>
    </w:p>
    <w:p>
      <w:pPr>
        <w:spacing w:after="0" w:line="240" w:lineRule="auto"/>
        <w:jc w:val="both"/>
        <w:rPr>
          <w:sz w:val="22"/>
        </w:rPr>
        <w:sectPr>
          <w:type w:val="continuous"/>
          <w:pgSz w:w="11910" w:h="16840"/>
          <w:pgMar w:top="680" w:bottom="660" w:left="1020" w:right="1020"/>
          <w:cols w:num="2" w:equalWidth="0">
            <w:col w:w="2235" w:space="79"/>
            <w:col w:w="7556"/>
          </w:cols>
        </w:sectPr>
      </w:pPr>
    </w:p>
    <w:p>
      <w:pPr>
        <w:pStyle w:val="BodyText"/>
        <w:rPr>
          <w:sz w:val="20"/>
        </w:rPr>
      </w:pPr>
    </w:p>
    <w:p>
      <w:pPr>
        <w:pStyle w:val="ListParagraph"/>
        <w:numPr>
          <w:ilvl w:val="2"/>
          <w:numId w:val="21"/>
        </w:numPr>
        <w:tabs>
          <w:tab w:pos="911" w:val="left" w:leader="none"/>
        </w:tabs>
        <w:spacing w:line="302" w:lineRule="auto" w:before="145" w:after="0"/>
        <w:ind w:left="2427" w:right="106" w:hanging="2314"/>
        <w:jc w:val="both"/>
        <w:rPr>
          <w:sz w:val="22"/>
        </w:rPr>
      </w:pPr>
      <w:r>
        <w:rPr>
          <w:rFonts w:ascii="微软雅黑" w:eastAsia="微软雅黑" w:hint="eastAsia"/>
          <w:b/>
          <w:spacing w:val="0"/>
          <w:sz w:val="22"/>
        </w:rPr>
        <w:t>严重冠心病    </w:t>
      </w:r>
      <w:r>
        <w:rPr>
          <w:sz w:val="22"/>
        </w:rPr>
        <w:t>指根据冠状动脉造影检查结果确诊的三支主要血管严重狭窄性病变（至少一</w:t>
      </w:r>
      <w:r>
        <w:rPr>
          <w:spacing w:val="1"/>
          <w:sz w:val="22"/>
        </w:rPr>
        <w:t>支血管管腔直径减少 </w:t>
      </w:r>
      <w:r>
        <w:rPr>
          <w:sz w:val="22"/>
        </w:rPr>
        <w:t>75</w:t>
      </w:r>
      <w:r>
        <w:rPr>
          <w:spacing w:val="0"/>
          <w:sz w:val="22"/>
        </w:rPr>
        <w:t>％以上和其他两支血管管腔直径减少 </w:t>
      </w:r>
      <w:r>
        <w:rPr>
          <w:sz w:val="22"/>
        </w:rPr>
        <w:t>60％以上）。冠状动脉的主要血管指左冠状动脉主干、前降支、左旋支及右冠状动脉。</w:t>
      </w:r>
      <w:r>
        <w:rPr>
          <w:sz w:val="22"/>
          <w:shd w:fill="D9D9D9" w:color="auto" w:val="clear"/>
        </w:rPr>
        <w:t>前</w:t>
      </w:r>
      <w:r>
        <w:rPr>
          <w:spacing w:val="-2"/>
          <w:sz w:val="22"/>
          <w:shd w:fill="D9D9D9" w:color="auto" w:val="clear"/>
        </w:rPr>
        <w:t>降支、左旋支及</w:t>
      </w:r>
      <w:r>
        <w:rPr>
          <w:spacing w:val="-221"/>
          <w:sz w:val="22"/>
          <w:shd w:fill="D9D9D9" w:color="auto" w:val="clear"/>
        </w:rPr>
        <w:t>右</w:t>
      </w:r>
      <w:r>
        <w:rPr>
          <w:spacing w:val="-3"/>
          <w:sz w:val="22"/>
          <w:shd w:fill="D9D9D9" w:color="auto" w:val="clear"/>
        </w:rPr>
        <w:t>冠状动脉的分支血管的狭窄不作为本保障的衡量指标。</w:t>
      </w:r>
    </w:p>
    <w:p>
      <w:pPr>
        <w:pStyle w:val="BodyText"/>
        <w:spacing w:before="9"/>
        <w:rPr>
          <w:sz w:val="26"/>
        </w:rPr>
      </w:pPr>
    </w:p>
    <w:p>
      <w:pPr>
        <w:pStyle w:val="ListParagraph"/>
        <w:numPr>
          <w:ilvl w:val="2"/>
          <w:numId w:val="21"/>
        </w:numPr>
        <w:tabs>
          <w:tab w:pos="911" w:val="left" w:leader="none"/>
        </w:tabs>
        <w:spacing w:line="295" w:lineRule="auto" w:before="0" w:after="0"/>
        <w:ind w:left="2427" w:right="108" w:hanging="2314"/>
        <w:jc w:val="both"/>
        <w:rPr>
          <w:sz w:val="22"/>
        </w:rPr>
      </w:pPr>
      <w:r>
        <w:rPr>
          <w:rFonts w:ascii="微软雅黑" w:eastAsia="微软雅黑" w:hint="eastAsia"/>
          <w:b/>
          <w:spacing w:val="0"/>
          <w:sz w:val="22"/>
        </w:rPr>
        <w:t>严重心肌病    </w:t>
      </w:r>
      <w:r>
        <w:rPr>
          <w:sz w:val="22"/>
        </w:rPr>
        <w:t>指被保人因心肌病导致慢性心功能损害造成永久不可逆性的心功能衰竭。心</w:t>
      </w:r>
      <w:r>
        <w:rPr>
          <w:spacing w:val="0"/>
          <w:sz w:val="22"/>
        </w:rPr>
        <w:t>功能衰竭程度达到纽约心脏病学会的心功能分级标准之心功能 </w:t>
      </w:r>
      <w:r>
        <w:rPr>
          <w:sz w:val="22"/>
        </w:rPr>
        <w:t>IV</w:t>
      </w:r>
      <w:r>
        <w:rPr>
          <w:spacing w:val="3"/>
          <w:sz w:val="22"/>
        </w:rPr>
        <w:t> 级。被保</w:t>
      </w:r>
      <w:r>
        <w:rPr>
          <w:spacing w:val="-3"/>
          <w:sz w:val="22"/>
        </w:rPr>
        <w:t>险人永久不可逆性的体力活动能力受限，不能从事任何体力活动。</w:t>
      </w:r>
    </w:p>
    <w:p>
      <w:pPr>
        <w:pStyle w:val="BodyText"/>
        <w:spacing w:before="3"/>
        <w:rPr>
          <w:sz w:val="27"/>
        </w:rPr>
      </w:pPr>
    </w:p>
    <w:p>
      <w:pPr>
        <w:spacing w:after="0"/>
        <w:rPr>
          <w:sz w:val="27"/>
        </w:rPr>
        <w:sectPr>
          <w:type w:val="continuous"/>
          <w:pgSz w:w="11910" w:h="16840"/>
          <w:pgMar w:top="680" w:bottom="660" w:left="1020" w:right="1020"/>
        </w:sectPr>
      </w:pPr>
    </w:p>
    <w:p>
      <w:pPr>
        <w:pStyle w:val="Heading4"/>
        <w:numPr>
          <w:ilvl w:val="2"/>
          <w:numId w:val="21"/>
        </w:numPr>
        <w:tabs>
          <w:tab w:pos="911" w:val="left" w:leader="none"/>
        </w:tabs>
        <w:spacing w:line="380" w:lineRule="exact" w:before="0" w:after="0"/>
        <w:ind w:left="2427" w:right="0" w:hanging="2314"/>
        <w:jc w:val="left"/>
      </w:pPr>
      <w:r>
        <w:rPr/>
        <w:t>系统性红斑狼</w:t>
      </w:r>
    </w:p>
    <w:p>
      <w:pPr>
        <w:spacing w:line="380" w:lineRule="exact" w:before="0"/>
        <w:ind w:left="910" w:right="0" w:firstLine="0"/>
        <w:jc w:val="left"/>
        <w:rPr>
          <w:rFonts w:ascii="微软雅黑" w:eastAsia="微软雅黑" w:hint="eastAsia"/>
          <w:b/>
          <w:sz w:val="22"/>
        </w:rPr>
      </w:pPr>
      <w:r>
        <w:rPr>
          <w:rFonts w:ascii="微软雅黑" w:eastAsia="微软雅黑" w:hint="eastAsia"/>
          <w:b/>
          <w:sz w:val="22"/>
        </w:rPr>
        <w:t>疮 － III 型或</w:t>
      </w:r>
    </w:p>
    <w:p>
      <w:pPr>
        <w:spacing w:before="1"/>
        <w:ind w:left="910" w:right="0" w:firstLine="0"/>
        <w:jc w:val="left"/>
        <w:rPr>
          <w:rFonts w:ascii="微软雅黑" w:eastAsia="微软雅黑" w:hint="eastAsia"/>
          <w:b/>
          <w:sz w:val="22"/>
        </w:rPr>
      </w:pPr>
      <w:r>
        <w:rPr>
          <w:rFonts w:ascii="微软雅黑" w:eastAsia="微软雅黑" w:hint="eastAsia"/>
          <w:b/>
          <w:sz w:val="22"/>
        </w:rPr>
        <w:t>III</w:t>
      </w:r>
      <w:r>
        <w:rPr>
          <w:rFonts w:ascii="微软雅黑" w:eastAsia="微软雅黑" w:hint="eastAsia"/>
          <w:b/>
          <w:spacing w:val="-2"/>
          <w:sz w:val="22"/>
        </w:rPr>
        <w:t> 型以上狼疮性肾炎</w:t>
      </w:r>
    </w:p>
    <w:p>
      <w:pPr>
        <w:pStyle w:val="BodyText"/>
        <w:spacing w:line="316" w:lineRule="auto" w:before="65"/>
        <w:ind w:left="92" w:right="110"/>
        <w:jc w:val="both"/>
      </w:pPr>
      <w:r>
        <w:rPr/>
        <w:br w:type="column"/>
      </w:r>
      <w:r>
        <w:rPr/>
        <w:t>系统性红斑狼疮是由多种因素引起，累及多系统的自身免疫性疾病。其特点是生成自身抗体对抗多种自身抗原。多见于育龄妇女。</w:t>
      </w:r>
    </w:p>
    <w:p>
      <w:pPr>
        <w:pStyle w:val="BodyText"/>
        <w:spacing w:before="22"/>
        <w:ind w:left="92"/>
      </w:pPr>
      <w:r>
        <w:rPr>
          <w:shd w:fill="D9D9D9" w:color="auto" w:val="clear"/>
        </w:rPr>
        <w:t>本保单所指的系统性红斑狼疮仅限于累及肾脏（经肾脏活检确认的，符合</w:t>
      </w:r>
    </w:p>
    <w:p>
      <w:pPr>
        <w:pStyle w:val="BodyText"/>
        <w:spacing w:line="316" w:lineRule="auto" w:before="90"/>
        <w:ind w:left="92" w:right="110"/>
        <w:jc w:val="both"/>
      </w:pPr>
      <w:r>
        <w:rPr>
          <w:shd w:fill="D9D9D9" w:color="auto" w:val="clear"/>
        </w:rPr>
        <w:t>WHO</w:t>
      </w:r>
      <w:r>
        <w:rPr>
          <w:spacing w:val="-10"/>
          <w:shd w:fill="D9D9D9" w:color="auto" w:val="clear"/>
        </w:rPr>
        <w:t> 诊断标准定义 </w:t>
      </w:r>
      <w:r>
        <w:rPr>
          <w:shd w:fill="D9D9D9" w:color="auto" w:val="clear"/>
        </w:rPr>
        <w:t>III</w:t>
      </w:r>
      <w:r>
        <w:rPr>
          <w:spacing w:val="-15"/>
          <w:shd w:fill="D9D9D9" w:color="auto" w:val="clear"/>
        </w:rPr>
        <w:t> 型或 </w:t>
      </w:r>
      <w:r>
        <w:rPr>
          <w:shd w:fill="D9D9D9" w:color="auto" w:val="clear"/>
        </w:rPr>
        <w:t>III</w:t>
      </w:r>
      <w:r>
        <w:rPr>
          <w:spacing w:val="-6"/>
          <w:shd w:fill="D9D9D9" w:color="auto" w:val="clear"/>
        </w:rPr>
        <w:t> 型以上狼疮性肾炎</w:t>
      </w:r>
      <w:r>
        <w:rPr>
          <w:shd w:fill="D9D9D9" w:color="auto" w:val="clear"/>
        </w:rPr>
        <w:t>）</w:t>
      </w:r>
      <w:r>
        <w:rPr>
          <w:spacing w:val="-3"/>
          <w:shd w:fill="D9D9D9" w:color="auto" w:val="clear"/>
        </w:rPr>
        <w:t>的系统性红斑狼疮。其他类型的红斑性狼疮，如盘状狼疮、仅累及血液及关节的狼疮不在本保单保障范围内。</w:t>
      </w:r>
      <w:r>
        <w:rPr>
          <w:spacing w:val="-3"/>
        </w:rPr>
        <w:t>世界卫生组织</w:t>
      </w:r>
      <w:r>
        <w:rPr/>
        <w:t>（WHO）</w:t>
      </w:r>
      <w:r>
        <w:rPr>
          <w:spacing w:val="-3"/>
        </w:rPr>
        <w:t>狼疮性肾炎分型：</w:t>
      </w:r>
    </w:p>
    <w:p>
      <w:pPr>
        <w:pStyle w:val="ListParagraph"/>
        <w:numPr>
          <w:ilvl w:val="0"/>
          <w:numId w:val="27"/>
        </w:numPr>
        <w:tabs>
          <w:tab w:pos="367" w:val="left" w:leader="none"/>
          <w:tab w:pos="1198" w:val="left" w:leader="none"/>
        </w:tabs>
        <w:spacing w:line="240" w:lineRule="auto" w:before="20" w:after="0"/>
        <w:ind w:left="366" w:right="0" w:hanging="166"/>
        <w:jc w:val="left"/>
        <w:rPr>
          <w:sz w:val="22"/>
        </w:rPr>
      </w:pPr>
      <w:r>
        <w:rPr>
          <w:sz w:val="22"/>
        </w:rPr>
        <w:t>型</w:t>
        <w:tab/>
        <w:t>微小病</w:t>
      </w:r>
      <w:r>
        <w:rPr>
          <w:spacing w:val="-3"/>
          <w:sz w:val="22"/>
        </w:rPr>
        <w:t>变</w:t>
      </w:r>
      <w:r>
        <w:rPr>
          <w:sz w:val="22"/>
        </w:rPr>
        <w:t>型</w:t>
      </w:r>
    </w:p>
    <w:p>
      <w:pPr>
        <w:pStyle w:val="ListParagraph"/>
        <w:numPr>
          <w:ilvl w:val="0"/>
          <w:numId w:val="27"/>
        </w:numPr>
        <w:tabs>
          <w:tab w:pos="477" w:val="left" w:leader="none"/>
          <w:tab w:pos="1198" w:val="left" w:leader="none"/>
        </w:tabs>
        <w:spacing w:line="240" w:lineRule="auto" w:before="91" w:after="0"/>
        <w:ind w:left="476" w:right="0" w:hanging="276"/>
        <w:jc w:val="left"/>
        <w:rPr>
          <w:sz w:val="22"/>
        </w:rPr>
      </w:pPr>
      <w:r>
        <w:rPr>
          <w:sz w:val="22"/>
        </w:rPr>
        <w:t>型</w:t>
        <w:tab/>
        <w:t>系膜病</w:t>
      </w:r>
      <w:r>
        <w:rPr>
          <w:spacing w:val="-3"/>
          <w:sz w:val="22"/>
        </w:rPr>
        <w:t>变</w:t>
      </w:r>
      <w:r>
        <w:rPr>
          <w:sz w:val="22"/>
        </w:rPr>
        <w:t>型</w:t>
      </w:r>
    </w:p>
    <w:p>
      <w:pPr>
        <w:pStyle w:val="ListParagraph"/>
        <w:numPr>
          <w:ilvl w:val="0"/>
          <w:numId w:val="27"/>
        </w:numPr>
        <w:tabs>
          <w:tab w:pos="587" w:val="left" w:leader="none"/>
          <w:tab w:pos="1198" w:val="left" w:leader="none"/>
        </w:tabs>
        <w:spacing w:line="240" w:lineRule="auto" w:before="94" w:after="0"/>
        <w:ind w:left="587" w:right="0" w:hanging="387"/>
        <w:jc w:val="left"/>
        <w:rPr>
          <w:sz w:val="22"/>
        </w:rPr>
      </w:pPr>
      <w:r>
        <w:rPr>
          <w:sz w:val="22"/>
        </w:rPr>
        <w:t>型</w:t>
        <w:tab/>
        <w:t>局灶及</w:t>
      </w:r>
      <w:r>
        <w:rPr>
          <w:spacing w:val="-3"/>
          <w:sz w:val="22"/>
        </w:rPr>
        <w:t>节</w:t>
      </w:r>
      <w:r>
        <w:rPr>
          <w:sz w:val="22"/>
        </w:rPr>
        <w:t>段增</w:t>
      </w:r>
      <w:r>
        <w:rPr>
          <w:spacing w:val="-3"/>
          <w:sz w:val="22"/>
        </w:rPr>
        <w:t>生</w:t>
      </w:r>
      <w:r>
        <w:rPr>
          <w:sz w:val="22"/>
        </w:rPr>
        <w:t>型</w:t>
      </w:r>
    </w:p>
    <w:p>
      <w:pPr>
        <w:pStyle w:val="ListParagraph"/>
        <w:numPr>
          <w:ilvl w:val="0"/>
          <w:numId w:val="27"/>
        </w:numPr>
        <w:tabs>
          <w:tab w:pos="477" w:val="left" w:leader="none"/>
          <w:tab w:pos="1198" w:val="left" w:leader="none"/>
        </w:tabs>
        <w:spacing w:line="240" w:lineRule="auto" w:before="91" w:after="0"/>
        <w:ind w:left="476" w:right="0" w:hanging="276"/>
        <w:jc w:val="left"/>
        <w:rPr>
          <w:sz w:val="22"/>
        </w:rPr>
      </w:pPr>
      <w:r>
        <w:rPr>
          <w:sz w:val="22"/>
        </w:rPr>
        <w:t>型</w:t>
        <w:tab/>
        <w:t>弥漫增</w:t>
      </w:r>
      <w:r>
        <w:rPr>
          <w:spacing w:val="-3"/>
          <w:sz w:val="22"/>
        </w:rPr>
        <w:t>生</w:t>
      </w:r>
      <w:r>
        <w:rPr>
          <w:sz w:val="22"/>
        </w:rPr>
        <w:t>型</w:t>
      </w:r>
    </w:p>
    <w:p>
      <w:pPr>
        <w:pStyle w:val="ListParagraph"/>
        <w:numPr>
          <w:ilvl w:val="0"/>
          <w:numId w:val="27"/>
        </w:numPr>
        <w:tabs>
          <w:tab w:pos="367" w:val="left" w:leader="none"/>
          <w:tab w:pos="1198" w:val="left" w:leader="none"/>
        </w:tabs>
        <w:spacing w:line="240" w:lineRule="auto" w:before="91" w:after="0"/>
        <w:ind w:left="366" w:right="0" w:hanging="166"/>
        <w:jc w:val="left"/>
        <w:rPr>
          <w:sz w:val="22"/>
        </w:rPr>
      </w:pPr>
      <w:r>
        <w:rPr>
          <w:sz w:val="22"/>
        </w:rPr>
        <w:t>型</w:t>
        <w:tab/>
        <w:t>膜型</w:t>
      </w:r>
    </w:p>
    <w:p>
      <w:pPr>
        <w:pStyle w:val="ListParagraph"/>
        <w:numPr>
          <w:ilvl w:val="0"/>
          <w:numId w:val="27"/>
        </w:numPr>
        <w:tabs>
          <w:tab w:pos="477" w:val="left" w:leader="none"/>
          <w:tab w:pos="1198" w:val="left" w:leader="none"/>
        </w:tabs>
        <w:spacing w:line="240" w:lineRule="auto" w:before="93" w:after="0"/>
        <w:ind w:left="476" w:right="0" w:hanging="276"/>
        <w:jc w:val="left"/>
        <w:rPr>
          <w:sz w:val="22"/>
        </w:rPr>
      </w:pPr>
      <w:r>
        <w:rPr>
          <w:sz w:val="22"/>
        </w:rPr>
        <w:t>型</w:t>
        <w:tab/>
        <w:t>肾小球</w:t>
      </w:r>
      <w:r>
        <w:rPr>
          <w:spacing w:val="-3"/>
          <w:sz w:val="22"/>
        </w:rPr>
        <w:t>硬</w:t>
      </w:r>
      <w:r>
        <w:rPr>
          <w:sz w:val="22"/>
        </w:rPr>
        <w:t>化型</w:t>
      </w:r>
    </w:p>
    <w:p>
      <w:pPr>
        <w:spacing w:after="0" w:line="240" w:lineRule="auto"/>
        <w:jc w:val="left"/>
        <w:rPr>
          <w:sz w:val="22"/>
        </w:rPr>
        <w:sectPr>
          <w:type w:val="continuous"/>
          <w:pgSz w:w="11910" w:h="16840"/>
          <w:pgMar w:top="680" w:bottom="660" w:left="1020" w:right="1020"/>
          <w:cols w:num="2" w:equalWidth="0">
            <w:col w:w="2295" w:space="40"/>
            <w:col w:w="7535"/>
          </w:cols>
        </w:sectPr>
      </w:pPr>
    </w:p>
    <w:p>
      <w:pPr>
        <w:pStyle w:val="BodyText"/>
        <w:rPr>
          <w:sz w:val="20"/>
        </w:rPr>
      </w:pPr>
    </w:p>
    <w:p>
      <w:pPr>
        <w:spacing w:after="0"/>
        <w:rPr>
          <w:sz w:val="20"/>
        </w:rPr>
        <w:sectPr>
          <w:type w:val="continuous"/>
          <w:pgSz w:w="11910" w:h="16840"/>
          <w:pgMar w:top="680" w:bottom="660" w:left="1020" w:right="1020"/>
        </w:sectPr>
      </w:pPr>
    </w:p>
    <w:p>
      <w:pPr>
        <w:pStyle w:val="Heading4"/>
        <w:numPr>
          <w:ilvl w:val="2"/>
          <w:numId w:val="21"/>
        </w:numPr>
        <w:tabs>
          <w:tab w:pos="887" w:val="left" w:leader="none"/>
        </w:tabs>
        <w:spacing w:line="240" w:lineRule="auto" w:before="143" w:after="0"/>
        <w:ind w:left="886" w:right="0" w:hanging="773"/>
        <w:jc w:val="left"/>
      </w:pPr>
      <w:r>
        <w:rPr/>
        <w:t>经输血导致的</w:t>
      </w:r>
    </w:p>
    <w:p>
      <w:pPr>
        <w:spacing w:before="1"/>
        <w:ind w:left="886" w:right="0" w:firstLine="0"/>
        <w:jc w:val="both"/>
        <w:rPr>
          <w:rFonts w:ascii="微软雅黑" w:eastAsia="微软雅黑" w:hint="eastAsia"/>
          <w:b/>
          <w:sz w:val="22"/>
        </w:rPr>
      </w:pPr>
      <w:r>
        <w:rPr>
          <w:rFonts w:ascii="微软雅黑" w:eastAsia="微软雅黑" w:hint="eastAsia"/>
          <w:b/>
          <w:sz w:val="22"/>
        </w:rPr>
        <w:t>人类免疫缺陷病毒（HIV） 感染</w:t>
      </w:r>
    </w:p>
    <w:p>
      <w:pPr>
        <w:pStyle w:val="BodyText"/>
        <w:spacing w:before="1"/>
        <w:rPr>
          <w:rFonts w:ascii="微软雅黑"/>
          <w:b/>
          <w:sz w:val="12"/>
        </w:rPr>
      </w:pPr>
      <w:r>
        <w:rPr/>
        <w:br w:type="column"/>
      </w:r>
      <w:r>
        <w:rPr>
          <w:rFonts w:ascii="微软雅黑"/>
          <w:b/>
          <w:sz w:val="12"/>
        </w:rPr>
      </w:r>
    </w:p>
    <w:p>
      <w:pPr>
        <w:pStyle w:val="BodyText"/>
        <w:ind w:left="113"/>
      </w:pPr>
      <w:r>
        <w:rPr/>
        <w:t>被保险人感染上人类免疫缺陷病毒（HIV）</w:t>
      </w:r>
      <w:r>
        <w:rPr>
          <w:shd w:fill="D9D9D9" w:color="auto" w:val="clear"/>
        </w:rPr>
        <w:t>并且满足下列全部条件</w:t>
      </w:r>
      <w:r>
        <w:rPr/>
        <w:t>：</w:t>
      </w:r>
    </w:p>
    <w:p>
      <w:pPr>
        <w:pStyle w:val="ListParagraph"/>
        <w:numPr>
          <w:ilvl w:val="0"/>
          <w:numId w:val="28"/>
        </w:numPr>
        <w:tabs>
          <w:tab w:pos="567" w:val="left" w:leader="none"/>
        </w:tabs>
        <w:spacing w:line="240" w:lineRule="auto" w:before="93" w:after="0"/>
        <w:ind w:left="566" w:right="0" w:hanging="453"/>
        <w:jc w:val="left"/>
        <w:rPr>
          <w:sz w:val="22"/>
        </w:rPr>
      </w:pPr>
      <w:r>
        <w:rPr>
          <w:spacing w:val="-5"/>
          <w:sz w:val="22"/>
        </w:rPr>
        <w:t>在保障起始日或复效日之后，被保险人因输血而感染 </w:t>
      </w:r>
      <w:r>
        <w:rPr>
          <w:sz w:val="22"/>
        </w:rPr>
        <w:t>HIV；</w:t>
      </w:r>
    </w:p>
    <w:p>
      <w:pPr>
        <w:pStyle w:val="ListParagraph"/>
        <w:numPr>
          <w:ilvl w:val="0"/>
          <w:numId w:val="28"/>
        </w:numPr>
        <w:tabs>
          <w:tab w:pos="567" w:val="left" w:leader="none"/>
        </w:tabs>
        <w:spacing w:line="316" w:lineRule="auto" w:before="90" w:after="0"/>
        <w:ind w:left="566" w:right="112" w:hanging="453"/>
        <w:jc w:val="left"/>
        <w:rPr>
          <w:sz w:val="22"/>
        </w:rPr>
      </w:pPr>
      <w:r>
        <w:rPr>
          <w:sz w:val="22"/>
        </w:rPr>
        <w:t>提供输血治疗的输血中心或医院出具该项输血感染属医疗责任事故的报</w:t>
      </w:r>
      <w:r>
        <w:rPr>
          <w:spacing w:val="-3"/>
          <w:sz w:val="22"/>
        </w:rPr>
        <w:t>告，或者法院终审裁定为医疗责任并且不准上诉；</w:t>
      </w:r>
    </w:p>
    <w:p>
      <w:pPr>
        <w:pStyle w:val="ListParagraph"/>
        <w:numPr>
          <w:ilvl w:val="0"/>
          <w:numId w:val="28"/>
        </w:numPr>
        <w:tabs>
          <w:tab w:pos="567" w:val="left" w:leader="none"/>
        </w:tabs>
        <w:spacing w:line="240" w:lineRule="auto" w:before="22" w:after="0"/>
        <w:ind w:left="566" w:right="0" w:hanging="453"/>
        <w:jc w:val="left"/>
        <w:rPr>
          <w:sz w:val="22"/>
        </w:rPr>
      </w:pPr>
      <w:r>
        <w:rPr>
          <w:spacing w:val="-3"/>
          <w:sz w:val="22"/>
        </w:rPr>
        <w:t>受感染的被保险人不是血友病患者。</w:t>
      </w:r>
    </w:p>
    <w:p>
      <w:pPr>
        <w:pStyle w:val="BodyText"/>
        <w:spacing w:line="316" w:lineRule="auto" w:before="90"/>
        <w:ind w:left="113" w:right="111"/>
      </w:pPr>
      <w:r>
        <w:rPr>
          <w:spacing w:val="-2"/>
          <w:shd w:fill="D9D9D9" w:color="auto" w:val="clear"/>
        </w:rPr>
        <w:t>在任何治愈艾滋病</w:t>
      </w:r>
      <w:r>
        <w:rPr>
          <w:shd w:fill="D9D9D9" w:color="auto" w:val="clear"/>
        </w:rPr>
        <w:t>（AIDS）</w:t>
      </w:r>
      <w:r>
        <w:rPr>
          <w:spacing w:val="-4"/>
          <w:shd w:fill="D9D9D9" w:color="auto" w:val="clear"/>
        </w:rPr>
        <w:t>或阻止 </w:t>
      </w:r>
      <w:r>
        <w:rPr>
          <w:shd w:fill="D9D9D9" w:color="auto" w:val="clear"/>
        </w:rPr>
        <w:t>HIV</w:t>
      </w:r>
      <w:r>
        <w:rPr>
          <w:spacing w:val="-5"/>
          <w:shd w:fill="D9D9D9" w:color="auto" w:val="clear"/>
        </w:rPr>
        <w:t> 病毒作用的疗法被发现以后，或能防</w:t>
      </w:r>
      <w:r>
        <w:rPr>
          <w:spacing w:val="-25"/>
          <w:shd w:fill="D9D9D9" w:color="auto" w:val="clear"/>
        </w:rPr>
        <w:t>止 </w:t>
      </w:r>
      <w:r>
        <w:rPr>
          <w:shd w:fill="D9D9D9" w:color="auto" w:val="clear"/>
        </w:rPr>
        <w:t>AIDS</w:t>
      </w:r>
      <w:r>
        <w:rPr>
          <w:spacing w:val="-8"/>
          <w:shd w:fill="D9D9D9" w:color="auto" w:val="clear"/>
        </w:rPr>
        <w:t> 发生的医疗方法被研究出</w:t>
      </w:r>
      <w:r>
        <w:rPr>
          <w:spacing w:val="-221"/>
          <w:shd w:fill="D9D9D9" w:color="auto" w:val="clear"/>
        </w:rPr>
        <w:t>来</w:t>
      </w:r>
      <w:r>
        <w:rPr>
          <w:spacing w:val="-3"/>
          <w:shd w:fill="D9D9D9" w:color="auto" w:val="clear"/>
        </w:rPr>
        <w:t>以后，本保障将不再予以赔付。</w:t>
      </w:r>
    </w:p>
    <w:p>
      <w:pPr>
        <w:spacing w:after="0" w:line="316" w:lineRule="auto"/>
        <w:sectPr>
          <w:type w:val="continuous"/>
          <w:pgSz w:w="11910" w:h="16840"/>
          <w:pgMar w:top="680" w:bottom="660" w:left="1020" w:right="1020"/>
          <w:cols w:num="2" w:equalWidth="0">
            <w:col w:w="2211" w:space="103"/>
            <w:col w:w="7556"/>
          </w:cols>
        </w:sectPr>
      </w:pPr>
    </w:p>
    <w:p>
      <w:pPr>
        <w:pStyle w:val="BodyText"/>
        <w:rPr>
          <w:sz w:val="20"/>
        </w:rPr>
      </w:pPr>
    </w:p>
    <w:p>
      <w:pPr>
        <w:pStyle w:val="BodyText"/>
        <w:rPr>
          <w:sz w:val="20"/>
        </w:rPr>
      </w:pPr>
    </w:p>
    <w:p>
      <w:pPr>
        <w:pStyle w:val="BodyText"/>
        <w:spacing w:before="7"/>
        <w:rPr>
          <w:sz w:val="16"/>
        </w:rPr>
      </w:pPr>
    </w:p>
    <w:p>
      <w:pPr>
        <w:pStyle w:val="BodyText"/>
        <w:spacing w:line="316" w:lineRule="auto" w:before="33"/>
        <w:ind w:left="2427" w:right="110"/>
      </w:pPr>
      <w:r>
        <w:rPr/>
        <w:t>保险公司必须拥有获得使用被保险人的所有血液样本的权利和能够对这些样本进行独立检验的权利。</w:t>
      </w:r>
    </w:p>
    <w:p>
      <w:pPr>
        <w:pStyle w:val="BodyText"/>
        <w:spacing w:before="9"/>
        <w:rPr>
          <w:sz w:val="25"/>
        </w:rPr>
      </w:pPr>
    </w:p>
    <w:p>
      <w:pPr>
        <w:spacing w:after="0"/>
        <w:rPr>
          <w:sz w:val="25"/>
        </w:rPr>
        <w:sectPr>
          <w:pgSz w:w="11910" w:h="16840"/>
          <w:pgMar w:header="484" w:footer="479" w:top="680" w:bottom="660" w:left="1020" w:right="1020"/>
        </w:sectPr>
      </w:pPr>
    </w:p>
    <w:p>
      <w:pPr>
        <w:pStyle w:val="Heading4"/>
        <w:numPr>
          <w:ilvl w:val="2"/>
          <w:numId w:val="21"/>
        </w:numPr>
        <w:tabs>
          <w:tab w:pos="887" w:val="left" w:leader="none"/>
        </w:tabs>
        <w:spacing w:line="380" w:lineRule="exact" w:before="0" w:after="0"/>
        <w:ind w:left="886" w:right="0" w:hanging="773"/>
        <w:jc w:val="left"/>
      </w:pPr>
      <w:r>
        <w:rPr/>
        <w:t>因职业关系导</w:t>
      </w:r>
    </w:p>
    <w:p>
      <w:pPr>
        <w:spacing w:before="0"/>
        <w:ind w:left="886" w:right="0" w:firstLine="0"/>
        <w:jc w:val="left"/>
        <w:rPr>
          <w:rFonts w:ascii="微软雅黑" w:eastAsia="微软雅黑" w:hint="eastAsia"/>
          <w:b/>
          <w:sz w:val="22"/>
        </w:rPr>
      </w:pPr>
      <w:r>
        <w:rPr>
          <w:rFonts w:ascii="微软雅黑" w:eastAsia="微软雅黑" w:hint="eastAsia"/>
          <w:b/>
          <w:sz w:val="22"/>
        </w:rPr>
        <w:t>致的人类免疫缺陷病毒</w:t>
      </w:r>
    </w:p>
    <w:p>
      <w:pPr>
        <w:spacing w:before="2"/>
        <w:ind w:left="886" w:right="0" w:firstLine="0"/>
        <w:jc w:val="left"/>
        <w:rPr>
          <w:rFonts w:ascii="微软雅黑" w:eastAsia="微软雅黑" w:hint="eastAsia"/>
          <w:b/>
          <w:sz w:val="22"/>
        </w:rPr>
      </w:pPr>
      <w:r>
        <w:rPr>
          <w:rFonts w:ascii="微软雅黑" w:eastAsia="微软雅黑" w:hint="eastAsia"/>
          <w:b/>
          <w:w w:val="95"/>
          <w:sz w:val="22"/>
        </w:rPr>
        <w:t>（HIV）感染</w:t>
      </w:r>
    </w:p>
    <w:p>
      <w:pPr>
        <w:pStyle w:val="BodyText"/>
        <w:spacing w:line="316" w:lineRule="auto" w:before="66"/>
        <w:ind w:left="113" w:right="110"/>
      </w:pPr>
      <w:r>
        <w:rPr/>
        <w:br w:type="column"/>
      </w:r>
      <w:r>
        <w:rPr/>
        <w:t>被保险人在其常规职业工作过程中遭遇外伤，或者职业需要处理血液或者其他体液时感染上人类免疫缺陷病毒（HIV）。</w:t>
      </w:r>
    </w:p>
    <w:p>
      <w:pPr>
        <w:pStyle w:val="BodyText"/>
        <w:spacing w:before="20"/>
        <w:ind w:left="113"/>
      </w:pPr>
      <w:r>
        <w:rPr>
          <w:shd w:fill="D9D9D9" w:color="auto" w:val="clear"/>
        </w:rPr>
        <w:t>必须满足下列全部条件</w:t>
      </w:r>
      <w:r>
        <w:rPr/>
        <w:t>：</w:t>
      </w:r>
    </w:p>
    <w:p>
      <w:pPr>
        <w:pStyle w:val="ListParagraph"/>
        <w:numPr>
          <w:ilvl w:val="0"/>
          <w:numId w:val="29"/>
        </w:numPr>
        <w:tabs>
          <w:tab w:pos="567" w:val="left" w:leader="none"/>
        </w:tabs>
        <w:spacing w:line="316" w:lineRule="auto" w:before="93" w:after="0"/>
        <w:ind w:left="566" w:right="109" w:hanging="453"/>
        <w:jc w:val="both"/>
        <w:rPr>
          <w:sz w:val="22"/>
        </w:rPr>
      </w:pPr>
      <w:r>
        <w:rPr>
          <w:sz w:val="22"/>
        </w:rPr>
        <w:t>感染必须是在被保险人正在从事医生、护士、医院化验室工作人员、医院护工、医生助理、救护车工作人员、助产士、消防队员、各类警察职</w:t>
      </w:r>
      <w:r>
        <w:rPr>
          <w:spacing w:val="-5"/>
          <w:sz w:val="22"/>
        </w:rPr>
        <w:t>业工作中发生；</w:t>
      </w:r>
    </w:p>
    <w:p>
      <w:pPr>
        <w:pStyle w:val="ListParagraph"/>
        <w:numPr>
          <w:ilvl w:val="0"/>
          <w:numId w:val="29"/>
        </w:numPr>
        <w:tabs>
          <w:tab w:pos="567" w:val="left" w:leader="none"/>
        </w:tabs>
        <w:spacing w:line="240" w:lineRule="auto" w:before="23" w:after="0"/>
        <w:ind w:left="566" w:right="0" w:hanging="453"/>
        <w:jc w:val="left"/>
        <w:rPr>
          <w:sz w:val="22"/>
        </w:rPr>
      </w:pPr>
      <w:r>
        <w:rPr>
          <w:spacing w:val="-7"/>
          <w:sz w:val="22"/>
        </w:rPr>
        <w:t>血清转化必须出现在事故发生后的 </w:t>
      </w:r>
      <w:r>
        <w:rPr>
          <w:sz w:val="22"/>
        </w:rPr>
        <w:t>6 个月以内；</w:t>
      </w:r>
    </w:p>
    <w:p>
      <w:pPr>
        <w:pStyle w:val="ListParagraph"/>
        <w:numPr>
          <w:ilvl w:val="0"/>
          <w:numId w:val="29"/>
        </w:numPr>
        <w:tabs>
          <w:tab w:pos="567" w:val="left" w:leader="none"/>
        </w:tabs>
        <w:spacing w:line="316" w:lineRule="auto" w:before="91" w:after="0"/>
        <w:ind w:left="566" w:right="104" w:hanging="453"/>
        <w:jc w:val="left"/>
        <w:rPr>
          <w:sz w:val="22"/>
        </w:rPr>
      </w:pPr>
      <w:r>
        <w:rPr>
          <w:spacing w:val="2"/>
          <w:sz w:val="22"/>
        </w:rPr>
        <w:t>必须提供被保险人在所报事故发生后的 </w:t>
      </w:r>
      <w:r>
        <w:rPr>
          <w:sz w:val="22"/>
        </w:rPr>
        <w:t>5</w:t>
      </w:r>
      <w:r>
        <w:rPr>
          <w:spacing w:val="2"/>
          <w:sz w:val="22"/>
        </w:rPr>
        <w:t> 天以内进行的检查报告，该</w:t>
      </w:r>
      <w:r>
        <w:rPr>
          <w:spacing w:val="-7"/>
          <w:sz w:val="22"/>
        </w:rPr>
        <w:t>报告必须显示被保险人血液 </w:t>
      </w:r>
      <w:r>
        <w:rPr>
          <w:sz w:val="22"/>
        </w:rPr>
        <w:t>HIV</w:t>
      </w:r>
      <w:r>
        <w:rPr>
          <w:spacing w:val="-1"/>
          <w:sz w:val="22"/>
        </w:rPr>
        <w:t> 病毒阴性和</w:t>
      </w:r>
      <w:r>
        <w:rPr>
          <w:sz w:val="22"/>
        </w:rPr>
        <w:t>/</w:t>
      </w:r>
      <w:r>
        <w:rPr>
          <w:spacing w:val="-27"/>
          <w:sz w:val="22"/>
        </w:rPr>
        <w:t>或 </w:t>
      </w:r>
      <w:r>
        <w:rPr>
          <w:sz w:val="22"/>
        </w:rPr>
        <w:t>HIV 抗体阴性；</w:t>
      </w:r>
    </w:p>
    <w:p>
      <w:pPr>
        <w:pStyle w:val="ListParagraph"/>
        <w:numPr>
          <w:ilvl w:val="0"/>
          <w:numId w:val="29"/>
        </w:numPr>
        <w:tabs>
          <w:tab w:pos="567" w:val="left" w:leader="none"/>
        </w:tabs>
        <w:spacing w:line="240" w:lineRule="auto" w:before="23" w:after="0"/>
        <w:ind w:left="566" w:right="0" w:hanging="453"/>
        <w:jc w:val="left"/>
        <w:rPr>
          <w:sz w:val="22"/>
        </w:rPr>
      </w:pPr>
      <w:r>
        <w:rPr>
          <w:spacing w:val="2"/>
          <w:sz w:val="22"/>
        </w:rPr>
        <w:t>必须在事故发生后的 </w:t>
      </w:r>
      <w:r>
        <w:rPr>
          <w:sz w:val="22"/>
        </w:rPr>
        <w:t>12</w:t>
      </w:r>
      <w:r>
        <w:rPr>
          <w:spacing w:val="2"/>
          <w:sz w:val="22"/>
        </w:rPr>
        <w:t> 个月内证实被保险人体内存在 </w:t>
      </w:r>
      <w:r>
        <w:rPr>
          <w:sz w:val="22"/>
        </w:rPr>
        <w:t>HIV</w:t>
      </w:r>
      <w:r>
        <w:rPr>
          <w:spacing w:val="3"/>
          <w:sz w:val="22"/>
        </w:rPr>
        <w:t> 病毒或者</w:t>
      </w:r>
    </w:p>
    <w:p>
      <w:pPr>
        <w:pStyle w:val="BodyText"/>
        <w:spacing w:before="91"/>
        <w:ind w:left="566"/>
      </w:pPr>
      <w:r>
        <w:rPr/>
        <w:t>HIV 抗体。</w:t>
      </w:r>
    </w:p>
    <w:p>
      <w:pPr>
        <w:spacing w:after="0"/>
        <w:sectPr>
          <w:type w:val="continuous"/>
          <w:pgSz w:w="11910" w:h="16840"/>
          <w:pgMar w:top="680" w:bottom="660" w:left="1020" w:right="1020"/>
          <w:cols w:num="2" w:equalWidth="0">
            <w:col w:w="2211" w:space="103"/>
            <w:col w:w="7556"/>
          </w:cols>
        </w:sectPr>
      </w:pPr>
    </w:p>
    <w:p>
      <w:pPr>
        <w:pStyle w:val="BodyText"/>
        <w:rPr>
          <w:sz w:val="20"/>
        </w:rPr>
      </w:pPr>
    </w:p>
    <w:p>
      <w:pPr>
        <w:pStyle w:val="ListParagraph"/>
        <w:numPr>
          <w:ilvl w:val="2"/>
          <w:numId w:val="21"/>
        </w:numPr>
        <w:tabs>
          <w:tab w:pos="911" w:val="left" w:leader="none"/>
        </w:tabs>
        <w:spacing w:line="295" w:lineRule="auto" w:before="146" w:after="0"/>
        <w:ind w:left="2427" w:right="107" w:hanging="2314"/>
        <w:jc w:val="both"/>
        <w:rPr>
          <w:sz w:val="22"/>
        </w:rPr>
      </w:pPr>
      <w:r>
        <w:rPr>
          <w:rFonts w:ascii="微软雅黑" w:eastAsia="微软雅黑" w:hint="eastAsia"/>
          <w:b/>
          <w:spacing w:val="0"/>
          <w:sz w:val="22"/>
        </w:rPr>
        <w:t>脊髓灰质炎    </w:t>
      </w:r>
      <w:r>
        <w:rPr>
          <w:sz w:val="22"/>
        </w:rPr>
        <w:t>脊髓灰质炎是由于脊髓灰质炎病毒感染所致的瘫痪性疾病，临床表现为运动功能损害或呼吸无力。脊髓灰质炎必须明确诊断。</w:t>
      </w:r>
      <w:r>
        <w:rPr>
          <w:sz w:val="22"/>
          <w:shd w:fill="D9D9D9" w:color="auto" w:val="clear"/>
        </w:rPr>
        <w:t>本保单仅对脊髓灰质炎造成的神经系统</w:t>
      </w:r>
      <w:r>
        <w:rPr>
          <w:spacing w:val="-221"/>
          <w:sz w:val="22"/>
          <w:shd w:fill="D9D9D9" w:color="auto" w:val="clear"/>
        </w:rPr>
        <w:t>功</w:t>
      </w:r>
      <w:r>
        <w:rPr>
          <w:sz w:val="22"/>
          <w:shd w:fill="D9D9D9" w:color="auto" w:val="clear"/>
        </w:rPr>
        <w:t>能损害导致被保险人一肢或一肢以上肢体机能永久完全丧失</w:t>
      </w:r>
    </w:p>
    <w:p>
      <w:pPr>
        <w:pStyle w:val="BodyText"/>
        <w:spacing w:line="316" w:lineRule="auto" w:before="43"/>
        <w:ind w:left="2427" w:right="51"/>
      </w:pPr>
      <w:r>
        <w:rPr>
          <w:shd w:fill="D9D9D9" w:color="auto" w:val="clear"/>
        </w:rPr>
        <w:t>的情况予以理赔。</w:t>
      </w:r>
      <w:r>
        <w:rPr/>
        <w:t>肢体机能永久完全丧失，指疾病确诊 180 天后，每肢三大关节中的两大关节仍然完全僵硬，或不能随意识活动。</w:t>
      </w:r>
    </w:p>
    <w:p>
      <w:pPr>
        <w:pStyle w:val="BodyText"/>
        <w:spacing w:before="9"/>
        <w:rPr>
          <w:sz w:val="25"/>
        </w:rPr>
      </w:pPr>
    </w:p>
    <w:p>
      <w:pPr>
        <w:spacing w:after="0"/>
        <w:rPr>
          <w:sz w:val="25"/>
        </w:rPr>
        <w:sectPr>
          <w:type w:val="continuous"/>
          <w:pgSz w:w="11910" w:h="16840"/>
          <w:pgMar w:top="680" w:bottom="660" w:left="1020" w:right="1020"/>
        </w:sectPr>
      </w:pPr>
    </w:p>
    <w:p>
      <w:pPr>
        <w:pStyle w:val="Heading4"/>
        <w:numPr>
          <w:ilvl w:val="2"/>
          <w:numId w:val="21"/>
        </w:numPr>
        <w:tabs>
          <w:tab w:pos="911" w:val="left" w:leader="none"/>
        </w:tabs>
        <w:spacing w:line="240" w:lineRule="auto" w:before="0" w:after="0"/>
        <w:ind w:left="910" w:right="0" w:hanging="797"/>
        <w:jc w:val="left"/>
      </w:pPr>
      <w:r>
        <w:rPr/>
        <w:t>全身性重症肌无力</w:t>
      </w:r>
    </w:p>
    <w:p>
      <w:pPr>
        <w:pStyle w:val="BodyText"/>
        <w:spacing w:line="316" w:lineRule="auto" w:before="66"/>
        <w:ind w:left="113" w:right="110"/>
        <w:jc w:val="both"/>
      </w:pPr>
      <w:r>
        <w:rPr/>
        <w:br w:type="column"/>
      </w:r>
      <w:r>
        <w:rPr/>
        <w:t>重症肌无力是一种神经肌肉接头传递障碍所致的疾病，表现为局部或全身骨骼肌（特别是眼外肌）极易疲劳。疾病可以累及呼吸肌、上肢或下肢的近端肌群或全身肌肉，</w:t>
      </w:r>
      <w:r>
        <w:rPr>
          <w:shd w:fill="D9D9D9" w:color="auto" w:val="clear"/>
        </w:rPr>
        <w:t>必须满足下列全部条件</w:t>
      </w:r>
      <w:r>
        <w:rPr/>
        <w:t>：</w:t>
      </w:r>
    </w:p>
    <w:p>
      <w:pPr>
        <w:pStyle w:val="ListParagraph"/>
        <w:numPr>
          <w:ilvl w:val="0"/>
          <w:numId w:val="30"/>
        </w:numPr>
        <w:tabs>
          <w:tab w:pos="567" w:val="left" w:leader="none"/>
        </w:tabs>
        <w:spacing w:line="240" w:lineRule="auto" w:before="24" w:after="0"/>
        <w:ind w:left="566" w:right="0" w:hanging="453"/>
        <w:jc w:val="left"/>
        <w:rPr>
          <w:sz w:val="22"/>
        </w:rPr>
      </w:pPr>
      <w:r>
        <w:rPr>
          <w:spacing w:val="-3"/>
          <w:sz w:val="22"/>
        </w:rPr>
        <w:t>经药物治疗和胸腺切除治疗一年以上仍无法控制病情；</w:t>
      </w:r>
    </w:p>
    <w:p>
      <w:pPr>
        <w:pStyle w:val="ListParagraph"/>
        <w:numPr>
          <w:ilvl w:val="0"/>
          <w:numId w:val="30"/>
        </w:numPr>
        <w:tabs>
          <w:tab w:pos="567" w:val="left" w:leader="none"/>
        </w:tabs>
        <w:spacing w:line="316" w:lineRule="auto" w:before="91" w:after="0"/>
        <w:ind w:left="566" w:right="111" w:hanging="453"/>
        <w:jc w:val="left"/>
        <w:rPr>
          <w:sz w:val="22"/>
        </w:rPr>
      </w:pPr>
      <w:r>
        <w:rPr>
          <w:sz w:val="22"/>
        </w:rPr>
        <w:t>自主生活能力完全丧失，无法独立完成六项基本日常生活活动中的三项</w:t>
      </w:r>
      <w:r>
        <w:rPr>
          <w:spacing w:val="-1"/>
          <w:sz w:val="22"/>
        </w:rPr>
        <w:t>或三项以上。</w:t>
      </w:r>
    </w:p>
    <w:p>
      <w:pPr>
        <w:spacing w:after="0" w:line="316" w:lineRule="auto"/>
        <w:jc w:val="left"/>
        <w:rPr>
          <w:sz w:val="22"/>
        </w:rPr>
        <w:sectPr>
          <w:type w:val="continuous"/>
          <w:pgSz w:w="11910" w:h="16840"/>
          <w:pgMar w:top="680" w:bottom="660" w:left="1020" w:right="1020"/>
          <w:cols w:num="2" w:equalWidth="0">
            <w:col w:w="2235" w:space="79"/>
            <w:col w:w="7556"/>
          </w:cols>
        </w:sectPr>
      </w:pPr>
    </w:p>
    <w:p>
      <w:pPr>
        <w:pStyle w:val="BodyText"/>
        <w:spacing w:before="9"/>
        <w:rPr>
          <w:sz w:val="25"/>
        </w:rPr>
      </w:pPr>
    </w:p>
    <w:p>
      <w:pPr>
        <w:spacing w:after="0"/>
        <w:rPr>
          <w:sz w:val="25"/>
        </w:rPr>
        <w:sectPr>
          <w:type w:val="continuous"/>
          <w:pgSz w:w="11910" w:h="16840"/>
          <w:pgMar w:top="680" w:bottom="660" w:left="1020" w:right="1020"/>
        </w:sectPr>
      </w:pPr>
    </w:p>
    <w:p>
      <w:pPr>
        <w:pStyle w:val="Heading4"/>
        <w:numPr>
          <w:ilvl w:val="2"/>
          <w:numId w:val="21"/>
        </w:numPr>
        <w:tabs>
          <w:tab w:pos="911" w:val="left" w:leader="none"/>
        </w:tabs>
        <w:spacing w:line="240" w:lineRule="auto" w:before="0" w:after="0"/>
        <w:ind w:left="910" w:right="0" w:hanging="797"/>
        <w:jc w:val="left"/>
      </w:pPr>
      <w:r>
        <w:rPr/>
        <w:t>严重类风湿性关节炎</w:t>
      </w:r>
    </w:p>
    <w:p>
      <w:pPr>
        <w:pStyle w:val="BodyText"/>
        <w:spacing w:line="316" w:lineRule="auto" w:before="66"/>
        <w:ind w:left="113" w:right="110"/>
        <w:jc w:val="both"/>
      </w:pPr>
      <w:r>
        <w:rPr/>
        <w:br w:type="column"/>
      </w:r>
      <w:r>
        <w:rPr>
          <w:spacing w:val="5"/>
        </w:rPr>
        <w:t>类风湿性关节炎为广泛分布的慢性进行性多关节病变，表现为关节严重变形，侵犯至少三个主要关节或关节组【如：双手（多手指）关节、双足（多足趾）关节、双腕关节、双膝关节和双髋关节】。类风湿性关节炎必须明确</w:t>
      </w:r>
      <w:r>
        <w:rPr>
          <w:spacing w:val="-4"/>
        </w:rPr>
        <w:t>诊断并且已经达到类风湿性关节炎功能分级 </w:t>
      </w:r>
      <w:r>
        <w:rPr/>
        <w:t>III</w:t>
      </w:r>
      <w:r>
        <w:rPr>
          <w:spacing w:val="-5"/>
        </w:rPr>
        <w:t> 级以上的功能障碍</w:t>
      </w:r>
      <w:r>
        <w:rPr/>
        <w:t>（</w:t>
      </w:r>
      <w:r>
        <w:rPr>
          <w:spacing w:val="-2"/>
        </w:rPr>
        <w:t>关节活</w:t>
      </w:r>
      <w:r>
        <w:rPr>
          <w:spacing w:val="-3"/>
        </w:rPr>
        <w:t>动严重限制，不能完成大部分的日常工作和活动</w:t>
      </w:r>
      <w:r>
        <w:rPr/>
        <w:t>）</w:t>
      </w:r>
      <w:r>
        <w:rPr>
          <w:spacing w:val="-2"/>
          <w:shd w:fill="D9D9D9" w:color="auto" w:val="clear"/>
        </w:rPr>
        <w:t>并且满足下列全部条件</w:t>
      </w:r>
      <w:r>
        <w:rPr/>
        <w:t>：</w:t>
      </w:r>
    </w:p>
    <w:p>
      <w:pPr>
        <w:pStyle w:val="ListParagraph"/>
        <w:numPr>
          <w:ilvl w:val="0"/>
          <w:numId w:val="31"/>
        </w:numPr>
        <w:tabs>
          <w:tab w:pos="567" w:val="left" w:leader="none"/>
        </w:tabs>
        <w:spacing w:line="240" w:lineRule="auto" w:before="23" w:after="0"/>
        <w:ind w:left="566" w:right="0" w:hanging="453"/>
        <w:jc w:val="both"/>
        <w:rPr>
          <w:sz w:val="22"/>
        </w:rPr>
      </w:pPr>
      <w:r>
        <w:rPr>
          <w:sz w:val="22"/>
        </w:rPr>
        <w:t>晨僵；</w:t>
      </w:r>
    </w:p>
    <w:p>
      <w:pPr>
        <w:pStyle w:val="ListParagraph"/>
        <w:numPr>
          <w:ilvl w:val="0"/>
          <w:numId w:val="31"/>
        </w:numPr>
        <w:tabs>
          <w:tab w:pos="567" w:val="left" w:leader="none"/>
        </w:tabs>
        <w:spacing w:line="240" w:lineRule="auto" w:before="91" w:after="0"/>
        <w:ind w:left="566" w:right="0" w:hanging="453"/>
        <w:jc w:val="both"/>
        <w:rPr>
          <w:sz w:val="22"/>
        </w:rPr>
      </w:pPr>
      <w:r>
        <w:rPr>
          <w:spacing w:val="-1"/>
          <w:sz w:val="22"/>
        </w:rPr>
        <w:t>对称性关节炎；</w:t>
      </w:r>
    </w:p>
    <w:p>
      <w:pPr>
        <w:pStyle w:val="ListParagraph"/>
        <w:numPr>
          <w:ilvl w:val="0"/>
          <w:numId w:val="31"/>
        </w:numPr>
        <w:tabs>
          <w:tab w:pos="567" w:val="left" w:leader="none"/>
        </w:tabs>
        <w:spacing w:line="240" w:lineRule="auto" w:before="91" w:after="0"/>
        <w:ind w:left="566" w:right="0" w:hanging="453"/>
        <w:jc w:val="both"/>
        <w:rPr>
          <w:sz w:val="22"/>
        </w:rPr>
      </w:pPr>
      <w:r>
        <w:rPr>
          <w:spacing w:val="-2"/>
          <w:sz w:val="22"/>
        </w:rPr>
        <w:t>类风湿性皮下结节；</w:t>
      </w:r>
    </w:p>
    <w:p>
      <w:pPr>
        <w:spacing w:after="0" w:line="240" w:lineRule="auto"/>
        <w:jc w:val="both"/>
        <w:rPr>
          <w:sz w:val="22"/>
        </w:rPr>
        <w:sectPr>
          <w:type w:val="continuous"/>
          <w:pgSz w:w="11910" w:h="16840"/>
          <w:pgMar w:top="680" w:bottom="660" w:left="1020" w:right="1020"/>
          <w:cols w:num="2" w:equalWidth="0">
            <w:col w:w="2235" w:space="79"/>
            <w:col w:w="7556"/>
          </w:cols>
        </w:sectPr>
      </w:pPr>
    </w:p>
    <w:p>
      <w:pPr>
        <w:pStyle w:val="BodyText"/>
        <w:rPr>
          <w:sz w:val="20"/>
        </w:rPr>
      </w:pPr>
    </w:p>
    <w:p>
      <w:pPr>
        <w:pStyle w:val="BodyText"/>
        <w:rPr>
          <w:sz w:val="20"/>
        </w:rPr>
      </w:pPr>
    </w:p>
    <w:p>
      <w:pPr>
        <w:pStyle w:val="BodyText"/>
        <w:spacing w:before="7"/>
        <w:rPr>
          <w:sz w:val="16"/>
        </w:rPr>
      </w:pPr>
    </w:p>
    <w:p>
      <w:pPr>
        <w:pStyle w:val="ListParagraph"/>
        <w:numPr>
          <w:ilvl w:val="0"/>
          <w:numId w:val="31"/>
        </w:numPr>
        <w:tabs>
          <w:tab w:pos="2881" w:val="left" w:leader="none"/>
        </w:tabs>
        <w:spacing w:line="240" w:lineRule="auto" w:before="33" w:after="0"/>
        <w:ind w:left="2881" w:right="0" w:hanging="454"/>
        <w:jc w:val="left"/>
        <w:rPr>
          <w:sz w:val="22"/>
        </w:rPr>
      </w:pPr>
      <w:r>
        <w:rPr>
          <w:spacing w:val="-2"/>
          <w:sz w:val="22"/>
        </w:rPr>
        <w:t>类风湿因子滴度升高；</w:t>
      </w:r>
    </w:p>
    <w:p>
      <w:pPr>
        <w:pStyle w:val="ListParagraph"/>
        <w:numPr>
          <w:ilvl w:val="0"/>
          <w:numId w:val="31"/>
        </w:numPr>
        <w:tabs>
          <w:tab w:pos="2881" w:val="left" w:leader="none"/>
        </w:tabs>
        <w:spacing w:line="240" w:lineRule="auto" w:before="91" w:after="0"/>
        <w:ind w:left="2881" w:right="0" w:hanging="454"/>
        <w:jc w:val="left"/>
        <w:rPr>
          <w:sz w:val="22"/>
        </w:rPr>
      </w:pPr>
      <w:r>
        <w:rPr>
          <w:sz w:val="22"/>
        </w:rPr>
        <w:t>X</w:t>
      </w:r>
      <w:r>
        <w:rPr>
          <w:spacing w:val="-7"/>
          <w:sz w:val="22"/>
        </w:rPr>
        <w:t> 线显示严重的关节</w:t>
      </w:r>
      <w:r>
        <w:rPr>
          <w:spacing w:val="-3"/>
          <w:sz w:val="22"/>
        </w:rPr>
        <w:t>（</w:t>
      </w:r>
      <w:r>
        <w:rPr>
          <w:spacing w:val="-2"/>
          <w:sz w:val="22"/>
        </w:rPr>
        <w:t>软骨和骨</w:t>
      </w:r>
      <w:r>
        <w:rPr>
          <w:spacing w:val="-3"/>
          <w:sz w:val="22"/>
        </w:rPr>
        <w:t>）破坏和关节畸形。</w:t>
      </w:r>
    </w:p>
    <w:p>
      <w:pPr>
        <w:pStyle w:val="BodyText"/>
        <w:spacing w:before="1"/>
        <w:rPr>
          <w:sz w:val="31"/>
        </w:rPr>
      </w:pPr>
    </w:p>
    <w:p>
      <w:pPr>
        <w:pStyle w:val="ListParagraph"/>
        <w:numPr>
          <w:ilvl w:val="2"/>
          <w:numId w:val="21"/>
        </w:numPr>
        <w:tabs>
          <w:tab w:pos="911" w:val="left" w:leader="none"/>
        </w:tabs>
        <w:spacing w:line="302" w:lineRule="auto" w:before="0" w:after="0"/>
        <w:ind w:left="2427" w:right="110" w:hanging="2314"/>
        <w:jc w:val="both"/>
        <w:rPr>
          <w:sz w:val="22"/>
        </w:rPr>
      </w:pPr>
      <w:r>
        <w:rPr>
          <w:rFonts w:ascii="微软雅黑" w:eastAsia="微软雅黑" w:hint="eastAsia"/>
          <w:b/>
          <w:sz w:val="22"/>
        </w:rPr>
        <w:t>1</w:t>
      </w:r>
      <w:r>
        <w:rPr>
          <w:rFonts w:ascii="微软雅黑" w:eastAsia="微软雅黑" w:hint="eastAsia"/>
          <w:b/>
          <w:spacing w:val="0"/>
          <w:sz w:val="22"/>
        </w:rPr>
        <w:t> 型糖尿病    </w:t>
      </w:r>
      <w:r>
        <w:rPr>
          <w:sz w:val="22"/>
        </w:rPr>
        <w:t>1 型糖尿病的特征为由于胰岛素分泌绝对不足引起严重胰岛素缺乏导致慢性血糖升高，需要依赖外源性胰岛素进行机体的葡萄糖代谢和维持生命。被保</w:t>
      </w:r>
      <w:r>
        <w:rPr>
          <w:spacing w:val="-11"/>
          <w:sz w:val="22"/>
        </w:rPr>
        <w:t>险人的 </w:t>
      </w:r>
      <w:r>
        <w:rPr>
          <w:sz w:val="22"/>
        </w:rPr>
        <w:t>1</w:t>
      </w:r>
      <w:r>
        <w:rPr>
          <w:spacing w:val="-10"/>
          <w:sz w:val="22"/>
        </w:rPr>
        <w:t> 型糖尿病必须明确诊断，而且有血胰岛素测定及血 </w:t>
      </w:r>
      <w:r>
        <w:rPr>
          <w:sz w:val="22"/>
        </w:rPr>
        <w:t>C</w:t>
      </w:r>
      <w:r>
        <w:rPr>
          <w:spacing w:val="-17"/>
          <w:sz w:val="22"/>
        </w:rPr>
        <w:t> 肽或尿 </w:t>
      </w:r>
      <w:r>
        <w:rPr>
          <w:sz w:val="22"/>
        </w:rPr>
        <w:t>C</w:t>
      </w:r>
      <w:r>
        <w:rPr>
          <w:spacing w:val="-17"/>
          <w:sz w:val="22"/>
        </w:rPr>
        <w:t> 肽测</w:t>
      </w:r>
      <w:r>
        <w:rPr>
          <w:spacing w:val="-3"/>
          <w:sz w:val="22"/>
        </w:rPr>
        <w:t>定结果支持诊断，</w:t>
      </w:r>
      <w:r>
        <w:rPr>
          <w:spacing w:val="-3"/>
          <w:sz w:val="22"/>
          <w:shd w:fill="D9D9D9" w:color="auto" w:val="clear"/>
        </w:rPr>
        <w:t>并且满足下列全部条件</w:t>
      </w:r>
      <w:r>
        <w:rPr>
          <w:sz w:val="22"/>
        </w:rPr>
        <w:t>：</w:t>
      </w:r>
    </w:p>
    <w:p>
      <w:pPr>
        <w:pStyle w:val="ListParagraph"/>
        <w:numPr>
          <w:ilvl w:val="3"/>
          <w:numId w:val="21"/>
        </w:numPr>
        <w:tabs>
          <w:tab w:pos="2881" w:val="left" w:leader="none"/>
        </w:tabs>
        <w:spacing w:line="240" w:lineRule="auto" w:before="33" w:after="0"/>
        <w:ind w:left="2881" w:right="0" w:hanging="454"/>
        <w:jc w:val="left"/>
        <w:rPr>
          <w:sz w:val="22"/>
        </w:rPr>
      </w:pPr>
      <w:r>
        <w:rPr>
          <w:spacing w:val="-5"/>
          <w:sz w:val="22"/>
        </w:rPr>
        <w:t>已经持续性地接受外源性胰岛素注射治疗连续 </w:t>
      </w:r>
      <w:r>
        <w:rPr>
          <w:sz w:val="22"/>
        </w:rPr>
        <w:t>180</w:t>
      </w:r>
      <w:r>
        <w:rPr>
          <w:spacing w:val="-11"/>
          <w:sz w:val="22"/>
        </w:rPr>
        <w:t> 天以上；</w:t>
      </w:r>
    </w:p>
    <w:p>
      <w:pPr>
        <w:pStyle w:val="ListParagraph"/>
        <w:numPr>
          <w:ilvl w:val="3"/>
          <w:numId w:val="21"/>
        </w:numPr>
        <w:tabs>
          <w:tab w:pos="2881" w:val="left" w:leader="none"/>
        </w:tabs>
        <w:spacing w:line="240" w:lineRule="auto" w:before="91" w:after="0"/>
        <w:ind w:left="2881" w:right="0" w:hanging="454"/>
        <w:jc w:val="left"/>
        <w:rPr>
          <w:sz w:val="22"/>
        </w:rPr>
      </w:pPr>
      <w:r>
        <w:rPr>
          <w:spacing w:val="-3"/>
          <w:sz w:val="22"/>
        </w:rPr>
        <w:t>因需要已经接受了下列治疗：</w:t>
      </w:r>
    </w:p>
    <w:p>
      <w:pPr>
        <w:pStyle w:val="ListParagraph"/>
        <w:numPr>
          <w:ilvl w:val="4"/>
          <w:numId w:val="21"/>
        </w:numPr>
        <w:tabs>
          <w:tab w:pos="3090" w:val="left" w:leader="none"/>
        </w:tabs>
        <w:spacing w:line="240" w:lineRule="auto" w:before="93" w:after="0"/>
        <w:ind w:left="3089" w:right="0" w:hanging="220"/>
        <w:jc w:val="left"/>
        <w:rPr>
          <w:sz w:val="22"/>
        </w:rPr>
      </w:pPr>
      <w:r>
        <w:rPr/>
        <w:drawing>
          <wp:anchor distT="0" distB="0" distL="0" distR="0" allowOverlap="1" layoutInCell="1" locked="0" behindDoc="1" simplePos="0" relativeHeight="268390391">
            <wp:simplePos x="0" y="0"/>
            <wp:positionH relativeFrom="page">
              <wp:posOffset>2189098</wp:posOffset>
            </wp:positionH>
            <wp:positionV relativeFrom="paragraph">
              <wp:posOffset>101824</wp:posOffset>
            </wp:positionV>
            <wp:extent cx="280415" cy="140207"/>
            <wp:effectExtent l="0" t="0" r="0" b="0"/>
            <wp:wrapNone/>
            <wp:docPr id="5" name="image5.png" descr=""/>
            <wp:cNvGraphicFramePr>
              <a:graphicFrameLocks noChangeAspect="1"/>
            </wp:cNvGraphicFramePr>
            <a:graphic>
              <a:graphicData uri="http://schemas.openxmlformats.org/drawingml/2006/picture">
                <pic:pic>
                  <pic:nvPicPr>
                    <pic:cNvPr id="6" name="image5.png"/>
                    <pic:cNvPicPr/>
                  </pic:nvPicPr>
                  <pic:blipFill>
                    <a:blip r:embed="rId11" cstate="print"/>
                    <a:stretch>
                      <a:fillRect/>
                    </a:stretch>
                  </pic:blipFill>
                  <pic:spPr>
                    <a:xfrm>
                      <a:off x="0" y="0"/>
                      <a:ext cx="280415" cy="140207"/>
                    </a:xfrm>
                    <a:prstGeom prst="rect">
                      <a:avLst/>
                    </a:prstGeom>
                  </pic:spPr>
                </pic:pic>
              </a:graphicData>
            </a:graphic>
          </wp:anchor>
        </w:drawing>
      </w:r>
      <w:r>
        <w:rPr>
          <w:spacing w:val="-3"/>
          <w:sz w:val="22"/>
        </w:rPr>
        <w:t>因严重心律失常植入了心脏起搏器；或</w:t>
      </w:r>
    </w:p>
    <w:p>
      <w:pPr>
        <w:pStyle w:val="ListParagraph"/>
        <w:numPr>
          <w:ilvl w:val="4"/>
          <w:numId w:val="21"/>
        </w:numPr>
        <w:tabs>
          <w:tab w:pos="3090" w:val="left" w:leader="none"/>
        </w:tabs>
        <w:spacing w:line="240" w:lineRule="auto" w:before="91" w:after="0"/>
        <w:ind w:left="3089" w:right="0" w:hanging="220"/>
        <w:jc w:val="left"/>
        <w:rPr>
          <w:sz w:val="22"/>
        </w:rPr>
      </w:pPr>
      <w:r>
        <w:rPr/>
        <w:drawing>
          <wp:anchor distT="0" distB="0" distL="0" distR="0" allowOverlap="1" layoutInCell="1" locked="0" behindDoc="1" simplePos="0" relativeHeight="268390415">
            <wp:simplePos x="0" y="0"/>
            <wp:positionH relativeFrom="page">
              <wp:posOffset>2189098</wp:posOffset>
            </wp:positionH>
            <wp:positionV relativeFrom="paragraph">
              <wp:posOffset>100554</wp:posOffset>
            </wp:positionV>
            <wp:extent cx="280415" cy="140207"/>
            <wp:effectExtent l="0" t="0" r="0" b="0"/>
            <wp:wrapNone/>
            <wp:docPr id="7" name="image5.png" descr=""/>
            <wp:cNvGraphicFramePr>
              <a:graphicFrameLocks noChangeAspect="1"/>
            </wp:cNvGraphicFramePr>
            <a:graphic>
              <a:graphicData uri="http://schemas.openxmlformats.org/drawingml/2006/picture">
                <pic:pic>
                  <pic:nvPicPr>
                    <pic:cNvPr id="8" name="image5.png"/>
                    <pic:cNvPicPr/>
                  </pic:nvPicPr>
                  <pic:blipFill>
                    <a:blip r:embed="rId11" cstate="print"/>
                    <a:stretch>
                      <a:fillRect/>
                    </a:stretch>
                  </pic:blipFill>
                  <pic:spPr>
                    <a:xfrm>
                      <a:off x="0" y="0"/>
                      <a:ext cx="280415" cy="140207"/>
                    </a:xfrm>
                    <a:prstGeom prst="rect">
                      <a:avLst/>
                    </a:prstGeom>
                  </pic:spPr>
                </pic:pic>
              </a:graphicData>
            </a:graphic>
          </wp:anchor>
        </w:drawing>
      </w:r>
      <w:r>
        <w:rPr>
          <w:spacing w:val="-3"/>
          <w:sz w:val="22"/>
        </w:rPr>
        <w:t>因坏疽自跖趾关节或以上切除了一趾或多趾。</w:t>
      </w:r>
    </w:p>
    <w:p>
      <w:pPr>
        <w:pStyle w:val="BodyText"/>
        <w:spacing w:before="1"/>
        <w:rPr>
          <w:sz w:val="31"/>
        </w:rPr>
      </w:pPr>
    </w:p>
    <w:p>
      <w:pPr>
        <w:pStyle w:val="ListParagraph"/>
        <w:numPr>
          <w:ilvl w:val="2"/>
          <w:numId w:val="21"/>
        </w:numPr>
        <w:tabs>
          <w:tab w:pos="911" w:val="left" w:leader="none"/>
        </w:tabs>
        <w:spacing w:line="295" w:lineRule="auto" w:before="0" w:after="0"/>
        <w:ind w:left="2427" w:right="110" w:hanging="2314"/>
        <w:jc w:val="both"/>
        <w:rPr>
          <w:sz w:val="22"/>
        </w:rPr>
      </w:pPr>
      <w:r>
        <w:rPr>
          <w:rFonts w:ascii="微软雅黑" w:eastAsia="微软雅黑" w:hint="eastAsia"/>
          <w:b/>
          <w:spacing w:val="1"/>
          <w:sz w:val="22"/>
        </w:rPr>
        <w:t>严重克隆病    </w:t>
      </w:r>
      <w:r>
        <w:rPr>
          <w:sz w:val="22"/>
        </w:rPr>
        <w:t>克隆病是一种慢性肉芽肿性肠炎，具有特征性的克隆病病理组织学变化。诊断必须由病理检查结果证实。被保险人所患的克隆病必须已经造成瘘管形成</w:t>
      </w:r>
      <w:r>
        <w:rPr>
          <w:spacing w:val="-3"/>
          <w:sz w:val="22"/>
        </w:rPr>
        <w:t>并伴有肠梗阻或肠穿孔。</w:t>
      </w:r>
    </w:p>
    <w:p>
      <w:pPr>
        <w:pStyle w:val="BodyText"/>
        <w:spacing w:before="3"/>
        <w:rPr>
          <w:sz w:val="27"/>
        </w:rPr>
      </w:pPr>
    </w:p>
    <w:p>
      <w:pPr>
        <w:spacing w:after="0"/>
        <w:rPr>
          <w:sz w:val="27"/>
        </w:rPr>
        <w:sectPr>
          <w:pgSz w:w="11910" w:h="16840"/>
          <w:pgMar w:header="484" w:footer="479" w:top="680" w:bottom="660" w:left="1020" w:right="1020"/>
        </w:sectPr>
      </w:pPr>
    </w:p>
    <w:p>
      <w:pPr>
        <w:pStyle w:val="Heading4"/>
        <w:numPr>
          <w:ilvl w:val="2"/>
          <w:numId w:val="21"/>
        </w:numPr>
        <w:tabs>
          <w:tab w:pos="911" w:val="left" w:leader="none"/>
        </w:tabs>
        <w:spacing w:line="240" w:lineRule="auto" w:before="0" w:after="0"/>
        <w:ind w:left="910" w:right="0" w:hanging="797"/>
        <w:jc w:val="left"/>
      </w:pPr>
      <w:r>
        <w:rPr/>
        <w:t>严重溃疡性结肠炎</w:t>
      </w:r>
    </w:p>
    <w:p>
      <w:pPr>
        <w:pStyle w:val="BodyText"/>
        <w:spacing w:line="316" w:lineRule="auto" w:before="65"/>
        <w:ind w:left="113" w:right="110"/>
        <w:jc w:val="both"/>
      </w:pPr>
      <w:r>
        <w:rPr/>
        <w:br w:type="column"/>
      </w:r>
      <w:r>
        <w:rPr/>
        <w:t>本附加合同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或回肠造瘘术。</w:t>
      </w:r>
    </w:p>
    <w:p>
      <w:pPr>
        <w:spacing w:after="0" w:line="316" w:lineRule="auto"/>
        <w:jc w:val="both"/>
        <w:sectPr>
          <w:type w:val="continuous"/>
          <w:pgSz w:w="11910" w:h="16840"/>
          <w:pgMar w:top="680" w:bottom="660" w:left="1020" w:right="1020"/>
          <w:cols w:num="2" w:equalWidth="0">
            <w:col w:w="2235" w:space="79"/>
            <w:col w:w="7556"/>
          </w:cols>
        </w:sectPr>
      </w:pPr>
    </w:p>
    <w:p>
      <w:pPr>
        <w:pStyle w:val="BodyText"/>
        <w:spacing w:before="9"/>
        <w:rPr>
          <w:sz w:val="25"/>
        </w:rPr>
      </w:pPr>
    </w:p>
    <w:p>
      <w:pPr>
        <w:spacing w:after="0"/>
        <w:rPr>
          <w:sz w:val="25"/>
        </w:rPr>
        <w:sectPr>
          <w:type w:val="continuous"/>
          <w:pgSz w:w="11910" w:h="16840"/>
          <w:pgMar w:top="680" w:bottom="660" w:left="1020" w:right="1020"/>
        </w:sectPr>
      </w:pPr>
    </w:p>
    <w:p>
      <w:pPr>
        <w:pStyle w:val="Heading4"/>
        <w:numPr>
          <w:ilvl w:val="2"/>
          <w:numId w:val="21"/>
        </w:numPr>
        <w:tabs>
          <w:tab w:pos="911" w:val="left" w:leader="none"/>
        </w:tabs>
        <w:spacing w:line="240" w:lineRule="auto" w:before="0" w:after="0"/>
        <w:ind w:left="910" w:right="0" w:hanging="797"/>
        <w:jc w:val="left"/>
      </w:pPr>
      <w:r>
        <w:rPr/>
        <w:t>II</w:t>
      </w:r>
      <w:r>
        <w:rPr>
          <w:spacing w:val="-3"/>
        </w:rPr>
        <w:t> 级重症急性胰腺炎</w:t>
      </w:r>
    </w:p>
    <w:p>
      <w:pPr>
        <w:pStyle w:val="BodyText"/>
        <w:spacing w:line="316" w:lineRule="auto" w:before="65"/>
        <w:ind w:left="113" w:right="50"/>
      </w:pPr>
      <w:r>
        <w:rPr/>
        <w:br w:type="column"/>
      </w:r>
      <w:r>
        <w:rPr/>
        <w:t>Ⅱ级重症急性胰腺炎是指急性胰腺炎伴有脏器功能障碍。被保险人所患的Ⅱ 级重症急性胰腺炎必须明确诊断，按 APACHEⅡ评分达到 8 分或 8 分以上和</w:t>
      </w:r>
    </w:p>
    <w:p>
      <w:pPr>
        <w:pStyle w:val="BodyText"/>
        <w:spacing w:line="319" w:lineRule="auto" w:before="20"/>
        <w:ind w:left="113" w:right="113"/>
      </w:pPr>
      <w:r>
        <w:rPr/>
        <w:t>Balthazar 分级系统达到Ⅱ级或Ⅱ级以上，并且接受了外科剖腹手术治疗， 以进行坏死组织清除、坏死病灶切除或胰腺切除。</w:t>
      </w:r>
    </w:p>
    <w:p>
      <w:pPr>
        <w:pStyle w:val="BodyText"/>
        <w:spacing w:line="316" w:lineRule="auto" w:before="18"/>
        <w:ind w:left="113" w:right="106"/>
      </w:pPr>
      <w:r>
        <w:rPr>
          <w:shd w:fill="D9D9D9" w:color="auto" w:val="clear"/>
        </w:rPr>
        <w:t>因酗酒或饮酒过量所致的急性坏死性胰腺炎以及腹腔镜手术不在本附加合同保障范围内。</w:t>
      </w:r>
    </w:p>
    <w:p>
      <w:pPr>
        <w:spacing w:after="0" w:line="316" w:lineRule="auto"/>
        <w:sectPr>
          <w:type w:val="continuous"/>
          <w:pgSz w:w="11910" w:h="16840"/>
          <w:pgMar w:top="680" w:bottom="660" w:left="1020" w:right="1020"/>
          <w:cols w:num="2" w:equalWidth="0">
            <w:col w:w="2219" w:space="96"/>
            <w:col w:w="7555"/>
          </w:cols>
        </w:sectPr>
      </w:pPr>
    </w:p>
    <w:p>
      <w:pPr>
        <w:pStyle w:val="BodyText"/>
        <w:spacing w:before="9"/>
        <w:rPr>
          <w:sz w:val="25"/>
        </w:rPr>
      </w:pPr>
    </w:p>
    <w:p>
      <w:pPr>
        <w:pStyle w:val="ListParagraph"/>
        <w:numPr>
          <w:ilvl w:val="2"/>
          <w:numId w:val="21"/>
        </w:numPr>
        <w:tabs>
          <w:tab w:pos="911" w:val="left" w:leader="none"/>
        </w:tabs>
        <w:spacing w:line="302" w:lineRule="auto" w:before="0" w:after="0"/>
        <w:ind w:left="2427" w:right="106" w:hanging="2314"/>
        <w:jc w:val="both"/>
        <w:rPr>
          <w:sz w:val="22"/>
        </w:rPr>
      </w:pPr>
      <w:r>
        <w:rPr>
          <w:rFonts w:ascii="微软雅黑" w:eastAsia="微软雅黑" w:hint="eastAsia"/>
          <w:b/>
          <w:spacing w:val="7"/>
          <w:sz w:val="22"/>
        </w:rPr>
        <w:t>肌营养不良症 </w:t>
      </w:r>
      <w:r>
        <w:rPr>
          <w:sz w:val="22"/>
        </w:rPr>
        <w:t>肌营养不良症是一组遗传性肌肉变性性病变，临床特征为与神经系统无关的肌肉无力和肌肉萎缩。</w:t>
      </w:r>
      <w:r>
        <w:rPr>
          <w:sz w:val="22"/>
          <w:shd w:fill="D9D9D9" w:color="auto" w:val="clear"/>
        </w:rPr>
        <w:t>本附加合同仅对肌营养不良症已造成永久不可逆性的神经系统功能损害导致被保险人自主生活能力完全丧失，无法独立完成六项基本日</w:t>
      </w:r>
      <w:r>
        <w:rPr>
          <w:spacing w:val="-18"/>
          <w:sz w:val="22"/>
          <w:shd w:fill="D9D9D9" w:color="auto" w:val="clear"/>
        </w:rPr>
        <w:t>常生活活动中的三项或三项以上的情况予以理赔。</w:t>
      </w:r>
    </w:p>
    <w:p>
      <w:pPr>
        <w:pStyle w:val="BodyText"/>
        <w:spacing w:before="9"/>
        <w:rPr>
          <w:sz w:val="26"/>
        </w:rPr>
      </w:pPr>
    </w:p>
    <w:p>
      <w:pPr>
        <w:pStyle w:val="ListParagraph"/>
        <w:numPr>
          <w:ilvl w:val="2"/>
          <w:numId w:val="21"/>
        </w:numPr>
        <w:tabs>
          <w:tab w:pos="911" w:val="left" w:leader="none"/>
        </w:tabs>
        <w:spacing w:line="295" w:lineRule="auto" w:before="1" w:after="0"/>
        <w:ind w:left="2427" w:right="108" w:hanging="2314"/>
        <w:jc w:val="both"/>
        <w:rPr>
          <w:sz w:val="22"/>
        </w:rPr>
      </w:pPr>
      <w:r>
        <w:rPr>
          <w:rFonts w:ascii="微软雅黑" w:eastAsia="微软雅黑" w:hint="eastAsia"/>
          <w:b/>
          <w:spacing w:val="0"/>
          <w:sz w:val="22"/>
        </w:rPr>
        <w:t>植物人状态     </w:t>
      </w:r>
      <w:r>
        <w:rPr>
          <w:spacing w:val="2"/>
          <w:sz w:val="22"/>
        </w:rPr>
        <w:t>植物人状态系指由于严重颅脑外伤造成大脑和/</w:t>
      </w:r>
      <w:r>
        <w:rPr>
          <w:spacing w:val="0"/>
          <w:sz w:val="22"/>
        </w:rPr>
        <w:t>或脑干严重损害导致完全永久性的对自身和环境的意识丧失和中枢神经系统功能丧失，仅残存植物神经</w:t>
      </w:r>
      <w:r>
        <w:rPr>
          <w:spacing w:val="5"/>
          <w:sz w:val="22"/>
        </w:rPr>
        <w:t>功能的疾病状态。诊断必须明确诊断并且具有严重颅脑外伤和脑损害的证</w:t>
      </w:r>
    </w:p>
    <w:p>
      <w:pPr>
        <w:spacing w:after="0" w:line="295" w:lineRule="auto"/>
        <w:jc w:val="both"/>
        <w:rPr>
          <w:sz w:val="22"/>
        </w:rPr>
        <w:sectPr>
          <w:type w:val="continuous"/>
          <w:pgSz w:w="11910" w:h="16840"/>
          <w:pgMar w:top="680" w:bottom="660" w:left="1020" w:right="102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after="1"/>
        <w:rPr>
          <w:rFonts w:ascii="Times New Roman"/>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0"/>
        <w:gridCol w:w="1489"/>
        <w:gridCol w:w="7627"/>
      </w:tblGrid>
      <w:tr>
        <w:trPr>
          <w:trHeight w:val="473" w:hRule="atLeast"/>
        </w:trPr>
        <w:tc>
          <w:tcPr>
            <w:tcW w:w="930" w:type="dxa"/>
          </w:tcPr>
          <w:p>
            <w:pPr>
              <w:pStyle w:val="TableParagraph"/>
              <w:rPr>
                <w:rFonts w:ascii="Times New Roman"/>
                <w:sz w:val="22"/>
              </w:rPr>
            </w:pPr>
          </w:p>
        </w:tc>
        <w:tc>
          <w:tcPr>
            <w:tcW w:w="1489" w:type="dxa"/>
          </w:tcPr>
          <w:p>
            <w:pPr>
              <w:pStyle w:val="TableParagraph"/>
              <w:rPr>
                <w:rFonts w:ascii="Times New Roman"/>
                <w:sz w:val="22"/>
              </w:rPr>
            </w:pPr>
          </w:p>
        </w:tc>
        <w:tc>
          <w:tcPr>
            <w:tcW w:w="7627" w:type="dxa"/>
          </w:tcPr>
          <w:p>
            <w:pPr>
              <w:pStyle w:val="TableParagraph"/>
              <w:spacing w:line="221" w:lineRule="exact"/>
              <w:ind w:left="95"/>
              <w:rPr>
                <w:sz w:val="22"/>
              </w:rPr>
            </w:pPr>
            <w:r>
              <w:rPr>
                <w:sz w:val="22"/>
              </w:rPr>
              <w:t>据。</w:t>
            </w:r>
            <w:r>
              <w:rPr>
                <w:sz w:val="22"/>
                <w:shd w:fill="D9D9D9" w:color="auto" w:val="clear"/>
              </w:rPr>
              <w:t>植物人状态必须持续 30 天以上方可申请理赔。</w:t>
            </w:r>
          </w:p>
        </w:tc>
      </w:tr>
      <w:tr>
        <w:trPr>
          <w:trHeight w:val="1520" w:hRule="atLeast"/>
        </w:trPr>
        <w:tc>
          <w:tcPr>
            <w:tcW w:w="930" w:type="dxa"/>
          </w:tcPr>
          <w:p>
            <w:pPr>
              <w:pStyle w:val="TableParagraph"/>
              <w:spacing w:before="10"/>
              <w:rPr>
                <w:rFonts w:ascii="Times New Roman"/>
                <w:sz w:val="18"/>
              </w:rPr>
            </w:pPr>
          </w:p>
          <w:p>
            <w:pPr>
              <w:pStyle w:val="TableParagraph"/>
              <w:spacing w:before="1"/>
              <w:ind w:right="65"/>
              <w:jc w:val="right"/>
              <w:rPr>
                <w:sz w:val="22"/>
              </w:rPr>
            </w:pPr>
            <w:r>
              <w:rPr>
                <w:sz w:val="22"/>
              </w:rPr>
              <w:t>9.4.42</w:t>
            </w:r>
          </w:p>
        </w:tc>
        <w:tc>
          <w:tcPr>
            <w:tcW w:w="1489" w:type="dxa"/>
          </w:tcPr>
          <w:p>
            <w:pPr>
              <w:pStyle w:val="TableParagraph"/>
              <w:spacing w:before="152"/>
              <w:ind w:left="66"/>
              <w:rPr>
                <w:rFonts w:ascii="微软雅黑" w:eastAsia="微软雅黑" w:hint="eastAsia"/>
                <w:b/>
                <w:sz w:val="22"/>
              </w:rPr>
            </w:pPr>
            <w:r>
              <w:rPr>
                <w:rFonts w:ascii="微软雅黑" w:eastAsia="微软雅黑" w:hint="eastAsia"/>
                <w:b/>
                <w:sz w:val="22"/>
              </w:rPr>
              <w:t>独立能力丧失</w:t>
            </w:r>
          </w:p>
        </w:tc>
        <w:tc>
          <w:tcPr>
            <w:tcW w:w="7627" w:type="dxa"/>
          </w:tcPr>
          <w:p>
            <w:pPr>
              <w:pStyle w:val="TableParagraph"/>
              <w:spacing w:before="10"/>
              <w:rPr>
                <w:rFonts w:ascii="Times New Roman"/>
                <w:sz w:val="18"/>
              </w:rPr>
            </w:pPr>
          </w:p>
          <w:p>
            <w:pPr>
              <w:pStyle w:val="TableParagraph"/>
              <w:spacing w:line="316" w:lineRule="auto" w:before="1"/>
              <w:ind w:left="95" w:right="201"/>
              <w:jc w:val="both"/>
              <w:rPr>
                <w:sz w:val="22"/>
              </w:rPr>
            </w:pPr>
            <w:r>
              <w:rPr>
                <w:sz w:val="22"/>
              </w:rPr>
              <w:t>指疾病或外伤造成被保险人至少持续 6 个月以上完全无能力完成(无论有无他人辅助)六项日常生活活动中的三项或以上。被保险人的日常生活活动能力丧失必须是永久性的。</w:t>
            </w:r>
          </w:p>
        </w:tc>
      </w:tr>
      <w:tr>
        <w:trPr>
          <w:trHeight w:val="2280" w:hRule="atLeast"/>
        </w:trPr>
        <w:tc>
          <w:tcPr>
            <w:tcW w:w="930" w:type="dxa"/>
          </w:tcPr>
          <w:p>
            <w:pPr>
              <w:pStyle w:val="TableParagraph"/>
              <w:rPr>
                <w:rFonts w:ascii="Times New Roman"/>
                <w:sz w:val="19"/>
              </w:rPr>
            </w:pPr>
          </w:p>
          <w:p>
            <w:pPr>
              <w:pStyle w:val="TableParagraph"/>
              <w:ind w:right="65"/>
              <w:jc w:val="right"/>
              <w:rPr>
                <w:sz w:val="22"/>
              </w:rPr>
            </w:pPr>
            <w:r>
              <w:rPr>
                <w:sz w:val="22"/>
              </w:rPr>
              <w:t>9.4.43</w:t>
            </w:r>
          </w:p>
        </w:tc>
        <w:tc>
          <w:tcPr>
            <w:tcW w:w="1489" w:type="dxa"/>
          </w:tcPr>
          <w:p>
            <w:pPr>
              <w:pStyle w:val="TableParagraph"/>
              <w:spacing w:before="153"/>
              <w:ind w:left="66"/>
              <w:rPr>
                <w:rFonts w:ascii="微软雅黑" w:eastAsia="微软雅黑" w:hint="eastAsia"/>
                <w:b/>
                <w:sz w:val="22"/>
              </w:rPr>
            </w:pPr>
            <w:r>
              <w:rPr>
                <w:rFonts w:ascii="微软雅黑" w:eastAsia="微软雅黑" w:hint="eastAsia"/>
                <w:b/>
                <w:sz w:val="22"/>
              </w:rPr>
              <w:t>终末期疾病</w:t>
            </w:r>
          </w:p>
        </w:tc>
        <w:tc>
          <w:tcPr>
            <w:tcW w:w="7627" w:type="dxa"/>
          </w:tcPr>
          <w:p>
            <w:pPr>
              <w:pStyle w:val="TableParagraph"/>
              <w:rPr>
                <w:rFonts w:ascii="Times New Roman"/>
                <w:sz w:val="19"/>
              </w:rPr>
            </w:pPr>
          </w:p>
          <w:p>
            <w:pPr>
              <w:pStyle w:val="TableParagraph"/>
              <w:spacing w:line="316" w:lineRule="auto"/>
              <w:ind w:left="95" w:right="203"/>
              <w:jc w:val="both"/>
              <w:rPr>
                <w:sz w:val="22"/>
              </w:rPr>
            </w:pPr>
            <w:r>
              <w:rPr>
                <w:sz w:val="22"/>
              </w:rPr>
              <w:t>被保险人被确诊为疾病的终末期状态，疾病已经无法以现有的医疗技术医治缓解，并且根据临床医学经验判断被保险人将于未来六个月内死亡。在家属及患者的要求和医师的同意下积极治疗已被放弃，所有治疗措施仅以减轻患者痛苦为目的。此疾病状态必须在被保险人生前已经确诊并且具有医疗证明文件和临床检查依据。</w:t>
            </w:r>
          </w:p>
        </w:tc>
      </w:tr>
      <w:tr>
        <w:trPr>
          <w:trHeight w:val="2280" w:hRule="atLeast"/>
        </w:trPr>
        <w:tc>
          <w:tcPr>
            <w:tcW w:w="930" w:type="dxa"/>
          </w:tcPr>
          <w:p>
            <w:pPr>
              <w:pStyle w:val="TableParagraph"/>
              <w:rPr>
                <w:rFonts w:ascii="Times New Roman"/>
                <w:sz w:val="19"/>
              </w:rPr>
            </w:pPr>
          </w:p>
          <w:p>
            <w:pPr>
              <w:pStyle w:val="TableParagraph"/>
              <w:ind w:right="65"/>
              <w:jc w:val="right"/>
              <w:rPr>
                <w:sz w:val="22"/>
              </w:rPr>
            </w:pPr>
            <w:r>
              <w:rPr>
                <w:sz w:val="22"/>
              </w:rPr>
              <w:t>9.4.44</w:t>
            </w:r>
          </w:p>
        </w:tc>
        <w:tc>
          <w:tcPr>
            <w:tcW w:w="1489" w:type="dxa"/>
          </w:tcPr>
          <w:p>
            <w:pPr>
              <w:pStyle w:val="TableParagraph"/>
              <w:spacing w:before="153"/>
              <w:ind w:left="66" w:right="95"/>
              <w:jc w:val="both"/>
              <w:rPr>
                <w:rFonts w:ascii="微软雅黑" w:eastAsia="微软雅黑" w:hint="eastAsia"/>
                <w:b/>
                <w:sz w:val="22"/>
              </w:rPr>
            </w:pPr>
            <w:r>
              <w:rPr>
                <w:rFonts w:ascii="微软雅黑" w:eastAsia="微软雅黑" w:hint="eastAsia"/>
                <w:b/>
                <w:sz w:val="22"/>
              </w:rPr>
              <w:t>非阿尔茨海默病所致严重痴呆</w:t>
            </w:r>
          </w:p>
        </w:tc>
        <w:tc>
          <w:tcPr>
            <w:tcW w:w="7627" w:type="dxa"/>
          </w:tcPr>
          <w:p>
            <w:pPr>
              <w:pStyle w:val="TableParagraph"/>
              <w:rPr>
                <w:rFonts w:ascii="Times New Roman"/>
                <w:sz w:val="19"/>
              </w:rPr>
            </w:pPr>
          </w:p>
          <w:p>
            <w:pPr>
              <w:pStyle w:val="TableParagraph"/>
              <w:spacing w:line="316" w:lineRule="auto"/>
              <w:ind w:left="95" w:right="199"/>
              <w:jc w:val="both"/>
              <w:rPr>
                <w:sz w:val="22"/>
              </w:rPr>
            </w:pPr>
            <w:r>
              <w:rPr>
                <w:sz w:val="22"/>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tc>
      </w:tr>
      <w:tr>
        <w:trPr>
          <w:trHeight w:val="1519" w:hRule="atLeast"/>
        </w:trPr>
        <w:tc>
          <w:tcPr>
            <w:tcW w:w="930" w:type="dxa"/>
          </w:tcPr>
          <w:p>
            <w:pPr>
              <w:pStyle w:val="TableParagraph"/>
              <w:rPr>
                <w:rFonts w:ascii="Times New Roman"/>
                <w:sz w:val="19"/>
              </w:rPr>
            </w:pPr>
          </w:p>
          <w:p>
            <w:pPr>
              <w:pStyle w:val="TableParagraph"/>
              <w:ind w:right="65"/>
              <w:jc w:val="right"/>
              <w:rPr>
                <w:sz w:val="22"/>
              </w:rPr>
            </w:pPr>
            <w:r>
              <w:rPr>
                <w:sz w:val="22"/>
              </w:rPr>
              <w:t>9.4.45</w:t>
            </w:r>
          </w:p>
        </w:tc>
        <w:tc>
          <w:tcPr>
            <w:tcW w:w="1489" w:type="dxa"/>
          </w:tcPr>
          <w:p>
            <w:pPr>
              <w:pStyle w:val="TableParagraph"/>
              <w:spacing w:before="153"/>
              <w:ind w:left="66"/>
              <w:rPr>
                <w:rFonts w:ascii="微软雅黑" w:eastAsia="微软雅黑" w:hint="eastAsia"/>
                <w:b/>
                <w:sz w:val="22"/>
              </w:rPr>
            </w:pPr>
            <w:r>
              <w:rPr>
                <w:rFonts w:ascii="微软雅黑" w:eastAsia="微软雅黑" w:hint="eastAsia"/>
                <w:b/>
                <w:sz w:val="22"/>
              </w:rPr>
              <w:t>肺源性心脏病</w:t>
            </w:r>
          </w:p>
        </w:tc>
        <w:tc>
          <w:tcPr>
            <w:tcW w:w="7627" w:type="dxa"/>
          </w:tcPr>
          <w:p>
            <w:pPr>
              <w:pStyle w:val="TableParagraph"/>
              <w:rPr>
                <w:rFonts w:ascii="Times New Roman"/>
                <w:sz w:val="19"/>
              </w:rPr>
            </w:pPr>
          </w:p>
          <w:p>
            <w:pPr>
              <w:pStyle w:val="TableParagraph"/>
              <w:spacing w:line="316" w:lineRule="auto"/>
              <w:ind w:left="95" w:right="201"/>
              <w:jc w:val="both"/>
              <w:rPr>
                <w:sz w:val="22"/>
              </w:rPr>
            </w:pPr>
            <w:r>
              <w:rPr>
                <w:sz w:val="22"/>
              </w:rPr>
              <w:t>指被保人因慢性肺部疾病导致慢性心功能损害造成永久不可逆性的心功能衰竭。心功能衰竭程度达到纽约心脏病学会的心功能分级标准之心功能 IV 级。被保险人永久不可逆性的体力活动能力受限，不能从事任何体力活动。</w:t>
            </w:r>
          </w:p>
        </w:tc>
      </w:tr>
      <w:tr>
        <w:trPr>
          <w:trHeight w:val="1901" w:hRule="atLeast"/>
        </w:trPr>
        <w:tc>
          <w:tcPr>
            <w:tcW w:w="930" w:type="dxa"/>
          </w:tcPr>
          <w:p>
            <w:pPr>
              <w:pStyle w:val="TableParagraph"/>
              <w:rPr>
                <w:rFonts w:ascii="Times New Roman"/>
                <w:sz w:val="19"/>
              </w:rPr>
            </w:pPr>
          </w:p>
          <w:p>
            <w:pPr>
              <w:pStyle w:val="TableParagraph"/>
              <w:ind w:right="65"/>
              <w:jc w:val="right"/>
              <w:rPr>
                <w:sz w:val="22"/>
              </w:rPr>
            </w:pPr>
            <w:r>
              <w:rPr>
                <w:sz w:val="22"/>
              </w:rPr>
              <w:t>9.4.46</w:t>
            </w:r>
          </w:p>
        </w:tc>
        <w:tc>
          <w:tcPr>
            <w:tcW w:w="1489" w:type="dxa"/>
          </w:tcPr>
          <w:p>
            <w:pPr>
              <w:pStyle w:val="TableParagraph"/>
              <w:spacing w:before="153"/>
              <w:ind w:left="66" w:right="95"/>
              <w:rPr>
                <w:rFonts w:ascii="微软雅黑" w:eastAsia="微软雅黑" w:hint="eastAsia"/>
                <w:b/>
                <w:sz w:val="22"/>
              </w:rPr>
            </w:pPr>
            <w:r>
              <w:rPr>
                <w:rFonts w:ascii="微软雅黑" w:eastAsia="微软雅黑" w:hint="eastAsia"/>
                <w:b/>
                <w:sz w:val="22"/>
              </w:rPr>
              <w:t>破裂脑动脉瘤夹闭手术</w:t>
            </w:r>
          </w:p>
        </w:tc>
        <w:tc>
          <w:tcPr>
            <w:tcW w:w="7627" w:type="dxa"/>
          </w:tcPr>
          <w:p>
            <w:pPr>
              <w:pStyle w:val="TableParagraph"/>
              <w:rPr>
                <w:rFonts w:ascii="Times New Roman"/>
                <w:sz w:val="19"/>
              </w:rPr>
            </w:pPr>
          </w:p>
          <w:p>
            <w:pPr>
              <w:pStyle w:val="TableParagraph"/>
              <w:spacing w:line="316" w:lineRule="auto"/>
              <w:ind w:left="95" w:right="203"/>
              <w:rPr>
                <w:sz w:val="22"/>
              </w:rPr>
            </w:pPr>
            <w:r>
              <w:rPr>
                <w:sz w:val="22"/>
              </w:rPr>
              <w:t>指因脑动脉瘤破裂造成蛛网膜下腔出血，被保险人实际接受了在全麻下进行的开颅动脉瘤夹闭手术。</w:t>
            </w:r>
          </w:p>
          <w:p>
            <w:pPr>
              <w:pStyle w:val="TableParagraph"/>
              <w:spacing w:line="316" w:lineRule="auto" w:before="23"/>
              <w:ind w:left="95" w:right="203"/>
              <w:rPr>
                <w:sz w:val="22"/>
              </w:rPr>
            </w:pPr>
            <w:r>
              <w:rPr>
                <w:sz w:val="22"/>
                <w:shd w:fill="D9D9D9" w:color="auto" w:val="clear"/>
              </w:rPr>
              <w:t>脑动脉瘤（未破裂）预防性手术、颅骨打孔手术、动脉瘤栓塞手术、血管内</w:t>
            </w:r>
            <w:r>
              <w:rPr>
                <w:spacing w:val="-221"/>
                <w:sz w:val="22"/>
                <w:shd w:fill="D9D9D9" w:color="auto" w:val="clear"/>
              </w:rPr>
              <w:t>手</w:t>
            </w:r>
            <w:r>
              <w:rPr>
                <w:spacing w:val="-3"/>
                <w:sz w:val="22"/>
                <w:shd w:fill="D9D9D9" w:color="auto" w:val="clear"/>
              </w:rPr>
              <w:t>术及其他颅脑手术不在本保障范围内</w:t>
            </w:r>
            <w:r>
              <w:rPr>
                <w:sz w:val="22"/>
              </w:rPr>
              <w:t>。</w:t>
            </w:r>
          </w:p>
        </w:tc>
      </w:tr>
      <w:tr>
        <w:trPr>
          <w:trHeight w:val="3545" w:hRule="atLeast"/>
        </w:trPr>
        <w:tc>
          <w:tcPr>
            <w:tcW w:w="930" w:type="dxa"/>
          </w:tcPr>
          <w:p>
            <w:pPr>
              <w:pStyle w:val="TableParagraph"/>
              <w:rPr>
                <w:rFonts w:ascii="Times New Roman"/>
                <w:sz w:val="19"/>
              </w:rPr>
            </w:pPr>
          </w:p>
          <w:p>
            <w:pPr>
              <w:pStyle w:val="TableParagraph"/>
              <w:ind w:right="65"/>
              <w:jc w:val="right"/>
              <w:rPr>
                <w:sz w:val="22"/>
              </w:rPr>
            </w:pPr>
            <w:r>
              <w:rPr>
                <w:sz w:val="22"/>
              </w:rPr>
              <w:t>9.4.47</w:t>
            </w:r>
          </w:p>
        </w:tc>
        <w:tc>
          <w:tcPr>
            <w:tcW w:w="1489" w:type="dxa"/>
          </w:tcPr>
          <w:p>
            <w:pPr>
              <w:pStyle w:val="TableParagraph"/>
              <w:spacing w:before="153"/>
              <w:ind w:left="66" w:right="95"/>
              <w:jc w:val="both"/>
              <w:rPr>
                <w:rFonts w:ascii="微软雅黑" w:eastAsia="微软雅黑" w:hint="eastAsia"/>
                <w:b/>
                <w:sz w:val="22"/>
              </w:rPr>
            </w:pPr>
            <w:r>
              <w:rPr>
                <w:rFonts w:ascii="微软雅黑" w:eastAsia="微软雅黑" w:hint="eastAsia"/>
                <w:b/>
                <w:sz w:val="22"/>
              </w:rPr>
              <w:t>特发性慢性肾上腺皮质功能减退</w:t>
            </w:r>
          </w:p>
        </w:tc>
        <w:tc>
          <w:tcPr>
            <w:tcW w:w="7627" w:type="dxa"/>
          </w:tcPr>
          <w:p>
            <w:pPr>
              <w:pStyle w:val="TableParagraph"/>
              <w:rPr>
                <w:rFonts w:ascii="Times New Roman"/>
                <w:sz w:val="19"/>
              </w:rPr>
            </w:pPr>
          </w:p>
          <w:p>
            <w:pPr>
              <w:pStyle w:val="TableParagraph"/>
              <w:spacing w:line="316" w:lineRule="auto"/>
              <w:ind w:left="95" w:right="203"/>
              <w:rPr>
                <w:sz w:val="22"/>
              </w:rPr>
            </w:pPr>
            <w:r>
              <w:rPr>
                <w:sz w:val="22"/>
              </w:rPr>
              <w:t>指自身免疫性肾上腺炎（既往称：特发性肾上腺皮质萎缩）导致肾上腺萎缩和慢性肾上腺皮质功能减退。</w:t>
            </w:r>
            <w:r>
              <w:rPr>
                <w:sz w:val="22"/>
                <w:shd w:fill="D9D9D9" w:color="auto" w:val="clear"/>
              </w:rPr>
              <w:t>必须满足所有以下条件</w:t>
            </w:r>
            <w:r>
              <w:rPr>
                <w:sz w:val="22"/>
              </w:rPr>
              <w:t>：</w:t>
            </w:r>
          </w:p>
          <w:p>
            <w:pPr>
              <w:pStyle w:val="TableParagraph"/>
              <w:numPr>
                <w:ilvl w:val="0"/>
                <w:numId w:val="32"/>
              </w:numPr>
              <w:tabs>
                <w:tab w:pos="549" w:val="left" w:leader="none"/>
              </w:tabs>
              <w:spacing w:line="240" w:lineRule="auto" w:before="20" w:after="0"/>
              <w:ind w:left="548" w:right="0" w:hanging="453"/>
              <w:jc w:val="left"/>
              <w:rPr>
                <w:sz w:val="22"/>
              </w:rPr>
            </w:pPr>
            <w:r>
              <w:rPr>
                <w:spacing w:val="-3"/>
                <w:sz w:val="22"/>
              </w:rPr>
              <w:t>明确诊断，符合所有以下诊断标准：</w:t>
            </w:r>
          </w:p>
          <w:p>
            <w:pPr>
              <w:pStyle w:val="TableParagraph"/>
              <w:spacing w:before="93"/>
              <w:ind w:left="548"/>
              <w:rPr>
                <w:sz w:val="22"/>
              </w:rPr>
            </w:pPr>
            <w:r>
              <w:rPr>
                <w:sz w:val="22"/>
              </w:rPr>
              <w:t>① 血浆促肾上腺皮质激素(ACTH)水平测定，&gt;100pg/ml；</w:t>
            </w:r>
          </w:p>
          <w:p>
            <w:pPr>
              <w:pStyle w:val="TableParagraph"/>
              <w:spacing w:line="316" w:lineRule="auto" w:before="91"/>
              <w:ind w:left="1002" w:right="135" w:hanging="454"/>
              <w:rPr>
                <w:sz w:val="22"/>
              </w:rPr>
            </w:pPr>
            <w:r>
              <w:rPr>
                <w:sz w:val="22"/>
              </w:rPr>
              <w:t>② 血浆肾素活性、血管紧张素 II 和醛固酮测定，显示为原发性肾上腺皮质功能减退症；</w:t>
            </w:r>
          </w:p>
          <w:p>
            <w:pPr>
              <w:pStyle w:val="TableParagraph"/>
              <w:spacing w:line="316" w:lineRule="auto" w:before="23"/>
              <w:ind w:left="1002" w:right="135" w:hanging="454"/>
              <w:rPr>
                <w:sz w:val="22"/>
              </w:rPr>
            </w:pPr>
            <w:r>
              <w:rPr>
                <w:sz w:val="22"/>
              </w:rPr>
              <w:t>③ 促肾上腺皮质激素(ACTH)刺激试验显示为原发性肾上腺皮质功能减退症。</w:t>
            </w:r>
          </w:p>
          <w:p>
            <w:pPr>
              <w:pStyle w:val="TableParagraph"/>
              <w:numPr>
                <w:ilvl w:val="0"/>
                <w:numId w:val="32"/>
              </w:numPr>
              <w:tabs>
                <w:tab w:pos="549" w:val="left" w:leader="none"/>
              </w:tabs>
              <w:spacing w:line="268" w:lineRule="exact" w:before="20" w:after="0"/>
              <w:ind w:left="548" w:right="0" w:hanging="453"/>
              <w:jc w:val="left"/>
              <w:rPr>
                <w:sz w:val="22"/>
              </w:rPr>
            </w:pPr>
            <w:r>
              <w:rPr>
                <w:spacing w:val="-7"/>
                <w:sz w:val="22"/>
              </w:rPr>
              <w:t>已经采用皮质类固醇替代治疗 </w:t>
            </w:r>
            <w:r>
              <w:rPr>
                <w:sz w:val="22"/>
              </w:rPr>
              <w:t>180</w:t>
            </w:r>
            <w:r>
              <w:rPr>
                <w:spacing w:val="-12"/>
                <w:sz w:val="22"/>
              </w:rPr>
              <w:t> 天以上。</w:t>
            </w:r>
          </w:p>
        </w:tc>
      </w:tr>
    </w:tbl>
    <w:p>
      <w:pPr>
        <w:spacing w:after="0" w:line="268" w:lineRule="exact"/>
        <w:jc w:val="left"/>
        <w:rPr>
          <w:sz w:val="22"/>
        </w:rPr>
        <w:sectPr>
          <w:pgSz w:w="11910" w:h="16840"/>
          <w:pgMar w:header="484" w:footer="479" w:top="680" w:bottom="660" w:left="820" w:right="82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after="1"/>
        <w:rPr>
          <w:rFonts w:ascii="Times New Roman"/>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0"/>
        <w:gridCol w:w="1489"/>
        <w:gridCol w:w="7630"/>
      </w:tblGrid>
      <w:tr>
        <w:trPr>
          <w:trHeight w:val="853" w:hRule="atLeast"/>
        </w:trPr>
        <w:tc>
          <w:tcPr>
            <w:tcW w:w="930" w:type="dxa"/>
          </w:tcPr>
          <w:p>
            <w:pPr>
              <w:pStyle w:val="TableParagraph"/>
              <w:rPr>
                <w:rFonts w:ascii="Times New Roman"/>
                <w:sz w:val="20"/>
              </w:rPr>
            </w:pPr>
          </w:p>
        </w:tc>
        <w:tc>
          <w:tcPr>
            <w:tcW w:w="1489" w:type="dxa"/>
          </w:tcPr>
          <w:p>
            <w:pPr>
              <w:pStyle w:val="TableParagraph"/>
              <w:rPr>
                <w:rFonts w:ascii="Times New Roman"/>
                <w:sz w:val="20"/>
              </w:rPr>
            </w:pPr>
          </w:p>
        </w:tc>
        <w:tc>
          <w:tcPr>
            <w:tcW w:w="7630" w:type="dxa"/>
          </w:tcPr>
          <w:p>
            <w:pPr>
              <w:pStyle w:val="TableParagraph"/>
              <w:spacing w:line="221" w:lineRule="exact"/>
              <w:ind w:left="95"/>
              <w:rPr>
                <w:sz w:val="22"/>
              </w:rPr>
            </w:pPr>
            <w:r>
              <w:rPr>
                <w:sz w:val="22"/>
                <w:shd w:fill="D9D9D9" w:color="auto" w:val="clear"/>
              </w:rPr>
              <w:t>肾上腺结核、HIV 感染或艾滋病、感染、肿瘤所致的原发性肾上腺皮质功能</w:t>
            </w:r>
          </w:p>
          <w:p>
            <w:pPr>
              <w:pStyle w:val="TableParagraph"/>
              <w:spacing w:before="91"/>
              <w:ind w:left="95"/>
              <w:rPr>
                <w:sz w:val="22"/>
              </w:rPr>
            </w:pPr>
            <w:r>
              <w:rPr>
                <w:sz w:val="22"/>
                <w:shd w:fill="D9D9D9" w:color="auto" w:val="clear"/>
              </w:rPr>
              <w:t>减退和继发性肾上腺皮质功能减退不在本保障范围内</w:t>
            </w:r>
            <w:r>
              <w:rPr>
                <w:sz w:val="22"/>
              </w:rPr>
              <w:t>。</w:t>
            </w:r>
          </w:p>
        </w:tc>
      </w:tr>
      <w:tr>
        <w:trPr>
          <w:trHeight w:val="3040" w:hRule="atLeast"/>
        </w:trPr>
        <w:tc>
          <w:tcPr>
            <w:tcW w:w="930" w:type="dxa"/>
          </w:tcPr>
          <w:p>
            <w:pPr>
              <w:pStyle w:val="TableParagraph"/>
              <w:rPr>
                <w:rFonts w:ascii="Times New Roman"/>
                <w:sz w:val="19"/>
              </w:rPr>
            </w:pPr>
          </w:p>
          <w:p>
            <w:pPr>
              <w:pStyle w:val="TableParagraph"/>
              <w:ind w:right="65"/>
              <w:jc w:val="right"/>
              <w:rPr>
                <w:sz w:val="22"/>
              </w:rPr>
            </w:pPr>
            <w:r>
              <w:rPr>
                <w:sz w:val="22"/>
              </w:rPr>
              <w:t>9.4.48</w:t>
            </w:r>
          </w:p>
        </w:tc>
        <w:tc>
          <w:tcPr>
            <w:tcW w:w="1489" w:type="dxa"/>
          </w:tcPr>
          <w:p>
            <w:pPr>
              <w:pStyle w:val="TableParagraph"/>
              <w:spacing w:before="153"/>
              <w:ind w:left="66" w:right="95"/>
              <w:rPr>
                <w:rFonts w:ascii="微软雅黑" w:eastAsia="微软雅黑" w:hint="eastAsia"/>
                <w:b/>
                <w:sz w:val="22"/>
              </w:rPr>
            </w:pPr>
            <w:r>
              <w:rPr>
                <w:rFonts w:ascii="微软雅黑" w:eastAsia="微软雅黑" w:hint="eastAsia"/>
                <w:b/>
                <w:sz w:val="22"/>
              </w:rPr>
              <w:t>严重慢性复发性胰腺炎</w:t>
            </w:r>
          </w:p>
        </w:tc>
        <w:tc>
          <w:tcPr>
            <w:tcW w:w="7630" w:type="dxa"/>
          </w:tcPr>
          <w:p>
            <w:pPr>
              <w:pStyle w:val="TableParagraph"/>
              <w:rPr>
                <w:rFonts w:ascii="Times New Roman"/>
                <w:sz w:val="19"/>
              </w:rPr>
            </w:pPr>
          </w:p>
          <w:p>
            <w:pPr>
              <w:pStyle w:val="TableParagraph"/>
              <w:spacing w:line="316" w:lineRule="auto"/>
              <w:ind w:left="95" w:right="202"/>
              <w:jc w:val="both"/>
              <w:rPr>
                <w:sz w:val="22"/>
              </w:rPr>
            </w:pPr>
            <w:r>
              <w:rPr>
                <w:sz w:val="22"/>
              </w:rPr>
              <w:t>指慢性反复发作的胰腺炎症导致胰腺的广泛纤维化、坏死、弥漫性钙化及假性囊肿形成，造成胰腺功能障碍出现严重糖尿病和营养不良。</w:t>
            </w:r>
            <w:r>
              <w:rPr>
                <w:sz w:val="22"/>
                <w:shd w:fill="D9D9D9" w:color="auto" w:val="clear"/>
              </w:rPr>
              <w:t>必须满足以下</w:t>
            </w:r>
            <w:r>
              <w:rPr>
                <w:spacing w:val="-221"/>
                <w:sz w:val="22"/>
                <w:shd w:fill="D9D9D9" w:color="auto" w:val="clear"/>
              </w:rPr>
              <w:t>所</w:t>
            </w:r>
            <w:r>
              <w:rPr>
                <w:spacing w:val="-1"/>
                <w:sz w:val="22"/>
                <w:shd w:fill="D9D9D9" w:color="auto" w:val="clear"/>
              </w:rPr>
              <w:t>有条件</w:t>
            </w:r>
            <w:r>
              <w:rPr>
                <w:sz w:val="22"/>
              </w:rPr>
              <w:t>：</w:t>
            </w:r>
          </w:p>
          <w:p>
            <w:pPr>
              <w:pStyle w:val="TableParagraph"/>
              <w:numPr>
                <w:ilvl w:val="0"/>
                <w:numId w:val="33"/>
              </w:numPr>
              <w:tabs>
                <w:tab w:pos="549" w:val="left" w:leader="none"/>
              </w:tabs>
              <w:spacing w:line="316" w:lineRule="auto" w:before="22" w:after="0"/>
              <w:ind w:left="548" w:right="202" w:hanging="453"/>
              <w:jc w:val="left"/>
              <w:rPr>
                <w:sz w:val="22"/>
              </w:rPr>
            </w:pPr>
            <w:r>
              <w:rPr>
                <w:sz w:val="22"/>
              </w:rPr>
              <w:t>CT</w:t>
            </w:r>
            <w:r>
              <w:rPr>
                <w:spacing w:val="2"/>
                <w:sz w:val="22"/>
              </w:rPr>
              <w:t> 显示胰腺广泛钙化或逆行胰胆管造影</w:t>
            </w:r>
            <w:r>
              <w:rPr>
                <w:sz w:val="22"/>
              </w:rPr>
              <w:t>（ERCP）</w:t>
            </w:r>
            <w:r>
              <w:rPr>
                <w:spacing w:val="2"/>
                <w:sz w:val="22"/>
              </w:rPr>
              <w:t>显示胰管扭曲、扩张</w:t>
            </w:r>
            <w:r>
              <w:rPr>
                <w:sz w:val="22"/>
              </w:rPr>
              <w:t>和狭窄；</w:t>
            </w:r>
          </w:p>
          <w:p>
            <w:pPr>
              <w:pStyle w:val="TableParagraph"/>
              <w:numPr>
                <w:ilvl w:val="0"/>
                <w:numId w:val="33"/>
              </w:numPr>
              <w:tabs>
                <w:tab w:pos="549" w:val="left" w:leader="none"/>
              </w:tabs>
              <w:spacing w:line="319" w:lineRule="auto" w:before="21" w:after="0"/>
              <w:ind w:left="95" w:right="2456" w:firstLine="0"/>
              <w:jc w:val="left"/>
              <w:rPr>
                <w:sz w:val="22"/>
              </w:rPr>
            </w:pPr>
            <w:r>
              <w:rPr>
                <w:spacing w:val="-6"/>
                <w:sz w:val="22"/>
              </w:rPr>
              <w:t>接受胰岛素替代治疗和酶替代治疗 </w:t>
            </w:r>
            <w:r>
              <w:rPr>
                <w:sz w:val="22"/>
              </w:rPr>
              <w:t>180</w:t>
            </w:r>
            <w:r>
              <w:rPr>
                <w:spacing w:val="-12"/>
                <w:sz w:val="22"/>
              </w:rPr>
              <w:t> 天以上。</w:t>
            </w:r>
            <w:r>
              <w:rPr>
                <w:spacing w:val="-3"/>
                <w:sz w:val="22"/>
                <w:shd w:fill="D9D9D9" w:color="auto" w:val="clear"/>
              </w:rPr>
              <w:t>酒精导致的慢性复发性胰腺炎不在本保障范围内</w:t>
            </w:r>
            <w:r>
              <w:rPr>
                <w:sz w:val="22"/>
              </w:rPr>
              <w:t>。</w:t>
            </w:r>
          </w:p>
        </w:tc>
      </w:tr>
      <w:tr>
        <w:trPr>
          <w:trHeight w:val="1520" w:hRule="atLeast"/>
        </w:trPr>
        <w:tc>
          <w:tcPr>
            <w:tcW w:w="930" w:type="dxa"/>
          </w:tcPr>
          <w:p>
            <w:pPr>
              <w:pStyle w:val="TableParagraph"/>
              <w:spacing w:before="10"/>
              <w:rPr>
                <w:rFonts w:ascii="Times New Roman"/>
                <w:sz w:val="18"/>
              </w:rPr>
            </w:pPr>
          </w:p>
          <w:p>
            <w:pPr>
              <w:pStyle w:val="TableParagraph"/>
              <w:spacing w:before="1"/>
              <w:ind w:right="65"/>
              <w:jc w:val="right"/>
              <w:rPr>
                <w:sz w:val="22"/>
              </w:rPr>
            </w:pPr>
            <w:r>
              <w:rPr>
                <w:sz w:val="22"/>
              </w:rPr>
              <w:t>9.4.49</w:t>
            </w:r>
          </w:p>
        </w:tc>
        <w:tc>
          <w:tcPr>
            <w:tcW w:w="1489" w:type="dxa"/>
          </w:tcPr>
          <w:p>
            <w:pPr>
              <w:pStyle w:val="TableParagraph"/>
              <w:spacing w:before="152"/>
              <w:ind w:left="66" w:right="95"/>
              <w:rPr>
                <w:rFonts w:ascii="微软雅黑" w:eastAsia="微软雅黑" w:hint="eastAsia"/>
                <w:b/>
                <w:sz w:val="22"/>
              </w:rPr>
            </w:pPr>
            <w:r>
              <w:rPr>
                <w:rFonts w:ascii="微软雅黑" w:eastAsia="微软雅黑" w:hint="eastAsia"/>
                <w:b/>
                <w:sz w:val="22"/>
              </w:rPr>
              <w:t>丝虫病所致象皮病</w:t>
            </w:r>
          </w:p>
        </w:tc>
        <w:tc>
          <w:tcPr>
            <w:tcW w:w="7630" w:type="dxa"/>
          </w:tcPr>
          <w:p>
            <w:pPr>
              <w:pStyle w:val="TableParagraph"/>
              <w:spacing w:before="10"/>
              <w:rPr>
                <w:rFonts w:ascii="Times New Roman"/>
                <w:sz w:val="18"/>
              </w:rPr>
            </w:pPr>
          </w:p>
          <w:p>
            <w:pPr>
              <w:pStyle w:val="TableParagraph"/>
              <w:spacing w:line="316" w:lineRule="auto" w:before="1"/>
              <w:ind w:left="95" w:right="206"/>
              <w:jc w:val="both"/>
              <w:rPr>
                <w:sz w:val="22"/>
              </w:rPr>
            </w:pPr>
            <w:r>
              <w:rPr>
                <w:sz w:val="22"/>
              </w:rPr>
              <w:t>指因丝虫感染导致淋巴阻塞性出现严重淋巴水肿，达到国际淋巴学会淋巴肿</w:t>
            </w:r>
            <w:r>
              <w:rPr>
                <w:spacing w:val="-3"/>
                <w:sz w:val="22"/>
              </w:rPr>
              <w:t>分期第 </w:t>
            </w:r>
            <w:r>
              <w:rPr>
                <w:sz w:val="22"/>
              </w:rPr>
              <w:t>III</w:t>
            </w:r>
            <w:r>
              <w:rPr>
                <w:spacing w:val="-5"/>
                <w:sz w:val="22"/>
              </w:rPr>
              <w:t> 期，临床表现为肢体象皮肿，患肢较键肢增粗 </w:t>
            </w:r>
            <w:r>
              <w:rPr>
                <w:sz w:val="22"/>
              </w:rPr>
              <w:t>30</w:t>
            </w:r>
            <w:r>
              <w:rPr>
                <w:spacing w:val="-2"/>
                <w:sz w:val="22"/>
              </w:rPr>
              <w:t>%以上，日常生</w:t>
            </w:r>
            <w:r>
              <w:rPr>
                <w:spacing w:val="-3"/>
                <w:sz w:val="22"/>
              </w:rPr>
              <w:t>活不能自理。</w:t>
            </w:r>
          </w:p>
        </w:tc>
      </w:tr>
      <w:tr>
        <w:trPr>
          <w:trHeight w:val="3420" w:hRule="atLeast"/>
        </w:trPr>
        <w:tc>
          <w:tcPr>
            <w:tcW w:w="930" w:type="dxa"/>
          </w:tcPr>
          <w:p>
            <w:pPr>
              <w:pStyle w:val="TableParagraph"/>
              <w:rPr>
                <w:rFonts w:ascii="Times New Roman"/>
                <w:sz w:val="19"/>
              </w:rPr>
            </w:pPr>
          </w:p>
          <w:p>
            <w:pPr>
              <w:pStyle w:val="TableParagraph"/>
              <w:ind w:right="65"/>
              <w:jc w:val="right"/>
              <w:rPr>
                <w:sz w:val="22"/>
              </w:rPr>
            </w:pPr>
            <w:r>
              <w:rPr>
                <w:sz w:val="22"/>
              </w:rPr>
              <w:t>9.4.50</w:t>
            </w:r>
          </w:p>
        </w:tc>
        <w:tc>
          <w:tcPr>
            <w:tcW w:w="1489" w:type="dxa"/>
          </w:tcPr>
          <w:p>
            <w:pPr>
              <w:pStyle w:val="TableParagraph"/>
              <w:spacing w:before="153"/>
              <w:ind w:left="66" w:right="95"/>
              <w:rPr>
                <w:rFonts w:ascii="微软雅黑" w:eastAsia="微软雅黑" w:hint="eastAsia"/>
                <w:b/>
                <w:sz w:val="22"/>
              </w:rPr>
            </w:pPr>
            <w:r>
              <w:rPr>
                <w:rFonts w:ascii="微软雅黑" w:eastAsia="微软雅黑" w:hint="eastAsia"/>
                <w:b/>
                <w:sz w:val="22"/>
              </w:rPr>
              <w:t>严重原发性硬化性胆管炎</w:t>
            </w:r>
          </w:p>
        </w:tc>
        <w:tc>
          <w:tcPr>
            <w:tcW w:w="7630" w:type="dxa"/>
          </w:tcPr>
          <w:p>
            <w:pPr>
              <w:pStyle w:val="TableParagraph"/>
              <w:rPr>
                <w:rFonts w:ascii="Times New Roman"/>
                <w:sz w:val="19"/>
              </w:rPr>
            </w:pPr>
          </w:p>
          <w:p>
            <w:pPr>
              <w:pStyle w:val="TableParagraph"/>
              <w:spacing w:line="316" w:lineRule="auto"/>
              <w:ind w:left="95" w:right="199"/>
              <w:jc w:val="both"/>
              <w:rPr>
                <w:sz w:val="22"/>
              </w:rPr>
            </w:pPr>
            <w:r>
              <w:rPr>
                <w:sz w:val="22"/>
              </w:rPr>
              <w:t>指一种胆汁淤积综合征，其特征是肝内、肝外胆道因非细菌性炎症、慢性纤维化逐渐狭窄，并最终导致完全阻塞而发展为胆汁於积性肝硬化。</w:t>
            </w:r>
            <w:r>
              <w:rPr>
                <w:sz w:val="22"/>
                <w:shd w:fill="D9D9D9" w:color="auto" w:val="clear"/>
              </w:rPr>
              <w:t>须满足下列全部条件</w:t>
            </w:r>
            <w:r>
              <w:rPr>
                <w:sz w:val="22"/>
              </w:rPr>
              <w:t>：</w:t>
            </w:r>
          </w:p>
          <w:p>
            <w:pPr>
              <w:pStyle w:val="TableParagraph"/>
              <w:numPr>
                <w:ilvl w:val="0"/>
                <w:numId w:val="34"/>
              </w:numPr>
              <w:tabs>
                <w:tab w:pos="549" w:val="left" w:leader="none"/>
              </w:tabs>
              <w:spacing w:line="240" w:lineRule="auto" w:before="22" w:after="0"/>
              <w:ind w:left="548" w:right="0" w:hanging="453"/>
              <w:jc w:val="both"/>
              <w:rPr>
                <w:sz w:val="22"/>
              </w:rPr>
            </w:pPr>
            <w:r>
              <w:rPr>
                <w:spacing w:val="-2"/>
                <w:sz w:val="22"/>
              </w:rPr>
              <w:t>持续性黄疸病史；</w:t>
            </w:r>
          </w:p>
          <w:p>
            <w:pPr>
              <w:pStyle w:val="TableParagraph"/>
              <w:numPr>
                <w:ilvl w:val="0"/>
                <w:numId w:val="34"/>
              </w:numPr>
              <w:tabs>
                <w:tab w:pos="549" w:val="left" w:leader="none"/>
              </w:tabs>
              <w:spacing w:line="240" w:lineRule="auto" w:before="90" w:after="0"/>
              <w:ind w:left="548" w:right="0" w:hanging="453"/>
              <w:jc w:val="both"/>
              <w:rPr>
                <w:sz w:val="22"/>
              </w:rPr>
            </w:pPr>
            <w:r>
              <w:rPr>
                <w:spacing w:val="-3"/>
                <w:sz w:val="22"/>
              </w:rPr>
              <w:t>总胆红素和直接胆红素同时升高， 血清 </w:t>
            </w:r>
            <w:r>
              <w:rPr>
                <w:sz w:val="22"/>
              </w:rPr>
              <w:t>ALP &gt; 200U/L；</w:t>
            </w:r>
          </w:p>
          <w:p>
            <w:pPr>
              <w:pStyle w:val="TableParagraph"/>
              <w:numPr>
                <w:ilvl w:val="0"/>
                <w:numId w:val="34"/>
              </w:numPr>
              <w:tabs>
                <w:tab w:pos="549" w:val="left" w:leader="none"/>
              </w:tabs>
              <w:spacing w:line="240" w:lineRule="auto" w:before="90" w:after="0"/>
              <w:ind w:left="548" w:right="0" w:hanging="453"/>
              <w:jc w:val="both"/>
              <w:rPr>
                <w:sz w:val="22"/>
              </w:rPr>
            </w:pPr>
            <w:r>
              <w:rPr>
                <w:spacing w:val="-3"/>
                <w:sz w:val="22"/>
              </w:rPr>
              <w:t>经内镜逆行胰胆管造影</w:t>
            </w:r>
            <w:r>
              <w:rPr>
                <w:sz w:val="22"/>
              </w:rPr>
              <w:t>（ERCP）</w:t>
            </w:r>
            <w:r>
              <w:rPr>
                <w:spacing w:val="-3"/>
                <w:sz w:val="22"/>
              </w:rPr>
              <w:t>影像学检查确诊；</w:t>
            </w:r>
          </w:p>
          <w:p>
            <w:pPr>
              <w:pStyle w:val="TableParagraph"/>
              <w:numPr>
                <w:ilvl w:val="0"/>
                <w:numId w:val="34"/>
              </w:numPr>
              <w:tabs>
                <w:tab w:pos="549" w:val="left" w:leader="none"/>
              </w:tabs>
              <w:spacing w:line="240" w:lineRule="auto" w:before="93" w:after="0"/>
              <w:ind w:left="548" w:right="0" w:hanging="453"/>
              <w:jc w:val="both"/>
              <w:rPr>
                <w:sz w:val="22"/>
              </w:rPr>
            </w:pPr>
            <w:r>
              <w:rPr>
                <w:spacing w:val="-3"/>
                <w:sz w:val="22"/>
              </w:rPr>
              <w:t>出现胆汁於积性肝硬化或门脉高压。</w:t>
            </w:r>
          </w:p>
          <w:p>
            <w:pPr>
              <w:pStyle w:val="TableParagraph"/>
              <w:spacing w:before="91"/>
              <w:ind w:left="95"/>
              <w:jc w:val="both"/>
              <w:rPr>
                <w:sz w:val="22"/>
              </w:rPr>
            </w:pPr>
            <w:r>
              <w:rPr>
                <w:sz w:val="22"/>
                <w:shd w:fill="D9D9D9" w:color="auto" w:val="clear"/>
              </w:rPr>
              <w:t>因肿瘤或胆管损伤等继发性的硬化性胆管炎不在保障范围内。</w:t>
            </w:r>
          </w:p>
        </w:tc>
      </w:tr>
      <w:tr>
        <w:trPr>
          <w:trHeight w:val="2659" w:hRule="atLeast"/>
        </w:trPr>
        <w:tc>
          <w:tcPr>
            <w:tcW w:w="930" w:type="dxa"/>
          </w:tcPr>
          <w:p>
            <w:pPr>
              <w:pStyle w:val="TableParagraph"/>
              <w:rPr>
                <w:rFonts w:ascii="Times New Roman"/>
                <w:sz w:val="19"/>
              </w:rPr>
            </w:pPr>
          </w:p>
          <w:p>
            <w:pPr>
              <w:pStyle w:val="TableParagraph"/>
              <w:spacing w:before="1"/>
              <w:ind w:right="65"/>
              <w:jc w:val="right"/>
              <w:rPr>
                <w:sz w:val="22"/>
              </w:rPr>
            </w:pPr>
            <w:r>
              <w:rPr>
                <w:sz w:val="22"/>
              </w:rPr>
              <w:t>9.4.51</w:t>
            </w:r>
          </w:p>
        </w:tc>
        <w:tc>
          <w:tcPr>
            <w:tcW w:w="1489" w:type="dxa"/>
          </w:tcPr>
          <w:p>
            <w:pPr>
              <w:pStyle w:val="TableParagraph"/>
              <w:spacing w:before="154"/>
              <w:ind w:left="66" w:right="95"/>
              <w:rPr>
                <w:rFonts w:ascii="微软雅黑" w:eastAsia="微软雅黑" w:hint="eastAsia"/>
                <w:b/>
                <w:sz w:val="22"/>
              </w:rPr>
            </w:pPr>
            <w:r>
              <w:rPr>
                <w:rFonts w:ascii="微软雅黑" w:eastAsia="微软雅黑" w:hint="eastAsia"/>
                <w:b/>
                <w:sz w:val="22"/>
              </w:rPr>
              <w:t>重症急性坏死性筋膜炎</w:t>
            </w:r>
          </w:p>
        </w:tc>
        <w:tc>
          <w:tcPr>
            <w:tcW w:w="7630" w:type="dxa"/>
          </w:tcPr>
          <w:p>
            <w:pPr>
              <w:pStyle w:val="TableParagraph"/>
              <w:rPr>
                <w:rFonts w:ascii="Times New Roman"/>
                <w:sz w:val="19"/>
              </w:rPr>
            </w:pPr>
          </w:p>
          <w:p>
            <w:pPr>
              <w:pStyle w:val="TableParagraph"/>
              <w:spacing w:line="316" w:lineRule="auto" w:before="1"/>
              <w:ind w:left="95" w:right="202"/>
              <w:jc w:val="both"/>
              <w:rPr>
                <w:sz w:val="22"/>
              </w:rPr>
            </w:pPr>
            <w:r>
              <w:rPr>
                <w:sz w:val="22"/>
              </w:rPr>
              <w:t>是一种由细菌侵入皮下组织和筋膜引起的急性坏死性软组织感染，可伴有毒血症、败血症、中毒性休克、弥漫性血管内凝血及多器官衰竭。</w:t>
            </w:r>
            <w:r>
              <w:rPr>
                <w:sz w:val="22"/>
                <w:shd w:fill="D9D9D9" w:color="auto" w:val="clear"/>
              </w:rPr>
              <w:t>必须满足以</w:t>
            </w:r>
            <w:r>
              <w:rPr>
                <w:spacing w:val="-221"/>
                <w:sz w:val="22"/>
                <w:shd w:fill="D9D9D9" w:color="auto" w:val="clear"/>
              </w:rPr>
              <w:t>下</w:t>
            </w:r>
            <w:r>
              <w:rPr>
                <w:spacing w:val="-1"/>
                <w:sz w:val="22"/>
                <w:shd w:fill="D9D9D9" w:color="auto" w:val="clear"/>
              </w:rPr>
              <w:t>所有条件</w:t>
            </w:r>
            <w:r>
              <w:rPr>
                <w:sz w:val="22"/>
              </w:rPr>
              <w:t>：</w:t>
            </w:r>
          </w:p>
          <w:p>
            <w:pPr>
              <w:pStyle w:val="TableParagraph"/>
              <w:numPr>
                <w:ilvl w:val="0"/>
                <w:numId w:val="35"/>
              </w:numPr>
              <w:tabs>
                <w:tab w:pos="549" w:val="left" w:leader="none"/>
              </w:tabs>
              <w:spacing w:line="240" w:lineRule="auto" w:before="23" w:after="0"/>
              <w:ind w:left="548" w:right="0" w:hanging="453"/>
              <w:jc w:val="both"/>
              <w:rPr>
                <w:sz w:val="22"/>
              </w:rPr>
            </w:pPr>
            <w:r>
              <w:rPr>
                <w:spacing w:val="-3"/>
                <w:sz w:val="22"/>
              </w:rPr>
              <w:t>细菌培养和临床表现符合坏死性筋膜炎诊断标准；</w:t>
            </w:r>
          </w:p>
          <w:p>
            <w:pPr>
              <w:pStyle w:val="TableParagraph"/>
              <w:numPr>
                <w:ilvl w:val="0"/>
                <w:numId w:val="35"/>
              </w:numPr>
              <w:tabs>
                <w:tab w:pos="549" w:val="left" w:leader="none"/>
              </w:tabs>
              <w:spacing w:line="240" w:lineRule="auto" w:before="91" w:after="0"/>
              <w:ind w:left="548" w:right="0" w:hanging="453"/>
              <w:jc w:val="both"/>
              <w:rPr>
                <w:sz w:val="22"/>
              </w:rPr>
            </w:pPr>
            <w:r>
              <w:rPr>
                <w:spacing w:val="-3"/>
                <w:sz w:val="22"/>
              </w:rPr>
              <w:t>病情迅速恶化，有脓毒血症表现；</w:t>
            </w:r>
          </w:p>
          <w:p>
            <w:pPr>
              <w:pStyle w:val="TableParagraph"/>
              <w:numPr>
                <w:ilvl w:val="0"/>
                <w:numId w:val="35"/>
              </w:numPr>
              <w:tabs>
                <w:tab w:pos="549" w:val="left" w:leader="none"/>
              </w:tabs>
              <w:spacing w:line="240" w:lineRule="auto" w:before="91" w:after="0"/>
              <w:ind w:left="548" w:right="0" w:hanging="453"/>
              <w:jc w:val="both"/>
              <w:rPr>
                <w:sz w:val="22"/>
              </w:rPr>
            </w:pPr>
            <w:r>
              <w:rPr>
                <w:spacing w:val="-2"/>
                <w:sz w:val="22"/>
              </w:rPr>
              <w:t>受感染肢体被截肢</w:t>
            </w:r>
            <w:r>
              <w:rPr>
                <w:sz w:val="22"/>
              </w:rPr>
              <w:t>（</w:t>
            </w:r>
            <w:r>
              <w:rPr>
                <w:spacing w:val="-3"/>
                <w:sz w:val="22"/>
              </w:rPr>
              <w:t>自腕关节或踝关节近端</w:t>
            </w:r>
            <w:r>
              <w:rPr>
                <w:sz w:val="22"/>
              </w:rPr>
              <w:t>）。</w:t>
            </w:r>
          </w:p>
        </w:tc>
      </w:tr>
      <w:tr>
        <w:trPr>
          <w:trHeight w:val="1520" w:hRule="atLeast"/>
        </w:trPr>
        <w:tc>
          <w:tcPr>
            <w:tcW w:w="930" w:type="dxa"/>
          </w:tcPr>
          <w:p>
            <w:pPr>
              <w:pStyle w:val="TableParagraph"/>
              <w:rPr>
                <w:rFonts w:ascii="Times New Roman"/>
                <w:sz w:val="19"/>
              </w:rPr>
            </w:pPr>
          </w:p>
          <w:p>
            <w:pPr>
              <w:pStyle w:val="TableParagraph"/>
              <w:ind w:right="65"/>
              <w:jc w:val="right"/>
              <w:rPr>
                <w:sz w:val="22"/>
              </w:rPr>
            </w:pPr>
            <w:r>
              <w:rPr>
                <w:sz w:val="22"/>
              </w:rPr>
              <w:t>9.4.52</w:t>
            </w:r>
          </w:p>
        </w:tc>
        <w:tc>
          <w:tcPr>
            <w:tcW w:w="1489" w:type="dxa"/>
          </w:tcPr>
          <w:p>
            <w:pPr>
              <w:pStyle w:val="TableParagraph"/>
              <w:spacing w:before="153"/>
              <w:ind w:left="66"/>
              <w:rPr>
                <w:rFonts w:ascii="微软雅黑" w:eastAsia="微软雅黑" w:hint="eastAsia"/>
                <w:b/>
                <w:sz w:val="22"/>
              </w:rPr>
            </w:pPr>
            <w:r>
              <w:rPr>
                <w:rFonts w:ascii="微软雅黑" w:eastAsia="微软雅黑" w:hint="eastAsia"/>
                <w:b/>
                <w:sz w:val="22"/>
              </w:rPr>
              <w:t>严重川崎病</w:t>
            </w:r>
          </w:p>
        </w:tc>
        <w:tc>
          <w:tcPr>
            <w:tcW w:w="7630" w:type="dxa"/>
          </w:tcPr>
          <w:p>
            <w:pPr>
              <w:pStyle w:val="TableParagraph"/>
              <w:rPr>
                <w:rFonts w:ascii="Times New Roman"/>
                <w:sz w:val="19"/>
              </w:rPr>
            </w:pPr>
          </w:p>
          <w:p>
            <w:pPr>
              <w:pStyle w:val="TableParagraph"/>
              <w:spacing w:line="316" w:lineRule="auto"/>
              <w:ind w:left="95" w:right="203"/>
              <w:jc w:val="both"/>
              <w:rPr>
                <w:sz w:val="22"/>
              </w:rPr>
            </w:pPr>
            <w:r>
              <w:rPr>
                <w:sz w:val="22"/>
              </w:rPr>
              <w:t>川崎病为一种病因不明的系统性血管炎。本附加合同仅对诊断性检查证实川崎病并发冠状动脉瘤或其他心血管异常并且实际接受了手术治疗的情况予以理赔。</w:t>
            </w:r>
          </w:p>
        </w:tc>
      </w:tr>
      <w:tr>
        <w:trPr>
          <w:trHeight w:val="545" w:hRule="atLeast"/>
        </w:trPr>
        <w:tc>
          <w:tcPr>
            <w:tcW w:w="930" w:type="dxa"/>
          </w:tcPr>
          <w:p>
            <w:pPr>
              <w:pStyle w:val="TableParagraph"/>
              <w:spacing w:before="10"/>
              <w:rPr>
                <w:rFonts w:ascii="Times New Roman"/>
                <w:sz w:val="18"/>
              </w:rPr>
            </w:pPr>
          </w:p>
          <w:p>
            <w:pPr>
              <w:pStyle w:val="TableParagraph"/>
              <w:spacing w:before="1"/>
              <w:ind w:right="65"/>
              <w:jc w:val="right"/>
              <w:rPr>
                <w:sz w:val="22"/>
              </w:rPr>
            </w:pPr>
            <w:r>
              <w:rPr>
                <w:sz w:val="22"/>
              </w:rPr>
              <w:t>9.4.53</w:t>
            </w:r>
          </w:p>
        </w:tc>
        <w:tc>
          <w:tcPr>
            <w:tcW w:w="1489" w:type="dxa"/>
          </w:tcPr>
          <w:p>
            <w:pPr>
              <w:pStyle w:val="TableParagraph"/>
              <w:spacing w:line="373" w:lineRule="exact" w:before="152"/>
              <w:ind w:left="66"/>
              <w:rPr>
                <w:rFonts w:ascii="微软雅黑" w:eastAsia="微软雅黑" w:hint="eastAsia"/>
                <w:b/>
                <w:sz w:val="22"/>
              </w:rPr>
            </w:pPr>
            <w:r>
              <w:rPr>
                <w:rFonts w:ascii="微软雅黑" w:eastAsia="微软雅黑" w:hint="eastAsia"/>
                <w:b/>
                <w:sz w:val="22"/>
              </w:rPr>
              <w:t>系统性硬皮病</w:t>
            </w:r>
          </w:p>
        </w:tc>
        <w:tc>
          <w:tcPr>
            <w:tcW w:w="7630" w:type="dxa"/>
          </w:tcPr>
          <w:p>
            <w:pPr>
              <w:pStyle w:val="TableParagraph"/>
              <w:spacing w:before="10"/>
              <w:rPr>
                <w:rFonts w:ascii="Times New Roman"/>
                <w:sz w:val="18"/>
              </w:rPr>
            </w:pPr>
          </w:p>
          <w:p>
            <w:pPr>
              <w:pStyle w:val="TableParagraph"/>
              <w:spacing w:before="1"/>
              <w:ind w:left="95"/>
              <w:rPr>
                <w:sz w:val="22"/>
              </w:rPr>
            </w:pPr>
            <w:r>
              <w:rPr>
                <w:sz w:val="22"/>
              </w:rPr>
              <w:t>指一种以局限性或弥漫性皮肤增厚和皮肤、血管、内脏器官异常纤维化为特</w:t>
            </w:r>
          </w:p>
        </w:tc>
      </w:tr>
    </w:tbl>
    <w:p>
      <w:pPr>
        <w:spacing w:after="0"/>
        <w:rPr>
          <w:sz w:val="22"/>
        </w:rPr>
        <w:sectPr>
          <w:pgSz w:w="11910" w:h="16840"/>
          <w:pgMar w:header="484" w:footer="479" w:top="680" w:bottom="660" w:left="820" w:right="82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after="1"/>
        <w:rPr>
          <w:rFonts w:ascii="Times New Roman"/>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0"/>
        <w:gridCol w:w="1489"/>
        <w:gridCol w:w="7630"/>
      </w:tblGrid>
      <w:tr>
        <w:trPr>
          <w:trHeight w:val="1993" w:hRule="atLeast"/>
        </w:trPr>
        <w:tc>
          <w:tcPr>
            <w:tcW w:w="930" w:type="dxa"/>
          </w:tcPr>
          <w:p>
            <w:pPr>
              <w:pStyle w:val="TableParagraph"/>
              <w:rPr>
                <w:rFonts w:ascii="Times New Roman"/>
                <w:sz w:val="22"/>
              </w:rPr>
            </w:pPr>
          </w:p>
        </w:tc>
        <w:tc>
          <w:tcPr>
            <w:tcW w:w="1489" w:type="dxa"/>
          </w:tcPr>
          <w:p>
            <w:pPr>
              <w:pStyle w:val="TableParagraph"/>
              <w:rPr>
                <w:rFonts w:ascii="Times New Roman"/>
                <w:sz w:val="22"/>
              </w:rPr>
            </w:pPr>
          </w:p>
        </w:tc>
        <w:tc>
          <w:tcPr>
            <w:tcW w:w="7630" w:type="dxa"/>
          </w:tcPr>
          <w:p>
            <w:pPr>
              <w:pStyle w:val="TableParagraph"/>
              <w:spacing w:line="221" w:lineRule="exact"/>
              <w:ind w:left="95"/>
              <w:rPr>
                <w:sz w:val="22"/>
              </w:rPr>
            </w:pPr>
            <w:r>
              <w:rPr>
                <w:sz w:val="22"/>
              </w:rPr>
              <w:t>征的结缔组织病。本病须经专科医师明确诊断，</w:t>
            </w:r>
            <w:r>
              <w:rPr>
                <w:sz w:val="22"/>
                <w:shd w:fill="D9D9D9" w:color="auto" w:val="clear"/>
              </w:rPr>
              <w:t>并须满足下列至少一项条</w:t>
            </w:r>
          </w:p>
          <w:p>
            <w:pPr>
              <w:pStyle w:val="TableParagraph"/>
              <w:spacing w:before="91"/>
              <w:ind w:left="95"/>
              <w:rPr>
                <w:sz w:val="22"/>
              </w:rPr>
            </w:pPr>
            <w:r>
              <w:rPr>
                <w:sz w:val="22"/>
                <w:shd w:fill="D9D9D9" w:color="auto" w:val="clear"/>
              </w:rPr>
              <w:t>件</w:t>
            </w:r>
            <w:r>
              <w:rPr>
                <w:sz w:val="22"/>
              </w:rPr>
              <w:t>：</w:t>
            </w:r>
          </w:p>
          <w:p>
            <w:pPr>
              <w:pStyle w:val="TableParagraph"/>
              <w:numPr>
                <w:ilvl w:val="0"/>
                <w:numId w:val="36"/>
              </w:numPr>
              <w:tabs>
                <w:tab w:pos="549" w:val="left" w:leader="none"/>
              </w:tabs>
              <w:spacing w:line="240" w:lineRule="auto" w:before="91" w:after="0"/>
              <w:ind w:left="548" w:right="0" w:hanging="453"/>
              <w:jc w:val="left"/>
              <w:rPr>
                <w:sz w:val="22"/>
              </w:rPr>
            </w:pPr>
            <w:r>
              <w:rPr>
                <w:spacing w:val="-3"/>
                <w:sz w:val="22"/>
              </w:rPr>
              <w:t>肺脏：肺部病变进而发展为肺间质纤维化和肺动脉高压；</w:t>
            </w:r>
          </w:p>
          <w:p>
            <w:pPr>
              <w:pStyle w:val="TableParagraph"/>
              <w:numPr>
                <w:ilvl w:val="0"/>
                <w:numId w:val="36"/>
              </w:numPr>
              <w:tabs>
                <w:tab w:pos="549" w:val="left" w:leader="none"/>
              </w:tabs>
              <w:spacing w:line="240" w:lineRule="auto" w:before="93" w:after="0"/>
              <w:ind w:left="548" w:right="0" w:hanging="453"/>
              <w:jc w:val="left"/>
              <w:rPr>
                <w:sz w:val="22"/>
              </w:rPr>
            </w:pPr>
            <w:r>
              <w:rPr>
                <w:spacing w:val="-5"/>
                <w:sz w:val="22"/>
              </w:rPr>
              <w:t>心脏：心功能受损达到美国纽约心脏病学会心功能状态分级 </w:t>
            </w:r>
            <w:r>
              <w:rPr>
                <w:sz w:val="22"/>
              </w:rPr>
              <w:t>IV</w:t>
            </w:r>
            <w:r>
              <w:rPr>
                <w:spacing w:val="-15"/>
                <w:sz w:val="22"/>
              </w:rPr>
              <w:t> 级；</w:t>
            </w:r>
          </w:p>
          <w:p>
            <w:pPr>
              <w:pStyle w:val="TableParagraph"/>
              <w:numPr>
                <w:ilvl w:val="0"/>
                <w:numId w:val="36"/>
              </w:numPr>
              <w:tabs>
                <w:tab w:pos="549" w:val="left" w:leader="none"/>
              </w:tabs>
              <w:spacing w:line="240" w:lineRule="auto" w:before="90" w:after="0"/>
              <w:ind w:left="548" w:right="0" w:hanging="453"/>
              <w:jc w:val="left"/>
              <w:rPr>
                <w:sz w:val="22"/>
              </w:rPr>
            </w:pPr>
            <w:r>
              <w:rPr>
                <w:spacing w:val="-3"/>
                <w:sz w:val="22"/>
              </w:rPr>
              <w:t>肾脏：肾脏受损导致双肾功能慢性不可逆衰竭，达到尿毒症期。</w:t>
            </w:r>
          </w:p>
        </w:tc>
      </w:tr>
      <w:tr>
        <w:trPr>
          <w:trHeight w:val="1519" w:hRule="atLeast"/>
        </w:trPr>
        <w:tc>
          <w:tcPr>
            <w:tcW w:w="930" w:type="dxa"/>
          </w:tcPr>
          <w:p>
            <w:pPr>
              <w:pStyle w:val="TableParagraph"/>
              <w:rPr>
                <w:rFonts w:ascii="Times New Roman"/>
                <w:sz w:val="19"/>
              </w:rPr>
            </w:pPr>
          </w:p>
          <w:p>
            <w:pPr>
              <w:pStyle w:val="TableParagraph"/>
              <w:ind w:right="65"/>
              <w:jc w:val="right"/>
              <w:rPr>
                <w:sz w:val="22"/>
              </w:rPr>
            </w:pPr>
            <w:r>
              <w:rPr>
                <w:sz w:val="22"/>
              </w:rPr>
              <w:t>9.4.54</w:t>
            </w:r>
          </w:p>
        </w:tc>
        <w:tc>
          <w:tcPr>
            <w:tcW w:w="1489" w:type="dxa"/>
          </w:tcPr>
          <w:p>
            <w:pPr>
              <w:pStyle w:val="TableParagraph"/>
              <w:spacing w:before="153"/>
              <w:ind w:left="66"/>
              <w:rPr>
                <w:rFonts w:ascii="微软雅黑" w:eastAsia="微软雅黑" w:hint="eastAsia"/>
                <w:b/>
                <w:sz w:val="22"/>
              </w:rPr>
            </w:pPr>
            <w:r>
              <w:rPr>
                <w:rFonts w:ascii="微软雅黑" w:eastAsia="微软雅黑" w:hint="eastAsia"/>
                <w:b/>
                <w:sz w:val="22"/>
              </w:rPr>
              <w:t>胰腺移植</w:t>
            </w:r>
          </w:p>
        </w:tc>
        <w:tc>
          <w:tcPr>
            <w:tcW w:w="7630" w:type="dxa"/>
          </w:tcPr>
          <w:p>
            <w:pPr>
              <w:pStyle w:val="TableParagraph"/>
              <w:rPr>
                <w:rFonts w:ascii="Times New Roman"/>
                <w:sz w:val="19"/>
              </w:rPr>
            </w:pPr>
          </w:p>
          <w:p>
            <w:pPr>
              <w:pStyle w:val="TableParagraph"/>
              <w:spacing w:line="316" w:lineRule="auto"/>
              <w:ind w:left="95" w:right="206"/>
              <w:rPr>
                <w:sz w:val="22"/>
              </w:rPr>
            </w:pPr>
            <w:r>
              <w:rPr>
                <w:sz w:val="22"/>
              </w:rPr>
              <w:t>指因胰腺功能衰竭，已经实施了在全身麻醉下进行的胰腺的异体器官移植手术（供体必须是人体器官）。</w:t>
            </w:r>
          </w:p>
          <w:p>
            <w:pPr>
              <w:pStyle w:val="TableParagraph"/>
              <w:spacing w:before="21"/>
              <w:ind w:left="95"/>
              <w:rPr>
                <w:sz w:val="22"/>
              </w:rPr>
            </w:pPr>
            <w:r>
              <w:rPr>
                <w:sz w:val="22"/>
                <w:shd w:fill="D9D9D9" w:color="auto" w:val="clear"/>
              </w:rPr>
              <w:t>单纯胰岛移植、部分胰腺组织或细胞的移植不在保障范围内。</w:t>
            </w:r>
          </w:p>
        </w:tc>
      </w:tr>
      <w:tr>
        <w:trPr>
          <w:trHeight w:val="1900" w:hRule="atLeast"/>
        </w:trPr>
        <w:tc>
          <w:tcPr>
            <w:tcW w:w="930" w:type="dxa"/>
          </w:tcPr>
          <w:p>
            <w:pPr>
              <w:pStyle w:val="TableParagraph"/>
              <w:rPr>
                <w:rFonts w:ascii="Times New Roman"/>
                <w:sz w:val="19"/>
              </w:rPr>
            </w:pPr>
          </w:p>
          <w:p>
            <w:pPr>
              <w:pStyle w:val="TableParagraph"/>
              <w:ind w:right="65"/>
              <w:jc w:val="right"/>
              <w:rPr>
                <w:sz w:val="22"/>
              </w:rPr>
            </w:pPr>
            <w:r>
              <w:rPr>
                <w:sz w:val="22"/>
              </w:rPr>
              <w:t>9.4.55</w:t>
            </w:r>
          </w:p>
        </w:tc>
        <w:tc>
          <w:tcPr>
            <w:tcW w:w="1489" w:type="dxa"/>
          </w:tcPr>
          <w:p>
            <w:pPr>
              <w:pStyle w:val="TableParagraph"/>
              <w:spacing w:before="153"/>
              <w:ind w:left="66"/>
              <w:rPr>
                <w:rFonts w:ascii="微软雅黑" w:eastAsia="微软雅黑" w:hint="eastAsia"/>
                <w:b/>
                <w:sz w:val="22"/>
              </w:rPr>
            </w:pPr>
            <w:r>
              <w:rPr>
                <w:rFonts w:ascii="微软雅黑" w:eastAsia="微软雅黑" w:hint="eastAsia"/>
                <w:b/>
                <w:sz w:val="22"/>
              </w:rPr>
              <w:t>肾髓质囊性病</w:t>
            </w:r>
          </w:p>
        </w:tc>
        <w:tc>
          <w:tcPr>
            <w:tcW w:w="7630" w:type="dxa"/>
          </w:tcPr>
          <w:p>
            <w:pPr>
              <w:pStyle w:val="TableParagraph"/>
              <w:rPr>
                <w:rFonts w:ascii="Times New Roman"/>
                <w:sz w:val="19"/>
              </w:rPr>
            </w:pPr>
          </w:p>
          <w:p>
            <w:pPr>
              <w:pStyle w:val="TableParagraph"/>
              <w:ind w:left="95"/>
              <w:rPr>
                <w:sz w:val="22"/>
              </w:rPr>
            </w:pPr>
            <w:r>
              <w:rPr>
                <w:sz w:val="22"/>
              </w:rPr>
              <w:t>肾髓质囊性病的诊断</w:t>
            </w:r>
            <w:r>
              <w:rPr>
                <w:sz w:val="22"/>
                <w:shd w:fill="D9D9D9" w:color="auto" w:val="clear"/>
              </w:rPr>
              <w:t>须同时符合下列要求</w:t>
            </w:r>
            <w:r>
              <w:rPr>
                <w:sz w:val="22"/>
              </w:rPr>
              <w:t>：</w:t>
            </w:r>
          </w:p>
          <w:p>
            <w:pPr>
              <w:pStyle w:val="TableParagraph"/>
              <w:numPr>
                <w:ilvl w:val="0"/>
                <w:numId w:val="37"/>
              </w:numPr>
              <w:tabs>
                <w:tab w:pos="549" w:val="left" w:leader="none"/>
              </w:tabs>
              <w:spacing w:line="240" w:lineRule="auto" w:before="90" w:after="0"/>
              <w:ind w:left="548" w:right="0" w:hanging="453"/>
              <w:jc w:val="left"/>
              <w:rPr>
                <w:sz w:val="22"/>
              </w:rPr>
            </w:pPr>
            <w:r>
              <w:rPr>
                <w:spacing w:val="-3"/>
                <w:sz w:val="22"/>
              </w:rPr>
              <w:t>肾髓质有囊肿、肾小管萎缩及间质纤维化等病理改变；</w:t>
            </w:r>
          </w:p>
          <w:p>
            <w:pPr>
              <w:pStyle w:val="TableParagraph"/>
              <w:numPr>
                <w:ilvl w:val="0"/>
                <w:numId w:val="37"/>
              </w:numPr>
              <w:tabs>
                <w:tab w:pos="549" w:val="left" w:leader="none"/>
              </w:tabs>
              <w:spacing w:line="240" w:lineRule="auto" w:before="93" w:after="0"/>
              <w:ind w:left="548" w:right="0" w:hanging="453"/>
              <w:jc w:val="left"/>
              <w:rPr>
                <w:sz w:val="22"/>
              </w:rPr>
            </w:pPr>
            <w:r>
              <w:rPr>
                <w:spacing w:val="-1"/>
                <w:sz w:val="22"/>
              </w:rPr>
              <w:t>肾功能衰竭；</w:t>
            </w:r>
          </w:p>
          <w:p>
            <w:pPr>
              <w:pStyle w:val="TableParagraph"/>
              <w:numPr>
                <w:ilvl w:val="0"/>
                <w:numId w:val="37"/>
              </w:numPr>
              <w:tabs>
                <w:tab w:pos="549" w:val="left" w:leader="none"/>
              </w:tabs>
              <w:spacing w:line="240" w:lineRule="auto" w:before="91" w:after="0"/>
              <w:ind w:left="548" w:right="0" w:hanging="453"/>
              <w:jc w:val="left"/>
              <w:rPr>
                <w:sz w:val="22"/>
              </w:rPr>
            </w:pPr>
            <w:r>
              <w:rPr>
                <w:spacing w:val="-3"/>
                <w:sz w:val="22"/>
              </w:rPr>
              <w:t>诊断须由肾组织活检确定。</w:t>
            </w:r>
          </w:p>
        </w:tc>
      </w:tr>
      <w:tr>
        <w:trPr>
          <w:trHeight w:val="1900" w:hRule="atLeast"/>
        </w:trPr>
        <w:tc>
          <w:tcPr>
            <w:tcW w:w="930" w:type="dxa"/>
          </w:tcPr>
          <w:p>
            <w:pPr>
              <w:pStyle w:val="TableParagraph"/>
              <w:rPr>
                <w:rFonts w:ascii="Times New Roman"/>
                <w:sz w:val="19"/>
              </w:rPr>
            </w:pPr>
          </w:p>
          <w:p>
            <w:pPr>
              <w:pStyle w:val="TableParagraph"/>
              <w:ind w:right="65"/>
              <w:jc w:val="right"/>
              <w:rPr>
                <w:sz w:val="22"/>
              </w:rPr>
            </w:pPr>
            <w:r>
              <w:rPr>
                <w:sz w:val="22"/>
              </w:rPr>
              <w:t>9.4.56</w:t>
            </w:r>
          </w:p>
        </w:tc>
        <w:tc>
          <w:tcPr>
            <w:tcW w:w="1489" w:type="dxa"/>
          </w:tcPr>
          <w:p>
            <w:pPr>
              <w:pStyle w:val="TableParagraph"/>
              <w:spacing w:before="153"/>
              <w:ind w:left="66"/>
              <w:rPr>
                <w:rFonts w:ascii="微软雅黑" w:eastAsia="微软雅黑" w:hint="eastAsia"/>
                <w:b/>
                <w:sz w:val="22"/>
              </w:rPr>
            </w:pPr>
            <w:r>
              <w:rPr>
                <w:rFonts w:ascii="微软雅黑" w:eastAsia="微软雅黑" w:hint="eastAsia"/>
                <w:b/>
                <w:sz w:val="22"/>
              </w:rPr>
              <w:t>颅脑手术</w:t>
            </w:r>
          </w:p>
        </w:tc>
        <w:tc>
          <w:tcPr>
            <w:tcW w:w="7630" w:type="dxa"/>
          </w:tcPr>
          <w:p>
            <w:pPr>
              <w:pStyle w:val="TableParagraph"/>
              <w:rPr>
                <w:rFonts w:ascii="Times New Roman"/>
                <w:sz w:val="19"/>
              </w:rPr>
            </w:pPr>
          </w:p>
          <w:p>
            <w:pPr>
              <w:pStyle w:val="TableParagraph"/>
              <w:spacing w:line="316" w:lineRule="auto"/>
              <w:ind w:left="95" w:right="206"/>
              <w:rPr>
                <w:sz w:val="22"/>
              </w:rPr>
            </w:pPr>
            <w:r>
              <w:rPr>
                <w:sz w:val="22"/>
              </w:rPr>
              <w:t>被保险人确已实施全麻下的开颅手术（不包括颅骨钻孔手术和经鼻蝶窦入颅手术）。</w:t>
            </w:r>
          </w:p>
          <w:p>
            <w:pPr>
              <w:pStyle w:val="TableParagraph"/>
              <w:spacing w:before="20"/>
              <w:ind w:left="95"/>
              <w:rPr>
                <w:sz w:val="22"/>
              </w:rPr>
            </w:pPr>
            <w:r>
              <w:rPr>
                <w:sz w:val="22"/>
                <w:shd w:fill="D9D9D9" w:color="auto" w:val="clear"/>
              </w:rPr>
              <w:t>因外伤而实施的脑外科手术不在保障范围之内。</w:t>
            </w:r>
          </w:p>
          <w:p>
            <w:pPr>
              <w:pStyle w:val="TableParagraph"/>
              <w:spacing w:before="93"/>
              <w:ind w:left="95"/>
              <w:rPr>
                <w:sz w:val="22"/>
              </w:rPr>
            </w:pPr>
            <w:r>
              <w:rPr>
                <w:sz w:val="22"/>
              </w:rPr>
              <w:t>理赔时必须提供由神经外科医生出具的诊断书及手术报告。</w:t>
            </w:r>
          </w:p>
        </w:tc>
      </w:tr>
      <w:tr>
        <w:trPr>
          <w:trHeight w:val="1520" w:hRule="atLeast"/>
        </w:trPr>
        <w:tc>
          <w:tcPr>
            <w:tcW w:w="930" w:type="dxa"/>
          </w:tcPr>
          <w:p>
            <w:pPr>
              <w:pStyle w:val="TableParagraph"/>
              <w:spacing w:before="10"/>
              <w:rPr>
                <w:rFonts w:ascii="Times New Roman"/>
                <w:sz w:val="18"/>
              </w:rPr>
            </w:pPr>
          </w:p>
          <w:p>
            <w:pPr>
              <w:pStyle w:val="TableParagraph"/>
              <w:spacing w:before="1"/>
              <w:ind w:right="65"/>
              <w:jc w:val="right"/>
              <w:rPr>
                <w:sz w:val="22"/>
              </w:rPr>
            </w:pPr>
            <w:r>
              <w:rPr>
                <w:sz w:val="22"/>
              </w:rPr>
              <w:t>9.4.57</w:t>
            </w:r>
          </w:p>
        </w:tc>
        <w:tc>
          <w:tcPr>
            <w:tcW w:w="1489" w:type="dxa"/>
          </w:tcPr>
          <w:p>
            <w:pPr>
              <w:pStyle w:val="TableParagraph"/>
              <w:spacing w:before="152"/>
              <w:ind w:left="66" w:right="95"/>
              <w:rPr>
                <w:rFonts w:ascii="微软雅黑" w:eastAsia="微软雅黑" w:hint="eastAsia"/>
                <w:b/>
                <w:sz w:val="22"/>
              </w:rPr>
            </w:pPr>
            <w:r>
              <w:rPr>
                <w:rFonts w:ascii="微软雅黑" w:eastAsia="微软雅黑" w:hint="eastAsia"/>
                <w:b/>
                <w:sz w:val="22"/>
              </w:rPr>
              <w:t>溶血性链球菌引起的坏疽</w:t>
            </w:r>
          </w:p>
        </w:tc>
        <w:tc>
          <w:tcPr>
            <w:tcW w:w="7630" w:type="dxa"/>
          </w:tcPr>
          <w:p>
            <w:pPr>
              <w:pStyle w:val="TableParagraph"/>
              <w:spacing w:before="10"/>
              <w:rPr>
                <w:rFonts w:ascii="Times New Roman"/>
                <w:sz w:val="18"/>
              </w:rPr>
            </w:pPr>
          </w:p>
          <w:p>
            <w:pPr>
              <w:pStyle w:val="TableParagraph"/>
              <w:spacing w:line="316" w:lineRule="auto" w:before="1"/>
              <w:ind w:left="95" w:right="206"/>
              <w:jc w:val="both"/>
              <w:rPr>
                <w:sz w:val="22"/>
              </w:rPr>
            </w:pPr>
            <w:r>
              <w:rPr>
                <w:sz w:val="22"/>
              </w:rPr>
              <w:t>指包围肢体或者躯干的浅筋膜或者深筋膜受到溶血性链球菌的感染，病情在短时间内急剧恶化，且已经立刻进行了手术及清创术。最后的诊断必须由微生物或者病理学专家进行相关检查后证实。</w:t>
            </w:r>
          </w:p>
        </w:tc>
      </w:tr>
      <w:tr>
        <w:trPr>
          <w:trHeight w:val="2280" w:hRule="atLeast"/>
        </w:trPr>
        <w:tc>
          <w:tcPr>
            <w:tcW w:w="930" w:type="dxa"/>
          </w:tcPr>
          <w:p>
            <w:pPr>
              <w:pStyle w:val="TableParagraph"/>
              <w:rPr>
                <w:rFonts w:ascii="Times New Roman"/>
                <w:sz w:val="19"/>
              </w:rPr>
            </w:pPr>
          </w:p>
          <w:p>
            <w:pPr>
              <w:pStyle w:val="TableParagraph"/>
              <w:spacing w:before="1"/>
              <w:ind w:right="65"/>
              <w:jc w:val="right"/>
              <w:rPr>
                <w:sz w:val="22"/>
              </w:rPr>
            </w:pPr>
            <w:r>
              <w:rPr>
                <w:sz w:val="22"/>
              </w:rPr>
              <w:t>9.4.58</w:t>
            </w:r>
          </w:p>
        </w:tc>
        <w:tc>
          <w:tcPr>
            <w:tcW w:w="1489" w:type="dxa"/>
          </w:tcPr>
          <w:p>
            <w:pPr>
              <w:pStyle w:val="TableParagraph"/>
              <w:spacing w:before="154"/>
              <w:ind w:left="66" w:right="95"/>
              <w:rPr>
                <w:rFonts w:ascii="微软雅黑" w:eastAsia="微软雅黑" w:hint="eastAsia"/>
                <w:b/>
                <w:sz w:val="22"/>
              </w:rPr>
            </w:pPr>
            <w:r>
              <w:rPr>
                <w:rFonts w:ascii="微软雅黑" w:eastAsia="微软雅黑" w:hint="eastAsia"/>
                <w:b/>
                <w:sz w:val="22"/>
              </w:rPr>
              <w:t>进行性核上性麻痹</w:t>
            </w:r>
          </w:p>
        </w:tc>
        <w:tc>
          <w:tcPr>
            <w:tcW w:w="7630" w:type="dxa"/>
          </w:tcPr>
          <w:p>
            <w:pPr>
              <w:pStyle w:val="TableParagraph"/>
              <w:rPr>
                <w:rFonts w:ascii="Times New Roman"/>
                <w:sz w:val="19"/>
              </w:rPr>
            </w:pPr>
          </w:p>
          <w:p>
            <w:pPr>
              <w:pStyle w:val="TableParagraph"/>
              <w:spacing w:line="316" w:lineRule="auto" w:before="1"/>
              <w:ind w:left="95" w:right="202"/>
              <w:jc w:val="both"/>
              <w:rPr>
                <w:sz w:val="22"/>
              </w:rPr>
            </w:pPr>
            <w:r>
              <w:rPr>
                <w:sz w:val="22"/>
              </w:rPr>
              <w:t>进行性核上性麻痹（PSP）又称 Steele-Rchardson—Olszewski 综合征，是一种少见的神经系统变性疾病，以假球麻痹、垂直性核上性眼肌麻痹、锥体外系肌僵直、步态共济失调和轻度痴呆为主要临床特征。PSP 必须由三级甲等医院的神经内科专科医生确诊，并且被保险人自主生活能力完全丧失，无法独立完成六项基本日常生活活动中的三项或三项以上。</w:t>
            </w:r>
          </w:p>
        </w:tc>
      </w:tr>
      <w:tr>
        <w:trPr>
          <w:trHeight w:val="1519" w:hRule="atLeast"/>
        </w:trPr>
        <w:tc>
          <w:tcPr>
            <w:tcW w:w="930" w:type="dxa"/>
          </w:tcPr>
          <w:p>
            <w:pPr>
              <w:pStyle w:val="TableParagraph"/>
              <w:rPr>
                <w:rFonts w:ascii="Times New Roman"/>
                <w:sz w:val="19"/>
              </w:rPr>
            </w:pPr>
          </w:p>
          <w:p>
            <w:pPr>
              <w:pStyle w:val="TableParagraph"/>
              <w:ind w:right="65"/>
              <w:jc w:val="right"/>
              <w:rPr>
                <w:sz w:val="22"/>
              </w:rPr>
            </w:pPr>
            <w:r>
              <w:rPr>
                <w:sz w:val="22"/>
              </w:rPr>
              <w:t>9.4.59</w:t>
            </w:r>
          </w:p>
        </w:tc>
        <w:tc>
          <w:tcPr>
            <w:tcW w:w="1489" w:type="dxa"/>
          </w:tcPr>
          <w:p>
            <w:pPr>
              <w:pStyle w:val="TableParagraph"/>
              <w:spacing w:before="153"/>
              <w:ind w:left="66" w:right="95"/>
              <w:rPr>
                <w:rFonts w:ascii="微软雅黑" w:eastAsia="微软雅黑" w:hint="eastAsia"/>
                <w:b/>
                <w:sz w:val="22"/>
              </w:rPr>
            </w:pPr>
            <w:r>
              <w:rPr>
                <w:rFonts w:ascii="微软雅黑" w:eastAsia="微软雅黑" w:hint="eastAsia"/>
                <w:b/>
                <w:sz w:val="22"/>
              </w:rPr>
              <w:t>肺泡蛋白质沉积症</w:t>
            </w:r>
          </w:p>
        </w:tc>
        <w:tc>
          <w:tcPr>
            <w:tcW w:w="7630" w:type="dxa"/>
          </w:tcPr>
          <w:p>
            <w:pPr>
              <w:pStyle w:val="TableParagraph"/>
              <w:rPr>
                <w:rFonts w:ascii="Times New Roman"/>
                <w:sz w:val="19"/>
              </w:rPr>
            </w:pPr>
          </w:p>
          <w:p>
            <w:pPr>
              <w:pStyle w:val="TableParagraph"/>
              <w:spacing w:line="316" w:lineRule="auto"/>
              <w:ind w:left="95" w:right="202"/>
              <w:jc w:val="both"/>
              <w:rPr>
                <w:sz w:val="22"/>
              </w:rPr>
            </w:pPr>
            <w:r>
              <w:rPr>
                <w:spacing w:val="-4"/>
                <w:sz w:val="22"/>
              </w:rPr>
              <w:t>指肺泡和细支气管腔内充满不可溶性富磷脂蛋白的疾病，胸部 </w:t>
            </w:r>
            <w:r>
              <w:rPr>
                <w:sz w:val="22"/>
              </w:rPr>
              <w:t>X</w:t>
            </w:r>
            <w:r>
              <w:rPr>
                <w:spacing w:val="-5"/>
                <w:sz w:val="22"/>
              </w:rPr>
              <w:t> 线呈双肺弥</w:t>
            </w:r>
            <w:r>
              <w:rPr>
                <w:spacing w:val="2"/>
                <w:sz w:val="22"/>
              </w:rPr>
              <w:t>漫性肺部磨玻璃影，病理学检查肺泡内充满有过碘酸雪夫</w:t>
            </w:r>
            <w:r>
              <w:rPr>
                <w:spacing w:val="1"/>
                <w:sz w:val="22"/>
              </w:rPr>
              <w:t>（PAS）</w:t>
            </w:r>
            <w:r>
              <w:rPr>
                <w:spacing w:val="2"/>
                <w:sz w:val="22"/>
              </w:rPr>
              <w:t>染色阳性</w:t>
            </w:r>
            <w:r>
              <w:rPr>
                <w:spacing w:val="-3"/>
                <w:sz w:val="22"/>
              </w:rPr>
              <w:t>的蛋白样物质，并且接受了肺灌洗治疗。</w:t>
            </w:r>
          </w:p>
        </w:tc>
      </w:tr>
      <w:tr>
        <w:trPr>
          <w:trHeight w:val="925" w:hRule="atLeast"/>
        </w:trPr>
        <w:tc>
          <w:tcPr>
            <w:tcW w:w="930" w:type="dxa"/>
          </w:tcPr>
          <w:p>
            <w:pPr>
              <w:pStyle w:val="TableParagraph"/>
              <w:rPr>
                <w:rFonts w:ascii="Times New Roman"/>
                <w:sz w:val="19"/>
              </w:rPr>
            </w:pPr>
          </w:p>
          <w:p>
            <w:pPr>
              <w:pStyle w:val="TableParagraph"/>
              <w:ind w:right="65"/>
              <w:jc w:val="right"/>
              <w:rPr>
                <w:sz w:val="22"/>
              </w:rPr>
            </w:pPr>
            <w:r>
              <w:rPr>
                <w:sz w:val="22"/>
              </w:rPr>
              <w:t>9.4.60</w:t>
            </w:r>
          </w:p>
        </w:tc>
        <w:tc>
          <w:tcPr>
            <w:tcW w:w="1489" w:type="dxa"/>
          </w:tcPr>
          <w:p>
            <w:pPr>
              <w:pStyle w:val="TableParagraph"/>
              <w:spacing w:line="380" w:lineRule="exact" w:before="172"/>
              <w:ind w:left="66" w:right="95"/>
              <w:rPr>
                <w:rFonts w:ascii="微软雅黑" w:eastAsia="微软雅黑" w:hint="eastAsia"/>
                <w:b/>
                <w:sz w:val="22"/>
              </w:rPr>
            </w:pPr>
            <w:r>
              <w:rPr>
                <w:rFonts w:ascii="微软雅黑" w:eastAsia="微软雅黑" w:hint="eastAsia"/>
                <w:b/>
                <w:sz w:val="22"/>
              </w:rPr>
              <w:t>肺淋巴管肌瘤病</w:t>
            </w:r>
          </w:p>
        </w:tc>
        <w:tc>
          <w:tcPr>
            <w:tcW w:w="7630" w:type="dxa"/>
          </w:tcPr>
          <w:p>
            <w:pPr>
              <w:pStyle w:val="TableParagraph"/>
              <w:spacing w:line="380" w:lineRule="atLeast" w:before="127"/>
              <w:ind w:left="95" w:right="199"/>
              <w:rPr>
                <w:sz w:val="22"/>
              </w:rPr>
            </w:pPr>
            <w:r>
              <w:rPr>
                <w:sz w:val="22"/>
              </w:rPr>
              <w:t>肺淋巴管肌瘤病是一种弥漫性肺部疾病，主要病理改变为肺间质、支气管、血管和淋巴管内出现未成熟的平滑肌异常增生，</w:t>
            </w:r>
            <w:r>
              <w:rPr>
                <w:sz w:val="22"/>
                <w:shd w:fill="D9D9D9" w:color="auto" w:val="clear"/>
              </w:rPr>
              <w:t>同时需满足下列全部条件</w:t>
            </w:r>
            <w:r>
              <w:rPr>
                <w:sz w:val="22"/>
              </w:rPr>
              <w:t>：</w:t>
            </w:r>
          </w:p>
        </w:tc>
      </w:tr>
    </w:tbl>
    <w:p>
      <w:pPr>
        <w:spacing w:after="0" w:line="380" w:lineRule="atLeast"/>
        <w:rPr>
          <w:sz w:val="22"/>
        </w:rPr>
        <w:sectPr>
          <w:pgSz w:w="11910" w:h="16840"/>
          <w:pgMar w:header="484" w:footer="479" w:top="680" w:bottom="660" w:left="820" w:right="82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after="1"/>
        <w:rPr>
          <w:rFonts w:ascii="Times New Roman"/>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0"/>
        <w:gridCol w:w="1489"/>
        <w:gridCol w:w="7628"/>
      </w:tblGrid>
      <w:tr>
        <w:trPr>
          <w:trHeight w:val="1232" w:hRule="atLeast"/>
        </w:trPr>
        <w:tc>
          <w:tcPr>
            <w:tcW w:w="930" w:type="dxa"/>
          </w:tcPr>
          <w:p>
            <w:pPr>
              <w:pStyle w:val="TableParagraph"/>
              <w:rPr>
                <w:rFonts w:ascii="Times New Roman"/>
                <w:sz w:val="20"/>
              </w:rPr>
            </w:pPr>
          </w:p>
        </w:tc>
        <w:tc>
          <w:tcPr>
            <w:tcW w:w="1489" w:type="dxa"/>
          </w:tcPr>
          <w:p>
            <w:pPr>
              <w:pStyle w:val="TableParagraph"/>
              <w:rPr>
                <w:rFonts w:ascii="Times New Roman"/>
                <w:sz w:val="20"/>
              </w:rPr>
            </w:pPr>
          </w:p>
        </w:tc>
        <w:tc>
          <w:tcPr>
            <w:tcW w:w="7628" w:type="dxa"/>
          </w:tcPr>
          <w:p>
            <w:pPr>
              <w:pStyle w:val="TableParagraph"/>
              <w:numPr>
                <w:ilvl w:val="0"/>
                <w:numId w:val="38"/>
              </w:numPr>
              <w:tabs>
                <w:tab w:pos="549" w:val="left" w:leader="none"/>
              </w:tabs>
              <w:spacing w:line="221" w:lineRule="exact" w:before="0" w:after="0"/>
              <w:ind w:left="548" w:right="0" w:hanging="453"/>
              <w:jc w:val="left"/>
              <w:rPr>
                <w:sz w:val="22"/>
              </w:rPr>
            </w:pPr>
            <w:r>
              <w:rPr>
                <w:spacing w:val="-2"/>
                <w:sz w:val="22"/>
              </w:rPr>
              <w:t>经组织病理学诊断；</w:t>
            </w:r>
          </w:p>
          <w:p>
            <w:pPr>
              <w:pStyle w:val="TableParagraph"/>
              <w:numPr>
                <w:ilvl w:val="0"/>
                <w:numId w:val="38"/>
              </w:numPr>
              <w:tabs>
                <w:tab w:pos="549" w:val="left" w:leader="none"/>
              </w:tabs>
              <w:spacing w:line="240" w:lineRule="auto" w:before="91" w:after="0"/>
              <w:ind w:left="548" w:right="0" w:hanging="453"/>
              <w:jc w:val="left"/>
              <w:rPr>
                <w:sz w:val="22"/>
              </w:rPr>
            </w:pPr>
            <w:r>
              <w:rPr>
                <w:sz w:val="22"/>
              </w:rPr>
              <w:t>CT</w:t>
            </w:r>
            <w:r>
              <w:rPr>
                <w:spacing w:val="-2"/>
                <w:sz w:val="22"/>
              </w:rPr>
              <w:t> 显示双肺弥漫性囊性改变；</w:t>
            </w:r>
          </w:p>
          <w:p>
            <w:pPr>
              <w:pStyle w:val="TableParagraph"/>
              <w:numPr>
                <w:ilvl w:val="0"/>
                <w:numId w:val="38"/>
              </w:numPr>
              <w:tabs>
                <w:tab w:pos="549" w:val="left" w:leader="none"/>
              </w:tabs>
              <w:spacing w:line="240" w:lineRule="auto" w:before="91" w:after="0"/>
              <w:ind w:left="548" w:right="0" w:hanging="453"/>
              <w:jc w:val="left"/>
              <w:rPr>
                <w:sz w:val="22"/>
              </w:rPr>
            </w:pPr>
            <w:r>
              <w:rPr>
                <w:spacing w:val="-3"/>
                <w:sz w:val="22"/>
              </w:rPr>
              <w:t>血气提示低氧血症，动脉血氧分压</w:t>
            </w:r>
            <w:r>
              <w:rPr>
                <w:sz w:val="22"/>
              </w:rPr>
              <w:t>（PaO2）</w:t>
            </w:r>
            <w:r>
              <w:rPr>
                <w:spacing w:val="2"/>
                <w:sz w:val="22"/>
              </w:rPr>
              <w:t>持续&lt; </w:t>
            </w:r>
            <w:r>
              <w:rPr>
                <w:sz w:val="22"/>
              </w:rPr>
              <w:t>50mmHg。</w:t>
            </w:r>
          </w:p>
        </w:tc>
      </w:tr>
      <w:tr>
        <w:trPr>
          <w:trHeight w:val="3041" w:hRule="atLeast"/>
        </w:trPr>
        <w:tc>
          <w:tcPr>
            <w:tcW w:w="930" w:type="dxa"/>
          </w:tcPr>
          <w:p>
            <w:pPr>
              <w:pStyle w:val="TableParagraph"/>
              <w:rPr>
                <w:rFonts w:ascii="Times New Roman"/>
                <w:sz w:val="19"/>
              </w:rPr>
            </w:pPr>
          </w:p>
          <w:p>
            <w:pPr>
              <w:pStyle w:val="TableParagraph"/>
              <w:ind w:right="65"/>
              <w:jc w:val="right"/>
              <w:rPr>
                <w:sz w:val="22"/>
              </w:rPr>
            </w:pPr>
            <w:r>
              <w:rPr>
                <w:sz w:val="22"/>
              </w:rPr>
              <w:t>9.4.61</w:t>
            </w:r>
          </w:p>
        </w:tc>
        <w:tc>
          <w:tcPr>
            <w:tcW w:w="1489" w:type="dxa"/>
          </w:tcPr>
          <w:p>
            <w:pPr>
              <w:pStyle w:val="TableParagraph"/>
              <w:spacing w:before="153"/>
              <w:ind w:left="66" w:right="95"/>
              <w:rPr>
                <w:rFonts w:ascii="微软雅黑" w:eastAsia="微软雅黑" w:hint="eastAsia"/>
                <w:b/>
                <w:sz w:val="22"/>
              </w:rPr>
            </w:pPr>
            <w:r>
              <w:rPr>
                <w:rFonts w:ascii="微软雅黑" w:eastAsia="微软雅黑" w:hint="eastAsia"/>
                <w:b/>
                <w:sz w:val="22"/>
              </w:rPr>
              <w:t>严重感染性心内膜炎</w:t>
            </w:r>
          </w:p>
        </w:tc>
        <w:tc>
          <w:tcPr>
            <w:tcW w:w="7628" w:type="dxa"/>
          </w:tcPr>
          <w:p>
            <w:pPr>
              <w:pStyle w:val="TableParagraph"/>
              <w:rPr>
                <w:rFonts w:ascii="Times New Roman"/>
                <w:sz w:val="19"/>
              </w:rPr>
            </w:pPr>
          </w:p>
          <w:p>
            <w:pPr>
              <w:pStyle w:val="TableParagraph"/>
              <w:ind w:left="95"/>
              <w:rPr>
                <w:sz w:val="22"/>
              </w:rPr>
            </w:pPr>
            <w:r>
              <w:rPr>
                <w:sz w:val="22"/>
              </w:rPr>
              <w:t>是指由感染性微生物引致的心脏内膜炎症，</w:t>
            </w:r>
            <w:r>
              <w:rPr>
                <w:sz w:val="22"/>
                <w:shd w:fill="D9D9D9" w:color="auto" w:val="clear"/>
              </w:rPr>
              <w:t>并须符合下列全部条件</w:t>
            </w:r>
            <w:r>
              <w:rPr>
                <w:sz w:val="22"/>
              </w:rPr>
              <w:t>：</w:t>
            </w:r>
          </w:p>
          <w:p>
            <w:pPr>
              <w:pStyle w:val="TableParagraph"/>
              <w:numPr>
                <w:ilvl w:val="0"/>
                <w:numId w:val="39"/>
              </w:numPr>
              <w:tabs>
                <w:tab w:pos="549" w:val="left" w:leader="none"/>
              </w:tabs>
              <w:spacing w:line="240" w:lineRule="auto" w:before="90" w:after="0"/>
              <w:ind w:left="548" w:right="0" w:hanging="453"/>
              <w:jc w:val="left"/>
              <w:rPr>
                <w:sz w:val="22"/>
              </w:rPr>
            </w:pPr>
            <w:r>
              <w:rPr>
                <w:spacing w:val="-3"/>
                <w:sz w:val="22"/>
              </w:rPr>
              <w:t>血液培植结果呈阳性反应，证明感染性微生物的存在；</w:t>
            </w:r>
          </w:p>
          <w:p>
            <w:pPr>
              <w:pStyle w:val="TableParagraph"/>
              <w:numPr>
                <w:ilvl w:val="0"/>
                <w:numId w:val="39"/>
              </w:numPr>
              <w:tabs>
                <w:tab w:pos="549" w:val="left" w:leader="none"/>
              </w:tabs>
              <w:spacing w:line="316" w:lineRule="auto" w:before="93" w:after="0"/>
              <w:ind w:left="548" w:right="205" w:hanging="453"/>
              <w:jc w:val="both"/>
              <w:rPr>
                <w:sz w:val="22"/>
              </w:rPr>
            </w:pPr>
            <w:r>
              <w:rPr>
                <w:spacing w:val="5"/>
                <w:sz w:val="22"/>
              </w:rPr>
              <w:t>出现最少中度之心脏瓣膜功能不全</w:t>
            </w:r>
            <w:r>
              <w:rPr>
                <w:spacing w:val="7"/>
                <w:sz w:val="22"/>
              </w:rPr>
              <w:t>（</w:t>
            </w:r>
            <w:r>
              <w:rPr>
                <w:spacing w:val="5"/>
                <w:sz w:val="22"/>
              </w:rPr>
              <w:t>即返流部分达百分之二十或者以上）或者中度之心脏瓣膜狭窄（即心脏瓣面积为正常值的百分之三十或</w:t>
            </w:r>
            <w:r>
              <w:rPr>
                <w:spacing w:val="-1"/>
                <w:sz w:val="22"/>
              </w:rPr>
              <w:t>者以下</w:t>
            </w:r>
            <w:r>
              <w:rPr>
                <w:sz w:val="22"/>
              </w:rPr>
              <w:t>）</w:t>
            </w:r>
            <w:r>
              <w:rPr>
                <w:spacing w:val="-3"/>
                <w:sz w:val="22"/>
              </w:rPr>
              <w:t>，导致感染性心内膜炎；</w:t>
            </w:r>
          </w:p>
          <w:p>
            <w:pPr>
              <w:pStyle w:val="TableParagraph"/>
              <w:numPr>
                <w:ilvl w:val="0"/>
                <w:numId w:val="39"/>
              </w:numPr>
              <w:tabs>
                <w:tab w:pos="549" w:val="left" w:leader="none"/>
              </w:tabs>
              <w:spacing w:line="316" w:lineRule="auto" w:before="23" w:after="0"/>
              <w:ind w:left="548" w:right="205" w:hanging="453"/>
              <w:jc w:val="left"/>
              <w:rPr>
                <w:sz w:val="22"/>
              </w:rPr>
            </w:pPr>
            <w:r>
              <w:rPr>
                <w:sz w:val="22"/>
              </w:rPr>
              <w:t>感染性心内膜炎的诊断及瓣膜受损的严重程度必须由心脏病专科医生确定。</w:t>
            </w:r>
          </w:p>
        </w:tc>
      </w:tr>
      <w:tr>
        <w:trPr>
          <w:trHeight w:val="1140" w:hRule="atLeast"/>
        </w:trPr>
        <w:tc>
          <w:tcPr>
            <w:tcW w:w="930" w:type="dxa"/>
          </w:tcPr>
          <w:p>
            <w:pPr>
              <w:pStyle w:val="TableParagraph"/>
              <w:rPr>
                <w:rFonts w:ascii="Times New Roman"/>
                <w:sz w:val="19"/>
              </w:rPr>
            </w:pPr>
          </w:p>
          <w:p>
            <w:pPr>
              <w:pStyle w:val="TableParagraph"/>
              <w:ind w:right="65"/>
              <w:jc w:val="right"/>
              <w:rPr>
                <w:sz w:val="22"/>
              </w:rPr>
            </w:pPr>
            <w:r>
              <w:rPr>
                <w:sz w:val="22"/>
              </w:rPr>
              <w:t>9.4.62</w:t>
            </w:r>
          </w:p>
        </w:tc>
        <w:tc>
          <w:tcPr>
            <w:tcW w:w="1489" w:type="dxa"/>
          </w:tcPr>
          <w:p>
            <w:pPr>
              <w:pStyle w:val="TableParagraph"/>
              <w:spacing w:before="153"/>
              <w:ind w:left="66"/>
              <w:rPr>
                <w:rFonts w:ascii="微软雅黑" w:eastAsia="微软雅黑" w:hint="eastAsia"/>
                <w:b/>
                <w:sz w:val="22"/>
              </w:rPr>
            </w:pPr>
            <w:r>
              <w:rPr>
                <w:rFonts w:ascii="微软雅黑" w:eastAsia="微软雅黑" w:hint="eastAsia"/>
                <w:b/>
                <w:sz w:val="22"/>
              </w:rPr>
              <w:t>嗜铬细胞瘤</w:t>
            </w:r>
          </w:p>
        </w:tc>
        <w:tc>
          <w:tcPr>
            <w:tcW w:w="7628" w:type="dxa"/>
          </w:tcPr>
          <w:p>
            <w:pPr>
              <w:pStyle w:val="TableParagraph"/>
              <w:rPr>
                <w:rFonts w:ascii="Times New Roman"/>
                <w:sz w:val="19"/>
              </w:rPr>
            </w:pPr>
          </w:p>
          <w:p>
            <w:pPr>
              <w:pStyle w:val="TableParagraph"/>
              <w:spacing w:line="316" w:lineRule="auto"/>
              <w:ind w:left="95" w:right="204"/>
              <w:rPr>
                <w:sz w:val="22"/>
              </w:rPr>
            </w:pPr>
            <w:r>
              <w:rPr>
                <w:sz w:val="22"/>
              </w:rPr>
              <w:t>指肾上腺或者嗜铬外组织出现神经内分泌肿瘤，并分泌过多的儿茶酚胺类， 需要确实进行手术以切除肿瘤。</w:t>
            </w:r>
          </w:p>
        </w:tc>
      </w:tr>
      <w:tr>
        <w:trPr>
          <w:trHeight w:val="3420" w:hRule="atLeast"/>
        </w:trPr>
        <w:tc>
          <w:tcPr>
            <w:tcW w:w="930" w:type="dxa"/>
          </w:tcPr>
          <w:p>
            <w:pPr>
              <w:pStyle w:val="TableParagraph"/>
              <w:rPr>
                <w:rFonts w:ascii="Times New Roman"/>
                <w:sz w:val="19"/>
              </w:rPr>
            </w:pPr>
          </w:p>
          <w:p>
            <w:pPr>
              <w:pStyle w:val="TableParagraph"/>
              <w:ind w:right="65"/>
              <w:jc w:val="right"/>
              <w:rPr>
                <w:sz w:val="22"/>
              </w:rPr>
            </w:pPr>
            <w:r>
              <w:rPr>
                <w:sz w:val="22"/>
              </w:rPr>
              <w:t>9.4.63</w:t>
            </w:r>
          </w:p>
        </w:tc>
        <w:tc>
          <w:tcPr>
            <w:tcW w:w="1489" w:type="dxa"/>
          </w:tcPr>
          <w:p>
            <w:pPr>
              <w:pStyle w:val="TableParagraph"/>
              <w:spacing w:before="153"/>
              <w:ind w:left="66" w:right="95"/>
              <w:rPr>
                <w:rFonts w:ascii="微软雅黑" w:eastAsia="微软雅黑" w:hint="eastAsia"/>
                <w:b/>
                <w:sz w:val="22"/>
              </w:rPr>
            </w:pPr>
            <w:r>
              <w:rPr>
                <w:rFonts w:ascii="微软雅黑" w:eastAsia="微软雅黑" w:hint="eastAsia"/>
                <w:b/>
                <w:sz w:val="22"/>
              </w:rPr>
              <w:t>严重自身免疫性肝炎</w:t>
            </w:r>
          </w:p>
        </w:tc>
        <w:tc>
          <w:tcPr>
            <w:tcW w:w="7628" w:type="dxa"/>
          </w:tcPr>
          <w:p>
            <w:pPr>
              <w:pStyle w:val="TableParagraph"/>
              <w:rPr>
                <w:rFonts w:ascii="Times New Roman"/>
                <w:sz w:val="19"/>
              </w:rPr>
            </w:pPr>
          </w:p>
          <w:p>
            <w:pPr>
              <w:pStyle w:val="TableParagraph"/>
              <w:spacing w:line="316" w:lineRule="auto"/>
              <w:ind w:left="95" w:right="204"/>
              <w:jc w:val="both"/>
              <w:rPr>
                <w:sz w:val="22"/>
              </w:rPr>
            </w:pPr>
            <w:r>
              <w:rPr>
                <w:sz w:val="22"/>
              </w:rPr>
              <w:t>自身免疫性肝炎是一种原因不明的慢性肝脏的坏死性炎性疾病，机体免疫机制被破坏，产生针对肝脏自身抗原的抗体导致自身免疫反应，从而破坏肝细胞造成肝脏炎症坏死，进而发展为肝硬化。</w:t>
            </w:r>
            <w:r>
              <w:rPr>
                <w:sz w:val="22"/>
                <w:shd w:fill="D9D9D9" w:color="auto" w:val="clear"/>
              </w:rPr>
              <w:t>必须满足所有以下条件</w:t>
            </w:r>
            <w:r>
              <w:rPr>
                <w:sz w:val="22"/>
              </w:rPr>
              <w:t>：</w:t>
            </w:r>
          </w:p>
          <w:p>
            <w:pPr>
              <w:pStyle w:val="TableParagraph"/>
              <w:numPr>
                <w:ilvl w:val="0"/>
                <w:numId w:val="40"/>
              </w:numPr>
              <w:tabs>
                <w:tab w:pos="549" w:val="left" w:leader="none"/>
              </w:tabs>
              <w:spacing w:line="240" w:lineRule="auto" w:before="22" w:after="0"/>
              <w:ind w:left="548" w:right="0" w:hanging="453"/>
              <w:jc w:val="left"/>
              <w:rPr>
                <w:sz w:val="22"/>
              </w:rPr>
            </w:pPr>
            <w:r>
              <w:rPr>
                <w:sz w:val="22"/>
              </w:rPr>
              <w:t>高</w:t>
            </w:r>
            <w:r>
              <w:rPr>
                <w:rFonts w:ascii="Arial" w:hAnsi="Arial" w:eastAsia="Arial"/>
                <w:sz w:val="22"/>
              </w:rPr>
              <w:t>γ</w:t>
            </w:r>
            <w:r>
              <w:rPr>
                <w:rFonts w:ascii="Arial" w:hAnsi="Arial" w:eastAsia="Arial"/>
                <w:spacing w:val="55"/>
                <w:sz w:val="22"/>
              </w:rPr>
              <w:t> </w:t>
            </w:r>
            <w:r>
              <w:rPr>
                <w:spacing w:val="-3"/>
                <w:sz w:val="22"/>
              </w:rPr>
              <w:t>球蛋白血症；</w:t>
            </w:r>
          </w:p>
          <w:p>
            <w:pPr>
              <w:pStyle w:val="TableParagraph"/>
              <w:numPr>
                <w:ilvl w:val="0"/>
                <w:numId w:val="40"/>
              </w:numPr>
              <w:tabs>
                <w:tab w:pos="549" w:val="left" w:leader="none"/>
              </w:tabs>
              <w:spacing w:line="316" w:lineRule="auto" w:before="75" w:after="0"/>
              <w:ind w:left="548" w:right="199" w:hanging="453"/>
              <w:jc w:val="left"/>
              <w:rPr>
                <w:sz w:val="22"/>
              </w:rPr>
            </w:pPr>
            <w:r>
              <w:rPr>
                <w:spacing w:val="5"/>
                <w:sz w:val="22"/>
              </w:rPr>
              <w:t>血液中存在高水平的自身免疫抗体，如 </w:t>
            </w:r>
            <w:r>
              <w:rPr>
                <w:sz w:val="22"/>
              </w:rPr>
              <w:t>ANA（</w:t>
            </w:r>
            <w:r>
              <w:rPr>
                <w:spacing w:val="2"/>
                <w:sz w:val="22"/>
              </w:rPr>
              <w:t>抗核抗体）、</w:t>
            </w:r>
            <w:r>
              <w:rPr>
                <w:sz w:val="22"/>
              </w:rPr>
              <w:t>SMA（</w:t>
            </w:r>
            <w:r>
              <w:rPr>
                <w:spacing w:val="2"/>
                <w:sz w:val="22"/>
              </w:rPr>
              <w:t>抗平</w:t>
            </w:r>
            <w:r>
              <w:rPr>
                <w:spacing w:val="-1"/>
                <w:sz w:val="22"/>
              </w:rPr>
              <w:t>滑肌抗体</w:t>
            </w:r>
            <w:r>
              <w:rPr>
                <w:sz w:val="22"/>
              </w:rPr>
              <w:t>）</w:t>
            </w:r>
            <w:r>
              <w:rPr>
                <w:spacing w:val="-18"/>
                <w:sz w:val="22"/>
              </w:rPr>
              <w:t>、抗 </w:t>
            </w:r>
            <w:r>
              <w:rPr>
                <w:sz w:val="22"/>
              </w:rPr>
              <w:t>LKM1</w:t>
            </w:r>
            <w:r>
              <w:rPr>
                <w:spacing w:val="-12"/>
                <w:sz w:val="22"/>
              </w:rPr>
              <w:t> 抗体或抗</w:t>
            </w:r>
            <w:r>
              <w:rPr>
                <w:sz w:val="22"/>
              </w:rPr>
              <w:t>-SLA/LP</w:t>
            </w:r>
            <w:r>
              <w:rPr>
                <w:spacing w:val="-14"/>
                <w:sz w:val="22"/>
              </w:rPr>
              <w:t> 抗体；</w:t>
            </w:r>
          </w:p>
          <w:p>
            <w:pPr>
              <w:pStyle w:val="TableParagraph"/>
              <w:numPr>
                <w:ilvl w:val="0"/>
                <w:numId w:val="40"/>
              </w:numPr>
              <w:tabs>
                <w:tab w:pos="549" w:val="left" w:leader="none"/>
              </w:tabs>
              <w:spacing w:line="240" w:lineRule="auto" w:before="23" w:after="0"/>
              <w:ind w:left="548" w:right="0" w:hanging="453"/>
              <w:jc w:val="both"/>
              <w:rPr>
                <w:sz w:val="22"/>
              </w:rPr>
            </w:pPr>
            <w:r>
              <w:rPr>
                <w:spacing w:val="-3"/>
                <w:sz w:val="22"/>
              </w:rPr>
              <w:t>肝脏活检证实免疫性肝炎；</w:t>
            </w:r>
          </w:p>
          <w:p>
            <w:pPr>
              <w:pStyle w:val="TableParagraph"/>
              <w:numPr>
                <w:ilvl w:val="0"/>
                <w:numId w:val="40"/>
              </w:numPr>
              <w:tabs>
                <w:tab w:pos="549" w:val="left" w:leader="none"/>
              </w:tabs>
              <w:spacing w:line="240" w:lineRule="auto" w:before="91" w:after="0"/>
              <w:ind w:left="548" w:right="0" w:hanging="453"/>
              <w:jc w:val="both"/>
              <w:rPr>
                <w:sz w:val="22"/>
              </w:rPr>
            </w:pPr>
            <w:r>
              <w:rPr>
                <w:spacing w:val="-3"/>
                <w:sz w:val="22"/>
              </w:rPr>
              <w:t>临床已经出现腹水、食道静脉曲张和脾肿大等肝硬化表现。</w:t>
            </w:r>
          </w:p>
        </w:tc>
      </w:tr>
      <w:tr>
        <w:trPr>
          <w:trHeight w:val="3040" w:hRule="atLeast"/>
        </w:trPr>
        <w:tc>
          <w:tcPr>
            <w:tcW w:w="930" w:type="dxa"/>
          </w:tcPr>
          <w:p>
            <w:pPr>
              <w:pStyle w:val="TableParagraph"/>
              <w:rPr>
                <w:rFonts w:ascii="Times New Roman"/>
                <w:sz w:val="19"/>
              </w:rPr>
            </w:pPr>
          </w:p>
          <w:p>
            <w:pPr>
              <w:pStyle w:val="TableParagraph"/>
              <w:spacing w:before="1"/>
              <w:ind w:right="65"/>
              <w:jc w:val="right"/>
              <w:rPr>
                <w:sz w:val="22"/>
              </w:rPr>
            </w:pPr>
            <w:r>
              <w:rPr>
                <w:sz w:val="22"/>
              </w:rPr>
              <w:t>9.4.64</w:t>
            </w:r>
          </w:p>
        </w:tc>
        <w:tc>
          <w:tcPr>
            <w:tcW w:w="1489" w:type="dxa"/>
          </w:tcPr>
          <w:p>
            <w:pPr>
              <w:pStyle w:val="TableParagraph"/>
              <w:spacing w:before="154"/>
              <w:ind w:left="66" w:right="95"/>
              <w:rPr>
                <w:rFonts w:ascii="微软雅黑" w:eastAsia="微软雅黑" w:hint="eastAsia"/>
                <w:b/>
                <w:sz w:val="22"/>
              </w:rPr>
            </w:pPr>
            <w:r>
              <w:rPr>
                <w:rFonts w:ascii="微软雅黑" w:eastAsia="微软雅黑" w:hint="eastAsia"/>
                <w:b/>
                <w:sz w:val="22"/>
              </w:rPr>
              <w:t>严重瑞氏综合征</w:t>
            </w:r>
          </w:p>
        </w:tc>
        <w:tc>
          <w:tcPr>
            <w:tcW w:w="7628" w:type="dxa"/>
          </w:tcPr>
          <w:p>
            <w:pPr>
              <w:pStyle w:val="TableParagraph"/>
              <w:rPr>
                <w:rFonts w:ascii="Times New Roman"/>
                <w:sz w:val="19"/>
              </w:rPr>
            </w:pPr>
          </w:p>
          <w:p>
            <w:pPr>
              <w:pStyle w:val="TableParagraph"/>
              <w:spacing w:line="316" w:lineRule="auto" w:before="1"/>
              <w:ind w:left="95" w:right="204"/>
              <w:jc w:val="both"/>
              <w:rPr>
                <w:sz w:val="22"/>
              </w:rPr>
            </w:pPr>
            <w:r>
              <w:rPr>
                <w:sz w:val="22"/>
              </w:rPr>
              <w:t>瑞氏综合征是线粒体功能障碍性疾病。导致脂肪代谢障碍，引起短链脂肪酸、血氨升高，造成脑水肿。主要临床表现为急性发热、反复呕吐、惊厥及意识障碍等等。肝脏活检是确诊的重要手段。瑞氏综合征需由三级医院的儿科专科医生确诊，</w:t>
            </w:r>
            <w:r>
              <w:rPr>
                <w:sz w:val="22"/>
                <w:shd w:fill="D9D9D9" w:color="auto" w:val="clear"/>
              </w:rPr>
              <w:t>并符合下列所有条件</w:t>
            </w:r>
            <w:r>
              <w:rPr>
                <w:sz w:val="22"/>
              </w:rPr>
              <w:t>：</w:t>
            </w:r>
          </w:p>
          <w:p>
            <w:pPr>
              <w:pStyle w:val="TableParagraph"/>
              <w:numPr>
                <w:ilvl w:val="0"/>
                <w:numId w:val="41"/>
              </w:numPr>
              <w:tabs>
                <w:tab w:pos="549" w:val="left" w:leader="none"/>
              </w:tabs>
              <w:spacing w:line="240" w:lineRule="auto" w:before="21" w:after="0"/>
              <w:ind w:left="548" w:right="0" w:hanging="453"/>
              <w:jc w:val="both"/>
              <w:rPr>
                <w:sz w:val="22"/>
              </w:rPr>
            </w:pPr>
            <w:r>
              <w:rPr>
                <w:spacing w:val="-3"/>
                <w:sz w:val="22"/>
              </w:rPr>
              <w:t>有脑水肿和颅内压升高的脑脊液检查和影像学检查证据；</w:t>
            </w:r>
          </w:p>
          <w:p>
            <w:pPr>
              <w:pStyle w:val="TableParagraph"/>
              <w:numPr>
                <w:ilvl w:val="0"/>
                <w:numId w:val="41"/>
              </w:numPr>
              <w:tabs>
                <w:tab w:pos="549" w:val="left" w:leader="none"/>
              </w:tabs>
              <w:spacing w:line="240" w:lineRule="auto" w:before="91" w:after="0"/>
              <w:ind w:left="548" w:right="0" w:hanging="453"/>
              <w:jc w:val="both"/>
              <w:rPr>
                <w:sz w:val="22"/>
              </w:rPr>
            </w:pPr>
            <w:r>
              <w:rPr>
                <w:spacing w:val="-8"/>
                <w:sz w:val="22"/>
              </w:rPr>
              <w:t>血氨超过正常值的 </w:t>
            </w:r>
            <w:r>
              <w:rPr>
                <w:sz w:val="22"/>
              </w:rPr>
              <w:t>3</w:t>
            </w:r>
            <w:r>
              <w:rPr>
                <w:spacing w:val="-19"/>
                <w:sz w:val="22"/>
              </w:rPr>
              <w:t> 倍；</w:t>
            </w:r>
          </w:p>
          <w:p>
            <w:pPr>
              <w:pStyle w:val="TableParagraph"/>
              <w:numPr>
                <w:ilvl w:val="0"/>
                <w:numId w:val="41"/>
              </w:numPr>
              <w:tabs>
                <w:tab w:pos="549" w:val="left" w:leader="none"/>
              </w:tabs>
              <w:spacing w:line="240" w:lineRule="auto" w:before="93" w:after="0"/>
              <w:ind w:left="548" w:right="0" w:hanging="453"/>
              <w:jc w:val="both"/>
              <w:rPr>
                <w:sz w:val="22"/>
              </w:rPr>
            </w:pPr>
            <w:r>
              <w:rPr>
                <w:spacing w:val="-6"/>
                <w:sz w:val="22"/>
              </w:rPr>
              <w:t>临床出现昏迷，病程至少达到疾病分期第 </w:t>
            </w:r>
            <w:r>
              <w:rPr>
                <w:sz w:val="22"/>
              </w:rPr>
              <w:t>3</w:t>
            </w:r>
            <w:r>
              <w:rPr>
                <w:spacing w:val="-16"/>
                <w:sz w:val="22"/>
              </w:rPr>
              <w:t> 期。</w:t>
            </w:r>
          </w:p>
        </w:tc>
      </w:tr>
      <w:tr>
        <w:trPr>
          <w:trHeight w:val="1646" w:hRule="atLeast"/>
        </w:trPr>
        <w:tc>
          <w:tcPr>
            <w:tcW w:w="930" w:type="dxa"/>
          </w:tcPr>
          <w:p>
            <w:pPr>
              <w:pStyle w:val="TableParagraph"/>
              <w:spacing w:before="11"/>
              <w:rPr>
                <w:rFonts w:ascii="Times New Roman"/>
                <w:sz w:val="18"/>
              </w:rPr>
            </w:pPr>
          </w:p>
          <w:p>
            <w:pPr>
              <w:pStyle w:val="TableParagraph"/>
              <w:ind w:right="65"/>
              <w:jc w:val="right"/>
              <w:rPr>
                <w:sz w:val="22"/>
              </w:rPr>
            </w:pPr>
            <w:r>
              <w:rPr>
                <w:sz w:val="22"/>
              </w:rPr>
              <w:t>9.4.65</w:t>
            </w:r>
          </w:p>
        </w:tc>
        <w:tc>
          <w:tcPr>
            <w:tcW w:w="1489" w:type="dxa"/>
          </w:tcPr>
          <w:p>
            <w:pPr>
              <w:pStyle w:val="TableParagraph"/>
              <w:spacing w:before="152"/>
              <w:ind w:left="66" w:right="95"/>
              <w:jc w:val="both"/>
              <w:rPr>
                <w:rFonts w:ascii="微软雅黑" w:eastAsia="微软雅黑" w:hint="eastAsia"/>
                <w:b/>
                <w:sz w:val="22"/>
              </w:rPr>
            </w:pPr>
            <w:r>
              <w:rPr>
                <w:rFonts w:ascii="微软雅黑" w:eastAsia="微软雅黑" w:hint="eastAsia"/>
                <w:b/>
                <w:sz w:val="22"/>
              </w:rPr>
              <w:t>特定年龄的严重肠道疾病并发症</w:t>
            </w:r>
          </w:p>
        </w:tc>
        <w:tc>
          <w:tcPr>
            <w:tcW w:w="7628" w:type="dxa"/>
          </w:tcPr>
          <w:p>
            <w:pPr>
              <w:pStyle w:val="TableParagraph"/>
              <w:spacing w:before="11"/>
              <w:rPr>
                <w:rFonts w:ascii="Times New Roman"/>
                <w:sz w:val="18"/>
              </w:rPr>
            </w:pPr>
          </w:p>
          <w:p>
            <w:pPr>
              <w:pStyle w:val="TableParagraph"/>
              <w:ind w:left="95"/>
              <w:rPr>
                <w:sz w:val="22"/>
              </w:rPr>
            </w:pPr>
            <w:r>
              <w:rPr>
                <w:sz w:val="22"/>
              </w:rPr>
              <w:t>严重肠道疾病或外伤导致小肠损害并发症，</w:t>
            </w:r>
            <w:r>
              <w:rPr>
                <w:sz w:val="22"/>
                <w:shd w:fill="D9D9D9" w:color="auto" w:val="clear"/>
              </w:rPr>
              <w:t>必须满足以下所有条件</w:t>
            </w:r>
            <w:r>
              <w:rPr>
                <w:sz w:val="22"/>
              </w:rPr>
              <w:t>：</w:t>
            </w:r>
          </w:p>
          <w:p>
            <w:pPr>
              <w:pStyle w:val="TableParagraph"/>
              <w:numPr>
                <w:ilvl w:val="0"/>
                <w:numId w:val="42"/>
              </w:numPr>
              <w:tabs>
                <w:tab w:pos="549" w:val="left" w:leader="none"/>
              </w:tabs>
              <w:spacing w:line="240" w:lineRule="auto" w:before="93" w:after="0"/>
              <w:ind w:left="548" w:right="0" w:hanging="453"/>
              <w:jc w:val="left"/>
              <w:rPr>
                <w:sz w:val="22"/>
              </w:rPr>
            </w:pPr>
            <w:r>
              <w:rPr>
                <w:spacing w:val="-3"/>
                <w:sz w:val="22"/>
              </w:rPr>
              <w:t>至少切除了三分之二小肠；</w:t>
            </w:r>
          </w:p>
          <w:p>
            <w:pPr>
              <w:pStyle w:val="TableParagraph"/>
              <w:numPr>
                <w:ilvl w:val="0"/>
                <w:numId w:val="42"/>
              </w:numPr>
              <w:tabs>
                <w:tab w:pos="549" w:val="left" w:leader="none"/>
              </w:tabs>
              <w:spacing w:line="240" w:lineRule="auto" w:before="90" w:after="0"/>
              <w:ind w:left="548" w:right="0" w:hanging="453"/>
              <w:jc w:val="left"/>
              <w:rPr>
                <w:sz w:val="22"/>
              </w:rPr>
            </w:pPr>
            <w:r>
              <w:rPr>
                <w:spacing w:val="-8"/>
                <w:sz w:val="22"/>
              </w:rPr>
              <w:t>完全肠外营养支持 </w:t>
            </w:r>
            <w:r>
              <w:rPr>
                <w:sz w:val="22"/>
              </w:rPr>
              <w:t>3</w:t>
            </w:r>
            <w:r>
              <w:rPr>
                <w:spacing w:val="-10"/>
                <w:sz w:val="22"/>
              </w:rPr>
              <w:t> 个月以上。</w:t>
            </w:r>
          </w:p>
          <w:p>
            <w:pPr>
              <w:pStyle w:val="TableParagraph"/>
              <w:spacing w:line="268" w:lineRule="exact" w:before="90"/>
              <w:ind w:left="95"/>
              <w:rPr>
                <w:sz w:val="22"/>
              </w:rPr>
            </w:pPr>
            <w:r>
              <w:rPr>
                <w:sz w:val="22"/>
                <w:shd w:fill="D9D9D9" w:color="auto" w:val="clear"/>
              </w:rPr>
              <w:t>被保险人申请理赔时年龄必须在年满 18 周岁以前。</w:t>
            </w:r>
          </w:p>
        </w:tc>
      </w:tr>
    </w:tbl>
    <w:p>
      <w:pPr>
        <w:spacing w:after="0" w:line="268" w:lineRule="exact"/>
        <w:rPr>
          <w:sz w:val="22"/>
        </w:rPr>
        <w:sectPr>
          <w:pgSz w:w="11910" w:h="16840"/>
          <w:pgMar w:header="484" w:footer="479" w:top="680" w:bottom="660" w:left="820" w:right="82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sz w:val="2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0"/>
        <w:gridCol w:w="1489"/>
        <w:gridCol w:w="7625"/>
      </w:tblGrid>
      <w:tr>
        <w:trPr>
          <w:trHeight w:val="3547" w:hRule="atLeast"/>
        </w:trPr>
        <w:tc>
          <w:tcPr>
            <w:tcW w:w="930" w:type="dxa"/>
          </w:tcPr>
          <w:p>
            <w:pPr>
              <w:pStyle w:val="TableParagraph"/>
              <w:spacing w:line="253" w:lineRule="exact"/>
              <w:ind w:right="65"/>
              <w:jc w:val="right"/>
              <w:rPr>
                <w:sz w:val="22"/>
              </w:rPr>
            </w:pPr>
            <w:r>
              <w:rPr>
                <w:sz w:val="22"/>
              </w:rPr>
              <w:t>9.4.66</w:t>
            </w:r>
          </w:p>
        </w:tc>
        <w:tc>
          <w:tcPr>
            <w:tcW w:w="1489" w:type="dxa"/>
          </w:tcPr>
          <w:p>
            <w:pPr>
              <w:pStyle w:val="TableParagraph"/>
              <w:spacing w:line="280" w:lineRule="exact"/>
              <w:ind w:left="66"/>
              <w:rPr>
                <w:rFonts w:ascii="微软雅黑" w:eastAsia="微软雅黑" w:hint="eastAsia"/>
                <w:b/>
                <w:sz w:val="22"/>
              </w:rPr>
            </w:pPr>
            <w:r>
              <w:rPr>
                <w:rFonts w:ascii="微软雅黑" w:eastAsia="微软雅黑" w:hint="eastAsia"/>
                <w:b/>
                <w:sz w:val="22"/>
              </w:rPr>
              <w:t>严重慢性缩窄</w:t>
            </w:r>
          </w:p>
          <w:p>
            <w:pPr>
              <w:pStyle w:val="TableParagraph"/>
              <w:spacing w:line="380" w:lineRule="exact"/>
              <w:ind w:left="66"/>
              <w:rPr>
                <w:rFonts w:ascii="微软雅黑" w:eastAsia="微软雅黑" w:hint="eastAsia"/>
                <w:b/>
                <w:sz w:val="22"/>
              </w:rPr>
            </w:pPr>
            <w:r>
              <w:rPr>
                <w:rFonts w:ascii="微软雅黑" w:eastAsia="微软雅黑" w:hint="eastAsia"/>
                <w:b/>
                <w:sz w:val="22"/>
              </w:rPr>
              <w:t>型心包炎</w:t>
            </w:r>
          </w:p>
        </w:tc>
        <w:tc>
          <w:tcPr>
            <w:tcW w:w="7625" w:type="dxa"/>
          </w:tcPr>
          <w:p>
            <w:pPr>
              <w:pStyle w:val="TableParagraph"/>
              <w:spacing w:line="253" w:lineRule="exact"/>
              <w:ind w:left="95"/>
              <w:rPr>
                <w:sz w:val="22"/>
              </w:rPr>
            </w:pPr>
            <w:r>
              <w:rPr>
                <w:sz w:val="22"/>
              </w:rPr>
              <w:t>由于慢性心包炎症导致心包脏层和壁层广泛瘢痕粘连、增厚和钙化，心包腔</w:t>
            </w:r>
          </w:p>
          <w:p>
            <w:pPr>
              <w:pStyle w:val="TableParagraph"/>
              <w:spacing w:line="319" w:lineRule="auto" w:before="91"/>
              <w:ind w:left="95" w:right="207"/>
              <w:rPr>
                <w:sz w:val="22"/>
              </w:rPr>
            </w:pPr>
            <w:r>
              <w:rPr>
                <w:sz w:val="22"/>
              </w:rPr>
              <w:t>闭塞，形成一个纤维瘢痕外壳，使心脏和大血管根部受压，阻碍心脏的舒张。</w:t>
            </w:r>
          </w:p>
          <w:p>
            <w:pPr>
              <w:pStyle w:val="TableParagraph"/>
              <w:spacing w:before="18"/>
              <w:ind w:left="95"/>
              <w:rPr>
                <w:sz w:val="22"/>
              </w:rPr>
            </w:pPr>
            <w:r>
              <w:rPr>
                <w:sz w:val="22"/>
              </w:rPr>
              <w:t>被保险人被明确诊断为慢性缩窄性心包炎且</w:t>
            </w:r>
            <w:r>
              <w:rPr>
                <w:sz w:val="22"/>
                <w:shd w:fill="D9D9D9" w:color="auto" w:val="clear"/>
              </w:rPr>
              <w:t>必须满足以下所有条件</w:t>
            </w:r>
            <w:r>
              <w:rPr>
                <w:sz w:val="22"/>
              </w:rPr>
              <w:t>：</w:t>
            </w:r>
          </w:p>
          <w:p>
            <w:pPr>
              <w:pStyle w:val="TableParagraph"/>
              <w:numPr>
                <w:ilvl w:val="0"/>
                <w:numId w:val="43"/>
              </w:numPr>
              <w:tabs>
                <w:tab w:pos="549" w:val="left" w:leader="none"/>
              </w:tabs>
              <w:spacing w:line="240" w:lineRule="auto" w:before="91" w:after="0"/>
              <w:ind w:left="548" w:right="0" w:hanging="453"/>
              <w:jc w:val="left"/>
              <w:rPr>
                <w:sz w:val="22"/>
              </w:rPr>
            </w:pPr>
            <w:r>
              <w:rPr>
                <w:spacing w:val="5"/>
                <w:sz w:val="22"/>
              </w:rPr>
              <w:t>心功能衰竭达到美国纽约心脏病学会心功能状态分级 </w:t>
            </w:r>
            <w:r>
              <w:rPr>
                <w:sz w:val="22"/>
              </w:rPr>
              <w:t>IV</w:t>
            </w:r>
            <w:r>
              <w:rPr>
                <w:spacing w:val="8"/>
                <w:sz w:val="22"/>
              </w:rPr>
              <w:t> 级，并持续</w:t>
            </w:r>
          </w:p>
          <w:p>
            <w:pPr>
              <w:pStyle w:val="TableParagraph"/>
              <w:spacing w:before="93"/>
              <w:ind w:left="548"/>
              <w:rPr>
                <w:sz w:val="22"/>
              </w:rPr>
            </w:pPr>
            <w:r>
              <w:rPr>
                <w:sz w:val="22"/>
              </w:rPr>
              <w:t>180 天以上；</w:t>
            </w:r>
          </w:p>
          <w:p>
            <w:pPr>
              <w:pStyle w:val="TableParagraph"/>
              <w:numPr>
                <w:ilvl w:val="0"/>
                <w:numId w:val="43"/>
              </w:numPr>
              <w:tabs>
                <w:tab w:pos="549" w:val="left" w:leader="none"/>
              </w:tabs>
              <w:spacing w:line="316" w:lineRule="auto" w:before="90" w:after="0"/>
              <w:ind w:left="548" w:right="199" w:hanging="453"/>
              <w:jc w:val="left"/>
              <w:rPr>
                <w:sz w:val="22"/>
              </w:rPr>
            </w:pPr>
            <w:r>
              <w:rPr>
                <w:sz w:val="22"/>
              </w:rPr>
              <w:t>实际接受了以下任何一种手术路径的心包剥脱或心包切除手术：胸骨正</w:t>
            </w:r>
            <w:r>
              <w:rPr>
                <w:spacing w:val="-3"/>
                <w:sz w:val="22"/>
              </w:rPr>
              <w:t>中切口、双侧前胸切口或左前胸肋间切口。</w:t>
            </w:r>
          </w:p>
          <w:p>
            <w:pPr>
              <w:pStyle w:val="TableParagraph"/>
              <w:spacing w:before="22"/>
              <w:ind w:left="95"/>
              <w:rPr>
                <w:sz w:val="22"/>
              </w:rPr>
            </w:pPr>
            <w:r>
              <w:rPr>
                <w:sz w:val="22"/>
                <w:shd w:fill="D9D9D9" w:color="auto" w:val="clear"/>
              </w:rPr>
              <w:t>经胸腔镜、胸壁打孔进行的手术、心包粘连松解手术不在保障范围内。</w:t>
            </w:r>
          </w:p>
        </w:tc>
      </w:tr>
      <w:tr>
        <w:trPr>
          <w:trHeight w:val="3800" w:hRule="atLeast"/>
        </w:trPr>
        <w:tc>
          <w:tcPr>
            <w:tcW w:w="930" w:type="dxa"/>
          </w:tcPr>
          <w:p>
            <w:pPr>
              <w:pStyle w:val="TableParagraph"/>
              <w:spacing w:before="10"/>
              <w:rPr>
                <w:rFonts w:ascii="Times New Roman"/>
                <w:sz w:val="18"/>
              </w:rPr>
            </w:pPr>
          </w:p>
          <w:p>
            <w:pPr>
              <w:pStyle w:val="TableParagraph"/>
              <w:spacing w:before="1"/>
              <w:ind w:right="65"/>
              <w:jc w:val="right"/>
              <w:rPr>
                <w:sz w:val="22"/>
              </w:rPr>
            </w:pPr>
            <w:r>
              <w:rPr>
                <w:sz w:val="22"/>
              </w:rPr>
              <w:t>9.4.67</w:t>
            </w:r>
          </w:p>
        </w:tc>
        <w:tc>
          <w:tcPr>
            <w:tcW w:w="1489" w:type="dxa"/>
          </w:tcPr>
          <w:p>
            <w:pPr>
              <w:pStyle w:val="TableParagraph"/>
              <w:spacing w:before="152"/>
              <w:ind w:left="66"/>
              <w:rPr>
                <w:rFonts w:ascii="微软雅黑" w:eastAsia="微软雅黑" w:hint="eastAsia"/>
                <w:b/>
                <w:sz w:val="22"/>
              </w:rPr>
            </w:pPr>
            <w:r>
              <w:rPr>
                <w:rFonts w:ascii="微软雅黑" w:eastAsia="微软雅黑" w:hint="eastAsia"/>
                <w:b/>
                <w:sz w:val="22"/>
              </w:rPr>
              <w:t>重症手足口病</w:t>
            </w:r>
          </w:p>
        </w:tc>
        <w:tc>
          <w:tcPr>
            <w:tcW w:w="7625" w:type="dxa"/>
          </w:tcPr>
          <w:p>
            <w:pPr>
              <w:pStyle w:val="TableParagraph"/>
              <w:spacing w:before="10"/>
              <w:rPr>
                <w:rFonts w:ascii="Times New Roman"/>
                <w:sz w:val="18"/>
              </w:rPr>
            </w:pPr>
          </w:p>
          <w:p>
            <w:pPr>
              <w:pStyle w:val="TableParagraph"/>
              <w:spacing w:line="316" w:lineRule="auto" w:before="1"/>
              <w:ind w:left="95" w:right="201"/>
              <w:jc w:val="both"/>
              <w:rPr>
                <w:sz w:val="22"/>
              </w:rPr>
            </w:pPr>
            <w:r>
              <w:rPr>
                <w:sz w:val="22"/>
              </w:rPr>
              <w:t>由肠道病毒引起的急性传染病，主要症状表现为手、足、口腔等部位的斑丘疹、疱疹。经我们认可的医疗机构的儿科专科医生确诊为患有手足口病，并伴有下列三项中的任意一项并发症：</w:t>
            </w:r>
          </w:p>
          <w:p>
            <w:pPr>
              <w:pStyle w:val="TableParagraph"/>
              <w:numPr>
                <w:ilvl w:val="0"/>
                <w:numId w:val="44"/>
              </w:numPr>
              <w:tabs>
                <w:tab w:pos="549" w:val="left" w:leader="none"/>
              </w:tabs>
              <w:spacing w:line="319" w:lineRule="auto" w:before="21" w:after="0"/>
              <w:ind w:left="548" w:right="202" w:hanging="453"/>
              <w:jc w:val="left"/>
              <w:rPr>
                <w:sz w:val="22"/>
              </w:rPr>
            </w:pPr>
            <w:r>
              <w:rPr>
                <w:sz w:val="22"/>
              </w:rPr>
              <w:t>有脑膜炎或脑炎并发症，且导致意识障碍或瘫痪的临床表现及实验室检查证据；</w:t>
            </w:r>
          </w:p>
          <w:p>
            <w:pPr>
              <w:pStyle w:val="TableParagraph"/>
              <w:numPr>
                <w:ilvl w:val="0"/>
                <w:numId w:val="44"/>
              </w:numPr>
              <w:tabs>
                <w:tab w:pos="549" w:val="left" w:leader="none"/>
              </w:tabs>
              <w:spacing w:line="316" w:lineRule="auto" w:before="19" w:after="0"/>
              <w:ind w:left="548" w:right="201" w:hanging="453"/>
              <w:jc w:val="left"/>
              <w:rPr>
                <w:sz w:val="22"/>
              </w:rPr>
            </w:pPr>
            <w:r>
              <w:rPr>
                <w:spacing w:val="5"/>
                <w:sz w:val="22"/>
              </w:rPr>
              <w:t>有肺炎或肺水肿并发症，且导致呼吸衰竭的临床表现及实验室检查证据；</w:t>
            </w:r>
          </w:p>
          <w:p>
            <w:pPr>
              <w:pStyle w:val="TableParagraph"/>
              <w:numPr>
                <w:ilvl w:val="0"/>
                <w:numId w:val="44"/>
              </w:numPr>
              <w:tabs>
                <w:tab w:pos="549" w:val="left" w:leader="none"/>
              </w:tabs>
              <w:spacing w:line="316" w:lineRule="auto" w:before="23" w:after="0"/>
              <w:ind w:left="548" w:right="202" w:hanging="453"/>
              <w:jc w:val="left"/>
              <w:rPr>
                <w:sz w:val="22"/>
              </w:rPr>
            </w:pPr>
            <w:r>
              <w:rPr>
                <w:sz w:val="22"/>
              </w:rPr>
              <w:t>有心肌炎并发症，且导致心脏扩大或心力衰竭的临床表现及实验室检查证据。</w:t>
            </w:r>
          </w:p>
        </w:tc>
      </w:tr>
      <w:tr>
        <w:trPr>
          <w:trHeight w:val="1900" w:hRule="atLeast"/>
        </w:trPr>
        <w:tc>
          <w:tcPr>
            <w:tcW w:w="930" w:type="dxa"/>
          </w:tcPr>
          <w:p>
            <w:pPr>
              <w:pStyle w:val="TableParagraph"/>
              <w:rPr>
                <w:rFonts w:ascii="Times New Roman"/>
                <w:sz w:val="19"/>
              </w:rPr>
            </w:pPr>
          </w:p>
          <w:p>
            <w:pPr>
              <w:pStyle w:val="TableParagraph"/>
              <w:ind w:right="65"/>
              <w:jc w:val="right"/>
              <w:rPr>
                <w:sz w:val="22"/>
              </w:rPr>
            </w:pPr>
            <w:r>
              <w:rPr>
                <w:sz w:val="22"/>
              </w:rPr>
              <w:t>9.4.68</w:t>
            </w:r>
          </w:p>
        </w:tc>
        <w:tc>
          <w:tcPr>
            <w:tcW w:w="1489" w:type="dxa"/>
          </w:tcPr>
          <w:p>
            <w:pPr>
              <w:pStyle w:val="TableParagraph"/>
              <w:spacing w:before="153"/>
              <w:ind w:left="66" w:right="95"/>
              <w:rPr>
                <w:rFonts w:ascii="微软雅黑" w:eastAsia="微软雅黑" w:hint="eastAsia"/>
                <w:b/>
                <w:sz w:val="22"/>
              </w:rPr>
            </w:pPr>
            <w:r>
              <w:rPr>
                <w:rFonts w:ascii="微软雅黑" w:eastAsia="微软雅黑" w:hint="eastAsia"/>
                <w:b/>
                <w:sz w:val="22"/>
              </w:rPr>
              <w:t>严重幼年型类风湿性关节炎</w:t>
            </w:r>
          </w:p>
        </w:tc>
        <w:tc>
          <w:tcPr>
            <w:tcW w:w="7625" w:type="dxa"/>
          </w:tcPr>
          <w:p>
            <w:pPr>
              <w:pStyle w:val="TableParagraph"/>
              <w:rPr>
                <w:rFonts w:ascii="Times New Roman"/>
                <w:sz w:val="19"/>
              </w:rPr>
            </w:pPr>
          </w:p>
          <w:p>
            <w:pPr>
              <w:pStyle w:val="TableParagraph"/>
              <w:spacing w:line="316" w:lineRule="auto"/>
              <w:ind w:left="95" w:right="201"/>
              <w:rPr>
                <w:sz w:val="22"/>
              </w:rPr>
            </w:pPr>
            <w:r>
              <w:rPr>
                <w:sz w:val="22"/>
              </w:rPr>
              <w:t>幼年型类风湿关节炎是一种儿童期发病的慢性关节炎，其特点为在高热和系统性病征出现数月后发生关节炎。</w:t>
            </w:r>
          </w:p>
          <w:p>
            <w:pPr>
              <w:pStyle w:val="TableParagraph"/>
              <w:spacing w:line="319" w:lineRule="auto" w:before="20"/>
              <w:ind w:left="95" w:right="201"/>
              <w:rPr>
                <w:sz w:val="22"/>
              </w:rPr>
            </w:pPr>
            <w:r>
              <w:rPr>
                <w:sz w:val="22"/>
                <w:shd w:fill="D9D9D9" w:color="auto" w:val="clear"/>
              </w:rPr>
              <w:t>本保单仅对实际接受了膝关节或髋关节置换手术治疗的严重的幼年型类风湿</w:t>
            </w:r>
            <w:r>
              <w:rPr>
                <w:spacing w:val="-1"/>
                <w:sz w:val="22"/>
                <w:shd w:fill="D9D9D9" w:color="auto" w:val="clear"/>
              </w:rPr>
              <w:t>关节炎予</w:t>
            </w:r>
            <w:r>
              <w:rPr>
                <w:spacing w:val="-221"/>
                <w:sz w:val="22"/>
                <w:shd w:fill="D9D9D9" w:color="auto" w:val="clear"/>
              </w:rPr>
              <w:t>以</w:t>
            </w:r>
            <w:r>
              <w:rPr>
                <w:spacing w:val="-2"/>
                <w:sz w:val="22"/>
                <w:shd w:fill="D9D9D9" w:color="auto" w:val="clear"/>
              </w:rPr>
              <w:t>理赔。</w:t>
            </w:r>
          </w:p>
        </w:tc>
      </w:tr>
      <w:tr>
        <w:trPr>
          <w:trHeight w:val="2660" w:hRule="atLeast"/>
        </w:trPr>
        <w:tc>
          <w:tcPr>
            <w:tcW w:w="930" w:type="dxa"/>
          </w:tcPr>
          <w:p>
            <w:pPr>
              <w:pStyle w:val="TableParagraph"/>
              <w:spacing w:before="10"/>
              <w:rPr>
                <w:rFonts w:ascii="Times New Roman"/>
                <w:sz w:val="18"/>
              </w:rPr>
            </w:pPr>
          </w:p>
          <w:p>
            <w:pPr>
              <w:pStyle w:val="TableParagraph"/>
              <w:spacing w:before="1"/>
              <w:ind w:right="65"/>
              <w:jc w:val="right"/>
              <w:rPr>
                <w:sz w:val="22"/>
              </w:rPr>
            </w:pPr>
            <w:r>
              <w:rPr>
                <w:sz w:val="22"/>
              </w:rPr>
              <w:t>9.4.69</w:t>
            </w:r>
          </w:p>
        </w:tc>
        <w:tc>
          <w:tcPr>
            <w:tcW w:w="1489" w:type="dxa"/>
          </w:tcPr>
          <w:p>
            <w:pPr>
              <w:pStyle w:val="TableParagraph"/>
              <w:spacing w:before="152"/>
              <w:ind w:left="66"/>
              <w:rPr>
                <w:rFonts w:ascii="微软雅黑" w:eastAsia="微软雅黑" w:hint="eastAsia"/>
                <w:b/>
                <w:sz w:val="22"/>
              </w:rPr>
            </w:pPr>
            <w:r>
              <w:rPr>
                <w:rFonts w:ascii="微软雅黑" w:eastAsia="微软雅黑" w:hint="eastAsia"/>
                <w:b/>
                <w:sz w:val="22"/>
              </w:rPr>
              <w:t>严重心肌炎</w:t>
            </w:r>
          </w:p>
        </w:tc>
        <w:tc>
          <w:tcPr>
            <w:tcW w:w="7625" w:type="dxa"/>
          </w:tcPr>
          <w:p>
            <w:pPr>
              <w:pStyle w:val="TableParagraph"/>
              <w:spacing w:before="10"/>
              <w:rPr>
                <w:rFonts w:ascii="Times New Roman"/>
                <w:sz w:val="18"/>
              </w:rPr>
            </w:pPr>
          </w:p>
          <w:p>
            <w:pPr>
              <w:pStyle w:val="TableParagraph"/>
              <w:spacing w:line="319" w:lineRule="auto" w:before="1"/>
              <w:ind w:left="95" w:right="201"/>
              <w:rPr>
                <w:sz w:val="22"/>
              </w:rPr>
            </w:pPr>
            <w:r>
              <w:rPr>
                <w:sz w:val="22"/>
              </w:rPr>
              <w:t>指被保险人因严重心肌炎性病变导致心功能损害造成持续的永久不可逆性的心功能衰竭。</w:t>
            </w:r>
            <w:r>
              <w:rPr>
                <w:sz w:val="22"/>
                <w:shd w:fill="D9D9D9" w:color="auto" w:val="clear"/>
              </w:rPr>
              <w:t>必须满足所有以下条件</w:t>
            </w:r>
            <w:r>
              <w:rPr>
                <w:sz w:val="22"/>
              </w:rPr>
              <w:t>：</w:t>
            </w:r>
          </w:p>
          <w:p>
            <w:pPr>
              <w:pStyle w:val="TableParagraph"/>
              <w:numPr>
                <w:ilvl w:val="0"/>
                <w:numId w:val="45"/>
              </w:numPr>
              <w:tabs>
                <w:tab w:pos="549" w:val="left" w:leader="none"/>
              </w:tabs>
              <w:spacing w:line="316" w:lineRule="auto" w:before="18" w:after="0"/>
              <w:ind w:left="548" w:right="201" w:hanging="453"/>
              <w:jc w:val="left"/>
              <w:rPr>
                <w:sz w:val="22"/>
              </w:rPr>
            </w:pPr>
            <w:r>
              <w:rPr>
                <w:spacing w:val="10"/>
                <w:sz w:val="22"/>
              </w:rPr>
              <w:t>心功能衰竭程度达到纽约心脏病学会的心功能分级标准之心功能 </w:t>
            </w:r>
            <w:r>
              <w:rPr>
                <w:sz w:val="22"/>
              </w:rPr>
              <w:t>IV </w:t>
            </w:r>
            <w:r>
              <w:rPr>
                <w:spacing w:val="-7"/>
                <w:sz w:val="22"/>
              </w:rPr>
              <w:t>级，或左室射血分数低于 </w:t>
            </w:r>
            <w:r>
              <w:rPr>
                <w:sz w:val="22"/>
              </w:rPr>
              <w:t>30%；</w:t>
            </w:r>
          </w:p>
          <w:p>
            <w:pPr>
              <w:pStyle w:val="TableParagraph"/>
              <w:numPr>
                <w:ilvl w:val="0"/>
                <w:numId w:val="45"/>
              </w:numPr>
              <w:tabs>
                <w:tab w:pos="549" w:val="left" w:leader="none"/>
              </w:tabs>
              <w:spacing w:line="240" w:lineRule="auto" w:before="22" w:after="0"/>
              <w:ind w:left="548" w:right="0" w:hanging="453"/>
              <w:jc w:val="left"/>
              <w:rPr>
                <w:sz w:val="22"/>
              </w:rPr>
            </w:pPr>
            <w:r>
              <w:rPr>
                <w:spacing w:val="-10"/>
                <w:sz w:val="22"/>
              </w:rPr>
              <w:t>持续不间断 </w:t>
            </w:r>
            <w:r>
              <w:rPr>
                <w:sz w:val="22"/>
              </w:rPr>
              <w:t>180</w:t>
            </w:r>
            <w:r>
              <w:rPr>
                <w:spacing w:val="-12"/>
                <w:sz w:val="22"/>
              </w:rPr>
              <w:t> 天以上；</w:t>
            </w:r>
          </w:p>
          <w:p>
            <w:pPr>
              <w:pStyle w:val="TableParagraph"/>
              <w:numPr>
                <w:ilvl w:val="0"/>
                <w:numId w:val="45"/>
              </w:numPr>
              <w:tabs>
                <w:tab w:pos="549" w:val="left" w:leader="none"/>
              </w:tabs>
              <w:spacing w:line="240" w:lineRule="auto" w:before="90" w:after="0"/>
              <w:ind w:left="548" w:right="0" w:hanging="453"/>
              <w:jc w:val="left"/>
              <w:rPr>
                <w:sz w:val="22"/>
              </w:rPr>
            </w:pPr>
            <w:r>
              <w:rPr>
                <w:spacing w:val="-3"/>
                <w:sz w:val="22"/>
              </w:rPr>
              <w:t>被保险人永久不可逆性的体力活动能力受限，不能从事任何体力活动。</w:t>
            </w:r>
          </w:p>
        </w:tc>
      </w:tr>
      <w:tr>
        <w:trPr>
          <w:trHeight w:val="1265" w:hRule="atLeast"/>
        </w:trPr>
        <w:tc>
          <w:tcPr>
            <w:tcW w:w="930" w:type="dxa"/>
          </w:tcPr>
          <w:p>
            <w:pPr>
              <w:pStyle w:val="TableParagraph"/>
              <w:rPr>
                <w:rFonts w:ascii="Times New Roman"/>
                <w:sz w:val="19"/>
              </w:rPr>
            </w:pPr>
          </w:p>
          <w:p>
            <w:pPr>
              <w:pStyle w:val="TableParagraph"/>
              <w:spacing w:before="1"/>
              <w:ind w:right="65"/>
              <w:jc w:val="right"/>
              <w:rPr>
                <w:sz w:val="22"/>
              </w:rPr>
            </w:pPr>
            <w:r>
              <w:rPr>
                <w:sz w:val="22"/>
              </w:rPr>
              <w:t>9.4.70</w:t>
            </w:r>
          </w:p>
        </w:tc>
        <w:tc>
          <w:tcPr>
            <w:tcW w:w="1489" w:type="dxa"/>
          </w:tcPr>
          <w:p>
            <w:pPr>
              <w:pStyle w:val="TableParagraph"/>
              <w:spacing w:before="154"/>
              <w:ind w:left="66"/>
              <w:rPr>
                <w:rFonts w:ascii="微软雅黑" w:eastAsia="微软雅黑" w:hint="eastAsia"/>
                <w:b/>
                <w:sz w:val="22"/>
              </w:rPr>
            </w:pPr>
            <w:r>
              <w:rPr>
                <w:rFonts w:ascii="微软雅黑" w:eastAsia="微软雅黑" w:hint="eastAsia"/>
                <w:b/>
                <w:sz w:val="22"/>
              </w:rPr>
              <w:t>肝豆状核变性</w:t>
            </w:r>
          </w:p>
        </w:tc>
        <w:tc>
          <w:tcPr>
            <w:tcW w:w="7625" w:type="dxa"/>
          </w:tcPr>
          <w:p>
            <w:pPr>
              <w:pStyle w:val="TableParagraph"/>
              <w:rPr>
                <w:rFonts w:ascii="Times New Roman"/>
                <w:sz w:val="19"/>
              </w:rPr>
            </w:pPr>
          </w:p>
          <w:p>
            <w:pPr>
              <w:pStyle w:val="TableParagraph"/>
              <w:spacing w:line="316" w:lineRule="auto" w:before="1"/>
              <w:ind w:left="95" w:right="201"/>
              <w:rPr>
                <w:sz w:val="22"/>
              </w:rPr>
            </w:pPr>
            <w:r>
              <w:rPr>
                <w:sz w:val="22"/>
              </w:rPr>
              <w:t>指一种常染色体隐性遗传的铜代谢缺陷病，以不同程度的肝细胞损害、脑退行性病变和角膜边缘有铜盐沉着环为其临床特征，</w:t>
            </w:r>
            <w:r>
              <w:rPr>
                <w:sz w:val="22"/>
                <w:shd w:fill="D9D9D9" w:color="auto" w:val="clear"/>
              </w:rPr>
              <w:t>并须满足下列全部条件</w:t>
            </w:r>
            <w:r>
              <w:rPr>
                <w:sz w:val="22"/>
              </w:rPr>
              <w:t>：</w:t>
            </w:r>
          </w:p>
          <w:p>
            <w:pPr>
              <w:pStyle w:val="TableParagraph"/>
              <w:spacing w:line="268" w:lineRule="exact" w:before="21"/>
              <w:ind w:left="95"/>
              <w:rPr>
                <w:sz w:val="22"/>
              </w:rPr>
            </w:pPr>
            <w:r>
              <w:rPr>
                <w:sz w:val="22"/>
              </w:rPr>
              <w:t>(1) 典型症状；</w:t>
            </w:r>
          </w:p>
        </w:tc>
      </w:tr>
    </w:tbl>
    <w:p>
      <w:pPr>
        <w:spacing w:after="0" w:line="268" w:lineRule="exact"/>
        <w:rPr>
          <w:sz w:val="22"/>
        </w:rPr>
        <w:sectPr>
          <w:pgSz w:w="11910" w:h="16840"/>
          <w:pgMar w:header="484" w:footer="479" w:top="680" w:bottom="660" w:left="820" w:right="820"/>
        </w:sectPr>
      </w:pPr>
    </w:p>
    <w:p>
      <w:pPr>
        <w:pStyle w:val="BodyText"/>
        <w:rPr>
          <w:rFonts w:ascii="Times New Roman"/>
          <w:sz w:val="20"/>
        </w:rPr>
      </w:pPr>
    </w:p>
    <w:p>
      <w:pPr>
        <w:pStyle w:val="BodyText"/>
        <w:rPr>
          <w:rFonts w:ascii="Times New Roman"/>
          <w:sz w:val="20"/>
        </w:rPr>
      </w:pPr>
    </w:p>
    <w:p>
      <w:pPr>
        <w:pStyle w:val="BodyText"/>
        <w:spacing w:before="4"/>
        <w:rPr>
          <w:rFonts w:ascii="Times New Roman"/>
          <w:sz w:val="24"/>
        </w:rPr>
      </w:pPr>
    </w:p>
    <w:p>
      <w:pPr>
        <w:pStyle w:val="ListParagraph"/>
        <w:numPr>
          <w:ilvl w:val="0"/>
          <w:numId w:val="46"/>
        </w:numPr>
        <w:tabs>
          <w:tab w:pos="2921" w:val="left" w:leader="none"/>
        </w:tabs>
        <w:spacing w:line="240" w:lineRule="auto" w:before="33" w:after="0"/>
        <w:ind w:left="2921" w:right="0" w:hanging="454"/>
        <w:jc w:val="left"/>
        <w:rPr>
          <w:sz w:val="22"/>
        </w:rPr>
      </w:pPr>
      <w:r>
        <w:rPr>
          <w:spacing w:val="-1"/>
          <w:sz w:val="22"/>
        </w:rPr>
        <w:t>角膜色素环</w:t>
      </w:r>
      <w:r>
        <w:rPr>
          <w:sz w:val="22"/>
        </w:rPr>
        <w:t>（K-F</w:t>
      </w:r>
      <w:r>
        <w:rPr>
          <w:spacing w:val="0"/>
          <w:sz w:val="22"/>
        </w:rPr>
        <w:t> 环</w:t>
      </w:r>
      <w:r>
        <w:rPr>
          <w:sz w:val="22"/>
        </w:rPr>
        <w:t>）；</w:t>
      </w:r>
    </w:p>
    <w:p>
      <w:pPr>
        <w:pStyle w:val="ListParagraph"/>
        <w:numPr>
          <w:ilvl w:val="0"/>
          <w:numId w:val="46"/>
        </w:numPr>
        <w:tabs>
          <w:tab w:pos="2921" w:val="left" w:leader="none"/>
        </w:tabs>
        <w:spacing w:line="240" w:lineRule="auto" w:before="91" w:after="0"/>
        <w:ind w:left="2921" w:right="0" w:hanging="454"/>
        <w:jc w:val="left"/>
        <w:rPr>
          <w:sz w:val="22"/>
        </w:rPr>
      </w:pPr>
      <w:r>
        <w:rPr>
          <w:spacing w:val="-3"/>
          <w:sz w:val="22"/>
        </w:rPr>
        <w:t>血清铜和血清铜蓝蛋白降低，尿铜增加；</w:t>
      </w:r>
    </w:p>
    <w:p>
      <w:pPr>
        <w:pStyle w:val="ListParagraph"/>
        <w:numPr>
          <w:ilvl w:val="0"/>
          <w:numId w:val="46"/>
        </w:numPr>
        <w:tabs>
          <w:tab w:pos="2921" w:val="left" w:leader="none"/>
        </w:tabs>
        <w:spacing w:line="240" w:lineRule="auto" w:before="91" w:after="0"/>
        <w:ind w:left="2921" w:right="0" w:hanging="454"/>
        <w:jc w:val="left"/>
        <w:rPr>
          <w:sz w:val="22"/>
        </w:rPr>
      </w:pPr>
      <w:r>
        <w:rPr>
          <w:spacing w:val="-2"/>
          <w:sz w:val="22"/>
        </w:rPr>
        <w:t>经肝脏活检确诊。</w:t>
      </w:r>
    </w:p>
    <w:p>
      <w:pPr>
        <w:pStyle w:val="BodyText"/>
      </w:pPr>
    </w:p>
    <w:p>
      <w:pPr>
        <w:pStyle w:val="ListParagraph"/>
        <w:numPr>
          <w:ilvl w:val="1"/>
          <w:numId w:val="21"/>
        </w:numPr>
        <w:tabs>
          <w:tab w:pos="927" w:val="left" w:leader="none"/>
        </w:tabs>
        <w:spacing w:line="316" w:lineRule="auto" w:before="185" w:after="0"/>
        <w:ind w:left="2467" w:right="157" w:hanging="2314"/>
        <w:jc w:val="both"/>
        <w:rPr>
          <w:sz w:val="22"/>
        </w:rPr>
      </w:pPr>
      <w:r>
        <w:rPr>
          <w:b/>
          <w:spacing w:val="5"/>
          <w:sz w:val="22"/>
        </w:rPr>
        <w:t>意外伤害事故 </w:t>
      </w:r>
      <w:r>
        <w:rPr>
          <w:spacing w:val="5"/>
          <w:sz w:val="22"/>
        </w:rPr>
        <w:t>指外来的、突发的、非本意的、非由疾病引起的使身体受到伤害的客观事件。</w:t>
      </w:r>
    </w:p>
    <w:p>
      <w:pPr>
        <w:pStyle w:val="BodyText"/>
        <w:spacing w:before="10"/>
        <w:rPr>
          <w:sz w:val="30"/>
        </w:rPr>
      </w:pPr>
    </w:p>
    <w:p>
      <w:pPr>
        <w:pStyle w:val="ListParagraph"/>
        <w:numPr>
          <w:ilvl w:val="1"/>
          <w:numId w:val="21"/>
        </w:numPr>
        <w:tabs>
          <w:tab w:pos="927" w:val="left" w:leader="none"/>
        </w:tabs>
        <w:spacing w:line="316" w:lineRule="auto" w:before="0" w:after="0"/>
        <w:ind w:left="2467" w:right="150" w:hanging="2314"/>
        <w:jc w:val="both"/>
        <w:rPr>
          <w:sz w:val="22"/>
        </w:rPr>
      </w:pPr>
      <w:r>
        <w:rPr>
          <w:b/>
          <w:spacing w:val="5"/>
          <w:sz w:val="22"/>
        </w:rPr>
        <w:t>初次发生     </w:t>
      </w:r>
      <w:r>
        <w:rPr>
          <w:sz w:val="22"/>
        </w:rPr>
        <w:t>指被保险人出现疾病的前兆或异常的身体状况，或已经显现足以促使一般普</w:t>
      </w:r>
      <w:r>
        <w:rPr>
          <w:spacing w:val="-3"/>
          <w:sz w:val="22"/>
        </w:rPr>
        <w:t>通谨慎人士引起注意并寻求诊断、治疗或护理的病症。</w:t>
      </w:r>
    </w:p>
    <w:p>
      <w:pPr>
        <w:pStyle w:val="BodyText"/>
        <w:spacing w:before="9"/>
        <w:rPr>
          <w:sz w:val="30"/>
        </w:rPr>
      </w:pPr>
    </w:p>
    <w:p>
      <w:pPr>
        <w:pStyle w:val="ListParagraph"/>
        <w:numPr>
          <w:ilvl w:val="1"/>
          <w:numId w:val="21"/>
        </w:numPr>
        <w:tabs>
          <w:tab w:pos="927" w:val="left" w:leader="none"/>
        </w:tabs>
        <w:spacing w:line="316" w:lineRule="auto" w:before="1" w:after="0"/>
        <w:ind w:left="2467" w:right="146" w:hanging="2314"/>
        <w:jc w:val="both"/>
        <w:rPr>
          <w:sz w:val="22"/>
        </w:rPr>
      </w:pPr>
      <w:r>
        <w:rPr>
          <w:b/>
          <w:spacing w:val="5"/>
          <w:sz w:val="22"/>
        </w:rPr>
        <w:t>医院         </w:t>
      </w:r>
      <w:r>
        <w:rPr>
          <w:sz w:val="22"/>
        </w:rPr>
        <w:t>指经中华人民共和国卫生行政部门评审确定的</w:t>
      </w:r>
      <w:r>
        <w:rPr>
          <w:sz w:val="22"/>
          <w:shd w:fill="D9D9D9" w:color="auto" w:val="clear"/>
        </w:rPr>
        <w:t>二级或以上的公立医院（不含港澳台医院），但不包括精神病院及专供康复、护理、疗养、戒酒、戒毒、养老等非以直</w:t>
      </w:r>
      <w:r>
        <w:rPr>
          <w:spacing w:val="-19"/>
          <w:sz w:val="22"/>
          <w:shd w:fill="D9D9D9" w:color="auto" w:val="clear"/>
        </w:rPr>
        <w:t>接诊治病人为目的的医疗机构，</w:t>
      </w:r>
      <w:r>
        <w:rPr>
          <w:sz w:val="22"/>
        </w:rPr>
        <w:t>该医院必须具有符合国家有关医院管理规则设置标准的医疗设施，且全天24小时有合格的医师和护士驻院提</w:t>
      </w:r>
      <w:r>
        <w:rPr>
          <w:spacing w:val="-2"/>
          <w:sz w:val="22"/>
        </w:rPr>
        <w:t>供医疗和护理服务。</w:t>
      </w:r>
    </w:p>
    <w:p>
      <w:pPr>
        <w:pStyle w:val="BodyText"/>
        <w:spacing w:before="10"/>
        <w:rPr>
          <w:sz w:val="30"/>
        </w:rPr>
      </w:pPr>
    </w:p>
    <w:p>
      <w:pPr>
        <w:pStyle w:val="ListParagraph"/>
        <w:numPr>
          <w:ilvl w:val="1"/>
          <w:numId w:val="21"/>
        </w:numPr>
        <w:tabs>
          <w:tab w:pos="925" w:val="left" w:leader="none"/>
          <w:tab w:pos="927" w:val="left" w:leader="none"/>
          <w:tab w:pos="2467" w:val="left" w:leader="none"/>
        </w:tabs>
        <w:spacing w:line="240" w:lineRule="auto" w:before="0" w:after="0"/>
        <w:ind w:left="926" w:right="0" w:hanging="773"/>
        <w:jc w:val="left"/>
        <w:rPr>
          <w:sz w:val="22"/>
        </w:rPr>
      </w:pPr>
      <w:r>
        <w:rPr>
          <w:b/>
          <w:sz w:val="22"/>
        </w:rPr>
        <w:t>专科医生</w:t>
        <w:tab/>
      </w:r>
      <w:r>
        <w:rPr>
          <w:sz w:val="22"/>
        </w:rPr>
        <w:t>专科医</w:t>
      </w:r>
      <w:r>
        <w:rPr>
          <w:spacing w:val="-3"/>
          <w:sz w:val="22"/>
        </w:rPr>
        <w:t>生</w:t>
      </w:r>
      <w:r>
        <w:rPr>
          <w:sz w:val="22"/>
          <w:shd w:fill="D9D9D9" w:color="auto" w:val="clear"/>
        </w:rPr>
        <w:t>应当</w:t>
      </w:r>
      <w:r>
        <w:rPr>
          <w:spacing w:val="-3"/>
          <w:sz w:val="22"/>
          <w:shd w:fill="D9D9D9" w:color="auto" w:val="clear"/>
        </w:rPr>
        <w:t>满</w:t>
      </w:r>
      <w:r>
        <w:rPr>
          <w:sz w:val="22"/>
          <w:shd w:fill="D9D9D9" w:color="auto" w:val="clear"/>
        </w:rPr>
        <w:t>足以</w:t>
      </w:r>
      <w:r>
        <w:rPr>
          <w:spacing w:val="-3"/>
          <w:sz w:val="22"/>
          <w:shd w:fill="D9D9D9" w:color="auto" w:val="clear"/>
        </w:rPr>
        <w:t>下四</w:t>
      </w:r>
      <w:r>
        <w:rPr>
          <w:sz w:val="22"/>
          <w:shd w:fill="D9D9D9" w:color="auto" w:val="clear"/>
        </w:rPr>
        <w:t>项资格</w:t>
      </w:r>
      <w:r>
        <w:rPr>
          <w:spacing w:val="-3"/>
          <w:sz w:val="22"/>
          <w:shd w:fill="D9D9D9" w:color="auto" w:val="clear"/>
        </w:rPr>
        <w:t>条</w:t>
      </w:r>
      <w:r>
        <w:rPr>
          <w:sz w:val="22"/>
          <w:shd w:fill="D9D9D9" w:color="auto" w:val="clear"/>
        </w:rPr>
        <w:t>件</w:t>
      </w:r>
      <w:r>
        <w:rPr>
          <w:sz w:val="22"/>
        </w:rPr>
        <w:t>：</w:t>
      </w:r>
    </w:p>
    <w:p>
      <w:pPr>
        <w:pStyle w:val="ListParagraph"/>
        <w:numPr>
          <w:ilvl w:val="0"/>
          <w:numId w:val="47"/>
        </w:numPr>
        <w:tabs>
          <w:tab w:pos="2921" w:val="left" w:leader="none"/>
        </w:tabs>
        <w:spacing w:line="240" w:lineRule="auto" w:before="91" w:after="0"/>
        <w:ind w:left="2921" w:right="0" w:hanging="454"/>
        <w:jc w:val="left"/>
        <w:rPr>
          <w:sz w:val="22"/>
        </w:rPr>
      </w:pPr>
      <w:r>
        <w:rPr>
          <w:spacing w:val="-3"/>
          <w:sz w:val="22"/>
        </w:rPr>
        <w:t>具有有效的中华人民共和国《医师资格证书》；</w:t>
      </w:r>
    </w:p>
    <w:p>
      <w:pPr>
        <w:pStyle w:val="ListParagraph"/>
        <w:numPr>
          <w:ilvl w:val="0"/>
          <w:numId w:val="47"/>
        </w:numPr>
        <w:tabs>
          <w:tab w:pos="2921" w:val="left" w:leader="none"/>
        </w:tabs>
        <w:spacing w:line="316" w:lineRule="auto" w:before="94" w:after="0"/>
        <w:ind w:left="2921" w:right="147" w:hanging="454"/>
        <w:jc w:val="left"/>
        <w:rPr>
          <w:sz w:val="22"/>
        </w:rPr>
      </w:pPr>
      <w:r>
        <w:rPr>
          <w:sz w:val="22"/>
        </w:rPr>
        <w:t>具有有效的中华人民共和国《医师执业证书》，并按期到相关部门登记</w:t>
      </w:r>
      <w:r>
        <w:rPr>
          <w:spacing w:val="-3"/>
          <w:sz w:val="22"/>
        </w:rPr>
        <w:t>注册；</w:t>
      </w:r>
    </w:p>
    <w:p>
      <w:pPr>
        <w:pStyle w:val="ListParagraph"/>
        <w:numPr>
          <w:ilvl w:val="0"/>
          <w:numId w:val="47"/>
        </w:numPr>
        <w:tabs>
          <w:tab w:pos="2921" w:val="left" w:leader="none"/>
        </w:tabs>
        <w:spacing w:line="319" w:lineRule="auto" w:before="21" w:after="0"/>
        <w:ind w:left="2921" w:right="149" w:hanging="454"/>
        <w:jc w:val="left"/>
        <w:rPr>
          <w:sz w:val="22"/>
        </w:rPr>
      </w:pPr>
      <w:r>
        <w:rPr>
          <w:sz w:val="22"/>
        </w:rPr>
        <w:t>具有有效的中华人民共和国主治医师或主治医师以上的职称的《医师职</w:t>
      </w:r>
      <w:r>
        <w:rPr>
          <w:spacing w:val="-5"/>
          <w:sz w:val="22"/>
        </w:rPr>
        <w:t>称证书》；</w:t>
      </w:r>
    </w:p>
    <w:p>
      <w:pPr>
        <w:pStyle w:val="ListParagraph"/>
        <w:numPr>
          <w:ilvl w:val="0"/>
          <w:numId w:val="47"/>
        </w:numPr>
        <w:tabs>
          <w:tab w:pos="2921" w:val="left" w:leader="none"/>
        </w:tabs>
        <w:spacing w:line="240" w:lineRule="auto" w:before="18" w:after="0"/>
        <w:ind w:left="2921" w:right="0" w:hanging="454"/>
        <w:jc w:val="left"/>
        <w:rPr>
          <w:sz w:val="22"/>
        </w:rPr>
      </w:pPr>
      <w:r>
        <w:rPr>
          <w:spacing w:val="-3"/>
          <w:sz w:val="22"/>
        </w:rPr>
        <w:t>在二级或二级以上医院的相应科室从事临床工作三年以上。</w:t>
      </w:r>
    </w:p>
    <w:p>
      <w:pPr>
        <w:pStyle w:val="BodyText"/>
        <w:rPr>
          <w:sz w:val="20"/>
        </w:rPr>
      </w:pPr>
    </w:p>
    <w:p>
      <w:pPr>
        <w:pStyle w:val="BodyText"/>
        <w:spacing w:before="3"/>
        <w:rPr>
          <w:sz w:val="21"/>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8"/>
        <w:gridCol w:w="1597"/>
        <w:gridCol w:w="7484"/>
      </w:tblGrid>
      <w:tr>
        <w:trPr>
          <w:trHeight w:val="1629" w:hRule="atLeast"/>
        </w:trPr>
        <w:tc>
          <w:tcPr>
            <w:tcW w:w="658" w:type="dxa"/>
          </w:tcPr>
          <w:p>
            <w:pPr>
              <w:pStyle w:val="TableParagraph"/>
              <w:spacing w:line="221" w:lineRule="exact"/>
              <w:ind w:left="50"/>
              <w:rPr>
                <w:b/>
                <w:sz w:val="22"/>
              </w:rPr>
            </w:pPr>
            <w:r>
              <w:rPr>
                <w:b/>
                <w:sz w:val="22"/>
              </w:rPr>
              <w:t>9.9</w:t>
            </w:r>
          </w:p>
        </w:tc>
        <w:tc>
          <w:tcPr>
            <w:tcW w:w="1597" w:type="dxa"/>
          </w:tcPr>
          <w:p>
            <w:pPr>
              <w:pStyle w:val="TableParagraph"/>
              <w:spacing w:line="221" w:lineRule="exact"/>
              <w:ind w:left="164"/>
              <w:rPr>
                <w:b/>
                <w:sz w:val="22"/>
              </w:rPr>
            </w:pPr>
            <w:r>
              <w:rPr>
                <w:b/>
                <w:w w:val="95"/>
                <w:sz w:val="22"/>
              </w:rPr>
              <w:t>毒品</w:t>
            </w:r>
          </w:p>
        </w:tc>
        <w:tc>
          <w:tcPr>
            <w:tcW w:w="7484" w:type="dxa"/>
          </w:tcPr>
          <w:p>
            <w:pPr>
              <w:pStyle w:val="TableParagraph"/>
              <w:spacing w:line="221" w:lineRule="exact"/>
              <w:ind w:left="109"/>
              <w:rPr>
                <w:sz w:val="22"/>
              </w:rPr>
            </w:pPr>
            <w:r>
              <w:rPr>
                <w:sz w:val="22"/>
              </w:rPr>
              <w:t>指中华人民共和国刑法规定的鸦片、海洛因、甲基苯丙胺（冰毒）、吗啡、</w:t>
            </w:r>
          </w:p>
          <w:p>
            <w:pPr>
              <w:pStyle w:val="TableParagraph"/>
              <w:spacing w:line="316" w:lineRule="auto" w:before="91"/>
              <w:ind w:left="109" w:right="46"/>
              <w:jc w:val="both"/>
              <w:rPr>
                <w:sz w:val="22"/>
              </w:rPr>
            </w:pPr>
            <w:r>
              <w:rPr>
                <w:sz w:val="22"/>
              </w:rPr>
              <w:t>大麻、可卡因以及国家规定管制的其它能够使人形成瘾癖的麻醉药品和精神药品，但不包括由医生开具并遵医嘱使用的用于治疗疾病但含有毒品成分的处方药品。</w:t>
            </w:r>
          </w:p>
        </w:tc>
      </w:tr>
      <w:tr>
        <w:trPr>
          <w:trHeight w:val="1520" w:hRule="atLeast"/>
        </w:trPr>
        <w:tc>
          <w:tcPr>
            <w:tcW w:w="658" w:type="dxa"/>
          </w:tcPr>
          <w:p>
            <w:pPr>
              <w:pStyle w:val="TableParagraph"/>
              <w:spacing w:before="5"/>
              <w:rPr>
                <w:sz w:val="15"/>
              </w:rPr>
            </w:pPr>
          </w:p>
          <w:p>
            <w:pPr>
              <w:pStyle w:val="TableParagraph"/>
              <w:ind w:left="50"/>
              <w:rPr>
                <w:b/>
                <w:sz w:val="22"/>
              </w:rPr>
            </w:pPr>
            <w:r>
              <w:rPr>
                <w:b/>
                <w:sz w:val="22"/>
              </w:rPr>
              <w:t>9.10</w:t>
            </w:r>
          </w:p>
        </w:tc>
        <w:tc>
          <w:tcPr>
            <w:tcW w:w="1597" w:type="dxa"/>
          </w:tcPr>
          <w:p>
            <w:pPr>
              <w:pStyle w:val="TableParagraph"/>
              <w:spacing w:before="5"/>
              <w:rPr>
                <w:sz w:val="15"/>
              </w:rPr>
            </w:pPr>
          </w:p>
          <w:p>
            <w:pPr>
              <w:pStyle w:val="TableParagraph"/>
              <w:ind w:left="164"/>
              <w:rPr>
                <w:b/>
                <w:sz w:val="22"/>
              </w:rPr>
            </w:pPr>
            <w:r>
              <w:rPr>
                <w:b/>
                <w:w w:val="95"/>
                <w:sz w:val="22"/>
              </w:rPr>
              <w:t>酒后驾驶</w:t>
            </w:r>
          </w:p>
        </w:tc>
        <w:tc>
          <w:tcPr>
            <w:tcW w:w="7484" w:type="dxa"/>
          </w:tcPr>
          <w:p>
            <w:pPr>
              <w:pStyle w:val="TableParagraph"/>
              <w:spacing w:before="5"/>
              <w:rPr>
                <w:sz w:val="15"/>
              </w:rPr>
            </w:pPr>
          </w:p>
          <w:p>
            <w:pPr>
              <w:pStyle w:val="TableParagraph"/>
              <w:spacing w:line="316" w:lineRule="auto"/>
              <w:ind w:left="109" w:right="46"/>
              <w:jc w:val="both"/>
              <w:rPr>
                <w:sz w:val="22"/>
              </w:rPr>
            </w:pPr>
            <w:r>
              <w:rPr>
                <w:sz w:val="22"/>
              </w:rPr>
              <w:t>指经检测或鉴定，发生事故时车辆驾驶人员每百毫升血液中的酒精含量达到或超过一定的标准，公安机关交通管理部门依据《道路交通安全法》的规定认定为饮酒后驾驶或醉酒后驾驶。</w:t>
            </w:r>
          </w:p>
        </w:tc>
      </w:tr>
      <w:tr>
        <w:trPr>
          <w:trHeight w:val="1249" w:hRule="atLeast"/>
        </w:trPr>
        <w:tc>
          <w:tcPr>
            <w:tcW w:w="658" w:type="dxa"/>
          </w:tcPr>
          <w:p>
            <w:pPr>
              <w:pStyle w:val="TableParagraph"/>
              <w:spacing w:before="6"/>
              <w:rPr>
                <w:sz w:val="15"/>
              </w:rPr>
            </w:pPr>
          </w:p>
          <w:p>
            <w:pPr>
              <w:pStyle w:val="TableParagraph"/>
              <w:ind w:left="50"/>
              <w:rPr>
                <w:b/>
                <w:sz w:val="22"/>
              </w:rPr>
            </w:pPr>
            <w:r>
              <w:rPr>
                <w:b/>
                <w:sz w:val="22"/>
              </w:rPr>
              <w:t>9.11</w:t>
            </w:r>
          </w:p>
        </w:tc>
        <w:tc>
          <w:tcPr>
            <w:tcW w:w="1597" w:type="dxa"/>
          </w:tcPr>
          <w:p>
            <w:pPr>
              <w:pStyle w:val="TableParagraph"/>
              <w:spacing w:before="6"/>
              <w:rPr>
                <w:sz w:val="15"/>
              </w:rPr>
            </w:pPr>
          </w:p>
          <w:p>
            <w:pPr>
              <w:pStyle w:val="TableParagraph"/>
              <w:spacing w:line="316" w:lineRule="auto"/>
              <w:ind w:left="164" w:right="105"/>
              <w:rPr>
                <w:b/>
                <w:sz w:val="22"/>
              </w:rPr>
            </w:pPr>
            <w:r>
              <w:rPr>
                <w:b/>
                <w:sz w:val="22"/>
              </w:rPr>
              <w:t>无合法有效驾</w:t>
            </w:r>
            <w:r>
              <w:rPr>
                <w:b/>
                <w:w w:val="95"/>
                <w:sz w:val="22"/>
              </w:rPr>
              <w:t>驶证驾驶</w:t>
            </w:r>
          </w:p>
        </w:tc>
        <w:tc>
          <w:tcPr>
            <w:tcW w:w="7484" w:type="dxa"/>
          </w:tcPr>
          <w:p>
            <w:pPr>
              <w:pStyle w:val="TableParagraph"/>
              <w:spacing w:before="6"/>
              <w:rPr>
                <w:sz w:val="15"/>
              </w:rPr>
            </w:pPr>
          </w:p>
          <w:p>
            <w:pPr>
              <w:pStyle w:val="TableParagraph"/>
              <w:ind w:left="109"/>
              <w:rPr>
                <w:sz w:val="22"/>
              </w:rPr>
            </w:pPr>
            <w:r>
              <w:rPr>
                <w:sz w:val="22"/>
              </w:rPr>
              <w:t>指下列情形之一：</w:t>
            </w:r>
          </w:p>
          <w:p>
            <w:pPr>
              <w:pStyle w:val="TableParagraph"/>
              <w:numPr>
                <w:ilvl w:val="0"/>
                <w:numId w:val="48"/>
              </w:numPr>
              <w:tabs>
                <w:tab w:pos="563" w:val="left" w:leader="none"/>
              </w:tabs>
              <w:spacing w:line="240" w:lineRule="auto" w:before="90" w:after="0"/>
              <w:ind w:left="562" w:right="0" w:hanging="453"/>
              <w:jc w:val="left"/>
              <w:rPr>
                <w:sz w:val="22"/>
              </w:rPr>
            </w:pPr>
            <w:r>
              <w:rPr>
                <w:spacing w:val="-2"/>
                <w:sz w:val="22"/>
              </w:rPr>
              <w:t>没有取得驾驶资格；</w:t>
            </w:r>
          </w:p>
          <w:p>
            <w:pPr>
              <w:pStyle w:val="TableParagraph"/>
              <w:numPr>
                <w:ilvl w:val="0"/>
                <w:numId w:val="48"/>
              </w:numPr>
              <w:tabs>
                <w:tab w:pos="563" w:val="left" w:leader="none"/>
              </w:tabs>
              <w:spacing w:line="268" w:lineRule="exact" w:before="90" w:after="0"/>
              <w:ind w:left="562" w:right="0" w:hanging="453"/>
              <w:jc w:val="left"/>
              <w:rPr>
                <w:sz w:val="22"/>
              </w:rPr>
            </w:pPr>
            <w:r>
              <w:rPr>
                <w:spacing w:val="-3"/>
                <w:sz w:val="22"/>
              </w:rPr>
              <w:t>驾驶与驾驶证准驾车型不相符合的车辆；</w:t>
            </w:r>
          </w:p>
        </w:tc>
      </w:tr>
    </w:tbl>
    <w:p>
      <w:pPr>
        <w:spacing w:after="0" w:line="268" w:lineRule="exact"/>
        <w:jc w:val="left"/>
        <w:rPr>
          <w:sz w:val="22"/>
        </w:rPr>
        <w:sectPr>
          <w:pgSz w:w="11910" w:h="16840"/>
          <w:pgMar w:header="484" w:footer="479" w:top="680" w:bottom="660" w:left="980" w:right="98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after="1"/>
        <w:rPr>
          <w:rFonts w:ascii="Times New Roman"/>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8"/>
        <w:gridCol w:w="1597"/>
        <w:gridCol w:w="7638"/>
      </w:tblGrid>
      <w:tr>
        <w:trPr>
          <w:trHeight w:val="1249" w:hRule="atLeast"/>
        </w:trPr>
        <w:tc>
          <w:tcPr>
            <w:tcW w:w="808" w:type="dxa"/>
          </w:tcPr>
          <w:p>
            <w:pPr>
              <w:pStyle w:val="TableParagraph"/>
              <w:rPr>
                <w:rFonts w:ascii="Times New Roman"/>
                <w:sz w:val="20"/>
              </w:rPr>
            </w:pPr>
          </w:p>
        </w:tc>
        <w:tc>
          <w:tcPr>
            <w:tcW w:w="1597" w:type="dxa"/>
          </w:tcPr>
          <w:p>
            <w:pPr>
              <w:pStyle w:val="TableParagraph"/>
              <w:rPr>
                <w:rFonts w:ascii="Times New Roman"/>
                <w:sz w:val="20"/>
              </w:rPr>
            </w:pPr>
          </w:p>
        </w:tc>
        <w:tc>
          <w:tcPr>
            <w:tcW w:w="7638" w:type="dxa"/>
          </w:tcPr>
          <w:p>
            <w:pPr>
              <w:pStyle w:val="TableParagraph"/>
              <w:numPr>
                <w:ilvl w:val="0"/>
                <w:numId w:val="49"/>
              </w:numPr>
              <w:tabs>
                <w:tab w:pos="563" w:val="left" w:leader="none"/>
              </w:tabs>
              <w:spacing w:line="221" w:lineRule="exact" w:before="0" w:after="0"/>
              <w:ind w:left="562" w:right="0" w:hanging="453"/>
              <w:jc w:val="left"/>
              <w:rPr>
                <w:sz w:val="22"/>
              </w:rPr>
            </w:pPr>
            <w:r>
              <w:rPr>
                <w:spacing w:val="-3"/>
                <w:sz w:val="22"/>
              </w:rPr>
              <w:t>持审验不合格的驾驶证驾驶；</w:t>
            </w:r>
          </w:p>
          <w:p>
            <w:pPr>
              <w:pStyle w:val="TableParagraph"/>
              <w:numPr>
                <w:ilvl w:val="0"/>
                <w:numId w:val="49"/>
              </w:numPr>
              <w:tabs>
                <w:tab w:pos="563" w:val="left" w:leader="none"/>
              </w:tabs>
              <w:spacing w:line="316" w:lineRule="auto" w:before="91" w:after="0"/>
              <w:ind w:left="562" w:right="201" w:hanging="453"/>
              <w:jc w:val="left"/>
              <w:rPr>
                <w:sz w:val="22"/>
              </w:rPr>
            </w:pPr>
            <w:r>
              <w:rPr>
                <w:sz w:val="22"/>
              </w:rPr>
              <w:t>持学习驾驶证学习驾车时，无教练员随车指导，或不按指定时间、路线</w:t>
            </w:r>
            <w:r>
              <w:rPr>
                <w:spacing w:val="-1"/>
                <w:sz w:val="22"/>
              </w:rPr>
              <w:t>学习驾车。</w:t>
            </w:r>
          </w:p>
        </w:tc>
      </w:tr>
      <w:tr>
        <w:trPr>
          <w:trHeight w:val="1520" w:hRule="atLeast"/>
        </w:trPr>
        <w:tc>
          <w:tcPr>
            <w:tcW w:w="808" w:type="dxa"/>
          </w:tcPr>
          <w:p>
            <w:pPr>
              <w:pStyle w:val="TableParagraph"/>
              <w:spacing w:before="7"/>
              <w:rPr>
                <w:rFonts w:ascii="Times New Roman"/>
                <w:sz w:val="17"/>
              </w:rPr>
            </w:pPr>
          </w:p>
          <w:p>
            <w:pPr>
              <w:pStyle w:val="TableParagraph"/>
              <w:ind w:left="180" w:right="144"/>
              <w:jc w:val="center"/>
              <w:rPr>
                <w:b/>
                <w:sz w:val="22"/>
              </w:rPr>
            </w:pPr>
            <w:r>
              <w:rPr>
                <w:b/>
                <w:sz w:val="22"/>
              </w:rPr>
              <w:t>9.12</w:t>
            </w:r>
          </w:p>
        </w:tc>
        <w:tc>
          <w:tcPr>
            <w:tcW w:w="1597" w:type="dxa"/>
          </w:tcPr>
          <w:p>
            <w:pPr>
              <w:pStyle w:val="TableParagraph"/>
              <w:spacing w:before="7"/>
              <w:rPr>
                <w:rFonts w:ascii="Times New Roman"/>
                <w:sz w:val="17"/>
              </w:rPr>
            </w:pPr>
          </w:p>
          <w:p>
            <w:pPr>
              <w:pStyle w:val="TableParagraph"/>
              <w:ind w:left="164"/>
              <w:rPr>
                <w:b/>
                <w:sz w:val="22"/>
              </w:rPr>
            </w:pPr>
            <w:r>
              <w:rPr>
                <w:b/>
                <w:w w:val="95"/>
                <w:sz w:val="22"/>
              </w:rPr>
              <w:t>无有效行驶证</w:t>
            </w:r>
          </w:p>
        </w:tc>
        <w:tc>
          <w:tcPr>
            <w:tcW w:w="7638" w:type="dxa"/>
          </w:tcPr>
          <w:p>
            <w:pPr>
              <w:pStyle w:val="TableParagraph"/>
              <w:spacing w:before="7"/>
              <w:rPr>
                <w:rFonts w:ascii="Times New Roman"/>
                <w:sz w:val="17"/>
              </w:rPr>
            </w:pPr>
          </w:p>
          <w:p>
            <w:pPr>
              <w:pStyle w:val="TableParagraph"/>
              <w:ind w:left="109"/>
              <w:rPr>
                <w:sz w:val="22"/>
              </w:rPr>
            </w:pPr>
            <w:r>
              <w:rPr>
                <w:sz w:val="22"/>
              </w:rPr>
              <w:t>指下列情形之一：</w:t>
            </w:r>
          </w:p>
          <w:p>
            <w:pPr>
              <w:pStyle w:val="TableParagraph"/>
              <w:numPr>
                <w:ilvl w:val="0"/>
                <w:numId w:val="50"/>
              </w:numPr>
              <w:tabs>
                <w:tab w:pos="563" w:val="left" w:leader="none"/>
              </w:tabs>
              <w:spacing w:line="240" w:lineRule="auto" w:before="91" w:after="0"/>
              <w:ind w:left="562" w:right="0" w:hanging="453"/>
              <w:jc w:val="left"/>
              <w:rPr>
                <w:sz w:val="22"/>
              </w:rPr>
            </w:pPr>
            <w:r>
              <w:rPr>
                <w:spacing w:val="-3"/>
                <w:sz w:val="22"/>
              </w:rPr>
              <w:t>机动车被依法注销登记的；</w:t>
            </w:r>
          </w:p>
          <w:p>
            <w:pPr>
              <w:pStyle w:val="TableParagraph"/>
              <w:numPr>
                <w:ilvl w:val="0"/>
                <w:numId w:val="50"/>
              </w:numPr>
              <w:tabs>
                <w:tab w:pos="563" w:val="left" w:leader="none"/>
              </w:tabs>
              <w:spacing w:line="240" w:lineRule="auto" w:before="93" w:after="0"/>
              <w:ind w:left="562" w:right="0" w:hanging="453"/>
              <w:jc w:val="left"/>
              <w:rPr>
                <w:sz w:val="22"/>
              </w:rPr>
            </w:pPr>
            <w:r>
              <w:rPr>
                <w:spacing w:val="-3"/>
                <w:sz w:val="22"/>
              </w:rPr>
              <w:t>未依法按时进行或通过机动车安全技术检验。</w:t>
            </w:r>
          </w:p>
        </w:tc>
      </w:tr>
      <w:tr>
        <w:trPr>
          <w:trHeight w:val="1140" w:hRule="atLeast"/>
        </w:trPr>
        <w:tc>
          <w:tcPr>
            <w:tcW w:w="808" w:type="dxa"/>
          </w:tcPr>
          <w:p>
            <w:pPr>
              <w:pStyle w:val="TableParagraph"/>
              <w:spacing w:before="6"/>
              <w:rPr>
                <w:rFonts w:ascii="Times New Roman"/>
                <w:sz w:val="17"/>
              </w:rPr>
            </w:pPr>
          </w:p>
          <w:p>
            <w:pPr>
              <w:pStyle w:val="TableParagraph"/>
              <w:ind w:left="180" w:right="144"/>
              <w:jc w:val="center"/>
              <w:rPr>
                <w:b/>
                <w:sz w:val="22"/>
              </w:rPr>
            </w:pPr>
            <w:r>
              <w:rPr>
                <w:b/>
                <w:sz w:val="22"/>
              </w:rPr>
              <w:t>9.13</w:t>
            </w:r>
          </w:p>
        </w:tc>
        <w:tc>
          <w:tcPr>
            <w:tcW w:w="1597" w:type="dxa"/>
          </w:tcPr>
          <w:p>
            <w:pPr>
              <w:pStyle w:val="TableParagraph"/>
              <w:spacing w:before="6"/>
              <w:rPr>
                <w:rFonts w:ascii="Times New Roman"/>
                <w:sz w:val="17"/>
              </w:rPr>
            </w:pPr>
          </w:p>
          <w:p>
            <w:pPr>
              <w:pStyle w:val="TableParagraph"/>
              <w:ind w:left="164"/>
              <w:rPr>
                <w:b/>
                <w:sz w:val="22"/>
              </w:rPr>
            </w:pPr>
            <w:r>
              <w:rPr>
                <w:b/>
                <w:w w:val="95"/>
                <w:sz w:val="22"/>
              </w:rPr>
              <w:t>机动车</w:t>
            </w:r>
          </w:p>
        </w:tc>
        <w:tc>
          <w:tcPr>
            <w:tcW w:w="7638" w:type="dxa"/>
          </w:tcPr>
          <w:p>
            <w:pPr>
              <w:pStyle w:val="TableParagraph"/>
              <w:spacing w:before="6"/>
              <w:rPr>
                <w:rFonts w:ascii="Times New Roman"/>
                <w:sz w:val="17"/>
              </w:rPr>
            </w:pPr>
          </w:p>
          <w:p>
            <w:pPr>
              <w:pStyle w:val="TableParagraph"/>
              <w:spacing w:line="319" w:lineRule="auto"/>
              <w:ind w:left="109" w:right="200"/>
              <w:rPr>
                <w:sz w:val="22"/>
              </w:rPr>
            </w:pPr>
            <w:r>
              <w:rPr>
                <w:sz w:val="22"/>
              </w:rPr>
              <w:t>指以动力装置驱动或者牵引，供人员乘用或者用于运送物品以及进行工程专项作业的轮式车辆。</w:t>
            </w:r>
          </w:p>
        </w:tc>
      </w:tr>
      <w:tr>
        <w:trPr>
          <w:trHeight w:val="2228" w:hRule="atLeast"/>
        </w:trPr>
        <w:tc>
          <w:tcPr>
            <w:tcW w:w="808" w:type="dxa"/>
          </w:tcPr>
          <w:p>
            <w:pPr>
              <w:pStyle w:val="TableParagraph"/>
              <w:spacing w:before="6"/>
              <w:rPr>
                <w:rFonts w:ascii="Times New Roman"/>
                <w:sz w:val="17"/>
              </w:rPr>
            </w:pPr>
          </w:p>
          <w:p>
            <w:pPr>
              <w:pStyle w:val="TableParagraph"/>
              <w:ind w:left="180" w:right="144"/>
              <w:jc w:val="center"/>
              <w:rPr>
                <w:b/>
                <w:sz w:val="22"/>
              </w:rPr>
            </w:pPr>
            <w:r>
              <w:rPr>
                <w:b/>
                <w:sz w:val="22"/>
              </w:rPr>
              <w:t>9.14</w:t>
            </w:r>
          </w:p>
        </w:tc>
        <w:tc>
          <w:tcPr>
            <w:tcW w:w="1597" w:type="dxa"/>
          </w:tcPr>
          <w:p>
            <w:pPr>
              <w:pStyle w:val="TableParagraph"/>
              <w:spacing w:before="6"/>
              <w:rPr>
                <w:rFonts w:ascii="Times New Roman"/>
                <w:sz w:val="17"/>
              </w:rPr>
            </w:pPr>
          </w:p>
          <w:p>
            <w:pPr>
              <w:pStyle w:val="TableParagraph"/>
              <w:spacing w:line="319" w:lineRule="auto"/>
              <w:ind w:left="164" w:right="105"/>
              <w:rPr>
                <w:b/>
                <w:sz w:val="22"/>
              </w:rPr>
            </w:pPr>
            <w:r>
              <w:rPr>
                <w:b/>
                <w:sz w:val="22"/>
              </w:rPr>
              <w:t>感染艾滋病病</w:t>
            </w:r>
            <w:r>
              <w:rPr>
                <w:b/>
                <w:w w:val="95"/>
                <w:sz w:val="22"/>
              </w:rPr>
              <w:t>毒或患艾滋病</w:t>
            </w:r>
          </w:p>
        </w:tc>
        <w:tc>
          <w:tcPr>
            <w:tcW w:w="7638" w:type="dxa"/>
          </w:tcPr>
          <w:p>
            <w:pPr>
              <w:pStyle w:val="TableParagraph"/>
              <w:spacing w:before="6"/>
              <w:rPr>
                <w:rFonts w:ascii="Times New Roman"/>
                <w:sz w:val="17"/>
              </w:rPr>
            </w:pPr>
          </w:p>
          <w:p>
            <w:pPr>
              <w:pStyle w:val="TableParagraph"/>
              <w:spacing w:line="319" w:lineRule="auto"/>
              <w:ind w:left="109" w:right="196"/>
              <w:jc w:val="both"/>
              <w:rPr>
                <w:sz w:val="22"/>
              </w:rPr>
            </w:pPr>
            <w:r>
              <w:rPr>
                <w:sz w:val="22"/>
              </w:rPr>
              <w:t>艾滋病病毒指人类免疫缺陷病毒，英文缩写为HIV。艾滋病指人类免疫缺陷病毒引起的获得性免疫缺陷综合症，英文缩写为AIDS。</w:t>
            </w:r>
          </w:p>
          <w:p>
            <w:pPr>
              <w:pStyle w:val="TableParagraph"/>
              <w:spacing w:line="316" w:lineRule="auto" w:before="18"/>
              <w:ind w:left="109" w:right="200"/>
              <w:jc w:val="both"/>
              <w:rPr>
                <w:sz w:val="22"/>
              </w:rPr>
            </w:pPr>
            <w:r>
              <w:rPr>
                <w:sz w:val="22"/>
              </w:rPr>
              <w:t>在人体血液或其他样本中检测到艾滋病病毒或其抗体呈阳性，没有出现临床症状或体征的，为感染艾滋病病毒；如果同时出现了明显临床症状或体征的，为患艾滋病。</w:t>
            </w:r>
          </w:p>
        </w:tc>
      </w:tr>
      <w:tr>
        <w:trPr>
          <w:trHeight w:val="2607" w:hRule="atLeast"/>
        </w:trPr>
        <w:tc>
          <w:tcPr>
            <w:tcW w:w="808" w:type="dxa"/>
          </w:tcPr>
          <w:p>
            <w:pPr>
              <w:pStyle w:val="TableParagraph"/>
              <w:spacing w:before="150"/>
              <w:ind w:left="200"/>
              <w:rPr>
                <w:b/>
                <w:sz w:val="22"/>
              </w:rPr>
            </w:pPr>
            <w:r>
              <w:rPr>
                <w:b/>
                <w:sz w:val="22"/>
              </w:rPr>
              <w:t>9.15</w:t>
            </w:r>
          </w:p>
          <w:p>
            <w:pPr>
              <w:pStyle w:val="TableParagraph"/>
              <w:rPr>
                <w:rFonts w:ascii="Times New Roman"/>
                <w:sz w:val="22"/>
              </w:rPr>
            </w:pPr>
          </w:p>
          <w:p>
            <w:pPr>
              <w:pStyle w:val="TableParagraph"/>
              <w:rPr>
                <w:rFonts w:ascii="Times New Roman"/>
                <w:sz w:val="22"/>
              </w:rPr>
            </w:pPr>
          </w:p>
          <w:p>
            <w:pPr>
              <w:pStyle w:val="TableParagraph"/>
              <w:rPr>
                <w:rFonts w:ascii="Times New Roman"/>
                <w:sz w:val="30"/>
              </w:rPr>
            </w:pPr>
          </w:p>
          <w:p>
            <w:pPr>
              <w:pStyle w:val="TableParagraph"/>
              <w:spacing w:before="1"/>
              <w:ind w:left="200"/>
              <w:rPr>
                <w:b/>
                <w:sz w:val="22"/>
              </w:rPr>
            </w:pPr>
            <w:r>
              <w:rPr>
                <w:b/>
                <w:sz w:val="22"/>
              </w:rPr>
              <w:t>9.16</w:t>
            </w:r>
          </w:p>
        </w:tc>
        <w:tc>
          <w:tcPr>
            <w:tcW w:w="1597" w:type="dxa"/>
          </w:tcPr>
          <w:p>
            <w:pPr>
              <w:pStyle w:val="TableParagraph"/>
              <w:spacing w:before="150"/>
              <w:ind w:left="164"/>
              <w:rPr>
                <w:b/>
                <w:sz w:val="22"/>
              </w:rPr>
            </w:pPr>
            <w:r>
              <w:rPr>
                <w:b/>
                <w:w w:val="95"/>
                <w:sz w:val="22"/>
              </w:rPr>
              <w:t>遗传性疾病</w:t>
            </w:r>
          </w:p>
          <w:p>
            <w:pPr>
              <w:pStyle w:val="TableParagraph"/>
              <w:rPr>
                <w:rFonts w:ascii="Times New Roman"/>
                <w:sz w:val="22"/>
              </w:rPr>
            </w:pPr>
          </w:p>
          <w:p>
            <w:pPr>
              <w:pStyle w:val="TableParagraph"/>
              <w:rPr>
                <w:rFonts w:ascii="Times New Roman"/>
                <w:sz w:val="22"/>
              </w:rPr>
            </w:pPr>
          </w:p>
          <w:p>
            <w:pPr>
              <w:pStyle w:val="TableParagraph"/>
              <w:rPr>
                <w:rFonts w:ascii="Times New Roman"/>
                <w:sz w:val="30"/>
              </w:rPr>
            </w:pPr>
          </w:p>
          <w:p>
            <w:pPr>
              <w:pStyle w:val="TableParagraph"/>
              <w:spacing w:line="316" w:lineRule="auto" w:before="1"/>
              <w:ind w:left="164" w:right="105"/>
              <w:jc w:val="both"/>
              <w:rPr>
                <w:b/>
                <w:sz w:val="22"/>
              </w:rPr>
            </w:pPr>
            <w:r>
              <w:rPr>
                <w:b/>
                <w:sz w:val="22"/>
              </w:rPr>
              <w:t>先天性畸形、变形或者染色</w:t>
            </w:r>
            <w:r>
              <w:rPr>
                <w:b/>
                <w:w w:val="95"/>
                <w:sz w:val="22"/>
              </w:rPr>
              <w:t>体异常</w:t>
            </w:r>
          </w:p>
        </w:tc>
        <w:tc>
          <w:tcPr>
            <w:tcW w:w="7638" w:type="dxa"/>
          </w:tcPr>
          <w:p>
            <w:pPr>
              <w:pStyle w:val="TableParagraph"/>
              <w:spacing w:line="316" w:lineRule="auto" w:before="150"/>
              <w:ind w:left="109" w:right="200"/>
              <w:rPr>
                <w:sz w:val="22"/>
              </w:rPr>
            </w:pPr>
            <w:r>
              <w:rPr>
                <w:sz w:val="22"/>
              </w:rPr>
              <w:t>指生殖细胞或受精卵的遗传物质（染色体和基因）发生突变或畸变所引起的疾病，通常具有由亲代传至后代的垂直传递的特征。</w:t>
            </w:r>
          </w:p>
          <w:p>
            <w:pPr>
              <w:pStyle w:val="TableParagraph"/>
              <w:rPr>
                <w:rFonts w:ascii="Times New Roman"/>
                <w:sz w:val="22"/>
              </w:rPr>
            </w:pPr>
          </w:p>
          <w:p>
            <w:pPr>
              <w:pStyle w:val="TableParagraph"/>
              <w:spacing w:line="316" w:lineRule="auto" w:before="149"/>
              <w:ind w:left="109" w:right="198"/>
              <w:rPr>
                <w:sz w:val="22"/>
              </w:rPr>
            </w:pPr>
            <w:r>
              <w:rPr>
                <w:sz w:val="22"/>
              </w:rPr>
              <w:t>被保险人出生时就具有的畸形、变形或染色体异常。先天性畸形、变形和染色体异常依照世界卫生组织《疾病和有关健康问题的国际统计分类》（ICD-</w:t>
            </w:r>
          </w:p>
          <w:p>
            <w:pPr>
              <w:pStyle w:val="TableParagraph"/>
              <w:spacing w:before="23"/>
              <w:ind w:left="109"/>
              <w:rPr>
                <w:sz w:val="22"/>
              </w:rPr>
            </w:pPr>
            <w:r>
              <w:rPr>
                <w:sz w:val="22"/>
              </w:rPr>
              <w:t>10）确定。</w:t>
            </w:r>
          </w:p>
        </w:tc>
      </w:tr>
      <w:tr>
        <w:trPr>
          <w:trHeight w:val="1078" w:hRule="atLeast"/>
        </w:trPr>
        <w:tc>
          <w:tcPr>
            <w:tcW w:w="808" w:type="dxa"/>
          </w:tcPr>
          <w:p>
            <w:pPr>
              <w:pStyle w:val="TableParagraph"/>
              <w:spacing w:before="6"/>
              <w:rPr>
                <w:rFonts w:ascii="Times New Roman"/>
                <w:sz w:val="17"/>
              </w:rPr>
            </w:pPr>
          </w:p>
          <w:p>
            <w:pPr>
              <w:pStyle w:val="TableParagraph"/>
              <w:ind w:left="180" w:right="144"/>
              <w:jc w:val="center"/>
              <w:rPr>
                <w:b/>
                <w:sz w:val="22"/>
              </w:rPr>
            </w:pPr>
            <w:r>
              <w:rPr>
                <w:b/>
                <w:sz w:val="22"/>
              </w:rPr>
              <w:t>9.17</w:t>
            </w:r>
          </w:p>
        </w:tc>
        <w:tc>
          <w:tcPr>
            <w:tcW w:w="1597" w:type="dxa"/>
          </w:tcPr>
          <w:p>
            <w:pPr>
              <w:pStyle w:val="TableParagraph"/>
              <w:spacing w:before="6"/>
              <w:rPr>
                <w:rFonts w:ascii="Times New Roman"/>
                <w:sz w:val="17"/>
              </w:rPr>
            </w:pPr>
          </w:p>
          <w:p>
            <w:pPr>
              <w:pStyle w:val="TableParagraph"/>
              <w:ind w:left="164"/>
              <w:rPr>
                <w:b/>
                <w:sz w:val="22"/>
              </w:rPr>
            </w:pPr>
            <w:r>
              <w:rPr>
                <w:b/>
                <w:w w:val="95"/>
                <w:sz w:val="22"/>
              </w:rPr>
              <w:t>现金价值</w:t>
            </w:r>
          </w:p>
        </w:tc>
        <w:tc>
          <w:tcPr>
            <w:tcW w:w="7638" w:type="dxa"/>
          </w:tcPr>
          <w:p>
            <w:pPr>
              <w:pStyle w:val="TableParagraph"/>
              <w:spacing w:before="6"/>
              <w:rPr>
                <w:rFonts w:ascii="Times New Roman"/>
                <w:sz w:val="17"/>
              </w:rPr>
            </w:pPr>
          </w:p>
          <w:p>
            <w:pPr>
              <w:pStyle w:val="TableParagraph"/>
              <w:spacing w:line="319" w:lineRule="auto"/>
              <w:ind w:left="109" w:right="200"/>
              <w:rPr>
                <w:sz w:val="22"/>
              </w:rPr>
            </w:pPr>
            <w:r>
              <w:rPr>
                <w:sz w:val="22"/>
              </w:rPr>
              <w:t>指保险合同所具有的价值，通常体现为解除合同时，根据精算原理计算的， 由我们退还的那部分金额。</w:t>
            </w:r>
          </w:p>
        </w:tc>
      </w:tr>
      <w:tr>
        <w:trPr>
          <w:trHeight w:val="696" w:hRule="atLeast"/>
        </w:trPr>
        <w:tc>
          <w:tcPr>
            <w:tcW w:w="808" w:type="dxa"/>
          </w:tcPr>
          <w:p>
            <w:pPr>
              <w:pStyle w:val="TableParagraph"/>
              <w:spacing w:before="139"/>
              <w:ind w:left="180" w:right="144"/>
              <w:jc w:val="center"/>
              <w:rPr>
                <w:b/>
                <w:sz w:val="22"/>
              </w:rPr>
            </w:pPr>
            <w:r>
              <w:rPr>
                <w:b/>
                <w:sz w:val="22"/>
              </w:rPr>
              <w:t>9.18</w:t>
            </w:r>
          </w:p>
        </w:tc>
        <w:tc>
          <w:tcPr>
            <w:tcW w:w="1597" w:type="dxa"/>
          </w:tcPr>
          <w:p>
            <w:pPr>
              <w:pStyle w:val="TableParagraph"/>
              <w:spacing w:before="139"/>
              <w:ind w:left="164"/>
              <w:rPr>
                <w:b/>
                <w:sz w:val="22"/>
              </w:rPr>
            </w:pPr>
            <w:r>
              <w:rPr>
                <w:b/>
                <w:w w:val="95"/>
                <w:sz w:val="22"/>
              </w:rPr>
              <w:t>保险事故</w:t>
            </w:r>
          </w:p>
        </w:tc>
        <w:tc>
          <w:tcPr>
            <w:tcW w:w="7638" w:type="dxa"/>
          </w:tcPr>
          <w:p>
            <w:pPr>
              <w:pStyle w:val="TableParagraph"/>
              <w:spacing w:before="139"/>
              <w:ind w:left="109"/>
              <w:rPr>
                <w:sz w:val="22"/>
              </w:rPr>
            </w:pPr>
            <w:r>
              <w:rPr>
                <w:sz w:val="22"/>
              </w:rPr>
              <w:t>指本附加合同约定的保险责任范围内的事故。</w:t>
            </w:r>
          </w:p>
        </w:tc>
      </w:tr>
      <w:tr>
        <w:trPr>
          <w:trHeight w:val="1520" w:hRule="atLeast"/>
        </w:trPr>
        <w:tc>
          <w:tcPr>
            <w:tcW w:w="808" w:type="dxa"/>
          </w:tcPr>
          <w:p>
            <w:pPr>
              <w:pStyle w:val="TableParagraph"/>
              <w:spacing w:before="6"/>
              <w:rPr>
                <w:rFonts w:ascii="Times New Roman"/>
                <w:sz w:val="17"/>
              </w:rPr>
            </w:pPr>
          </w:p>
          <w:p>
            <w:pPr>
              <w:pStyle w:val="TableParagraph"/>
              <w:ind w:left="180" w:right="144"/>
              <w:jc w:val="center"/>
              <w:rPr>
                <w:b/>
                <w:sz w:val="22"/>
              </w:rPr>
            </w:pPr>
            <w:r>
              <w:rPr>
                <w:b/>
                <w:sz w:val="22"/>
              </w:rPr>
              <w:t>9.19</w:t>
            </w:r>
          </w:p>
        </w:tc>
        <w:tc>
          <w:tcPr>
            <w:tcW w:w="1597" w:type="dxa"/>
          </w:tcPr>
          <w:p>
            <w:pPr>
              <w:pStyle w:val="TableParagraph"/>
              <w:spacing w:before="6"/>
              <w:rPr>
                <w:rFonts w:ascii="Times New Roman"/>
                <w:sz w:val="17"/>
              </w:rPr>
            </w:pPr>
          </w:p>
          <w:p>
            <w:pPr>
              <w:pStyle w:val="TableParagraph"/>
              <w:ind w:left="164"/>
              <w:rPr>
                <w:b/>
                <w:sz w:val="22"/>
              </w:rPr>
            </w:pPr>
            <w:r>
              <w:rPr>
                <w:b/>
                <w:w w:val="95"/>
                <w:sz w:val="22"/>
              </w:rPr>
              <w:t>原位癌</w:t>
            </w:r>
          </w:p>
        </w:tc>
        <w:tc>
          <w:tcPr>
            <w:tcW w:w="7638" w:type="dxa"/>
          </w:tcPr>
          <w:p>
            <w:pPr>
              <w:pStyle w:val="TableParagraph"/>
              <w:spacing w:before="6"/>
              <w:rPr>
                <w:rFonts w:ascii="Times New Roman"/>
                <w:sz w:val="17"/>
              </w:rPr>
            </w:pPr>
          </w:p>
          <w:p>
            <w:pPr>
              <w:pStyle w:val="TableParagraph"/>
              <w:spacing w:line="316" w:lineRule="auto"/>
              <w:ind w:left="109" w:right="200"/>
              <w:jc w:val="both"/>
              <w:rPr>
                <w:sz w:val="22"/>
              </w:rPr>
            </w:pPr>
            <w:r>
              <w:rPr>
                <w:sz w:val="22"/>
              </w:rPr>
              <w:t>指恶性细胞局限于上皮内尚未穿破基底膜浸润周围正常组织的癌细胞新生物。原位癌必须经对固定活组织的组织病理学检查明确诊断。被保险人必须己经接受了针对原位癌病灶的积极治疗。</w:t>
            </w:r>
          </w:p>
        </w:tc>
      </w:tr>
      <w:tr>
        <w:trPr>
          <w:trHeight w:val="1140" w:hRule="atLeast"/>
        </w:trPr>
        <w:tc>
          <w:tcPr>
            <w:tcW w:w="808" w:type="dxa"/>
          </w:tcPr>
          <w:p>
            <w:pPr>
              <w:pStyle w:val="TableParagraph"/>
              <w:spacing w:before="7"/>
              <w:rPr>
                <w:rFonts w:ascii="Times New Roman"/>
                <w:sz w:val="17"/>
              </w:rPr>
            </w:pPr>
          </w:p>
          <w:p>
            <w:pPr>
              <w:pStyle w:val="TableParagraph"/>
              <w:ind w:left="180" w:right="144"/>
              <w:jc w:val="center"/>
              <w:rPr>
                <w:b/>
                <w:sz w:val="22"/>
              </w:rPr>
            </w:pPr>
            <w:r>
              <w:rPr>
                <w:b/>
                <w:sz w:val="22"/>
              </w:rPr>
              <w:t>9.20</w:t>
            </w:r>
          </w:p>
        </w:tc>
        <w:tc>
          <w:tcPr>
            <w:tcW w:w="1597" w:type="dxa"/>
          </w:tcPr>
          <w:p>
            <w:pPr>
              <w:pStyle w:val="TableParagraph"/>
              <w:spacing w:before="7"/>
              <w:rPr>
                <w:rFonts w:ascii="Times New Roman"/>
                <w:sz w:val="17"/>
              </w:rPr>
            </w:pPr>
          </w:p>
          <w:p>
            <w:pPr>
              <w:pStyle w:val="TableParagraph"/>
              <w:spacing w:line="316" w:lineRule="auto"/>
              <w:ind w:left="164" w:right="105"/>
              <w:rPr>
                <w:b/>
                <w:sz w:val="22"/>
              </w:rPr>
            </w:pPr>
            <w:r>
              <w:rPr>
                <w:b/>
                <w:sz w:val="22"/>
              </w:rPr>
              <w:t>肢体机能完全</w:t>
            </w:r>
            <w:r>
              <w:rPr>
                <w:b/>
                <w:w w:val="95"/>
                <w:sz w:val="22"/>
              </w:rPr>
              <w:t>丧失</w:t>
            </w:r>
          </w:p>
        </w:tc>
        <w:tc>
          <w:tcPr>
            <w:tcW w:w="7638" w:type="dxa"/>
          </w:tcPr>
          <w:p>
            <w:pPr>
              <w:pStyle w:val="TableParagraph"/>
              <w:spacing w:before="7"/>
              <w:rPr>
                <w:rFonts w:ascii="Times New Roman"/>
                <w:sz w:val="17"/>
              </w:rPr>
            </w:pPr>
          </w:p>
          <w:p>
            <w:pPr>
              <w:pStyle w:val="TableParagraph"/>
              <w:spacing w:line="316" w:lineRule="auto"/>
              <w:ind w:left="109" w:right="200"/>
              <w:rPr>
                <w:sz w:val="22"/>
              </w:rPr>
            </w:pPr>
            <w:r>
              <w:rPr>
                <w:sz w:val="22"/>
              </w:rPr>
              <w:t>指肢体的三大关节中的两大关节僵硬，或不能随意识活动。肢体是指包括肩关节的整个上肢或包括髋关节的整个下肢。</w:t>
            </w:r>
          </w:p>
        </w:tc>
      </w:tr>
      <w:tr>
        <w:trPr>
          <w:trHeight w:val="490" w:hRule="atLeast"/>
        </w:trPr>
        <w:tc>
          <w:tcPr>
            <w:tcW w:w="808" w:type="dxa"/>
          </w:tcPr>
          <w:p>
            <w:pPr>
              <w:pStyle w:val="TableParagraph"/>
              <w:spacing w:before="7"/>
              <w:rPr>
                <w:rFonts w:ascii="Times New Roman"/>
                <w:sz w:val="17"/>
              </w:rPr>
            </w:pPr>
          </w:p>
          <w:p>
            <w:pPr>
              <w:pStyle w:val="TableParagraph"/>
              <w:spacing w:line="268" w:lineRule="exact"/>
              <w:ind w:left="180" w:right="144"/>
              <w:jc w:val="center"/>
              <w:rPr>
                <w:b/>
                <w:sz w:val="22"/>
              </w:rPr>
            </w:pPr>
            <w:r>
              <w:rPr>
                <w:b/>
                <w:sz w:val="22"/>
              </w:rPr>
              <w:t>9.21</w:t>
            </w:r>
          </w:p>
        </w:tc>
        <w:tc>
          <w:tcPr>
            <w:tcW w:w="1597" w:type="dxa"/>
          </w:tcPr>
          <w:p>
            <w:pPr>
              <w:pStyle w:val="TableParagraph"/>
              <w:spacing w:before="7"/>
              <w:rPr>
                <w:rFonts w:ascii="Times New Roman"/>
                <w:sz w:val="17"/>
              </w:rPr>
            </w:pPr>
          </w:p>
          <w:p>
            <w:pPr>
              <w:pStyle w:val="TableParagraph"/>
              <w:spacing w:line="268" w:lineRule="exact"/>
              <w:ind w:left="164"/>
              <w:rPr>
                <w:b/>
                <w:sz w:val="22"/>
              </w:rPr>
            </w:pPr>
            <w:r>
              <w:rPr>
                <w:b/>
                <w:w w:val="95"/>
                <w:sz w:val="22"/>
              </w:rPr>
              <w:t>语言能力或咀</w:t>
            </w:r>
          </w:p>
        </w:tc>
        <w:tc>
          <w:tcPr>
            <w:tcW w:w="7638" w:type="dxa"/>
          </w:tcPr>
          <w:p>
            <w:pPr>
              <w:pStyle w:val="TableParagraph"/>
              <w:spacing w:before="7"/>
              <w:rPr>
                <w:rFonts w:ascii="Times New Roman"/>
                <w:sz w:val="17"/>
              </w:rPr>
            </w:pPr>
          </w:p>
          <w:p>
            <w:pPr>
              <w:pStyle w:val="TableParagraph"/>
              <w:spacing w:line="268" w:lineRule="exact"/>
              <w:ind w:left="109"/>
              <w:rPr>
                <w:sz w:val="22"/>
              </w:rPr>
            </w:pPr>
            <w:r>
              <w:rPr>
                <w:sz w:val="22"/>
              </w:rPr>
              <w:t>语言能力完全丧失，指无法发出四种语音（包括口唇音、齿舌音、口盖音和</w:t>
            </w:r>
          </w:p>
        </w:tc>
      </w:tr>
    </w:tbl>
    <w:p>
      <w:pPr>
        <w:spacing w:after="0" w:line="268" w:lineRule="exact"/>
        <w:rPr>
          <w:sz w:val="22"/>
        </w:rPr>
        <w:sectPr>
          <w:pgSz w:w="11910" w:h="16840"/>
          <w:pgMar w:header="484" w:footer="479" w:top="680" w:bottom="660" w:left="820" w:right="82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after="1"/>
        <w:rPr>
          <w:rFonts w:ascii="Times New Roman"/>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8"/>
        <w:gridCol w:w="1597"/>
        <w:gridCol w:w="7638"/>
      </w:tblGrid>
      <w:tr>
        <w:trPr>
          <w:trHeight w:val="1249" w:hRule="atLeast"/>
        </w:trPr>
        <w:tc>
          <w:tcPr>
            <w:tcW w:w="808" w:type="dxa"/>
          </w:tcPr>
          <w:p>
            <w:pPr>
              <w:pStyle w:val="TableParagraph"/>
              <w:rPr>
                <w:rFonts w:ascii="Times New Roman"/>
                <w:sz w:val="20"/>
              </w:rPr>
            </w:pPr>
          </w:p>
        </w:tc>
        <w:tc>
          <w:tcPr>
            <w:tcW w:w="1597" w:type="dxa"/>
          </w:tcPr>
          <w:p>
            <w:pPr>
              <w:pStyle w:val="TableParagraph"/>
              <w:spacing w:line="221" w:lineRule="exact"/>
              <w:ind w:left="164"/>
              <w:rPr>
                <w:b/>
                <w:sz w:val="22"/>
              </w:rPr>
            </w:pPr>
            <w:r>
              <w:rPr>
                <w:b/>
                <w:w w:val="95"/>
                <w:sz w:val="22"/>
              </w:rPr>
              <w:t>嚼吞咽能力完</w:t>
            </w:r>
          </w:p>
          <w:p>
            <w:pPr>
              <w:pStyle w:val="TableParagraph"/>
              <w:spacing w:before="91"/>
              <w:ind w:left="164"/>
              <w:rPr>
                <w:b/>
                <w:sz w:val="22"/>
              </w:rPr>
            </w:pPr>
            <w:r>
              <w:rPr>
                <w:b/>
                <w:w w:val="95"/>
                <w:sz w:val="22"/>
              </w:rPr>
              <w:t>全丧失</w:t>
            </w:r>
          </w:p>
        </w:tc>
        <w:tc>
          <w:tcPr>
            <w:tcW w:w="7638" w:type="dxa"/>
          </w:tcPr>
          <w:p>
            <w:pPr>
              <w:pStyle w:val="TableParagraph"/>
              <w:spacing w:line="221" w:lineRule="exact"/>
              <w:ind w:left="109"/>
              <w:rPr>
                <w:sz w:val="22"/>
              </w:rPr>
            </w:pPr>
            <w:r>
              <w:rPr>
                <w:sz w:val="22"/>
              </w:rPr>
              <w:t>喉头音）中的任何三种、或声带全部切除，或因大脑语言中枢受伤害而患失</w:t>
            </w:r>
          </w:p>
          <w:p>
            <w:pPr>
              <w:pStyle w:val="TableParagraph"/>
              <w:spacing w:line="316" w:lineRule="auto" w:before="91"/>
              <w:ind w:left="109" w:right="197"/>
              <w:rPr>
                <w:sz w:val="22"/>
              </w:rPr>
            </w:pPr>
            <w:r>
              <w:rPr>
                <w:sz w:val="22"/>
              </w:rPr>
              <w:t>语症；咀嚼吞咽能力完全丧失，指因牙齿以外的原因导致器质障碍或机能障碍，以致不能作咀嚼吞咽运动，除流质食物外不能摄取或吞咽的状态。</w:t>
            </w:r>
          </w:p>
        </w:tc>
      </w:tr>
      <w:tr>
        <w:trPr>
          <w:trHeight w:val="3041" w:hRule="atLeast"/>
        </w:trPr>
        <w:tc>
          <w:tcPr>
            <w:tcW w:w="808" w:type="dxa"/>
          </w:tcPr>
          <w:p>
            <w:pPr>
              <w:pStyle w:val="TableParagraph"/>
              <w:spacing w:before="7"/>
              <w:rPr>
                <w:rFonts w:ascii="Times New Roman"/>
                <w:sz w:val="17"/>
              </w:rPr>
            </w:pPr>
          </w:p>
          <w:p>
            <w:pPr>
              <w:pStyle w:val="TableParagraph"/>
              <w:ind w:left="180" w:right="144"/>
              <w:jc w:val="center"/>
              <w:rPr>
                <w:b/>
                <w:sz w:val="22"/>
              </w:rPr>
            </w:pPr>
            <w:r>
              <w:rPr>
                <w:b/>
                <w:sz w:val="22"/>
              </w:rPr>
              <w:t>9.22</w:t>
            </w:r>
          </w:p>
        </w:tc>
        <w:tc>
          <w:tcPr>
            <w:tcW w:w="1597" w:type="dxa"/>
          </w:tcPr>
          <w:p>
            <w:pPr>
              <w:pStyle w:val="TableParagraph"/>
              <w:spacing w:before="7"/>
              <w:rPr>
                <w:rFonts w:ascii="Times New Roman"/>
                <w:sz w:val="17"/>
              </w:rPr>
            </w:pPr>
          </w:p>
          <w:p>
            <w:pPr>
              <w:pStyle w:val="TableParagraph"/>
              <w:spacing w:line="316" w:lineRule="auto"/>
              <w:ind w:left="164" w:right="105"/>
              <w:rPr>
                <w:b/>
                <w:sz w:val="22"/>
              </w:rPr>
            </w:pPr>
            <w:r>
              <w:rPr>
                <w:b/>
                <w:sz w:val="22"/>
              </w:rPr>
              <w:t>六项基本日常</w:t>
            </w:r>
            <w:r>
              <w:rPr>
                <w:b/>
                <w:w w:val="95"/>
                <w:sz w:val="22"/>
              </w:rPr>
              <w:t>生活活动</w:t>
            </w:r>
          </w:p>
        </w:tc>
        <w:tc>
          <w:tcPr>
            <w:tcW w:w="7638" w:type="dxa"/>
          </w:tcPr>
          <w:p>
            <w:pPr>
              <w:pStyle w:val="TableParagraph"/>
              <w:spacing w:before="7"/>
              <w:rPr>
                <w:rFonts w:ascii="Times New Roman"/>
                <w:sz w:val="17"/>
              </w:rPr>
            </w:pPr>
          </w:p>
          <w:p>
            <w:pPr>
              <w:pStyle w:val="TableParagraph"/>
              <w:ind w:left="109"/>
              <w:rPr>
                <w:sz w:val="22"/>
              </w:rPr>
            </w:pPr>
            <w:r>
              <w:rPr>
                <w:sz w:val="22"/>
              </w:rPr>
              <w:t>六项基本日常生活活动是指：</w:t>
            </w:r>
          </w:p>
          <w:p>
            <w:pPr>
              <w:pStyle w:val="TableParagraph"/>
              <w:numPr>
                <w:ilvl w:val="0"/>
                <w:numId w:val="51"/>
              </w:numPr>
              <w:tabs>
                <w:tab w:pos="563" w:val="left" w:leader="none"/>
              </w:tabs>
              <w:spacing w:line="240" w:lineRule="auto" w:before="91" w:after="0"/>
              <w:ind w:left="562" w:right="0" w:hanging="453"/>
              <w:jc w:val="left"/>
              <w:rPr>
                <w:sz w:val="22"/>
              </w:rPr>
            </w:pPr>
            <w:r>
              <w:rPr>
                <w:spacing w:val="-3"/>
                <w:sz w:val="22"/>
              </w:rPr>
              <w:t>穿衣：自己能够穿衣及脱衣；</w:t>
            </w:r>
          </w:p>
          <w:p>
            <w:pPr>
              <w:pStyle w:val="TableParagraph"/>
              <w:numPr>
                <w:ilvl w:val="0"/>
                <w:numId w:val="51"/>
              </w:numPr>
              <w:tabs>
                <w:tab w:pos="563" w:val="left" w:leader="none"/>
              </w:tabs>
              <w:spacing w:line="240" w:lineRule="auto" w:before="93" w:after="0"/>
              <w:ind w:left="562" w:right="0" w:hanging="453"/>
              <w:jc w:val="left"/>
              <w:rPr>
                <w:sz w:val="22"/>
              </w:rPr>
            </w:pPr>
            <w:r>
              <w:rPr>
                <w:spacing w:val="-3"/>
                <w:sz w:val="22"/>
              </w:rPr>
              <w:t>移动：自己从一个房间到另一个房间；</w:t>
            </w:r>
          </w:p>
          <w:p>
            <w:pPr>
              <w:pStyle w:val="TableParagraph"/>
              <w:numPr>
                <w:ilvl w:val="0"/>
                <w:numId w:val="51"/>
              </w:numPr>
              <w:tabs>
                <w:tab w:pos="563" w:val="left" w:leader="none"/>
              </w:tabs>
              <w:spacing w:line="240" w:lineRule="auto" w:before="90" w:after="0"/>
              <w:ind w:left="562" w:right="0" w:hanging="453"/>
              <w:jc w:val="left"/>
              <w:rPr>
                <w:sz w:val="22"/>
              </w:rPr>
            </w:pPr>
            <w:r>
              <w:rPr>
                <w:spacing w:val="-3"/>
                <w:sz w:val="22"/>
              </w:rPr>
              <w:t>行动：自己上下床或上下轮椅；</w:t>
            </w:r>
          </w:p>
          <w:p>
            <w:pPr>
              <w:pStyle w:val="TableParagraph"/>
              <w:numPr>
                <w:ilvl w:val="0"/>
                <w:numId w:val="51"/>
              </w:numPr>
              <w:tabs>
                <w:tab w:pos="563" w:val="left" w:leader="none"/>
              </w:tabs>
              <w:spacing w:line="240" w:lineRule="auto" w:before="91" w:after="0"/>
              <w:ind w:left="562" w:right="0" w:hanging="453"/>
              <w:jc w:val="left"/>
              <w:rPr>
                <w:sz w:val="22"/>
              </w:rPr>
            </w:pPr>
            <w:r>
              <w:rPr>
                <w:spacing w:val="-3"/>
                <w:sz w:val="22"/>
              </w:rPr>
              <w:t>如厕：自己控制进行大小便；</w:t>
            </w:r>
          </w:p>
          <w:p>
            <w:pPr>
              <w:pStyle w:val="TableParagraph"/>
              <w:numPr>
                <w:ilvl w:val="0"/>
                <w:numId w:val="51"/>
              </w:numPr>
              <w:tabs>
                <w:tab w:pos="563" w:val="left" w:leader="none"/>
              </w:tabs>
              <w:spacing w:line="240" w:lineRule="auto" w:before="93" w:after="0"/>
              <w:ind w:left="562" w:right="0" w:hanging="453"/>
              <w:jc w:val="left"/>
              <w:rPr>
                <w:sz w:val="22"/>
              </w:rPr>
            </w:pPr>
            <w:r>
              <w:rPr>
                <w:spacing w:val="-3"/>
                <w:sz w:val="22"/>
              </w:rPr>
              <w:t>进食：自己从已准备好的碗或碟中取食物放入口中；</w:t>
            </w:r>
          </w:p>
          <w:p>
            <w:pPr>
              <w:pStyle w:val="TableParagraph"/>
              <w:numPr>
                <w:ilvl w:val="0"/>
                <w:numId w:val="51"/>
              </w:numPr>
              <w:tabs>
                <w:tab w:pos="563" w:val="left" w:leader="none"/>
              </w:tabs>
              <w:spacing w:line="240" w:lineRule="auto" w:before="91" w:after="0"/>
              <w:ind w:left="562" w:right="0" w:hanging="453"/>
              <w:jc w:val="left"/>
              <w:rPr>
                <w:sz w:val="22"/>
              </w:rPr>
            </w:pPr>
            <w:r>
              <w:rPr>
                <w:spacing w:val="-3"/>
                <w:sz w:val="22"/>
              </w:rPr>
              <w:t>洗澡：自己进行淋浴或盆浴。</w:t>
            </w:r>
          </w:p>
        </w:tc>
      </w:tr>
      <w:tr>
        <w:trPr>
          <w:trHeight w:val="870" w:hRule="atLeast"/>
        </w:trPr>
        <w:tc>
          <w:tcPr>
            <w:tcW w:w="808" w:type="dxa"/>
          </w:tcPr>
          <w:p>
            <w:pPr>
              <w:pStyle w:val="TableParagraph"/>
              <w:spacing w:before="7"/>
              <w:rPr>
                <w:rFonts w:ascii="Times New Roman"/>
                <w:sz w:val="17"/>
              </w:rPr>
            </w:pPr>
          </w:p>
          <w:p>
            <w:pPr>
              <w:pStyle w:val="TableParagraph"/>
              <w:ind w:left="180" w:right="144"/>
              <w:jc w:val="center"/>
              <w:rPr>
                <w:b/>
                <w:sz w:val="22"/>
              </w:rPr>
            </w:pPr>
            <w:r>
              <w:rPr>
                <w:b/>
                <w:sz w:val="22"/>
              </w:rPr>
              <w:t>9.23</w:t>
            </w:r>
          </w:p>
        </w:tc>
        <w:tc>
          <w:tcPr>
            <w:tcW w:w="1597" w:type="dxa"/>
          </w:tcPr>
          <w:p>
            <w:pPr>
              <w:pStyle w:val="TableParagraph"/>
              <w:spacing w:before="7"/>
              <w:rPr>
                <w:rFonts w:ascii="Times New Roman"/>
                <w:sz w:val="17"/>
              </w:rPr>
            </w:pPr>
          </w:p>
          <w:p>
            <w:pPr>
              <w:pStyle w:val="TableParagraph"/>
              <w:ind w:left="164"/>
              <w:rPr>
                <w:b/>
                <w:sz w:val="22"/>
              </w:rPr>
            </w:pPr>
            <w:r>
              <w:rPr>
                <w:b/>
                <w:w w:val="95"/>
                <w:sz w:val="22"/>
              </w:rPr>
              <w:t>永久不可逆</w:t>
            </w:r>
          </w:p>
        </w:tc>
        <w:tc>
          <w:tcPr>
            <w:tcW w:w="7638" w:type="dxa"/>
          </w:tcPr>
          <w:p>
            <w:pPr>
              <w:pStyle w:val="TableParagraph"/>
              <w:spacing w:line="380" w:lineRule="atLeast" w:before="110"/>
              <w:ind w:left="109" w:right="198"/>
              <w:rPr>
                <w:sz w:val="22"/>
              </w:rPr>
            </w:pPr>
            <w:r>
              <w:rPr>
                <w:sz w:val="22"/>
              </w:rPr>
              <w:t>永久不可逆系指自疾病确诊或意外伤害发生之日起，经过积极治疗180天后，仍无法通过现有医疗手段恢复。</w:t>
            </w:r>
          </w:p>
        </w:tc>
      </w:tr>
    </w:tbl>
    <w:p>
      <w:pPr>
        <w:spacing w:after="0" w:line="380" w:lineRule="atLeast"/>
        <w:rPr>
          <w:sz w:val="22"/>
        </w:rPr>
        <w:sectPr>
          <w:pgSz w:w="11910" w:h="16840"/>
          <w:pgMar w:header="484" w:footer="479" w:top="680" w:bottom="660" w:left="820" w:right="82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5"/>
        </w:rPr>
      </w:pPr>
    </w:p>
    <w:p>
      <w:pPr>
        <w:spacing w:before="26"/>
        <w:ind w:left="173" w:right="0" w:firstLine="0"/>
        <w:jc w:val="left"/>
        <w:rPr>
          <w:b/>
          <w:sz w:val="24"/>
        </w:rPr>
      </w:pPr>
      <w:r>
        <w:rPr>
          <w:b/>
          <w:w w:val="95"/>
          <w:sz w:val="24"/>
        </w:rPr>
        <w:t>【附表】：全残项目表</w:t>
      </w:r>
    </w:p>
    <w:p>
      <w:pPr>
        <w:pStyle w:val="BodyText"/>
        <w:spacing w:before="8"/>
        <w:rPr>
          <w:b/>
          <w:sz w:val="28"/>
        </w:rPr>
      </w:pPr>
      <w:r>
        <w:rPr/>
        <w:pict>
          <v:shape style="position:absolute;margin-left:53.040001pt;margin-top:21.467999pt;width:489.15pt;height:302.45pt;mso-position-horizontal-relative:page;mso-position-vertical-relative:paragraph;z-index:1336;mso-wrap-distance-left:0;mso-wrap-distance-right:0" type="#_x0000_t202" filled="false" stroked="true" strokeweight="1.44pt" strokecolor="#000000">
            <v:textbox inset="0,0,0,0">
              <w:txbxContent>
                <w:p>
                  <w:pPr>
                    <w:pStyle w:val="BodyText"/>
                    <w:spacing w:before="11"/>
                    <w:rPr>
                      <w:b/>
                      <w:sz w:val="18"/>
                    </w:rPr>
                  </w:pPr>
                </w:p>
                <w:p>
                  <w:pPr>
                    <w:pStyle w:val="BodyText"/>
                    <w:ind w:left="271"/>
                  </w:pPr>
                  <w:r>
                    <w:rPr/>
                    <w:t>一、 双目永久完全失明的（注 1，5）</w:t>
                  </w:r>
                </w:p>
                <w:p>
                  <w:pPr>
                    <w:pStyle w:val="BodyText"/>
                    <w:spacing w:before="6"/>
                    <w:rPr>
                      <w:b/>
                      <w:sz w:val="25"/>
                    </w:rPr>
                  </w:pPr>
                </w:p>
                <w:p>
                  <w:pPr>
                    <w:pStyle w:val="BodyText"/>
                    <w:spacing w:line="535" w:lineRule="auto"/>
                    <w:ind w:left="271" w:right="4548"/>
                  </w:pPr>
                  <w:r>
                    <w:rPr/>
                    <w:t>二、 两上肢腕关节以上或两下肢踝关节以上缺失的三、 一上肢腕关节以上及一下肢踝关节以上缺失的</w:t>
                  </w:r>
                </w:p>
                <w:p>
                  <w:pPr>
                    <w:pStyle w:val="BodyText"/>
                    <w:spacing w:line="535" w:lineRule="auto" w:before="80"/>
                    <w:ind w:left="271" w:right="3441"/>
                    <w:jc w:val="both"/>
                  </w:pPr>
                  <w:r>
                    <w:rPr>
                      <w:spacing w:val="-10"/>
                    </w:rPr>
                    <w:t>四、 一目永久完全失明</w:t>
                  </w:r>
                  <w:r>
                    <w:rPr/>
                    <w:t>（</w:t>
                  </w:r>
                  <w:r>
                    <w:rPr>
                      <w:spacing w:val="-25"/>
                    </w:rPr>
                    <w:t>注 </w:t>
                  </w:r>
                  <w:r>
                    <w:rPr/>
                    <w:t>1，5）</w:t>
                  </w:r>
                  <w:r>
                    <w:rPr>
                      <w:spacing w:val="-3"/>
                    </w:rPr>
                    <w:t>及一上肢腕关节以上缺失的</w:t>
                  </w:r>
                  <w:r>
                    <w:rPr>
                      <w:spacing w:val="-10"/>
                    </w:rPr>
                    <w:t>五、 一目永久完全失明</w:t>
                  </w:r>
                  <w:r>
                    <w:rPr/>
                    <w:t>（</w:t>
                  </w:r>
                  <w:r>
                    <w:rPr>
                      <w:spacing w:val="-25"/>
                    </w:rPr>
                    <w:t>注 </w:t>
                  </w:r>
                  <w:r>
                    <w:rPr/>
                    <w:t>1，5）</w:t>
                  </w:r>
                  <w:r>
                    <w:rPr>
                      <w:spacing w:val="-3"/>
                    </w:rPr>
                    <w:t>及一下肢踝关节以上缺失的</w:t>
                  </w:r>
                  <w:r>
                    <w:rPr>
                      <w:spacing w:val="-10"/>
                    </w:rPr>
                    <w:t>六、 四肢关节机能永久完全丧失的</w:t>
                  </w:r>
                  <w:r>
                    <w:rPr/>
                    <w:t>（</w:t>
                  </w:r>
                  <w:r>
                    <w:rPr>
                      <w:spacing w:val="-24"/>
                    </w:rPr>
                    <w:t>注 </w:t>
                  </w:r>
                  <w:r>
                    <w:rPr/>
                    <w:t>2，5）</w:t>
                  </w:r>
                </w:p>
                <w:p>
                  <w:pPr>
                    <w:pStyle w:val="BodyText"/>
                    <w:spacing w:before="79"/>
                    <w:ind w:left="271"/>
                  </w:pPr>
                  <w:r>
                    <w:rPr/>
                    <w:t>七、 咀嚼、吞咽机能永久完全丧失的（注 3，5）</w:t>
                  </w:r>
                </w:p>
                <w:p>
                  <w:pPr>
                    <w:pStyle w:val="BodyText"/>
                    <w:spacing w:before="12"/>
                    <w:rPr>
                      <w:b/>
                      <w:sz w:val="26"/>
                    </w:rPr>
                  </w:pPr>
                </w:p>
                <w:p>
                  <w:pPr>
                    <w:pStyle w:val="BodyText"/>
                    <w:spacing w:line="535" w:lineRule="auto"/>
                    <w:ind w:left="751" w:right="420" w:hanging="480"/>
                  </w:pPr>
                  <w:r>
                    <w:rPr>
                      <w:spacing w:val="-8"/>
                    </w:rPr>
                    <w:t>八、 中枢神经系统机能或胸、腹部脏器机能极度障碍，终身不能从事任何工作，为维持生命必</w:t>
                  </w:r>
                  <w:r>
                    <w:rPr>
                      <w:spacing w:val="-5"/>
                    </w:rPr>
                    <w:t>要的日常生活活动，全需他人扶助的</w:t>
                  </w:r>
                  <w:r>
                    <w:rPr/>
                    <w:t>（</w:t>
                  </w:r>
                  <w:r>
                    <w:rPr>
                      <w:spacing w:val="-21"/>
                    </w:rPr>
                    <w:t>注 </w:t>
                  </w:r>
                  <w:r>
                    <w:rPr/>
                    <w:t>4）</w:t>
                  </w:r>
                </w:p>
              </w:txbxContent>
            </v:textbox>
            <v:stroke dashstyle="solid"/>
            <w10:wrap type="topAndBottom"/>
          </v:shape>
        </w:pict>
      </w:r>
    </w:p>
    <w:p>
      <w:pPr>
        <w:pStyle w:val="BodyText"/>
        <w:spacing w:before="3"/>
        <w:rPr>
          <w:b/>
          <w:sz w:val="25"/>
        </w:rPr>
      </w:pPr>
    </w:p>
    <w:p>
      <w:pPr>
        <w:pStyle w:val="BodyText"/>
        <w:spacing w:line="355" w:lineRule="auto" w:before="33"/>
        <w:ind w:left="833" w:right="312" w:hanging="660"/>
      </w:pPr>
      <w:r>
        <w:rPr/>
        <w:t>注 1: 失明包括眼球缺失或摘除、或不能辨别明暗、或仅能辨别眼前手动者，最佳矫正视力低于国际标准视力表 0.02，或视野半径小于 5 度，并由有资格的眼科医师出具医疗诊断证明。</w:t>
      </w:r>
    </w:p>
    <w:p>
      <w:pPr>
        <w:pStyle w:val="BodyText"/>
        <w:spacing w:before="33"/>
        <w:ind w:left="173"/>
      </w:pPr>
      <w:r>
        <w:rPr/>
        <w:t>注 2: 关节机能的丧失系指关节永久完全僵硬、或麻痹、或关节不能随意识活动。</w:t>
      </w:r>
    </w:p>
    <w:p>
      <w:pPr>
        <w:pStyle w:val="BodyText"/>
        <w:spacing w:line="357" w:lineRule="auto" w:before="139"/>
        <w:ind w:left="833" w:right="315" w:hanging="660"/>
      </w:pPr>
      <w:r>
        <w:rPr/>
        <w:t>注 3: 咀嚼、吞咽机能的丧失系指由于牙齿以外的原因引起器质障碍或机能障碍，以致不能做咀嚼、吞咽运动，除流质食物外不能摄取或吞咽的状态。</w:t>
      </w:r>
    </w:p>
    <w:p>
      <w:pPr>
        <w:pStyle w:val="BodyText"/>
        <w:spacing w:line="355" w:lineRule="auto" w:before="31"/>
        <w:ind w:left="833" w:right="312" w:hanging="660"/>
      </w:pPr>
      <w:r>
        <w:rPr/>
        <w:t>注 4: 为维持生命必要之日常生活活动，全需他人扶助系指食物摄取、大小便始末、穿脱衣服、起居、步行、入浴等，皆不能自己为之，需要他人帮助。</w:t>
      </w:r>
    </w:p>
    <w:p>
      <w:pPr>
        <w:pStyle w:val="BodyText"/>
        <w:spacing w:line="355" w:lineRule="auto" w:before="36"/>
        <w:ind w:left="833" w:right="307" w:hanging="660"/>
      </w:pPr>
      <w:r>
        <w:rPr/>
        <w:t>注 5: 所谓永久完全系指自意外伤害事故或疾病诊断之日起经过 180 天的治疗，机能仍然完全丧失，但眼球摘除等明显无法复原之情况，不在此限。</w:t>
      </w:r>
    </w:p>
    <w:sectPr>
      <w:pgSz w:w="11910" w:h="16840"/>
      <w:pgMar w:header="484" w:footer="479" w:top="680" w:bottom="660" w:left="96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微软雅黑">
    <w:altName w:val="微软雅黑"/>
    <w:charset w:val="86"/>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269989pt;margin-top:806.964478pt;width:25.95pt;height:13.05pt;mso-position-horizontal-relative:page;mso-position-vertical-relative:page;z-index:-45256" type="#_x0000_t202" filled="false" stroked="false">
          <v:textbox inset="0,0,0,0">
            <w:txbxContent>
              <w:p>
                <w:pPr>
                  <w:spacing w:before="10"/>
                  <w:ind w:left="40" w:right="0" w:firstLine="0"/>
                  <w:jc w:val="left"/>
                  <w:rPr>
                    <w:rFonts w:ascii="Times New Roman"/>
                    <w:sz w:val="20"/>
                  </w:rPr>
                </w:pPr>
                <w:r>
                  <w:rPr/>
                  <w:fldChar w:fldCharType="begin"/>
                </w:r>
                <w:r>
                  <w:rPr>
                    <w:rFonts w:ascii="Times New Roman"/>
                    <w:sz w:val="20"/>
                  </w:rPr>
                  <w:instrText> PAGE </w:instrText>
                </w:r>
                <w:r>
                  <w:rPr/>
                  <w:fldChar w:fldCharType="separate"/>
                </w:r>
                <w:r>
                  <w:rPr/>
                  <w:t>10</w:t>
                </w:r>
                <w:r>
                  <w:rPr/>
                  <w:fldChar w:fldCharType="end"/>
                </w:r>
                <w:r>
                  <w:rPr>
                    <w:rFonts w:ascii="Times New Roman"/>
                    <w:sz w:val="20"/>
                  </w:rPr>
                  <w:t>/25</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328" from="56.664001pt,34.439983pt" to="538.684001pt,34.439983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664001pt;margin-top:23.200607pt;width:182.35pt;height:12pt;mso-position-horizontal-relative:page;mso-position-vertical-relative:page;z-index:-45304" type="#_x0000_t202" filled="false" stroked="false">
          <v:textbox inset="0,0,0,0">
            <w:txbxContent>
              <w:p>
                <w:pPr>
                  <w:spacing w:line="219" w:lineRule="exact" w:before="0"/>
                  <w:ind w:left="20" w:right="0" w:firstLine="0"/>
                  <w:jc w:val="left"/>
                  <w:rPr>
                    <w:sz w:val="20"/>
                  </w:rPr>
                </w:pPr>
                <w:r>
                  <w:rPr>
                    <w:sz w:val="20"/>
                  </w:rPr>
                  <w:t>君龙附加安心豁免保费重大疾病保险条款</w:t>
                </w:r>
              </w:p>
            </w:txbxContent>
          </v:textbox>
          <w10:wrap type="none"/>
        </v:shape>
      </w:pict>
    </w:r>
    <w:r>
      <w:rPr/>
      <w:pict>
        <v:shape style="position:absolute;margin-left:437.459991pt;margin-top:23.200607pt;width:102.05pt;height:12pt;mso-position-horizontal-relative:page;mso-position-vertical-relative:page;z-index:-45280" type="#_x0000_t202" filled="false" stroked="false">
          <v:textbox inset="0,0,0,0">
            <w:txbxContent>
              <w:p>
                <w:pPr>
                  <w:spacing w:line="219" w:lineRule="exact" w:before="0"/>
                  <w:ind w:left="20" w:right="0" w:firstLine="0"/>
                  <w:jc w:val="left"/>
                  <w:rPr>
                    <w:sz w:val="20"/>
                  </w:rPr>
                </w:pPr>
                <w:r>
                  <w:rPr>
                    <w:w w:val="95"/>
                    <w:sz w:val="20"/>
                  </w:rPr>
                  <w:t>君龙人寿保险有限公司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0">
    <w:multiLevelType w:val="hybridMultilevel"/>
    <w:lvl w:ilvl="0">
      <w:start w:val="1"/>
      <w:numFmt w:val="decimal"/>
      <w:lvlText w:val="(%1)"/>
      <w:lvlJc w:val="left"/>
      <w:pPr>
        <w:ind w:left="562" w:hanging="454"/>
        <w:jc w:val="left"/>
      </w:pPr>
      <w:rPr>
        <w:rFonts w:hint="default" w:ascii="宋体" w:hAnsi="宋体" w:eastAsia="宋体" w:cs="宋体"/>
        <w:w w:val="100"/>
        <w:sz w:val="22"/>
        <w:szCs w:val="22"/>
      </w:rPr>
    </w:lvl>
    <w:lvl w:ilvl="1">
      <w:start w:val="0"/>
      <w:numFmt w:val="bullet"/>
      <w:lvlText w:val="•"/>
      <w:lvlJc w:val="left"/>
      <w:pPr>
        <w:ind w:left="1267" w:hanging="454"/>
      </w:pPr>
      <w:rPr>
        <w:rFonts w:hint="default"/>
      </w:rPr>
    </w:lvl>
    <w:lvl w:ilvl="2">
      <w:start w:val="0"/>
      <w:numFmt w:val="bullet"/>
      <w:lvlText w:val="•"/>
      <w:lvlJc w:val="left"/>
      <w:pPr>
        <w:ind w:left="1975" w:hanging="454"/>
      </w:pPr>
      <w:rPr>
        <w:rFonts w:hint="default"/>
      </w:rPr>
    </w:lvl>
    <w:lvl w:ilvl="3">
      <w:start w:val="0"/>
      <w:numFmt w:val="bullet"/>
      <w:lvlText w:val="•"/>
      <w:lvlJc w:val="left"/>
      <w:pPr>
        <w:ind w:left="2683" w:hanging="454"/>
      </w:pPr>
      <w:rPr>
        <w:rFonts w:hint="default"/>
      </w:rPr>
    </w:lvl>
    <w:lvl w:ilvl="4">
      <w:start w:val="0"/>
      <w:numFmt w:val="bullet"/>
      <w:lvlText w:val="•"/>
      <w:lvlJc w:val="left"/>
      <w:pPr>
        <w:ind w:left="3391" w:hanging="454"/>
      </w:pPr>
      <w:rPr>
        <w:rFonts w:hint="default"/>
      </w:rPr>
    </w:lvl>
    <w:lvl w:ilvl="5">
      <w:start w:val="0"/>
      <w:numFmt w:val="bullet"/>
      <w:lvlText w:val="•"/>
      <w:lvlJc w:val="left"/>
      <w:pPr>
        <w:ind w:left="4099" w:hanging="454"/>
      </w:pPr>
      <w:rPr>
        <w:rFonts w:hint="default"/>
      </w:rPr>
    </w:lvl>
    <w:lvl w:ilvl="6">
      <w:start w:val="0"/>
      <w:numFmt w:val="bullet"/>
      <w:lvlText w:val="•"/>
      <w:lvlJc w:val="left"/>
      <w:pPr>
        <w:ind w:left="4806" w:hanging="454"/>
      </w:pPr>
      <w:rPr>
        <w:rFonts w:hint="default"/>
      </w:rPr>
    </w:lvl>
    <w:lvl w:ilvl="7">
      <w:start w:val="0"/>
      <w:numFmt w:val="bullet"/>
      <w:lvlText w:val="•"/>
      <w:lvlJc w:val="left"/>
      <w:pPr>
        <w:ind w:left="5514" w:hanging="454"/>
      </w:pPr>
      <w:rPr>
        <w:rFonts w:hint="default"/>
      </w:rPr>
    </w:lvl>
    <w:lvl w:ilvl="8">
      <w:start w:val="0"/>
      <w:numFmt w:val="bullet"/>
      <w:lvlText w:val="•"/>
      <w:lvlJc w:val="left"/>
      <w:pPr>
        <w:ind w:left="6222" w:hanging="454"/>
      </w:pPr>
      <w:rPr>
        <w:rFonts w:hint="default"/>
      </w:rPr>
    </w:lvl>
  </w:abstractNum>
  <w:abstractNum w:abstractNumId="49">
    <w:multiLevelType w:val="hybridMultilevel"/>
    <w:lvl w:ilvl="0">
      <w:start w:val="1"/>
      <w:numFmt w:val="decimal"/>
      <w:lvlText w:val="(%1)"/>
      <w:lvlJc w:val="left"/>
      <w:pPr>
        <w:ind w:left="562" w:hanging="454"/>
        <w:jc w:val="left"/>
      </w:pPr>
      <w:rPr>
        <w:rFonts w:hint="default" w:ascii="宋体" w:hAnsi="宋体" w:eastAsia="宋体" w:cs="宋体"/>
        <w:w w:val="100"/>
        <w:sz w:val="22"/>
        <w:szCs w:val="22"/>
      </w:rPr>
    </w:lvl>
    <w:lvl w:ilvl="1">
      <w:start w:val="0"/>
      <w:numFmt w:val="bullet"/>
      <w:lvlText w:val="•"/>
      <w:lvlJc w:val="left"/>
      <w:pPr>
        <w:ind w:left="1267" w:hanging="454"/>
      </w:pPr>
      <w:rPr>
        <w:rFonts w:hint="default"/>
      </w:rPr>
    </w:lvl>
    <w:lvl w:ilvl="2">
      <w:start w:val="0"/>
      <w:numFmt w:val="bullet"/>
      <w:lvlText w:val="•"/>
      <w:lvlJc w:val="left"/>
      <w:pPr>
        <w:ind w:left="1975" w:hanging="454"/>
      </w:pPr>
      <w:rPr>
        <w:rFonts w:hint="default"/>
      </w:rPr>
    </w:lvl>
    <w:lvl w:ilvl="3">
      <w:start w:val="0"/>
      <w:numFmt w:val="bullet"/>
      <w:lvlText w:val="•"/>
      <w:lvlJc w:val="left"/>
      <w:pPr>
        <w:ind w:left="2683" w:hanging="454"/>
      </w:pPr>
      <w:rPr>
        <w:rFonts w:hint="default"/>
      </w:rPr>
    </w:lvl>
    <w:lvl w:ilvl="4">
      <w:start w:val="0"/>
      <w:numFmt w:val="bullet"/>
      <w:lvlText w:val="•"/>
      <w:lvlJc w:val="left"/>
      <w:pPr>
        <w:ind w:left="3391" w:hanging="454"/>
      </w:pPr>
      <w:rPr>
        <w:rFonts w:hint="default"/>
      </w:rPr>
    </w:lvl>
    <w:lvl w:ilvl="5">
      <w:start w:val="0"/>
      <w:numFmt w:val="bullet"/>
      <w:lvlText w:val="•"/>
      <w:lvlJc w:val="left"/>
      <w:pPr>
        <w:ind w:left="4099" w:hanging="454"/>
      </w:pPr>
      <w:rPr>
        <w:rFonts w:hint="default"/>
      </w:rPr>
    </w:lvl>
    <w:lvl w:ilvl="6">
      <w:start w:val="0"/>
      <w:numFmt w:val="bullet"/>
      <w:lvlText w:val="•"/>
      <w:lvlJc w:val="left"/>
      <w:pPr>
        <w:ind w:left="4806" w:hanging="454"/>
      </w:pPr>
      <w:rPr>
        <w:rFonts w:hint="default"/>
      </w:rPr>
    </w:lvl>
    <w:lvl w:ilvl="7">
      <w:start w:val="0"/>
      <w:numFmt w:val="bullet"/>
      <w:lvlText w:val="•"/>
      <w:lvlJc w:val="left"/>
      <w:pPr>
        <w:ind w:left="5514" w:hanging="454"/>
      </w:pPr>
      <w:rPr>
        <w:rFonts w:hint="default"/>
      </w:rPr>
    </w:lvl>
    <w:lvl w:ilvl="8">
      <w:start w:val="0"/>
      <w:numFmt w:val="bullet"/>
      <w:lvlText w:val="•"/>
      <w:lvlJc w:val="left"/>
      <w:pPr>
        <w:ind w:left="6222" w:hanging="454"/>
      </w:pPr>
      <w:rPr>
        <w:rFonts w:hint="default"/>
      </w:rPr>
    </w:lvl>
  </w:abstractNum>
  <w:abstractNum w:abstractNumId="48">
    <w:multiLevelType w:val="hybridMultilevel"/>
    <w:lvl w:ilvl="0">
      <w:start w:val="3"/>
      <w:numFmt w:val="decimal"/>
      <w:lvlText w:val="(%1)"/>
      <w:lvlJc w:val="left"/>
      <w:pPr>
        <w:ind w:left="562" w:hanging="454"/>
        <w:jc w:val="left"/>
      </w:pPr>
      <w:rPr>
        <w:rFonts w:hint="default" w:ascii="宋体" w:hAnsi="宋体" w:eastAsia="宋体" w:cs="宋体"/>
        <w:w w:val="100"/>
        <w:sz w:val="22"/>
        <w:szCs w:val="22"/>
      </w:rPr>
    </w:lvl>
    <w:lvl w:ilvl="1">
      <w:start w:val="0"/>
      <w:numFmt w:val="bullet"/>
      <w:lvlText w:val="•"/>
      <w:lvlJc w:val="left"/>
      <w:pPr>
        <w:ind w:left="1267" w:hanging="454"/>
      </w:pPr>
      <w:rPr>
        <w:rFonts w:hint="default"/>
      </w:rPr>
    </w:lvl>
    <w:lvl w:ilvl="2">
      <w:start w:val="0"/>
      <w:numFmt w:val="bullet"/>
      <w:lvlText w:val="•"/>
      <w:lvlJc w:val="left"/>
      <w:pPr>
        <w:ind w:left="1975" w:hanging="454"/>
      </w:pPr>
      <w:rPr>
        <w:rFonts w:hint="default"/>
      </w:rPr>
    </w:lvl>
    <w:lvl w:ilvl="3">
      <w:start w:val="0"/>
      <w:numFmt w:val="bullet"/>
      <w:lvlText w:val="•"/>
      <w:lvlJc w:val="left"/>
      <w:pPr>
        <w:ind w:left="2683" w:hanging="454"/>
      </w:pPr>
      <w:rPr>
        <w:rFonts w:hint="default"/>
      </w:rPr>
    </w:lvl>
    <w:lvl w:ilvl="4">
      <w:start w:val="0"/>
      <w:numFmt w:val="bullet"/>
      <w:lvlText w:val="•"/>
      <w:lvlJc w:val="left"/>
      <w:pPr>
        <w:ind w:left="3391" w:hanging="454"/>
      </w:pPr>
      <w:rPr>
        <w:rFonts w:hint="default"/>
      </w:rPr>
    </w:lvl>
    <w:lvl w:ilvl="5">
      <w:start w:val="0"/>
      <w:numFmt w:val="bullet"/>
      <w:lvlText w:val="•"/>
      <w:lvlJc w:val="left"/>
      <w:pPr>
        <w:ind w:left="4099" w:hanging="454"/>
      </w:pPr>
      <w:rPr>
        <w:rFonts w:hint="default"/>
      </w:rPr>
    </w:lvl>
    <w:lvl w:ilvl="6">
      <w:start w:val="0"/>
      <w:numFmt w:val="bullet"/>
      <w:lvlText w:val="•"/>
      <w:lvlJc w:val="left"/>
      <w:pPr>
        <w:ind w:left="4806" w:hanging="454"/>
      </w:pPr>
      <w:rPr>
        <w:rFonts w:hint="default"/>
      </w:rPr>
    </w:lvl>
    <w:lvl w:ilvl="7">
      <w:start w:val="0"/>
      <w:numFmt w:val="bullet"/>
      <w:lvlText w:val="•"/>
      <w:lvlJc w:val="left"/>
      <w:pPr>
        <w:ind w:left="5514" w:hanging="454"/>
      </w:pPr>
      <w:rPr>
        <w:rFonts w:hint="default"/>
      </w:rPr>
    </w:lvl>
    <w:lvl w:ilvl="8">
      <w:start w:val="0"/>
      <w:numFmt w:val="bullet"/>
      <w:lvlText w:val="•"/>
      <w:lvlJc w:val="left"/>
      <w:pPr>
        <w:ind w:left="6222" w:hanging="454"/>
      </w:pPr>
      <w:rPr>
        <w:rFonts w:hint="default"/>
      </w:rPr>
    </w:lvl>
  </w:abstractNum>
  <w:abstractNum w:abstractNumId="47">
    <w:multiLevelType w:val="hybridMultilevel"/>
    <w:lvl w:ilvl="0">
      <w:start w:val="1"/>
      <w:numFmt w:val="decimal"/>
      <w:lvlText w:val="(%1)"/>
      <w:lvlJc w:val="left"/>
      <w:pPr>
        <w:ind w:left="562" w:hanging="454"/>
        <w:jc w:val="left"/>
      </w:pPr>
      <w:rPr>
        <w:rFonts w:hint="default" w:ascii="宋体" w:hAnsi="宋体" w:eastAsia="宋体" w:cs="宋体"/>
        <w:w w:val="100"/>
        <w:sz w:val="22"/>
        <w:szCs w:val="22"/>
      </w:rPr>
    </w:lvl>
    <w:lvl w:ilvl="1">
      <w:start w:val="0"/>
      <w:numFmt w:val="bullet"/>
      <w:lvlText w:val="•"/>
      <w:lvlJc w:val="left"/>
      <w:pPr>
        <w:ind w:left="1252" w:hanging="454"/>
      </w:pPr>
      <w:rPr>
        <w:rFonts w:hint="default"/>
      </w:rPr>
    </w:lvl>
    <w:lvl w:ilvl="2">
      <w:start w:val="0"/>
      <w:numFmt w:val="bullet"/>
      <w:lvlText w:val="•"/>
      <w:lvlJc w:val="left"/>
      <w:pPr>
        <w:ind w:left="1944" w:hanging="454"/>
      </w:pPr>
      <w:rPr>
        <w:rFonts w:hint="default"/>
      </w:rPr>
    </w:lvl>
    <w:lvl w:ilvl="3">
      <w:start w:val="0"/>
      <w:numFmt w:val="bullet"/>
      <w:lvlText w:val="•"/>
      <w:lvlJc w:val="left"/>
      <w:pPr>
        <w:ind w:left="2637" w:hanging="454"/>
      </w:pPr>
      <w:rPr>
        <w:rFonts w:hint="default"/>
      </w:rPr>
    </w:lvl>
    <w:lvl w:ilvl="4">
      <w:start w:val="0"/>
      <w:numFmt w:val="bullet"/>
      <w:lvlText w:val="•"/>
      <w:lvlJc w:val="left"/>
      <w:pPr>
        <w:ind w:left="3329" w:hanging="454"/>
      </w:pPr>
      <w:rPr>
        <w:rFonts w:hint="default"/>
      </w:rPr>
    </w:lvl>
    <w:lvl w:ilvl="5">
      <w:start w:val="0"/>
      <w:numFmt w:val="bullet"/>
      <w:lvlText w:val="•"/>
      <w:lvlJc w:val="left"/>
      <w:pPr>
        <w:ind w:left="4022" w:hanging="454"/>
      </w:pPr>
      <w:rPr>
        <w:rFonts w:hint="default"/>
      </w:rPr>
    </w:lvl>
    <w:lvl w:ilvl="6">
      <w:start w:val="0"/>
      <w:numFmt w:val="bullet"/>
      <w:lvlText w:val="•"/>
      <w:lvlJc w:val="left"/>
      <w:pPr>
        <w:ind w:left="4714" w:hanging="454"/>
      </w:pPr>
      <w:rPr>
        <w:rFonts w:hint="default"/>
      </w:rPr>
    </w:lvl>
    <w:lvl w:ilvl="7">
      <w:start w:val="0"/>
      <w:numFmt w:val="bullet"/>
      <w:lvlText w:val="•"/>
      <w:lvlJc w:val="left"/>
      <w:pPr>
        <w:ind w:left="5406" w:hanging="454"/>
      </w:pPr>
      <w:rPr>
        <w:rFonts w:hint="default"/>
      </w:rPr>
    </w:lvl>
    <w:lvl w:ilvl="8">
      <w:start w:val="0"/>
      <w:numFmt w:val="bullet"/>
      <w:lvlText w:val="•"/>
      <w:lvlJc w:val="left"/>
      <w:pPr>
        <w:ind w:left="6099" w:hanging="454"/>
      </w:pPr>
      <w:rPr>
        <w:rFonts w:hint="default"/>
      </w:rPr>
    </w:lvl>
  </w:abstractNum>
  <w:abstractNum w:abstractNumId="46">
    <w:multiLevelType w:val="hybridMultilevel"/>
    <w:lvl w:ilvl="0">
      <w:start w:val="1"/>
      <w:numFmt w:val="decimal"/>
      <w:lvlText w:val="(%1)"/>
      <w:lvlJc w:val="left"/>
      <w:pPr>
        <w:ind w:left="2921" w:hanging="454"/>
        <w:jc w:val="left"/>
      </w:pPr>
      <w:rPr>
        <w:rFonts w:hint="default" w:ascii="宋体" w:hAnsi="宋体" w:eastAsia="宋体" w:cs="宋体"/>
        <w:w w:val="100"/>
        <w:sz w:val="22"/>
        <w:szCs w:val="22"/>
      </w:rPr>
    </w:lvl>
    <w:lvl w:ilvl="1">
      <w:start w:val="0"/>
      <w:numFmt w:val="bullet"/>
      <w:lvlText w:val="•"/>
      <w:lvlJc w:val="left"/>
      <w:pPr>
        <w:ind w:left="3622" w:hanging="454"/>
      </w:pPr>
      <w:rPr>
        <w:rFonts w:hint="default"/>
      </w:rPr>
    </w:lvl>
    <w:lvl w:ilvl="2">
      <w:start w:val="0"/>
      <w:numFmt w:val="bullet"/>
      <w:lvlText w:val="•"/>
      <w:lvlJc w:val="left"/>
      <w:pPr>
        <w:ind w:left="4325" w:hanging="454"/>
      </w:pPr>
      <w:rPr>
        <w:rFonts w:hint="default"/>
      </w:rPr>
    </w:lvl>
    <w:lvl w:ilvl="3">
      <w:start w:val="0"/>
      <w:numFmt w:val="bullet"/>
      <w:lvlText w:val="•"/>
      <w:lvlJc w:val="left"/>
      <w:pPr>
        <w:ind w:left="5027" w:hanging="454"/>
      </w:pPr>
      <w:rPr>
        <w:rFonts w:hint="default"/>
      </w:rPr>
    </w:lvl>
    <w:lvl w:ilvl="4">
      <w:start w:val="0"/>
      <w:numFmt w:val="bullet"/>
      <w:lvlText w:val="•"/>
      <w:lvlJc w:val="left"/>
      <w:pPr>
        <w:ind w:left="5730" w:hanging="454"/>
      </w:pPr>
      <w:rPr>
        <w:rFonts w:hint="default"/>
      </w:rPr>
    </w:lvl>
    <w:lvl w:ilvl="5">
      <w:start w:val="0"/>
      <w:numFmt w:val="bullet"/>
      <w:lvlText w:val="•"/>
      <w:lvlJc w:val="left"/>
      <w:pPr>
        <w:ind w:left="6433" w:hanging="454"/>
      </w:pPr>
      <w:rPr>
        <w:rFonts w:hint="default"/>
      </w:rPr>
    </w:lvl>
    <w:lvl w:ilvl="6">
      <w:start w:val="0"/>
      <w:numFmt w:val="bullet"/>
      <w:lvlText w:val="•"/>
      <w:lvlJc w:val="left"/>
      <w:pPr>
        <w:ind w:left="7135" w:hanging="454"/>
      </w:pPr>
      <w:rPr>
        <w:rFonts w:hint="default"/>
      </w:rPr>
    </w:lvl>
    <w:lvl w:ilvl="7">
      <w:start w:val="0"/>
      <w:numFmt w:val="bullet"/>
      <w:lvlText w:val="•"/>
      <w:lvlJc w:val="left"/>
      <w:pPr>
        <w:ind w:left="7838" w:hanging="454"/>
      </w:pPr>
      <w:rPr>
        <w:rFonts w:hint="default"/>
      </w:rPr>
    </w:lvl>
    <w:lvl w:ilvl="8">
      <w:start w:val="0"/>
      <w:numFmt w:val="bullet"/>
      <w:lvlText w:val="•"/>
      <w:lvlJc w:val="left"/>
      <w:pPr>
        <w:ind w:left="8541" w:hanging="454"/>
      </w:pPr>
      <w:rPr>
        <w:rFonts w:hint="default"/>
      </w:rPr>
    </w:lvl>
  </w:abstractNum>
  <w:abstractNum w:abstractNumId="45">
    <w:multiLevelType w:val="hybridMultilevel"/>
    <w:lvl w:ilvl="0">
      <w:start w:val="2"/>
      <w:numFmt w:val="decimal"/>
      <w:lvlText w:val="(%1)"/>
      <w:lvlJc w:val="left"/>
      <w:pPr>
        <w:ind w:left="2921" w:hanging="454"/>
        <w:jc w:val="left"/>
      </w:pPr>
      <w:rPr>
        <w:rFonts w:hint="default" w:ascii="宋体" w:hAnsi="宋体" w:eastAsia="宋体" w:cs="宋体"/>
        <w:w w:val="100"/>
        <w:sz w:val="22"/>
        <w:szCs w:val="22"/>
      </w:rPr>
    </w:lvl>
    <w:lvl w:ilvl="1">
      <w:start w:val="0"/>
      <w:numFmt w:val="bullet"/>
      <w:lvlText w:val="•"/>
      <w:lvlJc w:val="left"/>
      <w:pPr>
        <w:ind w:left="3622" w:hanging="454"/>
      </w:pPr>
      <w:rPr>
        <w:rFonts w:hint="default"/>
      </w:rPr>
    </w:lvl>
    <w:lvl w:ilvl="2">
      <w:start w:val="0"/>
      <w:numFmt w:val="bullet"/>
      <w:lvlText w:val="•"/>
      <w:lvlJc w:val="left"/>
      <w:pPr>
        <w:ind w:left="4325" w:hanging="454"/>
      </w:pPr>
      <w:rPr>
        <w:rFonts w:hint="default"/>
      </w:rPr>
    </w:lvl>
    <w:lvl w:ilvl="3">
      <w:start w:val="0"/>
      <w:numFmt w:val="bullet"/>
      <w:lvlText w:val="•"/>
      <w:lvlJc w:val="left"/>
      <w:pPr>
        <w:ind w:left="5027" w:hanging="454"/>
      </w:pPr>
      <w:rPr>
        <w:rFonts w:hint="default"/>
      </w:rPr>
    </w:lvl>
    <w:lvl w:ilvl="4">
      <w:start w:val="0"/>
      <w:numFmt w:val="bullet"/>
      <w:lvlText w:val="•"/>
      <w:lvlJc w:val="left"/>
      <w:pPr>
        <w:ind w:left="5730" w:hanging="454"/>
      </w:pPr>
      <w:rPr>
        <w:rFonts w:hint="default"/>
      </w:rPr>
    </w:lvl>
    <w:lvl w:ilvl="5">
      <w:start w:val="0"/>
      <w:numFmt w:val="bullet"/>
      <w:lvlText w:val="•"/>
      <w:lvlJc w:val="left"/>
      <w:pPr>
        <w:ind w:left="6433" w:hanging="454"/>
      </w:pPr>
      <w:rPr>
        <w:rFonts w:hint="default"/>
      </w:rPr>
    </w:lvl>
    <w:lvl w:ilvl="6">
      <w:start w:val="0"/>
      <w:numFmt w:val="bullet"/>
      <w:lvlText w:val="•"/>
      <w:lvlJc w:val="left"/>
      <w:pPr>
        <w:ind w:left="7135" w:hanging="454"/>
      </w:pPr>
      <w:rPr>
        <w:rFonts w:hint="default"/>
      </w:rPr>
    </w:lvl>
    <w:lvl w:ilvl="7">
      <w:start w:val="0"/>
      <w:numFmt w:val="bullet"/>
      <w:lvlText w:val="•"/>
      <w:lvlJc w:val="left"/>
      <w:pPr>
        <w:ind w:left="7838" w:hanging="454"/>
      </w:pPr>
      <w:rPr>
        <w:rFonts w:hint="default"/>
      </w:rPr>
    </w:lvl>
    <w:lvl w:ilvl="8">
      <w:start w:val="0"/>
      <w:numFmt w:val="bullet"/>
      <w:lvlText w:val="•"/>
      <w:lvlJc w:val="left"/>
      <w:pPr>
        <w:ind w:left="8541" w:hanging="454"/>
      </w:pPr>
      <w:rPr>
        <w:rFonts w:hint="default"/>
      </w:rPr>
    </w:lvl>
  </w:abstractNum>
  <w:abstractNum w:abstractNumId="44">
    <w:multiLevelType w:val="hybridMultilevel"/>
    <w:lvl w:ilvl="0">
      <w:start w:val="1"/>
      <w:numFmt w:val="decimal"/>
      <w:lvlText w:val="(%1)"/>
      <w:lvlJc w:val="left"/>
      <w:pPr>
        <w:ind w:left="548" w:hanging="454"/>
        <w:jc w:val="left"/>
      </w:pPr>
      <w:rPr>
        <w:rFonts w:hint="default" w:ascii="宋体" w:hAnsi="宋体" w:eastAsia="宋体" w:cs="宋体"/>
        <w:w w:val="100"/>
        <w:sz w:val="22"/>
        <w:szCs w:val="22"/>
      </w:rPr>
    </w:lvl>
    <w:lvl w:ilvl="1">
      <w:start w:val="0"/>
      <w:numFmt w:val="bullet"/>
      <w:lvlText w:val="•"/>
      <w:lvlJc w:val="left"/>
      <w:pPr>
        <w:ind w:left="1248" w:hanging="454"/>
      </w:pPr>
      <w:rPr>
        <w:rFonts w:hint="default"/>
      </w:rPr>
    </w:lvl>
    <w:lvl w:ilvl="2">
      <w:start w:val="0"/>
      <w:numFmt w:val="bullet"/>
      <w:lvlText w:val="•"/>
      <w:lvlJc w:val="left"/>
      <w:pPr>
        <w:ind w:left="1957" w:hanging="454"/>
      </w:pPr>
      <w:rPr>
        <w:rFonts w:hint="default"/>
      </w:rPr>
    </w:lvl>
    <w:lvl w:ilvl="3">
      <w:start w:val="0"/>
      <w:numFmt w:val="bullet"/>
      <w:lvlText w:val="•"/>
      <w:lvlJc w:val="left"/>
      <w:pPr>
        <w:ind w:left="2665" w:hanging="454"/>
      </w:pPr>
      <w:rPr>
        <w:rFonts w:hint="default"/>
      </w:rPr>
    </w:lvl>
    <w:lvl w:ilvl="4">
      <w:start w:val="0"/>
      <w:numFmt w:val="bullet"/>
      <w:lvlText w:val="•"/>
      <w:lvlJc w:val="left"/>
      <w:pPr>
        <w:ind w:left="3374" w:hanging="454"/>
      </w:pPr>
      <w:rPr>
        <w:rFonts w:hint="default"/>
      </w:rPr>
    </w:lvl>
    <w:lvl w:ilvl="5">
      <w:start w:val="0"/>
      <w:numFmt w:val="bullet"/>
      <w:lvlText w:val="•"/>
      <w:lvlJc w:val="left"/>
      <w:pPr>
        <w:ind w:left="4082" w:hanging="454"/>
      </w:pPr>
      <w:rPr>
        <w:rFonts w:hint="default"/>
      </w:rPr>
    </w:lvl>
    <w:lvl w:ilvl="6">
      <w:start w:val="0"/>
      <w:numFmt w:val="bullet"/>
      <w:lvlText w:val="•"/>
      <w:lvlJc w:val="left"/>
      <w:pPr>
        <w:ind w:left="4791" w:hanging="454"/>
      </w:pPr>
      <w:rPr>
        <w:rFonts w:hint="default"/>
      </w:rPr>
    </w:lvl>
    <w:lvl w:ilvl="7">
      <w:start w:val="0"/>
      <w:numFmt w:val="bullet"/>
      <w:lvlText w:val="•"/>
      <w:lvlJc w:val="left"/>
      <w:pPr>
        <w:ind w:left="5499" w:hanging="454"/>
      </w:pPr>
      <w:rPr>
        <w:rFonts w:hint="default"/>
      </w:rPr>
    </w:lvl>
    <w:lvl w:ilvl="8">
      <w:start w:val="0"/>
      <w:numFmt w:val="bullet"/>
      <w:lvlText w:val="•"/>
      <w:lvlJc w:val="left"/>
      <w:pPr>
        <w:ind w:left="6208" w:hanging="454"/>
      </w:pPr>
      <w:rPr>
        <w:rFonts w:hint="default"/>
      </w:rPr>
    </w:lvl>
  </w:abstractNum>
  <w:abstractNum w:abstractNumId="43">
    <w:multiLevelType w:val="hybridMultilevel"/>
    <w:lvl w:ilvl="0">
      <w:start w:val="1"/>
      <w:numFmt w:val="decimal"/>
      <w:lvlText w:val="(%1)"/>
      <w:lvlJc w:val="left"/>
      <w:pPr>
        <w:ind w:left="548" w:hanging="454"/>
        <w:jc w:val="left"/>
      </w:pPr>
      <w:rPr>
        <w:rFonts w:hint="default" w:ascii="宋体" w:hAnsi="宋体" w:eastAsia="宋体" w:cs="宋体"/>
        <w:w w:val="100"/>
        <w:sz w:val="22"/>
        <w:szCs w:val="22"/>
      </w:rPr>
    </w:lvl>
    <w:lvl w:ilvl="1">
      <w:start w:val="0"/>
      <w:numFmt w:val="bullet"/>
      <w:lvlText w:val="•"/>
      <w:lvlJc w:val="left"/>
      <w:pPr>
        <w:ind w:left="1248" w:hanging="454"/>
      </w:pPr>
      <w:rPr>
        <w:rFonts w:hint="default"/>
      </w:rPr>
    </w:lvl>
    <w:lvl w:ilvl="2">
      <w:start w:val="0"/>
      <w:numFmt w:val="bullet"/>
      <w:lvlText w:val="•"/>
      <w:lvlJc w:val="left"/>
      <w:pPr>
        <w:ind w:left="1957" w:hanging="454"/>
      </w:pPr>
      <w:rPr>
        <w:rFonts w:hint="default"/>
      </w:rPr>
    </w:lvl>
    <w:lvl w:ilvl="3">
      <w:start w:val="0"/>
      <w:numFmt w:val="bullet"/>
      <w:lvlText w:val="•"/>
      <w:lvlJc w:val="left"/>
      <w:pPr>
        <w:ind w:left="2665" w:hanging="454"/>
      </w:pPr>
      <w:rPr>
        <w:rFonts w:hint="default"/>
      </w:rPr>
    </w:lvl>
    <w:lvl w:ilvl="4">
      <w:start w:val="0"/>
      <w:numFmt w:val="bullet"/>
      <w:lvlText w:val="•"/>
      <w:lvlJc w:val="left"/>
      <w:pPr>
        <w:ind w:left="3374" w:hanging="454"/>
      </w:pPr>
      <w:rPr>
        <w:rFonts w:hint="default"/>
      </w:rPr>
    </w:lvl>
    <w:lvl w:ilvl="5">
      <w:start w:val="0"/>
      <w:numFmt w:val="bullet"/>
      <w:lvlText w:val="•"/>
      <w:lvlJc w:val="left"/>
      <w:pPr>
        <w:ind w:left="4082" w:hanging="454"/>
      </w:pPr>
      <w:rPr>
        <w:rFonts w:hint="default"/>
      </w:rPr>
    </w:lvl>
    <w:lvl w:ilvl="6">
      <w:start w:val="0"/>
      <w:numFmt w:val="bullet"/>
      <w:lvlText w:val="•"/>
      <w:lvlJc w:val="left"/>
      <w:pPr>
        <w:ind w:left="4791" w:hanging="454"/>
      </w:pPr>
      <w:rPr>
        <w:rFonts w:hint="default"/>
      </w:rPr>
    </w:lvl>
    <w:lvl w:ilvl="7">
      <w:start w:val="0"/>
      <w:numFmt w:val="bullet"/>
      <w:lvlText w:val="•"/>
      <w:lvlJc w:val="left"/>
      <w:pPr>
        <w:ind w:left="5499" w:hanging="454"/>
      </w:pPr>
      <w:rPr>
        <w:rFonts w:hint="default"/>
      </w:rPr>
    </w:lvl>
    <w:lvl w:ilvl="8">
      <w:start w:val="0"/>
      <w:numFmt w:val="bullet"/>
      <w:lvlText w:val="•"/>
      <w:lvlJc w:val="left"/>
      <w:pPr>
        <w:ind w:left="6208" w:hanging="454"/>
      </w:pPr>
      <w:rPr>
        <w:rFonts w:hint="default"/>
      </w:rPr>
    </w:lvl>
  </w:abstractNum>
  <w:abstractNum w:abstractNumId="42">
    <w:multiLevelType w:val="hybridMultilevel"/>
    <w:lvl w:ilvl="0">
      <w:start w:val="1"/>
      <w:numFmt w:val="decimal"/>
      <w:lvlText w:val="(%1)"/>
      <w:lvlJc w:val="left"/>
      <w:pPr>
        <w:ind w:left="548" w:hanging="454"/>
        <w:jc w:val="left"/>
      </w:pPr>
      <w:rPr>
        <w:rFonts w:hint="default" w:ascii="宋体" w:hAnsi="宋体" w:eastAsia="宋体" w:cs="宋体"/>
        <w:w w:val="100"/>
        <w:sz w:val="22"/>
        <w:szCs w:val="22"/>
      </w:rPr>
    </w:lvl>
    <w:lvl w:ilvl="1">
      <w:start w:val="0"/>
      <w:numFmt w:val="bullet"/>
      <w:lvlText w:val="•"/>
      <w:lvlJc w:val="left"/>
      <w:pPr>
        <w:ind w:left="940" w:hanging="454"/>
      </w:pPr>
      <w:rPr>
        <w:rFonts w:hint="default"/>
      </w:rPr>
    </w:lvl>
    <w:lvl w:ilvl="2">
      <w:start w:val="0"/>
      <w:numFmt w:val="bullet"/>
      <w:lvlText w:val="•"/>
      <w:lvlJc w:val="left"/>
      <w:pPr>
        <w:ind w:left="1682" w:hanging="454"/>
      </w:pPr>
      <w:rPr>
        <w:rFonts w:hint="default"/>
      </w:rPr>
    </w:lvl>
    <w:lvl w:ilvl="3">
      <w:start w:val="0"/>
      <w:numFmt w:val="bullet"/>
      <w:lvlText w:val="•"/>
      <w:lvlJc w:val="left"/>
      <w:pPr>
        <w:ind w:left="2425" w:hanging="454"/>
      </w:pPr>
      <w:rPr>
        <w:rFonts w:hint="default"/>
      </w:rPr>
    </w:lvl>
    <w:lvl w:ilvl="4">
      <w:start w:val="0"/>
      <w:numFmt w:val="bullet"/>
      <w:lvlText w:val="•"/>
      <w:lvlJc w:val="left"/>
      <w:pPr>
        <w:ind w:left="3168" w:hanging="454"/>
      </w:pPr>
      <w:rPr>
        <w:rFonts w:hint="default"/>
      </w:rPr>
    </w:lvl>
    <w:lvl w:ilvl="5">
      <w:start w:val="0"/>
      <w:numFmt w:val="bullet"/>
      <w:lvlText w:val="•"/>
      <w:lvlJc w:val="left"/>
      <w:pPr>
        <w:ind w:left="3911" w:hanging="454"/>
      </w:pPr>
      <w:rPr>
        <w:rFonts w:hint="default"/>
      </w:rPr>
    </w:lvl>
    <w:lvl w:ilvl="6">
      <w:start w:val="0"/>
      <w:numFmt w:val="bullet"/>
      <w:lvlText w:val="•"/>
      <w:lvlJc w:val="left"/>
      <w:pPr>
        <w:ind w:left="4653" w:hanging="454"/>
      </w:pPr>
      <w:rPr>
        <w:rFonts w:hint="default"/>
      </w:rPr>
    </w:lvl>
    <w:lvl w:ilvl="7">
      <w:start w:val="0"/>
      <w:numFmt w:val="bullet"/>
      <w:lvlText w:val="•"/>
      <w:lvlJc w:val="left"/>
      <w:pPr>
        <w:ind w:left="5396" w:hanging="454"/>
      </w:pPr>
      <w:rPr>
        <w:rFonts w:hint="default"/>
      </w:rPr>
    </w:lvl>
    <w:lvl w:ilvl="8">
      <w:start w:val="0"/>
      <w:numFmt w:val="bullet"/>
      <w:lvlText w:val="•"/>
      <w:lvlJc w:val="left"/>
      <w:pPr>
        <w:ind w:left="6139" w:hanging="454"/>
      </w:pPr>
      <w:rPr>
        <w:rFonts w:hint="default"/>
      </w:rPr>
    </w:lvl>
  </w:abstractNum>
  <w:abstractNum w:abstractNumId="41">
    <w:multiLevelType w:val="hybridMultilevel"/>
    <w:lvl w:ilvl="0">
      <w:start w:val="1"/>
      <w:numFmt w:val="decimal"/>
      <w:lvlText w:val="(%1)"/>
      <w:lvlJc w:val="left"/>
      <w:pPr>
        <w:ind w:left="548" w:hanging="454"/>
        <w:jc w:val="left"/>
      </w:pPr>
      <w:rPr>
        <w:rFonts w:hint="default" w:ascii="宋体" w:hAnsi="宋体" w:eastAsia="宋体" w:cs="宋体"/>
        <w:w w:val="100"/>
        <w:sz w:val="22"/>
        <w:szCs w:val="22"/>
      </w:rPr>
    </w:lvl>
    <w:lvl w:ilvl="1">
      <w:start w:val="0"/>
      <w:numFmt w:val="bullet"/>
      <w:lvlText w:val="•"/>
      <w:lvlJc w:val="left"/>
      <w:pPr>
        <w:ind w:left="1248" w:hanging="454"/>
      </w:pPr>
      <w:rPr>
        <w:rFonts w:hint="default"/>
      </w:rPr>
    </w:lvl>
    <w:lvl w:ilvl="2">
      <w:start w:val="0"/>
      <w:numFmt w:val="bullet"/>
      <w:lvlText w:val="•"/>
      <w:lvlJc w:val="left"/>
      <w:pPr>
        <w:ind w:left="1957" w:hanging="454"/>
      </w:pPr>
      <w:rPr>
        <w:rFonts w:hint="default"/>
      </w:rPr>
    </w:lvl>
    <w:lvl w:ilvl="3">
      <w:start w:val="0"/>
      <w:numFmt w:val="bullet"/>
      <w:lvlText w:val="•"/>
      <w:lvlJc w:val="left"/>
      <w:pPr>
        <w:ind w:left="2666" w:hanging="454"/>
      </w:pPr>
      <w:rPr>
        <w:rFonts w:hint="default"/>
      </w:rPr>
    </w:lvl>
    <w:lvl w:ilvl="4">
      <w:start w:val="0"/>
      <w:numFmt w:val="bullet"/>
      <w:lvlText w:val="•"/>
      <w:lvlJc w:val="left"/>
      <w:pPr>
        <w:ind w:left="3375" w:hanging="454"/>
      </w:pPr>
      <w:rPr>
        <w:rFonts w:hint="default"/>
      </w:rPr>
    </w:lvl>
    <w:lvl w:ilvl="5">
      <w:start w:val="0"/>
      <w:numFmt w:val="bullet"/>
      <w:lvlText w:val="•"/>
      <w:lvlJc w:val="left"/>
      <w:pPr>
        <w:ind w:left="4084" w:hanging="454"/>
      </w:pPr>
      <w:rPr>
        <w:rFonts w:hint="default"/>
      </w:rPr>
    </w:lvl>
    <w:lvl w:ilvl="6">
      <w:start w:val="0"/>
      <w:numFmt w:val="bullet"/>
      <w:lvlText w:val="•"/>
      <w:lvlJc w:val="left"/>
      <w:pPr>
        <w:ind w:left="4792" w:hanging="454"/>
      </w:pPr>
      <w:rPr>
        <w:rFonts w:hint="default"/>
      </w:rPr>
    </w:lvl>
    <w:lvl w:ilvl="7">
      <w:start w:val="0"/>
      <w:numFmt w:val="bullet"/>
      <w:lvlText w:val="•"/>
      <w:lvlJc w:val="left"/>
      <w:pPr>
        <w:ind w:left="5501" w:hanging="454"/>
      </w:pPr>
      <w:rPr>
        <w:rFonts w:hint="default"/>
      </w:rPr>
    </w:lvl>
    <w:lvl w:ilvl="8">
      <w:start w:val="0"/>
      <w:numFmt w:val="bullet"/>
      <w:lvlText w:val="•"/>
      <w:lvlJc w:val="left"/>
      <w:pPr>
        <w:ind w:left="6210" w:hanging="454"/>
      </w:pPr>
      <w:rPr>
        <w:rFonts w:hint="default"/>
      </w:rPr>
    </w:lvl>
  </w:abstractNum>
  <w:abstractNum w:abstractNumId="40">
    <w:multiLevelType w:val="hybridMultilevel"/>
    <w:lvl w:ilvl="0">
      <w:start w:val="1"/>
      <w:numFmt w:val="decimal"/>
      <w:lvlText w:val="(%1)"/>
      <w:lvlJc w:val="left"/>
      <w:pPr>
        <w:ind w:left="548" w:hanging="454"/>
        <w:jc w:val="left"/>
      </w:pPr>
      <w:rPr>
        <w:rFonts w:hint="default" w:ascii="宋体" w:hAnsi="宋体" w:eastAsia="宋体" w:cs="宋体"/>
        <w:w w:val="100"/>
        <w:sz w:val="22"/>
        <w:szCs w:val="22"/>
      </w:rPr>
    </w:lvl>
    <w:lvl w:ilvl="1">
      <w:start w:val="0"/>
      <w:numFmt w:val="bullet"/>
      <w:lvlText w:val="•"/>
      <w:lvlJc w:val="left"/>
      <w:pPr>
        <w:ind w:left="1248" w:hanging="454"/>
      </w:pPr>
      <w:rPr>
        <w:rFonts w:hint="default"/>
      </w:rPr>
    </w:lvl>
    <w:lvl w:ilvl="2">
      <w:start w:val="0"/>
      <w:numFmt w:val="bullet"/>
      <w:lvlText w:val="•"/>
      <w:lvlJc w:val="left"/>
      <w:pPr>
        <w:ind w:left="1957" w:hanging="454"/>
      </w:pPr>
      <w:rPr>
        <w:rFonts w:hint="default"/>
      </w:rPr>
    </w:lvl>
    <w:lvl w:ilvl="3">
      <w:start w:val="0"/>
      <w:numFmt w:val="bullet"/>
      <w:lvlText w:val="•"/>
      <w:lvlJc w:val="left"/>
      <w:pPr>
        <w:ind w:left="2666" w:hanging="454"/>
      </w:pPr>
      <w:rPr>
        <w:rFonts w:hint="default"/>
      </w:rPr>
    </w:lvl>
    <w:lvl w:ilvl="4">
      <w:start w:val="0"/>
      <w:numFmt w:val="bullet"/>
      <w:lvlText w:val="•"/>
      <w:lvlJc w:val="left"/>
      <w:pPr>
        <w:ind w:left="3375" w:hanging="454"/>
      </w:pPr>
      <w:rPr>
        <w:rFonts w:hint="default"/>
      </w:rPr>
    </w:lvl>
    <w:lvl w:ilvl="5">
      <w:start w:val="0"/>
      <w:numFmt w:val="bullet"/>
      <w:lvlText w:val="•"/>
      <w:lvlJc w:val="left"/>
      <w:pPr>
        <w:ind w:left="4084" w:hanging="454"/>
      </w:pPr>
      <w:rPr>
        <w:rFonts w:hint="default"/>
      </w:rPr>
    </w:lvl>
    <w:lvl w:ilvl="6">
      <w:start w:val="0"/>
      <w:numFmt w:val="bullet"/>
      <w:lvlText w:val="•"/>
      <w:lvlJc w:val="left"/>
      <w:pPr>
        <w:ind w:left="4792" w:hanging="454"/>
      </w:pPr>
      <w:rPr>
        <w:rFonts w:hint="default"/>
      </w:rPr>
    </w:lvl>
    <w:lvl w:ilvl="7">
      <w:start w:val="0"/>
      <w:numFmt w:val="bullet"/>
      <w:lvlText w:val="•"/>
      <w:lvlJc w:val="left"/>
      <w:pPr>
        <w:ind w:left="5501" w:hanging="454"/>
      </w:pPr>
      <w:rPr>
        <w:rFonts w:hint="default"/>
      </w:rPr>
    </w:lvl>
    <w:lvl w:ilvl="8">
      <w:start w:val="0"/>
      <w:numFmt w:val="bullet"/>
      <w:lvlText w:val="•"/>
      <w:lvlJc w:val="left"/>
      <w:pPr>
        <w:ind w:left="6210" w:hanging="454"/>
      </w:pPr>
      <w:rPr>
        <w:rFonts w:hint="default"/>
      </w:rPr>
    </w:lvl>
  </w:abstractNum>
  <w:abstractNum w:abstractNumId="39">
    <w:multiLevelType w:val="hybridMultilevel"/>
    <w:lvl w:ilvl="0">
      <w:start w:val="1"/>
      <w:numFmt w:val="decimal"/>
      <w:lvlText w:val="(%1)"/>
      <w:lvlJc w:val="left"/>
      <w:pPr>
        <w:ind w:left="548" w:hanging="454"/>
        <w:jc w:val="left"/>
      </w:pPr>
      <w:rPr>
        <w:rFonts w:hint="default" w:ascii="宋体" w:hAnsi="宋体" w:eastAsia="宋体" w:cs="宋体"/>
        <w:w w:val="100"/>
        <w:sz w:val="22"/>
        <w:szCs w:val="22"/>
      </w:rPr>
    </w:lvl>
    <w:lvl w:ilvl="1">
      <w:start w:val="0"/>
      <w:numFmt w:val="bullet"/>
      <w:lvlText w:val="•"/>
      <w:lvlJc w:val="left"/>
      <w:pPr>
        <w:ind w:left="1248" w:hanging="454"/>
      </w:pPr>
      <w:rPr>
        <w:rFonts w:hint="default"/>
      </w:rPr>
    </w:lvl>
    <w:lvl w:ilvl="2">
      <w:start w:val="0"/>
      <w:numFmt w:val="bullet"/>
      <w:lvlText w:val="•"/>
      <w:lvlJc w:val="left"/>
      <w:pPr>
        <w:ind w:left="1957" w:hanging="454"/>
      </w:pPr>
      <w:rPr>
        <w:rFonts w:hint="default"/>
      </w:rPr>
    </w:lvl>
    <w:lvl w:ilvl="3">
      <w:start w:val="0"/>
      <w:numFmt w:val="bullet"/>
      <w:lvlText w:val="•"/>
      <w:lvlJc w:val="left"/>
      <w:pPr>
        <w:ind w:left="2666" w:hanging="454"/>
      </w:pPr>
      <w:rPr>
        <w:rFonts w:hint="default"/>
      </w:rPr>
    </w:lvl>
    <w:lvl w:ilvl="4">
      <w:start w:val="0"/>
      <w:numFmt w:val="bullet"/>
      <w:lvlText w:val="•"/>
      <w:lvlJc w:val="left"/>
      <w:pPr>
        <w:ind w:left="3375" w:hanging="454"/>
      </w:pPr>
      <w:rPr>
        <w:rFonts w:hint="default"/>
      </w:rPr>
    </w:lvl>
    <w:lvl w:ilvl="5">
      <w:start w:val="0"/>
      <w:numFmt w:val="bullet"/>
      <w:lvlText w:val="•"/>
      <w:lvlJc w:val="left"/>
      <w:pPr>
        <w:ind w:left="4084" w:hanging="454"/>
      </w:pPr>
      <w:rPr>
        <w:rFonts w:hint="default"/>
      </w:rPr>
    </w:lvl>
    <w:lvl w:ilvl="6">
      <w:start w:val="0"/>
      <w:numFmt w:val="bullet"/>
      <w:lvlText w:val="•"/>
      <w:lvlJc w:val="left"/>
      <w:pPr>
        <w:ind w:left="4792" w:hanging="454"/>
      </w:pPr>
      <w:rPr>
        <w:rFonts w:hint="default"/>
      </w:rPr>
    </w:lvl>
    <w:lvl w:ilvl="7">
      <w:start w:val="0"/>
      <w:numFmt w:val="bullet"/>
      <w:lvlText w:val="•"/>
      <w:lvlJc w:val="left"/>
      <w:pPr>
        <w:ind w:left="5501" w:hanging="454"/>
      </w:pPr>
      <w:rPr>
        <w:rFonts w:hint="default"/>
      </w:rPr>
    </w:lvl>
    <w:lvl w:ilvl="8">
      <w:start w:val="0"/>
      <w:numFmt w:val="bullet"/>
      <w:lvlText w:val="•"/>
      <w:lvlJc w:val="left"/>
      <w:pPr>
        <w:ind w:left="6210" w:hanging="454"/>
      </w:pPr>
      <w:rPr>
        <w:rFonts w:hint="default"/>
      </w:rPr>
    </w:lvl>
  </w:abstractNum>
  <w:abstractNum w:abstractNumId="38">
    <w:multiLevelType w:val="hybridMultilevel"/>
    <w:lvl w:ilvl="0">
      <w:start w:val="1"/>
      <w:numFmt w:val="decimal"/>
      <w:lvlText w:val="(%1)"/>
      <w:lvlJc w:val="left"/>
      <w:pPr>
        <w:ind w:left="548" w:hanging="454"/>
        <w:jc w:val="left"/>
      </w:pPr>
      <w:rPr>
        <w:rFonts w:hint="default" w:ascii="宋体" w:hAnsi="宋体" w:eastAsia="宋体" w:cs="宋体"/>
        <w:w w:val="100"/>
        <w:sz w:val="22"/>
        <w:szCs w:val="22"/>
      </w:rPr>
    </w:lvl>
    <w:lvl w:ilvl="1">
      <w:start w:val="0"/>
      <w:numFmt w:val="bullet"/>
      <w:lvlText w:val="•"/>
      <w:lvlJc w:val="left"/>
      <w:pPr>
        <w:ind w:left="1248" w:hanging="454"/>
      </w:pPr>
      <w:rPr>
        <w:rFonts w:hint="default"/>
      </w:rPr>
    </w:lvl>
    <w:lvl w:ilvl="2">
      <w:start w:val="0"/>
      <w:numFmt w:val="bullet"/>
      <w:lvlText w:val="•"/>
      <w:lvlJc w:val="left"/>
      <w:pPr>
        <w:ind w:left="1957" w:hanging="454"/>
      </w:pPr>
      <w:rPr>
        <w:rFonts w:hint="default"/>
      </w:rPr>
    </w:lvl>
    <w:lvl w:ilvl="3">
      <w:start w:val="0"/>
      <w:numFmt w:val="bullet"/>
      <w:lvlText w:val="•"/>
      <w:lvlJc w:val="left"/>
      <w:pPr>
        <w:ind w:left="2666" w:hanging="454"/>
      </w:pPr>
      <w:rPr>
        <w:rFonts w:hint="default"/>
      </w:rPr>
    </w:lvl>
    <w:lvl w:ilvl="4">
      <w:start w:val="0"/>
      <w:numFmt w:val="bullet"/>
      <w:lvlText w:val="•"/>
      <w:lvlJc w:val="left"/>
      <w:pPr>
        <w:ind w:left="3375" w:hanging="454"/>
      </w:pPr>
      <w:rPr>
        <w:rFonts w:hint="default"/>
      </w:rPr>
    </w:lvl>
    <w:lvl w:ilvl="5">
      <w:start w:val="0"/>
      <w:numFmt w:val="bullet"/>
      <w:lvlText w:val="•"/>
      <w:lvlJc w:val="left"/>
      <w:pPr>
        <w:ind w:left="4084" w:hanging="454"/>
      </w:pPr>
      <w:rPr>
        <w:rFonts w:hint="default"/>
      </w:rPr>
    </w:lvl>
    <w:lvl w:ilvl="6">
      <w:start w:val="0"/>
      <w:numFmt w:val="bullet"/>
      <w:lvlText w:val="•"/>
      <w:lvlJc w:val="left"/>
      <w:pPr>
        <w:ind w:left="4792" w:hanging="454"/>
      </w:pPr>
      <w:rPr>
        <w:rFonts w:hint="default"/>
      </w:rPr>
    </w:lvl>
    <w:lvl w:ilvl="7">
      <w:start w:val="0"/>
      <w:numFmt w:val="bullet"/>
      <w:lvlText w:val="•"/>
      <w:lvlJc w:val="left"/>
      <w:pPr>
        <w:ind w:left="5501" w:hanging="454"/>
      </w:pPr>
      <w:rPr>
        <w:rFonts w:hint="default"/>
      </w:rPr>
    </w:lvl>
    <w:lvl w:ilvl="8">
      <w:start w:val="0"/>
      <w:numFmt w:val="bullet"/>
      <w:lvlText w:val="•"/>
      <w:lvlJc w:val="left"/>
      <w:pPr>
        <w:ind w:left="6210" w:hanging="454"/>
      </w:pPr>
      <w:rPr>
        <w:rFonts w:hint="default"/>
      </w:rPr>
    </w:lvl>
  </w:abstractNum>
  <w:abstractNum w:abstractNumId="37">
    <w:multiLevelType w:val="hybridMultilevel"/>
    <w:lvl w:ilvl="0">
      <w:start w:val="1"/>
      <w:numFmt w:val="decimal"/>
      <w:lvlText w:val="(%1)"/>
      <w:lvlJc w:val="left"/>
      <w:pPr>
        <w:ind w:left="548" w:hanging="454"/>
        <w:jc w:val="left"/>
      </w:pPr>
      <w:rPr>
        <w:rFonts w:hint="default" w:ascii="宋体" w:hAnsi="宋体" w:eastAsia="宋体" w:cs="宋体"/>
        <w:w w:val="100"/>
        <w:sz w:val="22"/>
        <w:szCs w:val="22"/>
      </w:rPr>
    </w:lvl>
    <w:lvl w:ilvl="1">
      <w:start w:val="0"/>
      <w:numFmt w:val="bullet"/>
      <w:lvlText w:val="•"/>
      <w:lvlJc w:val="left"/>
      <w:pPr>
        <w:ind w:left="1248" w:hanging="454"/>
      </w:pPr>
      <w:rPr>
        <w:rFonts w:hint="default"/>
      </w:rPr>
    </w:lvl>
    <w:lvl w:ilvl="2">
      <w:start w:val="0"/>
      <w:numFmt w:val="bullet"/>
      <w:lvlText w:val="•"/>
      <w:lvlJc w:val="left"/>
      <w:pPr>
        <w:ind w:left="1957" w:hanging="454"/>
      </w:pPr>
      <w:rPr>
        <w:rFonts w:hint="default"/>
      </w:rPr>
    </w:lvl>
    <w:lvl w:ilvl="3">
      <w:start w:val="0"/>
      <w:numFmt w:val="bullet"/>
      <w:lvlText w:val="•"/>
      <w:lvlJc w:val="left"/>
      <w:pPr>
        <w:ind w:left="2666" w:hanging="454"/>
      </w:pPr>
      <w:rPr>
        <w:rFonts w:hint="default"/>
      </w:rPr>
    </w:lvl>
    <w:lvl w:ilvl="4">
      <w:start w:val="0"/>
      <w:numFmt w:val="bullet"/>
      <w:lvlText w:val="•"/>
      <w:lvlJc w:val="left"/>
      <w:pPr>
        <w:ind w:left="3375" w:hanging="454"/>
      </w:pPr>
      <w:rPr>
        <w:rFonts w:hint="default"/>
      </w:rPr>
    </w:lvl>
    <w:lvl w:ilvl="5">
      <w:start w:val="0"/>
      <w:numFmt w:val="bullet"/>
      <w:lvlText w:val="•"/>
      <w:lvlJc w:val="left"/>
      <w:pPr>
        <w:ind w:left="4084" w:hanging="454"/>
      </w:pPr>
      <w:rPr>
        <w:rFonts w:hint="default"/>
      </w:rPr>
    </w:lvl>
    <w:lvl w:ilvl="6">
      <w:start w:val="0"/>
      <w:numFmt w:val="bullet"/>
      <w:lvlText w:val="•"/>
      <w:lvlJc w:val="left"/>
      <w:pPr>
        <w:ind w:left="4792" w:hanging="454"/>
      </w:pPr>
      <w:rPr>
        <w:rFonts w:hint="default"/>
      </w:rPr>
    </w:lvl>
    <w:lvl w:ilvl="7">
      <w:start w:val="0"/>
      <w:numFmt w:val="bullet"/>
      <w:lvlText w:val="•"/>
      <w:lvlJc w:val="left"/>
      <w:pPr>
        <w:ind w:left="5501" w:hanging="454"/>
      </w:pPr>
      <w:rPr>
        <w:rFonts w:hint="default"/>
      </w:rPr>
    </w:lvl>
    <w:lvl w:ilvl="8">
      <w:start w:val="0"/>
      <w:numFmt w:val="bullet"/>
      <w:lvlText w:val="•"/>
      <w:lvlJc w:val="left"/>
      <w:pPr>
        <w:ind w:left="6210" w:hanging="454"/>
      </w:pPr>
      <w:rPr>
        <w:rFonts w:hint="default"/>
      </w:rPr>
    </w:lvl>
  </w:abstractNum>
  <w:abstractNum w:abstractNumId="36">
    <w:multiLevelType w:val="hybridMultilevel"/>
    <w:lvl w:ilvl="0">
      <w:start w:val="1"/>
      <w:numFmt w:val="decimal"/>
      <w:lvlText w:val="(%1)"/>
      <w:lvlJc w:val="left"/>
      <w:pPr>
        <w:ind w:left="548" w:hanging="454"/>
        <w:jc w:val="left"/>
      </w:pPr>
      <w:rPr>
        <w:rFonts w:hint="default" w:ascii="宋体" w:hAnsi="宋体" w:eastAsia="宋体" w:cs="宋体"/>
        <w:w w:val="100"/>
        <w:sz w:val="22"/>
        <w:szCs w:val="22"/>
      </w:rPr>
    </w:lvl>
    <w:lvl w:ilvl="1">
      <w:start w:val="0"/>
      <w:numFmt w:val="bullet"/>
      <w:lvlText w:val="•"/>
      <w:lvlJc w:val="left"/>
      <w:pPr>
        <w:ind w:left="1249" w:hanging="454"/>
      </w:pPr>
      <w:rPr>
        <w:rFonts w:hint="default"/>
      </w:rPr>
    </w:lvl>
    <w:lvl w:ilvl="2">
      <w:start w:val="0"/>
      <w:numFmt w:val="bullet"/>
      <w:lvlText w:val="•"/>
      <w:lvlJc w:val="left"/>
      <w:pPr>
        <w:ind w:left="1958" w:hanging="454"/>
      </w:pPr>
      <w:rPr>
        <w:rFonts w:hint="default"/>
      </w:rPr>
    </w:lvl>
    <w:lvl w:ilvl="3">
      <w:start w:val="0"/>
      <w:numFmt w:val="bullet"/>
      <w:lvlText w:val="•"/>
      <w:lvlJc w:val="left"/>
      <w:pPr>
        <w:ind w:left="2667" w:hanging="454"/>
      </w:pPr>
      <w:rPr>
        <w:rFonts w:hint="default"/>
      </w:rPr>
    </w:lvl>
    <w:lvl w:ilvl="4">
      <w:start w:val="0"/>
      <w:numFmt w:val="bullet"/>
      <w:lvlText w:val="•"/>
      <w:lvlJc w:val="left"/>
      <w:pPr>
        <w:ind w:left="3376" w:hanging="454"/>
      </w:pPr>
      <w:rPr>
        <w:rFonts w:hint="default"/>
      </w:rPr>
    </w:lvl>
    <w:lvl w:ilvl="5">
      <w:start w:val="0"/>
      <w:numFmt w:val="bullet"/>
      <w:lvlText w:val="•"/>
      <w:lvlJc w:val="left"/>
      <w:pPr>
        <w:ind w:left="4085" w:hanging="454"/>
      </w:pPr>
      <w:rPr>
        <w:rFonts w:hint="default"/>
      </w:rPr>
    </w:lvl>
    <w:lvl w:ilvl="6">
      <w:start w:val="0"/>
      <w:numFmt w:val="bullet"/>
      <w:lvlText w:val="•"/>
      <w:lvlJc w:val="left"/>
      <w:pPr>
        <w:ind w:left="4794" w:hanging="454"/>
      </w:pPr>
      <w:rPr>
        <w:rFonts w:hint="default"/>
      </w:rPr>
    </w:lvl>
    <w:lvl w:ilvl="7">
      <w:start w:val="0"/>
      <w:numFmt w:val="bullet"/>
      <w:lvlText w:val="•"/>
      <w:lvlJc w:val="left"/>
      <w:pPr>
        <w:ind w:left="5503" w:hanging="454"/>
      </w:pPr>
      <w:rPr>
        <w:rFonts w:hint="default"/>
      </w:rPr>
    </w:lvl>
    <w:lvl w:ilvl="8">
      <w:start w:val="0"/>
      <w:numFmt w:val="bullet"/>
      <w:lvlText w:val="•"/>
      <w:lvlJc w:val="left"/>
      <w:pPr>
        <w:ind w:left="6212" w:hanging="454"/>
      </w:pPr>
      <w:rPr>
        <w:rFonts w:hint="default"/>
      </w:rPr>
    </w:lvl>
  </w:abstractNum>
  <w:abstractNum w:abstractNumId="35">
    <w:multiLevelType w:val="hybridMultilevel"/>
    <w:lvl w:ilvl="0">
      <w:start w:val="1"/>
      <w:numFmt w:val="decimal"/>
      <w:lvlText w:val="(%1)"/>
      <w:lvlJc w:val="left"/>
      <w:pPr>
        <w:ind w:left="548" w:hanging="454"/>
        <w:jc w:val="left"/>
      </w:pPr>
      <w:rPr>
        <w:rFonts w:hint="default" w:ascii="宋体" w:hAnsi="宋体" w:eastAsia="宋体" w:cs="宋体"/>
        <w:w w:val="100"/>
        <w:sz w:val="22"/>
        <w:szCs w:val="22"/>
      </w:rPr>
    </w:lvl>
    <w:lvl w:ilvl="1">
      <w:start w:val="0"/>
      <w:numFmt w:val="bullet"/>
      <w:lvlText w:val="•"/>
      <w:lvlJc w:val="left"/>
      <w:pPr>
        <w:ind w:left="1249" w:hanging="454"/>
      </w:pPr>
      <w:rPr>
        <w:rFonts w:hint="default"/>
      </w:rPr>
    </w:lvl>
    <w:lvl w:ilvl="2">
      <w:start w:val="0"/>
      <w:numFmt w:val="bullet"/>
      <w:lvlText w:val="•"/>
      <w:lvlJc w:val="left"/>
      <w:pPr>
        <w:ind w:left="1958" w:hanging="454"/>
      </w:pPr>
      <w:rPr>
        <w:rFonts w:hint="default"/>
      </w:rPr>
    </w:lvl>
    <w:lvl w:ilvl="3">
      <w:start w:val="0"/>
      <w:numFmt w:val="bullet"/>
      <w:lvlText w:val="•"/>
      <w:lvlJc w:val="left"/>
      <w:pPr>
        <w:ind w:left="2667" w:hanging="454"/>
      </w:pPr>
      <w:rPr>
        <w:rFonts w:hint="default"/>
      </w:rPr>
    </w:lvl>
    <w:lvl w:ilvl="4">
      <w:start w:val="0"/>
      <w:numFmt w:val="bullet"/>
      <w:lvlText w:val="•"/>
      <w:lvlJc w:val="left"/>
      <w:pPr>
        <w:ind w:left="3376" w:hanging="454"/>
      </w:pPr>
      <w:rPr>
        <w:rFonts w:hint="default"/>
      </w:rPr>
    </w:lvl>
    <w:lvl w:ilvl="5">
      <w:start w:val="0"/>
      <w:numFmt w:val="bullet"/>
      <w:lvlText w:val="•"/>
      <w:lvlJc w:val="left"/>
      <w:pPr>
        <w:ind w:left="4085" w:hanging="454"/>
      </w:pPr>
      <w:rPr>
        <w:rFonts w:hint="default"/>
      </w:rPr>
    </w:lvl>
    <w:lvl w:ilvl="6">
      <w:start w:val="0"/>
      <w:numFmt w:val="bullet"/>
      <w:lvlText w:val="•"/>
      <w:lvlJc w:val="left"/>
      <w:pPr>
        <w:ind w:left="4794" w:hanging="454"/>
      </w:pPr>
      <w:rPr>
        <w:rFonts w:hint="default"/>
      </w:rPr>
    </w:lvl>
    <w:lvl w:ilvl="7">
      <w:start w:val="0"/>
      <w:numFmt w:val="bullet"/>
      <w:lvlText w:val="•"/>
      <w:lvlJc w:val="left"/>
      <w:pPr>
        <w:ind w:left="5503" w:hanging="454"/>
      </w:pPr>
      <w:rPr>
        <w:rFonts w:hint="default"/>
      </w:rPr>
    </w:lvl>
    <w:lvl w:ilvl="8">
      <w:start w:val="0"/>
      <w:numFmt w:val="bullet"/>
      <w:lvlText w:val="•"/>
      <w:lvlJc w:val="left"/>
      <w:pPr>
        <w:ind w:left="6212" w:hanging="454"/>
      </w:pPr>
      <w:rPr>
        <w:rFonts w:hint="default"/>
      </w:rPr>
    </w:lvl>
  </w:abstractNum>
  <w:abstractNum w:abstractNumId="34">
    <w:multiLevelType w:val="hybridMultilevel"/>
    <w:lvl w:ilvl="0">
      <w:start w:val="1"/>
      <w:numFmt w:val="decimal"/>
      <w:lvlText w:val="(%1)"/>
      <w:lvlJc w:val="left"/>
      <w:pPr>
        <w:ind w:left="548" w:hanging="454"/>
        <w:jc w:val="left"/>
      </w:pPr>
      <w:rPr>
        <w:rFonts w:hint="default" w:ascii="宋体" w:hAnsi="宋体" w:eastAsia="宋体" w:cs="宋体"/>
        <w:w w:val="100"/>
        <w:sz w:val="22"/>
        <w:szCs w:val="22"/>
      </w:rPr>
    </w:lvl>
    <w:lvl w:ilvl="1">
      <w:start w:val="0"/>
      <w:numFmt w:val="bullet"/>
      <w:lvlText w:val="•"/>
      <w:lvlJc w:val="left"/>
      <w:pPr>
        <w:ind w:left="1249" w:hanging="454"/>
      </w:pPr>
      <w:rPr>
        <w:rFonts w:hint="default"/>
      </w:rPr>
    </w:lvl>
    <w:lvl w:ilvl="2">
      <w:start w:val="0"/>
      <w:numFmt w:val="bullet"/>
      <w:lvlText w:val="•"/>
      <w:lvlJc w:val="left"/>
      <w:pPr>
        <w:ind w:left="1958" w:hanging="454"/>
      </w:pPr>
      <w:rPr>
        <w:rFonts w:hint="default"/>
      </w:rPr>
    </w:lvl>
    <w:lvl w:ilvl="3">
      <w:start w:val="0"/>
      <w:numFmt w:val="bullet"/>
      <w:lvlText w:val="•"/>
      <w:lvlJc w:val="left"/>
      <w:pPr>
        <w:ind w:left="2667" w:hanging="454"/>
      </w:pPr>
      <w:rPr>
        <w:rFonts w:hint="default"/>
      </w:rPr>
    </w:lvl>
    <w:lvl w:ilvl="4">
      <w:start w:val="0"/>
      <w:numFmt w:val="bullet"/>
      <w:lvlText w:val="•"/>
      <w:lvlJc w:val="left"/>
      <w:pPr>
        <w:ind w:left="3376" w:hanging="454"/>
      </w:pPr>
      <w:rPr>
        <w:rFonts w:hint="default"/>
      </w:rPr>
    </w:lvl>
    <w:lvl w:ilvl="5">
      <w:start w:val="0"/>
      <w:numFmt w:val="bullet"/>
      <w:lvlText w:val="•"/>
      <w:lvlJc w:val="left"/>
      <w:pPr>
        <w:ind w:left="4085" w:hanging="454"/>
      </w:pPr>
      <w:rPr>
        <w:rFonts w:hint="default"/>
      </w:rPr>
    </w:lvl>
    <w:lvl w:ilvl="6">
      <w:start w:val="0"/>
      <w:numFmt w:val="bullet"/>
      <w:lvlText w:val="•"/>
      <w:lvlJc w:val="left"/>
      <w:pPr>
        <w:ind w:left="4794" w:hanging="454"/>
      </w:pPr>
      <w:rPr>
        <w:rFonts w:hint="default"/>
      </w:rPr>
    </w:lvl>
    <w:lvl w:ilvl="7">
      <w:start w:val="0"/>
      <w:numFmt w:val="bullet"/>
      <w:lvlText w:val="•"/>
      <w:lvlJc w:val="left"/>
      <w:pPr>
        <w:ind w:left="5503" w:hanging="454"/>
      </w:pPr>
      <w:rPr>
        <w:rFonts w:hint="default"/>
      </w:rPr>
    </w:lvl>
    <w:lvl w:ilvl="8">
      <w:start w:val="0"/>
      <w:numFmt w:val="bullet"/>
      <w:lvlText w:val="•"/>
      <w:lvlJc w:val="left"/>
      <w:pPr>
        <w:ind w:left="6212" w:hanging="454"/>
      </w:pPr>
      <w:rPr>
        <w:rFonts w:hint="default"/>
      </w:rPr>
    </w:lvl>
  </w:abstractNum>
  <w:abstractNum w:abstractNumId="33">
    <w:multiLevelType w:val="hybridMultilevel"/>
    <w:lvl w:ilvl="0">
      <w:start w:val="1"/>
      <w:numFmt w:val="decimal"/>
      <w:lvlText w:val="(%1)"/>
      <w:lvlJc w:val="left"/>
      <w:pPr>
        <w:ind w:left="548" w:hanging="454"/>
        <w:jc w:val="left"/>
      </w:pPr>
      <w:rPr>
        <w:rFonts w:hint="default" w:ascii="宋体" w:hAnsi="宋体" w:eastAsia="宋体" w:cs="宋体"/>
        <w:w w:val="100"/>
        <w:sz w:val="22"/>
        <w:szCs w:val="22"/>
      </w:rPr>
    </w:lvl>
    <w:lvl w:ilvl="1">
      <w:start w:val="0"/>
      <w:numFmt w:val="bullet"/>
      <w:lvlText w:val="•"/>
      <w:lvlJc w:val="left"/>
      <w:pPr>
        <w:ind w:left="1249" w:hanging="454"/>
      </w:pPr>
      <w:rPr>
        <w:rFonts w:hint="default"/>
      </w:rPr>
    </w:lvl>
    <w:lvl w:ilvl="2">
      <w:start w:val="0"/>
      <w:numFmt w:val="bullet"/>
      <w:lvlText w:val="•"/>
      <w:lvlJc w:val="left"/>
      <w:pPr>
        <w:ind w:left="1958" w:hanging="454"/>
      </w:pPr>
      <w:rPr>
        <w:rFonts w:hint="default"/>
      </w:rPr>
    </w:lvl>
    <w:lvl w:ilvl="3">
      <w:start w:val="0"/>
      <w:numFmt w:val="bullet"/>
      <w:lvlText w:val="•"/>
      <w:lvlJc w:val="left"/>
      <w:pPr>
        <w:ind w:left="2667" w:hanging="454"/>
      </w:pPr>
      <w:rPr>
        <w:rFonts w:hint="default"/>
      </w:rPr>
    </w:lvl>
    <w:lvl w:ilvl="4">
      <w:start w:val="0"/>
      <w:numFmt w:val="bullet"/>
      <w:lvlText w:val="•"/>
      <w:lvlJc w:val="left"/>
      <w:pPr>
        <w:ind w:left="3376" w:hanging="454"/>
      </w:pPr>
      <w:rPr>
        <w:rFonts w:hint="default"/>
      </w:rPr>
    </w:lvl>
    <w:lvl w:ilvl="5">
      <w:start w:val="0"/>
      <w:numFmt w:val="bullet"/>
      <w:lvlText w:val="•"/>
      <w:lvlJc w:val="left"/>
      <w:pPr>
        <w:ind w:left="4085" w:hanging="454"/>
      </w:pPr>
      <w:rPr>
        <w:rFonts w:hint="default"/>
      </w:rPr>
    </w:lvl>
    <w:lvl w:ilvl="6">
      <w:start w:val="0"/>
      <w:numFmt w:val="bullet"/>
      <w:lvlText w:val="•"/>
      <w:lvlJc w:val="left"/>
      <w:pPr>
        <w:ind w:left="4794" w:hanging="454"/>
      </w:pPr>
      <w:rPr>
        <w:rFonts w:hint="default"/>
      </w:rPr>
    </w:lvl>
    <w:lvl w:ilvl="7">
      <w:start w:val="0"/>
      <w:numFmt w:val="bullet"/>
      <w:lvlText w:val="•"/>
      <w:lvlJc w:val="left"/>
      <w:pPr>
        <w:ind w:left="5503" w:hanging="454"/>
      </w:pPr>
      <w:rPr>
        <w:rFonts w:hint="default"/>
      </w:rPr>
    </w:lvl>
    <w:lvl w:ilvl="8">
      <w:start w:val="0"/>
      <w:numFmt w:val="bullet"/>
      <w:lvlText w:val="•"/>
      <w:lvlJc w:val="left"/>
      <w:pPr>
        <w:ind w:left="6212" w:hanging="454"/>
      </w:pPr>
      <w:rPr>
        <w:rFonts w:hint="default"/>
      </w:rPr>
    </w:lvl>
  </w:abstractNum>
  <w:abstractNum w:abstractNumId="32">
    <w:multiLevelType w:val="hybridMultilevel"/>
    <w:lvl w:ilvl="0">
      <w:start w:val="1"/>
      <w:numFmt w:val="decimal"/>
      <w:lvlText w:val="(%1)"/>
      <w:lvlJc w:val="left"/>
      <w:pPr>
        <w:ind w:left="548" w:hanging="454"/>
        <w:jc w:val="left"/>
      </w:pPr>
      <w:rPr>
        <w:rFonts w:hint="default" w:ascii="宋体" w:hAnsi="宋体" w:eastAsia="宋体" w:cs="宋体"/>
        <w:w w:val="100"/>
        <w:sz w:val="22"/>
        <w:szCs w:val="22"/>
      </w:rPr>
    </w:lvl>
    <w:lvl w:ilvl="1">
      <w:start w:val="0"/>
      <w:numFmt w:val="bullet"/>
      <w:lvlText w:val="•"/>
      <w:lvlJc w:val="left"/>
      <w:pPr>
        <w:ind w:left="1249" w:hanging="454"/>
      </w:pPr>
      <w:rPr>
        <w:rFonts w:hint="default"/>
      </w:rPr>
    </w:lvl>
    <w:lvl w:ilvl="2">
      <w:start w:val="0"/>
      <w:numFmt w:val="bullet"/>
      <w:lvlText w:val="•"/>
      <w:lvlJc w:val="left"/>
      <w:pPr>
        <w:ind w:left="1958" w:hanging="454"/>
      </w:pPr>
      <w:rPr>
        <w:rFonts w:hint="default"/>
      </w:rPr>
    </w:lvl>
    <w:lvl w:ilvl="3">
      <w:start w:val="0"/>
      <w:numFmt w:val="bullet"/>
      <w:lvlText w:val="•"/>
      <w:lvlJc w:val="left"/>
      <w:pPr>
        <w:ind w:left="2667" w:hanging="454"/>
      </w:pPr>
      <w:rPr>
        <w:rFonts w:hint="default"/>
      </w:rPr>
    </w:lvl>
    <w:lvl w:ilvl="4">
      <w:start w:val="0"/>
      <w:numFmt w:val="bullet"/>
      <w:lvlText w:val="•"/>
      <w:lvlJc w:val="left"/>
      <w:pPr>
        <w:ind w:left="3376" w:hanging="454"/>
      </w:pPr>
      <w:rPr>
        <w:rFonts w:hint="default"/>
      </w:rPr>
    </w:lvl>
    <w:lvl w:ilvl="5">
      <w:start w:val="0"/>
      <w:numFmt w:val="bullet"/>
      <w:lvlText w:val="•"/>
      <w:lvlJc w:val="left"/>
      <w:pPr>
        <w:ind w:left="4085" w:hanging="454"/>
      </w:pPr>
      <w:rPr>
        <w:rFonts w:hint="default"/>
      </w:rPr>
    </w:lvl>
    <w:lvl w:ilvl="6">
      <w:start w:val="0"/>
      <w:numFmt w:val="bullet"/>
      <w:lvlText w:val="•"/>
      <w:lvlJc w:val="left"/>
      <w:pPr>
        <w:ind w:left="4794" w:hanging="454"/>
      </w:pPr>
      <w:rPr>
        <w:rFonts w:hint="default"/>
      </w:rPr>
    </w:lvl>
    <w:lvl w:ilvl="7">
      <w:start w:val="0"/>
      <w:numFmt w:val="bullet"/>
      <w:lvlText w:val="•"/>
      <w:lvlJc w:val="left"/>
      <w:pPr>
        <w:ind w:left="5503" w:hanging="454"/>
      </w:pPr>
      <w:rPr>
        <w:rFonts w:hint="default"/>
      </w:rPr>
    </w:lvl>
    <w:lvl w:ilvl="8">
      <w:start w:val="0"/>
      <w:numFmt w:val="bullet"/>
      <w:lvlText w:val="•"/>
      <w:lvlJc w:val="left"/>
      <w:pPr>
        <w:ind w:left="6212" w:hanging="454"/>
      </w:pPr>
      <w:rPr>
        <w:rFonts w:hint="default"/>
      </w:rPr>
    </w:lvl>
  </w:abstractNum>
  <w:abstractNum w:abstractNumId="31">
    <w:multiLevelType w:val="hybridMultilevel"/>
    <w:lvl w:ilvl="0">
      <w:start w:val="1"/>
      <w:numFmt w:val="decimal"/>
      <w:lvlText w:val="(%1)"/>
      <w:lvlJc w:val="left"/>
      <w:pPr>
        <w:ind w:left="548" w:hanging="454"/>
        <w:jc w:val="left"/>
      </w:pPr>
      <w:rPr>
        <w:rFonts w:hint="default" w:ascii="宋体" w:hAnsi="宋体" w:eastAsia="宋体" w:cs="宋体"/>
        <w:w w:val="100"/>
        <w:sz w:val="22"/>
        <w:szCs w:val="22"/>
      </w:rPr>
    </w:lvl>
    <w:lvl w:ilvl="1">
      <w:start w:val="0"/>
      <w:numFmt w:val="bullet"/>
      <w:lvlText w:val="•"/>
      <w:lvlJc w:val="left"/>
      <w:pPr>
        <w:ind w:left="1248" w:hanging="454"/>
      </w:pPr>
      <w:rPr>
        <w:rFonts w:hint="default"/>
      </w:rPr>
    </w:lvl>
    <w:lvl w:ilvl="2">
      <w:start w:val="0"/>
      <w:numFmt w:val="bullet"/>
      <w:lvlText w:val="•"/>
      <w:lvlJc w:val="left"/>
      <w:pPr>
        <w:ind w:left="1957" w:hanging="454"/>
      </w:pPr>
      <w:rPr>
        <w:rFonts w:hint="default"/>
      </w:rPr>
    </w:lvl>
    <w:lvl w:ilvl="3">
      <w:start w:val="0"/>
      <w:numFmt w:val="bullet"/>
      <w:lvlText w:val="•"/>
      <w:lvlJc w:val="left"/>
      <w:pPr>
        <w:ind w:left="2666" w:hanging="454"/>
      </w:pPr>
      <w:rPr>
        <w:rFonts w:hint="default"/>
      </w:rPr>
    </w:lvl>
    <w:lvl w:ilvl="4">
      <w:start w:val="0"/>
      <w:numFmt w:val="bullet"/>
      <w:lvlText w:val="•"/>
      <w:lvlJc w:val="left"/>
      <w:pPr>
        <w:ind w:left="3374" w:hanging="454"/>
      </w:pPr>
      <w:rPr>
        <w:rFonts w:hint="default"/>
      </w:rPr>
    </w:lvl>
    <w:lvl w:ilvl="5">
      <w:start w:val="0"/>
      <w:numFmt w:val="bullet"/>
      <w:lvlText w:val="•"/>
      <w:lvlJc w:val="left"/>
      <w:pPr>
        <w:ind w:left="4083" w:hanging="454"/>
      </w:pPr>
      <w:rPr>
        <w:rFonts w:hint="default"/>
      </w:rPr>
    </w:lvl>
    <w:lvl w:ilvl="6">
      <w:start w:val="0"/>
      <w:numFmt w:val="bullet"/>
      <w:lvlText w:val="•"/>
      <w:lvlJc w:val="left"/>
      <w:pPr>
        <w:ind w:left="4792" w:hanging="454"/>
      </w:pPr>
      <w:rPr>
        <w:rFonts w:hint="default"/>
      </w:rPr>
    </w:lvl>
    <w:lvl w:ilvl="7">
      <w:start w:val="0"/>
      <w:numFmt w:val="bullet"/>
      <w:lvlText w:val="•"/>
      <w:lvlJc w:val="left"/>
      <w:pPr>
        <w:ind w:left="5500" w:hanging="454"/>
      </w:pPr>
      <w:rPr>
        <w:rFonts w:hint="default"/>
      </w:rPr>
    </w:lvl>
    <w:lvl w:ilvl="8">
      <w:start w:val="0"/>
      <w:numFmt w:val="bullet"/>
      <w:lvlText w:val="•"/>
      <w:lvlJc w:val="left"/>
      <w:pPr>
        <w:ind w:left="6209" w:hanging="454"/>
      </w:pPr>
      <w:rPr>
        <w:rFonts w:hint="default"/>
      </w:rPr>
    </w:lvl>
  </w:abstractNum>
  <w:abstractNum w:abstractNumId="30">
    <w:multiLevelType w:val="hybridMultilevel"/>
    <w:lvl w:ilvl="0">
      <w:start w:val="1"/>
      <w:numFmt w:val="decimal"/>
      <w:lvlText w:val="(%1)"/>
      <w:lvlJc w:val="left"/>
      <w:pPr>
        <w:ind w:left="566" w:hanging="454"/>
        <w:jc w:val="right"/>
      </w:pPr>
      <w:rPr>
        <w:rFonts w:hint="default" w:ascii="宋体" w:hAnsi="宋体" w:eastAsia="宋体" w:cs="宋体"/>
        <w:w w:val="100"/>
        <w:sz w:val="22"/>
        <w:szCs w:val="22"/>
      </w:rPr>
    </w:lvl>
    <w:lvl w:ilvl="1">
      <w:start w:val="0"/>
      <w:numFmt w:val="bullet"/>
      <w:lvlText w:val="•"/>
      <w:lvlJc w:val="left"/>
      <w:pPr>
        <w:ind w:left="1259" w:hanging="454"/>
      </w:pPr>
      <w:rPr>
        <w:rFonts w:hint="default"/>
      </w:rPr>
    </w:lvl>
    <w:lvl w:ilvl="2">
      <w:start w:val="0"/>
      <w:numFmt w:val="bullet"/>
      <w:lvlText w:val="•"/>
      <w:lvlJc w:val="left"/>
      <w:pPr>
        <w:ind w:left="1958" w:hanging="454"/>
      </w:pPr>
      <w:rPr>
        <w:rFonts w:hint="default"/>
      </w:rPr>
    </w:lvl>
    <w:lvl w:ilvl="3">
      <w:start w:val="0"/>
      <w:numFmt w:val="bullet"/>
      <w:lvlText w:val="•"/>
      <w:lvlJc w:val="left"/>
      <w:pPr>
        <w:ind w:left="2657" w:hanging="454"/>
      </w:pPr>
      <w:rPr>
        <w:rFonts w:hint="default"/>
      </w:rPr>
    </w:lvl>
    <w:lvl w:ilvl="4">
      <w:start w:val="0"/>
      <w:numFmt w:val="bullet"/>
      <w:lvlText w:val="•"/>
      <w:lvlJc w:val="left"/>
      <w:pPr>
        <w:ind w:left="3356" w:hanging="454"/>
      </w:pPr>
      <w:rPr>
        <w:rFonts w:hint="default"/>
      </w:rPr>
    </w:lvl>
    <w:lvl w:ilvl="5">
      <w:start w:val="0"/>
      <w:numFmt w:val="bullet"/>
      <w:lvlText w:val="•"/>
      <w:lvlJc w:val="left"/>
      <w:pPr>
        <w:ind w:left="4056" w:hanging="454"/>
      </w:pPr>
      <w:rPr>
        <w:rFonts w:hint="default"/>
      </w:rPr>
    </w:lvl>
    <w:lvl w:ilvl="6">
      <w:start w:val="0"/>
      <w:numFmt w:val="bullet"/>
      <w:lvlText w:val="•"/>
      <w:lvlJc w:val="left"/>
      <w:pPr>
        <w:ind w:left="4755" w:hanging="454"/>
      </w:pPr>
      <w:rPr>
        <w:rFonts w:hint="default"/>
      </w:rPr>
    </w:lvl>
    <w:lvl w:ilvl="7">
      <w:start w:val="0"/>
      <w:numFmt w:val="bullet"/>
      <w:lvlText w:val="•"/>
      <w:lvlJc w:val="left"/>
      <w:pPr>
        <w:ind w:left="5454" w:hanging="454"/>
      </w:pPr>
      <w:rPr>
        <w:rFonts w:hint="default"/>
      </w:rPr>
    </w:lvl>
    <w:lvl w:ilvl="8">
      <w:start w:val="0"/>
      <w:numFmt w:val="bullet"/>
      <w:lvlText w:val="•"/>
      <w:lvlJc w:val="left"/>
      <w:pPr>
        <w:ind w:left="6153" w:hanging="454"/>
      </w:pPr>
      <w:rPr>
        <w:rFonts w:hint="default"/>
      </w:rPr>
    </w:lvl>
  </w:abstractNum>
  <w:abstractNum w:abstractNumId="29">
    <w:multiLevelType w:val="hybridMultilevel"/>
    <w:lvl w:ilvl="0">
      <w:start w:val="1"/>
      <w:numFmt w:val="decimal"/>
      <w:lvlText w:val="(%1)"/>
      <w:lvlJc w:val="left"/>
      <w:pPr>
        <w:ind w:left="566" w:hanging="454"/>
        <w:jc w:val="left"/>
      </w:pPr>
      <w:rPr>
        <w:rFonts w:hint="default" w:ascii="宋体" w:hAnsi="宋体" w:eastAsia="宋体" w:cs="宋体"/>
        <w:w w:val="100"/>
        <w:sz w:val="22"/>
        <w:szCs w:val="22"/>
      </w:rPr>
    </w:lvl>
    <w:lvl w:ilvl="1">
      <w:start w:val="0"/>
      <w:numFmt w:val="bullet"/>
      <w:lvlText w:val="•"/>
      <w:lvlJc w:val="left"/>
      <w:pPr>
        <w:ind w:left="1259" w:hanging="454"/>
      </w:pPr>
      <w:rPr>
        <w:rFonts w:hint="default"/>
      </w:rPr>
    </w:lvl>
    <w:lvl w:ilvl="2">
      <w:start w:val="0"/>
      <w:numFmt w:val="bullet"/>
      <w:lvlText w:val="•"/>
      <w:lvlJc w:val="left"/>
      <w:pPr>
        <w:ind w:left="1958" w:hanging="454"/>
      </w:pPr>
      <w:rPr>
        <w:rFonts w:hint="default"/>
      </w:rPr>
    </w:lvl>
    <w:lvl w:ilvl="3">
      <w:start w:val="0"/>
      <w:numFmt w:val="bullet"/>
      <w:lvlText w:val="•"/>
      <w:lvlJc w:val="left"/>
      <w:pPr>
        <w:ind w:left="2657" w:hanging="454"/>
      </w:pPr>
      <w:rPr>
        <w:rFonts w:hint="default"/>
      </w:rPr>
    </w:lvl>
    <w:lvl w:ilvl="4">
      <w:start w:val="0"/>
      <w:numFmt w:val="bullet"/>
      <w:lvlText w:val="•"/>
      <w:lvlJc w:val="left"/>
      <w:pPr>
        <w:ind w:left="3356" w:hanging="454"/>
      </w:pPr>
      <w:rPr>
        <w:rFonts w:hint="default"/>
      </w:rPr>
    </w:lvl>
    <w:lvl w:ilvl="5">
      <w:start w:val="0"/>
      <w:numFmt w:val="bullet"/>
      <w:lvlText w:val="•"/>
      <w:lvlJc w:val="left"/>
      <w:pPr>
        <w:ind w:left="4056" w:hanging="454"/>
      </w:pPr>
      <w:rPr>
        <w:rFonts w:hint="default"/>
      </w:rPr>
    </w:lvl>
    <w:lvl w:ilvl="6">
      <w:start w:val="0"/>
      <w:numFmt w:val="bullet"/>
      <w:lvlText w:val="•"/>
      <w:lvlJc w:val="left"/>
      <w:pPr>
        <w:ind w:left="4755" w:hanging="454"/>
      </w:pPr>
      <w:rPr>
        <w:rFonts w:hint="default"/>
      </w:rPr>
    </w:lvl>
    <w:lvl w:ilvl="7">
      <w:start w:val="0"/>
      <w:numFmt w:val="bullet"/>
      <w:lvlText w:val="•"/>
      <w:lvlJc w:val="left"/>
      <w:pPr>
        <w:ind w:left="5454" w:hanging="454"/>
      </w:pPr>
      <w:rPr>
        <w:rFonts w:hint="default"/>
      </w:rPr>
    </w:lvl>
    <w:lvl w:ilvl="8">
      <w:start w:val="0"/>
      <w:numFmt w:val="bullet"/>
      <w:lvlText w:val="•"/>
      <w:lvlJc w:val="left"/>
      <w:pPr>
        <w:ind w:left="6153" w:hanging="454"/>
      </w:pPr>
      <w:rPr>
        <w:rFonts w:hint="default"/>
      </w:rPr>
    </w:lvl>
  </w:abstractNum>
  <w:abstractNum w:abstractNumId="28">
    <w:multiLevelType w:val="hybridMultilevel"/>
    <w:lvl w:ilvl="0">
      <w:start w:val="1"/>
      <w:numFmt w:val="decimal"/>
      <w:lvlText w:val="(%1)"/>
      <w:lvlJc w:val="left"/>
      <w:pPr>
        <w:ind w:left="566" w:hanging="454"/>
        <w:jc w:val="left"/>
      </w:pPr>
      <w:rPr>
        <w:rFonts w:hint="default" w:ascii="宋体" w:hAnsi="宋体" w:eastAsia="宋体" w:cs="宋体"/>
        <w:spacing w:val="-5"/>
        <w:w w:val="100"/>
        <w:sz w:val="22"/>
        <w:szCs w:val="22"/>
      </w:rPr>
    </w:lvl>
    <w:lvl w:ilvl="1">
      <w:start w:val="0"/>
      <w:numFmt w:val="bullet"/>
      <w:lvlText w:val="•"/>
      <w:lvlJc w:val="left"/>
      <w:pPr>
        <w:ind w:left="1259" w:hanging="454"/>
      </w:pPr>
      <w:rPr>
        <w:rFonts w:hint="default"/>
      </w:rPr>
    </w:lvl>
    <w:lvl w:ilvl="2">
      <w:start w:val="0"/>
      <w:numFmt w:val="bullet"/>
      <w:lvlText w:val="•"/>
      <w:lvlJc w:val="left"/>
      <w:pPr>
        <w:ind w:left="1958" w:hanging="454"/>
      </w:pPr>
      <w:rPr>
        <w:rFonts w:hint="default"/>
      </w:rPr>
    </w:lvl>
    <w:lvl w:ilvl="3">
      <w:start w:val="0"/>
      <w:numFmt w:val="bullet"/>
      <w:lvlText w:val="•"/>
      <w:lvlJc w:val="left"/>
      <w:pPr>
        <w:ind w:left="2657" w:hanging="454"/>
      </w:pPr>
      <w:rPr>
        <w:rFonts w:hint="default"/>
      </w:rPr>
    </w:lvl>
    <w:lvl w:ilvl="4">
      <w:start w:val="0"/>
      <w:numFmt w:val="bullet"/>
      <w:lvlText w:val="•"/>
      <w:lvlJc w:val="left"/>
      <w:pPr>
        <w:ind w:left="3356" w:hanging="454"/>
      </w:pPr>
      <w:rPr>
        <w:rFonts w:hint="default"/>
      </w:rPr>
    </w:lvl>
    <w:lvl w:ilvl="5">
      <w:start w:val="0"/>
      <w:numFmt w:val="bullet"/>
      <w:lvlText w:val="•"/>
      <w:lvlJc w:val="left"/>
      <w:pPr>
        <w:ind w:left="4056" w:hanging="454"/>
      </w:pPr>
      <w:rPr>
        <w:rFonts w:hint="default"/>
      </w:rPr>
    </w:lvl>
    <w:lvl w:ilvl="6">
      <w:start w:val="0"/>
      <w:numFmt w:val="bullet"/>
      <w:lvlText w:val="•"/>
      <w:lvlJc w:val="left"/>
      <w:pPr>
        <w:ind w:left="4755" w:hanging="454"/>
      </w:pPr>
      <w:rPr>
        <w:rFonts w:hint="default"/>
      </w:rPr>
    </w:lvl>
    <w:lvl w:ilvl="7">
      <w:start w:val="0"/>
      <w:numFmt w:val="bullet"/>
      <w:lvlText w:val="•"/>
      <w:lvlJc w:val="left"/>
      <w:pPr>
        <w:ind w:left="5454" w:hanging="454"/>
      </w:pPr>
      <w:rPr>
        <w:rFonts w:hint="default"/>
      </w:rPr>
    </w:lvl>
    <w:lvl w:ilvl="8">
      <w:start w:val="0"/>
      <w:numFmt w:val="bullet"/>
      <w:lvlText w:val="•"/>
      <w:lvlJc w:val="left"/>
      <w:pPr>
        <w:ind w:left="6153" w:hanging="454"/>
      </w:pPr>
      <w:rPr>
        <w:rFonts w:hint="default"/>
      </w:rPr>
    </w:lvl>
  </w:abstractNum>
  <w:abstractNum w:abstractNumId="27">
    <w:multiLevelType w:val="hybridMultilevel"/>
    <w:lvl w:ilvl="0">
      <w:start w:val="1"/>
      <w:numFmt w:val="decimal"/>
      <w:lvlText w:val="(%1)"/>
      <w:lvlJc w:val="left"/>
      <w:pPr>
        <w:ind w:left="566" w:hanging="454"/>
        <w:jc w:val="left"/>
      </w:pPr>
      <w:rPr>
        <w:rFonts w:hint="default" w:ascii="宋体" w:hAnsi="宋体" w:eastAsia="宋体" w:cs="宋体"/>
        <w:w w:val="100"/>
        <w:sz w:val="22"/>
        <w:szCs w:val="22"/>
      </w:rPr>
    </w:lvl>
    <w:lvl w:ilvl="1">
      <w:start w:val="0"/>
      <w:numFmt w:val="bullet"/>
      <w:lvlText w:val="•"/>
      <w:lvlJc w:val="left"/>
      <w:pPr>
        <w:ind w:left="1259" w:hanging="454"/>
      </w:pPr>
      <w:rPr>
        <w:rFonts w:hint="default"/>
      </w:rPr>
    </w:lvl>
    <w:lvl w:ilvl="2">
      <w:start w:val="0"/>
      <w:numFmt w:val="bullet"/>
      <w:lvlText w:val="•"/>
      <w:lvlJc w:val="left"/>
      <w:pPr>
        <w:ind w:left="1958" w:hanging="454"/>
      </w:pPr>
      <w:rPr>
        <w:rFonts w:hint="default"/>
      </w:rPr>
    </w:lvl>
    <w:lvl w:ilvl="3">
      <w:start w:val="0"/>
      <w:numFmt w:val="bullet"/>
      <w:lvlText w:val="•"/>
      <w:lvlJc w:val="left"/>
      <w:pPr>
        <w:ind w:left="2657" w:hanging="454"/>
      </w:pPr>
      <w:rPr>
        <w:rFonts w:hint="default"/>
      </w:rPr>
    </w:lvl>
    <w:lvl w:ilvl="4">
      <w:start w:val="0"/>
      <w:numFmt w:val="bullet"/>
      <w:lvlText w:val="•"/>
      <w:lvlJc w:val="left"/>
      <w:pPr>
        <w:ind w:left="3356" w:hanging="454"/>
      </w:pPr>
      <w:rPr>
        <w:rFonts w:hint="default"/>
      </w:rPr>
    </w:lvl>
    <w:lvl w:ilvl="5">
      <w:start w:val="0"/>
      <w:numFmt w:val="bullet"/>
      <w:lvlText w:val="•"/>
      <w:lvlJc w:val="left"/>
      <w:pPr>
        <w:ind w:left="4056" w:hanging="454"/>
      </w:pPr>
      <w:rPr>
        <w:rFonts w:hint="default"/>
      </w:rPr>
    </w:lvl>
    <w:lvl w:ilvl="6">
      <w:start w:val="0"/>
      <w:numFmt w:val="bullet"/>
      <w:lvlText w:val="•"/>
      <w:lvlJc w:val="left"/>
      <w:pPr>
        <w:ind w:left="4755" w:hanging="454"/>
      </w:pPr>
      <w:rPr>
        <w:rFonts w:hint="default"/>
      </w:rPr>
    </w:lvl>
    <w:lvl w:ilvl="7">
      <w:start w:val="0"/>
      <w:numFmt w:val="bullet"/>
      <w:lvlText w:val="•"/>
      <w:lvlJc w:val="left"/>
      <w:pPr>
        <w:ind w:left="5454" w:hanging="454"/>
      </w:pPr>
      <w:rPr>
        <w:rFonts w:hint="default"/>
      </w:rPr>
    </w:lvl>
    <w:lvl w:ilvl="8">
      <w:start w:val="0"/>
      <w:numFmt w:val="bullet"/>
      <w:lvlText w:val="•"/>
      <w:lvlJc w:val="left"/>
      <w:pPr>
        <w:ind w:left="6153" w:hanging="454"/>
      </w:pPr>
      <w:rPr>
        <w:rFonts w:hint="default"/>
      </w:rPr>
    </w:lvl>
  </w:abstractNum>
  <w:abstractNum w:abstractNumId="26">
    <w:multiLevelType w:val="hybridMultilevel"/>
    <w:lvl w:ilvl="0">
      <w:start w:val="1"/>
      <w:numFmt w:val="upperRoman"/>
      <w:lvlText w:val="%1"/>
      <w:lvlJc w:val="left"/>
      <w:pPr>
        <w:ind w:left="366" w:hanging="166"/>
        <w:jc w:val="left"/>
      </w:pPr>
      <w:rPr>
        <w:rFonts w:hint="default" w:ascii="宋体" w:hAnsi="宋体" w:eastAsia="宋体" w:cs="宋体"/>
        <w:w w:val="100"/>
        <w:sz w:val="22"/>
        <w:szCs w:val="22"/>
      </w:rPr>
    </w:lvl>
    <w:lvl w:ilvl="1">
      <w:start w:val="0"/>
      <w:numFmt w:val="bullet"/>
      <w:lvlText w:val="•"/>
      <w:lvlJc w:val="left"/>
      <w:pPr>
        <w:ind w:left="1077" w:hanging="166"/>
      </w:pPr>
      <w:rPr>
        <w:rFonts w:hint="default"/>
      </w:rPr>
    </w:lvl>
    <w:lvl w:ilvl="2">
      <w:start w:val="0"/>
      <w:numFmt w:val="bullet"/>
      <w:lvlText w:val="•"/>
      <w:lvlJc w:val="left"/>
      <w:pPr>
        <w:ind w:left="1794" w:hanging="166"/>
      </w:pPr>
      <w:rPr>
        <w:rFonts w:hint="default"/>
      </w:rPr>
    </w:lvl>
    <w:lvl w:ilvl="3">
      <w:start w:val="0"/>
      <w:numFmt w:val="bullet"/>
      <w:lvlText w:val="•"/>
      <w:lvlJc w:val="left"/>
      <w:pPr>
        <w:ind w:left="2511" w:hanging="166"/>
      </w:pPr>
      <w:rPr>
        <w:rFonts w:hint="default"/>
      </w:rPr>
    </w:lvl>
    <w:lvl w:ilvl="4">
      <w:start w:val="0"/>
      <w:numFmt w:val="bullet"/>
      <w:lvlText w:val="•"/>
      <w:lvlJc w:val="left"/>
      <w:pPr>
        <w:ind w:left="3228" w:hanging="166"/>
      </w:pPr>
      <w:rPr>
        <w:rFonts w:hint="default"/>
      </w:rPr>
    </w:lvl>
    <w:lvl w:ilvl="5">
      <w:start w:val="0"/>
      <w:numFmt w:val="bullet"/>
      <w:lvlText w:val="•"/>
      <w:lvlJc w:val="left"/>
      <w:pPr>
        <w:ind w:left="3945" w:hanging="166"/>
      </w:pPr>
      <w:rPr>
        <w:rFonts w:hint="default"/>
      </w:rPr>
    </w:lvl>
    <w:lvl w:ilvl="6">
      <w:start w:val="0"/>
      <w:numFmt w:val="bullet"/>
      <w:lvlText w:val="•"/>
      <w:lvlJc w:val="left"/>
      <w:pPr>
        <w:ind w:left="4662" w:hanging="166"/>
      </w:pPr>
      <w:rPr>
        <w:rFonts w:hint="default"/>
      </w:rPr>
    </w:lvl>
    <w:lvl w:ilvl="7">
      <w:start w:val="0"/>
      <w:numFmt w:val="bullet"/>
      <w:lvlText w:val="•"/>
      <w:lvlJc w:val="left"/>
      <w:pPr>
        <w:ind w:left="5380" w:hanging="166"/>
      </w:pPr>
      <w:rPr>
        <w:rFonts w:hint="default"/>
      </w:rPr>
    </w:lvl>
    <w:lvl w:ilvl="8">
      <w:start w:val="0"/>
      <w:numFmt w:val="bullet"/>
      <w:lvlText w:val="•"/>
      <w:lvlJc w:val="left"/>
      <w:pPr>
        <w:ind w:left="6097" w:hanging="166"/>
      </w:pPr>
      <w:rPr>
        <w:rFonts w:hint="default"/>
      </w:rPr>
    </w:lvl>
  </w:abstractNum>
  <w:abstractNum w:abstractNumId="25">
    <w:multiLevelType w:val="hybridMultilevel"/>
    <w:lvl w:ilvl="0">
      <w:start w:val="1"/>
      <w:numFmt w:val="decimal"/>
      <w:lvlText w:val="(%1)"/>
      <w:lvlJc w:val="left"/>
      <w:pPr>
        <w:ind w:left="566" w:hanging="454"/>
        <w:jc w:val="left"/>
      </w:pPr>
      <w:rPr>
        <w:rFonts w:hint="default" w:ascii="宋体" w:hAnsi="宋体" w:eastAsia="宋体" w:cs="宋体"/>
        <w:w w:val="100"/>
        <w:sz w:val="22"/>
        <w:szCs w:val="22"/>
      </w:rPr>
    </w:lvl>
    <w:lvl w:ilvl="1">
      <w:start w:val="0"/>
      <w:numFmt w:val="bullet"/>
      <w:lvlText w:val="•"/>
      <w:lvlJc w:val="left"/>
      <w:pPr>
        <w:ind w:left="1259" w:hanging="454"/>
      </w:pPr>
      <w:rPr>
        <w:rFonts w:hint="default"/>
      </w:rPr>
    </w:lvl>
    <w:lvl w:ilvl="2">
      <w:start w:val="0"/>
      <w:numFmt w:val="bullet"/>
      <w:lvlText w:val="•"/>
      <w:lvlJc w:val="left"/>
      <w:pPr>
        <w:ind w:left="1958" w:hanging="454"/>
      </w:pPr>
      <w:rPr>
        <w:rFonts w:hint="default"/>
      </w:rPr>
    </w:lvl>
    <w:lvl w:ilvl="3">
      <w:start w:val="0"/>
      <w:numFmt w:val="bullet"/>
      <w:lvlText w:val="•"/>
      <w:lvlJc w:val="left"/>
      <w:pPr>
        <w:ind w:left="2657" w:hanging="454"/>
      </w:pPr>
      <w:rPr>
        <w:rFonts w:hint="default"/>
      </w:rPr>
    </w:lvl>
    <w:lvl w:ilvl="4">
      <w:start w:val="0"/>
      <w:numFmt w:val="bullet"/>
      <w:lvlText w:val="•"/>
      <w:lvlJc w:val="left"/>
      <w:pPr>
        <w:ind w:left="3356" w:hanging="454"/>
      </w:pPr>
      <w:rPr>
        <w:rFonts w:hint="default"/>
      </w:rPr>
    </w:lvl>
    <w:lvl w:ilvl="5">
      <w:start w:val="0"/>
      <w:numFmt w:val="bullet"/>
      <w:lvlText w:val="•"/>
      <w:lvlJc w:val="left"/>
      <w:pPr>
        <w:ind w:left="4056" w:hanging="454"/>
      </w:pPr>
      <w:rPr>
        <w:rFonts w:hint="default"/>
      </w:rPr>
    </w:lvl>
    <w:lvl w:ilvl="6">
      <w:start w:val="0"/>
      <w:numFmt w:val="bullet"/>
      <w:lvlText w:val="•"/>
      <w:lvlJc w:val="left"/>
      <w:pPr>
        <w:ind w:left="4755" w:hanging="454"/>
      </w:pPr>
      <w:rPr>
        <w:rFonts w:hint="default"/>
      </w:rPr>
    </w:lvl>
    <w:lvl w:ilvl="7">
      <w:start w:val="0"/>
      <w:numFmt w:val="bullet"/>
      <w:lvlText w:val="•"/>
      <w:lvlJc w:val="left"/>
      <w:pPr>
        <w:ind w:left="5454" w:hanging="454"/>
      </w:pPr>
      <w:rPr>
        <w:rFonts w:hint="default"/>
      </w:rPr>
    </w:lvl>
    <w:lvl w:ilvl="8">
      <w:start w:val="0"/>
      <w:numFmt w:val="bullet"/>
      <w:lvlText w:val="•"/>
      <w:lvlJc w:val="left"/>
      <w:pPr>
        <w:ind w:left="6153" w:hanging="454"/>
      </w:pPr>
      <w:rPr>
        <w:rFonts w:hint="default"/>
      </w:rPr>
    </w:lvl>
  </w:abstractNum>
  <w:abstractNum w:abstractNumId="24">
    <w:multiLevelType w:val="hybridMultilevel"/>
    <w:lvl w:ilvl="0">
      <w:start w:val="1"/>
      <w:numFmt w:val="decimal"/>
      <w:lvlText w:val="(%1)"/>
      <w:lvlJc w:val="left"/>
      <w:pPr>
        <w:ind w:left="566" w:hanging="454"/>
        <w:jc w:val="left"/>
      </w:pPr>
      <w:rPr>
        <w:rFonts w:hint="default" w:ascii="宋体" w:hAnsi="宋体" w:eastAsia="宋体" w:cs="宋体"/>
        <w:w w:val="100"/>
        <w:sz w:val="22"/>
        <w:szCs w:val="22"/>
      </w:rPr>
    </w:lvl>
    <w:lvl w:ilvl="1">
      <w:start w:val="0"/>
      <w:numFmt w:val="bullet"/>
      <w:lvlText w:val="•"/>
      <w:lvlJc w:val="left"/>
      <w:pPr>
        <w:ind w:left="1259" w:hanging="454"/>
      </w:pPr>
      <w:rPr>
        <w:rFonts w:hint="default"/>
      </w:rPr>
    </w:lvl>
    <w:lvl w:ilvl="2">
      <w:start w:val="0"/>
      <w:numFmt w:val="bullet"/>
      <w:lvlText w:val="•"/>
      <w:lvlJc w:val="left"/>
      <w:pPr>
        <w:ind w:left="1958" w:hanging="454"/>
      </w:pPr>
      <w:rPr>
        <w:rFonts w:hint="default"/>
      </w:rPr>
    </w:lvl>
    <w:lvl w:ilvl="3">
      <w:start w:val="0"/>
      <w:numFmt w:val="bullet"/>
      <w:lvlText w:val="•"/>
      <w:lvlJc w:val="left"/>
      <w:pPr>
        <w:ind w:left="2657" w:hanging="454"/>
      </w:pPr>
      <w:rPr>
        <w:rFonts w:hint="default"/>
      </w:rPr>
    </w:lvl>
    <w:lvl w:ilvl="4">
      <w:start w:val="0"/>
      <w:numFmt w:val="bullet"/>
      <w:lvlText w:val="•"/>
      <w:lvlJc w:val="left"/>
      <w:pPr>
        <w:ind w:left="3356" w:hanging="454"/>
      </w:pPr>
      <w:rPr>
        <w:rFonts w:hint="default"/>
      </w:rPr>
    </w:lvl>
    <w:lvl w:ilvl="5">
      <w:start w:val="0"/>
      <w:numFmt w:val="bullet"/>
      <w:lvlText w:val="•"/>
      <w:lvlJc w:val="left"/>
      <w:pPr>
        <w:ind w:left="4056" w:hanging="454"/>
      </w:pPr>
      <w:rPr>
        <w:rFonts w:hint="default"/>
      </w:rPr>
    </w:lvl>
    <w:lvl w:ilvl="6">
      <w:start w:val="0"/>
      <w:numFmt w:val="bullet"/>
      <w:lvlText w:val="•"/>
      <w:lvlJc w:val="left"/>
      <w:pPr>
        <w:ind w:left="4755" w:hanging="454"/>
      </w:pPr>
      <w:rPr>
        <w:rFonts w:hint="default"/>
      </w:rPr>
    </w:lvl>
    <w:lvl w:ilvl="7">
      <w:start w:val="0"/>
      <w:numFmt w:val="bullet"/>
      <w:lvlText w:val="•"/>
      <w:lvlJc w:val="left"/>
      <w:pPr>
        <w:ind w:left="5454" w:hanging="454"/>
      </w:pPr>
      <w:rPr>
        <w:rFonts w:hint="default"/>
      </w:rPr>
    </w:lvl>
    <w:lvl w:ilvl="8">
      <w:start w:val="0"/>
      <w:numFmt w:val="bullet"/>
      <w:lvlText w:val="•"/>
      <w:lvlJc w:val="left"/>
      <w:pPr>
        <w:ind w:left="6153" w:hanging="454"/>
      </w:pPr>
      <w:rPr>
        <w:rFonts w:hint="default"/>
      </w:rPr>
    </w:lvl>
  </w:abstractNum>
  <w:abstractNum w:abstractNumId="23">
    <w:multiLevelType w:val="hybridMultilevel"/>
    <w:lvl w:ilvl="0">
      <w:start w:val="1"/>
      <w:numFmt w:val="decimal"/>
      <w:lvlText w:val="(%1)"/>
      <w:lvlJc w:val="left"/>
      <w:pPr>
        <w:ind w:left="566" w:hanging="454"/>
        <w:jc w:val="left"/>
      </w:pPr>
      <w:rPr>
        <w:rFonts w:hint="default" w:ascii="宋体" w:hAnsi="宋体" w:eastAsia="宋体" w:cs="宋体"/>
        <w:w w:val="100"/>
        <w:sz w:val="22"/>
        <w:szCs w:val="22"/>
      </w:rPr>
    </w:lvl>
    <w:lvl w:ilvl="1">
      <w:start w:val="0"/>
      <w:numFmt w:val="bullet"/>
      <w:lvlText w:val="•"/>
      <w:lvlJc w:val="left"/>
      <w:pPr>
        <w:ind w:left="1259" w:hanging="454"/>
      </w:pPr>
      <w:rPr>
        <w:rFonts w:hint="default"/>
      </w:rPr>
    </w:lvl>
    <w:lvl w:ilvl="2">
      <w:start w:val="0"/>
      <w:numFmt w:val="bullet"/>
      <w:lvlText w:val="•"/>
      <w:lvlJc w:val="left"/>
      <w:pPr>
        <w:ind w:left="1958" w:hanging="454"/>
      </w:pPr>
      <w:rPr>
        <w:rFonts w:hint="default"/>
      </w:rPr>
    </w:lvl>
    <w:lvl w:ilvl="3">
      <w:start w:val="0"/>
      <w:numFmt w:val="bullet"/>
      <w:lvlText w:val="•"/>
      <w:lvlJc w:val="left"/>
      <w:pPr>
        <w:ind w:left="2657" w:hanging="454"/>
      </w:pPr>
      <w:rPr>
        <w:rFonts w:hint="default"/>
      </w:rPr>
    </w:lvl>
    <w:lvl w:ilvl="4">
      <w:start w:val="0"/>
      <w:numFmt w:val="bullet"/>
      <w:lvlText w:val="•"/>
      <w:lvlJc w:val="left"/>
      <w:pPr>
        <w:ind w:left="3356" w:hanging="454"/>
      </w:pPr>
      <w:rPr>
        <w:rFonts w:hint="default"/>
      </w:rPr>
    </w:lvl>
    <w:lvl w:ilvl="5">
      <w:start w:val="0"/>
      <w:numFmt w:val="bullet"/>
      <w:lvlText w:val="•"/>
      <w:lvlJc w:val="left"/>
      <w:pPr>
        <w:ind w:left="4056" w:hanging="454"/>
      </w:pPr>
      <w:rPr>
        <w:rFonts w:hint="default"/>
      </w:rPr>
    </w:lvl>
    <w:lvl w:ilvl="6">
      <w:start w:val="0"/>
      <w:numFmt w:val="bullet"/>
      <w:lvlText w:val="•"/>
      <w:lvlJc w:val="left"/>
      <w:pPr>
        <w:ind w:left="4755" w:hanging="454"/>
      </w:pPr>
      <w:rPr>
        <w:rFonts w:hint="default"/>
      </w:rPr>
    </w:lvl>
    <w:lvl w:ilvl="7">
      <w:start w:val="0"/>
      <w:numFmt w:val="bullet"/>
      <w:lvlText w:val="•"/>
      <w:lvlJc w:val="left"/>
      <w:pPr>
        <w:ind w:left="5454" w:hanging="454"/>
      </w:pPr>
      <w:rPr>
        <w:rFonts w:hint="default"/>
      </w:rPr>
    </w:lvl>
    <w:lvl w:ilvl="8">
      <w:start w:val="0"/>
      <w:numFmt w:val="bullet"/>
      <w:lvlText w:val="•"/>
      <w:lvlJc w:val="left"/>
      <w:pPr>
        <w:ind w:left="6153" w:hanging="454"/>
      </w:pPr>
      <w:rPr>
        <w:rFonts w:hint="default"/>
      </w:rPr>
    </w:lvl>
  </w:abstractNum>
  <w:abstractNum w:abstractNumId="22">
    <w:multiLevelType w:val="hybridMultilevel"/>
    <w:lvl w:ilvl="0">
      <w:start w:val="1"/>
      <w:numFmt w:val="decimal"/>
      <w:lvlText w:val="(%1)"/>
      <w:lvlJc w:val="left"/>
      <w:pPr>
        <w:ind w:left="2881" w:hanging="454"/>
        <w:jc w:val="left"/>
      </w:pPr>
      <w:rPr>
        <w:rFonts w:hint="default" w:ascii="宋体" w:hAnsi="宋体" w:eastAsia="宋体" w:cs="宋体"/>
        <w:w w:val="100"/>
        <w:sz w:val="22"/>
        <w:szCs w:val="22"/>
      </w:rPr>
    </w:lvl>
    <w:lvl w:ilvl="1">
      <w:start w:val="0"/>
      <w:numFmt w:val="bullet"/>
      <w:lvlText w:val="•"/>
      <w:lvlJc w:val="left"/>
      <w:pPr>
        <w:ind w:left="3578" w:hanging="454"/>
      </w:pPr>
      <w:rPr>
        <w:rFonts w:hint="default"/>
      </w:rPr>
    </w:lvl>
    <w:lvl w:ilvl="2">
      <w:start w:val="0"/>
      <w:numFmt w:val="bullet"/>
      <w:lvlText w:val="•"/>
      <w:lvlJc w:val="left"/>
      <w:pPr>
        <w:ind w:left="4277" w:hanging="454"/>
      </w:pPr>
      <w:rPr>
        <w:rFonts w:hint="default"/>
      </w:rPr>
    </w:lvl>
    <w:lvl w:ilvl="3">
      <w:start w:val="0"/>
      <w:numFmt w:val="bullet"/>
      <w:lvlText w:val="•"/>
      <w:lvlJc w:val="left"/>
      <w:pPr>
        <w:ind w:left="4975" w:hanging="454"/>
      </w:pPr>
      <w:rPr>
        <w:rFonts w:hint="default"/>
      </w:rPr>
    </w:lvl>
    <w:lvl w:ilvl="4">
      <w:start w:val="0"/>
      <w:numFmt w:val="bullet"/>
      <w:lvlText w:val="•"/>
      <w:lvlJc w:val="left"/>
      <w:pPr>
        <w:ind w:left="5674" w:hanging="454"/>
      </w:pPr>
      <w:rPr>
        <w:rFonts w:hint="default"/>
      </w:rPr>
    </w:lvl>
    <w:lvl w:ilvl="5">
      <w:start w:val="0"/>
      <w:numFmt w:val="bullet"/>
      <w:lvlText w:val="•"/>
      <w:lvlJc w:val="left"/>
      <w:pPr>
        <w:ind w:left="6373" w:hanging="454"/>
      </w:pPr>
      <w:rPr>
        <w:rFonts w:hint="default"/>
      </w:rPr>
    </w:lvl>
    <w:lvl w:ilvl="6">
      <w:start w:val="0"/>
      <w:numFmt w:val="bullet"/>
      <w:lvlText w:val="•"/>
      <w:lvlJc w:val="left"/>
      <w:pPr>
        <w:ind w:left="7071" w:hanging="454"/>
      </w:pPr>
      <w:rPr>
        <w:rFonts w:hint="default"/>
      </w:rPr>
    </w:lvl>
    <w:lvl w:ilvl="7">
      <w:start w:val="0"/>
      <w:numFmt w:val="bullet"/>
      <w:lvlText w:val="•"/>
      <w:lvlJc w:val="left"/>
      <w:pPr>
        <w:ind w:left="7770" w:hanging="454"/>
      </w:pPr>
      <w:rPr>
        <w:rFonts w:hint="default"/>
      </w:rPr>
    </w:lvl>
    <w:lvl w:ilvl="8">
      <w:start w:val="0"/>
      <w:numFmt w:val="bullet"/>
      <w:lvlText w:val="•"/>
      <w:lvlJc w:val="left"/>
      <w:pPr>
        <w:ind w:left="8469" w:hanging="454"/>
      </w:pPr>
      <w:rPr>
        <w:rFonts w:hint="default"/>
      </w:rPr>
    </w:lvl>
  </w:abstractNum>
  <w:abstractNum w:abstractNumId="21">
    <w:multiLevelType w:val="hybridMultilevel"/>
    <w:lvl w:ilvl="0">
      <w:start w:val="1"/>
      <w:numFmt w:val="decimal"/>
      <w:lvlText w:val="(%1)"/>
      <w:lvlJc w:val="left"/>
      <w:pPr>
        <w:ind w:left="566" w:hanging="454"/>
        <w:jc w:val="left"/>
      </w:pPr>
      <w:rPr>
        <w:rFonts w:hint="default" w:ascii="宋体" w:hAnsi="宋体" w:eastAsia="宋体" w:cs="宋体"/>
        <w:w w:val="100"/>
        <w:sz w:val="22"/>
        <w:szCs w:val="22"/>
      </w:rPr>
    </w:lvl>
    <w:lvl w:ilvl="1">
      <w:start w:val="0"/>
      <w:numFmt w:val="bullet"/>
      <w:lvlText w:val="•"/>
      <w:lvlJc w:val="left"/>
      <w:pPr>
        <w:ind w:left="1259" w:hanging="454"/>
      </w:pPr>
      <w:rPr>
        <w:rFonts w:hint="default"/>
      </w:rPr>
    </w:lvl>
    <w:lvl w:ilvl="2">
      <w:start w:val="0"/>
      <w:numFmt w:val="bullet"/>
      <w:lvlText w:val="•"/>
      <w:lvlJc w:val="left"/>
      <w:pPr>
        <w:ind w:left="1958" w:hanging="454"/>
      </w:pPr>
      <w:rPr>
        <w:rFonts w:hint="default"/>
      </w:rPr>
    </w:lvl>
    <w:lvl w:ilvl="3">
      <w:start w:val="0"/>
      <w:numFmt w:val="bullet"/>
      <w:lvlText w:val="•"/>
      <w:lvlJc w:val="left"/>
      <w:pPr>
        <w:ind w:left="2657" w:hanging="454"/>
      </w:pPr>
      <w:rPr>
        <w:rFonts w:hint="default"/>
      </w:rPr>
    </w:lvl>
    <w:lvl w:ilvl="4">
      <w:start w:val="0"/>
      <w:numFmt w:val="bullet"/>
      <w:lvlText w:val="•"/>
      <w:lvlJc w:val="left"/>
      <w:pPr>
        <w:ind w:left="3356" w:hanging="454"/>
      </w:pPr>
      <w:rPr>
        <w:rFonts w:hint="default"/>
      </w:rPr>
    </w:lvl>
    <w:lvl w:ilvl="5">
      <w:start w:val="0"/>
      <w:numFmt w:val="bullet"/>
      <w:lvlText w:val="•"/>
      <w:lvlJc w:val="left"/>
      <w:pPr>
        <w:ind w:left="4056" w:hanging="454"/>
      </w:pPr>
      <w:rPr>
        <w:rFonts w:hint="default"/>
      </w:rPr>
    </w:lvl>
    <w:lvl w:ilvl="6">
      <w:start w:val="0"/>
      <w:numFmt w:val="bullet"/>
      <w:lvlText w:val="•"/>
      <w:lvlJc w:val="left"/>
      <w:pPr>
        <w:ind w:left="4755" w:hanging="454"/>
      </w:pPr>
      <w:rPr>
        <w:rFonts w:hint="default"/>
      </w:rPr>
    </w:lvl>
    <w:lvl w:ilvl="7">
      <w:start w:val="0"/>
      <w:numFmt w:val="bullet"/>
      <w:lvlText w:val="•"/>
      <w:lvlJc w:val="left"/>
      <w:pPr>
        <w:ind w:left="5454" w:hanging="454"/>
      </w:pPr>
      <w:rPr>
        <w:rFonts w:hint="default"/>
      </w:rPr>
    </w:lvl>
    <w:lvl w:ilvl="8">
      <w:start w:val="0"/>
      <w:numFmt w:val="bullet"/>
      <w:lvlText w:val="•"/>
      <w:lvlJc w:val="left"/>
      <w:pPr>
        <w:ind w:left="6153" w:hanging="454"/>
      </w:pPr>
      <w:rPr>
        <w:rFonts w:hint="default"/>
      </w:rPr>
    </w:lvl>
  </w:abstractNum>
  <w:abstractNum w:abstractNumId="20">
    <w:multiLevelType w:val="hybridMultilevel"/>
    <w:lvl w:ilvl="0">
      <w:start w:val="9"/>
      <w:numFmt w:val="decimal"/>
      <w:lvlText w:val="%1"/>
      <w:lvlJc w:val="left"/>
      <w:pPr>
        <w:ind w:left="2427" w:hanging="797"/>
        <w:jc w:val="left"/>
      </w:pPr>
      <w:rPr>
        <w:rFonts w:hint="default"/>
      </w:rPr>
    </w:lvl>
    <w:lvl w:ilvl="1">
      <w:start w:val="4"/>
      <w:numFmt w:val="decimal"/>
      <w:lvlText w:val="%1.%2"/>
      <w:lvlJc w:val="left"/>
      <w:pPr>
        <w:ind w:left="2427" w:hanging="797"/>
        <w:jc w:val="left"/>
      </w:pPr>
      <w:rPr>
        <w:rFonts w:hint="default"/>
      </w:rPr>
    </w:lvl>
    <w:lvl w:ilvl="2">
      <w:start w:val="11"/>
      <w:numFmt w:val="decimal"/>
      <w:lvlText w:val="%1.%2.%3"/>
      <w:lvlJc w:val="left"/>
      <w:pPr>
        <w:ind w:left="2427" w:hanging="797"/>
        <w:jc w:val="left"/>
      </w:pPr>
      <w:rPr>
        <w:rFonts w:hint="default" w:ascii="宋体" w:hAnsi="宋体" w:eastAsia="宋体" w:cs="宋体"/>
        <w:w w:val="100"/>
        <w:sz w:val="22"/>
        <w:szCs w:val="22"/>
      </w:rPr>
    </w:lvl>
    <w:lvl w:ilvl="3">
      <w:start w:val="1"/>
      <w:numFmt w:val="decimal"/>
      <w:lvlText w:val="(%4)"/>
      <w:lvlJc w:val="left"/>
      <w:pPr>
        <w:ind w:left="2881" w:hanging="454"/>
        <w:jc w:val="left"/>
      </w:pPr>
      <w:rPr>
        <w:rFonts w:hint="default" w:ascii="宋体" w:hAnsi="宋体" w:eastAsia="宋体" w:cs="宋体"/>
        <w:w w:val="100"/>
        <w:sz w:val="22"/>
        <w:szCs w:val="22"/>
      </w:rPr>
    </w:lvl>
    <w:lvl w:ilvl="4">
      <w:start w:val="0"/>
      <w:numFmt w:val="bullet"/>
      <w:lvlText w:val="-"/>
      <w:lvlJc w:val="left"/>
      <w:pPr>
        <w:ind w:left="3089" w:hanging="221"/>
      </w:pPr>
      <w:rPr>
        <w:rFonts w:hint="default" w:ascii="宋体" w:hAnsi="宋体" w:eastAsia="宋体" w:cs="宋体"/>
        <w:w w:val="100"/>
        <w:sz w:val="22"/>
        <w:szCs w:val="22"/>
      </w:rPr>
    </w:lvl>
    <w:lvl w:ilvl="5">
      <w:start w:val="0"/>
      <w:numFmt w:val="bullet"/>
      <w:lvlText w:val="•"/>
      <w:lvlJc w:val="left"/>
      <w:pPr>
        <w:ind w:left="2763" w:hanging="221"/>
      </w:pPr>
      <w:rPr>
        <w:rFonts w:hint="default"/>
      </w:rPr>
    </w:lvl>
    <w:lvl w:ilvl="6">
      <w:start w:val="0"/>
      <w:numFmt w:val="bullet"/>
      <w:lvlText w:val="•"/>
      <w:lvlJc w:val="left"/>
      <w:pPr>
        <w:ind w:left="2657" w:hanging="221"/>
      </w:pPr>
      <w:rPr>
        <w:rFonts w:hint="default"/>
      </w:rPr>
    </w:lvl>
    <w:lvl w:ilvl="7">
      <w:start w:val="0"/>
      <w:numFmt w:val="bullet"/>
      <w:lvlText w:val="•"/>
      <w:lvlJc w:val="left"/>
      <w:pPr>
        <w:ind w:left="2551" w:hanging="221"/>
      </w:pPr>
      <w:rPr>
        <w:rFonts w:hint="default"/>
      </w:rPr>
    </w:lvl>
    <w:lvl w:ilvl="8">
      <w:start w:val="0"/>
      <w:numFmt w:val="bullet"/>
      <w:lvlText w:val="•"/>
      <w:lvlJc w:val="left"/>
      <w:pPr>
        <w:ind w:left="2446" w:hanging="221"/>
      </w:pPr>
      <w:rPr>
        <w:rFonts w:hint="default"/>
      </w:rPr>
    </w:lvl>
  </w:abstractNum>
  <w:abstractNum w:abstractNumId="19">
    <w:multiLevelType w:val="hybridMultilevel"/>
    <w:lvl w:ilvl="0">
      <w:start w:val="2"/>
      <w:numFmt w:val="decimal"/>
      <w:lvlText w:val="(%1)"/>
      <w:lvlJc w:val="left"/>
      <w:pPr>
        <w:ind w:left="2427" w:hanging="454"/>
        <w:jc w:val="left"/>
      </w:pPr>
      <w:rPr>
        <w:rFonts w:hint="default" w:ascii="宋体" w:hAnsi="宋体" w:eastAsia="宋体" w:cs="宋体"/>
        <w:w w:val="100"/>
        <w:sz w:val="22"/>
        <w:szCs w:val="22"/>
      </w:rPr>
    </w:lvl>
    <w:lvl w:ilvl="1">
      <w:start w:val="0"/>
      <w:numFmt w:val="bullet"/>
      <w:lvlText w:val="•"/>
      <w:lvlJc w:val="left"/>
      <w:pPr>
        <w:ind w:left="3164" w:hanging="454"/>
      </w:pPr>
      <w:rPr>
        <w:rFonts w:hint="default"/>
      </w:rPr>
    </w:lvl>
    <w:lvl w:ilvl="2">
      <w:start w:val="0"/>
      <w:numFmt w:val="bullet"/>
      <w:lvlText w:val="•"/>
      <w:lvlJc w:val="left"/>
      <w:pPr>
        <w:ind w:left="3909" w:hanging="454"/>
      </w:pPr>
      <w:rPr>
        <w:rFonts w:hint="default"/>
      </w:rPr>
    </w:lvl>
    <w:lvl w:ilvl="3">
      <w:start w:val="0"/>
      <w:numFmt w:val="bullet"/>
      <w:lvlText w:val="•"/>
      <w:lvlJc w:val="left"/>
      <w:pPr>
        <w:ind w:left="4653" w:hanging="454"/>
      </w:pPr>
      <w:rPr>
        <w:rFonts w:hint="default"/>
      </w:rPr>
    </w:lvl>
    <w:lvl w:ilvl="4">
      <w:start w:val="0"/>
      <w:numFmt w:val="bullet"/>
      <w:lvlText w:val="•"/>
      <w:lvlJc w:val="left"/>
      <w:pPr>
        <w:ind w:left="5398" w:hanging="454"/>
      </w:pPr>
      <w:rPr>
        <w:rFonts w:hint="default"/>
      </w:rPr>
    </w:lvl>
    <w:lvl w:ilvl="5">
      <w:start w:val="0"/>
      <w:numFmt w:val="bullet"/>
      <w:lvlText w:val="•"/>
      <w:lvlJc w:val="left"/>
      <w:pPr>
        <w:ind w:left="6143" w:hanging="454"/>
      </w:pPr>
      <w:rPr>
        <w:rFonts w:hint="default"/>
      </w:rPr>
    </w:lvl>
    <w:lvl w:ilvl="6">
      <w:start w:val="0"/>
      <w:numFmt w:val="bullet"/>
      <w:lvlText w:val="•"/>
      <w:lvlJc w:val="left"/>
      <w:pPr>
        <w:ind w:left="6887" w:hanging="454"/>
      </w:pPr>
      <w:rPr>
        <w:rFonts w:hint="default"/>
      </w:rPr>
    </w:lvl>
    <w:lvl w:ilvl="7">
      <w:start w:val="0"/>
      <w:numFmt w:val="bullet"/>
      <w:lvlText w:val="•"/>
      <w:lvlJc w:val="left"/>
      <w:pPr>
        <w:ind w:left="7632" w:hanging="454"/>
      </w:pPr>
      <w:rPr>
        <w:rFonts w:hint="default"/>
      </w:rPr>
    </w:lvl>
    <w:lvl w:ilvl="8">
      <w:start w:val="0"/>
      <w:numFmt w:val="bullet"/>
      <w:lvlText w:val="•"/>
      <w:lvlJc w:val="left"/>
      <w:pPr>
        <w:ind w:left="8377" w:hanging="454"/>
      </w:pPr>
      <w:rPr>
        <w:rFonts w:hint="default"/>
      </w:rPr>
    </w:lvl>
  </w:abstractNum>
  <w:abstractNum w:abstractNumId="18">
    <w:multiLevelType w:val="hybridMultilevel"/>
    <w:lvl w:ilvl="0">
      <w:start w:val="1"/>
      <w:numFmt w:val="decimal"/>
      <w:lvlText w:val="(%1)"/>
      <w:lvlJc w:val="left"/>
      <w:pPr>
        <w:ind w:left="548" w:hanging="454"/>
        <w:jc w:val="left"/>
      </w:pPr>
      <w:rPr>
        <w:rFonts w:hint="default" w:ascii="宋体" w:hAnsi="宋体" w:eastAsia="宋体" w:cs="宋体"/>
        <w:w w:val="100"/>
        <w:sz w:val="22"/>
        <w:szCs w:val="22"/>
      </w:rPr>
    </w:lvl>
    <w:lvl w:ilvl="1">
      <w:start w:val="0"/>
      <w:numFmt w:val="bullet"/>
      <w:lvlText w:val="•"/>
      <w:lvlJc w:val="left"/>
      <w:pPr>
        <w:ind w:left="1248" w:hanging="454"/>
      </w:pPr>
      <w:rPr>
        <w:rFonts w:hint="default"/>
      </w:rPr>
    </w:lvl>
    <w:lvl w:ilvl="2">
      <w:start w:val="0"/>
      <w:numFmt w:val="bullet"/>
      <w:lvlText w:val="•"/>
      <w:lvlJc w:val="left"/>
      <w:pPr>
        <w:ind w:left="1957" w:hanging="454"/>
      </w:pPr>
      <w:rPr>
        <w:rFonts w:hint="default"/>
      </w:rPr>
    </w:lvl>
    <w:lvl w:ilvl="3">
      <w:start w:val="0"/>
      <w:numFmt w:val="bullet"/>
      <w:lvlText w:val="•"/>
      <w:lvlJc w:val="left"/>
      <w:pPr>
        <w:ind w:left="2666" w:hanging="454"/>
      </w:pPr>
      <w:rPr>
        <w:rFonts w:hint="default"/>
      </w:rPr>
    </w:lvl>
    <w:lvl w:ilvl="4">
      <w:start w:val="0"/>
      <w:numFmt w:val="bullet"/>
      <w:lvlText w:val="•"/>
      <w:lvlJc w:val="left"/>
      <w:pPr>
        <w:ind w:left="3375" w:hanging="454"/>
      </w:pPr>
      <w:rPr>
        <w:rFonts w:hint="default"/>
      </w:rPr>
    </w:lvl>
    <w:lvl w:ilvl="5">
      <w:start w:val="0"/>
      <w:numFmt w:val="bullet"/>
      <w:lvlText w:val="•"/>
      <w:lvlJc w:val="left"/>
      <w:pPr>
        <w:ind w:left="4084" w:hanging="454"/>
      </w:pPr>
      <w:rPr>
        <w:rFonts w:hint="default"/>
      </w:rPr>
    </w:lvl>
    <w:lvl w:ilvl="6">
      <w:start w:val="0"/>
      <w:numFmt w:val="bullet"/>
      <w:lvlText w:val="•"/>
      <w:lvlJc w:val="left"/>
      <w:pPr>
        <w:ind w:left="4792" w:hanging="454"/>
      </w:pPr>
      <w:rPr>
        <w:rFonts w:hint="default"/>
      </w:rPr>
    </w:lvl>
    <w:lvl w:ilvl="7">
      <w:start w:val="0"/>
      <w:numFmt w:val="bullet"/>
      <w:lvlText w:val="•"/>
      <w:lvlJc w:val="left"/>
      <w:pPr>
        <w:ind w:left="5501" w:hanging="454"/>
      </w:pPr>
      <w:rPr>
        <w:rFonts w:hint="default"/>
      </w:rPr>
    </w:lvl>
    <w:lvl w:ilvl="8">
      <w:start w:val="0"/>
      <w:numFmt w:val="bullet"/>
      <w:lvlText w:val="•"/>
      <w:lvlJc w:val="left"/>
      <w:pPr>
        <w:ind w:left="6210" w:hanging="454"/>
      </w:pPr>
      <w:rPr>
        <w:rFonts w:hint="default"/>
      </w:rPr>
    </w:lvl>
  </w:abstractNum>
  <w:abstractNum w:abstractNumId="17">
    <w:multiLevelType w:val="hybridMultilevel"/>
    <w:lvl w:ilvl="0">
      <w:start w:val="1"/>
      <w:numFmt w:val="decimal"/>
      <w:lvlText w:val="(%1)"/>
      <w:lvlJc w:val="left"/>
      <w:pPr>
        <w:ind w:left="548" w:hanging="454"/>
        <w:jc w:val="left"/>
      </w:pPr>
      <w:rPr>
        <w:rFonts w:hint="default" w:ascii="宋体" w:hAnsi="宋体" w:eastAsia="宋体" w:cs="宋体"/>
        <w:w w:val="100"/>
        <w:sz w:val="22"/>
        <w:szCs w:val="22"/>
      </w:rPr>
    </w:lvl>
    <w:lvl w:ilvl="1">
      <w:start w:val="0"/>
      <w:numFmt w:val="bullet"/>
      <w:lvlText w:val="•"/>
      <w:lvlJc w:val="left"/>
      <w:pPr>
        <w:ind w:left="1248" w:hanging="454"/>
      </w:pPr>
      <w:rPr>
        <w:rFonts w:hint="default"/>
      </w:rPr>
    </w:lvl>
    <w:lvl w:ilvl="2">
      <w:start w:val="0"/>
      <w:numFmt w:val="bullet"/>
      <w:lvlText w:val="•"/>
      <w:lvlJc w:val="left"/>
      <w:pPr>
        <w:ind w:left="1957" w:hanging="454"/>
      </w:pPr>
      <w:rPr>
        <w:rFonts w:hint="default"/>
      </w:rPr>
    </w:lvl>
    <w:lvl w:ilvl="3">
      <w:start w:val="0"/>
      <w:numFmt w:val="bullet"/>
      <w:lvlText w:val="•"/>
      <w:lvlJc w:val="left"/>
      <w:pPr>
        <w:ind w:left="2666" w:hanging="454"/>
      </w:pPr>
      <w:rPr>
        <w:rFonts w:hint="default"/>
      </w:rPr>
    </w:lvl>
    <w:lvl w:ilvl="4">
      <w:start w:val="0"/>
      <w:numFmt w:val="bullet"/>
      <w:lvlText w:val="•"/>
      <w:lvlJc w:val="left"/>
      <w:pPr>
        <w:ind w:left="3375" w:hanging="454"/>
      </w:pPr>
      <w:rPr>
        <w:rFonts w:hint="default"/>
      </w:rPr>
    </w:lvl>
    <w:lvl w:ilvl="5">
      <w:start w:val="0"/>
      <w:numFmt w:val="bullet"/>
      <w:lvlText w:val="•"/>
      <w:lvlJc w:val="left"/>
      <w:pPr>
        <w:ind w:left="4084" w:hanging="454"/>
      </w:pPr>
      <w:rPr>
        <w:rFonts w:hint="default"/>
      </w:rPr>
    </w:lvl>
    <w:lvl w:ilvl="6">
      <w:start w:val="0"/>
      <w:numFmt w:val="bullet"/>
      <w:lvlText w:val="•"/>
      <w:lvlJc w:val="left"/>
      <w:pPr>
        <w:ind w:left="4792" w:hanging="454"/>
      </w:pPr>
      <w:rPr>
        <w:rFonts w:hint="default"/>
      </w:rPr>
    </w:lvl>
    <w:lvl w:ilvl="7">
      <w:start w:val="0"/>
      <w:numFmt w:val="bullet"/>
      <w:lvlText w:val="•"/>
      <w:lvlJc w:val="left"/>
      <w:pPr>
        <w:ind w:left="5501" w:hanging="454"/>
      </w:pPr>
      <w:rPr>
        <w:rFonts w:hint="default"/>
      </w:rPr>
    </w:lvl>
    <w:lvl w:ilvl="8">
      <w:start w:val="0"/>
      <w:numFmt w:val="bullet"/>
      <w:lvlText w:val="•"/>
      <w:lvlJc w:val="left"/>
      <w:pPr>
        <w:ind w:left="6210" w:hanging="454"/>
      </w:pPr>
      <w:rPr>
        <w:rFonts w:hint="default"/>
      </w:rPr>
    </w:lvl>
  </w:abstractNum>
  <w:abstractNum w:abstractNumId="16">
    <w:multiLevelType w:val="hybridMultilevel"/>
    <w:lvl w:ilvl="0">
      <w:start w:val="9"/>
      <w:numFmt w:val="decimal"/>
      <w:lvlText w:val="%1"/>
      <w:lvlJc w:val="left"/>
      <w:pPr>
        <w:ind w:left="2427" w:hanging="773"/>
        <w:jc w:val="left"/>
      </w:pPr>
      <w:rPr>
        <w:rFonts w:hint="default"/>
      </w:rPr>
    </w:lvl>
    <w:lvl w:ilvl="1">
      <w:start w:val="3"/>
      <w:numFmt w:val="decimal"/>
      <w:lvlText w:val="%1.%2"/>
      <w:lvlJc w:val="left"/>
      <w:pPr>
        <w:ind w:left="2427" w:hanging="773"/>
        <w:jc w:val="left"/>
      </w:pPr>
      <w:rPr>
        <w:rFonts w:hint="default" w:ascii="宋体" w:hAnsi="宋体" w:eastAsia="宋体" w:cs="宋体"/>
        <w:b/>
        <w:bCs/>
        <w:w w:val="99"/>
        <w:sz w:val="22"/>
        <w:szCs w:val="22"/>
      </w:rPr>
    </w:lvl>
    <w:lvl w:ilvl="2">
      <w:start w:val="1"/>
      <w:numFmt w:val="decimal"/>
      <w:lvlText w:val="%1.%2.%3"/>
      <w:lvlJc w:val="left"/>
      <w:pPr>
        <w:ind w:left="2427" w:hanging="797"/>
        <w:jc w:val="left"/>
      </w:pPr>
      <w:rPr>
        <w:rFonts w:hint="default" w:ascii="宋体" w:hAnsi="宋体" w:eastAsia="宋体" w:cs="宋体"/>
        <w:w w:val="100"/>
        <w:sz w:val="22"/>
        <w:szCs w:val="22"/>
      </w:rPr>
    </w:lvl>
    <w:lvl w:ilvl="3">
      <w:start w:val="1"/>
      <w:numFmt w:val="decimal"/>
      <w:lvlText w:val="(%4)"/>
      <w:lvlJc w:val="left"/>
      <w:pPr>
        <w:ind w:left="2427" w:hanging="454"/>
        <w:jc w:val="left"/>
      </w:pPr>
      <w:rPr>
        <w:rFonts w:hint="default" w:ascii="宋体" w:hAnsi="宋体" w:eastAsia="宋体" w:cs="宋体"/>
        <w:w w:val="100"/>
        <w:sz w:val="22"/>
        <w:szCs w:val="22"/>
      </w:rPr>
    </w:lvl>
    <w:lvl w:ilvl="4">
      <w:start w:val="0"/>
      <w:numFmt w:val="bullet"/>
      <w:lvlText w:val="•"/>
      <w:lvlJc w:val="left"/>
      <w:pPr>
        <w:ind w:left="5215" w:hanging="454"/>
      </w:pPr>
      <w:rPr>
        <w:rFonts w:hint="default"/>
      </w:rPr>
    </w:lvl>
    <w:lvl w:ilvl="5">
      <w:start w:val="0"/>
      <w:numFmt w:val="bullet"/>
      <w:lvlText w:val="•"/>
      <w:lvlJc w:val="left"/>
      <w:pPr>
        <w:ind w:left="5993" w:hanging="454"/>
      </w:pPr>
      <w:rPr>
        <w:rFonts w:hint="default"/>
      </w:rPr>
    </w:lvl>
    <w:lvl w:ilvl="6">
      <w:start w:val="0"/>
      <w:numFmt w:val="bullet"/>
      <w:lvlText w:val="•"/>
      <w:lvlJc w:val="left"/>
      <w:pPr>
        <w:ind w:left="6772" w:hanging="454"/>
      </w:pPr>
      <w:rPr>
        <w:rFonts w:hint="default"/>
      </w:rPr>
    </w:lvl>
    <w:lvl w:ilvl="7">
      <w:start w:val="0"/>
      <w:numFmt w:val="bullet"/>
      <w:lvlText w:val="•"/>
      <w:lvlJc w:val="left"/>
      <w:pPr>
        <w:ind w:left="7550" w:hanging="454"/>
      </w:pPr>
      <w:rPr>
        <w:rFonts w:hint="default"/>
      </w:rPr>
    </w:lvl>
    <w:lvl w:ilvl="8">
      <w:start w:val="0"/>
      <w:numFmt w:val="bullet"/>
      <w:lvlText w:val="•"/>
      <w:lvlJc w:val="left"/>
      <w:pPr>
        <w:ind w:left="8329" w:hanging="454"/>
      </w:pPr>
      <w:rPr>
        <w:rFonts w:hint="default"/>
      </w:rPr>
    </w:lvl>
  </w:abstractNum>
  <w:abstractNum w:abstractNumId="15">
    <w:multiLevelType w:val="hybridMultilevel"/>
    <w:lvl w:ilvl="0">
      <w:start w:val="1"/>
      <w:numFmt w:val="decimal"/>
      <w:lvlText w:val="(%1)"/>
      <w:lvlJc w:val="left"/>
      <w:pPr>
        <w:ind w:left="562" w:hanging="454"/>
        <w:jc w:val="left"/>
      </w:pPr>
      <w:rPr>
        <w:rFonts w:hint="default" w:ascii="宋体" w:hAnsi="宋体" w:eastAsia="宋体" w:cs="宋体"/>
        <w:w w:val="100"/>
        <w:sz w:val="22"/>
        <w:szCs w:val="22"/>
      </w:rPr>
    </w:lvl>
    <w:lvl w:ilvl="1">
      <w:start w:val="0"/>
      <w:numFmt w:val="bullet"/>
      <w:lvlText w:val="•"/>
      <w:lvlJc w:val="left"/>
      <w:pPr>
        <w:ind w:left="997" w:hanging="454"/>
      </w:pPr>
      <w:rPr>
        <w:rFonts w:hint="default"/>
      </w:rPr>
    </w:lvl>
    <w:lvl w:ilvl="2">
      <w:start w:val="0"/>
      <w:numFmt w:val="bullet"/>
      <w:lvlText w:val="•"/>
      <w:lvlJc w:val="left"/>
      <w:pPr>
        <w:ind w:left="1434" w:hanging="454"/>
      </w:pPr>
      <w:rPr>
        <w:rFonts w:hint="default"/>
      </w:rPr>
    </w:lvl>
    <w:lvl w:ilvl="3">
      <w:start w:val="0"/>
      <w:numFmt w:val="bullet"/>
      <w:lvlText w:val="•"/>
      <w:lvlJc w:val="left"/>
      <w:pPr>
        <w:ind w:left="1871" w:hanging="454"/>
      </w:pPr>
      <w:rPr>
        <w:rFonts w:hint="default"/>
      </w:rPr>
    </w:lvl>
    <w:lvl w:ilvl="4">
      <w:start w:val="0"/>
      <w:numFmt w:val="bullet"/>
      <w:lvlText w:val="•"/>
      <w:lvlJc w:val="left"/>
      <w:pPr>
        <w:ind w:left="2308" w:hanging="454"/>
      </w:pPr>
      <w:rPr>
        <w:rFonts w:hint="default"/>
      </w:rPr>
    </w:lvl>
    <w:lvl w:ilvl="5">
      <w:start w:val="0"/>
      <w:numFmt w:val="bullet"/>
      <w:lvlText w:val="•"/>
      <w:lvlJc w:val="left"/>
      <w:pPr>
        <w:ind w:left="2745" w:hanging="454"/>
      </w:pPr>
      <w:rPr>
        <w:rFonts w:hint="default"/>
      </w:rPr>
    </w:lvl>
    <w:lvl w:ilvl="6">
      <w:start w:val="0"/>
      <w:numFmt w:val="bullet"/>
      <w:lvlText w:val="•"/>
      <w:lvlJc w:val="left"/>
      <w:pPr>
        <w:ind w:left="3182" w:hanging="454"/>
      </w:pPr>
      <w:rPr>
        <w:rFonts w:hint="default"/>
      </w:rPr>
    </w:lvl>
    <w:lvl w:ilvl="7">
      <w:start w:val="0"/>
      <w:numFmt w:val="bullet"/>
      <w:lvlText w:val="•"/>
      <w:lvlJc w:val="left"/>
      <w:pPr>
        <w:ind w:left="3619" w:hanging="454"/>
      </w:pPr>
      <w:rPr>
        <w:rFonts w:hint="default"/>
      </w:rPr>
    </w:lvl>
    <w:lvl w:ilvl="8">
      <w:start w:val="0"/>
      <w:numFmt w:val="bullet"/>
      <w:lvlText w:val="•"/>
      <w:lvlJc w:val="left"/>
      <w:pPr>
        <w:ind w:left="4056" w:hanging="454"/>
      </w:pPr>
      <w:rPr>
        <w:rFonts w:hint="default"/>
      </w:rPr>
    </w:lvl>
  </w:abstractNum>
  <w:abstractNum w:abstractNumId="14">
    <w:multiLevelType w:val="hybridMultilevel"/>
    <w:lvl w:ilvl="0">
      <w:start w:val="1"/>
      <w:numFmt w:val="decimal"/>
      <w:lvlText w:val="(%1)"/>
      <w:lvlJc w:val="left"/>
      <w:pPr>
        <w:ind w:left="562" w:hanging="454"/>
        <w:jc w:val="left"/>
      </w:pPr>
      <w:rPr>
        <w:rFonts w:hint="default" w:ascii="宋体" w:hAnsi="宋体" w:eastAsia="宋体" w:cs="宋体"/>
        <w:w w:val="100"/>
        <w:sz w:val="22"/>
        <w:szCs w:val="22"/>
      </w:rPr>
    </w:lvl>
    <w:lvl w:ilvl="1">
      <w:start w:val="0"/>
      <w:numFmt w:val="bullet"/>
      <w:lvlText w:val="•"/>
      <w:lvlJc w:val="left"/>
      <w:pPr>
        <w:ind w:left="997" w:hanging="454"/>
      </w:pPr>
      <w:rPr>
        <w:rFonts w:hint="default"/>
      </w:rPr>
    </w:lvl>
    <w:lvl w:ilvl="2">
      <w:start w:val="0"/>
      <w:numFmt w:val="bullet"/>
      <w:lvlText w:val="•"/>
      <w:lvlJc w:val="left"/>
      <w:pPr>
        <w:ind w:left="1434" w:hanging="454"/>
      </w:pPr>
      <w:rPr>
        <w:rFonts w:hint="default"/>
      </w:rPr>
    </w:lvl>
    <w:lvl w:ilvl="3">
      <w:start w:val="0"/>
      <w:numFmt w:val="bullet"/>
      <w:lvlText w:val="•"/>
      <w:lvlJc w:val="left"/>
      <w:pPr>
        <w:ind w:left="1871" w:hanging="454"/>
      </w:pPr>
      <w:rPr>
        <w:rFonts w:hint="default"/>
      </w:rPr>
    </w:lvl>
    <w:lvl w:ilvl="4">
      <w:start w:val="0"/>
      <w:numFmt w:val="bullet"/>
      <w:lvlText w:val="•"/>
      <w:lvlJc w:val="left"/>
      <w:pPr>
        <w:ind w:left="2308" w:hanging="454"/>
      </w:pPr>
      <w:rPr>
        <w:rFonts w:hint="default"/>
      </w:rPr>
    </w:lvl>
    <w:lvl w:ilvl="5">
      <w:start w:val="0"/>
      <w:numFmt w:val="bullet"/>
      <w:lvlText w:val="•"/>
      <w:lvlJc w:val="left"/>
      <w:pPr>
        <w:ind w:left="2745" w:hanging="454"/>
      </w:pPr>
      <w:rPr>
        <w:rFonts w:hint="default"/>
      </w:rPr>
    </w:lvl>
    <w:lvl w:ilvl="6">
      <w:start w:val="0"/>
      <w:numFmt w:val="bullet"/>
      <w:lvlText w:val="•"/>
      <w:lvlJc w:val="left"/>
      <w:pPr>
        <w:ind w:left="3182" w:hanging="454"/>
      </w:pPr>
      <w:rPr>
        <w:rFonts w:hint="default"/>
      </w:rPr>
    </w:lvl>
    <w:lvl w:ilvl="7">
      <w:start w:val="0"/>
      <w:numFmt w:val="bullet"/>
      <w:lvlText w:val="•"/>
      <w:lvlJc w:val="left"/>
      <w:pPr>
        <w:ind w:left="3619" w:hanging="454"/>
      </w:pPr>
      <w:rPr>
        <w:rFonts w:hint="default"/>
      </w:rPr>
    </w:lvl>
    <w:lvl w:ilvl="8">
      <w:start w:val="0"/>
      <w:numFmt w:val="bullet"/>
      <w:lvlText w:val="•"/>
      <w:lvlJc w:val="left"/>
      <w:pPr>
        <w:ind w:left="4056" w:hanging="454"/>
      </w:pPr>
      <w:rPr>
        <w:rFonts w:hint="default"/>
      </w:rPr>
    </w:lvl>
  </w:abstractNum>
  <w:abstractNum w:abstractNumId="13">
    <w:multiLevelType w:val="hybridMultilevel"/>
    <w:lvl w:ilvl="0">
      <w:start w:val="1"/>
      <w:numFmt w:val="decimal"/>
      <w:lvlText w:val="(%1)"/>
      <w:lvlJc w:val="left"/>
      <w:pPr>
        <w:ind w:left="529" w:hanging="420"/>
        <w:jc w:val="left"/>
      </w:pPr>
      <w:rPr>
        <w:rFonts w:hint="default" w:ascii="宋体" w:hAnsi="宋体" w:eastAsia="宋体" w:cs="宋体"/>
        <w:w w:val="100"/>
        <w:sz w:val="22"/>
        <w:szCs w:val="22"/>
      </w:rPr>
    </w:lvl>
    <w:lvl w:ilvl="1">
      <w:start w:val="0"/>
      <w:numFmt w:val="bullet"/>
      <w:lvlText w:val="•"/>
      <w:lvlJc w:val="left"/>
      <w:pPr>
        <w:ind w:left="1231" w:hanging="420"/>
      </w:pPr>
      <w:rPr>
        <w:rFonts w:hint="default"/>
      </w:rPr>
    </w:lvl>
    <w:lvl w:ilvl="2">
      <w:start w:val="0"/>
      <w:numFmt w:val="bullet"/>
      <w:lvlText w:val="•"/>
      <w:lvlJc w:val="left"/>
      <w:pPr>
        <w:ind w:left="1942" w:hanging="420"/>
      </w:pPr>
      <w:rPr>
        <w:rFonts w:hint="default"/>
      </w:rPr>
    </w:lvl>
    <w:lvl w:ilvl="3">
      <w:start w:val="0"/>
      <w:numFmt w:val="bullet"/>
      <w:lvlText w:val="•"/>
      <w:lvlJc w:val="left"/>
      <w:pPr>
        <w:ind w:left="2654" w:hanging="420"/>
      </w:pPr>
      <w:rPr>
        <w:rFonts w:hint="default"/>
      </w:rPr>
    </w:lvl>
    <w:lvl w:ilvl="4">
      <w:start w:val="0"/>
      <w:numFmt w:val="bullet"/>
      <w:lvlText w:val="•"/>
      <w:lvlJc w:val="left"/>
      <w:pPr>
        <w:ind w:left="3365" w:hanging="420"/>
      </w:pPr>
      <w:rPr>
        <w:rFonts w:hint="default"/>
      </w:rPr>
    </w:lvl>
    <w:lvl w:ilvl="5">
      <w:start w:val="0"/>
      <w:numFmt w:val="bullet"/>
      <w:lvlText w:val="•"/>
      <w:lvlJc w:val="left"/>
      <w:pPr>
        <w:ind w:left="4077" w:hanging="420"/>
      </w:pPr>
      <w:rPr>
        <w:rFonts w:hint="default"/>
      </w:rPr>
    </w:lvl>
    <w:lvl w:ilvl="6">
      <w:start w:val="0"/>
      <w:numFmt w:val="bullet"/>
      <w:lvlText w:val="•"/>
      <w:lvlJc w:val="left"/>
      <w:pPr>
        <w:ind w:left="4788" w:hanging="420"/>
      </w:pPr>
      <w:rPr>
        <w:rFonts w:hint="default"/>
      </w:rPr>
    </w:lvl>
    <w:lvl w:ilvl="7">
      <w:start w:val="0"/>
      <w:numFmt w:val="bullet"/>
      <w:lvlText w:val="•"/>
      <w:lvlJc w:val="left"/>
      <w:pPr>
        <w:ind w:left="5499" w:hanging="420"/>
      </w:pPr>
      <w:rPr>
        <w:rFonts w:hint="default"/>
      </w:rPr>
    </w:lvl>
    <w:lvl w:ilvl="8">
      <w:start w:val="0"/>
      <w:numFmt w:val="bullet"/>
      <w:lvlText w:val="•"/>
      <w:lvlJc w:val="left"/>
      <w:pPr>
        <w:ind w:left="6211" w:hanging="420"/>
      </w:pPr>
      <w:rPr>
        <w:rFonts w:hint="default"/>
      </w:rPr>
    </w:lvl>
  </w:abstractNum>
  <w:abstractNum w:abstractNumId="12">
    <w:multiLevelType w:val="hybridMultilevel"/>
    <w:lvl w:ilvl="0">
      <w:start w:val="1"/>
      <w:numFmt w:val="decimal"/>
      <w:lvlText w:val="(%1)"/>
      <w:lvlJc w:val="left"/>
      <w:pPr>
        <w:ind w:left="617" w:hanging="454"/>
        <w:jc w:val="left"/>
      </w:pPr>
      <w:rPr>
        <w:rFonts w:hint="default" w:ascii="宋体" w:hAnsi="宋体" w:eastAsia="宋体" w:cs="宋体"/>
        <w:w w:val="100"/>
        <w:sz w:val="22"/>
        <w:szCs w:val="22"/>
      </w:rPr>
    </w:lvl>
    <w:lvl w:ilvl="1">
      <w:start w:val="0"/>
      <w:numFmt w:val="bullet"/>
      <w:lvlText w:val="•"/>
      <w:lvlJc w:val="left"/>
      <w:pPr>
        <w:ind w:left="1312" w:hanging="454"/>
      </w:pPr>
      <w:rPr>
        <w:rFonts w:hint="default"/>
      </w:rPr>
    </w:lvl>
    <w:lvl w:ilvl="2">
      <w:start w:val="0"/>
      <w:numFmt w:val="bullet"/>
      <w:lvlText w:val="•"/>
      <w:lvlJc w:val="left"/>
      <w:pPr>
        <w:ind w:left="2004" w:hanging="454"/>
      </w:pPr>
      <w:rPr>
        <w:rFonts w:hint="default"/>
      </w:rPr>
    </w:lvl>
    <w:lvl w:ilvl="3">
      <w:start w:val="0"/>
      <w:numFmt w:val="bullet"/>
      <w:lvlText w:val="•"/>
      <w:lvlJc w:val="left"/>
      <w:pPr>
        <w:ind w:left="2696" w:hanging="454"/>
      </w:pPr>
      <w:rPr>
        <w:rFonts w:hint="default"/>
      </w:rPr>
    </w:lvl>
    <w:lvl w:ilvl="4">
      <w:start w:val="0"/>
      <w:numFmt w:val="bullet"/>
      <w:lvlText w:val="•"/>
      <w:lvlJc w:val="left"/>
      <w:pPr>
        <w:ind w:left="3389" w:hanging="454"/>
      </w:pPr>
      <w:rPr>
        <w:rFonts w:hint="default"/>
      </w:rPr>
    </w:lvl>
    <w:lvl w:ilvl="5">
      <w:start w:val="0"/>
      <w:numFmt w:val="bullet"/>
      <w:lvlText w:val="•"/>
      <w:lvlJc w:val="left"/>
      <w:pPr>
        <w:ind w:left="4081" w:hanging="454"/>
      </w:pPr>
      <w:rPr>
        <w:rFonts w:hint="default"/>
      </w:rPr>
    </w:lvl>
    <w:lvl w:ilvl="6">
      <w:start w:val="0"/>
      <w:numFmt w:val="bullet"/>
      <w:lvlText w:val="•"/>
      <w:lvlJc w:val="left"/>
      <w:pPr>
        <w:ind w:left="4773" w:hanging="454"/>
      </w:pPr>
      <w:rPr>
        <w:rFonts w:hint="default"/>
      </w:rPr>
    </w:lvl>
    <w:lvl w:ilvl="7">
      <w:start w:val="0"/>
      <w:numFmt w:val="bullet"/>
      <w:lvlText w:val="•"/>
      <w:lvlJc w:val="left"/>
      <w:pPr>
        <w:ind w:left="5466" w:hanging="454"/>
      </w:pPr>
      <w:rPr>
        <w:rFonts w:hint="default"/>
      </w:rPr>
    </w:lvl>
    <w:lvl w:ilvl="8">
      <w:start w:val="0"/>
      <w:numFmt w:val="bullet"/>
      <w:lvlText w:val="•"/>
      <w:lvlJc w:val="left"/>
      <w:pPr>
        <w:ind w:left="6158" w:hanging="454"/>
      </w:pPr>
      <w:rPr>
        <w:rFonts w:hint="default"/>
      </w:rPr>
    </w:lvl>
  </w:abstractNum>
  <w:abstractNum w:abstractNumId="11">
    <w:multiLevelType w:val="hybridMultilevel"/>
    <w:lvl w:ilvl="0">
      <w:start w:val="2"/>
      <w:numFmt w:val="decimal"/>
      <w:lvlText w:val="(%1)"/>
      <w:lvlJc w:val="left"/>
      <w:pPr>
        <w:ind w:left="562" w:hanging="454"/>
        <w:jc w:val="left"/>
      </w:pPr>
      <w:rPr>
        <w:rFonts w:hint="default" w:ascii="宋体" w:hAnsi="宋体" w:eastAsia="宋体" w:cs="宋体"/>
        <w:w w:val="100"/>
        <w:sz w:val="22"/>
        <w:szCs w:val="22"/>
      </w:rPr>
    </w:lvl>
    <w:lvl w:ilvl="1">
      <w:start w:val="0"/>
      <w:numFmt w:val="bullet"/>
      <w:lvlText w:val="•"/>
      <w:lvlJc w:val="left"/>
      <w:pPr>
        <w:ind w:left="1267" w:hanging="454"/>
      </w:pPr>
      <w:rPr>
        <w:rFonts w:hint="default"/>
      </w:rPr>
    </w:lvl>
    <w:lvl w:ilvl="2">
      <w:start w:val="0"/>
      <w:numFmt w:val="bullet"/>
      <w:lvlText w:val="•"/>
      <w:lvlJc w:val="left"/>
      <w:pPr>
        <w:ind w:left="1975" w:hanging="454"/>
      </w:pPr>
      <w:rPr>
        <w:rFonts w:hint="default"/>
      </w:rPr>
    </w:lvl>
    <w:lvl w:ilvl="3">
      <w:start w:val="0"/>
      <w:numFmt w:val="bullet"/>
      <w:lvlText w:val="•"/>
      <w:lvlJc w:val="left"/>
      <w:pPr>
        <w:ind w:left="2683" w:hanging="454"/>
      </w:pPr>
      <w:rPr>
        <w:rFonts w:hint="default"/>
      </w:rPr>
    </w:lvl>
    <w:lvl w:ilvl="4">
      <w:start w:val="0"/>
      <w:numFmt w:val="bullet"/>
      <w:lvlText w:val="•"/>
      <w:lvlJc w:val="left"/>
      <w:pPr>
        <w:ind w:left="3391" w:hanging="454"/>
      </w:pPr>
      <w:rPr>
        <w:rFonts w:hint="default"/>
      </w:rPr>
    </w:lvl>
    <w:lvl w:ilvl="5">
      <w:start w:val="0"/>
      <w:numFmt w:val="bullet"/>
      <w:lvlText w:val="•"/>
      <w:lvlJc w:val="left"/>
      <w:pPr>
        <w:ind w:left="4099" w:hanging="454"/>
      </w:pPr>
      <w:rPr>
        <w:rFonts w:hint="default"/>
      </w:rPr>
    </w:lvl>
    <w:lvl w:ilvl="6">
      <w:start w:val="0"/>
      <w:numFmt w:val="bullet"/>
      <w:lvlText w:val="•"/>
      <w:lvlJc w:val="left"/>
      <w:pPr>
        <w:ind w:left="4807" w:hanging="454"/>
      </w:pPr>
      <w:rPr>
        <w:rFonts w:hint="default"/>
      </w:rPr>
    </w:lvl>
    <w:lvl w:ilvl="7">
      <w:start w:val="0"/>
      <w:numFmt w:val="bullet"/>
      <w:lvlText w:val="•"/>
      <w:lvlJc w:val="left"/>
      <w:pPr>
        <w:ind w:left="5515" w:hanging="454"/>
      </w:pPr>
      <w:rPr>
        <w:rFonts w:hint="default"/>
      </w:rPr>
    </w:lvl>
    <w:lvl w:ilvl="8">
      <w:start w:val="0"/>
      <w:numFmt w:val="bullet"/>
      <w:lvlText w:val="•"/>
      <w:lvlJc w:val="left"/>
      <w:pPr>
        <w:ind w:left="6223" w:hanging="454"/>
      </w:pPr>
      <w:rPr>
        <w:rFonts w:hint="default"/>
      </w:rPr>
    </w:lvl>
  </w:abstractNum>
  <w:abstractNum w:abstractNumId="10">
    <w:multiLevelType w:val="hybridMultilevel"/>
    <w:lvl w:ilvl="0">
      <w:start w:val="1"/>
      <w:numFmt w:val="decimal"/>
      <w:lvlText w:val="(%1)"/>
      <w:lvlJc w:val="left"/>
      <w:pPr>
        <w:ind w:left="562" w:hanging="454"/>
        <w:jc w:val="left"/>
      </w:pPr>
      <w:rPr>
        <w:rFonts w:hint="default" w:ascii="宋体" w:hAnsi="宋体" w:eastAsia="宋体" w:cs="宋体"/>
        <w:w w:val="100"/>
        <w:sz w:val="22"/>
        <w:szCs w:val="22"/>
      </w:rPr>
    </w:lvl>
    <w:lvl w:ilvl="1">
      <w:start w:val="0"/>
      <w:numFmt w:val="bullet"/>
      <w:lvlText w:val="•"/>
      <w:lvlJc w:val="left"/>
      <w:pPr>
        <w:ind w:left="1267" w:hanging="454"/>
      </w:pPr>
      <w:rPr>
        <w:rFonts w:hint="default"/>
      </w:rPr>
    </w:lvl>
    <w:lvl w:ilvl="2">
      <w:start w:val="0"/>
      <w:numFmt w:val="bullet"/>
      <w:lvlText w:val="•"/>
      <w:lvlJc w:val="left"/>
      <w:pPr>
        <w:ind w:left="1975" w:hanging="454"/>
      </w:pPr>
      <w:rPr>
        <w:rFonts w:hint="default"/>
      </w:rPr>
    </w:lvl>
    <w:lvl w:ilvl="3">
      <w:start w:val="0"/>
      <w:numFmt w:val="bullet"/>
      <w:lvlText w:val="•"/>
      <w:lvlJc w:val="left"/>
      <w:pPr>
        <w:ind w:left="2683" w:hanging="454"/>
      </w:pPr>
      <w:rPr>
        <w:rFonts w:hint="default"/>
      </w:rPr>
    </w:lvl>
    <w:lvl w:ilvl="4">
      <w:start w:val="0"/>
      <w:numFmt w:val="bullet"/>
      <w:lvlText w:val="•"/>
      <w:lvlJc w:val="left"/>
      <w:pPr>
        <w:ind w:left="3391" w:hanging="454"/>
      </w:pPr>
      <w:rPr>
        <w:rFonts w:hint="default"/>
      </w:rPr>
    </w:lvl>
    <w:lvl w:ilvl="5">
      <w:start w:val="0"/>
      <w:numFmt w:val="bullet"/>
      <w:lvlText w:val="•"/>
      <w:lvlJc w:val="left"/>
      <w:pPr>
        <w:ind w:left="4099" w:hanging="454"/>
      </w:pPr>
      <w:rPr>
        <w:rFonts w:hint="default"/>
      </w:rPr>
    </w:lvl>
    <w:lvl w:ilvl="6">
      <w:start w:val="0"/>
      <w:numFmt w:val="bullet"/>
      <w:lvlText w:val="•"/>
      <w:lvlJc w:val="left"/>
      <w:pPr>
        <w:ind w:left="4807" w:hanging="454"/>
      </w:pPr>
      <w:rPr>
        <w:rFonts w:hint="default"/>
      </w:rPr>
    </w:lvl>
    <w:lvl w:ilvl="7">
      <w:start w:val="0"/>
      <w:numFmt w:val="bullet"/>
      <w:lvlText w:val="•"/>
      <w:lvlJc w:val="left"/>
      <w:pPr>
        <w:ind w:left="5515" w:hanging="454"/>
      </w:pPr>
      <w:rPr>
        <w:rFonts w:hint="default"/>
      </w:rPr>
    </w:lvl>
    <w:lvl w:ilvl="8">
      <w:start w:val="0"/>
      <w:numFmt w:val="bullet"/>
      <w:lvlText w:val="•"/>
      <w:lvlJc w:val="left"/>
      <w:pPr>
        <w:ind w:left="6223" w:hanging="454"/>
      </w:pPr>
      <w:rPr>
        <w:rFonts w:hint="default"/>
      </w:rPr>
    </w:lvl>
  </w:abstractNum>
  <w:abstractNum w:abstractNumId="9">
    <w:multiLevelType w:val="hybridMultilevel"/>
    <w:lvl w:ilvl="0">
      <w:start w:val="1"/>
      <w:numFmt w:val="decimal"/>
      <w:lvlText w:val="(%1)"/>
      <w:lvlJc w:val="left"/>
      <w:pPr>
        <w:ind w:left="630" w:hanging="454"/>
        <w:jc w:val="left"/>
      </w:pPr>
      <w:rPr>
        <w:rFonts w:hint="default" w:ascii="宋体" w:hAnsi="宋体" w:eastAsia="宋体" w:cs="宋体"/>
        <w:w w:val="100"/>
        <w:sz w:val="22"/>
        <w:szCs w:val="22"/>
      </w:rPr>
    </w:lvl>
    <w:lvl w:ilvl="1">
      <w:start w:val="0"/>
      <w:numFmt w:val="bullet"/>
      <w:lvlText w:val="•"/>
      <w:lvlJc w:val="left"/>
      <w:pPr>
        <w:ind w:left="1337" w:hanging="454"/>
      </w:pPr>
      <w:rPr>
        <w:rFonts w:hint="default"/>
      </w:rPr>
    </w:lvl>
    <w:lvl w:ilvl="2">
      <w:start w:val="0"/>
      <w:numFmt w:val="bullet"/>
      <w:lvlText w:val="•"/>
      <w:lvlJc w:val="left"/>
      <w:pPr>
        <w:ind w:left="2035" w:hanging="454"/>
      </w:pPr>
      <w:rPr>
        <w:rFonts w:hint="default"/>
      </w:rPr>
    </w:lvl>
    <w:lvl w:ilvl="3">
      <w:start w:val="0"/>
      <w:numFmt w:val="bullet"/>
      <w:lvlText w:val="•"/>
      <w:lvlJc w:val="left"/>
      <w:pPr>
        <w:ind w:left="2732" w:hanging="454"/>
      </w:pPr>
      <w:rPr>
        <w:rFonts w:hint="default"/>
      </w:rPr>
    </w:lvl>
    <w:lvl w:ilvl="4">
      <w:start w:val="0"/>
      <w:numFmt w:val="bullet"/>
      <w:lvlText w:val="•"/>
      <w:lvlJc w:val="left"/>
      <w:pPr>
        <w:ind w:left="3430" w:hanging="454"/>
      </w:pPr>
      <w:rPr>
        <w:rFonts w:hint="default"/>
      </w:rPr>
    </w:lvl>
    <w:lvl w:ilvl="5">
      <w:start w:val="0"/>
      <w:numFmt w:val="bullet"/>
      <w:lvlText w:val="•"/>
      <w:lvlJc w:val="left"/>
      <w:pPr>
        <w:ind w:left="4127" w:hanging="454"/>
      </w:pPr>
      <w:rPr>
        <w:rFonts w:hint="default"/>
      </w:rPr>
    </w:lvl>
    <w:lvl w:ilvl="6">
      <w:start w:val="0"/>
      <w:numFmt w:val="bullet"/>
      <w:lvlText w:val="•"/>
      <w:lvlJc w:val="left"/>
      <w:pPr>
        <w:ind w:left="4825" w:hanging="454"/>
      </w:pPr>
      <w:rPr>
        <w:rFonts w:hint="default"/>
      </w:rPr>
    </w:lvl>
    <w:lvl w:ilvl="7">
      <w:start w:val="0"/>
      <w:numFmt w:val="bullet"/>
      <w:lvlText w:val="•"/>
      <w:lvlJc w:val="left"/>
      <w:pPr>
        <w:ind w:left="5522" w:hanging="454"/>
      </w:pPr>
      <w:rPr>
        <w:rFonts w:hint="default"/>
      </w:rPr>
    </w:lvl>
    <w:lvl w:ilvl="8">
      <w:start w:val="0"/>
      <w:numFmt w:val="bullet"/>
      <w:lvlText w:val="•"/>
      <w:lvlJc w:val="left"/>
      <w:pPr>
        <w:ind w:left="6220" w:hanging="454"/>
      </w:pPr>
      <w:rPr>
        <w:rFonts w:hint="default"/>
      </w:rPr>
    </w:lvl>
  </w:abstractNum>
  <w:abstractNum w:abstractNumId="8">
    <w:multiLevelType w:val="hybridMultilevel"/>
    <w:lvl w:ilvl="0">
      <w:start w:val="3"/>
      <w:numFmt w:val="decimal"/>
      <w:lvlText w:val="%1"/>
      <w:lvlJc w:val="left"/>
      <w:pPr>
        <w:ind w:left="2427" w:hanging="773"/>
        <w:jc w:val="left"/>
      </w:pPr>
      <w:rPr>
        <w:rFonts w:hint="default"/>
      </w:rPr>
    </w:lvl>
    <w:lvl w:ilvl="1">
      <w:start w:val="1"/>
      <w:numFmt w:val="decimal"/>
      <w:lvlText w:val="%1.%2"/>
      <w:lvlJc w:val="left"/>
      <w:pPr>
        <w:ind w:left="2427" w:hanging="773"/>
        <w:jc w:val="left"/>
      </w:pPr>
      <w:rPr>
        <w:rFonts w:hint="default" w:ascii="宋体" w:hAnsi="宋体" w:eastAsia="宋体" w:cs="宋体"/>
        <w:b/>
        <w:bCs/>
        <w:w w:val="99"/>
        <w:sz w:val="22"/>
        <w:szCs w:val="22"/>
      </w:rPr>
    </w:lvl>
    <w:lvl w:ilvl="2">
      <w:start w:val="0"/>
      <w:numFmt w:val="bullet"/>
      <w:lvlText w:val="•"/>
      <w:lvlJc w:val="left"/>
      <w:pPr>
        <w:ind w:left="3909" w:hanging="773"/>
      </w:pPr>
      <w:rPr>
        <w:rFonts w:hint="default"/>
      </w:rPr>
    </w:lvl>
    <w:lvl w:ilvl="3">
      <w:start w:val="0"/>
      <w:numFmt w:val="bullet"/>
      <w:lvlText w:val="•"/>
      <w:lvlJc w:val="left"/>
      <w:pPr>
        <w:ind w:left="4653" w:hanging="773"/>
      </w:pPr>
      <w:rPr>
        <w:rFonts w:hint="default"/>
      </w:rPr>
    </w:lvl>
    <w:lvl w:ilvl="4">
      <w:start w:val="0"/>
      <w:numFmt w:val="bullet"/>
      <w:lvlText w:val="•"/>
      <w:lvlJc w:val="left"/>
      <w:pPr>
        <w:ind w:left="5398" w:hanging="773"/>
      </w:pPr>
      <w:rPr>
        <w:rFonts w:hint="default"/>
      </w:rPr>
    </w:lvl>
    <w:lvl w:ilvl="5">
      <w:start w:val="0"/>
      <w:numFmt w:val="bullet"/>
      <w:lvlText w:val="•"/>
      <w:lvlJc w:val="left"/>
      <w:pPr>
        <w:ind w:left="6143" w:hanging="773"/>
      </w:pPr>
      <w:rPr>
        <w:rFonts w:hint="default"/>
      </w:rPr>
    </w:lvl>
    <w:lvl w:ilvl="6">
      <w:start w:val="0"/>
      <w:numFmt w:val="bullet"/>
      <w:lvlText w:val="•"/>
      <w:lvlJc w:val="left"/>
      <w:pPr>
        <w:ind w:left="6887" w:hanging="773"/>
      </w:pPr>
      <w:rPr>
        <w:rFonts w:hint="default"/>
      </w:rPr>
    </w:lvl>
    <w:lvl w:ilvl="7">
      <w:start w:val="0"/>
      <w:numFmt w:val="bullet"/>
      <w:lvlText w:val="•"/>
      <w:lvlJc w:val="left"/>
      <w:pPr>
        <w:ind w:left="7632" w:hanging="773"/>
      </w:pPr>
      <w:rPr>
        <w:rFonts w:hint="default"/>
      </w:rPr>
    </w:lvl>
    <w:lvl w:ilvl="8">
      <w:start w:val="0"/>
      <w:numFmt w:val="bullet"/>
      <w:lvlText w:val="•"/>
      <w:lvlJc w:val="left"/>
      <w:pPr>
        <w:ind w:left="8377" w:hanging="773"/>
      </w:pPr>
      <w:rPr>
        <w:rFonts w:hint="default"/>
      </w:rPr>
    </w:lvl>
  </w:abstractNum>
  <w:abstractNum w:abstractNumId="7">
    <w:multiLevelType w:val="hybridMultilevel"/>
    <w:lvl w:ilvl="0">
      <w:start w:val="0"/>
      <w:numFmt w:val="bullet"/>
      <w:lvlText w:val=""/>
      <w:lvlJc w:val="left"/>
      <w:pPr>
        <w:ind w:left="435" w:hanging="322"/>
      </w:pPr>
      <w:rPr>
        <w:rFonts w:hint="default" w:ascii="Wingdings" w:hAnsi="Wingdings" w:eastAsia="Wingdings" w:cs="Wingdings"/>
        <w:w w:val="154"/>
        <w:sz w:val="34"/>
        <w:szCs w:val="34"/>
      </w:rPr>
    </w:lvl>
    <w:lvl w:ilvl="1">
      <w:start w:val="0"/>
      <w:numFmt w:val="bullet"/>
      <w:lvlText w:val="•"/>
      <w:lvlJc w:val="left"/>
      <w:pPr>
        <w:ind w:left="1382" w:hanging="322"/>
      </w:pPr>
      <w:rPr>
        <w:rFonts w:hint="default"/>
      </w:rPr>
    </w:lvl>
    <w:lvl w:ilvl="2">
      <w:start w:val="0"/>
      <w:numFmt w:val="bullet"/>
      <w:lvlText w:val="•"/>
      <w:lvlJc w:val="left"/>
      <w:pPr>
        <w:ind w:left="2325" w:hanging="322"/>
      </w:pPr>
      <w:rPr>
        <w:rFonts w:hint="default"/>
      </w:rPr>
    </w:lvl>
    <w:lvl w:ilvl="3">
      <w:start w:val="0"/>
      <w:numFmt w:val="bullet"/>
      <w:lvlText w:val="•"/>
      <w:lvlJc w:val="left"/>
      <w:pPr>
        <w:ind w:left="3267" w:hanging="322"/>
      </w:pPr>
      <w:rPr>
        <w:rFonts w:hint="default"/>
      </w:rPr>
    </w:lvl>
    <w:lvl w:ilvl="4">
      <w:start w:val="0"/>
      <w:numFmt w:val="bullet"/>
      <w:lvlText w:val="•"/>
      <w:lvlJc w:val="left"/>
      <w:pPr>
        <w:ind w:left="4210" w:hanging="322"/>
      </w:pPr>
      <w:rPr>
        <w:rFonts w:hint="default"/>
      </w:rPr>
    </w:lvl>
    <w:lvl w:ilvl="5">
      <w:start w:val="0"/>
      <w:numFmt w:val="bullet"/>
      <w:lvlText w:val="•"/>
      <w:lvlJc w:val="left"/>
      <w:pPr>
        <w:ind w:left="5153" w:hanging="322"/>
      </w:pPr>
      <w:rPr>
        <w:rFonts w:hint="default"/>
      </w:rPr>
    </w:lvl>
    <w:lvl w:ilvl="6">
      <w:start w:val="0"/>
      <w:numFmt w:val="bullet"/>
      <w:lvlText w:val="•"/>
      <w:lvlJc w:val="left"/>
      <w:pPr>
        <w:ind w:left="6095" w:hanging="322"/>
      </w:pPr>
      <w:rPr>
        <w:rFonts w:hint="default"/>
      </w:rPr>
    </w:lvl>
    <w:lvl w:ilvl="7">
      <w:start w:val="0"/>
      <w:numFmt w:val="bullet"/>
      <w:lvlText w:val="•"/>
      <w:lvlJc w:val="left"/>
      <w:pPr>
        <w:ind w:left="7038" w:hanging="322"/>
      </w:pPr>
      <w:rPr>
        <w:rFonts w:hint="default"/>
      </w:rPr>
    </w:lvl>
    <w:lvl w:ilvl="8">
      <w:start w:val="0"/>
      <w:numFmt w:val="bullet"/>
      <w:lvlText w:val="•"/>
      <w:lvlJc w:val="left"/>
      <w:pPr>
        <w:ind w:left="7981" w:hanging="322"/>
      </w:pPr>
      <w:rPr>
        <w:rFonts w:hint="default"/>
      </w:rPr>
    </w:lvl>
  </w:abstractNum>
  <w:abstractNum w:abstractNumId="6">
    <w:multiLevelType w:val="hybridMultilevel"/>
    <w:lvl w:ilvl="0">
      <w:start w:val="1"/>
      <w:numFmt w:val="decimal"/>
      <w:lvlText w:val="(%1)"/>
      <w:lvlJc w:val="left"/>
      <w:pPr>
        <w:ind w:left="531" w:hanging="454"/>
        <w:jc w:val="left"/>
      </w:pPr>
      <w:rPr>
        <w:rFonts w:hint="default" w:ascii="宋体" w:hAnsi="宋体" w:eastAsia="宋体" w:cs="宋体"/>
        <w:w w:val="100"/>
        <w:sz w:val="22"/>
        <w:szCs w:val="22"/>
      </w:rPr>
    </w:lvl>
    <w:lvl w:ilvl="1">
      <w:start w:val="0"/>
      <w:numFmt w:val="bullet"/>
      <w:lvlText w:val="•"/>
      <w:lvlJc w:val="left"/>
      <w:pPr>
        <w:ind w:left="1245" w:hanging="454"/>
      </w:pPr>
      <w:rPr>
        <w:rFonts w:hint="default"/>
      </w:rPr>
    </w:lvl>
    <w:lvl w:ilvl="2">
      <w:start w:val="0"/>
      <w:numFmt w:val="bullet"/>
      <w:lvlText w:val="•"/>
      <w:lvlJc w:val="left"/>
      <w:pPr>
        <w:ind w:left="1951" w:hanging="454"/>
      </w:pPr>
      <w:rPr>
        <w:rFonts w:hint="default"/>
      </w:rPr>
    </w:lvl>
    <w:lvl w:ilvl="3">
      <w:start w:val="0"/>
      <w:numFmt w:val="bullet"/>
      <w:lvlText w:val="•"/>
      <w:lvlJc w:val="left"/>
      <w:pPr>
        <w:ind w:left="2657" w:hanging="454"/>
      </w:pPr>
      <w:rPr>
        <w:rFonts w:hint="default"/>
      </w:rPr>
    </w:lvl>
    <w:lvl w:ilvl="4">
      <w:start w:val="0"/>
      <w:numFmt w:val="bullet"/>
      <w:lvlText w:val="•"/>
      <w:lvlJc w:val="left"/>
      <w:pPr>
        <w:ind w:left="3363" w:hanging="454"/>
      </w:pPr>
      <w:rPr>
        <w:rFonts w:hint="default"/>
      </w:rPr>
    </w:lvl>
    <w:lvl w:ilvl="5">
      <w:start w:val="0"/>
      <w:numFmt w:val="bullet"/>
      <w:lvlText w:val="•"/>
      <w:lvlJc w:val="left"/>
      <w:pPr>
        <w:ind w:left="4069" w:hanging="454"/>
      </w:pPr>
      <w:rPr>
        <w:rFonts w:hint="default"/>
      </w:rPr>
    </w:lvl>
    <w:lvl w:ilvl="6">
      <w:start w:val="0"/>
      <w:numFmt w:val="bullet"/>
      <w:lvlText w:val="•"/>
      <w:lvlJc w:val="left"/>
      <w:pPr>
        <w:ind w:left="4774" w:hanging="454"/>
      </w:pPr>
      <w:rPr>
        <w:rFonts w:hint="default"/>
      </w:rPr>
    </w:lvl>
    <w:lvl w:ilvl="7">
      <w:start w:val="0"/>
      <w:numFmt w:val="bullet"/>
      <w:lvlText w:val="•"/>
      <w:lvlJc w:val="left"/>
      <w:pPr>
        <w:ind w:left="5480" w:hanging="454"/>
      </w:pPr>
      <w:rPr>
        <w:rFonts w:hint="default"/>
      </w:rPr>
    </w:lvl>
    <w:lvl w:ilvl="8">
      <w:start w:val="0"/>
      <w:numFmt w:val="bullet"/>
      <w:lvlText w:val="•"/>
      <w:lvlJc w:val="left"/>
      <w:pPr>
        <w:ind w:left="6186" w:hanging="454"/>
      </w:pPr>
      <w:rPr>
        <w:rFonts w:hint="default"/>
      </w:rPr>
    </w:lvl>
  </w:abstractNum>
  <w:abstractNum w:abstractNumId="5">
    <w:multiLevelType w:val="hybridMultilevel"/>
    <w:lvl w:ilvl="0">
      <w:start w:val="0"/>
      <w:numFmt w:val="bullet"/>
      <w:lvlText w:val=""/>
      <w:lvlJc w:val="left"/>
      <w:pPr>
        <w:ind w:left="635" w:hanging="322"/>
      </w:pPr>
      <w:rPr>
        <w:rFonts w:hint="default" w:ascii="Wingdings" w:hAnsi="Wingdings" w:eastAsia="Wingdings" w:cs="Wingdings"/>
        <w:w w:val="100"/>
        <w:sz w:val="34"/>
        <w:szCs w:val="34"/>
      </w:rPr>
    </w:lvl>
    <w:lvl w:ilvl="1">
      <w:start w:val="6"/>
      <w:numFmt w:val="decimal"/>
      <w:lvlText w:val="(%2)"/>
      <w:lvlJc w:val="left"/>
      <w:pPr>
        <w:ind w:left="2895" w:hanging="454"/>
        <w:jc w:val="left"/>
      </w:pPr>
      <w:rPr>
        <w:rFonts w:hint="default" w:ascii="宋体" w:hAnsi="宋体" w:eastAsia="宋体" w:cs="宋体"/>
        <w:w w:val="100"/>
        <w:sz w:val="22"/>
        <w:szCs w:val="22"/>
      </w:rPr>
    </w:lvl>
    <w:lvl w:ilvl="2">
      <w:start w:val="0"/>
      <w:numFmt w:val="bullet"/>
      <w:lvlText w:val="•"/>
      <w:lvlJc w:val="left"/>
      <w:pPr>
        <w:ind w:left="3674" w:hanging="454"/>
      </w:pPr>
      <w:rPr>
        <w:rFonts w:hint="default"/>
      </w:rPr>
    </w:lvl>
    <w:lvl w:ilvl="3">
      <w:start w:val="0"/>
      <w:numFmt w:val="bullet"/>
      <w:lvlText w:val="•"/>
      <w:lvlJc w:val="left"/>
      <w:pPr>
        <w:ind w:left="4448" w:hanging="454"/>
      </w:pPr>
      <w:rPr>
        <w:rFonts w:hint="default"/>
      </w:rPr>
    </w:lvl>
    <w:lvl w:ilvl="4">
      <w:start w:val="0"/>
      <w:numFmt w:val="bullet"/>
      <w:lvlText w:val="•"/>
      <w:lvlJc w:val="left"/>
      <w:pPr>
        <w:ind w:left="5222" w:hanging="454"/>
      </w:pPr>
      <w:rPr>
        <w:rFonts w:hint="default"/>
      </w:rPr>
    </w:lvl>
    <w:lvl w:ilvl="5">
      <w:start w:val="0"/>
      <w:numFmt w:val="bullet"/>
      <w:lvlText w:val="•"/>
      <w:lvlJc w:val="left"/>
      <w:pPr>
        <w:ind w:left="5996" w:hanging="454"/>
      </w:pPr>
      <w:rPr>
        <w:rFonts w:hint="default"/>
      </w:rPr>
    </w:lvl>
    <w:lvl w:ilvl="6">
      <w:start w:val="0"/>
      <w:numFmt w:val="bullet"/>
      <w:lvlText w:val="•"/>
      <w:lvlJc w:val="left"/>
      <w:pPr>
        <w:ind w:left="6770" w:hanging="454"/>
      </w:pPr>
      <w:rPr>
        <w:rFonts w:hint="default"/>
      </w:rPr>
    </w:lvl>
    <w:lvl w:ilvl="7">
      <w:start w:val="0"/>
      <w:numFmt w:val="bullet"/>
      <w:lvlText w:val="•"/>
      <w:lvlJc w:val="left"/>
      <w:pPr>
        <w:ind w:left="7544" w:hanging="454"/>
      </w:pPr>
      <w:rPr>
        <w:rFonts w:hint="default"/>
      </w:rPr>
    </w:lvl>
    <w:lvl w:ilvl="8">
      <w:start w:val="0"/>
      <w:numFmt w:val="bullet"/>
      <w:lvlText w:val="•"/>
      <w:lvlJc w:val="left"/>
      <w:pPr>
        <w:ind w:left="8318" w:hanging="454"/>
      </w:pPr>
      <w:rPr>
        <w:rFonts w:hint="default"/>
      </w:rPr>
    </w:lvl>
  </w:abstractNum>
  <w:abstractNum w:abstractNumId="4">
    <w:multiLevelType w:val="hybridMultilevel"/>
    <w:lvl w:ilvl="0">
      <w:start w:val="0"/>
      <w:numFmt w:val="bullet"/>
      <w:lvlText w:val=""/>
      <w:lvlJc w:val="left"/>
      <w:pPr>
        <w:ind w:left="635" w:hanging="322"/>
      </w:pPr>
      <w:rPr>
        <w:rFonts w:hint="default" w:ascii="Wingdings" w:hAnsi="Wingdings" w:eastAsia="Wingdings" w:cs="Wingdings"/>
        <w:w w:val="90"/>
        <w:sz w:val="34"/>
        <w:szCs w:val="34"/>
      </w:rPr>
    </w:lvl>
    <w:lvl w:ilvl="1">
      <w:start w:val="0"/>
      <w:numFmt w:val="bullet"/>
      <w:lvlText w:val="•"/>
      <w:lvlJc w:val="left"/>
      <w:pPr>
        <w:ind w:left="1602" w:hanging="322"/>
      </w:pPr>
      <w:rPr>
        <w:rFonts w:hint="default"/>
      </w:rPr>
    </w:lvl>
    <w:lvl w:ilvl="2">
      <w:start w:val="0"/>
      <w:numFmt w:val="bullet"/>
      <w:lvlText w:val="•"/>
      <w:lvlJc w:val="left"/>
      <w:pPr>
        <w:ind w:left="2565" w:hanging="322"/>
      </w:pPr>
      <w:rPr>
        <w:rFonts w:hint="default"/>
      </w:rPr>
    </w:lvl>
    <w:lvl w:ilvl="3">
      <w:start w:val="0"/>
      <w:numFmt w:val="bullet"/>
      <w:lvlText w:val="•"/>
      <w:lvlJc w:val="left"/>
      <w:pPr>
        <w:ind w:left="3527" w:hanging="322"/>
      </w:pPr>
      <w:rPr>
        <w:rFonts w:hint="default"/>
      </w:rPr>
    </w:lvl>
    <w:lvl w:ilvl="4">
      <w:start w:val="0"/>
      <w:numFmt w:val="bullet"/>
      <w:lvlText w:val="•"/>
      <w:lvlJc w:val="left"/>
      <w:pPr>
        <w:ind w:left="4490" w:hanging="322"/>
      </w:pPr>
      <w:rPr>
        <w:rFonts w:hint="default"/>
      </w:rPr>
    </w:lvl>
    <w:lvl w:ilvl="5">
      <w:start w:val="0"/>
      <w:numFmt w:val="bullet"/>
      <w:lvlText w:val="•"/>
      <w:lvlJc w:val="left"/>
      <w:pPr>
        <w:ind w:left="5453" w:hanging="322"/>
      </w:pPr>
      <w:rPr>
        <w:rFonts w:hint="default"/>
      </w:rPr>
    </w:lvl>
    <w:lvl w:ilvl="6">
      <w:start w:val="0"/>
      <w:numFmt w:val="bullet"/>
      <w:lvlText w:val="•"/>
      <w:lvlJc w:val="left"/>
      <w:pPr>
        <w:ind w:left="6415" w:hanging="322"/>
      </w:pPr>
      <w:rPr>
        <w:rFonts w:hint="default"/>
      </w:rPr>
    </w:lvl>
    <w:lvl w:ilvl="7">
      <w:start w:val="0"/>
      <w:numFmt w:val="bullet"/>
      <w:lvlText w:val="•"/>
      <w:lvlJc w:val="left"/>
      <w:pPr>
        <w:ind w:left="7378" w:hanging="322"/>
      </w:pPr>
      <w:rPr>
        <w:rFonts w:hint="default"/>
      </w:rPr>
    </w:lvl>
    <w:lvl w:ilvl="8">
      <w:start w:val="0"/>
      <w:numFmt w:val="bullet"/>
      <w:lvlText w:val="•"/>
      <w:lvlJc w:val="left"/>
      <w:pPr>
        <w:ind w:left="8341" w:hanging="322"/>
      </w:pPr>
      <w:rPr>
        <w:rFonts w:hint="default"/>
      </w:rPr>
    </w:lvl>
  </w:abstractNum>
  <w:abstractNum w:abstractNumId="3">
    <w:multiLevelType w:val="hybridMultilevel"/>
    <w:lvl w:ilvl="0">
      <w:start w:val="9"/>
      <w:numFmt w:val="decimal"/>
      <w:lvlText w:val="%1"/>
      <w:lvlJc w:val="left"/>
      <w:pPr>
        <w:ind w:left="969" w:hanging="567"/>
        <w:jc w:val="left"/>
      </w:pPr>
      <w:rPr>
        <w:rFonts w:hint="default"/>
      </w:rPr>
    </w:lvl>
    <w:lvl w:ilvl="1">
      <w:start w:val="15"/>
      <w:numFmt w:val="decimal"/>
      <w:lvlText w:val="%1.%2"/>
      <w:lvlJc w:val="left"/>
      <w:pPr>
        <w:ind w:left="969" w:hanging="567"/>
        <w:jc w:val="left"/>
      </w:pPr>
      <w:rPr>
        <w:rFonts w:hint="default" w:ascii="宋体" w:hAnsi="宋体" w:eastAsia="宋体" w:cs="宋体"/>
        <w:w w:val="100"/>
        <w:sz w:val="22"/>
        <w:szCs w:val="22"/>
      </w:rPr>
    </w:lvl>
    <w:lvl w:ilvl="2">
      <w:start w:val="0"/>
      <w:numFmt w:val="bullet"/>
      <w:lvlText w:val="•"/>
      <w:lvlJc w:val="left"/>
      <w:pPr>
        <w:ind w:left="1398" w:hanging="567"/>
      </w:pPr>
      <w:rPr>
        <w:rFonts w:hint="default"/>
      </w:rPr>
    </w:lvl>
    <w:lvl w:ilvl="3">
      <w:start w:val="0"/>
      <w:numFmt w:val="bullet"/>
      <w:lvlText w:val="•"/>
      <w:lvlJc w:val="left"/>
      <w:pPr>
        <w:ind w:left="1617" w:hanging="567"/>
      </w:pPr>
      <w:rPr>
        <w:rFonts w:hint="default"/>
      </w:rPr>
    </w:lvl>
    <w:lvl w:ilvl="4">
      <w:start w:val="0"/>
      <w:numFmt w:val="bullet"/>
      <w:lvlText w:val="•"/>
      <w:lvlJc w:val="left"/>
      <w:pPr>
        <w:ind w:left="1837" w:hanging="567"/>
      </w:pPr>
      <w:rPr>
        <w:rFonts w:hint="default"/>
      </w:rPr>
    </w:lvl>
    <w:lvl w:ilvl="5">
      <w:start w:val="0"/>
      <w:numFmt w:val="bullet"/>
      <w:lvlText w:val="•"/>
      <w:lvlJc w:val="left"/>
      <w:pPr>
        <w:ind w:left="2056" w:hanging="567"/>
      </w:pPr>
      <w:rPr>
        <w:rFonts w:hint="default"/>
      </w:rPr>
    </w:lvl>
    <w:lvl w:ilvl="6">
      <w:start w:val="0"/>
      <w:numFmt w:val="bullet"/>
      <w:lvlText w:val="•"/>
      <w:lvlJc w:val="left"/>
      <w:pPr>
        <w:ind w:left="2275" w:hanging="567"/>
      </w:pPr>
      <w:rPr>
        <w:rFonts w:hint="default"/>
      </w:rPr>
    </w:lvl>
    <w:lvl w:ilvl="7">
      <w:start w:val="0"/>
      <w:numFmt w:val="bullet"/>
      <w:lvlText w:val="•"/>
      <w:lvlJc w:val="left"/>
      <w:pPr>
        <w:ind w:left="2495" w:hanging="567"/>
      </w:pPr>
      <w:rPr>
        <w:rFonts w:hint="default"/>
      </w:rPr>
    </w:lvl>
    <w:lvl w:ilvl="8">
      <w:start w:val="0"/>
      <w:numFmt w:val="bullet"/>
      <w:lvlText w:val="•"/>
      <w:lvlJc w:val="left"/>
      <w:pPr>
        <w:ind w:left="2714" w:hanging="567"/>
      </w:pPr>
      <w:rPr>
        <w:rFonts w:hint="default"/>
      </w:rPr>
    </w:lvl>
  </w:abstractNum>
  <w:abstractNum w:abstractNumId="2">
    <w:multiLevelType w:val="hybridMultilevel"/>
    <w:lvl w:ilvl="0">
      <w:start w:val="7"/>
      <w:numFmt w:val="decimal"/>
      <w:lvlText w:val="%1."/>
      <w:lvlJc w:val="left"/>
      <w:pPr>
        <w:ind w:left="495" w:hanging="312"/>
        <w:jc w:val="left"/>
      </w:pPr>
      <w:rPr>
        <w:rFonts w:hint="default" w:ascii="宋体" w:hAnsi="宋体" w:eastAsia="宋体" w:cs="宋体"/>
        <w:b/>
        <w:bCs/>
        <w:w w:val="99"/>
        <w:sz w:val="22"/>
        <w:szCs w:val="22"/>
      </w:rPr>
    </w:lvl>
    <w:lvl w:ilvl="1">
      <w:start w:val="1"/>
      <w:numFmt w:val="decimal"/>
      <w:lvlText w:val="%1.%2"/>
      <w:lvlJc w:val="left"/>
      <w:pPr>
        <w:ind w:left="1061" w:hanging="567"/>
        <w:jc w:val="left"/>
      </w:pPr>
      <w:rPr>
        <w:rFonts w:hint="default" w:ascii="宋体" w:hAnsi="宋体" w:eastAsia="宋体" w:cs="宋体"/>
        <w:w w:val="100"/>
        <w:sz w:val="22"/>
        <w:szCs w:val="22"/>
      </w:rPr>
    </w:lvl>
    <w:lvl w:ilvl="2">
      <w:start w:val="0"/>
      <w:numFmt w:val="bullet"/>
      <w:lvlText w:val="•"/>
      <w:lvlJc w:val="left"/>
      <w:pPr>
        <w:ind w:left="1313" w:hanging="567"/>
      </w:pPr>
      <w:rPr>
        <w:rFonts w:hint="default"/>
      </w:rPr>
    </w:lvl>
    <w:lvl w:ilvl="3">
      <w:start w:val="0"/>
      <w:numFmt w:val="bullet"/>
      <w:lvlText w:val="•"/>
      <w:lvlJc w:val="left"/>
      <w:pPr>
        <w:ind w:left="1567" w:hanging="567"/>
      </w:pPr>
      <w:rPr>
        <w:rFonts w:hint="default"/>
      </w:rPr>
    </w:lvl>
    <w:lvl w:ilvl="4">
      <w:start w:val="0"/>
      <w:numFmt w:val="bullet"/>
      <w:lvlText w:val="•"/>
      <w:lvlJc w:val="left"/>
      <w:pPr>
        <w:ind w:left="1821" w:hanging="567"/>
      </w:pPr>
      <w:rPr>
        <w:rFonts w:hint="default"/>
      </w:rPr>
    </w:lvl>
    <w:lvl w:ilvl="5">
      <w:start w:val="0"/>
      <w:numFmt w:val="bullet"/>
      <w:lvlText w:val="•"/>
      <w:lvlJc w:val="left"/>
      <w:pPr>
        <w:ind w:left="2075" w:hanging="567"/>
      </w:pPr>
      <w:rPr>
        <w:rFonts w:hint="default"/>
      </w:rPr>
    </w:lvl>
    <w:lvl w:ilvl="6">
      <w:start w:val="0"/>
      <w:numFmt w:val="bullet"/>
      <w:lvlText w:val="•"/>
      <w:lvlJc w:val="left"/>
      <w:pPr>
        <w:ind w:left="2329" w:hanging="567"/>
      </w:pPr>
      <w:rPr>
        <w:rFonts w:hint="default"/>
      </w:rPr>
    </w:lvl>
    <w:lvl w:ilvl="7">
      <w:start w:val="0"/>
      <w:numFmt w:val="bullet"/>
      <w:lvlText w:val="•"/>
      <w:lvlJc w:val="left"/>
      <w:pPr>
        <w:ind w:left="2583" w:hanging="567"/>
      </w:pPr>
      <w:rPr>
        <w:rFonts w:hint="default"/>
      </w:rPr>
    </w:lvl>
    <w:lvl w:ilvl="8">
      <w:start w:val="0"/>
      <w:numFmt w:val="bullet"/>
      <w:lvlText w:val="•"/>
      <w:lvlJc w:val="left"/>
      <w:pPr>
        <w:ind w:left="2837" w:hanging="567"/>
      </w:pPr>
      <w:rPr>
        <w:rFonts w:hint="default"/>
      </w:rPr>
    </w:lvl>
  </w:abstractNum>
  <w:abstractNum w:abstractNumId="1">
    <w:multiLevelType w:val="hybridMultilevel"/>
    <w:lvl w:ilvl="0">
      <w:start w:val="1"/>
      <w:numFmt w:val="decimal"/>
      <w:lvlText w:val="%1."/>
      <w:lvlJc w:val="left"/>
      <w:pPr>
        <w:ind w:left="512" w:hanging="312"/>
        <w:jc w:val="left"/>
      </w:pPr>
      <w:rPr>
        <w:rFonts w:hint="default" w:ascii="宋体" w:hAnsi="宋体" w:eastAsia="宋体" w:cs="宋体"/>
        <w:b/>
        <w:bCs/>
        <w:w w:val="99"/>
        <w:sz w:val="22"/>
        <w:szCs w:val="22"/>
      </w:rPr>
    </w:lvl>
    <w:lvl w:ilvl="1">
      <w:start w:val="1"/>
      <w:numFmt w:val="decimal"/>
      <w:lvlText w:val="%1.%2"/>
      <w:lvlJc w:val="left"/>
      <w:pPr>
        <w:ind w:left="1078" w:hanging="567"/>
        <w:jc w:val="left"/>
      </w:pPr>
      <w:rPr>
        <w:rFonts w:hint="default" w:ascii="宋体" w:hAnsi="宋体" w:eastAsia="宋体" w:cs="宋体"/>
        <w:w w:val="100"/>
        <w:sz w:val="22"/>
        <w:szCs w:val="22"/>
      </w:rPr>
    </w:lvl>
    <w:lvl w:ilvl="2">
      <w:start w:val="0"/>
      <w:numFmt w:val="bullet"/>
      <w:lvlText w:val="•"/>
      <w:lvlJc w:val="left"/>
      <w:pPr>
        <w:ind w:left="1320" w:hanging="567"/>
      </w:pPr>
      <w:rPr>
        <w:rFonts w:hint="default"/>
      </w:rPr>
    </w:lvl>
    <w:lvl w:ilvl="3">
      <w:start w:val="0"/>
      <w:numFmt w:val="bullet"/>
      <w:lvlText w:val="•"/>
      <w:lvlJc w:val="left"/>
      <w:pPr>
        <w:ind w:left="1561" w:hanging="567"/>
      </w:pPr>
      <w:rPr>
        <w:rFonts w:hint="default"/>
      </w:rPr>
    </w:lvl>
    <w:lvl w:ilvl="4">
      <w:start w:val="0"/>
      <w:numFmt w:val="bullet"/>
      <w:lvlText w:val="•"/>
      <w:lvlJc w:val="left"/>
      <w:pPr>
        <w:ind w:left="1801" w:hanging="567"/>
      </w:pPr>
      <w:rPr>
        <w:rFonts w:hint="default"/>
      </w:rPr>
    </w:lvl>
    <w:lvl w:ilvl="5">
      <w:start w:val="0"/>
      <w:numFmt w:val="bullet"/>
      <w:lvlText w:val="•"/>
      <w:lvlJc w:val="left"/>
      <w:pPr>
        <w:ind w:left="2042" w:hanging="567"/>
      </w:pPr>
      <w:rPr>
        <w:rFonts w:hint="default"/>
      </w:rPr>
    </w:lvl>
    <w:lvl w:ilvl="6">
      <w:start w:val="0"/>
      <w:numFmt w:val="bullet"/>
      <w:lvlText w:val="•"/>
      <w:lvlJc w:val="left"/>
      <w:pPr>
        <w:ind w:left="2282" w:hanging="567"/>
      </w:pPr>
      <w:rPr>
        <w:rFonts w:hint="default"/>
      </w:rPr>
    </w:lvl>
    <w:lvl w:ilvl="7">
      <w:start w:val="0"/>
      <w:numFmt w:val="bullet"/>
      <w:lvlText w:val="•"/>
      <w:lvlJc w:val="left"/>
      <w:pPr>
        <w:ind w:left="2523" w:hanging="567"/>
      </w:pPr>
      <w:rPr>
        <w:rFonts w:hint="default"/>
      </w:rPr>
    </w:lvl>
    <w:lvl w:ilvl="8">
      <w:start w:val="0"/>
      <w:numFmt w:val="bullet"/>
      <w:lvlText w:val="•"/>
      <w:lvlJc w:val="left"/>
      <w:pPr>
        <w:ind w:left="2763" w:hanging="567"/>
      </w:pPr>
      <w:rPr>
        <w:rFonts w:hint="default"/>
      </w:rPr>
    </w:lvl>
  </w:abstractNum>
  <w:abstractNum w:abstractNumId="0">
    <w:multiLevelType w:val="hybridMultilevel"/>
    <w:lvl w:ilvl="0">
      <w:start w:val="0"/>
      <w:numFmt w:val="bullet"/>
      <w:lvlText w:val=""/>
      <w:lvlJc w:val="left"/>
      <w:pPr>
        <w:ind w:left="1008" w:hanging="308"/>
      </w:pPr>
      <w:rPr>
        <w:rFonts w:hint="default" w:ascii="Wingdings" w:hAnsi="Wingdings" w:eastAsia="Wingdings" w:cs="Wingdings"/>
        <w:w w:val="100"/>
        <w:sz w:val="22"/>
        <w:szCs w:val="22"/>
      </w:rPr>
    </w:lvl>
    <w:lvl w:ilvl="1">
      <w:start w:val="0"/>
      <w:numFmt w:val="bullet"/>
      <w:lvlText w:val="•"/>
      <w:lvlJc w:val="left"/>
      <w:pPr>
        <w:ind w:left="1910" w:hanging="308"/>
      </w:pPr>
      <w:rPr>
        <w:rFonts w:hint="default"/>
      </w:rPr>
    </w:lvl>
    <w:lvl w:ilvl="2">
      <w:start w:val="0"/>
      <w:numFmt w:val="bullet"/>
      <w:lvlText w:val="•"/>
      <w:lvlJc w:val="left"/>
      <w:pPr>
        <w:ind w:left="2821" w:hanging="308"/>
      </w:pPr>
      <w:rPr>
        <w:rFonts w:hint="default"/>
      </w:rPr>
    </w:lvl>
    <w:lvl w:ilvl="3">
      <w:start w:val="0"/>
      <w:numFmt w:val="bullet"/>
      <w:lvlText w:val="•"/>
      <w:lvlJc w:val="left"/>
      <w:pPr>
        <w:ind w:left="3731" w:hanging="308"/>
      </w:pPr>
      <w:rPr>
        <w:rFonts w:hint="default"/>
      </w:rPr>
    </w:lvl>
    <w:lvl w:ilvl="4">
      <w:start w:val="0"/>
      <w:numFmt w:val="bullet"/>
      <w:lvlText w:val="•"/>
      <w:lvlJc w:val="left"/>
      <w:pPr>
        <w:ind w:left="4642" w:hanging="308"/>
      </w:pPr>
      <w:rPr>
        <w:rFonts w:hint="default"/>
      </w:rPr>
    </w:lvl>
    <w:lvl w:ilvl="5">
      <w:start w:val="0"/>
      <w:numFmt w:val="bullet"/>
      <w:lvlText w:val="•"/>
      <w:lvlJc w:val="left"/>
      <w:pPr>
        <w:ind w:left="5553" w:hanging="308"/>
      </w:pPr>
      <w:rPr>
        <w:rFonts w:hint="default"/>
      </w:rPr>
    </w:lvl>
    <w:lvl w:ilvl="6">
      <w:start w:val="0"/>
      <w:numFmt w:val="bullet"/>
      <w:lvlText w:val="•"/>
      <w:lvlJc w:val="left"/>
      <w:pPr>
        <w:ind w:left="6463" w:hanging="308"/>
      </w:pPr>
      <w:rPr>
        <w:rFonts w:hint="default"/>
      </w:rPr>
    </w:lvl>
    <w:lvl w:ilvl="7">
      <w:start w:val="0"/>
      <w:numFmt w:val="bullet"/>
      <w:lvlText w:val="•"/>
      <w:lvlJc w:val="left"/>
      <w:pPr>
        <w:ind w:left="7374" w:hanging="308"/>
      </w:pPr>
      <w:rPr>
        <w:rFonts w:hint="default"/>
      </w:rPr>
    </w:lvl>
    <w:lvl w:ilvl="8">
      <w:start w:val="0"/>
      <w:numFmt w:val="bullet"/>
      <w:lvlText w:val="•"/>
      <w:lvlJc w:val="left"/>
      <w:pPr>
        <w:ind w:left="8285" w:hanging="308"/>
      </w:pPr>
      <w:rPr>
        <w:rFonts w:hint="default"/>
      </w:rPr>
    </w:lvl>
  </w:abstract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2"/>
      <w:szCs w:val="22"/>
    </w:rPr>
  </w:style>
  <w:style w:styleId="Heading1" w:type="paragraph">
    <w:name w:val="Heading 1"/>
    <w:basedOn w:val="Normal"/>
    <w:uiPriority w:val="1"/>
    <w:qFormat/>
    <w:pPr>
      <w:ind w:left="1527"/>
      <w:outlineLvl w:val="1"/>
    </w:pPr>
    <w:rPr>
      <w:rFonts w:ascii="微软雅黑" w:hAnsi="微软雅黑" w:eastAsia="微软雅黑" w:cs="微软雅黑"/>
      <w:b/>
      <w:bCs/>
      <w:sz w:val="40"/>
      <w:szCs w:val="40"/>
    </w:rPr>
  </w:style>
  <w:style w:styleId="Heading2" w:type="paragraph">
    <w:name w:val="Heading 2"/>
    <w:basedOn w:val="Normal"/>
    <w:uiPriority w:val="1"/>
    <w:qFormat/>
    <w:pPr>
      <w:spacing w:before="19"/>
      <w:ind w:left="313"/>
      <w:outlineLvl w:val="2"/>
    </w:pPr>
    <w:rPr>
      <w:rFonts w:ascii="宋体" w:hAnsi="宋体" w:eastAsia="宋体" w:cs="宋体"/>
      <w:b/>
      <w:bCs/>
      <w:sz w:val="32"/>
      <w:szCs w:val="32"/>
    </w:rPr>
  </w:style>
  <w:style w:styleId="Heading3" w:type="paragraph">
    <w:name w:val="Heading 3"/>
    <w:basedOn w:val="Normal"/>
    <w:uiPriority w:val="1"/>
    <w:qFormat/>
    <w:pPr>
      <w:ind w:left="173"/>
      <w:outlineLvl w:val="3"/>
    </w:pPr>
    <w:rPr>
      <w:rFonts w:ascii="宋体" w:hAnsi="宋体" w:eastAsia="宋体" w:cs="宋体"/>
      <w:b/>
      <w:bCs/>
      <w:sz w:val="24"/>
      <w:szCs w:val="24"/>
    </w:rPr>
  </w:style>
  <w:style w:styleId="Heading4" w:type="paragraph">
    <w:name w:val="Heading 4"/>
    <w:basedOn w:val="Normal"/>
    <w:uiPriority w:val="1"/>
    <w:qFormat/>
    <w:pPr>
      <w:ind w:left="910"/>
      <w:outlineLvl w:val="4"/>
    </w:pPr>
    <w:rPr>
      <w:rFonts w:ascii="微软雅黑" w:hAnsi="微软雅黑" w:eastAsia="微软雅黑" w:cs="微软雅黑"/>
      <w:b/>
      <w:bCs/>
      <w:sz w:val="22"/>
      <w:szCs w:val="22"/>
    </w:rPr>
  </w:style>
  <w:style w:styleId="ListParagraph" w:type="paragraph">
    <w:name w:val="List Paragraph"/>
    <w:basedOn w:val="Normal"/>
    <w:uiPriority w:val="1"/>
    <w:qFormat/>
    <w:pPr>
      <w:ind w:left="2427" w:hanging="454"/>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Ping</dc:creator>
  <dc:title>銷售條款</dc:title>
  <dcterms:created xsi:type="dcterms:W3CDTF">2018-10-20T08:02:20Z</dcterms:created>
  <dcterms:modified xsi:type="dcterms:W3CDTF">2018-10-20T08:02:20Z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2016-09-20T00:00:00Z</vt:filetime>
  </property>
  <property fmtid="{D5CDD505-2E9C-101B-9397-08002B2CF9AE}" pid="3" name="Creator">
    <vt:lpwstr>Microsoft® Office Word 2007</vt:lpwstr>
  </property>
  <property fmtid="{D5CDD505-2E9C-101B-9397-08002B2CF9AE}" pid="4" name="LastSaved">
    <vt:filetime>2018-10-20T00:00:00Z</vt:filetime>
  </property>
</Properties>
</file>