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271525</wp:posOffset>
            </wp:positionV>
            <wp:extent cx="720231" cy="67322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231" cy="673226"/>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74"/>
        <w:ind w:left="7648" w:right="315" w:firstLine="0"/>
        <w:jc w:val="center"/>
        <w:rPr>
          <w:sz w:val="20"/>
        </w:rPr>
      </w:pPr>
      <w:r>
        <w:rPr>
          <w:sz w:val="20"/>
        </w:rPr>
        <w:t>中新大东方[2009] 疾病保险 051 号</w:t>
      </w:r>
    </w:p>
    <w:p>
      <w:pPr>
        <w:pStyle w:val="BodyText"/>
        <w:spacing w:before="12"/>
        <w:rPr>
          <w:sz w:val="28"/>
        </w:rPr>
      </w:pPr>
    </w:p>
    <w:p>
      <w:pPr>
        <w:spacing w:line="473" w:lineRule="exact" w:before="0"/>
        <w:ind w:left="128" w:right="1302" w:firstLine="0"/>
        <w:jc w:val="center"/>
        <w:rPr>
          <w:rFonts w:ascii="Microsoft JhengHei UI" w:eastAsia="Microsoft JhengHei UI" w:hint="eastAsia"/>
          <w:b/>
          <w:sz w:val="30"/>
        </w:rPr>
      </w:pPr>
      <w:r>
        <w:rPr>
          <w:rFonts w:ascii="Microsoft JhengHei UI" w:eastAsia="Microsoft JhengHei UI" w:hint="eastAsia"/>
          <w:b/>
          <w:sz w:val="30"/>
        </w:rPr>
        <w:t>中新大东方附加顺鸿终身提前给付重大疾病保险二代合同条款</w:t>
      </w:r>
    </w:p>
    <w:p>
      <w:pPr>
        <w:pStyle w:val="BodyText"/>
        <w:spacing w:before="225"/>
        <w:ind w:left="128" w:right="840"/>
        <w:jc w:val="center"/>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7"/>
        <w:rPr>
          <w:sz w:val="36"/>
        </w:rPr>
      </w:pPr>
    </w:p>
    <w:p>
      <w:pPr>
        <w:pStyle w:val="Heading1"/>
        <w:spacing w:line="240" w:lineRule="auto"/>
        <w:ind w:right="1128"/>
      </w:pPr>
      <w:r>
        <w:rPr/>
        <w:t>阅  读  指  引</w:t>
      </w:r>
    </w:p>
    <w:p>
      <w:pPr>
        <w:pStyle w:val="BodyText"/>
        <w:spacing w:before="208"/>
        <w:ind w:left="429"/>
      </w:pPr>
      <w:r>
        <w:rPr>
          <w:w w:val="95"/>
        </w:rPr>
        <w:t>本阅读指引旨在提示您本条款中的重要事项，对本条款内容的解释以相应合同条款为准。</w:t>
      </w:r>
    </w:p>
    <w:p>
      <w:pPr>
        <w:pStyle w:val="Heading2"/>
        <w:spacing w:before="142"/>
        <w:ind w:left="435" w:firstLine="0"/>
      </w:pPr>
      <w:r>
        <w:rPr>
          <w:w w:val="95"/>
        </w:rPr>
        <w:t>您的权益</w:t>
      </w:r>
    </w:p>
    <w:p>
      <w:pPr>
        <w:pStyle w:val="BodyText"/>
        <w:spacing w:before="15"/>
        <w:rPr>
          <w:rFonts w:ascii="Microsoft JhengHei UI"/>
          <w:b/>
          <w:sz w:val="1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您可以选择将投保日期回溯（4）</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被保险人享有我们提供的保障</w:t>
      </w:r>
      <w:r>
        <w:rPr>
          <w:spacing w:val="-1"/>
          <w:w w:val="99"/>
          <w:sz w:val="21"/>
        </w:rPr>
        <w:t>（</w:t>
      </w:r>
      <w:r>
        <w:rPr>
          <w:w w:val="93"/>
          <w:sz w:val="21"/>
        </w:rPr>
        <w:t>5</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您有退保的权利</w:t>
      </w:r>
      <w:r>
        <w:rPr>
          <w:spacing w:val="-1"/>
          <w:w w:val="99"/>
          <w:sz w:val="21"/>
        </w:rPr>
        <w:t>（</w:t>
      </w:r>
      <w:r>
        <w:rPr>
          <w:w w:val="93"/>
          <w:sz w:val="21"/>
        </w:rPr>
        <w:t>8</w:t>
      </w:r>
      <w:r>
        <w:rPr>
          <w:spacing w:val="-1"/>
          <w:w w:val="43"/>
          <w:sz w:val="21"/>
        </w:rPr>
        <w:t>.</w:t>
      </w:r>
      <w:r>
        <w:rPr>
          <w:w w:val="93"/>
          <w:sz w:val="21"/>
        </w:rPr>
        <w:t>3</w:t>
      </w:r>
      <w:r>
        <w:rPr>
          <w:w w:val="99"/>
          <w:sz w:val="21"/>
        </w:rPr>
        <w:t>）</w:t>
      </w:r>
    </w:p>
    <w:p>
      <w:pPr>
        <w:pStyle w:val="Heading2"/>
        <w:spacing w:before="204"/>
        <w:ind w:left="435" w:firstLine="0"/>
      </w:pPr>
      <w:r>
        <w:rPr>
          <w:w w:val="95"/>
        </w:rPr>
        <w:t>注意事项</w:t>
      </w:r>
    </w:p>
    <w:p>
      <w:pPr>
        <w:pStyle w:val="ListParagraph"/>
        <w:numPr>
          <w:ilvl w:val="0"/>
          <w:numId w:val="1"/>
        </w:numPr>
        <w:tabs>
          <w:tab w:pos="855" w:val="left" w:leader="none"/>
          <w:tab w:pos="856" w:val="left" w:leader="none"/>
        </w:tabs>
        <w:spacing w:line="240" w:lineRule="auto" w:before="197" w:after="0"/>
        <w:ind w:left="855" w:right="0" w:hanging="420"/>
        <w:jc w:val="left"/>
        <w:rPr>
          <w:rFonts w:ascii="Microsoft JhengHei UI" w:eastAsia="Microsoft JhengHei UI" w:hint="eastAsia"/>
          <w:b/>
          <w:sz w:val="21"/>
        </w:rPr>
      </w:pPr>
      <w:r>
        <w:rPr>
          <w:rFonts w:ascii="Microsoft JhengHei UI" w:eastAsia="Microsoft JhengHei UI" w:hint="eastAsia"/>
          <w:b/>
          <w:w w:val="95"/>
          <w:sz w:val="21"/>
        </w:rPr>
        <w:t>责任免除条款中列明了我们在某些情况下不承担的保险责任（</w:t>
      </w:r>
      <w:r>
        <w:rPr>
          <w:rFonts w:ascii="Microsoft JhengHei UI" w:eastAsia="Microsoft JhengHei UI" w:hint="eastAsia"/>
          <w:b/>
          <w:spacing w:val="1"/>
          <w:w w:val="95"/>
          <w:sz w:val="21"/>
        </w:rPr>
        <w:t>     </w:t>
      </w:r>
      <w:r>
        <w:rPr>
          <w:rFonts w:ascii="Microsoft JhengHei UI" w:eastAsia="Microsoft JhengHei UI" w:hint="eastAsia"/>
          <w:b/>
          <w:w w:val="95"/>
          <w:sz w:val="21"/>
        </w:rPr>
        <w:t>5.4）</w:t>
      </w:r>
    </w:p>
    <w:p>
      <w:pPr>
        <w:pStyle w:val="BodyText"/>
        <w:spacing w:before="9"/>
        <w:rPr>
          <w:rFonts w:ascii="Microsoft JhengHei UI"/>
          <w:b/>
          <w:sz w:val="19"/>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没有按时交纳保险费将会导致合同中止</w:t>
      </w:r>
      <w:r>
        <w:rPr>
          <w:spacing w:val="-1"/>
          <w:w w:val="99"/>
          <w:sz w:val="21"/>
        </w:rPr>
        <w:t>（</w:t>
      </w:r>
      <w:r>
        <w:rPr>
          <w:w w:val="93"/>
          <w:sz w:val="21"/>
        </w:rPr>
        <w:t>6</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在保险期间内我们可能会调整保险费率</w:t>
      </w:r>
      <w:r>
        <w:rPr>
          <w:spacing w:val="-1"/>
          <w:w w:val="99"/>
          <w:sz w:val="21"/>
        </w:rPr>
        <w:t>（</w:t>
      </w:r>
      <w:r>
        <w:rPr>
          <w:w w:val="93"/>
          <w:sz w:val="21"/>
        </w:rPr>
        <w:t>6</w:t>
      </w:r>
      <w:r>
        <w:rPr>
          <w:spacing w:val="-1"/>
          <w:w w:val="43"/>
          <w:sz w:val="21"/>
        </w:rPr>
        <w:t>.</w:t>
      </w:r>
      <w:r>
        <w:rPr>
          <w:w w:val="93"/>
          <w:sz w:val="21"/>
        </w:rPr>
        <w:t>2</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退保会给您带来一定损失，请慎重决策</w:t>
      </w:r>
      <w:r>
        <w:rPr>
          <w:spacing w:val="-1"/>
          <w:w w:val="99"/>
          <w:sz w:val="21"/>
        </w:rPr>
        <w:t>（</w:t>
      </w:r>
      <w:r>
        <w:rPr>
          <w:w w:val="93"/>
          <w:sz w:val="21"/>
        </w:rPr>
        <w:t>8</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主险合同的某些变动会导致本附加险合同效力终止</w:t>
      </w:r>
      <w:r>
        <w:rPr>
          <w:spacing w:val="-1"/>
          <w:w w:val="58"/>
          <w:sz w:val="21"/>
        </w:rPr>
        <w:t>(</w:t>
      </w:r>
      <w:r>
        <w:rPr>
          <w:w w:val="93"/>
          <w:sz w:val="21"/>
        </w:rPr>
        <w:t>8</w:t>
      </w:r>
      <w:r>
        <w:rPr>
          <w:spacing w:val="-1"/>
          <w:w w:val="43"/>
          <w:sz w:val="21"/>
        </w:rPr>
        <w:t>.</w:t>
      </w:r>
      <w:r>
        <w:rPr>
          <w:w w:val="93"/>
          <w:sz w:val="21"/>
        </w:rPr>
        <w:t>4</w:t>
      </w:r>
      <w:r>
        <w:rPr>
          <w:w w:val="58"/>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您有如实告知的义务（10）</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我们对一些重要术语作了显著标记，并进行了解释（11）</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请仔细阅读本条款中关于重大疾病的释义</w:t>
      </w:r>
      <w:r>
        <w:rPr>
          <w:spacing w:val="-1"/>
          <w:w w:val="58"/>
          <w:sz w:val="21"/>
        </w:rPr>
        <w:t>(</w:t>
      </w:r>
      <w:r>
        <w:rPr>
          <w:w w:val="93"/>
          <w:sz w:val="21"/>
        </w:rPr>
        <w:t>11</w:t>
      </w:r>
      <w:r>
        <w:rPr>
          <w:spacing w:val="-1"/>
          <w:w w:val="43"/>
          <w:sz w:val="21"/>
        </w:rPr>
        <w:t>.</w:t>
      </w:r>
      <w:r>
        <w:rPr>
          <w:w w:val="93"/>
          <w:sz w:val="21"/>
        </w:rPr>
        <w:t>3</w:t>
      </w:r>
      <w:r>
        <w:rPr>
          <w:w w:val="58"/>
          <w:sz w:val="21"/>
        </w:rPr>
        <w:t>)</w:t>
      </w:r>
    </w:p>
    <w:p>
      <w:pPr>
        <w:spacing w:after="0" w:line="240" w:lineRule="auto"/>
        <w:jc w:val="left"/>
        <w:rPr>
          <w:sz w:val="21"/>
        </w:rPr>
        <w:sectPr>
          <w:type w:val="continuous"/>
          <w:pgSz w:w="11910" w:h="16840"/>
          <w:pgMar w:top="320" w:bottom="280" w:left="1680" w:right="660"/>
        </w:sectPr>
      </w:pPr>
    </w:p>
    <w:p>
      <w:pPr>
        <w:pStyle w:val="Heading1"/>
        <w:ind w:left="3913" w:right="3896"/>
      </w:pPr>
      <w:r>
        <w:rPr/>
        <w:t>目  录</w:t>
      </w:r>
    </w:p>
    <w:p>
      <w:pPr>
        <w:spacing w:after="0"/>
        <w:sectPr>
          <w:pgSz w:w="11910" w:h="16840"/>
          <w:pgMar w:top="1460" w:bottom="1698" w:left="1680" w:right="1680"/>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30" w:after="0"/>
            <w:ind w:left="960" w:right="0" w:hanging="840"/>
            <w:jc w:val="left"/>
            <w:rPr>
              <w:rFonts w:ascii="Times New Roman" w:eastAsia="Times New Roman"/>
            </w:rPr>
          </w:pPr>
          <w:hyperlink w:history="true" w:anchor="_TOC_250075">
            <w:r>
              <w:rPr/>
              <w:t>合同订立</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4">
            <w:r>
              <w:rPr/>
              <w:t>投保年龄</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3">
            <w:r>
              <w:rPr/>
              <w:t>合同生效</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2">
            <w:r>
              <w:rPr/>
              <w:t>投保日期回溯选择权</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1">
            <w:r>
              <w:rPr/>
              <w:t>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0">
            <w:r>
              <w:rPr/>
              <w:t>保险责任的开始</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9">
            <w:r>
              <w:rPr/>
              <w:t>保险期间</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8">
            <w:r>
              <w:rPr/>
              <w:t>我们承担的保险责任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7">
            <w:r>
              <w:rPr/>
              <w:t>责任免除</w:t>
              <w:tab/>
            </w:r>
            <w:r>
              <w:rPr>
                <w:rFonts w:ascii="Times New Roman" w:eastAsia="Times New Roman"/>
              </w:rPr>
              <w:t>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6">
            <w:r>
              <w:rPr/>
              <w:t>保险费</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5">
            <w:r>
              <w:rPr/>
              <w:t>保险费的交纳方式</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4">
            <w:r>
              <w:rPr/>
              <w:t>保险费率调整</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3">
            <w:r>
              <w:rPr/>
              <w:t>宽限期</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2">
            <w:r>
              <w:rPr/>
              <w:t>保险金的领取</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1">
            <w:r>
              <w:rPr/>
              <w:t>重大疾病保险金受益人</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0">
            <w:r>
              <w:rPr/>
              <w:t>保险事故的通知</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9">
            <w:r>
              <w:rPr/>
              <w:t>重大疾病保险金的申请</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8">
            <w:r>
              <w:rPr/>
              <w:t>保险金的给付</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7">
            <w:r>
              <w:rPr/>
              <w:t>保险金诉讼时效</w:t>
              <w:tab/>
            </w:r>
            <w:r>
              <w:rPr>
                <w:rFonts w:ascii="Times New Roman" w:eastAsia="Times New Roman"/>
              </w:rPr>
              <w:t>6</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6">
            <w:r>
              <w:rPr/>
              <w:t>合同效力的变动</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5">
            <w:r>
              <w:rPr/>
              <w:t>合同效力的中止</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4">
            <w:r>
              <w:rPr/>
              <w:t>合同效力的恢复</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hAnsi="Times New Roman" w:eastAsia="Times New Roman"/>
            </w:rPr>
          </w:pPr>
          <w:hyperlink w:history="true" w:anchor="_TOC_250053">
            <w:r>
              <w:rPr/>
              <w:t>合同的解除——退保</w:t>
              <w:tab/>
            </w:r>
            <w:r>
              <w:rPr>
                <w:rFonts w:ascii="Times New Roman" w:hAns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2">
            <w:r>
              <w:rPr/>
              <w:t>犹豫期</w:t>
              <w:tab/>
            </w:r>
            <w:r>
              <w:rPr>
                <w:rFonts w:asci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1">
            <w:r>
              <w:rPr/>
              <w:t>犹豫期之后申请退保</w:t>
              <w:tab/>
            </w:r>
            <w:r>
              <w:rPr>
                <w:rFonts w:asci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0">
            <w:r>
              <w:rPr/>
              <w:t>退保申请</w:t>
              <w:tab/>
            </w:r>
            <w:r>
              <w:rPr>
                <w:rFonts w:ascii="Times New Roman" w:eastAsia="Times New Roman"/>
              </w:rPr>
              <w:t>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9">
            <w:r>
              <w:rPr/>
              <w:t>合同的终止</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8">
            <w:r>
              <w:rPr/>
              <w:t>被保险人年龄确定错误处理</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7">
            <w:r>
              <w:rPr/>
              <w:t>适用主险条款</w:t>
              <w:tab/>
            </w:r>
            <w:r>
              <w:rPr>
                <w:rFonts w:ascii="Times New Roman" w:eastAsia="Times New Roman"/>
              </w:rPr>
              <w:t>9</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6">
            <w:r>
              <w:rPr/>
              <w:t>释义</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5">
            <w:r>
              <w:rPr/>
              <w:t>周岁</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4">
            <w:r>
              <w:rPr/>
              <w:t>医院</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3">
            <w:r>
              <w:rPr/>
              <w:t>30</w:t>
            </w:r>
            <w:r>
              <w:rPr>
                <w:spacing w:val="-56"/>
              </w:rPr>
              <w:t> </w:t>
            </w:r>
            <w:r>
              <w:rPr/>
              <w:t>种重大疾病</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2">
            <w:r>
              <w:rPr/>
              <w:t>恶性肿瘤</w:t>
              <w:tab/>
            </w:r>
            <w:r>
              <w:rPr>
                <w:rFonts w:ascii="Times New Roman" w:eastAsia="Times New Roman"/>
              </w:rPr>
              <w:t>10</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1">
            <w:r>
              <w:rPr/>
              <w:t>急性心肌梗塞</w:t>
              <w:tab/>
            </w:r>
            <w:r>
              <w:rPr>
                <w:rFonts w:ascii="Times New Roman" w:eastAsia="Times New Roman"/>
              </w:rPr>
              <w:t>10</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0">
            <w:r>
              <w:rPr/>
              <w:t>脑中风后遗症</w:t>
              <w:tab/>
            </w:r>
            <w:r>
              <w:rPr>
                <w:rFonts w:ascii="Times New Roman" w:eastAsia="Times New Roman"/>
              </w:rPr>
              <w:t>10</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9">
            <w:r>
              <w:rPr/>
              <w:t>重大器官移植术或造血干细胞移植术</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8">
            <w:r>
              <w:rPr/>
              <w:t>冠状动脉搭桥术（或称冠状动脉旁路移植术）</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7">
            <w:r>
              <w:rPr/>
              <w:t>终末期肾病（或称慢性肾功能衰竭尿毒症期）</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6">
            <w:r>
              <w:rPr/>
              <w:t>多个肢体缺失</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5">
            <w:r>
              <w:rPr/>
              <w:t>急性或亚急性重症肝炎</w:t>
              <w:tab/>
            </w:r>
            <w:r>
              <w:rPr>
                <w:rFonts w:ascii="Times New Roman" w:eastAsia="Times New Roman"/>
              </w:rPr>
              <w:t>11</w:t>
            </w:r>
          </w:hyperlink>
        </w:p>
        <w:p>
          <w:pPr>
            <w:pStyle w:val="TOC4"/>
            <w:numPr>
              <w:ilvl w:val="2"/>
              <w:numId w:val="2"/>
            </w:numPr>
            <w:tabs>
              <w:tab w:pos="1905" w:val="left" w:leader="none"/>
              <w:tab w:pos="1906" w:val="left" w:leader="none"/>
              <w:tab w:pos="8415" w:val="right" w:leader="dot"/>
            </w:tabs>
            <w:spacing w:line="240" w:lineRule="auto" w:before="21" w:after="20"/>
            <w:ind w:left="1905" w:right="0" w:hanging="945"/>
            <w:jc w:val="left"/>
            <w:rPr>
              <w:rFonts w:ascii="Times New Roman" w:eastAsia="Times New Roman"/>
            </w:rPr>
          </w:pPr>
          <w:hyperlink w:history="true" w:anchor="_TOC_250034">
            <w:r>
              <w:rPr/>
              <w:t>良性脑肿瘤</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35" w:after="0"/>
            <w:ind w:left="2008" w:right="0" w:hanging="1048"/>
            <w:jc w:val="left"/>
            <w:rPr>
              <w:rFonts w:ascii="Times New Roman" w:eastAsia="Times New Roman"/>
            </w:rPr>
          </w:pPr>
          <w:hyperlink w:history="true" w:anchor="_TOC_250033">
            <w:r>
              <w:rPr/>
              <w:t>慢性肝功能衰竭失代偿期</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2">
            <w:r>
              <w:rPr/>
              <w:t>脑炎后遗症或脑膜炎后遗症</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1">
            <w:r>
              <w:rPr/>
              <w:t>深度昏迷</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0">
            <w:r>
              <w:rPr/>
              <w:t>双耳失聪</w:t>
              <w:tab/>
            </w:r>
            <w:r>
              <w:rPr>
                <w:rFonts w:ascii="Times New Roman" w:eastAsia="Times New Roman"/>
              </w:rPr>
              <w:t>13</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9">
            <w:r>
              <w:rPr/>
              <w:t>双目失明</w:t>
              <w:tab/>
            </w:r>
            <w:r>
              <w:rPr>
                <w:rFonts w:ascii="Times New Roman" w:eastAsia="Times New Roman"/>
              </w:rPr>
              <w:t>13</w:t>
            </w:r>
          </w:hyperlink>
        </w:p>
        <w:p>
          <w:pPr>
            <w:pStyle w:val="TOC4"/>
            <w:tabs>
              <w:tab w:pos="2008" w:val="left" w:leader="none"/>
              <w:tab w:pos="8415" w:val="right" w:leader="dot"/>
            </w:tabs>
            <w:ind w:left="960" w:firstLine="0"/>
            <w:rPr>
              <w:rFonts w:ascii="Times New Roman" w:eastAsia="Times New Roman"/>
            </w:rPr>
          </w:pPr>
          <w:hyperlink w:history="true" w:anchor="_TOC_250028">
            <w:r>
              <w:rPr/>
              <w:t>11.3.15.</w:t>
              <w:tab/>
              <w:t>瘫痪</w:t>
              <w:tab/>
            </w:r>
            <w:r>
              <w:rPr>
                <w:rFonts w:ascii="Times New Roman" w:eastAsia="Times New Roman"/>
              </w:rPr>
              <w:t>13</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7">
            <w:r>
              <w:rPr/>
              <w:t>心脏瓣膜手术</w:t>
              <w:tab/>
            </w:r>
            <w:r>
              <w:rPr>
                <w:rFonts w:ascii="Times New Roman" w:eastAsia="Times New Roman"/>
              </w:rPr>
              <w:t>13</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6">
            <w:r>
              <w:rPr/>
              <w:t>严重阿尔茨海默病</w:t>
              <w:tab/>
            </w:r>
            <w:r>
              <w:rPr>
                <w:rFonts w:ascii="Times New Roman" w:eastAsia="Times New Roman"/>
              </w:rPr>
              <w:t>13</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5">
            <w:r>
              <w:rPr/>
              <w:t>严重脑损伤</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4">
            <w:r>
              <w:rPr/>
              <w:t>严重帕金森病</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3">
            <w:r>
              <w:rPr/>
              <w:t>严重</w:t>
            </w:r>
            <w:r>
              <w:rPr>
                <w:spacing w:val="-54"/>
              </w:rPr>
              <w:t> </w:t>
            </w:r>
            <w:r>
              <w:rPr/>
              <w:t>III</w:t>
            </w:r>
            <w:r>
              <w:rPr>
                <w:spacing w:val="-54"/>
              </w:rPr>
              <w:t> </w:t>
            </w:r>
            <w:r>
              <w:rPr/>
              <w:t>度烧伤</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2">
            <w:r>
              <w:rPr/>
              <w:t>严重原发性肺动脉高压</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1">
            <w:r>
              <w:rPr/>
              <w:t>严重运动神经元病</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0">
            <w:r>
              <w:rPr/>
              <w:t>语言能力丧失</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9">
            <w:r>
              <w:rPr/>
              <w:t>重型再生障碍性贫血</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8">
            <w:r>
              <w:rPr/>
              <w:t>主动脉手术</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7">
            <w:r>
              <w:rPr/>
              <w:t>系统性红斑狼疮</w:t>
            </w:r>
            <w:r>
              <w:rPr>
                <w:spacing w:val="-3"/>
              </w:rPr>
              <w:t> </w:t>
            </w:r>
            <w:r>
              <w:rPr/>
              <w:t>－</w:t>
            </w:r>
            <w:r>
              <w:rPr>
                <w:spacing w:val="-5"/>
              </w:rPr>
              <w:t> </w:t>
            </w:r>
            <w:r>
              <w:rPr/>
              <w:t>III</w:t>
            </w:r>
            <w:r>
              <w:rPr>
                <w:spacing w:val="-55"/>
              </w:rPr>
              <w:t> </w:t>
            </w:r>
            <w:r>
              <w:rPr/>
              <w:t>型或以上狼疮性肾炎</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6">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5">
            <w:r>
              <w:rPr/>
              <w:t>严重多发性硬化</w:t>
              <w:tab/>
            </w:r>
            <w:r>
              <w:rPr>
                <w:rFonts w:ascii="Times New Roman" w:eastAsia="Times New Roman"/>
              </w:rPr>
              <w:t>16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4">
            <w:r>
              <w:rPr/>
              <w:t>严重类风湿性关节炎</w:t>
              <w:tab/>
            </w:r>
            <w:r>
              <w:rPr>
                <w:rFonts w:ascii="Times New Roman" w:eastAsia="Times New Roman"/>
              </w:rPr>
              <w:t>16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3">
            <w:r>
              <w:rPr/>
              <w:t>慢性呼吸功能衰竭</w:t>
              <w:tab/>
            </w:r>
            <w:r>
              <w:rPr>
                <w:rFonts w:ascii="Times New Roman" w:eastAsia="Times New Roman"/>
              </w:rPr>
              <w:t>17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2">
            <w:r>
              <w:rPr/>
              <w:t>肢体机能完全丧失</w:t>
              <w:tab/>
            </w:r>
            <w:r>
              <w:rPr>
                <w:rFonts w:ascii="Times New Roman" w:eastAsia="Times New Roman"/>
              </w:rPr>
              <w:t>17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1">
            <w:r>
              <w:rPr/>
              <w:t>语言能力或咀嚼吞咽能力完全丧失</w:t>
              <w:tab/>
            </w:r>
            <w:r>
              <w:rPr>
                <w:rFonts w:ascii="Times New Roman" w:eastAsia="Times New Roman"/>
              </w:rPr>
              <w:t>17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0">
            <w:r>
              <w:rPr/>
              <w:t>六项基本日常生活活动</w:t>
              <w:tab/>
            </w:r>
            <w:r>
              <w:rPr>
                <w:rFonts w:ascii="Times New Roman" w:eastAsia="Times New Roman"/>
              </w:rPr>
              <w:t>17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9">
            <w:r>
              <w:rPr/>
              <w:t>永久不可逆</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8">
            <w:r>
              <w:rPr/>
              <w:t>专科医生</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7">
            <w:r>
              <w:rPr/>
              <w:t>本条款约定确诊日</w:t>
              <w:tab/>
            </w:r>
            <w:r>
              <w:rPr>
                <w:rFonts w:ascii="Times New Roman" w:eastAsia="Times New Roman"/>
              </w:rPr>
              <w:t>18</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6">
            <w:r>
              <w:rPr/>
              <w:t>无合法有效驾驶证驾驶</w:t>
              <w:tab/>
            </w:r>
            <w:r>
              <w:rPr>
                <w:rFonts w:ascii="Times New Roman" w:eastAsia="Times New Roman"/>
              </w:rPr>
              <w:t>18</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5">
            <w:r>
              <w:rPr/>
              <w:t>感染艾滋病病毒或患艾滋病</w:t>
              <w:tab/>
            </w:r>
            <w:r>
              <w:rPr>
                <w:rFonts w:ascii="Times New Roman" w:eastAsia="Times New Roman"/>
              </w:rPr>
              <w:t>18</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4">
            <w:r>
              <w:rPr/>
              <w:t>遗传性疾病</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3">
            <w:r>
              <w:rPr/>
              <w:t>先天性畸形、变形或染色体异常</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2">
            <w:r>
              <w:rPr/>
              <w:t>银行转账交费</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1">
            <w:r>
              <w:rPr/>
              <w:t>本条款约定利率</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0">
            <w:r>
              <w:rPr/>
              <w:t>不可抗力</w:t>
              <w:tab/>
            </w:r>
            <w:r>
              <w:rPr>
                <w:rFonts w:ascii="Times New Roman" w:eastAsia="Times New Roman"/>
              </w:rPr>
              <w:t>19</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spacing w:line="429" w:lineRule="exact" w:before="0"/>
        <w:ind w:left="769"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投保日期回溯选择权" w:id="4"/>
      <w:bookmarkEnd w:id="4"/>
      <w:r>
        <w:rPr/>
      </w:r>
      <w:r>
        <w:rPr>
          <w:rFonts w:ascii="Microsoft JhengHei UI" w:eastAsia="Microsoft JhengHei UI" w:hint="eastAsia"/>
          <w:b/>
          <w:sz w:val="28"/>
        </w:rPr>
        <w:t>中新大东方附加顺鸿终身提前给付重大疾病保险二代条款</w:t>
      </w:r>
    </w:p>
    <w:p>
      <w:pPr>
        <w:pStyle w:val="BodyText"/>
        <w:spacing w:before="206"/>
        <w:ind w:left="1380"/>
      </w:pPr>
      <w:r>
        <w:rPr>
          <w:w w:val="95"/>
        </w:rPr>
        <w:t>（中新大东方[2009]100 号  呈报中国保险监督管理委员会备案）</w:t>
      </w:r>
    </w:p>
    <w:p>
      <w:pPr>
        <w:pStyle w:val="BodyText"/>
        <w:spacing w:before="192"/>
        <w:ind w:left="120"/>
      </w:pPr>
      <w:r>
        <w:rPr>
          <w:spacing w:val="-21"/>
          <w:w w:val="99"/>
        </w:rPr>
        <w:t>在本条款中，“您”指投保人，“我们”、“本公司”均指中新大东方人寿保险有限公司。</w:t>
      </w:r>
    </w:p>
    <w:p>
      <w:pPr>
        <w:pStyle w:val="BodyText"/>
        <w:spacing w:line="408" w:lineRule="auto" w:before="192"/>
        <w:ind w:left="120" w:right="217"/>
      </w:pPr>
      <w:r>
        <w:rPr>
          <w:spacing w:val="-4"/>
        </w:rPr>
        <w:t>“中新大东方附加顺鸿终身提前给付重大疾病保险二代合同” 在以下条款中简称为 “本附</w:t>
      </w:r>
      <w:r>
        <w:rPr>
          <w:spacing w:val="-4"/>
          <w:w w:val="95"/>
        </w:rPr>
        <w:t>加险合同”。</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5" w:id="5"/>
      <w:bookmarkEnd w:id="5"/>
      <w:r>
        <w:rPr>
          <w:w w:val="95"/>
        </w:rPr>
        <w:t>合同订立</w:t>
      </w:r>
    </w:p>
    <w:p>
      <w:pPr>
        <w:pStyle w:val="BodyText"/>
        <w:spacing w:before="8"/>
        <w:rPr>
          <w:rFonts w:ascii="Microsoft JhengHei UI"/>
          <w:b/>
          <w:sz w:val="38"/>
        </w:rPr>
      </w:pPr>
    </w:p>
    <w:p>
      <w:pPr>
        <w:pStyle w:val="BodyText"/>
        <w:spacing w:line="408" w:lineRule="auto"/>
        <w:ind w:left="120" w:right="114"/>
      </w:pPr>
      <w:r>
        <w:rPr>
          <w:spacing w:val="-4"/>
          <w:w w:val="95"/>
        </w:rPr>
        <w:t>本附加险合同由主保险合同</w:t>
      </w:r>
      <w:r>
        <w:rPr>
          <w:w w:val="95"/>
        </w:rPr>
        <w:t>（</w:t>
      </w:r>
      <w:r>
        <w:rPr>
          <w:spacing w:val="-10"/>
          <w:w w:val="95"/>
        </w:rPr>
        <w:t>以下简称“主险合同”</w:t>
      </w:r>
      <w:r>
        <w:rPr>
          <w:spacing w:val="-40"/>
          <w:w w:val="95"/>
        </w:rPr>
        <w:t>）</w:t>
      </w:r>
      <w:r>
        <w:rPr>
          <w:spacing w:val="-5"/>
          <w:w w:val="95"/>
        </w:rPr>
        <w:t>投保人提出申请，经我们同意而订立。   本附加险只可附加于中新大东方顺鸿终身寿险(分红型)。</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4" w:id="6"/>
      <w:bookmarkEnd w:id="6"/>
      <w:r>
        <w:rPr>
          <w:w w:val="95"/>
        </w:rPr>
        <w:t>投保年龄</w:t>
      </w:r>
    </w:p>
    <w:p>
      <w:pPr>
        <w:pStyle w:val="BodyText"/>
        <w:spacing w:before="6"/>
        <w:rPr>
          <w:rFonts w:ascii="Microsoft JhengHei UI"/>
          <w:b/>
          <w:sz w:val="35"/>
        </w:rPr>
      </w:pPr>
    </w:p>
    <w:p>
      <w:pPr>
        <w:pStyle w:val="BodyText"/>
        <w:spacing w:before="1"/>
        <w:ind w:left="120"/>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11</w:t>
      </w:r>
      <w:r>
        <w:rPr>
          <w:spacing w:val="-1"/>
          <w:w w:val="43"/>
        </w:rPr>
        <w:t>.</w:t>
      </w:r>
      <w:r>
        <w:rPr>
          <w:w w:val="93"/>
        </w:rPr>
        <w:t>1</w:t>
      </w:r>
      <w:r>
        <w:rPr>
          <w:spacing w:val="0"/>
          <w:w w:val="58"/>
        </w:rPr>
        <w:t>)</w:t>
      </w:r>
      <w:r>
        <w:rPr>
          <w:w w:val="99"/>
        </w:rPr>
        <w:t>计算。</w:t>
      </w:r>
    </w:p>
    <w:p>
      <w:pPr>
        <w:pStyle w:val="BodyText"/>
        <w:spacing w:before="169"/>
        <w:ind w:left="120"/>
      </w:pPr>
      <w:r>
        <w:rPr>
          <w:w w:val="95"/>
        </w:rPr>
        <w:t>本附加险合同接受的被保险人投保年龄范围为：出生且出院满30天至60周岁。</w:t>
      </w:r>
    </w:p>
    <w:p>
      <w:pPr>
        <w:pStyle w:val="BodyText"/>
        <w:rPr>
          <w:sz w:val="26"/>
        </w:rPr>
      </w:pPr>
    </w:p>
    <w:p>
      <w:pPr>
        <w:pStyle w:val="BodyText"/>
        <w:spacing w:before="1"/>
        <w:rPr>
          <w:sz w:val="20"/>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3" w:id="7"/>
      <w:bookmarkEnd w:id="7"/>
      <w:r>
        <w:rPr>
          <w:w w:val="95"/>
        </w:rPr>
        <w:t>合同生效</w:t>
      </w:r>
    </w:p>
    <w:p>
      <w:pPr>
        <w:pStyle w:val="BodyText"/>
        <w:spacing w:before="10"/>
        <w:rPr>
          <w:rFonts w:ascii="Microsoft JhengHei UI"/>
          <w:b/>
          <w:sz w:val="38"/>
        </w:rPr>
      </w:pPr>
    </w:p>
    <w:p>
      <w:pPr>
        <w:pStyle w:val="BodyText"/>
        <w:spacing w:line="408" w:lineRule="auto"/>
        <w:ind w:left="120" w:right="289"/>
      </w:pPr>
      <w:r>
        <w:rPr>
          <w:w w:val="95"/>
        </w:rPr>
        <w:t>本附加险合同在我们同意承保、已向您收取首期保险费且签发保险单的前提下</w:t>
      </w:r>
      <w:r>
        <w:rPr>
          <w:w w:val="75"/>
        </w:rPr>
        <w:t>,</w:t>
      </w:r>
      <w:r>
        <w:rPr>
          <w:w w:val="95"/>
        </w:rPr>
        <w:t>自投保日次  日零时起开始生效，具体生效日以保险单所载的日期为准。</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2" w:id="8"/>
      <w:bookmarkEnd w:id="8"/>
      <w:r>
        <w:rPr>
          <w:w w:val="95"/>
        </w:rPr>
        <w:t>投保日期回溯选择权</w:t>
      </w:r>
    </w:p>
    <w:p>
      <w:pPr>
        <w:pStyle w:val="BodyText"/>
        <w:spacing w:before="7"/>
        <w:rPr>
          <w:rFonts w:ascii="Microsoft JhengHei UI"/>
          <w:b/>
          <w:sz w:val="38"/>
        </w:rPr>
      </w:pPr>
    </w:p>
    <w:p>
      <w:pPr>
        <w:pStyle w:val="BodyText"/>
        <w:spacing w:line="408" w:lineRule="auto"/>
        <w:ind w:left="120" w:right="114"/>
      </w:pPr>
      <w:r>
        <w:rPr>
          <w:spacing w:val="-5"/>
        </w:rPr>
        <w:t>您可以选择将投保日期回溯到投保前的某一日期，我们将根据此回溯日期对应的年龄计算您</w:t>
      </w:r>
      <w:r>
        <w:rPr>
          <w:spacing w:val="-19"/>
        </w:rPr>
        <w:t>应交纳的保险费。但是，本附加险合同的生效条件和合同生效日期仍遵循以上第 </w:t>
      </w:r>
      <w:r>
        <w:rPr/>
        <w:t>3</w:t>
      </w:r>
      <w:r>
        <w:rPr>
          <w:spacing w:val="-11"/>
        </w:rPr>
        <w:t> 条的规定。</w:t>
      </w:r>
    </w:p>
    <w:p>
      <w:pPr>
        <w:spacing w:after="0" w:line="408" w:lineRule="auto"/>
        <w:sectPr>
          <w:pgSz w:w="11910" w:h="16840"/>
          <w:pgMar w:top="1460" w:bottom="280" w:left="1680" w:right="1580"/>
        </w:sectPr>
      </w:pPr>
    </w:p>
    <w:p>
      <w:pPr>
        <w:pStyle w:val="Heading2"/>
        <w:numPr>
          <w:ilvl w:val="0"/>
          <w:numId w:val="4"/>
        </w:numPr>
        <w:tabs>
          <w:tab w:pos="550" w:val="left" w:leader="none"/>
          <w:tab w:pos="552" w:val="left" w:leader="none"/>
        </w:tabs>
        <w:spacing w:line="352" w:lineRule="exact" w:before="0" w:after="0"/>
        <w:ind w:left="551" w:right="0" w:hanging="431"/>
        <w:jc w:val="left"/>
      </w:pPr>
      <w:bookmarkStart w:name="_TOC_250071" w:id="9"/>
      <w:bookmarkStart w:name="保险责任" w:id="10"/>
      <w:r>
        <w:rPr>
          <w:b w:val="0"/>
        </w:rPr>
      </w:r>
      <w:bookmarkStart w:name="保险责任的开始" w:id="11"/>
      <w:bookmarkEnd w:id="11"/>
      <w:r>
        <w:rPr>
          <w:b w:val="0"/>
        </w:rPr>
      </w:r>
      <w:bookmarkStart w:name="保险期间" w:id="12"/>
      <w:bookmarkEnd w:id="12"/>
      <w:r>
        <w:rPr>
          <w:b w:val="0"/>
        </w:rPr>
      </w:r>
      <w:bookmarkStart w:name="我们承担的保险责任" w:id="13"/>
      <w:bookmarkEnd w:id="13"/>
      <w:r>
        <w:rPr>
          <w:b w:val="0"/>
        </w:rPr>
      </w:r>
      <w:bookmarkStart w:name="责任免除" w:id="14"/>
      <w:bookmarkEnd w:id="14"/>
      <w:r>
        <w:rPr>
          <w:b w:val="0"/>
        </w:rPr>
      </w:r>
      <w:bookmarkStart w:name="责任免除" w:id="15"/>
      <w:bookmarkEnd w:id="9"/>
      <w:r>
        <w:rPr>
          <w:w w:val="95"/>
        </w:rPr>
        <w:t>保险责任</w:t>
      </w:r>
    </w:p>
    <w:p>
      <w:pPr>
        <w:pStyle w:val="BodyText"/>
        <w:spacing w:before="8"/>
        <w:rPr>
          <w:rFonts w:ascii="Microsoft JhengHei UI"/>
          <w:b/>
          <w:sz w:val="37"/>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70" w:id="16"/>
      <w:bookmarkEnd w:id="16"/>
      <w:r>
        <w:rPr>
          <w:w w:val="95"/>
        </w:rPr>
        <w:t>保险责任的开始</w:t>
      </w:r>
    </w:p>
    <w:p>
      <w:pPr>
        <w:pStyle w:val="BodyText"/>
        <w:spacing w:before="2"/>
        <w:rPr>
          <w:rFonts w:ascii="Microsoft JhengHei UI"/>
          <w:b/>
          <w:sz w:val="23"/>
        </w:rPr>
      </w:pPr>
    </w:p>
    <w:p>
      <w:pPr>
        <w:pStyle w:val="BodyText"/>
        <w:spacing w:before="1"/>
        <w:ind w:left="120"/>
      </w:pPr>
      <w:r>
        <w:rPr>
          <w:w w:val="95"/>
        </w:rPr>
        <w:t>我们承担的保险责任自本附加险合同约定的等待期后开始。</w:t>
      </w:r>
    </w:p>
    <w:p>
      <w:pPr>
        <w:pStyle w:val="BodyText"/>
        <w:spacing w:before="11"/>
        <w:rPr>
          <w:sz w:val="28"/>
        </w:rPr>
      </w:pPr>
    </w:p>
    <w:p>
      <w:pPr>
        <w:pStyle w:val="BodyText"/>
        <w:spacing w:line="338" w:lineRule="auto"/>
        <w:ind w:left="120" w:right="104"/>
        <w:jc w:val="both"/>
      </w:pPr>
      <w:r>
        <w:rPr>
          <w:spacing w:val="-9"/>
        </w:rPr>
        <w:t>等待期：从本附加险合同生效日起 </w:t>
      </w:r>
      <w:r>
        <w:rPr/>
        <w:t>90</w:t>
      </w:r>
      <w:r>
        <w:rPr>
          <w:spacing w:val="-13"/>
        </w:rPr>
        <w:t> 天内或最后复效日起 </w:t>
      </w:r>
      <w:r>
        <w:rPr/>
        <w:t>90</w:t>
      </w:r>
      <w:r>
        <w:rPr>
          <w:spacing w:val="-13"/>
        </w:rPr>
        <w:t> 天内，被保险人经</w:t>
      </w:r>
      <w:r>
        <w:rPr>
          <w:rFonts w:ascii="Microsoft JhengHei UI" w:eastAsia="Microsoft JhengHei UI" w:hint="eastAsia"/>
          <w:b/>
          <w:spacing w:val="-48"/>
        </w:rPr>
        <w:t>医</w:t>
      </w:r>
      <w:r>
        <w:rPr>
          <w:spacing w:val="-209"/>
          <w:position w:val="1"/>
        </w:rPr>
        <w:t>院</w:t>
      </w:r>
      <w:r>
        <w:rPr>
          <w:spacing w:val="-168"/>
        </w:rPr>
        <w:t>院院院</w:t>
      </w:r>
      <w:r>
        <w:rPr>
          <w:spacing w:val="-42"/>
        </w:rPr>
        <w:t>（</w:t>
      </w:r>
      <w:r>
        <w:rPr/>
        <w:t>见释</w:t>
      </w:r>
      <w:r>
        <w:rPr>
          <w:w w:val="99"/>
        </w:rPr>
        <w:t>义</w:t>
      </w:r>
      <w:r>
        <w:rPr>
          <w:spacing w:val="-53"/>
        </w:rPr>
        <w:t> </w:t>
      </w:r>
      <w:r>
        <w:rPr>
          <w:w w:val="93"/>
        </w:rPr>
        <w:t>11</w:t>
      </w:r>
      <w:r>
        <w:rPr>
          <w:spacing w:val="-1"/>
          <w:w w:val="43"/>
        </w:rPr>
        <w:t>.</w:t>
      </w:r>
      <w:r>
        <w:rPr>
          <w:spacing w:val="1"/>
          <w:w w:val="93"/>
        </w:rPr>
        <w:t>2</w:t>
      </w:r>
      <w:r>
        <w:rPr>
          <w:spacing w:val="-10"/>
          <w:w w:val="99"/>
        </w:rPr>
        <w:t>）</w:t>
      </w:r>
      <w:r>
        <w:rPr>
          <w:w w:val="99"/>
        </w:rPr>
        <w:t>诊断初次发生本附加险合同所界定的</w:t>
      </w:r>
      <w:r>
        <w:rPr>
          <w:spacing w:val="-70"/>
        </w:rPr>
        <w:t> </w:t>
      </w:r>
      <w:r>
        <w:rPr>
          <w:rFonts w:ascii="Microsoft JhengHei UI" w:eastAsia="Microsoft JhengHei UI" w:hint="eastAsia"/>
          <w:b/>
          <w:spacing w:val="-48"/>
          <w:w w:val="78"/>
        </w:rPr>
        <w:t>3</w:t>
      </w:r>
      <w:r>
        <w:rPr>
          <w:spacing w:val="-156"/>
          <w:w w:val="93"/>
          <w:position w:val="1"/>
        </w:rPr>
        <w:t>0</w:t>
      </w:r>
      <w:r>
        <w:rPr>
          <w:spacing w:val="-152"/>
          <w:w w:val="93"/>
        </w:rPr>
        <w:t>0</w:t>
      </w:r>
      <w:r>
        <w:rPr>
          <w:spacing w:val="-154"/>
          <w:w w:val="93"/>
        </w:rPr>
        <w:t>0</w:t>
      </w:r>
      <w:r>
        <w:rPr>
          <w:spacing w:val="-11"/>
          <w:w w:val="93"/>
        </w:rPr>
        <w:t>0</w:t>
      </w:r>
      <w:r>
        <w:rPr>
          <w:spacing w:val="-267"/>
          <w:w w:val="99"/>
          <w:position w:val="1"/>
        </w:rPr>
        <w:t>种</w:t>
      </w:r>
      <w:r>
        <w:rPr>
          <w:spacing w:val="-264"/>
          <w:w w:val="99"/>
        </w:rPr>
        <w:t>种种</w:t>
      </w:r>
      <w:r>
        <w:rPr>
          <w:spacing w:val="-62"/>
          <w:w w:val="99"/>
        </w:rPr>
        <w:t>种</w:t>
      </w:r>
      <w:r>
        <w:rPr>
          <w:spacing w:val="-267"/>
          <w:w w:val="99"/>
          <w:position w:val="1"/>
        </w:rPr>
        <w:t>重</w:t>
      </w:r>
      <w:r>
        <w:rPr>
          <w:spacing w:val="-264"/>
          <w:w w:val="99"/>
        </w:rPr>
        <w:t>重重</w:t>
      </w:r>
      <w:r>
        <w:rPr>
          <w:spacing w:val="-62"/>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74"/>
          <w:w w:val="99"/>
        </w:rPr>
        <w:t>病</w:t>
      </w:r>
      <w:r>
        <w:rPr>
          <w:spacing w:val="-44"/>
          <w:w w:val="99"/>
        </w:rPr>
        <w:t>（</w:t>
      </w:r>
      <w:r>
        <w:rPr>
          <w:w w:val="99"/>
        </w:rPr>
        <w:t>见释义</w:t>
      </w:r>
      <w:r>
        <w:rPr>
          <w:spacing w:val="-50"/>
        </w:rPr>
        <w:t> </w:t>
      </w:r>
      <w:r>
        <w:rPr>
          <w:w w:val="93"/>
        </w:rPr>
        <w:t>11</w:t>
      </w:r>
      <w:r>
        <w:rPr>
          <w:spacing w:val="-1"/>
          <w:w w:val="43"/>
        </w:rPr>
        <w:t>.</w:t>
      </w:r>
      <w:r>
        <w:rPr>
          <w:spacing w:val="-12"/>
          <w:w w:val="93"/>
        </w:rPr>
        <w:t>3</w:t>
      </w:r>
      <w:r>
        <w:rPr>
          <w:spacing w:val="-56"/>
          <w:w w:val="99"/>
        </w:rPr>
        <w:t>）</w:t>
      </w:r>
      <w:r>
        <w:rPr>
          <w:w w:val="99"/>
        </w:rPr>
        <w:t>中的任何一种</w:t>
      </w:r>
      <w:r>
        <w:rPr>
          <w:w w:val="49"/>
        </w:rPr>
        <w:t>，</w:t>
      </w:r>
      <w:r>
        <w:rPr>
          <w:spacing w:val="1"/>
          <w:w w:val="99"/>
        </w:rPr>
        <w:t>    </w:t>
      </w:r>
      <w:r>
        <w:rPr>
          <w:spacing w:val="-6"/>
        </w:rPr>
        <w:t>我们不承担保险责任，这 </w:t>
      </w:r>
      <w:r>
        <w:rPr/>
        <w:t>90</w:t>
      </w:r>
      <w:r>
        <w:rPr>
          <w:spacing w:val="-10"/>
        </w:rPr>
        <w:t> 天为等待期。</w:t>
      </w:r>
    </w:p>
    <w:p>
      <w:pPr>
        <w:pStyle w:val="BodyText"/>
        <w:spacing w:before="8"/>
        <w:rPr>
          <w:sz w:val="26"/>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9" w:id="17"/>
      <w:bookmarkEnd w:id="17"/>
      <w:r>
        <w:rPr>
          <w:w w:val="95"/>
        </w:rPr>
        <w:t>保险期间</w:t>
      </w:r>
    </w:p>
    <w:p>
      <w:pPr>
        <w:pStyle w:val="BodyText"/>
        <w:spacing w:before="15"/>
        <w:rPr>
          <w:rFonts w:ascii="Microsoft JhengHei UI"/>
          <w:b/>
          <w:sz w:val="27"/>
        </w:rPr>
      </w:pPr>
    </w:p>
    <w:p>
      <w:pPr>
        <w:pStyle w:val="BodyText"/>
        <w:ind w:left="120"/>
      </w:pPr>
      <w:r>
        <w:rPr>
          <w:w w:val="95"/>
        </w:rPr>
        <w:t>本附加险合同的保险期间为被保险人终身。</w:t>
      </w:r>
    </w:p>
    <w:p>
      <w:pPr>
        <w:pStyle w:val="BodyText"/>
        <w:spacing w:before="3"/>
        <w:rPr>
          <w:sz w:val="33"/>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8" w:id="18"/>
      <w:bookmarkEnd w:id="18"/>
      <w:r>
        <w:rPr>
          <w:w w:val="95"/>
        </w:rPr>
        <w:t>我们承担的保险责任</w:t>
      </w:r>
    </w:p>
    <w:p>
      <w:pPr>
        <w:pStyle w:val="BodyText"/>
        <w:spacing w:before="2"/>
        <w:rPr>
          <w:rFonts w:ascii="Microsoft JhengHei UI"/>
          <w:b/>
          <w:sz w:val="20"/>
        </w:rPr>
      </w:pPr>
    </w:p>
    <w:p>
      <w:pPr>
        <w:pStyle w:val="BodyText"/>
        <w:spacing w:line="468" w:lineRule="exact"/>
        <w:ind w:left="120" w:right="110"/>
        <w:jc w:val="both"/>
      </w:pPr>
      <w:r>
        <w:rPr>
          <w:spacing w:val="-5"/>
        </w:rPr>
        <w:t>在等待期后本附加险合同的责任有效期内：被保险人经医院确诊初次发生本附加险合同所界</w:t>
      </w:r>
      <w:r>
        <w:rPr>
          <w:w w:val="99"/>
        </w:rPr>
        <w:t>定的</w:t>
      </w:r>
      <w:r>
        <w:rPr/>
        <w:t> </w:t>
      </w:r>
      <w:r>
        <w:rPr>
          <w:w w:val="93"/>
        </w:rPr>
        <w:t>30</w:t>
      </w:r>
      <w:r>
        <w:rPr/>
        <w:t> </w:t>
      </w:r>
      <w:r>
        <w:rPr>
          <w:w w:val="99"/>
        </w:rPr>
        <w:t>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165"/>
          <w:w w:val="99"/>
        </w:rPr>
        <w:t>约定</w:t>
      </w:r>
      <w:r>
        <w:rPr>
          <w:spacing w:val="-263"/>
          <w:w w:val="99"/>
          <w:position w:val="1"/>
        </w:rPr>
        <w:t>定</w:t>
      </w:r>
      <w:r>
        <w:rPr>
          <w:spacing w:val="-164"/>
          <w:w w:val="99"/>
        </w:rPr>
        <w:t>定定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39"/>
          <w:w w:val="99"/>
        </w:rPr>
        <w:t>日</w:t>
      </w:r>
      <w:r>
        <w:rPr>
          <w:spacing w:val="1"/>
          <w:w w:val="99"/>
        </w:rPr>
        <w:t>（</w:t>
      </w:r>
      <w:r>
        <w:rPr>
          <w:spacing w:val="0"/>
          <w:w w:val="99"/>
        </w:rPr>
        <w:t>见释义</w:t>
      </w:r>
      <w:r>
        <w:rPr>
          <w:spacing w:val="-50"/>
        </w:rPr>
        <w:t> </w:t>
      </w:r>
      <w:r>
        <w:rPr>
          <w:w w:val="93"/>
        </w:rPr>
        <w:t>11</w:t>
      </w:r>
      <w:r>
        <w:rPr>
          <w:spacing w:val="-1"/>
          <w:w w:val="43"/>
        </w:rPr>
        <w:t>.</w:t>
      </w:r>
      <w:r>
        <w:rPr>
          <w:spacing w:val="1"/>
          <w:w w:val="93"/>
        </w:rPr>
        <w:t>9</w:t>
      </w:r>
      <w:r>
        <w:rPr>
          <w:spacing w:val="1"/>
          <w:w w:val="99"/>
        </w:rPr>
        <w:t>）</w:t>
      </w:r>
      <w:r>
        <w:rPr>
          <w:spacing w:val="0"/>
          <w:w w:val="99"/>
        </w:rPr>
        <w:t>起我们将本附加险   所</w:t>
      </w:r>
      <w:r>
        <w:rPr>
          <w:spacing w:val="-3"/>
        </w:rPr>
        <w:t>附主险合同身故保险金作为重大疾病保险金提前一次性给付予被保险人，同时本附加险合同</w:t>
      </w:r>
      <w:r>
        <w:rPr>
          <w:spacing w:val="-3"/>
          <w:w w:val="95"/>
        </w:rPr>
        <w:t>与所附主险合同终止。</w:t>
      </w:r>
    </w:p>
    <w:p>
      <w:pPr>
        <w:pStyle w:val="BodyText"/>
        <w:spacing w:before="7"/>
        <w:rPr>
          <w:sz w:val="28"/>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7" w:id="19"/>
      <w:bookmarkEnd w:id="19"/>
      <w:r>
        <w:rPr>
          <w:w w:val="95"/>
        </w:rPr>
        <w:t>责任免除</w:t>
      </w:r>
    </w:p>
    <w:p>
      <w:pPr>
        <w:pStyle w:val="BodyText"/>
        <w:spacing w:before="14"/>
        <w:rPr>
          <w:rFonts w:ascii="Microsoft JhengHei UI"/>
          <w:b/>
          <w:sz w:val="22"/>
        </w:rPr>
      </w:pPr>
    </w:p>
    <w:p>
      <w:pPr>
        <w:pStyle w:val="BodyText"/>
        <w:spacing w:line="400" w:lineRule="auto"/>
        <w:ind w:left="120" w:right="117"/>
      </w:pPr>
      <w:r>
        <w:rPr>
          <w:spacing w:val="-7"/>
          <w:w w:val="95"/>
        </w:rPr>
        <w:t>因下列情形之一，导致被保险人发生疾病、达到疾病状态或进行手术的，本公司不承担保险   责任，同时本合同终止：</w:t>
      </w:r>
    </w:p>
    <w:p>
      <w:pPr>
        <w:pStyle w:val="Heading2"/>
        <w:numPr>
          <w:ilvl w:val="0"/>
          <w:numId w:val="5"/>
        </w:numPr>
        <w:tabs>
          <w:tab w:pos="546" w:val="left" w:leader="none"/>
          <w:tab w:pos="547" w:val="left" w:leader="none"/>
        </w:tabs>
        <w:spacing w:line="240" w:lineRule="auto" w:before="73" w:after="0"/>
        <w:ind w:left="546" w:right="0" w:hanging="420"/>
        <w:jc w:val="left"/>
      </w:pPr>
      <w:r>
        <w:rPr>
          <w:w w:val="95"/>
        </w:rPr>
        <w:t>投保人对被保险人的故意杀害、故意伤害；</w:t>
      </w:r>
    </w:p>
    <w:p>
      <w:pPr>
        <w:pStyle w:val="ListParagraph"/>
        <w:numPr>
          <w:ilvl w:val="0"/>
          <w:numId w:val="5"/>
        </w:numPr>
        <w:tabs>
          <w:tab w:pos="546" w:val="left" w:leader="none"/>
          <w:tab w:pos="547" w:val="left" w:leader="none"/>
        </w:tabs>
        <w:spacing w:line="240" w:lineRule="auto" w:before="118" w:after="0"/>
        <w:ind w:left="546" w:right="0" w:hanging="420"/>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0"/>
          <w:numId w:val="5"/>
        </w:numPr>
        <w:tabs>
          <w:tab w:pos="546" w:val="left" w:leader="none"/>
          <w:tab w:pos="547" w:val="left" w:leader="none"/>
        </w:tabs>
        <w:spacing w:line="240" w:lineRule="auto" w:before="118" w:after="0"/>
        <w:ind w:left="546" w:right="0" w:hanging="420"/>
        <w:jc w:val="left"/>
        <w:rPr>
          <w:rFonts w:ascii="Microsoft JhengHei UI" w:eastAsia="Microsoft JhengHei UI" w:hint="eastAsia"/>
          <w:b/>
          <w:sz w:val="21"/>
        </w:rPr>
      </w:pPr>
      <w:r>
        <w:rPr>
          <w:rFonts w:ascii="Microsoft JhengHei UI" w:eastAsia="Microsoft JhengHei UI" w:hint="eastAsia"/>
          <w:b/>
          <w:w w:val="95"/>
          <w:sz w:val="21"/>
        </w:rPr>
        <w:t>被保险人服用、吸食或注射毒品；</w:t>
      </w:r>
    </w:p>
    <w:p>
      <w:pPr>
        <w:pStyle w:val="ListParagraph"/>
        <w:numPr>
          <w:ilvl w:val="0"/>
          <w:numId w:val="5"/>
        </w:numPr>
        <w:tabs>
          <w:tab w:pos="546" w:val="left" w:leader="none"/>
          <w:tab w:pos="547" w:val="left" w:leader="none"/>
        </w:tabs>
        <w:spacing w:line="321" w:lineRule="auto" w:before="118" w:after="0"/>
        <w:ind w:left="546" w:right="120" w:hanging="420"/>
        <w:jc w:val="left"/>
        <w:rPr>
          <w:rFonts w:ascii="Microsoft JhengHei UI" w:eastAsia="Microsoft JhengHei UI" w:hint="eastAsia"/>
          <w:b/>
          <w:sz w:val="21"/>
        </w:rPr>
      </w:pPr>
      <w:r>
        <w:rPr>
          <w:rFonts w:ascii="Microsoft JhengHei UI" w:eastAsia="Microsoft JhengHei UI" w:hint="eastAsia"/>
          <w:b/>
          <w:spacing w:val="-11"/>
          <w:w w:val="99"/>
          <w:sz w:val="21"/>
        </w:rPr>
        <w:t>被保险人酒后驾驶、无</w:t>
      </w:r>
      <w:r>
        <w:rPr>
          <w:w w:val="99"/>
          <w:position w:val="1"/>
          <w:sz w:val="21"/>
        </w:rPr>
        <w:t>合</w:t>
      </w:r>
      <w:r>
        <w:rPr>
          <w:spacing w:val="-476"/>
          <w:w w:val="99"/>
          <w:position w:val="1"/>
          <w:sz w:val="21"/>
        </w:rPr>
        <w:t>法</w:t>
      </w:r>
      <w:r>
        <w:rPr>
          <w:w w:val="99"/>
          <w:sz w:val="21"/>
        </w:rPr>
        <w:t>合</w:t>
      </w:r>
      <w:r>
        <w:rPr>
          <w:spacing w:val="-471"/>
          <w:w w:val="99"/>
          <w:sz w:val="21"/>
        </w:rPr>
        <w:t>法</w:t>
      </w:r>
      <w:r>
        <w:rPr>
          <w:w w:val="99"/>
          <w:sz w:val="21"/>
        </w:rPr>
        <w:t>合</w:t>
      </w:r>
      <w:r>
        <w:rPr>
          <w:spacing w:val="-474"/>
          <w:w w:val="99"/>
          <w:sz w:val="21"/>
        </w:rPr>
        <w:t>法</w:t>
      </w:r>
      <w:r>
        <w:rPr>
          <w:spacing w:val="-31"/>
          <w:w w:val="99"/>
          <w:sz w:val="21"/>
        </w:rPr>
        <w:t>合法</w:t>
      </w:r>
      <w:r>
        <w:rPr>
          <w:w w:val="99"/>
          <w:position w:val="1"/>
          <w:sz w:val="21"/>
        </w:rPr>
        <w:t>有</w:t>
      </w:r>
      <w:r>
        <w:rPr>
          <w:spacing w:val="-476"/>
          <w:w w:val="99"/>
          <w:position w:val="1"/>
          <w:sz w:val="21"/>
        </w:rPr>
        <w:t>效</w:t>
      </w:r>
      <w:r>
        <w:rPr>
          <w:w w:val="99"/>
          <w:sz w:val="21"/>
        </w:rPr>
        <w:t>有</w:t>
      </w:r>
      <w:r>
        <w:rPr>
          <w:spacing w:val="-471"/>
          <w:w w:val="99"/>
          <w:sz w:val="21"/>
        </w:rPr>
        <w:t>效</w:t>
      </w:r>
      <w:r>
        <w:rPr>
          <w:w w:val="99"/>
          <w:sz w:val="21"/>
        </w:rPr>
        <w:t>有</w:t>
      </w:r>
      <w:r>
        <w:rPr>
          <w:spacing w:val="-474"/>
          <w:w w:val="99"/>
          <w:sz w:val="21"/>
        </w:rPr>
        <w:t>效</w:t>
      </w:r>
      <w:r>
        <w:rPr>
          <w:spacing w:val="-31"/>
          <w:w w:val="99"/>
          <w:sz w:val="21"/>
        </w:rPr>
        <w:t>有效</w:t>
      </w:r>
      <w:r>
        <w:rPr>
          <w:w w:val="99"/>
          <w:position w:val="1"/>
          <w:sz w:val="21"/>
        </w:rPr>
        <w:t>驾</w:t>
      </w:r>
      <w:r>
        <w:rPr>
          <w:spacing w:val="-476"/>
          <w:w w:val="99"/>
          <w:position w:val="1"/>
          <w:sz w:val="21"/>
        </w:rPr>
        <w:t>驶</w:t>
      </w:r>
      <w:r>
        <w:rPr>
          <w:w w:val="99"/>
          <w:sz w:val="21"/>
        </w:rPr>
        <w:t>驾</w:t>
      </w:r>
      <w:r>
        <w:rPr>
          <w:spacing w:val="-471"/>
          <w:w w:val="99"/>
          <w:sz w:val="21"/>
        </w:rPr>
        <w:t>驶</w:t>
      </w:r>
      <w:r>
        <w:rPr>
          <w:w w:val="99"/>
          <w:sz w:val="21"/>
        </w:rPr>
        <w:t>驾</w:t>
      </w:r>
      <w:r>
        <w:rPr>
          <w:spacing w:val="-474"/>
          <w:w w:val="99"/>
          <w:sz w:val="21"/>
        </w:rPr>
        <w:t>驶</w:t>
      </w:r>
      <w:r>
        <w:rPr>
          <w:spacing w:val="-31"/>
          <w:w w:val="99"/>
          <w:sz w:val="21"/>
        </w:rPr>
        <w:t>驾驶</w:t>
      </w:r>
      <w:r>
        <w:rPr>
          <w:w w:val="99"/>
          <w:position w:val="1"/>
          <w:sz w:val="21"/>
        </w:rPr>
        <w:t>证</w:t>
      </w:r>
      <w:r>
        <w:rPr>
          <w:spacing w:val="-476"/>
          <w:w w:val="99"/>
          <w:position w:val="1"/>
          <w:sz w:val="21"/>
        </w:rPr>
        <w:t>驾</w:t>
      </w:r>
      <w:r>
        <w:rPr>
          <w:w w:val="99"/>
          <w:sz w:val="21"/>
        </w:rPr>
        <w:t>证</w:t>
      </w:r>
      <w:r>
        <w:rPr>
          <w:spacing w:val="-471"/>
          <w:w w:val="99"/>
          <w:sz w:val="21"/>
        </w:rPr>
        <w:t>驾</w:t>
      </w:r>
      <w:r>
        <w:rPr>
          <w:w w:val="99"/>
          <w:sz w:val="21"/>
        </w:rPr>
        <w:t>证</w:t>
      </w:r>
      <w:r>
        <w:rPr>
          <w:spacing w:val="-474"/>
          <w:w w:val="99"/>
          <w:sz w:val="21"/>
        </w:rPr>
        <w:t>驾</w:t>
      </w:r>
      <w:r>
        <w:rPr>
          <w:spacing w:val="-31"/>
          <w:w w:val="99"/>
          <w:sz w:val="21"/>
        </w:rPr>
        <w:t>证驾</w:t>
      </w:r>
      <w:r>
        <w:rPr>
          <w:spacing w:val="-267"/>
          <w:w w:val="99"/>
          <w:position w:val="1"/>
          <w:sz w:val="21"/>
        </w:rPr>
        <w:t>驶</w:t>
      </w:r>
      <w:r>
        <w:rPr>
          <w:spacing w:val="-264"/>
          <w:w w:val="99"/>
          <w:sz w:val="21"/>
        </w:rPr>
        <w:t>驶驶</w:t>
      </w:r>
      <w:r>
        <w:rPr>
          <w:spacing w:val="-41"/>
          <w:w w:val="99"/>
          <w:sz w:val="21"/>
        </w:rPr>
        <w:t>驶</w:t>
      </w:r>
      <w:r>
        <w:rPr>
          <w:spacing w:val="-1"/>
          <w:w w:val="58"/>
          <w:sz w:val="21"/>
        </w:rPr>
        <w:t>(</w:t>
      </w:r>
      <w:r>
        <w:rPr>
          <w:w w:val="99"/>
          <w:sz w:val="21"/>
        </w:rPr>
        <w:t>见释义</w:t>
      </w:r>
      <w:r>
        <w:rPr>
          <w:w w:val="93"/>
          <w:sz w:val="21"/>
        </w:rPr>
        <w:t>11</w:t>
      </w:r>
      <w:r>
        <w:rPr>
          <w:spacing w:val="-1"/>
          <w:w w:val="43"/>
          <w:sz w:val="21"/>
        </w:rPr>
        <w:t>.</w:t>
      </w:r>
      <w:r>
        <w:rPr>
          <w:w w:val="93"/>
          <w:sz w:val="21"/>
        </w:rPr>
        <w:t>10</w:t>
      </w:r>
      <w:r>
        <w:rPr>
          <w:spacing w:val="0"/>
          <w:w w:val="58"/>
          <w:sz w:val="21"/>
        </w:rPr>
        <w:t>)</w:t>
      </w:r>
      <w:r>
        <w:rPr>
          <w:spacing w:val="-209"/>
          <w:w w:val="99"/>
          <w:position w:val="1"/>
          <w:sz w:val="21"/>
        </w:rPr>
        <w:t>，</w:t>
      </w:r>
      <w:r>
        <w:rPr>
          <w:spacing w:val="-206"/>
          <w:w w:val="99"/>
          <w:sz w:val="21"/>
        </w:rPr>
        <w:t>，，</w:t>
      </w:r>
      <w:r>
        <w:rPr>
          <w:spacing w:val="-31"/>
          <w:w w:val="99"/>
          <w:sz w:val="21"/>
        </w:rPr>
        <w:t>，</w:t>
      </w:r>
      <w:r>
        <w:rPr>
          <w:spacing w:val="-209"/>
          <w:w w:val="99"/>
          <w:position w:val="1"/>
          <w:sz w:val="21"/>
        </w:rPr>
        <w:t>及</w:t>
      </w:r>
      <w:r>
        <w:rPr>
          <w:spacing w:val="-206"/>
          <w:w w:val="99"/>
          <w:sz w:val="21"/>
        </w:rPr>
        <w:t>及及</w:t>
      </w:r>
      <w:r>
        <w:rPr>
          <w:spacing w:val="-4"/>
          <w:w w:val="99"/>
          <w:sz w:val="21"/>
        </w:rPr>
        <w:t>及</w:t>
      </w:r>
      <w:r>
        <w:rPr>
          <w:spacing w:val="-18"/>
          <w:w w:val="99"/>
          <w:position w:val="1"/>
          <w:sz w:val="21"/>
        </w:rPr>
        <w:t>驾</w:t>
      </w:r>
      <w:r>
        <w:rPr>
          <w:spacing w:val="-418"/>
          <w:w w:val="99"/>
          <w:position w:val="1"/>
          <w:sz w:val="21"/>
        </w:rPr>
        <w:t>驶</w:t>
      </w:r>
      <w:r>
        <w:rPr>
          <w:spacing w:val="-71"/>
          <w:w w:val="95"/>
          <w:sz w:val="21"/>
        </w:rPr>
        <w:t>驾驶驾驶驾驶</w:t>
      </w:r>
      <w:r>
        <w:rPr>
          <w:spacing w:val="-105"/>
          <w:w w:val="95"/>
          <w:position w:val="1"/>
          <w:sz w:val="21"/>
        </w:rPr>
        <w:t>无有</w:t>
      </w:r>
      <w:r>
        <w:rPr>
          <w:spacing w:val="-71"/>
          <w:w w:val="95"/>
          <w:sz w:val="21"/>
        </w:rPr>
        <w:t>无有无有无有</w:t>
      </w:r>
      <w:r>
        <w:rPr>
          <w:spacing w:val="-105"/>
          <w:w w:val="95"/>
          <w:position w:val="1"/>
          <w:sz w:val="21"/>
        </w:rPr>
        <w:t>效行</w:t>
      </w:r>
      <w:r>
        <w:rPr>
          <w:spacing w:val="-71"/>
          <w:w w:val="95"/>
          <w:sz w:val="21"/>
        </w:rPr>
        <w:t>效行效行效行</w:t>
      </w:r>
      <w:r>
        <w:rPr>
          <w:spacing w:val="-105"/>
          <w:w w:val="95"/>
          <w:position w:val="1"/>
          <w:sz w:val="21"/>
        </w:rPr>
        <w:t>驶证</w:t>
      </w:r>
      <w:r>
        <w:rPr>
          <w:spacing w:val="-71"/>
          <w:w w:val="95"/>
          <w:sz w:val="21"/>
        </w:rPr>
        <w:t>驶证驶证驶证</w:t>
      </w:r>
      <w:r>
        <w:rPr>
          <w:spacing w:val="-105"/>
          <w:w w:val="95"/>
          <w:position w:val="1"/>
          <w:sz w:val="21"/>
        </w:rPr>
        <w:t>的机</w:t>
      </w:r>
      <w:r>
        <w:rPr>
          <w:spacing w:val="-71"/>
          <w:w w:val="95"/>
          <w:sz w:val="21"/>
        </w:rPr>
        <w:t>的机的机的机</w:t>
      </w:r>
      <w:r>
        <w:rPr>
          <w:spacing w:val="-209"/>
          <w:w w:val="95"/>
          <w:position w:val="1"/>
          <w:sz w:val="21"/>
        </w:rPr>
        <w:t>动</w:t>
      </w:r>
      <w:r>
        <w:rPr>
          <w:spacing w:val="-206"/>
          <w:w w:val="95"/>
          <w:sz w:val="21"/>
        </w:rPr>
        <w:t>动动</w:t>
      </w:r>
      <w:r>
        <w:rPr>
          <w:w w:val="95"/>
          <w:sz w:val="21"/>
        </w:rPr>
        <w:t>动</w:t>
      </w:r>
      <w:r>
        <w:rPr>
          <w:rFonts w:ascii="Microsoft JhengHei UI" w:eastAsia="Microsoft JhengHei UI" w:hint="eastAsia"/>
          <w:b/>
          <w:w w:val="95"/>
          <w:sz w:val="21"/>
        </w:rPr>
        <w:t>车；</w:t>
      </w:r>
    </w:p>
    <w:p>
      <w:pPr>
        <w:pStyle w:val="ListParagraph"/>
        <w:numPr>
          <w:ilvl w:val="0"/>
          <w:numId w:val="5"/>
        </w:numPr>
        <w:tabs>
          <w:tab w:pos="546" w:val="left" w:leader="none"/>
          <w:tab w:pos="547" w:val="left" w:leader="none"/>
        </w:tabs>
        <w:spacing w:line="240" w:lineRule="auto" w:before="28" w:after="0"/>
        <w:ind w:left="546" w:right="0" w:hanging="420"/>
        <w:jc w:val="left"/>
        <w:rPr>
          <w:sz w:val="21"/>
        </w:rPr>
      </w:pPr>
      <w:r>
        <w:rPr>
          <w:rFonts w:ascii="Microsoft JhengHei UI" w:eastAsia="Microsoft JhengHei UI" w:hint="eastAsia"/>
          <w:b/>
          <w:spacing w:val="-16"/>
          <w:w w:val="99"/>
          <w:sz w:val="21"/>
        </w:rPr>
        <w:t>被保险人感</w:t>
      </w:r>
      <w:r>
        <w:rPr>
          <w:w w:val="99"/>
          <w:position w:val="1"/>
          <w:sz w:val="21"/>
        </w:rPr>
        <w:t>染</w:t>
      </w:r>
      <w:r>
        <w:rPr>
          <w:spacing w:val="-476"/>
          <w:w w:val="99"/>
          <w:position w:val="1"/>
          <w:sz w:val="21"/>
        </w:rPr>
        <w:t>艾</w:t>
      </w:r>
      <w:r>
        <w:rPr>
          <w:w w:val="99"/>
          <w:sz w:val="21"/>
        </w:rPr>
        <w:t>染</w:t>
      </w:r>
      <w:r>
        <w:rPr>
          <w:spacing w:val="-471"/>
          <w:w w:val="99"/>
          <w:sz w:val="21"/>
        </w:rPr>
        <w:t>艾</w:t>
      </w:r>
      <w:r>
        <w:rPr>
          <w:w w:val="99"/>
          <w:sz w:val="21"/>
        </w:rPr>
        <w:t>染</w:t>
      </w:r>
      <w:r>
        <w:rPr>
          <w:spacing w:val="-474"/>
          <w:w w:val="99"/>
          <w:sz w:val="21"/>
        </w:rPr>
        <w:t>艾</w:t>
      </w:r>
      <w:r>
        <w:rPr>
          <w:spacing w:val="-31"/>
          <w:w w:val="99"/>
          <w:sz w:val="21"/>
        </w:rPr>
        <w:t>染艾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31"/>
          <w:w w:val="99"/>
          <w:sz w:val="21"/>
        </w:rPr>
        <w:t>病毒</w:t>
      </w:r>
      <w:r>
        <w:rPr>
          <w:w w:val="99"/>
          <w:position w:val="1"/>
          <w:sz w:val="21"/>
        </w:rPr>
        <w:t>或</w:t>
      </w:r>
      <w:r>
        <w:rPr>
          <w:spacing w:val="-476"/>
          <w:w w:val="99"/>
          <w:position w:val="1"/>
          <w:sz w:val="21"/>
        </w:rPr>
        <w:t>患</w:t>
      </w:r>
      <w:r>
        <w:rPr>
          <w:w w:val="99"/>
          <w:sz w:val="21"/>
        </w:rPr>
        <w:t>或</w:t>
      </w:r>
      <w:r>
        <w:rPr>
          <w:spacing w:val="-471"/>
          <w:w w:val="99"/>
          <w:sz w:val="21"/>
        </w:rPr>
        <w:t>患</w:t>
      </w:r>
      <w:r>
        <w:rPr>
          <w:w w:val="99"/>
          <w:sz w:val="21"/>
        </w:rPr>
        <w:t>或</w:t>
      </w:r>
      <w:r>
        <w:rPr>
          <w:spacing w:val="-474"/>
          <w:w w:val="99"/>
          <w:sz w:val="21"/>
        </w:rPr>
        <w:t>患</w:t>
      </w:r>
      <w:r>
        <w:rPr>
          <w:spacing w:val="-31"/>
          <w:w w:val="99"/>
          <w:sz w:val="21"/>
        </w:rPr>
        <w:t>或患</w:t>
      </w:r>
      <w:r>
        <w:rPr>
          <w:w w:val="99"/>
          <w:position w:val="1"/>
          <w:sz w:val="21"/>
        </w:rPr>
        <w:t>艾</w:t>
      </w:r>
      <w:r>
        <w:rPr>
          <w:spacing w:val="-476"/>
          <w:w w:val="99"/>
          <w:position w:val="1"/>
          <w:sz w:val="21"/>
        </w:rPr>
        <w:t>滋</w:t>
      </w:r>
      <w:r>
        <w:rPr>
          <w:w w:val="99"/>
          <w:sz w:val="21"/>
        </w:rPr>
        <w:t>艾</w:t>
      </w:r>
      <w:r>
        <w:rPr>
          <w:spacing w:val="-471"/>
          <w:w w:val="99"/>
          <w:sz w:val="21"/>
        </w:rPr>
        <w:t>滋</w:t>
      </w:r>
      <w:r>
        <w:rPr>
          <w:w w:val="99"/>
          <w:sz w:val="21"/>
        </w:rPr>
        <w:t>艾</w:t>
      </w:r>
      <w:r>
        <w:rPr>
          <w:spacing w:val="-474"/>
          <w:w w:val="99"/>
          <w:sz w:val="21"/>
        </w:rPr>
        <w:t>滋</w:t>
      </w:r>
      <w:r>
        <w:rPr>
          <w:spacing w:val="-31"/>
          <w:w w:val="99"/>
          <w:sz w:val="21"/>
        </w:rPr>
        <w:t>艾滋</w:t>
      </w:r>
      <w:r>
        <w:rPr>
          <w:spacing w:val="-267"/>
          <w:w w:val="99"/>
          <w:position w:val="1"/>
          <w:sz w:val="21"/>
        </w:rPr>
        <w:t>病</w:t>
      </w:r>
      <w:r>
        <w:rPr>
          <w:spacing w:val="-264"/>
          <w:w w:val="99"/>
          <w:sz w:val="21"/>
        </w:rPr>
        <w:t>病病</w:t>
      </w:r>
      <w:r>
        <w:rPr>
          <w:spacing w:val="-41"/>
          <w:w w:val="99"/>
          <w:sz w:val="21"/>
        </w:rPr>
        <w:t>病</w:t>
      </w:r>
      <w:r>
        <w:rPr>
          <w:spacing w:val="0"/>
          <w:w w:val="58"/>
          <w:sz w:val="21"/>
        </w:rPr>
        <w:t>(</w:t>
      </w:r>
      <w:r>
        <w:rPr>
          <w:w w:val="99"/>
          <w:sz w:val="21"/>
        </w:rPr>
        <w:t>见释义</w:t>
      </w:r>
      <w:r>
        <w:rPr>
          <w:spacing w:val="1"/>
          <w:w w:val="93"/>
          <w:sz w:val="21"/>
        </w:rPr>
        <w:t>1</w:t>
      </w:r>
      <w:r>
        <w:rPr>
          <w:spacing w:val="-2"/>
          <w:w w:val="93"/>
          <w:sz w:val="21"/>
        </w:rPr>
        <w:t>1</w:t>
      </w:r>
      <w:r>
        <w:rPr>
          <w:spacing w:val="1"/>
          <w:w w:val="43"/>
          <w:sz w:val="21"/>
        </w:rPr>
        <w:t>.</w:t>
      </w:r>
      <w:r>
        <w:rPr>
          <w:w w:val="93"/>
          <w:sz w:val="21"/>
        </w:rPr>
        <w:t>11</w:t>
      </w:r>
      <w:r>
        <w:rPr>
          <w:spacing w:val="-1"/>
          <w:w w:val="58"/>
          <w:sz w:val="21"/>
        </w:rPr>
        <w:t>)</w:t>
      </w:r>
      <w:r>
        <w:rPr>
          <w:spacing w:val="-209"/>
          <w:w w:val="99"/>
          <w:position w:val="1"/>
          <w:sz w:val="21"/>
        </w:rPr>
        <w:t>；</w:t>
      </w:r>
      <w:r>
        <w:rPr>
          <w:spacing w:val="-206"/>
          <w:w w:val="99"/>
          <w:sz w:val="21"/>
        </w:rPr>
        <w:t>；；</w:t>
      </w:r>
      <w:r>
        <w:rPr>
          <w:w w:val="99"/>
          <w:sz w:val="21"/>
        </w:rPr>
        <w:t>；</w:t>
      </w:r>
    </w:p>
    <w:p>
      <w:pPr>
        <w:pStyle w:val="Heading2"/>
        <w:numPr>
          <w:ilvl w:val="0"/>
          <w:numId w:val="5"/>
        </w:numPr>
        <w:tabs>
          <w:tab w:pos="546" w:val="left" w:leader="none"/>
          <w:tab w:pos="547" w:val="left" w:leader="none"/>
        </w:tabs>
        <w:spacing w:line="240" w:lineRule="auto" w:before="119" w:after="0"/>
        <w:ind w:left="546" w:right="0" w:hanging="420"/>
        <w:jc w:val="left"/>
      </w:pPr>
      <w:r>
        <w:rPr>
          <w:w w:val="95"/>
        </w:rPr>
        <w:t>战争、军事冲突、暴乱或武装叛乱；</w:t>
      </w:r>
    </w:p>
    <w:p>
      <w:pPr>
        <w:spacing w:after="0" w:line="240" w:lineRule="auto"/>
        <w:jc w:val="left"/>
        <w:sectPr>
          <w:pgSz w:w="11910" w:h="16840"/>
          <w:pgMar w:top="1560" w:bottom="280" w:left="1680" w:right="1680"/>
        </w:sectPr>
      </w:pPr>
    </w:p>
    <w:p>
      <w:pPr>
        <w:pStyle w:val="ListParagraph"/>
        <w:numPr>
          <w:ilvl w:val="0"/>
          <w:numId w:val="5"/>
        </w:numPr>
        <w:tabs>
          <w:tab w:pos="546" w:val="left" w:leader="none"/>
          <w:tab w:pos="547" w:val="left" w:leader="none"/>
        </w:tabs>
        <w:spacing w:line="240" w:lineRule="auto" w:before="1" w:after="0"/>
        <w:ind w:left="546" w:right="0" w:hanging="420"/>
        <w:jc w:val="left"/>
        <w:rPr>
          <w:rFonts w:ascii="Microsoft JhengHei UI" w:eastAsia="Microsoft JhengHei UI" w:hint="eastAsia"/>
          <w:b/>
          <w:sz w:val="21"/>
        </w:rPr>
      </w:pPr>
      <w:bookmarkStart w:name="保险费" w:id="20"/>
      <w:bookmarkEnd w:id="20"/>
      <w:r>
        <w:rPr/>
      </w:r>
      <w:bookmarkStart w:name="保险费的交纳方式" w:id="21"/>
      <w:bookmarkEnd w:id="21"/>
      <w:r>
        <w:rPr/>
      </w:r>
      <w:bookmarkStart w:name="保险费率调整" w:id="22"/>
      <w:bookmarkEnd w:id="22"/>
      <w:r>
        <w:rPr/>
      </w:r>
      <w:bookmarkStart w:name="宽限期" w:id="23"/>
      <w:bookmarkEnd w:id="23"/>
      <w:r>
        <w:rPr/>
      </w:r>
      <w:bookmarkStart w:name="宽限期" w:id="24"/>
      <w:bookmarkEnd w:id="24"/>
      <w:r>
        <w:rPr>
          <w:rFonts w:ascii="Microsoft JhengHei UI" w:eastAsia="Microsoft JhengHei UI" w:hint="eastAsia"/>
          <w:b/>
          <w:w w:val="95"/>
          <w:sz w:val="21"/>
        </w:rPr>
        <w:t>核爆炸、核辐射或核污染；</w:t>
      </w:r>
    </w:p>
    <w:p>
      <w:pPr>
        <w:pStyle w:val="BodyText"/>
        <w:spacing w:before="2"/>
        <w:rPr>
          <w:rFonts w:ascii="Microsoft JhengHei UI"/>
          <w:b/>
          <w:sz w:val="6"/>
        </w:rPr>
      </w:pPr>
    </w:p>
    <w:p>
      <w:pPr>
        <w:pStyle w:val="ListParagraph"/>
        <w:numPr>
          <w:ilvl w:val="0"/>
          <w:numId w:val="5"/>
        </w:numPr>
        <w:tabs>
          <w:tab w:pos="518" w:val="left" w:leader="none"/>
          <w:tab w:pos="519" w:val="left" w:leader="none"/>
        </w:tabs>
        <w:spacing w:line="240" w:lineRule="auto" w:before="16" w:after="0"/>
        <w:ind w:left="518" w:right="0" w:hanging="392"/>
        <w:jc w:val="left"/>
        <w:rPr>
          <w:sz w:val="21"/>
        </w:rPr>
      </w:pPr>
      <w:r>
        <w:rPr>
          <w:rFonts w:ascii="Microsoft JhengHei UI" w:eastAsia="Microsoft JhengHei UI" w:hint="eastAsia"/>
          <w:b/>
          <w:spacing w:val="-48"/>
          <w:w w:val="99"/>
          <w:sz w:val="21"/>
        </w:rPr>
        <w:t>遗</w:t>
      </w:r>
      <w:r>
        <w:rPr>
          <w:w w:val="99"/>
          <w:position w:val="1"/>
          <w:sz w:val="21"/>
        </w:rPr>
        <w:t>传</w:t>
      </w:r>
      <w:r>
        <w:rPr>
          <w:spacing w:val="-476"/>
          <w:w w:val="99"/>
          <w:position w:val="1"/>
          <w:sz w:val="21"/>
        </w:rPr>
        <w:t>性</w:t>
      </w:r>
      <w:r>
        <w:rPr>
          <w:w w:val="99"/>
          <w:sz w:val="21"/>
        </w:rPr>
        <w:t>传</w:t>
      </w:r>
      <w:r>
        <w:rPr>
          <w:spacing w:val="-471"/>
          <w:w w:val="99"/>
          <w:sz w:val="21"/>
        </w:rPr>
        <w:t>性</w:t>
      </w:r>
      <w:r>
        <w:rPr>
          <w:w w:val="99"/>
          <w:sz w:val="21"/>
        </w:rPr>
        <w:t>传</w:t>
      </w:r>
      <w:r>
        <w:rPr>
          <w:spacing w:val="-474"/>
          <w:w w:val="99"/>
          <w:sz w:val="21"/>
        </w:rPr>
        <w:t>性</w:t>
      </w:r>
      <w:r>
        <w:rPr>
          <w:spacing w:val="-31"/>
          <w:w w:val="99"/>
          <w:sz w:val="21"/>
        </w:rPr>
        <w:t>传性</w:t>
      </w:r>
      <w:r>
        <w:rPr>
          <w:w w:val="99"/>
          <w:position w:val="1"/>
          <w:sz w:val="21"/>
        </w:rPr>
        <w:t>疾</w:t>
      </w:r>
      <w:r>
        <w:rPr>
          <w:spacing w:val="-476"/>
          <w:w w:val="99"/>
          <w:position w:val="1"/>
          <w:sz w:val="21"/>
        </w:rPr>
        <w:t>病</w:t>
      </w:r>
      <w:r>
        <w:rPr>
          <w:w w:val="99"/>
          <w:sz w:val="21"/>
        </w:rPr>
        <w:t>疾</w:t>
      </w:r>
      <w:r>
        <w:rPr>
          <w:spacing w:val="-471"/>
          <w:w w:val="99"/>
          <w:sz w:val="21"/>
        </w:rPr>
        <w:t>病</w:t>
      </w:r>
      <w:r>
        <w:rPr>
          <w:w w:val="99"/>
          <w:sz w:val="21"/>
        </w:rPr>
        <w:t>疾</w:t>
      </w:r>
      <w:r>
        <w:rPr>
          <w:spacing w:val="-474"/>
          <w:w w:val="99"/>
          <w:sz w:val="21"/>
        </w:rPr>
        <w:t>病</w:t>
      </w:r>
      <w:r>
        <w:rPr>
          <w:spacing w:val="-23"/>
          <w:w w:val="99"/>
          <w:sz w:val="21"/>
        </w:rPr>
        <w:t>疾病</w:t>
      </w:r>
      <w:r>
        <w:rPr>
          <w:spacing w:val="0"/>
          <w:w w:val="58"/>
          <w:sz w:val="21"/>
        </w:rPr>
        <w:t>(</w:t>
      </w:r>
      <w:r>
        <w:rPr>
          <w:w w:val="99"/>
          <w:sz w:val="21"/>
        </w:rPr>
        <w:t>见释义</w:t>
      </w:r>
      <w:r>
        <w:rPr>
          <w:w w:val="93"/>
          <w:sz w:val="21"/>
        </w:rPr>
        <w:t>11</w:t>
      </w:r>
      <w:r>
        <w:rPr>
          <w:spacing w:val="-1"/>
          <w:w w:val="43"/>
          <w:sz w:val="21"/>
        </w:rPr>
        <w:t>.</w:t>
      </w:r>
      <w:r>
        <w:rPr>
          <w:w w:val="93"/>
          <w:sz w:val="21"/>
        </w:rPr>
        <w:t>12</w:t>
      </w:r>
      <w:r>
        <w:rPr>
          <w:spacing w:val="0"/>
          <w:w w:val="58"/>
          <w:sz w:val="21"/>
        </w:rPr>
        <w:t>)</w:t>
      </w:r>
      <w:r>
        <w:rPr>
          <w:spacing w:val="-14"/>
          <w:w w:val="99"/>
          <w:sz w:val="21"/>
        </w:rPr>
        <w:t>、</w:t>
      </w:r>
      <w:r>
        <w:rPr>
          <w:spacing w:val="-267"/>
          <w:w w:val="99"/>
          <w:position w:val="1"/>
          <w:sz w:val="21"/>
        </w:rPr>
        <w:t>先</w:t>
      </w:r>
      <w:r>
        <w:rPr>
          <w:spacing w:val="-264"/>
          <w:w w:val="99"/>
          <w:sz w:val="21"/>
        </w:rPr>
        <w:t>先先</w:t>
      </w:r>
      <w:r>
        <w:rPr>
          <w:spacing w:val="-62"/>
          <w:w w:val="99"/>
          <w:sz w:val="21"/>
        </w:rPr>
        <w:t>先</w:t>
      </w:r>
      <w:r>
        <w:rPr>
          <w:w w:val="99"/>
          <w:position w:val="1"/>
          <w:sz w:val="21"/>
        </w:rPr>
        <w:t>天</w:t>
      </w:r>
      <w:r>
        <w:rPr>
          <w:spacing w:val="-476"/>
          <w:w w:val="99"/>
          <w:position w:val="1"/>
          <w:sz w:val="21"/>
        </w:rPr>
        <w:t>性</w:t>
      </w:r>
      <w:r>
        <w:rPr>
          <w:w w:val="99"/>
          <w:sz w:val="21"/>
        </w:rPr>
        <w:t>天</w:t>
      </w:r>
      <w:r>
        <w:rPr>
          <w:spacing w:val="-471"/>
          <w:w w:val="99"/>
          <w:sz w:val="21"/>
        </w:rPr>
        <w:t>性</w:t>
      </w:r>
      <w:r>
        <w:rPr>
          <w:w w:val="99"/>
          <w:sz w:val="21"/>
        </w:rPr>
        <w:t>天</w:t>
      </w:r>
      <w:r>
        <w:rPr>
          <w:spacing w:val="-474"/>
          <w:w w:val="99"/>
          <w:sz w:val="21"/>
        </w:rPr>
        <w:t>性</w:t>
      </w:r>
      <w:r>
        <w:rPr>
          <w:spacing w:val="-31"/>
          <w:w w:val="99"/>
          <w:sz w:val="21"/>
        </w:rPr>
        <w:t>天性</w:t>
      </w:r>
      <w:r>
        <w:rPr>
          <w:w w:val="99"/>
          <w:position w:val="1"/>
          <w:sz w:val="21"/>
        </w:rPr>
        <w:t>畸</w:t>
      </w:r>
      <w:r>
        <w:rPr>
          <w:spacing w:val="-476"/>
          <w:w w:val="99"/>
          <w:position w:val="1"/>
          <w:sz w:val="21"/>
        </w:rPr>
        <w:t>形</w:t>
      </w:r>
      <w:r>
        <w:rPr>
          <w:w w:val="99"/>
          <w:sz w:val="21"/>
        </w:rPr>
        <w:t>畸</w:t>
      </w:r>
      <w:r>
        <w:rPr>
          <w:spacing w:val="-471"/>
          <w:w w:val="99"/>
          <w:sz w:val="21"/>
        </w:rPr>
        <w:t>形</w:t>
      </w:r>
      <w:r>
        <w:rPr>
          <w:w w:val="99"/>
          <w:sz w:val="21"/>
        </w:rPr>
        <w:t>畸</w:t>
      </w:r>
      <w:r>
        <w:rPr>
          <w:spacing w:val="-474"/>
          <w:w w:val="99"/>
          <w:sz w:val="21"/>
        </w:rPr>
        <w:t>形</w:t>
      </w:r>
      <w:r>
        <w:rPr>
          <w:spacing w:val="-31"/>
          <w:w w:val="99"/>
          <w:sz w:val="21"/>
        </w:rPr>
        <w:t>畸形</w:t>
      </w:r>
      <w:r>
        <w:rPr>
          <w:w w:val="99"/>
          <w:position w:val="1"/>
          <w:sz w:val="21"/>
        </w:rPr>
        <w:t>、</w:t>
      </w:r>
      <w:r>
        <w:rPr>
          <w:spacing w:val="-476"/>
          <w:w w:val="99"/>
          <w:position w:val="1"/>
          <w:sz w:val="21"/>
        </w:rPr>
        <w:t>变</w:t>
      </w:r>
      <w:r>
        <w:rPr>
          <w:w w:val="99"/>
          <w:sz w:val="21"/>
        </w:rPr>
        <w:t>、</w:t>
      </w:r>
      <w:r>
        <w:rPr>
          <w:spacing w:val="-471"/>
          <w:w w:val="99"/>
          <w:sz w:val="21"/>
        </w:rPr>
        <w:t>变</w:t>
      </w:r>
      <w:r>
        <w:rPr>
          <w:w w:val="99"/>
          <w:sz w:val="21"/>
        </w:rPr>
        <w:t>、</w:t>
      </w:r>
      <w:r>
        <w:rPr>
          <w:spacing w:val="-474"/>
          <w:w w:val="99"/>
          <w:sz w:val="21"/>
        </w:rPr>
        <w:t>变</w:t>
      </w:r>
      <w:r>
        <w:rPr>
          <w:spacing w:val="-31"/>
          <w:w w:val="99"/>
          <w:sz w:val="21"/>
        </w:rPr>
        <w:t>、变</w:t>
      </w:r>
      <w:r>
        <w:rPr>
          <w:w w:val="99"/>
          <w:position w:val="1"/>
          <w:sz w:val="21"/>
        </w:rPr>
        <w:t>形</w:t>
      </w:r>
      <w:r>
        <w:rPr>
          <w:spacing w:val="-476"/>
          <w:w w:val="99"/>
          <w:position w:val="1"/>
          <w:sz w:val="21"/>
        </w:rPr>
        <w:t>或</w:t>
      </w:r>
      <w:r>
        <w:rPr>
          <w:w w:val="99"/>
          <w:sz w:val="21"/>
        </w:rPr>
        <w:t>形</w:t>
      </w:r>
      <w:r>
        <w:rPr>
          <w:spacing w:val="-471"/>
          <w:w w:val="99"/>
          <w:sz w:val="21"/>
        </w:rPr>
        <w:t>或</w:t>
      </w:r>
      <w:r>
        <w:rPr>
          <w:w w:val="99"/>
          <w:sz w:val="21"/>
        </w:rPr>
        <w:t>形</w:t>
      </w:r>
      <w:r>
        <w:rPr>
          <w:spacing w:val="-474"/>
          <w:w w:val="99"/>
          <w:sz w:val="21"/>
        </w:rPr>
        <w:t>或</w:t>
      </w:r>
      <w:r>
        <w:rPr>
          <w:spacing w:val="-31"/>
          <w:w w:val="99"/>
          <w:sz w:val="21"/>
        </w:rPr>
        <w:t>形或</w:t>
      </w:r>
      <w:r>
        <w:rPr>
          <w:w w:val="99"/>
          <w:position w:val="1"/>
          <w:sz w:val="21"/>
        </w:rPr>
        <w:t>染</w:t>
      </w:r>
      <w:r>
        <w:rPr>
          <w:spacing w:val="-476"/>
          <w:w w:val="99"/>
          <w:position w:val="1"/>
          <w:sz w:val="21"/>
        </w:rPr>
        <w:t>色</w:t>
      </w:r>
      <w:r>
        <w:rPr>
          <w:w w:val="99"/>
          <w:sz w:val="21"/>
        </w:rPr>
        <w:t>染</w:t>
      </w:r>
      <w:r>
        <w:rPr>
          <w:spacing w:val="-471"/>
          <w:w w:val="99"/>
          <w:sz w:val="21"/>
        </w:rPr>
        <w:t>色</w:t>
      </w:r>
      <w:r>
        <w:rPr>
          <w:spacing w:val="-148"/>
          <w:w w:val="99"/>
          <w:sz w:val="21"/>
        </w:rPr>
        <w:t>染</w:t>
      </w:r>
      <w:r>
        <w:rPr>
          <w:spacing w:val="-474"/>
          <w:w w:val="99"/>
          <w:sz w:val="21"/>
        </w:rPr>
        <w:t>色</w:t>
      </w:r>
      <w:r>
        <w:rPr>
          <w:spacing w:val="-31"/>
          <w:w w:val="99"/>
          <w:sz w:val="21"/>
        </w:rPr>
        <w:t>染色</w:t>
      </w:r>
      <w:r>
        <w:rPr>
          <w:w w:val="99"/>
          <w:position w:val="1"/>
          <w:sz w:val="21"/>
        </w:rPr>
        <w:t>体</w:t>
      </w:r>
      <w:r>
        <w:rPr>
          <w:spacing w:val="-476"/>
          <w:w w:val="99"/>
          <w:position w:val="1"/>
          <w:sz w:val="21"/>
        </w:rPr>
        <w:t>异</w:t>
      </w:r>
      <w:r>
        <w:rPr>
          <w:w w:val="99"/>
          <w:sz w:val="21"/>
        </w:rPr>
        <w:t>体</w:t>
      </w:r>
      <w:r>
        <w:rPr>
          <w:spacing w:val="-471"/>
          <w:w w:val="99"/>
          <w:sz w:val="21"/>
        </w:rPr>
        <w:t>异</w:t>
      </w:r>
      <w:r>
        <w:rPr>
          <w:w w:val="99"/>
          <w:sz w:val="21"/>
        </w:rPr>
        <w:t>体</w:t>
      </w:r>
      <w:r>
        <w:rPr>
          <w:spacing w:val="-474"/>
          <w:w w:val="99"/>
          <w:sz w:val="21"/>
        </w:rPr>
        <w:t>异</w:t>
      </w:r>
      <w:r>
        <w:rPr>
          <w:spacing w:val="-31"/>
          <w:w w:val="99"/>
          <w:sz w:val="21"/>
        </w:rPr>
        <w:t>体异</w:t>
      </w:r>
      <w:r>
        <w:rPr>
          <w:spacing w:val="-267"/>
          <w:w w:val="99"/>
          <w:position w:val="1"/>
          <w:sz w:val="21"/>
        </w:rPr>
        <w:t>常</w:t>
      </w:r>
      <w:r>
        <w:rPr>
          <w:spacing w:val="-264"/>
          <w:w w:val="99"/>
          <w:sz w:val="21"/>
        </w:rPr>
        <w:t>常常</w:t>
      </w:r>
      <w:r>
        <w:rPr>
          <w:spacing w:val="-39"/>
          <w:w w:val="99"/>
          <w:sz w:val="21"/>
        </w:rPr>
        <w:t>常</w:t>
      </w:r>
      <w:r>
        <w:rPr>
          <w:spacing w:val="0"/>
          <w:w w:val="58"/>
          <w:sz w:val="21"/>
        </w:rPr>
        <w:t>(</w:t>
      </w:r>
      <w:r>
        <w:rPr>
          <w:w w:val="99"/>
          <w:sz w:val="21"/>
        </w:rPr>
        <w:t>见释义</w:t>
      </w:r>
      <w:r>
        <w:rPr>
          <w:w w:val="93"/>
          <w:sz w:val="21"/>
        </w:rPr>
        <w:t>11</w:t>
      </w:r>
      <w:r>
        <w:rPr>
          <w:spacing w:val="-1"/>
          <w:w w:val="43"/>
          <w:sz w:val="21"/>
        </w:rPr>
        <w:t>.</w:t>
      </w:r>
      <w:r>
        <w:rPr>
          <w:w w:val="93"/>
          <w:sz w:val="21"/>
        </w:rPr>
        <w:t>1</w:t>
      </w:r>
      <w:r>
        <w:rPr>
          <w:spacing w:val="1"/>
          <w:w w:val="93"/>
          <w:sz w:val="21"/>
        </w:rPr>
        <w:t>3</w:t>
      </w:r>
      <w:r>
        <w:rPr>
          <w:spacing w:val="-1"/>
          <w:w w:val="58"/>
          <w:sz w:val="21"/>
        </w:rPr>
        <w:t>)</w:t>
      </w:r>
      <w:r>
        <w:rPr>
          <w:w w:val="99"/>
          <w:sz w:val="21"/>
        </w:rPr>
        <w:t>。</w:t>
      </w:r>
    </w:p>
    <w:p>
      <w:pPr>
        <w:pStyle w:val="BodyText"/>
        <w:spacing w:before="11"/>
        <w:rPr>
          <w:sz w:val="25"/>
        </w:rPr>
      </w:pPr>
    </w:p>
    <w:p>
      <w:pPr>
        <w:pStyle w:val="BodyText"/>
        <w:spacing w:line="400" w:lineRule="auto" w:before="61"/>
        <w:ind w:left="120" w:right="177"/>
      </w:pPr>
      <w:r>
        <w:rPr>
          <w:spacing w:val="-4"/>
          <w:w w:val="95"/>
        </w:rPr>
        <w:t>如果因上述情形导致被保险人发生本附加险合同所指的重大疾病，本附加险合同终止，我们   向您退还本附加险合同当时对应的现金价值扣除欠交保费及利息后的余额（如果有</w:t>
      </w:r>
      <w:r>
        <w:rPr>
          <w:spacing w:val="-104"/>
          <w:w w:val="95"/>
        </w:rPr>
        <w:t>）</w:t>
      </w:r>
      <w:r>
        <w:rPr>
          <w:w w:val="95"/>
        </w:rPr>
        <w:t>。</w:t>
      </w:r>
    </w:p>
    <w:p>
      <w:pPr>
        <w:pStyle w:val="BodyText"/>
        <w:rPr>
          <w:sz w:val="26"/>
        </w:rPr>
      </w:pPr>
    </w:p>
    <w:p>
      <w:pPr>
        <w:pStyle w:val="Heading2"/>
        <w:numPr>
          <w:ilvl w:val="0"/>
          <w:numId w:val="6"/>
        </w:numPr>
        <w:tabs>
          <w:tab w:pos="550" w:val="left" w:leader="none"/>
          <w:tab w:pos="552" w:val="left" w:leader="none"/>
        </w:tabs>
        <w:spacing w:line="240" w:lineRule="auto" w:before="195" w:after="0"/>
        <w:ind w:left="551" w:right="0" w:hanging="431"/>
        <w:jc w:val="left"/>
      </w:pPr>
      <w:bookmarkStart w:name="_TOC_250066" w:id="25"/>
      <w:bookmarkEnd w:id="25"/>
      <w:r>
        <w:rPr>
          <w:w w:val="95"/>
        </w:rPr>
        <w:t>保险费</w:t>
      </w:r>
    </w:p>
    <w:p>
      <w:pPr>
        <w:pStyle w:val="BodyText"/>
        <w:spacing w:before="8"/>
        <w:rPr>
          <w:rFonts w:ascii="Microsoft JhengHei UI"/>
          <w:b/>
          <w:sz w:val="3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5" w:id="26"/>
      <w:bookmarkEnd w:id="26"/>
      <w:r>
        <w:rPr>
          <w:w w:val="95"/>
        </w:rPr>
        <w:t>保险费的交纳方式</w:t>
      </w:r>
    </w:p>
    <w:p>
      <w:pPr>
        <w:pStyle w:val="BodyText"/>
        <w:spacing w:before="15"/>
        <w:rPr>
          <w:rFonts w:ascii="Microsoft JhengHei UI"/>
          <w:b/>
          <w:sz w:val="27"/>
        </w:rPr>
      </w:pPr>
    </w:p>
    <w:p>
      <w:pPr>
        <w:pStyle w:val="BodyText"/>
        <w:spacing w:line="408" w:lineRule="auto"/>
        <w:ind w:left="120" w:right="177"/>
        <w:jc w:val="both"/>
      </w:pPr>
      <w:r>
        <w:rPr>
          <w:spacing w:val="-3"/>
          <w:w w:val="95"/>
        </w:rPr>
        <w:t>您应当按照本附加险合同约定一次性交纳全部保险费或分期交纳保险费。如果您选择分期交   </w:t>
      </w:r>
      <w:r>
        <w:rPr>
          <w:spacing w:val="-10"/>
        </w:rPr>
        <w:t>纳保险费，在交纳首期保险费后，您应当按照约定的交费日期交纳续期保险费，在此期间我</w:t>
      </w:r>
      <w:r>
        <w:rPr>
          <w:spacing w:val="-10"/>
          <w:w w:val="95"/>
        </w:rPr>
        <w:t>们也将通过业务员、信函等方式提醒您交纳保险费。</w:t>
      </w:r>
    </w:p>
    <w:p>
      <w:pPr>
        <w:pStyle w:val="BodyText"/>
        <w:spacing w:line="357" w:lineRule="auto"/>
        <w:ind w:left="120" w:right="179"/>
      </w:pPr>
      <w:r>
        <w:rPr>
          <w:spacing w:val="-3"/>
          <w:w w:val="99"/>
        </w:rPr>
        <w:t>保险费的交纳方式为</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48"/>
          <w:w w:val="99"/>
        </w:rPr>
        <w:t>费</w:t>
      </w:r>
      <w:r>
        <w:rPr>
          <w:w w:val="99"/>
        </w:rPr>
        <w:t>（见释义</w:t>
      </w:r>
      <w:r>
        <w:rPr>
          <w:w w:val="93"/>
        </w:rPr>
        <w:t>11</w:t>
      </w:r>
      <w:r>
        <w:rPr>
          <w:spacing w:val="-1"/>
          <w:w w:val="43"/>
        </w:rPr>
        <w:t>.</w:t>
      </w:r>
      <w:r>
        <w:rPr>
          <w:w w:val="93"/>
        </w:rPr>
        <w:t>14</w:t>
      </w:r>
      <w:r>
        <w:rPr>
          <w:spacing w:val="-104"/>
          <w:w w:val="99"/>
        </w:rPr>
        <w:t>）</w:t>
      </w:r>
      <w:r>
        <w:rPr>
          <w:spacing w:val="-2"/>
          <w:w w:val="99"/>
        </w:rPr>
        <w:t>。在此交费方式下，请您确保</w:t>
      </w:r>
      <w:r>
        <w:rPr>
          <w:spacing w:val="-159"/>
          <w:w w:val="99"/>
        </w:rPr>
        <w:t>账</w:t>
      </w:r>
      <w:r>
        <w:rPr>
          <w:w w:val="95"/>
        </w:rPr>
        <w:t>号准确以及交费期间内账户余额充足。</w:t>
      </w:r>
    </w:p>
    <w:p>
      <w:pPr>
        <w:pStyle w:val="BodyText"/>
        <w:spacing w:before="2"/>
        <w:rPr>
          <w:sz w:val="26"/>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4" w:id="27"/>
      <w:bookmarkEnd w:id="27"/>
      <w:r>
        <w:rPr>
          <w:w w:val="95"/>
        </w:rPr>
        <w:t>保险费率调整</w:t>
      </w:r>
    </w:p>
    <w:p>
      <w:pPr>
        <w:pStyle w:val="BodyText"/>
        <w:spacing w:before="15"/>
        <w:rPr>
          <w:rFonts w:ascii="Microsoft JhengHei UI"/>
          <w:b/>
          <w:sz w:val="27"/>
        </w:rPr>
      </w:pPr>
    </w:p>
    <w:p>
      <w:pPr>
        <w:pStyle w:val="BodyText"/>
        <w:spacing w:line="408" w:lineRule="auto"/>
        <w:ind w:left="120" w:right="177"/>
        <w:jc w:val="both"/>
      </w:pPr>
      <w:r>
        <w:rPr>
          <w:spacing w:val="-4"/>
          <w:w w:val="95"/>
        </w:rPr>
        <w:t>我们保留于每个保单周年日审核调整本附加险保险费率的权利。调整保险费率是对所有被保   </w:t>
      </w:r>
      <w:r>
        <w:rPr>
          <w:spacing w:val="-8"/>
          <w:w w:val="95"/>
        </w:rPr>
        <w:t>险人或同一投保年龄的所有被保险人适用的保险费率进行调整。我们调整保险费率后，您应   交纳的续期保险费将按调整后的保险费率计算。</w:t>
      </w:r>
    </w:p>
    <w:p>
      <w:pPr>
        <w:pStyle w:val="BodyText"/>
        <w:rPr>
          <w:sz w:val="22"/>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3" w:id="28"/>
      <w:bookmarkEnd w:id="28"/>
      <w:r>
        <w:rPr>
          <w:w w:val="95"/>
        </w:rPr>
        <w:t>宽限期</w:t>
      </w:r>
    </w:p>
    <w:p>
      <w:pPr>
        <w:pStyle w:val="BodyText"/>
        <w:spacing w:before="15"/>
        <w:rPr>
          <w:rFonts w:ascii="Microsoft JhengHei UI"/>
          <w:b/>
          <w:sz w:val="27"/>
        </w:rPr>
      </w:pPr>
    </w:p>
    <w:p>
      <w:pPr>
        <w:pStyle w:val="BodyText"/>
        <w:spacing w:line="408" w:lineRule="auto"/>
        <w:ind w:left="120" w:right="124"/>
        <w:jc w:val="both"/>
      </w:pPr>
      <w:r>
        <w:rPr>
          <w:spacing w:val="-3"/>
        </w:rPr>
        <w:t>在分期交纳保险费的方式下，如果您到期未交纳续期保险费，自保单约定的交费日期的次日</w:t>
      </w:r>
      <w:r>
        <w:rPr>
          <w:spacing w:val="-30"/>
        </w:rPr>
        <w:t>起 </w:t>
      </w:r>
      <w:r>
        <w:rPr/>
        <w:t>60</w:t>
      </w:r>
      <w:r>
        <w:rPr>
          <w:spacing w:val="-4"/>
        </w:rPr>
        <w:t> 天为宽限期。我们仍会对宽限期内发生的保险事故承担保险责任，但将从应给付的保</w:t>
      </w:r>
      <w:r>
        <w:rPr>
          <w:spacing w:val="-4"/>
          <w:w w:val="95"/>
        </w:rPr>
        <w:t>险金中扣除您欠交的保险费及其利息。</w:t>
      </w:r>
    </w:p>
    <w:p>
      <w:pPr>
        <w:pStyle w:val="BodyText"/>
        <w:spacing w:line="345" w:lineRule="exact"/>
        <w:ind w:left="120"/>
      </w:pPr>
      <w:r>
        <w:rPr>
          <w:spacing w:val="-4"/>
        </w:rPr>
        <w:t>欠交保费的计息期间为 </w:t>
      </w:r>
      <w:r>
        <w:rPr/>
        <w:t>6</w:t>
      </w:r>
      <w:r>
        <w:rPr>
          <w:spacing w:val="-5"/>
        </w:rPr>
        <w:t> 个月。欠交保险费利息在六个月内按照</w:t>
      </w:r>
      <w:r>
        <w:rPr>
          <w:rFonts w:ascii="Microsoft JhengHei UI" w:eastAsia="Microsoft JhengHei UI" w:hint="eastAsia"/>
          <w:b/>
          <w:spacing w:val="-57"/>
        </w:rPr>
        <w:t>本</w:t>
      </w:r>
      <w:r>
        <w:rPr>
          <w:spacing w:val="-209"/>
          <w:position w:val="1"/>
        </w:rPr>
        <w:t>条</w:t>
      </w:r>
      <w:r>
        <w:rPr>
          <w:spacing w:val="-160"/>
        </w:rPr>
        <w:t>条条条</w:t>
      </w:r>
      <w:r>
        <w:rPr>
          <w:spacing w:val="-209"/>
          <w:position w:val="1"/>
        </w:rPr>
        <w:t>款</w:t>
      </w:r>
      <w:r>
        <w:rPr>
          <w:spacing w:val="-159"/>
        </w:rPr>
        <w:t>款款款</w:t>
      </w:r>
      <w:r>
        <w:rPr>
          <w:spacing w:val="-209"/>
          <w:position w:val="1"/>
        </w:rPr>
        <w:t>约</w:t>
      </w:r>
      <w:r>
        <w:rPr>
          <w:spacing w:val="-160"/>
        </w:rPr>
        <w:t>约约约</w:t>
      </w:r>
      <w:r>
        <w:rPr>
          <w:spacing w:val="-209"/>
          <w:position w:val="1"/>
        </w:rPr>
        <w:t>定</w:t>
      </w:r>
      <w:r>
        <w:rPr>
          <w:spacing w:val="-159"/>
        </w:rPr>
        <w:t>定定定</w:t>
      </w:r>
      <w:r>
        <w:rPr>
          <w:spacing w:val="-209"/>
          <w:position w:val="1"/>
        </w:rPr>
        <w:t>利</w:t>
      </w:r>
      <w:r>
        <w:rPr>
          <w:spacing w:val="-160"/>
        </w:rPr>
        <w:t>利利利</w:t>
      </w:r>
      <w:r>
        <w:rPr>
          <w:spacing w:val="-209"/>
          <w:position w:val="1"/>
        </w:rPr>
        <w:t>率</w:t>
      </w:r>
      <w:r>
        <w:rPr>
          <w:spacing w:val="-209"/>
        </w:rPr>
        <w:t>率率</w:t>
      </w:r>
      <w:r>
        <w:rPr>
          <w:spacing w:val="-39"/>
        </w:rPr>
        <w:t>率</w:t>
      </w:r>
      <w:r>
        <w:rPr>
          <w:spacing w:val="2"/>
        </w:rPr>
        <w:t>（</w:t>
      </w:r>
      <w:r>
        <w:rPr>
          <w:spacing w:val="1"/>
        </w:rPr>
        <w:t>见释义</w:t>
      </w:r>
    </w:p>
    <w:p>
      <w:pPr>
        <w:pStyle w:val="BodyText"/>
        <w:spacing w:line="408" w:lineRule="auto" w:before="170"/>
        <w:ind w:left="120" w:right="119"/>
      </w:pPr>
      <w:r>
        <w:rPr>
          <w:w w:val="93"/>
        </w:rPr>
        <w:t>11</w:t>
      </w:r>
      <w:r>
        <w:rPr>
          <w:spacing w:val="-1"/>
          <w:w w:val="43"/>
        </w:rPr>
        <w:t>.</w:t>
      </w:r>
      <w:r>
        <w:rPr>
          <w:w w:val="93"/>
        </w:rPr>
        <w:t>15</w:t>
      </w:r>
      <w:r>
        <w:rPr>
          <w:spacing w:val="-17"/>
          <w:w w:val="99"/>
        </w:rPr>
        <w:t>）</w:t>
      </w:r>
      <w:r>
        <w:rPr>
          <w:spacing w:val="-3"/>
          <w:w w:val="99"/>
        </w:rPr>
        <w:t>以单利计算。若</w:t>
      </w:r>
      <w:r>
        <w:rPr>
          <w:spacing w:val="-3"/>
        </w:rPr>
        <w:t> </w:t>
      </w:r>
      <w:r>
        <w:rPr>
          <w:w w:val="93"/>
        </w:rPr>
        <w:t>6</w:t>
      </w:r>
      <w:r>
        <w:rPr>
          <w:spacing w:val="-52"/>
        </w:rPr>
        <w:t> </w:t>
      </w:r>
      <w:r>
        <w:rPr>
          <w:spacing w:val="-2"/>
          <w:w w:val="99"/>
        </w:rPr>
        <w:t>个月后您仍未补交所欠保险费，则所欠保险费及利息将作为新的本</w:t>
      </w:r>
      <w:r>
        <w:rPr>
          <w:w w:val="95"/>
        </w:rPr>
        <w:t>金按照本条款约定利率计息。</w:t>
      </w:r>
    </w:p>
    <w:p>
      <w:pPr>
        <w:pStyle w:val="BodyText"/>
        <w:spacing w:line="408" w:lineRule="auto" w:before="46"/>
        <w:ind w:left="120" w:right="122"/>
      </w:pPr>
      <w:r>
        <w:rPr>
          <w:spacing w:val="-2"/>
          <w:w w:val="95"/>
        </w:rPr>
        <w:t>如果您在宽限期结束后仍未交纳到期应交的保险费，除本附加险合同另有约定外，本附加险   合同自宽限期满次日零时起效力中止。</w:t>
      </w:r>
    </w:p>
    <w:p>
      <w:pPr>
        <w:spacing w:after="0" w:line="408" w:lineRule="auto"/>
        <w:sectPr>
          <w:pgSz w:w="11910" w:h="16840"/>
          <w:pgMar w:top="1420" w:bottom="280" w:left="1680" w:right="1620"/>
        </w:sectPr>
      </w:pPr>
    </w:p>
    <w:p>
      <w:pPr>
        <w:pStyle w:val="Heading2"/>
        <w:numPr>
          <w:ilvl w:val="0"/>
          <w:numId w:val="6"/>
        </w:numPr>
        <w:tabs>
          <w:tab w:pos="552" w:val="left" w:leader="none"/>
        </w:tabs>
        <w:spacing w:line="352" w:lineRule="exact" w:before="0" w:after="0"/>
        <w:ind w:left="551" w:right="0" w:hanging="431"/>
        <w:jc w:val="both"/>
      </w:pPr>
      <w:bookmarkStart w:name="_TOC_250062" w:id="29"/>
      <w:bookmarkStart w:name="保险金的领取" w:id="30"/>
      <w:r>
        <w:rPr>
          <w:b w:val="0"/>
        </w:rPr>
      </w:r>
      <w:bookmarkStart w:name="重大疾病保险金受益人" w:id="31"/>
      <w:bookmarkEnd w:id="31"/>
      <w:r>
        <w:rPr>
          <w:b w:val="0"/>
        </w:rPr>
      </w:r>
      <w:bookmarkStart w:name="保险事故的通知" w:id="32"/>
      <w:bookmarkEnd w:id="32"/>
      <w:r>
        <w:rPr>
          <w:b w:val="0"/>
        </w:rPr>
      </w:r>
      <w:bookmarkStart w:name="重大疾病保险金的申请" w:id="33"/>
      <w:bookmarkEnd w:id="33"/>
      <w:r>
        <w:rPr>
          <w:b w:val="0"/>
        </w:rPr>
      </w:r>
      <w:bookmarkStart w:name="保险金的给付" w:id="34"/>
      <w:bookmarkEnd w:id="34"/>
      <w:r>
        <w:rPr>
          <w:b w:val="0"/>
        </w:rPr>
      </w:r>
      <w:bookmarkStart w:name="保险金诉讼时效" w:id="35"/>
      <w:bookmarkEnd w:id="35"/>
      <w:r>
        <w:rPr>
          <w:b w:val="0"/>
        </w:rPr>
      </w:r>
      <w:bookmarkStart w:name="保险金诉讼时效" w:id="36"/>
      <w:bookmarkEnd w:id="29"/>
      <w:r>
        <w:rPr>
          <w:w w:val="95"/>
        </w:rPr>
        <w:t>保险金的领取</w:t>
      </w:r>
    </w:p>
    <w:p>
      <w:pPr>
        <w:pStyle w:val="BodyText"/>
        <w:spacing w:before="8"/>
        <w:rPr>
          <w:rFonts w:ascii="Microsoft JhengHei UI"/>
          <w:b/>
          <w:sz w:val="37"/>
        </w:rPr>
      </w:pPr>
    </w:p>
    <w:p>
      <w:pPr>
        <w:pStyle w:val="Heading2"/>
        <w:numPr>
          <w:ilvl w:val="1"/>
          <w:numId w:val="6"/>
        </w:numPr>
        <w:tabs>
          <w:tab w:pos="693" w:val="left" w:leader="none"/>
        </w:tabs>
        <w:spacing w:line="240" w:lineRule="auto" w:before="0" w:after="0"/>
        <w:ind w:left="692" w:right="0" w:hanging="566"/>
        <w:jc w:val="both"/>
      </w:pPr>
      <w:bookmarkStart w:name="_TOC_250061" w:id="37"/>
      <w:bookmarkEnd w:id="37"/>
      <w:r>
        <w:rPr>
          <w:w w:val="95"/>
        </w:rPr>
        <w:t>重大疾病保险金受益人</w:t>
      </w:r>
    </w:p>
    <w:p>
      <w:pPr>
        <w:pStyle w:val="BodyText"/>
        <w:spacing w:before="15"/>
        <w:rPr>
          <w:rFonts w:ascii="Microsoft JhengHei UI"/>
          <w:b/>
          <w:sz w:val="27"/>
        </w:rPr>
      </w:pPr>
    </w:p>
    <w:p>
      <w:pPr>
        <w:pStyle w:val="BodyText"/>
        <w:ind w:left="120"/>
        <w:jc w:val="both"/>
      </w:pPr>
      <w:r>
        <w:rPr>
          <w:w w:val="95"/>
        </w:rPr>
        <w:t>重大疾病保险金的受益人为被保险人本人，您或被保险人可依法指定受益人。</w:t>
      </w:r>
    </w:p>
    <w:p>
      <w:pPr>
        <w:pStyle w:val="BodyText"/>
        <w:spacing w:before="3"/>
        <w:rPr>
          <w:sz w:val="33"/>
        </w:rPr>
      </w:pPr>
    </w:p>
    <w:p>
      <w:pPr>
        <w:pStyle w:val="Heading2"/>
        <w:numPr>
          <w:ilvl w:val="1"/>
          <w:numId w:val="6"/>
        </w:numPr>
        <w:tabs>
          <w:tab w:pos="693" w:val="left" w:leader="none"/>
        </w:tabs>
        <w:spacing w:line="240" w:lineRule="auto" w:before="0" w:after="0"/>
        <w:ind w:left="692" w:right="0" w:hanging="566"/>
        <w:jc w:val="both"/>
      </w:pPr>
      <w:bookmarkStart w:name="_TOC_250060" w:id="38"/>
      <w:bookmarkEnd w:id="38"/>
      <w:r>
        <w:rPr>
          <w:w w:val="95"/>
        </w:rPr>
        <w:t>保险事故的通知</w:t>
      </w:r>
    </w:p>
    <w:p>
      <w:pPr>
        <w:pStyle w:val="BodyText"/>
        <w:spacing w:before="15"/>
        <w:rPr>
          <w:rFonts w:ascii="Microsoft JhengHei UI"/>
          <w:b/>
          <w:sz w:val="27"/>
        </w:rPr>
      </w:pPr>
    </w:p>
    <w:p>
      <w:pPr>
        <w:pStyle w:val="BodyText"/>
        <w:spacing w:line="408" w:lineRule="auto"/>
        <w:ind w:left="120" w:right="144"/>
        <w:jc w:val="both"/>
      </w:pPr>
      <w:r>
        <w:rPr>
          <w:spacing w:val="-2"/>
          <w:w w:val="95"/>
        </w:rPr>
        <w:t>您或者受益人必须在知道保险事故发生之日起十日内通知我们。否则，您或者受益人应承担</w:t>
      </w:r>
      <w:r>
        <w:rPr>
          <w:spacing w:val="3"/>
          <w:w w:val="99"/>
        </w:rPr>
        <w:t>由</w:t>
      </w:r>
      <w:r>
        <w:rPr>
          <w:spacing w:val="1"/>
          <w:w w:val="99"/>
        </w:rPr>
        <w:t>于通知延迟致使我们增加的勘察、检验等费用。但因不可抗力（</w:t>
      </w:r>
      <w:r>
        <w:rPr>
          <w:spacing w:val="0"/>
          <w:w w:val="99"/>
        </w:rPr>
        <w:t>见释义</w:t>
      </w:r>
      <w:r>
        <w:rPr/>
        <w:t> </w:t>
      </w:r>
      <w:r>
        <w:rPr>
          <w:spacing w:val="1"/>
          <w:w w:val="93"/>
        </w:rPr>
        <w:t>1</w:t>
      </w:r>
      <w:r>
        <w:rPr>
          <w:spacing w:val="-2"/>
          <w:w w:val="93"/>
        </w:rPr>
        <w:t>1</w:t>
      </w:r>
      <w:r>
        <w:rPr>
          <w:spacing w:val="1"/>
          <w:w w:val="43"/>
        </w:rPr>
        <w:t>.</w:t>
      </w:r>
      <w:r>
        <w:rPr>
          <w:w w:val="93"/>
        </w:rPr>
        <w:t>1</w:t>
      </w:r>
      <w:r>
        <w:rPr>
          <w:spacing w:val="1"/>
          <w:w w:val="93"/>
        </w:rPr>
        <w:t>6</w:t>
      </w:r>
      <w:r>
        <w:rPr>
          <w:spacing w:val="3"/>
          <w:w w:val="99"/>
        </w:rPr>
        <w:t>）</w:t>
      </w:r>
      <w:r>
        <w:rPr>
          <w:w w:val="99"/>
        </w:rPr>
        <w:t>导致的延</w:t>
      </w:r>
      <w:r>
        <w:rPr>
          <w:w w:val="95"/>
        </w:rPr>
        <w:t>迟除外。</w:t>
      </w:r>
    </w:p>
    <w:p>
      <w:pPr>
        <w:pStyle w:val="BodyText"/>
        <w:spacing w:before="2"/>
        <w:rPr>
          <w:sz w:val="22"/>
        </w:rPr>
      </w:pPr>
    </w:p>
    <w:p>
      <w:pPr>
        <w:pStyle w:val="Heading2"/>
        <w:numPr>
          <w:ilvl w:val="1"/>
          <w:numId w:val="6"/>
        </w:numPr>
        <w:tabs>
          <w:tab w:pos="693" w:val="left" w:leader="none"/>
        </w:tabs>
        <w:spacing w:line="240" w:lineRule="auto" w:before="0" w:after="0"/>
        <w:ind w:left="692" w:right="0" w:hanging="566"/>
        <w:jc w:val="both"/>
      </w:pPr>
      <w:bookmarkStart w:name="_TOC_250059" w:id="39"/>
      <w:bookmarkEnd w:id="39"/>
      <w:r>
        <w:rPr/>
        <w:t>重大疾病保险金的申请</w:t>
      </w:r>
    </w:p>
    <w:p>
      <w:pPr>
        <w:pStyle w:val="BodyText"/>
        <w:spacing w:before="12"/>
        <w:rPr>
          <w:rFonts w:ascii="Microsoft JhengHei UI"/>
          <w:b/>
          <w:sz w:val="27"/>
        </w:rPr>
      </w:pPr>
    </w:p>
    <w:p>
      <w:pPr>
        <w:pStyle w:val="BodyText"/>
        <w:spacing w:before="1"/>
        <w:ind w:left="120"/>
        <w:jc w:val="both"/>
      </w:pPr>
      <w:r>
        <w:rPr>
          <w:w w:val="95"/>
        </w:rPr>
        <w:t>重大疾病保险金受益人凭下列证明、资料申请重大疾病保险金：</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保险合同原件；</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理赔申请书；</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被保险人户籍证明或身份证明；</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重疾诊断证明书（病理报告）；</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其他能够确认保险事故性质、原因的证明材料；</w:t>
      </w:r>
    </w:p>
    <w:p>
      <w:pPr>
        <w:pStyle w:val="BodyText"/>
        <w:spacing w:before="193"/>
        <w:ind w:left="120"/>
        <w:jc w:val="both"/>
      </w:pPr>
      <w:r>
        <w:rPr>
          <w:w w:val="95"/>
        </w:rPr>
        <w:t>若委托他人办理，须提供委托人亲笔签名的授权委托书及受托人身份证明文件原件。</w:t>
      </w:r>
    </w:p>
    <w:p>
      <w:pPr>
        <w:pStyle w:val="BodyText"/>
        <w:spacing w:before="6"/>
        <w:rPr>
          <w:sz w:val="33"/>
        </w:rPr>
      </w:pPr>
    </w:p>
    <w:p>
      <w:pPr>
        <w:pStyle w:val="Heading2"/>
        <w:numPr>
          <w:ilvl w:val="1"/>
          <w:numId w:val="6"/>
        </w:numPr>
        <w:tabs>
          <w:tab w:pos="693" w:val="left" w:leader="none"/>
        </w:tabs>
        <w:spacing w:line="240" w:lineRule="auto" w:before="0" w:after="0"/>
        <w:ind w:left="692" w:right="0" w:hanging="566"/>
        <w:jc w:val="both"/>
      </w:pPr>
      <w:bookmarkStart w:name="_TOC_250058" w:id="40"/>
      <w:bookmarkEnd w:id="40"/>
      <w:r>
        <w:rPr>
          <w:w w:val="95"/>
        </w:rPr>
        <w:t>保险金的给付</w:t>
      </w:r>
    </w:p>
    <w:p>
      <w:pPr>
        <w:pStyle w:val="BodyText"/>
        <w:spacing w:before="12"/>
        <w:rPr>
          <w:rFonts w:ascii="Microsoft JhengHei UI"/>
          <w:b/>
          <w:sz w:val="27"/>
        </w:rPr>
      </w:pPr>
    </w:p>
    <w:p>
      <w:pPr>
        <w:pStyle w:val="BodyText"/>
        <w:spacing w:line="408" w:lineRule="auto" w:before="1"/>
        <w:ind w:left="120" w:right="197"/>
        <w:jc w:val="both"/>
      </w:pPr>
      <w:r>
        <w:rPr>
          <w:spacing w:val="-4"/>
        </w:rPr>
        <w:t>我们在收到申请人的保险金给付申请书及上述所有相关证明和资料后，对确定属于保险责任</w:t>
      </w:r>
      <w:r>
        <w:rPr>
          <w:spacing w:val="-9"/>
          <w:w w:val="95"/>
        </w:rPr>
        <w:t>的事故，在与申请人达成有关给付保险金数额的协议后十日内，履行给付保险金责任。对不   属于保险责任的事故，我们不予给付保险金。</w:t>
      </w:r>
    </w:p>
    <w:p>
      <w:pPr>
        <w:pStyle w:val="BodyText"/>
        <w:spacing w:before="3"/>
        <w:rPr>
          <w:sz w:val="22"/>
        </w:rPr>
      </w:pPr>
    </w:p>
    <w:p>
      <w:pPr>
        <w:pStyle w:val="Heading2"/>
        <w:numPr>
          <w:ilvl w:val="1"/>
          <w:numId w:val="6"/>
        </w:numPr>
        <w:tabs>
          <w:tab w:pos="693" w:val="left" w:leader="none"/>
        </w:tabs>
        <w:spacing w:line="240" w:lineRule="auto" w:before="0" w:after="0"/>
        <w:ind w:left="692" w:right="0" w:hanging="566"/>
        <w:jc w:val="both"/>
      </w:pPr>
      <w:bookmarkStart w:name="_TOC_250057" w:id="41"/>
      <w:bookmarkEnd w:id="41"/>
      <w:r>
        <w:rPr>
          <w:w w:val="95"/>
        </w:rPr>
        <w:t>保险金诉讼时效</w:t>
      </w:r>
    </w:p>
    <w:p>
      <w:pPr>
        <w:pStyle w:val="BodyText"/>
        <w:spacing w:before="15"/>
        <w:rPr>
          <w:rFonts w:ascii="Microsoft JhengHei UI"/>
          <w:b/>
          <w:sz w:val="27"/>
        </w:rPr>
      </w:pPr>
    </w:p>
    <w:p>
      <w:pPr>
        <w:pStyle w:val="BodyText"/>
        <w:ind w:left="120"/>
        <w:jc w:val="both"/>
      </w:pPr>
      <w:r>
        <w:rPr>
          <w:w w:val="95"/>
        </w:rPr>
        <w:t>权利人请求给付保险金的诉讼时效为二年，自其知道或者应当知道保险事故发生之日起算。</w:t>
      </w:r>
    </w:p>
    <w:p>
      <w:pPr>
        <w:spacing w:after="0"/>
        <w:jc w:val="both"/>
        <w:sectPr>
          <w:pgSz w:w="11910" w:h="16840"/>
          <w:pgMar w:top="1560" w:bottom="280" w:left="1680" w:right="1600"/>
        </w:sectPr>
      </w:pPr>
    </w:p>
    <w:p>
      <w:pPr>
        <w:pStyle w:val="Heading2"/>
        <w:numPr>
          <w:ilvl w:val="0"/>
          <w:numId w:val="6"/>
        </w:numPr>
        <w:tabs>
          <w:tab w:pos="550" w:val="left" w:leader="none"/>
          <w:tab w:pos="552" w:val="left" w:leader="none"/>
        </w:tabs>
        <w:spacing w:line="352" w:lineRule="exact" w:before="0" w:after="0"/>
        <w:ind w:left="551" w:right="0" w:hanging="431"/>
        <w:jc w:val="left"/>
      </w:pPr>
      <w:bookmarkStart w:name="_TOC_250056" w:id="42"/>
      <w:bookmarkStart w:name="合同效力的变动" w:id="43"/>
      <w:r>
        <w:rPr>
          <w:b w:val="0"/>
        </w:rPr>
      </w:r>
      <w:bookmarkStart w:name="合同效力的中止" w:id="44"/>
      <w:bookmarkEnd w:id="44"/>
      <w:r>
        <w:rPr>
          <w:b w:val="0"/>
        </w:rPr>
      </w:r>
      <w:bookmarkStart w:name="合同效力的恢复" w:id="45"/>
      <w:bookmarkEnd w:id="45"/>
      <w:r>
        <w:rPr>
          <w:b w:val="0"/>
        </w:rPr>
      </w:r>
      <w:bookmarkStart w:name="合同的解除——退保" w:id="46"/>
      <w:bookmarkEnd w:id="46"/>
      <w:r>
        <w:rPr>
          <w:b w:val="0"/>
        </w:rPr>
      </w:r>
      <w:bookmarkStart w:name="8.3.1.犹豫期" w:id="47"/>
      <w:bookmarkEnd w:id="47"/>
      <w:r>
        <w:rPr>
          <w:b w:val="0"/>
        </w:rPr>
      </w:r>
      <w:bookmarkStart w:name="8.3.2.犹豫期之后申请退保" w:id="48"/>
      <w:bookmarkEnd w:id="48"/>
      <w:r>
        <w:rPr>
          <w:b w:val="0"/>
        </w:rPr>
      </w:r>
      <w:bookmarkStart w:name="8.3.2.犹豫期之后申请退保" w:id="49"/>
      <w:bookmarkEnd w:id="42"/>
      <w:r>
        <w:rPr>
          <w:w w:val="95"/>
        </w:rPr>
        <w:t>合同效力的变动</w:t>
      </w:r>
    </w:p>
    <w:p>
      <w:pPr>
        <w:pStyle w:val="BodyText"/>
        <w:spacing w:before="8"/>
        <w:rPr>
          <w:rFonts w:ascii="Microsoft JhengHei UI"/>
          <w:b/>
          <w:sz w:val="3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5" w:id="50"/>
      <w:bookmarkEnd w:id="50"/>
      <w:r>
        <w:rPr>
          <w:w w:val="95"/>
        </w:rPr>
        <w:t>合同效力的中止</w:t>
      </w:r>
    </w:p>
    <w:p>
      <w:pPr>
        <w:pStyle w:val="BodyText"/>
        <w:spacing w:before="15"/>
        <w:rPr>
          <w:rFonts w:ascii="Microsoft JhengHei UI"/>
          <w:b/>
          <w:sz w:val="27"/>
        </w:rPr>
      </w:pPr>
    </w:p>
    <w:p>
      <w:pPr>
        <w:pStyle w:val="BodyText"/>
        <w:spacing w:line="408" w:lineRule="auto"/>
        <w:ind w:left="120" w:right="103"/>
      </w:pPr>
      <w:r>
        <w:rPr>
          <w:w w:val="95"/>
        </w:rPr>
        <w:t>如果您在保险费交纳宽限期结束后未交纳到期应交的保险费，除本附加险合同另有约定外，  本附加险合同自宽限期满次日零时起效力中止。</w:t>
      </w:r>
    </w:p>
    <w:p>
      <w:pPr>
        <w:pStyle w:val="BodyText"/>
        <w:spacing w:before="45"/>
        <w:ind w:left="120"/>
      </w:pPr>
      <w:r>
        <w:rPr>
          <w:w w:val="95"/>
        </w:rPr>
        <w:t>在本附加险合同效力中止期间，我们不承担保险责任。</w:t>
      </w:r>
    </w:p>
    <w:p>
      <w:pPr>
        <w:pStyle w:val="BodyText"/>
        <w:spacing w:before="3"/>
        <w:rPr>
          <w:sz w:val="33"/>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4" w:id="51"/>
      <w:bookmarkEnd w:id="51"/>
      <w:r>
        <w:rPr>
          <w:w w:val="95"/>
        </w:rPr>
        <w:t>合同效力的恢复</w:t>
      </w:r>
    </w:p>
    <w:p>
      <w:pPr>
        <w:pStyle w:val="BodyText"/>
        <w:spacing w:before="15"/>
        <w:rPr>
          <w:rFonts w:ascii="Microsoft JhengHei UI"/>
          <w:b/>
          <w:sz w:val="27"/>
        </w:rPr>
      </w:pPr>
    </w:p>
    <w:p>
      <w:pPr>
        <w:pStyle w:val="BodyText"/>
        <w:spacing w:line="408" w:lineRule="auto"/>
        <w:ind w:left="120" w:right="157"/>
        <w:jc w:val="both"/>
      </w:pPr>
      <w:r>
        <w:rPr>
          <w:spacing w:val="-3"/>
        </w:rPr>
        <w:t>本附加险合同效力中止后二年内，您可以申请复效。申请复效时，您应填写复效申请书，并</w:t>
      </w:r>
      <w:r>
        <w:rPr>
          <w:spacing w:val="-6"/>
          <w:w w:val="95"/>
        </w:rPr>
        <w:t>按我们的规定提供被保险人健康声明书或我们指定的医院出具的体检报告书，申请复效时发   </w:t>
      </w:r>
      <w:r>
        <w:rPr>
          <w:spacing w:val="-12"/>
          <w:w w:val="95"/>
        </w:rPr>
        <w:t>生的体检费用由您自行承担。经我们审核同意，自您补交欠交的保险费及利息后的次日零时   起，本附加险合同效力恢复。</w:t>
      </w:r>
    </w:p>
    <w:p>
      <w:pPr>
        <w:pStyle w:val="BodyText"/>
        <w:spacing w:line="408" w:lineRule="auto" w:before="45"/>
        <w:ind w:left="120" w:right="157"/>
      </w:pPr>
      <w:r>
        <w:rPr>
          <w:spacing w:val="-6"/>
        </w:rPr>
        <w:t>自本附加险合同效力中止之日起二年内，如果您未提出复效申请或复效申请未经过我们审核</w:t>
      </w:r>
      <w:r>
        <w:rPr>
          <w:spacing w:val="-6"/>
          <w:w w:val="95"/>
        </w:rPr>
        <w:t>同意，本附加险合同自效力中止二年期限届满次日零时起效力终止。</w:t>
      </w:r>
    </w:p>
    <w:p>
      <w:pPr>
        <w:pStyle w:val="BodyText"/>
        <w:spacing w:before="45"/>
        <w:ind w:left="120"/>
      </w:pPr>
      <w:r>
        <w:rPr>
          <w:w w:val="95"/>
        </w:rPr>
        <w:t>主险合同效力中止期间，本附加险合同不得单独申请复效。</w:t>
      </w:r>
    </w:p>
    <w:p>
      <w:pPr>
        <w:pStyle w:val="BodyText"/>
        <w:spacing w:before="3"/>
        <w:rPr>
          <w:sz w:val="33"/>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3" w:id="52"/>
      <w:bookmarkEnd w:id="52"/>
      <w:r>
        <w:rPr>
          <w:w w:val="95"/>
        </w:rPr>
        <w:t>合同的解除——退保</w:t>
      </w:r>
    </w:p>
    <w:p>
      <w:pPr>
        <w:pStyle w:val="BodyText"/>
        <w:spacing w:before="15"/>
        <w:rPr>
          <w:rFonts w:ascii="Microsoft JhengHei UI"/>
          <w:b/>
          <w:sz w:val="26"/>
        </w:rPr>
      </w:pPr>
    </w:p>
    <w:p>
      <w:pPr>
        <w:pStyle w:val="Heading2"/>
        <w:numPr>
          <w:ilvl w:val="2"/>
          <w:numId w:val="6"/>
        </w:numPr>
        <w:tabs>
          <w:tab w:pos="669" w:val="left" w:leader="none"/>
        </w:tabs>
        <w:spacing w:line="240" w:lineRule="auto" w:before="0" w:after="0"/>
        <w:ind w:left="668" w:right="0" w:hanging="542"/>
        <w:jc w:val="left"/>
      </w:pPr>
      <w:bookmarkStart w:name="_TOC_250052" w:id="53"/>
      <w:bookmarkEnd w:id="53"/>
      <w:r>
        <w:rPr>
          <w:w w:val="95"/>
        </w:rPr>
        <w:t>犹豫期</w:t>
      </w:r>
    </w:p>
    <w:p>
      <w:pPr>
        <w:pStyle w:val="BodyText"/>
        <w:spacing w:before="15"/>
        <w:rPr>
          <w:rFonts w:ascii="Microsoft JhengHei UI"/>
          <w:b/>
          <w:sz w:val="27"/>
        </w:rPr>
      </w:pPr>
    </w:p>
    <w:p>
      <w:pPr>
        <w:pStyle w:val="BodyText"/>
        <w:spacing w:line="408" w:lineRule="auto"/>
        <w:ind w:left="120" w:right="157"/>
        <w:jc w:val="both"/>
      </w:pPr>
      <w:r>
        <w:rPr>
          <w:w w:val="95"/>
        </w:rPr>
        <w:t>自您签收到本附加险合同次日起，我们给予您10</w:t>
      </w:r>
      <w:r>
        <w:rPr>
          <w:spacing w:val="-5"/>
          <w:w w:val="95"/>
        </w:rPr>
        <w:t>天的犹豫期，以便您在此期间浏览合同。如   </w:t>
      </w:r>
      <w:r>
        <w:rPr>
          <w:spacing w:val="-10"/>
          <w:w w:val="95"/>
        </w:rPr>
        <w:t>果您确定本附加险合同与您的需求不相符，可向我们申请退保，本附加险合同自我们收到您   </w:t>
      </w:r>
      <w:r>
        <w:rPr>
          <w:spacing w:val="-15"/>
          <w:w w:val="95"/>
        </w:rPr>
        <w:t>的退保申请次日零时起即被撤销，我们自始不承担保险责任，并无息退还给您就本附加险合   同所收的全部保险费。</w:t>
      </w:r>
    </w:p>
    <w:p>
      <w:pPr>
        <w:pStyle w:val="BodyText"/>
        <w:spacing w:before="2"/>
        <w:rPr>
          <w:sz w:val="22"/>
        </w:rPr>
      </w:pPr>
    </w:p>
    <w:p>
      <w:pPr>
        <w:pStyle w:val="Heading2"/>
        <w:numPr>
          <w:ilvl w:val="2"/>
          <w:numId w:val="6"/>
        </w:numPr>
        <w:tabs>
          <w:tab w:pos="669" w:val="left" w:leader="none"/>
        </w:tabs>
        <w:spacing w:line="240" w:lineRule="auto" w:before="0" w:after="0"/>
        <w:ind w:left="668" w:right="0" w:hanging="542"/>
        <w:jc w:val="left"/>
      </w:pPr>
      <w:bookmarkStart w:name="_TOC_250051" w:id="54"/>
      <w:bookmarkEnd w:id="54"/>
      <w:r>
        <w:rPr>
          <w:w w:val="95"/>
        </w:rPr>
        <w:t>犹豫期之后申请退保</w:t>
      </w:r>
    </w:p>
    <w:p>
      <w:pPr>
        <w:pStyle w:val="BodyText"/>
        <w:spacing w:before="12"/>
        <w:rPr>
          <w:rFonts w:ascii="Microsoft JhengHei UI"/>
          <w:b/>
          <w:sz w:val="27"/>
        </w:rPr>
      </w:pPr>
    </w:p>
    <w:p>
      <w:pPr>
        <w:pStyle w:val="BodyText"/>
        <w:spacing w:line="408" w:lineRule="auto"/>
        <w:ind w:left="120" w:right="157"/>
      </w:pPr>
      <w:r>
        <w:rPr>
          <w:spacing w:val="-6"/>
          <w:w w:val="95"/>
        </w:rPr>
        <w:t>您在犹豫期之后申请退保时，我们将在收到您的退保申请后三十日内返还给您退保金，同时   我们对本附加险合同应承担的一切保险责任自收到您的退保申请次日零时起终止。</w:t>
      </w:r>
    </w:p>
    <w:p>
      <w:pPr>
        <w:pStyle w:val="BodyText"/>
        <w:spacing w:before="45"/>
        <w:ind w:left="120"/>
      </w:pPr>
      <w:r>
        <w:rPr>
          <w:w w:val="95"/>
        </w:rPr>
        <w:t>退保金的计算公式为：</w:t>
      </w:r>
    </w:p>
    <w:p>
      <w:pPr>
        <w:spacing w:after="0"/>
        <w:sectPr>
          <w:pgSz w:w="11910" w:h="16840"/>
          <w:pgMar w:top="1560" w:bottom="280" w:left="1680" w:right="1640"/>
        </w:sectPr>
      </w:pPr>
    </w:p>
    <w:p>
      <w:pPr>
        <w:pStyle w:val="BodyText"/>
        <w:spacing w:before="32"/>
        <w:ind w:left="120"/>
        <w:jc w:val="both"/>
      </w:pPr>
      <w:bookmarkStart w:name="8.3.3.退保申请" w:id="55"/>
      <w:bookmarkEnd w:id="55"/>
      <w:r>
        <w:rPr/>
      </w:r>
      <w:bookmarkStart w:name="合同的终止" w:id="56"/>
      <w:bookmarkEnd w:id="56"/>
      <w:r>
        <w:rPr/>
      </w:r>
      <w:bookmarkStart w:name="被保险人年龄确定错误处理" w:id="57"/>
      <w:bookmarkEnd w:id="57"/>
      <w:r>
        <w:rPr/>
      </w:r>
      <w:r>
        <w:rPr>
          <w:spacing w:val="-2"/>
        </w:rPr>
        <w:t>退保金 </w:t>
      </w:r>
      <w:r>
        <w:rPr>
          <w:spacing w:val="-12"/>
          <w:w w:val="115"/>
        </w:rPr>
        <w:t>= </w:t>
      </w:r>
      <w:r>
        <w:rPr>
          <w:spacing w:val="-1"/>
        </w:rPr>
        <w:t>退保当时保险单所对应的现金价值 </w:t>
      </w:r>
      <w:r>
        <w:rPr>
          <w:spacing w:val="-3"/>
          <w:w w:val="95"/>
        </w:rPr>
        <w:t>- </w:t>
      </w:r>
      <w:r>
        <w:rPr/>
        <w:t>欠交的保费及利息（如果有</w:t>
      </w:r>
      <w:r>
        <w:rPr>
          <w:spacing w:val="-104"/>
        </w:rPr>
        <w:t>）</w:t>
      </w:r>
      <w:r>
        <w:rPr/>
        <w:t>。</w:t>
      </w:r>
    </w:p>
    <w:p>
      <w:pPr>
        <w:pStyle w:val="BodyText"/>
        <w:rPr>
          <w:sz w:val="26"/>
        </w:rPr>
      </w:pPr>
    </w:p>
    <w:p>
      <w:pPr>
        <w:pStyle w:val="BodyText"/>
        <w:rPr>
          <w:sz w:val="26"/>
        </w:rPr>
      </w:pPr>
    </w:p>
    <w:p>
      <w:pPr>
        <w:pStyle w:val="Heading2"/>
        <w:numPr>
          <w:ilvl w:val="2"/>
          <w:numId w:val="6"/>
        </w:numPr>
        <w:tabs>
          <w:tab w:pos="669" w:val="left" w:leader="none"/>
        </w:tabs>
        <w:spacing w:line="240" w:lineRule="auto" w:before="225" w:after="0"/>
        <w:ind w:left="668" w:right="0" w:hanging="542"/>
        <w:jc w:val="both"/>
      </w:pPr>
      <w:bookmarkStart w:name="_TOC_250050" w:id="58"/>
      <w:bookmarkEnd w:id="58"/>
      <w:r>
        <w:rPr>
          <w:w w:val="95"/>
        </w:rPr>
        <w:t>退保申请</w:t>
      </w:r>
    </w:p>
    <w:p>
      <w:pPr>
        <w:pStyle w:val="BodyText"/>
        <w:spacing w:before="12"/>
        <w:rPr>
          <w:rFonts w:ascii="Microsoft JhengHei UI"/>
          <w:b/>
          <w:sz w:val="27"/>
        </w:rPr>
      </w:pPr>
    </w:p>
    <w:p>
      <w:pPr>
        <w:pStyle w:val="BodyText"/>
        <w:ind w:left="120"/>
        <w:jc w:val="both"/>
      </w:pPr>
      <w:r>
        <w:rPr>
          <w:w w:val="95"/>
        </w:rPr>
        <w:t>申请退保需要提供的证明、资料如下：</w:t>
      </w:r>
    </w:p>
    <w:p>
      <w:pPr>
        <w:pStyle w:val="BodyText"/>
        <w:spacing w:before="192"/>
        <w:ind w:left="328"/>
      </w:pPr>
      <w:r>
        <w:rPr>
          <w:w w:val="93"/>
        </w:rPr>
        <w:t>1</w:t>
      </w:r>
      <w:r>
        <w:rPr>
          <w:spacing w:val="-1"/>
          <w:w w:val="43"/>
        </w:rPr>
        <w:t>.</w:t>
      </w:r>
      <w:r>
        <w:rPr>
          <w:w w:val="99"/>
        </w:rPr>
        <w:t>保全业务申请书；</w:t>
      </w:r>
    </w:p>
    <w:p>
      <w:pPr>
        <w:pStyle w:val="BodyText"/>
        <w:spacing w:before="192"/>
        <w:ind w:left="328"/>
      </w:pPr>
      <w:r>
        <w:rPr>
          <w:w w:val="93"/>
        </w:rPr>
        <w:t>2</w:t>
      </w:r>
      <w:r>
        <w:rPr>
          <w:spacing w:val="-1"/>
          <w:w w:val="43"/>
        </w:rPr>
        <w:t>.</w:t>
      </w:r>
      <w:r>
        <w:rPr>
          <w:w w:val="99"/>
        </w:rPr>
        <w:t>投保人的身份证明文件原件；</w:t>
      </w:r>
    </w:p>
    <w:p>
      <w:pPr>
        <w:pStyle w:val="BodyText"/>
        <w:spacing w:before="192"/>
        <w:ind w:left="328"/>
      </w:pPr>
      <w:r>
        <w:rPr>
          <w:w w:val="93"/>
        </w:rPr>
        <w:t>3</w:t>
      </w:r>
      <w:r>
        <w:rPr>
          <w:spacing w:val="-1"/>
          <w:w w:val="43"/>
        </w:rPr>
        <w:t>.</w:t>
      </w:r>
      <w:r>
        <w:rPr>
          <w:w w:val="99"/>
        </w:rPr>
        <w:t>保险单原件；</w:t>
      </w:r>
    </w:p>
    <w:p>
      <w:pPr>
        <w:pStyle w:val="BodyText"/>
        <w:spacing w:before="192"/>
        <w:ind w:left="120"/>
        <w:jc w:val="both"/>
      </w:pPr>
      <w:r>
        <w:rPr>
          <w:w w:val="95"/>
        </w:rPr>
        <w:t>若委托他人办理，须提供委托人亲笔签名的授权委托书及受托人身份证明文件原件。</w:t>
      </w:r>
    </w:p>
    <w:p>
      <w:pPr>
        <w:pStyle w:val="BodyText"/>
        <w:spacing w:before="5"/>
        <w:rPr>
          <w:sz w:val="33"/>
        </w:rPr>
      </w:pPr>
    </w:p>
    <w:p>
      <w:pPr>
        <w:pStyle w:val="Heading2"/>
        <w:numPr>
          <w:ilvl w:val="1"/>
          <w:numId w:val="6"/>
        </w:numPr>
        <w:tabs>
          <w:tab w:pos="799" w:val="left" w:leader="none"/>
        </w:tabs>
        <w:spacing w:line="240" w:lineRule="auto" w:before="0" w:after="0"/>
        <w:ind w:left="798" w:right="0" w:hanging="672"/>
        <w:jc w:val="both"/>
      </w:pPr>
      <w:bookmarkStart w:name="_TOC_250049" w:id="59"/>
      <w:bookmarkEnd w:id="59"/>
      <w:r>
        <w:rPr>
          <w:w w:val="95"/>
        </w:rPr>
        <w:t>合同的终止</w:t>
      </w:r>
    </w:p>
    <w:p>
      <w:pPr>
        <w:pStyle w:val="BodyText"/>
        <w:spacing w:before="15"/>
        <w:rPr>
          <w:rFonts w:ascii="Microsoft JhengHei UI"/>
          <w:b/>
          <w:sz w:val="27"/>
        </w:rPr>
      </w:pPr>
    </w:p>
    <w:p>
      <w:pPr>
        <w:pStyle w:val="BodyText"/>
        <w:ind w:left="120"/>
        <w:jc w:val="both"/>
      </w:pPr>
      <w:r>
        <w:rPr>
          <w:w w:val="95"/>
        </w:rPr>
        <w:t>本附加险合同将于下述情况之一出现自动终止：</w:t>
      </w:r>
    </w:p>
    <w:p>
      <w:pPr>
        <w:pStyle w:val="BodyText"/>
        <w:spacing w:before="193"/>
        <w:ind w:left="213"/>
        <w:jc w:val="both"/>
      </w:pPr>
      <w:r>
        <w:rPr>
          <w:w w:val="95"/>
        </w:rPr>
        <w:t>1．主险合同效力终止；</w:t>
      </w:r>
    </w:p>
    <w:p>
      <w:pPr>
        <w:pStyle w:val="BodyText"/>
        <w:spacing w:before="193"/>
        <w:ind w:left="213"/>
        <w:jc w:val="both"/>
      </w:pPr>
      <w:r>
        <w:rPr>
          <w:w w:val="95"/>
        </w:rPr>
        <w:t>2．主险合同变更为减额交清保险后；</w:t>
      </w:r>
    </w:p>
    <w:p>
      <w:pPr>
        <w:pStyle w:val="BodyText"/>
        <w:spacing w:before="193"/>
        <w:ind w:left="213"/>
        <w:jc w:val="both"/>
      </w:pPr>
      <w:r>
        <w:rPr>
          <w:w w:val="95"/>
        </w:rPr>
        <w:t>3．本附加险合同到期终止；</w:t>
      </w:r>
    </w:p>
    <w:p>
      <w:pPr>
        <w:pStyle w:val="BodyText"/>
        <w:spacing w:before="193"/>
        <w:ind w:left="213"/>
        <w:jc w:val="both"/>
      </w:pPr>
      <w:r>
        <w:rPr>
          <w:w w:val="95"/>
        </w:rPr>
        <w:t>4．因本附加险合同其他条款所列合同终止情况出现而终止。</w:t>
      </w:r>
    </w:p>
    <w:p>
      <w:pPr>
        <w:pStyle w:val="BodyText"/>
        <w:rPr>
          <w:sz w:val="26"/>
        </w:rPr>
      </w:pPr>
    </w:p>
    <w:p>
      <w:pPr>
        <w:pStyle w:val="BodyText"/>
        <w:spacing w:before="1"/>
        <w:rPr>
          <w:sz w:val="20"/>
        </w:rPr>
      </w:pPr>
    </w:p>
    <w:p>
      <w:pPr>
        <w:pStyle w:val="Heading2"/>
        <w:numPr>
          <w:ilvl w:val="0"/>
          <w:numId w:val="6"/>
        </w:numPr>
        <w:tabs>
          <w:tab w:pos="552" w:val="left" w:leader="none"/>
        </w:tabs>
        <w:spacing w:line="240" w:lineRule="auto" w:before="0" w:after="0"/>
        <w:ind w:left="551" w:right="0" w:hanging="431"/>
        <w:jc w:val="both"/>
      </w:pPr>
      <w:bookmarkStart w:name="_TOC_250048" w:id="60"/>
      <w:bookmarkEnd w:id="60"/>
      <w:r>
        <w:rPr>
          <w:w w:val="95"/>
        </w:rPr>
        <w:t>被保险人年龄确定错误处理</w:t>
      </w:r>
    </w:p>
    <w:p>
      <w:pPr>
        <w:pStyle w:val="BodyText"/>
        <w:spacing w:before="7"/>
        <w:rPr>
          <w:rFonts w:ascii="Microsoft JhengHei UI"/>
          <w:b/>
          <w:sz w:val="38"/>
        </w:rPr>
      </w:pPr>
    </w:p>
    <w:p>
      <w:pPr>
        <w:pStyle w:val="BodyText"/>
        <w:spacing w:line="408" w:lineRule="auto"/>
        <w:ind w:left="120" w:right="119"/>
      </w:pPr>
      <w:r>
        <w:rPr>
          <w:spacing w:val="-8"/>
          <w:w w:val="95"/>
        </w:rPr>
        <w:t>您在申请投保时，应将被保险人的真实年龄在投保单上填明，如果发生错误将按照下列方式   处理：</w:t>
      </w:r>
    </w:p>
    <w:p>
      <w:pPr>
        <w:pStyle w:val="BodyText"/>
        <w:spacing w:line="408" w:lineRule="auto" w:before="45"/>
        <w:ind w:left="120" w:right="121"/>
        <w:jc w:val="both"/>
      </w:pPr>
      <w:r>
        <w:rPr/>
        <w:t>（1）在本附加险合同生效日起二年内，如果我们发现您申报的被保险人年龄不真实，并且</w:t>
      </w:r>
      <w:r>
        <w:rPr>
          <w:spacing w:val="-3"/>
          <w:w w:val="95"/>
        </w:rPr>
        <w:t>其真实年龄不符合本附加险合同约定的投保年龄范围限制，我们有权解除本附加险合同，向</w:t>
      </w:r>
      <w:r>
        <w:rPr>
          <w:w w:val="99"/>
        </w:rPr>
        <w:t>您退还本附加险合同当时对应的现金价值扣除欠交保费及利息后的余额</w:t>
      </w:r>
      <w:r>
        <w:rPr>
          <w:spacing w:val="1"/>
          <w:w w:val="99"/>
        </w:rPr>
        <w:t>（</w:t>
      </w:r>
      <w:r>
        <w:rPr>
          <w:spacing w:val="-1"/>
          <w:w w:val="99"/>
        </w:rPr>
        <w:t>如果有</w:t>
      </w:r>
      <w:r>
        <w:rPr>
          <w:spacing w:val="-104"/>
          <w:w w:val="99"/>
        </w:rPr>
        <w:t>）</w:t>
      </w:r>
      <w:r>
        <w:rPr>
          <w:w w:val="99"/>
        </w:rPr>
        <w:t>，并且无</w:t>
      </w:r>
      <w:r>
        <w:rPr>
          <w:w w:val="95"/>
        </w:rPr>
        <w:t>论解除前是否已发生保险事故，我们均不承担保险金给付责任。</w:t>
      </w:r>
    </w:p>
    <w:p>
      <w:pPr>
        <w:pStyle w:val="BodyText"/>
        <w:spacing w:line="408" w:lineRule="auto" w:before="45"/>
        <w:ind w:left="120" w:right="119"/>
        <w:jc w:val="both"/>
      </w:pPr>
      <w:r>
        <w:rPr>
          <w:spacing w:val="-5"/>
          <w:w w:val="95"/>
        </w:rPr>
        <w:t>但是如果在本附加险合同生效日起二年后，我们发现您申报的被保险人年龄不真实，并且其   </w:t>
      </w:r>
      <w:r>
        <w:rPr>
          <w:spacing w:val="-9"/>
          <w:w w:val="95"/>
        </w:rPr>
        <w:t>真实年龄不符合本附加险合同约定的投保年龄范围限制，我们不会解除本附加险合同并按以   下（2）、（3）款办理。</w:t>
      </w:r>
    </w:p>
    <w:p>
      <w:pPr>
        <w:pStyle w:val="BodyText"/>
        <w:spacing w:before="45"/>
        <w:ind w:left="120"/>
        <w:jc w:val="both"/>
      </w:pPr>
      <w:r>
        <w:rPr>
          <w:w w:val="95"/>
        </w:rPr>
        <w:t>（2）如果您申报的被保险人年龄不真实，致使您实交的保险费少于应交的保险费，我们有</w:t>
      </w:r>
    </w:p>
    <w:p>
      <w:pPr>
        <w:spacing w:after="0"/>
        <w:jc w:val="both"/>
        <w:sectPr>
          <w:pgSz w:w="11910" w:h="16840"/>
          <w:pgMar w:top="1440" w:bottom="280" w:left="1680" w:right="1680"/>
        </w:sectPr>
      </w:pPr>
    </w:p>
    <w:p>
      <w:pPr>
        <w:pStyle w:val="BodyText"/>
        <w:spacing w:line="408" w:lineRule="auto" w:before="32"/>
        <w:ind w:left="120" w:right="119"/>
      </w:pPr>
      <w:bookmarkStart w:name="适用主险条款" w:id="61"/>
      <w:bookmarkEnd w:id="61"/>
      <w:r>
        <w:rPr/>
      </w:r>
      <w:bookmarkStart w:name="释义" w:id="62"/>
      <w:bookmarkEnd w:id="62"/>
      <w:r>
        <w:rPr/>
      </w:r>
      <w:bookmarkStart w:name="周岁" w:id="63"/>
      <w:bookmarkEnd w:id="63"/>
      <w:r>
        <w:rPr/>
      </w:r>
      <w:bookmarkStart w:name="医院" w:id="64"/>
      <w:bookmarkEnd w:id="64"/>
      <w:r>
        <w:rPr/>
      </w:r>
      <w:bookmarkStart w:name="30种重大疾病" w:id="65"/>
      <w:bookmarkEnd w:id="65"/>
      <w:r>
        <w:rPr/>
      </w:r>
      <w:r>
        <w:rPr>
          <w:spacing w:val="-6"/>
          <w:w w:val="95"/>
        </w:rPr>
        <w:t>权更正并要求您补交保险费。如果已发生保险事故，我们将按实交保险费和应交保险费的比   例给付保险金。</w:t>
      </w:r>
    </w:p>
    <w:p>
      <w:pPr>
        <w:pStyle w:val="BodyText"/>
        <w:spacing w:line="408" w:lineRule="auto" w:before="46"/>
        <w:ind w:left="120" w:right="136"/>
      </w:pPr>
      <w:r>
        <w:rPr>
          <w:w w:val="95"/>
        </w:rPr>
        <w:t>（3）如果您申报的被保险人年龄不真实，致使您实交的保险费多于应交的保险费，我们将   无息退还多收的保险费。</w:t>
      </w:r>
    </w:p>
    <w:p>
      <w:pPr>
        <w:pStyle w:val="BodyText"/>
        <w:spacing w:before="11"/>
        <w:rPr>
          <w:sz w:val="34"/>
        </w:rPr>
      </w:pPr>
    </w:p>
    <w:p>
      <w:pPr>
        <w:pStyle w:val="Heading2"/>
        <w:numPr>
          <w:ilvl w:val="0"/>
          <w:numId w:val="6"/>
        </w:numPr>
        <w:tabs>
          <w:tab w:pos="552" w:val="left" w:leader="none"/>
        </w:tabs>
        <w:spacing w:line="240" w:lineRule="auto" w:before="0" w:after="0"/>
        <w:ind w:left="551" w:right="0" w:hanging="431"/>
        <w:jc w:val="left"/>
      </w:pPr>
      <w:bookmarkStart w:name="_TOC_250047" w:id="66"/>
      <w:bookmarkEnd w:id="66"/>
      <w:r>
        <w:rPr>
          <w:w w:val="95"/>
        </w:rPr>
        <w:t>适用主险条款</w:t>
      </w:r>
    </w:p>
    <w:p>
      <w:pPr>
        <w:pStyle w:val="BodyText"/>
        <w:spacing w:before="7"/>
        <w:rPr>
          <w:rFonts w:ascii="Microsoft JhengHei UI"/>
          <w:b/>
          <w:sz w:val="38"/>
        </w:rPr>
      </w:pPr>
    </w:p>
    <w:p>
      <w:pPr>
        <w:pStyle w:val="BodyText"/>
        <w:ind w:left="120"/>
      </w:pPr>
      <w:r>
        <w:rPr>
          <w:w w:val="95"/>
        </w:rPr>
        <w:t>下列各项条款，适用主险合同条款：</w:t>
      </w:r>
    </w:p>
    <w:p>
      <w:pPr>
        <w:pStyle w:val="ListParagraph"/>
        <w:numPr>
          <w:ilvl w:val="0"/>
          <w:numId w:val="8"/>
        </w:numPr>
        <w:tabs>
          <w:tab w:pos="539" w:val="left" w:leader="none"/>
          <w:tab w:pos="540" w:val="left" w:leader="none"/>
        </w:tabs>
        <w:spacing w:line="240" w:lineRule="auto" w:before="192" w:after="0"/>
        <w:ind w:left="540" w:right="0" w:hanging="420"/>
        <w:jc w:val="left"/>
        <w:rPr>
          <w:sz w:val="21"/>
        </w:rPr>
      </w:pPr>
      <w:r>
        <w:rPr>
          <w:w w:val="95"/>
          <w:sz w:val="21"/>
        </w:rPr>
        <w:t>如实告知；</w:t>
      </w:r>
    </w:p>
    <w:p>
      <w:pPr>
        <w:pStyle w:val="ListParagraph"/>
        <w:numPr>
          <w:ilvl w:val="0"/>
          <w:numId w:val="8"/>
        </w:numPr>
        <w:tabs>
          <w:tab w:pos="539" w:val="left" w:leader="none"/>
          <w:tab w:pos="540" w:val="left" w:leader="none"/>
        </w:tabs>
        <w:spacing w:line="240" w:lineRule="auto" w:before="192" w:after="0"/>
        <w:ind w:left="540" w:right="0" w:hanging="420"/>
        <w:jc w:val="left"/>
        <w:rPr>
          <w:sz w:val="21"/>
        </w:rPr>
      </w:pPr>
      <w:r>
        <w:rPr>
          <w:w w:val="95"/>
          <w:sz w:val="21"/>
        </w:rPr>
        <w:t>合同的变更；</w:t>
      </w:r>
    </w:p>
    <w:p>
      <w:pPr>
        <w:pStyle w:val="ListParagraph"/>
        <w:numPr>
          <w:ilvl w:val="0"/>
          <w:numId w:val="8"/>
        </w:numPr>
        <w:tabs>
          <w:tab w:pos="539" w:val="left" w:leader="none"/>
          <w:tab w:pos="540" w:val="left" w:leader="none"/>
        </w:tabs>
        <w:spacing w:line="240" w:lineRule="auto" w:before="192" w:after="0"/>
        <w:ind w:left="540" w:right="0" w:hanging="420"/>
        <w:jc w:val="left"/>
        <w:rPr>
          <w:sz w:val="21"/>
        </w:rPr>
      </w:pPr>
      <w:r>
        <w:rPr>
          <w:w w:val="95"/>
          <w:sz w:val="21"/>
        </w:rPr>
        <w:t>争议处理。</w:t>
      </w:r>
    </w:p>
    <w:p>
      <w:pPr>
        <w:pStyle w:val="BodyText"/>
        <w:rPr>
          <w:sz w:val="26"/>
        </w:rPr>
      </w:pPr>
    </w:p>
    <w:p>
      <w:pPr>
        <w:pStyle w:val="BodyText"/>
        <w:spacing w:before="1"/>
        <w:rPr>
          <w:sz w:val="20"/>
        </w:rPr>
      </w:pPr>
    </w:p>
    <w:p>
      <w:pPr>
        <w:pStyle w:val="Heading2"/>
        <w:numPr>
          <w:ilvl w:val="0"/>
          <w:numId w:val="9"/>
        </w:numPr>
        <w:tabs>
          <w:tab w:pos="552" w:val="left" w:leader="none"/>
        </w:tabs>
        <w:spacing w:line="240" w:lineRule="auto" w:before="0" w:after="0"/>
        <w:ind w:left="551" w:right="0" w:hanging="431"/>
        <w:jc w:val="left"/>
      </w:pPr>
      <w:bookmarkStart w:name="_TOC_250046" w:id="67"/>
      <w:bookmarkEnd w:id="67"/>
      <w:r>
        <w:rPr>
          <w:w w:val="95"/>
        </w:rPr>
        <w:t>释义</w:t>
      </w:r>
    </w:p>
    <w:p>
      <w:pPr>
        <w:pStyle w:val="BodyText"/>
        <w:spacing w:before="10"/>
        <w:rPr>
          <w:rFonts w:ascii="Microsoft JhengHei UI"/>
          <w:b/>
          <w:sz w:val="37"/>
        </w:rPr>
      </w:pPr>
    </w:p>
    <w:p>
      <w:pPr>
        <w:pStyle w:val="Heading2"/>
        <w:numPr>
          <w:ilvl w:val="1"/>
          <w:numId w:val="9"/>
        </w:numPr>
        <w:tabs>
          <w:tab w:pos="693" w:val="left" w:leader="none"/>
        </w:tabs>
        <w:spacing w:line="240" w:lineRule="auto" w:before="0" w:after="0"/>
        <w:ind w:left="692" w:right="0" w:hanging="566"/>
        <w:jc w:val="left"/>
      </w:pPr>
      <w:bookmarkStart w:name="_TOC_250045" w:id="68"/>
      <w:bookmarkEnd w:id="68"/>
      <w:r>
        <w:rPr>
          <w:w w:val="95"/>
        </w:rPr>
        <w:t>周岁</w:t>
      </w:r>
    </w:p>
    <w:p>
      <w:pPr>
        <w:pStyle w:val="BodyText"/>
        <w:spacing w:before="13"/>
        <w:rPr>
          <w:rFonts w:ascii="Microsoft JhengHei UI"/>
          <w:b/>
          <w:sz w:val="27"/>
        </w:rPr>
      </w:pPr>
    </w:p>
    <w:p>
      <w:pPr>
        <w:pStyle w:val="BodyText"/>
        <w:spacing w:line="408" w:lineRule="auto"/>
        <w:ind w:left="120" w:right="60"/>
      </w:pPr>
      <w:r>
        <w:rPr/>
        <w:t>指以法定身份证明文件中记载的出生日期为基础</w:t>
      </w:r>
      <w:r>
        <w:rPr>
          <w:w w:val="75"/>
        </w:rPr>
        <w:t>, </w:t>
      </w:r>
      <w:r>
        <w:rPr/>
        <w:t>按照公历的年、月、日，从周岁生日的第</w:t>
      </w:r>
      <w:r>
        <w:rPr>
          <w:w w:val="95"/>
        </w:rPr>
        <w:t>二天起计算的年龄。</w:t>
      </w:r>
    </w:p>
    <w:p>
      <w:pPr>
        <w:pStyle w:val="BodyText"/>
        <w:spacing w:before="3"/>
        <w:rPr>
          <w:sz w:val="22"/>
        </w:rPr>
      </w:pPr>
    </w:p>
    <w:p>
      <w:pPr>
        <w:pStyle w:val="Heading2"/>
        <w:numPr>
          <w:ilvl w:val="1"/>
          <w:numId w:val="9"/>
        </w:numPr>
        <w:tabs>
          <w:tab w:pos="798" w:val="left" w:leader="none"/>
          <w:tab w:pos="799" w:val="left" w:leader="none"/>
        </w:tabs>
        <w:spacing w:line="240" w:lineRule="auto" w:before="0" w:after="0"/>
        <w:ind w:left="798" w:right="0" w:hanging="672"/>
        <w:jc w:val="left"/>
      </w:pPr>
      <w:bookmarkStart w:name="_TOC_250044" w:id="69"/>
      <w:bookmarkEnd w:id="69"/>
      <w:r>
        <w:rPr>
          <w:w w:val="95"/>
        </w:rPr>
        <w:t>医院</w:t>
      </w:r>
    </w:p>
    <w:p>
      <w:pPr>
        <w:pStyle w:val="BodyText"/>
        <w:spacing w:before="15"/>
        <w:rPr>
          <w:rFonts w:ascii="Microsoft JhengHei UI"/>
          <w:b/>
          <w:sz w:val="27"/>
        </w:rPr>
      </w:pPr>
    </w:p>
    <w:p>
      <w:pPr>
        <w:pStyle w:val="BodyText"/>
        <w:ind w:left="120"/>
      </w:pPr>
      <w:r>
        <w:rPr>
          <w:w w:val="95"/>
        </w:rPr>
        <w:t>指国家卫生机构认可的公立二级甲等（含）以上的医院。</w:t>
      </w:r>
    </w:p>
    <w:p>
      <w:pPr>
        <w:pStyle w:val="BodyText"/>
        <w:spacing w:before="3"/>
        <w:rPr>
          <w:sz w:val="33"/>
        </w:rPr>
      </w:pPr>
    </w:p>
    <w:p>
      <w:pPr>
        <w:pStyle w:val="Heading2"/>
        <w:numPr>
          <w:ilvl w:val="1"/>
          <w:numId w:val="9"/>
        </w:numPr>
        <w:tabs>
          <w:tab w:pos="693" w:val="left" w:leader="none"/>
        </w:tabs>
        <w:spacing w:line="240" w:lineRule="auto" w:before="0" w:after="0"/>
        <w:ind w:left="692" w:right="0" w:hanging="566"/>
        <w:jc w:val="left"/>
      </w:pPr>
      <w:bookmarkStart w:name="_TOC_250043" w:id="70"/>
      <w:bookmarkEnd w:id="70"/>
      <w:r>
        <w:rPr>
          <w:w w:val="95"/>
        </w:rPr>
        <w:t>30 种重大疾病</w:t>
      </w:r>
    </w:p>
    <w:p>
      <w:pPr>
        <w:pStyle w:val="BodyText"/>
        <w:spacing w:before="15"/>
        <w:rPr>
          <w:rFonts w:ascii="Microsoft JhengHei UI"/>
          <w:b/>
          <w:sz w:val="27"/>
        </w:rPr>
      </w:pPr>
    </w:p>
    <w:p>
      <w:pPr>
        <w:pStyle w:val="BodyText"/>
        <w:spacing w:line="408" w:lineRule="auto"/>
        <w:ind w:left="120" w:right="117"/>
        <w:jc w:val="both"/>
      </w:pPr>
      <w:r>
        <w:rPr>
          <w:w w:val="95"/>
        </w:rPr>
        <w:t>本产品提供30</w:t>
      </w:r>
      <w:r>
        <w:rPr>
          <w:spacing w:val="-7"/>
          <w:w w:val="95"/>
        </w:rPr>
        <w:t>种重大疾病保障。其中恶性肿瘤、急性心肌梗塞、脑中风后遗症、冠状动脉搭   </w:t>
      </w:r>
      <w:r>
        <w:rPr>
          <w:spacing w:val="-10"/>
          <w:w w:val="95"/>
        </w:rPr>
        <w:t>桥术(或称冠状动脉旁路移植术)、重大器官移植术或造血干细胞移植术、终末期肾病(或称慢 性肾功能衰竭尿毒症期)6种重大疾病为《中国保险行业协会重大疾病使用规范》规定重大疾  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w w:val="95"/>
        </w:rPr>
        <w:t>竭5种重大疾病为我司根据产品设计需求选用。其余19种重大疾病保险为本公司根据中国保</w:t>
      </w:r>
    </w:p>
    <w:p>
      <w:pPr>
        <w:spacing w:after="0" w:line="408" w:lineRule="auto"/>
        <w:jc w:val="both"/>
        <w:sectPr>
          <w:pgSz w:w="11910" w:h="16840"/>
          <w:pgMar w:top="1440" w:bottom="280" w:left="1680" w:right="1680"/>
        </w:sectPr>
      </w:pPr>
    </w:p>
    <w:p>
      <w:pPr>
        <w:pStyle w:val="BodyText"/>
        <w:spacing w:before="32"/>
        <w:ind w:left="120"/>
      </w:pPr>
      <w:bookmarkStart w:name="恶性肿瘤" w:id="71"/>
      <w:bookmarkEnd w:id="71"/>
      <w:r>
        <w:rPr/>
      </w:r>
      <w:bookmarkStart w:name="急性心肌梗塞" w:id="72"/>
      <w:bookmarkEnd w:id="72"/>
      <w:r>
        <w:rPr/>
      </w:r>
      <w:bookmarkStart w:name="脑中风后遗症" w:id="73"/>
      <w:bookmarkEnd w:id="73"/>
      <w:r>
        <w:rPr/>
      </w:r>
      <w:r>
        <w:rPr>
          <w:w w:val="95"/>
        </w:rPr>
        <w:t>险行业协会重大疾病使用规范选择使用。</w:t>
      </w:r>
    </w:p>
    <w:p>
      <w:pPr>
        <w:pStyle w:val="BodyText"/>
        <w:rPr>
          <w:sz w:val="26"/>
        </w:rPr>
      </w:pPr>
    </w:p>
    <w:p>
      <w:pPr>
        <w:pStyle w:val="BodyText"/>
        <w:spacing w:before="6"/>
        <w:rPr>
          <w:sz w:val="24"/>
        </w:rPr>
      </w:pPr>
    </w:p>
    <w:p>
      <w:pPr>
        <w:pStyle w:val="BodyText"/>
        <w:spacing w:line="408" w:lineRule="auto" w:before="1"/>
        <w:ind w:left="120" w:right="197"/>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rPr>
          <w:sz w:val="26"/>
        </w:rPr>
      </w:pPr>
    </w:p>
    <w:p>
      <w:pPr>
        <w:pStyle w:val="BodyText"/>
        <w:spacing w:before="8"/>
        <w:rPr>
          <w:sz w:val="18"/>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42" w:id="74"/>
      <w:bookmarkEnd w:id="74"/>
      <w:r>
        <w:rPr>
          <w:w w:val="95"/>
        </w:rPr>
        <w:t>恶性肿瘤</w:t>
      </w:r>
    </w:p>
    <w:p>
      <w:pPr>
        <w:pStyle w:val="BodyText"/>
        <w:spacing w:before="13"/>
        <w:rPr>
          <w:rFonts w:ascii="Microsoft JhengHei UI"/>
          <w:b/>
          <w:sz w:val="27"/>
        </w:rPr>
      </w:pPr>
    </w:p>
    <w:p>
      <w:pPr>
        <w:pStyle w:val="BodyText"/>
        <w:spacing w:line="408" w:lineRule="auto"/>
        <w:ind w:left="120" w:right="19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46"/>
        <w:ind w:left="120"/>
      </w:pPr>
      <w:r>
        <w:rPr>
          <w:w w:val="95"/>
        </w:rPr>
        <w:t>下列疾病不在保障范围内：</w:t>
      </w:r>
    </w:p>
    <w:p>
      <w:pPr>
        <w:pStyle w:val="BodyText"/>
        <w:spacing w:before="116"/>
        <w:ind w:left="120"/>
      </w:pPr>
      <w:r>
        <w:rPr>
          <w:w w:val="95"/>
        </w:rPr>
        <w:t>（1）原位癌；</w:t>
      </w:r>
    </w:p>
    <w:p>
      <w:pPr>
        <w:pStyle w:val="BodyText"/>
        <w:spacing w:before="36"/>
        <w:ind w:left="120"/>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36"/>
        <w:ind w:left="120"/>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6"/>
        <w:ind w:left="120"/>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5"/>
        <w:ind w:left="120" w:right="0" w:firstLine="0"/>
        <w:jc w:val="left"/>
        <w:rPr>
          <w:sz w:val="21"/>
        </w:rPr>
      </w:pPr>
      <w:r>
        <w:rPr>
          <w:w w:val="99"/>
          <w:sz w:val="21"/>
        </w:rPr>
        <w:t>（</w:t>
      </w:r>
      <w:r>
        <w:rPr>
          <w:w w:val="93"/>
          <w:sz w:val="21"/>
        </w:rPr>
        <w:t>5</w:t>
      </w:r>
      <w:r>
        <w:rPr>
          <w:spacing w:val="11"/>
          <w:w w:val="99"/>
          <w:sz w:val="21"/>
        </w:rPr>
        <w:t>）</w:t>
      </w:r>
      <w:r>
        <w:rPr>
          <w:rFonts w:ascii="Times New Roman" w:eastAsia="Times New Roman"/>
          <w:i/>
          <w:spacing w:val="-56"/>
          <w:position w:val="6"/>
          <w:sz w:val="24"/>
        </w:rPr>
        <w:t>TN</w:t>
      </w:r>
      <w:r>
        <w:rPr>
          <w:rFonts w:ascii="Times New Roman" w:eastAsia="Times New Roman"/>
          <w:i/>
          <w:position w:val="6"/>
          <w:sz w:val="24"/>
        </w:rPr>
        <w:t>M</w:t>
      </w:r>
      <w:r>
        <w:rPr>
          <w:rFonts w:ascii="Times New Roman" w:eastAsia="Times New Roman"/>
          <w:i/>
          <w:spacing w:val="-23"/>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w w:val="99"/>
          <w:sz w:val="21"/>
        </w:rPr>
        <w:t>期或更轻分期的前列腺癌；</w:t>
      </w:r>
    </w:p>
    <w:p>
      <w:pPr>
        <w:pStyle w:val="BodyText"/>
        <w:spacing w:before="197"/>
        <w:ind w:left="120"/>
      </w:pPr>
      <w:r>
        <w:rPr>
          <w:w w:val="95"/>
        </w:rPr>
        <w:t>（6）感染艾滋病病毒或患艾滋病期间所患恶性肿瘤。</w:t>
      </w:r>
    </w:p>
    <w:p>
      <w:pPr>
        <w:pStyle w:val="BodyText"/>
        <w:spacing w:before="12"/>
        <w:rPr>
          <w:sz w:val="31"/>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41" w:id="75"/>
      <w:bookmarkEnd w:id="75"/>
      <w:r>
        <w:rPr>
          <w:w w:val="95"/>
        </w:rPr>
        <w:t>急性心肌梗塞</w:t>
      </w:r>
    </w:p>
    <w:p>
      <w:pPr>
        <w:pStyle w:val="BodyText"/>
        <w:spacing w:before="15"/>
        <w:rPr>
          <w:rFonts w:ascii="Microsoft JhengHei UI"/>
          <w:b/>
          <w:sz w:val="27"/>
        </w:rPr>
      </w:pPr>
    </w:p>
    <w:p>
      <w:pPr>
        <w:pStyle w:val="BodyText"/>
        <w:spacing w:before="1"/>
        <w:ind w:left="120"/>
      </w:pPr>
      <w:r>
        <w:rPr>
          <w:w w:val="95"/>
        </w:rPr>
        <w:t>指因冠状动脉阻塞导致的相应区域供血不足造成部分心肌坏死。须满足下列至少三项条件：</w:t>
      </w:r>
    </w:p>
    <w:p>
      <w:pPr>
        <w:pStyle w:val="BodyText"/>
        <w:spacing w:before="114"/>
        <w:ind w:left="120"/>
      </w:pPr>
      <w:r>
        <w:rPr>
          <w:w w:val="95"/>
        </w:rPr>
        <w:t>（1）典型临床表现，例如急性胸痛等；</w:t>
      </w:r>
    </w:p>
    <w:p>
      <w:pPr>
        <w:pStyle w:val="BodyText"/>
        <w:spacing w:before="37"/>
        <w:ind w:left="120"/>
      </w:pPr>
      <w:r>
        <w:rPr>
          <w:w w:val="95"/>
        </w:rPr>
        <w:t>（2）新近的心电图改变提示急性心肌梗塞；</w:t>
      </w:r>
    </w:p>
    <w:p>
      <w:pPr>
        <w:pStyle w:val="BodyText"/>
        <w:spacing w:before="37"/>
        <w:ind w:left="120"/>
      </w:pPr>
      <w:r>
        <w:rPr>
          <w:w w:val="95"/>
        </w:rPr>
        <w:t>（3）心肌酶或肌钙蛋白有诊断意义的升高，或呈符合急性心肌梗塞的动态性变化；</w:t>
      </w:r>
    </w:p>
    <w:p>
      <w:pPr>
        <w:pStyle w:val="BodyText"/>
        <w:spacing w:before="116"/>
        <w:ind w:left="120"/>
      </w:pPr>
      <w:r>
        <w:rPr/>
        <w:t>（4）发病 90 天后，经检查证实左心室功能降低，如左心室射血分数低于 50%。</w:t>
      </w:r>
    </w:p>
    <w:p>
      <w:pPr>
        <w:pStyle w:val="BodyText"/>
        <w:spacing w:before="10"/>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40" w:id="76"/>
      <w:bookmarkEnd w:id="76"/>
      <w:r>
        <w:rPr>
          <w:w w:val="95"/>
        </w:rPr>
        <w:t>脑中风后遗症</w:t>
      </w:r>
    </w:p>
    <w:p>
      <w:pPr>
        <w:pStyle w:val="BodyText"/>
        <w:spacing w:before="2"/>
        <w:rPr>
          <w:rFonts w:ascii="Microsoft JhengHei UI"/>
          <w:b/>
          <w:sz w:val="23"/>
        </w:rPr>
      </w:pPr>
    </w:p>
    <w:p>
      <w:pPr>
        <w:pStyle w:val="BodyText"/>
        <w:spacing w:line="273" w:lineRule="auto"/>
        <w:ind w:left="120" w:right="19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20"/>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11</w:t>
      </w:r>
      <w:r>
        <w:rPr>
          <w:spacing w:val="-1"/>
          <w:w w:val="43"/>
        </w:rPr>
        <w:t>.</w:t>
      </w:r>
      <w:r>
        <w:rPr>
          <w:w w:val="93"/>
        </w:rPr>
        <w:t>4</w:t>
      </w:r>
      <w:r>
        <w:rPr>
          <w:spacing w:val="-104"/>
          <w:w w:val="99"/>
        </w:rPr>
        <w:t>）</w:t>
      </w:r>
      <w:r>
        <w:rPr>
          <w:w w:val="99"/>
        </w:rPr>
        <w:t>；</w:t>
      </w:r>
    </w:p>
    <w:p>
      <w:pPr>
        <w:pStyle w:val="BodyText"/>
        <w:spacing w:line="312" w:lineRule="exact"/>
        <w:ind w:left="120"/>
      </w:pPr>
      <w:r>
        <w:rPr>
          <w:spacing w:val="-7"/>
        </w:rPr>
        <w:t>（2）</w:t>
      </w:r>
      <w:r>
        <w:rPr>
          <w:rFonts w:ascii="Microsoft JhengHei UI" w:eastAsia="Microsoft JhengHei UI" w:hint="eastAsia"/>
          <w:b/>
          <w:spacing w:val="-48"/>
        </w:rPr>
        <w:t>语</w:t>
      </w:r>
      <w:r>
        <w:rPr>
          <w:spacing w:val="-105"/>
          <w:position w:val="1"/>
        </w:rPr>
        <w:t>言能</w:t>
      </w:r>
      <w:r>
        <w:rPr>
          <w:spacing w:val="-81"/>
        </w:rPr>
        <w:t>言能言能言能</w:t>
      </w:r>
      <w:r>
        <w:rPr>
          <w:spacing w:val="-105"/>
          <w:position w:val="1"/>
        </w:rPr>
        <w:t>力或</w:t>
      </w:r>
      <w:r>
        <w:rPr>
          <w:spacing w:val="-81"/>
        </w:rPr>
        <w:t>力或力或力或</w:t>
      </w:r>
      <w:r>
        <w:rPr>
          <w:spacing w:val="-105"/>
          <w:position w:val="1"/>
        </w:rPr>
        <w:t>咀嚼</w:t>
      </w:r>
      <w:r>
        <w:rPr>
          <w:spacing w:val="-81"/>
        </w:rPr>
        <w:t>咀嚼咀嚼咀嚼</w:t>
      </w:r>
      <w:r>
        <w:rPr>
          <w:spacing w:val="-105"/>
          <w:position w:val="1"/>
        </w:rPr>
        <w:t>吞咽</w:t>
      </w:r>
      <w:r>
        <w:rPr>
          <w:spacing w:val="-81"/>
        </w:rPr>
        <w:t>吞咽吞咽吞咽</w:t>
      </w:r>
      <w:r>
        <w:rPr>
          <w:spacing w:val="-105"/>
          <w:position w:val="1"/>
        </w:rPr>
        <w:t>能力</w:t>
      </w:r>
      <w:r>
        <w:rPr>
          <w:spacing w:val="-81"/>
        </w:rPr>
        <w:t>能力能力能力</w:t>
      </w:r>
      <w:r>
        <w:rPr>
          <w:spacing w:val="-105"/>
          <w:position w:val="1"/>
        </w:rPr>
        <w:t>完全</w:t>
      </w:r>
      <w:r>
        <w:rPr>
          <w:spacing w:val="-81"/>
        </w:rPr>
        <w:t>完全完全完全</w:t>
      </w:r>
      <w:r>
        <w:rPr>
          <w:spacing w:val="-105"/>
          <w:position w:val="1"/>
        </w:rPr>
        <w:t>丧失</w:t>
      </w:r>
      <w:r>
        <w:rPr>
          <w:spacing w:val="-77"/>
        </w:rPr>
        <w:t>丧失丧失丧失</w:t>
      </w:r>
      <w:r>
        <w:rPr/>
        <w:t>（见释义</w:t>
      </w:r>
      <w:r>
        <w:rPr>
          <w:spacing w:val="-101"/>
          <w:w w:val="93"/>
        </w:rPr>
        <w:t>11</w:t>
      </w:r>
      <w:r>
        <w:rPr>
          <w:spacing w:val="-102"/>
          <w:w w:val="43"/>
        </w:rPr>
        <w:t>.</w:t>
      </w:r>
      <w:r>
        <w:rPr>
          <w:spacing w:val="-99"/>
          <w:w w:val="93"/>
        </w:rPr>
        <w:t>5</w:t>
      </w:r>
      <w:r>
        <w:rPr>
          <w:spacing w:val="-207"/>
          <w:w w:val="99"/>
        </w:rPr>
        <w:t>）</w:t>
      </w:r>
      <w:r>
        <w:rPr>
          <w:spacing w:val="-101"/>
          <w:w w:val="99"/>
        </w:rPr>
        <w:t>；</w:t>
      </w:r>
    </w:p>
    <w:p>
      <w:pPr>
        <w:pStyle w:val="BodyText"/>
        <w:spacing w:line="312" w:lineRule="exact" w:before="27"/>
        <w:ind w:left="120" w:right="190"/>
      </w:pPr>
      <w:r>
        <w:rPr>
          <w:spacing w:val="1"/>
          <w:w w:val="99"/>
        </w:rPr>
        <w:t>（</w:t>
      </w:r>
      <w:r>
        <w:rPr>
          <w:w w:val="93"/>
        </w:rPr>
        <w:t>3</w:t>
      </w:r>
      <w:r>
        <w:rPr>
          <w:spacing w:val="1"/>
          <w:w w:val="99"/>
        </w:rPr>
        <w:t>）</w:t>
      </w:r>
      <w:r>
        <w:rPr>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165"/>
          <w:w w:val="99"/>
        </w:rPr>
        <w:t>本日</w:t>
      </w:r>
      <w:r>
        <w:rPr>
          <w:spacing w:val="-263"/>
          <w:w w:val="99"/>
          <w:position w:val="1"/>
        </w:rPr>
        <w:t>日</w:t>
      </w:r>
      <w:r>
        <w:rPr>
          <w:spacing w:val="-164"/>
          <w:w w:val="99"/>
        </w:rPr>
        <w:t>日日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43"/>
          <w:w w:val="99"/>
        </w:rPr>
        <w:t>活</w:t>
      </w:r>
      <w:r>
        <w:rPr>
          <w:spacing w:val="1"/>
          <w:w w:val="99"/>
        </w:rPr>
        <w:t>（</w:t>
      </w:r>
      <w:r>
        <w:rPr>
          <w:spacing w:val="0"/>
          <w:w w:val="99"/>
        </w:rPr>
        <w:t>见释义</w:t>
      </w:r>
      <w:r>
        <w:rPr/>
        <w:t> </w:t>
      </w:r>
      <w:r>
        <w:rPr>
          <w:w w:val="93"/>
        </w:rPr>
        <w:t>11</w:t>
      </w:r>
      <w:r>
        <w:rPr>
          <w:spacing w:val="-1"/>
          <w:w w:val="43"/>
        </w:rPr>
        <w:t>.</w:t>
      </w:r>
      <w:r>
        <w:rPr>
          <w:w w:val="93"/>
        </w:rPr>
        <w:t>6</w:t>
      </w:r>
      <w:r>
        <w:rPr>
          <w:spacing w:val="1"/>
          <w:w w:val="99"/>
        </w:rPr>
        <w:t>）</w:t>
      </w:r>
      <w:r>
        <w:rPr>
          <w:spacing w:val="0"/>
          <w:w w:val="99"/>
        </w:rPr>
        <w:t>活动中的三   </w:t>
      </w:r>
      <w:r>
        <w:rPr>
          <w:w w:val="95"/>
        </w:rPr>
        <w:t>项或三项以上。</w:t>
      </w:r>
    </w:p>
    <w:p>
      <w:pPr>
        <w:spacing w:after="0" w:line="312" w:lineRule="exact"/>
        <w:sectPr>
          <w:pgSz w:w="11910" w:h="16840"/>
          <w:pgMar w:top="1440" w:bottom="280" w:left="1680" w:right="160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39" w:id="77"/>
      <w:bookmarkStart w:name="重大器官移植术或造血干细胞移植术" w:id="78"/>
      <w:r>
        <w:rPr>
          <w:b w:val="0"/>
        </w:rPr>
      </w:r>
      <w:bookmarkStart w:name="冠状动脉搭桥术（或称冠状动脉旁路移植术）" w:id="79"/>
      <w:bookmarkEnd w:id="79"/>
      <w:r>
        <w:rPr>
          <w:b w:val="0"/>
        </w:rPr>
      </w:r>
      <w:bookmarkStart w:name="终末期肾病（或称慢性肾功能衰竭尿毒症期）" w:id="80"/>
      <w:bookmarkEnd w:id="80"/>
      <w:r>
        <w:rPr>
          <w:b w:val="0"/>
        </w:rPr>
      </w:r>
      <w:bookmarkStart w:name="多个肢体缺失" w:id="81"/>
      <w:bookmarkEnd w:id="81"/>
      <w:r>
        <w:rPr>
          <w:b w:val="0"/>
        </w:rPr>
      </w:r>
      <w:bookmarkStart w:name="急性或亚急性重症肝炎" w:id="82"/>
      <w:bookmarkEnd w:id="82"/>
      <w:r>
        <w:rPr>
          <w:b w:val="0"/>
        </w:rPr>
      </w:r>
      <w:bookmarkStart w:name="急性或亚急性重症肝炎" w:id="83"/>
      <w:bookmarkEnd w:id="77"/>
      <w:r>
        <w:rPr>
          <w:w w:val="95"/>
        </w:rPr>
        <w:t>重大器官移植术或造血干细胞移植术</w:t>
      </w:r>
    </w:p>
    <w:p>
      <w:pPr>
        <w:pStyle w:val="BodyText"/>
        <w:spacing w:before="13"/>
        <w:rPr>
          <w:rFonts w:ascii="Microsoft JhengHei UI"/>
          <w:b/>
          <w:sz w:val="27"/>
        </w:rPr>
      </w:pPr>
    </w:p>
    <w:p>
      <w:pPr>
        <w:pStyle w:val="BodyText"/>
        <w:spacing w:line="408" w:lineRule="auto"/>
        <w:ind w:left="120" w:right="117"/>
      </w:pPr>
      <w:r>
        <w:rPr>
          <w:spacing w:val="-6"/>
          <w:w w:val="95"/>
        </w:rPr>
        <w:t>重大器官移植术，指因相应器官功能衰竭，已经实施了肾脏、肝脏、心脏或肺脏的异体移植   手术。</w:t>
      </w:r>
    </w:p>
    <w:p>
      <w:pPr>
        <w:pStyle w:val="BodyText"/>
        <w:spacing w:line="408" w:lineRule="auto" w:before="46"/>
        <w:ind w:left="120" w:right="11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BodyText"/>
        <w:spacing w:before="7"/>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38" w:id="84"/>
      <w:bookmarkEnd w:id="84"/>
      <w:r>
        <w:rPr>
          <w:w w:val="95"/>
        </w:rPr>
        <w:t>冠状动脉搭桥术（或称冠状动脉旁路移植术）</w:t>
      </w:r>
    </w:p>
    <w:p>
      <w:pPr>
        <w:pStyle w:val="BodyText"/>
        <w:spacing w:before="15"/>
        <w:rPr>
          <w:rFonts w:ascii="Microsoft JhengHei UI"/>
          <w:b/>
          <w:sz w:val="27"/>
        </w:rPr>
      </w:pPr>
    </w:p>
    <w:p>
      <w:pPr>
        <w:pStyle w:val="BodyText"/>
        <w:ind w:left="120"/>
      </w:pPr>
      <w:r>
        <w:rPr>
          <w:w w:val="95"/>
        </w:rPr>
        <w:t>指为治疗严重的冠心病，实际实施了开胸进行的冠状动脉血管旁路移植的手术。</w:t>
      </w:r>
    </w:p>
    <w:p>
      <w:pPr>
        <w:pStyle w:val="BodyText"/>
        <w:spacing w:line="408" w:lineRule="auto" w:before="192"/>
        <w:ind w:left="120" w:right="117"/>
      </w:pPr>
      <w:r>
        <w:rPr>
          <w:spacing w:val="-6"/>
          <w:w w:val="95"/>
        </w:rPr>
        <w:t>冠状动脉支架植入术、心导管球囊扩张术、激光射频技术及其他非开胸的介入手术、腔镜手   术不在保障范围内。</w:t>
      </w:r>
    </w:p>
    <w:p>
      <w:pPr>
        <w:pStyle w:val="BodyText"/>
        <w:spacing w:before="9"/>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7" w:id="85"/>
      <w:bookmarkEnd w:id="85"/>
      <w:r>
        <w:rPr>
          <w:w w:val="95"/>
        </w:rPr>
        <w:t>终末期肾病（或称慢性肾功能衰竭尿毒症期）</w:t>
      </w:r>
    </w:p>
    <w:p>
      <w:pPr>
        <w:pStyle w:val="BodyText"/>
        <w:spacing w:before="12"/>
        <w:rPr>
          <w:rFonts w:ascii="Microsoft JhengHei UI"/>
          <w:b/>
          <w:sz w:val="27"/>
        </w:rPr>
      </w:pPr>
    </w:p>
    <w:p>
      <w:pPr>
        <w:pStyle w:val="BodyText"/>
        <w:spacing w:line="408" w:lineRule="auto"/>
        <w:ind w:left="120" w:right="11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pStyle w:val="BodyText"/>
        <w:spacing w:before="9"/>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6" w:id="86"/>
      <w:bookmarkEnd w:id="86"/>
      <w:r>
        <w:rPr>
          <w:w w:val="95"/>
        </w:rPr>
        <w:t>多个肢体缺失</w:t>
      </w:r>
    </w:p>
    <w:p>
      <w:pPr>
        <w:pStyle w:val="BodyText"/>
        <w:spacing w:before="15"/>
        <w:rPr>
          <w:rFonts w:ascii="Microsoft JhengHei UI"/>
          <w:b/>
          <w:sz w:val="27"/>
        </w:rPr>
      </w:pPr>
    </w:p>
    <w:p>
      <w:pPr>
        <w:pStyle w:val="BodyText"/>
        <w:spacing w:line="408" w:lineRule="auto"/>
        <w:ind w:left="120"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BodyText"/>
        <w:spacing w:before="7"/>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5" w:id="87"/>
      <w:bookmarkEnd w:id="87"/>
      <w:r>
        <w:rPr>
          <w:w w:val="95"/>
        </w:rPr>
        <w:t>急性或亚急性重症肝炎</w:t>
      </w:r>
    </w:p>
    <w:p>
      <w:pPr>
        <w:pStyle w:val="BodyText"/>
        <w:spacing w:before="15"/>
        <w:rPr>
          <w:rFonts w:ascii="Microsoft JhengHei UI"/>
          <w:b/>
          <w:sz w:val="27"/>
        </w:rPr>
      </w:pPr>
    </w:p>
    <w:p>
      <w:pPr>
        <w:pStyle w:val="BodyText"/>
        <w:spacing w:line="408" w:lineRule="auto"/>
        <w:ind w:left="120"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46"/>
        <w:ind w:left="120"/>
      </w:pPr>
      <w:r>
        <w:rPr>
          <w:w w:val="95"/>
        </w:rPr>
        <w:t>（1）重度黄疸或黄疸迅速加重；</w:t>
      </w:r>
    </w:p>
    <w:p>
      <w:pPr>
        <w:pStyle w:val="BodyText"/>
        <w:spacing w:before="193"/>
        <w:ind w:left="120"/>
      </w:pPr>
      <w:r>
        <w:rPr>
          <w:w w:val="95"/>
        </w:rPr>
        <w:t>（2）肝性脑病；</w:t>
      </w:r>
    </w:p>
    <w:p>
      <w:pPr>
        <w:pStyle w:val="BodyText"/>
        <w:spacing w:before="193"/>
        <w:ind w:left="120"/>
      </w:pPr>
      <w:r>
        <w:rPr/>
        <w:t>（3）B 超或其他影像学检查显示肝脏体积急速萎缩；</w:t>
      </w:r>
    </w:p>
    <w:p>
      <w:pPr>
        <w:pStyle w:val="BodyText"/>
        <w:spacing w:before="193"/>
        <w:ind w:left="120"/>
      </w:pPr>
      <w:r>
        <w:rPr>
          <w:w w:val="95"/>
        </w:rPr>
        <w:t>（4）肝功能指标进行性恶化。</w:t>
      </w:r>
    </w:p>
    <w:p>
      <w:pPr>
        <w:spacing w:after="0"/>
        <w:sectPr>
          <w:pgSz w:w="11910" w:h="16840"/>
          <w:pgMar w:top="1460" w:bottom="28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34" w:id="88"/>
      <w:bookmarkStart w:name="良性脑肿瘤" w:id="89"/>
      <w:r>
        <w:rPr>
          <w:b w:val="0"/>
        </w:rPr>
      </w:r>
      <w:bookmarkStart w:name="慢性肝功能衰竭失代偿期" w:id="90"/>
      <w:bookmarkEnd w:id="90"/>
      <w:r>
        <w:rPr>
          <w:b w:val="0"/>
        </w:rPr>
      </w:r>
      <w:bookmarkStart w:name="脑炎后遗症或脑膜炎后遗症" w:id="91"/>
      <w:bookmarkEnd w:id="91"/>
      <w:r>
        <w:rPr>
          <w:b w:val="0"/>
        </w:rPr>
      </w:r>
      <w:bookmarkStart w:name="深度昏迷" w:id="92"/>
      <w:bookmarkEnd w:id="92"/>
      <w:r>
        <w:rPr>
          <w:b w:val="0"/>
        </w:rPr>
      </w:r>
      <w:bookmarkStart w:name="深度昏迷" w:id="93"/>
      <w:bookmarkEnd w:id="88"/>
      <w:r>
        <w:rPr>
          <w:w w:val="95"/>
        </w:rPr>
        <w:t>良性脑肿瘤</w:t>
      </w:r>
    </w:p>
    <w:p>
      <w:pPr>
        <w:pStyle w:val="BodyText"/>
        <w:spacing w:before="13"/>
        <w:rPr>
          <w:rFonts w:ascii="Microsoft JhengHei UI"/>
          <w:b/>
          <w:sz w:val="27"/>
        </w:rPr>
      </w:pPr>
    </w:p>
    <w:p>
      <w:pPr>
        <w:pStyle w:val="BodyText"/>
        <w:spacing w:line="408" w:lineRule="auto"/>
        <w:ind w:left="120"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46"/>
        <w:ind w:left="120"/>
        <w:jc w:val="both"/>
      </w:pPr>
      <w:r>
        <w:rPr>
          <w:w w:val="95"/>
        </w:rPr>
        <w:t>（1）实际实施了开颅进行的脑肿瘤完全切除或部分切除的手术；</w:t>
      </w:r>
    </w:p>
    <w:p>
      <w:pPr>
        <w:pStyle w:val="BodyText"/>
        <w:spacing w:before="193"/>
        <w:ind w:left="120"/>
        <w:jc w:val="both"/>
      </w:pPr>
      <w:r>
        <w:rPr>
          <w:w w:val="95"/>
        </w:rPr>
        <w:t>（2）实际实施了对脑肿瘤进行的放射治疗。</w:t>
      </w:r>
    </w:p>
    <w:p>
      <w:pPr>
        <w:pStyle w:val="BodyText"/>
        <w:spacing w:before="193"/>
        <w:ind w:left="120"/>
        <w:jc w:val="both"/>
      </w:pPr>
      <w:r>
        <w:rPr>
          <w:w w:val="95"/>
        </w:rPr>
        <w:t>脑垂体瘤、脑囊肿、脑血管性疾病不在保障范围内。</w:t>
      </w:r>
    </w:p>
    <w:p>
      <w:pPr>
        <w:pStyle w:val="BodyText"/>
        <w:rPr>
          <w:sz w:val="32"/>
        </w:rPr>
      </w:pPr>
    </w:p>
    <w:p>
      <w:pPr>
        <w:pStyle w:val="Heading2"/>
        <w:numPr>
          <w:ilvl w:val="2"/>
          <w:numId w:val="9"/>
        </w:numPr>
        <w:tabs>
          <w:tab w:pos="1207" w:val="left" w:leader="none"/>
        </w:tabs>
        <w:spacing w:line="240" w:lineRule="auto" w:before="0" w:after="0"/>
        <w:ind w:left="1206" w:right="0" w:hanging="1086"/>
        <w:jc w:val="both"/>
      </w:pPr>
      <w:bookmarkStart w:name="_TOC_250033" w:id="94"/>
      <w:bookmarkEnd w:id="94"/>
      <w:r>
        <w:rPr>
          <w:w w:val="95"/>
        </w:rPr>
        <w:t>慢性肝功能衰竭失代偿期</w:t>
      </w:r>
    </w:p>
    <w:p>
      <w:pPr>
        <w:pStyle w:val="BodyText"/>
        <w:spacing w:before="13"/>
        <w:rPr>
          <w:rFonts w:ascii="Microsoft JhengHei UI"/>
          <w:b/>
          <w:sz w:val="27"/>
        </w:rPr>
      </w:pPr>
    </w:p>
    <w:p>
      <w:pPr>
        <w:pStyle w:val="BodyText"/>
        <w:ind w:left="120"/>
        <w:jc w:val="both"/>
      </w:pPr>
      <w:r>
        <w:rPr>
          <w:w w:val="95"/>
        </w:rPr>
        <w:t>指因慢性肝脏疾病导致肝功能衰竭。须满足下列全部条件：</w:t>
      </w:r>
    </w:p>
    <w:p>
      <w:pPr>
        <w:pStyle w:val="BodyText"/>
        <w:spacing w:before="193"/>
        <w:ind w:left="120"/>
        <w:jc w:val="both"/>
      </w:pPr>
      <w:r>
        <w:rPr>
          <w:w w:val="95"/>
        </w:rPr>
        <w:t>（1）持续性黄疸；</w:t>
      </w:r>
    </w:p>
    <w:p>
      <w:pPr>
        <w:pStyle w:val="BodyText"/>
        <w:spacing w:before="193"/>
        <w:ind w:left="120"/>
        <w:jc w:val="both"/>
      </w:pPr>
      <w:r>
        <w:rPr>
          <w:w w:val="95"/>
        </w:rPr>
        <w:t>（2）腹水；</w:t>
      </w:r>
    </w:p>
    <w:p>
      <w:pPr>
        <w:pStyle w:val="BodyText"/>
        <w:spacing w:before="193"/>
        <w:ind w:left="120"/>
        <w:jc w:val="both"/>
      </w:pPr>
      <w:r>
        <w:rPr>
          <w:w w:val="95"/>
        </w:rPr>
        <w:t>（3）肝性脑病；</w:t>
      </w:r>
    </w:p>
    <w:p>
      <w:pPr>
        <w:pStyle w:val="BodyText"/>
        <w:spacing w:line="408" w:lineRule="auto" w:before="193"/>
        <w:ind w:left="120" w:right="3287"/>
      </w:pPr>
      <w:r>
        <w:rPr>
          <w:w w:val="95"/>
        </w:rPr>
        <w:t>（4）充血性脾肿大伴脾功能亢进或食管胃底静脉曲张。 因酗酒或药物滥用导致的肝功能衰竭不在保障范围内。</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2" w:id="95"/>
      <w:bookmarkEnd w:id="95"/>
      <w:r>
        <w:rPr>
          <w:w w:val="95"/>
        </w:rPr>
        <w:t>脑炎后遗症或脑膜炎后遗症</w:t>
      </w:r>
    </w:p>
    <w:p>
      <w:pPr>
        <w:pStyle w:val="BodyText"/>
        <w:spacing w:before="14"/>
        <w:rPr>
          <w:rFonts w:ascii="Microsoft JhengHei UI"/>
          <w:b/>
          <w:sz w:val="22"/>
        </w:rPr>
      </w:pPr>
    </w:p>
    <w:p>
      <w:pPr>
        <w:pStyle w:val="BodyText"/>
        <w:spacing w:line="400" w:lineRule="auto"/>
        <w:ind w:left="120"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42"/>
        <w:ind w:left="120"/>
        <w:jc w:val="both"/>
      </w:pPr>
      <w:r>
        <w:rPr>
          <w:w w:val="95"/>
        </w:rPr>
        <w:t>（1）一肢或一肢以上肢体机能完全丧失；</w:t>
      </w:r>
    </w:p>
    <w:p>
      <w:pPr>
        <w:pStyle w:val="BodyText"/>
        <w:spacing w:before="181"/>
        <w:ind w:left="120"/>
        <w:jc w:val="both"/>
      </w:pPr>
      <w:r>
        <w:rPr>
          <w:w w:val="95"/>
        </w:rPr>
        <w:t>（2）语言能力或咀嚼吞咽能力完全丧失；</w:t>
      </w:r>
    </w:p>
    <w:p>
      <w:pPr>
        <w:pStyle w:val="BodyText"/>
        <w:spacing w:before="183"/>
        <w:ind w:left="120"/>
        <w:jc w:val="both"/>
      </w:pPr>
      <w:r>
        <w:rPr>
          <w:w w:val="95"/>
        </w:rPr>
        <w:t>（3）自主生活能力完全丧失，无法独立完成六项基本日常生活活动中的三项或三项以上。</w:t>
      </w:r>
    </w:p>
    <w:p>
      <w:pPr>
        <w:pStyle w:val="BodyText"/>
        <w:spacing w:before="3"/>
        <w:rPr>
          <w:sz w:val="37"/>
        </w:rPr>
      </w:pPr>
    </w:p>
    <w:p>
      <w:pPr>
        <w:pStyle w:val="Heading2"/>
        <w:numPr>
          <w:ilvl w:val="2"/>
          <w:numId w:val="9"/>
        </w:numPr>
        <w:tabs>
          <w:tab w:pos="1207" w:val="left" w:leader="none"/>
        </w:tabs>
        <w:spacing w:line="240" w:lineRule="auto" w:before="0" w:after="0"/>
        <w:ind w:left="1206" w:right="0" w:hanging="1086"/>
        <w:jc w:val="both"/>
      </w:pPr>
      <w:bookmarkStart w:name="_TOC_250031" w:id="96"/>
      <w:bookmarkEnd w:id="96"/>
      <w:r>
        <w:rPr>
          <w:w w:val="95"/>
        </w:rPr>
        <w:t>深度昏迷</w:t>
      </w:r>
    </w:p>
    <w:p>
      <w:pPr>
        <w:pStyle w:val="BodyText"/>
        <w:spacing w:before="15"/>
        <w:rPr>
          <w:rFonts w:ascii="Microsoft JhengHei UI"/>
          <w:b/>
          <w:sz w:val="27"/>
        </w:rPr>
      </w:pPr>
    </w:p>
    <w:p>
      <w:pPr>
        <w:pStyle w:val="BodyText"/>
        <w:spacing w:line="408" w:lineRule="auto"/>
        <w:ind w:left="120"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46"/>
        <w:ind w:left="120"/>
        <w:jc w:val="both"/>
      </w:pPr>
      <w:r>
        <w:rPr>
          <w:w w:val="95"/>
        </w:rPr>
        <w:t>因酗酒或药物滥用导致的深度昏迷不在保障范围内。</w:t>
      </w:r>
    </w:p>
    <w:p>
      <w:pPr>
        <w:spacing w:after="0"/>
        <w:jc w:val="both"/>
        <w:sectPr>
          <w:pgSz w:w="11910" w:h="16840"/>
          <w:pgMar w:top="1460" w:bottom="28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30" w:id="97"/>
      <w:bookmarkStart w:name="双耳失聪" w:id="98"/>
      <w:r>
        <w:rPr>
          <w:b w:val="0"/>
        </w:rPr>
      </w:r>
      <w:bookmarkStart w:name="双目失明" w:id="99"/>
      <w:bookmarkEnd w:id="99"/>
      <w:r>
        <w:rPr>
          <w:b w:val="0"/>
        </w:rPr>
      </w:r>
      <w:bookmarkStart w:name="瘫痪" w:id="100"/>
      <w:bookmarkEnd w:id="100"/>
      <w:r>
        <w:rPr>
          <w:b w:val="0"/>
        </w:rPr>
      </w:r>
      <w:bookmarkStart w:name="心脏瓣膜手术" w:id="101"/>
      <w:bookmarkEnd w:id="101"/>
      <w:r>
        <w:rPr>
          <w:b w:val="0"/>
        </w:rPr>
      </w:r>
      <w:bookmarkStart w:name="严重阿尔茨海默病" w:id="102"/>
      <w:bookmarkEnd w:id="102"/>
      <w:r>
        <w:rPr>
          <w:b w:val="0"/>
        </w:rPr>
      </w:r>
      <w:bookmarkStart w:name="严重阿尔茨海默病" w:id="103"/>
      <w:bookmarkEnd w:id="97"/>
      <w:r>
        <w:rPr>
          <w:w w:val="95"/>
        </w:rPr>
        <w:t>双耳失聪</w:t>
      </w:r>
    </w:p>
    <w:p>
      <w:pPr>
        <w:pStyle w:val="BodyText"/>
        <w:rPr>
          <w:rFonts w:ascii="Microsoft JhengHei UI"/>
          <w:b/>
          <w:sz w:val="20"/>
        </w:rPr>
      </w:pPr>
    </w:p>
    <w:p>
      <w:pPr>
        <w:pStyle w:val="BodyText"/>
        <w:spacing w:line="468" w:lineRule="exact"/>
        <w:ind w:left="120" w:right="106"/>
        <w:jc w:val="both"/>
      </w:pPr>
      <w:r>
        <w:rPr>
          <w:spacing w:val="3"/>
          <w:w w:val="99"/>
        </w:rPr>
        <w:t>指因疾病或意外伤害导致双耳听力</w:t>
      </w:r>
      <w:r>
        <w:rPr>
          <w:rFonts w:ascii="Microsoft JhengHei UI" w:eastAsia="Microsoft JhengHei UI" w:hint="eastAsia"/>
          <w:b/>
          <w:spacing w:val="-57"/>
          <w:w w:val="99"/>
        </w:rPr>
        <w:t>永</w:t>
      </w:r>
      <w:r>
        <w:rPr>
          <w:spacing w:val="-267"/>
          <w:w w:val="99"/>
          <w:position w:val="1"/>
        </w:rPr>
        <w:t>久</w:t>
      </w:r>
      <w:r>
        <w:rPr>
          <w:spacing w:val="-264"/>
          <w:w w:val="99"/>
        </w:rPr>
        <w:t>久久</w:t>
      </w:r>
      <w:r>
        <w:rPr>
          <w:spacing w:val="-57"/>
          <w:w w:val="99"/>
        </w:rPr>
        <w:t>久</w:t>
      </w:r>
      <w:r>
        <w:rPr>
          <w:spacing w:val="-267"/>
          <w:w w:val="99"/>
          <w:position w:val="1"/>
        </w:rPr>
        <w:t>不</w:t>
      </w:r>
      <w:r>
        <w:rPr>
          <w:spacing w:val="-264"/>
          <w:w w:val="99"/>
        </w:rPr>
        <w:t>不不</w:t>
      </w:r>
      <w:r>
        <w:rPr>
          <w:spacing w:val="-57"/>
          <w:w w:val="99"/>
        </w:rPr>
        <w:t>不</w:t>
      </w:r>
      <w:r>
        <w:rPr>
          <w:spacing w:val="-267"/>
          <w:w w:val="99"/>
          <w:position w:val="1"/>
        </w:rPr>
        <w:t>可</w:t>
      </w:r>
      <w:r>
        <w:rPr>
          <w:spacing w:val="-264"/>
          <w:w w:val="99"/>
        </w:rPr>
        <w:t>可可</w:t>
      </w:r>
      <w:r>
        <w:rPr>
          <w:spacing w:val="-57"/>
          <w:w w:val="99"/>
        </w:rPr>
        <w:t>可</w:t>
      </w:r>
      <w:r>
        <w:rPr>
          <w:spacing w:val="-267"/>
          <w:w w:val="99"/>
          <w:position w:val="1"/>
        </w:rPr>
        <w:t>逆</w:t>
      </w:r>
      <w:r>
        <w:rPr>
          <w:spacing w:val="-264"/>
          <w:w w:val="99"/>
        </w:rPr>
        <w:t>逆逆</w:t>
      </w:r>
      <w:r>
        <w:rPr>
          <w:spacing w:val="-41"/>
          <w:w w:val="99"/>
        </w:rPr>
        <w:t>逆</w:t>
      </w:r>
      <w:r>
        <w:rPr>
          <w:spacing w:val="6"/>
          <w:w w:val="99"/>
        </w:rPr>
        <w:t>（</w:t>
      </w:r>
      <w:r>
        <w:rPr>
          <w:spacing w:val="2"/>
          <w:w w:val="99"/>
        </w:rPr>
        <w:t>见释义</w:t>
      </w:r>
      <w:r>
        <w:rPr>
          <w:spacing w:val="-46"/>
        </w:rPr>
        <w:t> </w:t>
      </w:r>
      <w:r>
        <w:rPr>
          <w:w w:val="93"/>
        </w:rPr>
        <w:t>11</w:t>
      </w:r>
      <w:r>
        <w:rPr>
          <w:spacing w:val="-1"/>
          <w:w w:val="43"/>
        </w:rPr>
        <w:t>.</w:t>
      </w:r>
      <w:r>
        <w:rPr>
          <w:spacing w:val="6"/>
          <w:w w:val="93"/>
        </w:rPr>
        <w:t>7</w:t>
      </w:r>
      <w:r>
        <w:rPr>
          <w:spacing w:val="3"/>
          <w:w w:val="99"/>
        </w:rPr>
        <w:t>）</w:t>
      </w:r>
      <w:r>
        <w:rPr>
          <w:spacing w:val="2"/>
          <w:w w:val="99"/>
        </w:rPr>
        <w:t>性丧失，在</w:t>
      </w:r>
      <w:r>
        <w:rPr>
          <w:spacing w:val="-41"/>
        </w:rPr>
        <w:t> </w:t>
      </w:r>
      <w:r>
        <w:rPr>
          <w:w w:val="93"/>
        </w:rPr>
        <w:t>500</w:t>
      </w:r>
      <w:r>
        <w:rPr>
          <w:spacing w:val="-47"/>
        </w:rPr>
        <w:t> </w:t>
      </w:r>
      <w:r>
        <w:rPr>
          <w:spacing w:val="5"/>
          <w:w w:val="99"/>
        </w:rPr>
        <w:t>赫兹、</w:t>
      </w:r>
      <w:r>
        <w:rPr>
          <w:w w:val="93"/>
        </w:rPr>
        <w:t>10</w:t>
      </w:r>
      <w:r>
        <w:rPr>
          <w:spacing w:val="1"/>
          <w:w w:val="93"/>
        </w:rPr>
        <w:t>0</w:t>
      </w:r>
      <w:r>
        <w:rPr>
          <w:w w:val="93"/>
        </w:rPr>
        <w:t>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BodyText"/>
        <w:spacing w:before="11"/>
        <w:rPr>
          <w:sz w:val="26"/>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9" w:id="104"/>
      <w:bookmarkEnd w:id="104"/>
      <w:r>
        <w:rPr>
          <w:w w:val="95"/>
        </w:rPr>
        <w:t>双目失明</w:t>
      </w:r>
    </w:p>
    <w:p>
      <w:pPr>
        <w:pStyle w:val="BodyText"/>
        <w:spacing w:before="15"/>
        <w:rPr>
          <w:rFonts w:ascii="Microsoft JhengHei UI"/>
          <w:b/>
          <w:sz w:val="27"/>
        </w:rPr>
      </w:pPr>
    </w:p>
    <w:p>
      <w:pPr>
        <w:pStyle w:val="BodyText"/>
        <w:spacing w:line="408" w:lineRule="auto"/>
        <w:ind w:left="120" w:right="117"/>
      </w:pPr>
      <w:r>
        <w:rPr>
          <w:spacing w:val="-4"/>
        </w:rPr>
        <w:t>指因疾病或意外伤害导致双眼视力永久不可逆性丧失，双眼中较好眼须满足下列至少一项条</w:t>
      </w:r>
      <w:r>
        <w:rPr>
          <w:spacing w:val="-4"/>
          <w:w w:val="95"/>
        </w:rPr>
        <w:t>件：</w:t>
      </w:r>
    </w:p>
    <w:p>
      <w:pPr>
        <w:pStyle w:val="BodyText"/>
        <w:spacing w:before="46"/>
        <w:ind w:left="120"/>
        <w:jc w:val="both"/>
      </w:pPr>
      <w:r>
        <w:rPr>
          <w:w w:val="95"/>
        </w:rPr>
        <w:t>（1）眼球缺失或摘除；</w:t>
      </w:r>
    </w:p>
    <w:p>
      <w:pPr>
        <w:pStyle w:val="BodyText"/>
        <w:spacing w:before="193"/>
        <w:ind w:left="120"/>
        <w:jc w:val="both"/>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3"/>
        <w:ind w:left="120"/>
        <w:jc w:val="both"/>
      </w:pPr>
      <w:r>
        <w:rPr/>
        <w:t>（3）视野半径小于 5 度。</w:t>
      </w:r>
    </w:p>
    <w:p>
      <w:pPr>
        <w:pStyle w:val="BodyText"/>
        <w:rPr>
          <w:sz w:val="32"/>
        </w:rPr>
      </w:pPr>
    </w:p>
    <w:p>
      <w:pPr>
        <w:pStyle w:val="Heading2"/>
        <w:numPr>
          <w:ilvl w:val="2"/>
          <w:numId w:val="9"/>
        </w:numPr>
        <w:tabs>
          <w:tab w:pos="1207" w:val="left" w:leader="none"/>
        </w:tabs>
        <w:spacing w:line="240" w:lineRule="auto" w:before="0" w:after="0"/>
        <w:ind w:left="1206" w:right="0" w:hanging="1086"/>
        <w:jc w:val="both"/>
      </w:pPr>
      <w:bookmarkStart w:name="_TOC_250028" w:id="105"/>
      <w:bookmarkEnd w:id="105"/>
      <w:r>
        <w:rPr>
          <w:w w:val="95"/>
        </w:rPr>
        <w:t>瘫痪</w:t>
      </w:r>
    </w:p>
    <w:p>
      <w:pPr>
        <w:pStyle w:val="BodyText"/>
        <w:spacing w:before="13"/>
        <w:rPr>
          <w:rFonts w:ascii="Microsoft JhengHei UI"/>
          <w:b/>
          <w:sz w:val="27"/>
        </w:rPr>
      </w:pPr>
    </w:p>
    <w:p>
      <w:pPr>
        <w:pStyle w:val="BodyText"/>
        <w:spacing w:line="408" w:lineRule="auto"/>
        <w:ind w:left="120" w:right="11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pStyle w:val="BodyText"/>
        <w:spacing w:before="9"/>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7" w:id="106"/>
      <w:bookmarkEnd w:id="106"/>
      <w:r>
        <w:rPr>
          <w:w w:val="95"/>
        </w:rPr>
        <w:t>心脏瓣膜手术</w:t>
      </w:r>
    </w:p>
    <w:p>
      <w:pPr>
        <w:pStyle w:val="BodyText"/>
        <w:spacing w:before="15"/>
        <w:rPr>
          <w:rFonts w:ascii="Microsoft JhengHei UI"/>
          <w:b/>
          <w:sz w:val="27"/>
        </w:rPr>
      </w:pPr>
    </w:p>
    <w:p>
      <w:pPr>
        <w:pStyle w:val="BodyText"/>
        <w:spacing w:before="1"/>
        <w:ind w:left="120"/>
      </w:pPr>
      <w:r>
        <w:rPr>
          <w:w w:val="95"/>
        </w:rPr>
        <w:t>指为治疗心脏瓣膜疾病，实际实施了开胸进行的心脏瓣膜置换或修复的手术。</w:t>
      </w:r>
    </w:p>
    <w:p>
      <w:pPr>
        <w:pStyle w:val="BodyText"/>
        <w:spacing w:before="11"/>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6" w:id="107"/>
      <w:bookmarkEnd w:id="107"/>
      <w:r>
        <w:rPr>
          <w:w w:val="95"/>
        </w:rPr>
        <w:t>严重阿尔茨海默病</w:t>
      </w:r>
    </w:p>
    <w:p>
      <w:pPr>
        <w:pStyle w:val="BodyText"/>
        <w:spacing w:before="15"/>
        <w:rPr>
          <w:rFonts w:ascii="Microsoft JhengHei UI"/>
          <w:b/>
          <w:sz w:val="27"/>
        </w:rPr>
      </w:pPr>
    </w:p>
    <w:p>
      <w:pPr>
        <w:pStyle w:val="BodyText"/>
        <w:spacing w:line="408" w:lineRule="auto"/>
        <w:ind w:left="120" w:right="11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r>
        <w:rPr>
          <w:w w:val="95"/>
        </w:rPr>
        <w:t>完全丧失，无法独立完成六项基本日常生活活动中的三项或三项以上。</w:t>
      </w:r>
    </w:p>
    <w:p>
      <w:pPr>
        <w:pStyle w:val="BodyText"/>
        <w:spacing w:before="45"/>
        <w:ind w:left="120"/>
        <w:jc w:val="both"/>
      </w:pPr>
      <w:r>
        <w:rPr>
          <w:w w:val="95"/>
        </w:rPr>
        <w:t>神经官能症和精神疾病不在保障范围内。</w:t>
      </w:r>
    </w:p>
    <w:p>
      <w:pPr>
        <w:spacing w:after="0"/>
        <w:jc w:val="both"/>
        <w:sectPr>
          <w:pgSz w:w="11910" w:h="16840"/>
          <w:pgMar w:top="1460" w:bottom="28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25" w:id="108"/>
      <w:bookmarkStart w:name="严重脑损伤" w:id="109"/>
      <w:r>
        <w:rPr>
          <w:b w:val="0"/>
        </w:rPr>
      </w:r>
      <w:bookmarkStart w:name="严重帕金森病" w:id="110"/>
      <w:bookmarkEnd w:id="110"/>
      <w:r>
        <w:rPr>
          <w:b w:val="0"/>
        </w:rPr>
      </w:r>
      <w:bookmarkStart w:name="严重III度烧伤" w:id="111"/>
      <w:bookmarkEnd w:id="111"/>
      <w:r>
        <w:rPr>
          <w:b w:val="0"/>
        </w:rPr>
      </w:r>
      <w:bookmarkStart w:name="严重原发性肺动脉高压" w:id="112"/>
      <w:bookmarkEnd w:id="112"/>
      <w:r>
        <w:rPr>
          <w:b w:val="0"/>
        </w:rPr>
      </w:r>
      <w:bookmarkStart w:name="严重运动神经元病" w:id="113"/>
      <w:bookmarkEnd w:id="113"/>
      <w:r>
        <w:rPr>
          <w:b w:val="0"/>
        </w:rPr>
      </w:r>
      <w:bookmarkStart w:name="严重运动神经元病" w:id="114"/>
      <w:bookmarkEnd w:id="108"/>
      <w:r>
        <w:rPr>
          <w:w w:val="95"/>
        </w:rPr>
        <w:t>严重脑损伤</w:t>
      </w:r>
    </w:p>
    <w:p>
      <w:pPr>
        <w:pStyle w:val="BodyText"/>
        <w:spacing w:before="13"/>
        <w:rPr>
          <w:rFonts w:ascii="Microsoft JhengHei UI"/>
          <w:b/>
          <w:sz w:val="27"/>
        </w:rPr>
      </w:pPr>
    </w:p>
    <w:p>
      <w:pPr>
        <w:pStyle w:val="BodyText"/>
        <w:spacing w:line="408" w:lineRule="auto"/>
        <w:ind w:left="120" w:right="105"/>
        <w:jc w:val="both"/>
      </w:pPr>
      <w:r>
        <w:rPr>
          <w:spacing w:val="-6"/>
        </w:rPr>
        <w:t>指因头部遭受机械性外力，引起脑重要部位损伤，导致神经系统永久性的功能障碍。须由头</w:t>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46"/>
        <w:ind w:left="120"/>
        <w:jc w:val="both"/>
      </w:pPr>
      <w:r>
        <w:rPr>
          <w:w w:val="95"/>
        </w:rPr>
        <w:t>（1）一肢或一肢以上肢体机能完全丧失；</w:t>
      </w:r>
    </w:p>
    <w:p>
      <w:pPr>
        <w:pStyle w:val="BodyText"/>
        <w:spacing w:before="193"/>
        <w:ind w:left="120"/>
        <w:jc w:val="both"/>
      </w:pPr>
      <w:r>
        <w:rPr>
          <w:w w:val="95"/>
        </w:rPr>
        <w:t>（2）语言能力或咀嚼吞咽能力完全丧失；</w:t>
      </w:r>
    </w:p>
    <w:p>
      <w:pPr>
        <w:pStyle w:val="BodyText"/>
        <w:spacing w:before="193"/>
        <w:ind w:left="120"/>
        <w:jc w:val="both"/>
      </w:pPr>
      <w:r>
        <w:rPr>
          <w:w w:val="95"/>
        </w:rPr>
        <w:t>（3）自主生活能力完全丧失，无法独立完成六项基本日常生活活动中的三项或三项以上。</w:t>
      </w:r>
    </w:p>
    <w:p>
      <w:pPr>
        <w:pStyle w:val="BodyText"/>
        <w:rPr>
          <w:sz w:val="32"/>
        </w:rPr>
      </w:pPr>
    </w:p>
    <w:p>
      <w:pPr>
        <w:pStyle w:val="Heading2"/>
        <w:numPr>
          <w:ilvl w:val="2"/>
          <w:numId w:val="9"/>
        </w:numPr>
        <w:tabs>
          <w:tab w:pos="1207" w:val="left" w:leader="none"/>
        </w:tabs>
        <w:spacing w:line="240" w:lineRule="auto" w:before="0" w:after="0"/>
        <w:ind w:left="1206" w:right="0" w:hanging="1086"/>
        <w:jc w:val="both"/>
      </w:pPr>
      <w:bookmarkStart w:name="_TOC_250024" w:id="115"/>
      <w:bookmarkEnd w:id="115"/>
      <w:r>
        <w:rPr>
          <w:w w:val="95"/>
        </w:rPr>
        <w:t>严重帕金森病</w:t>
      </w:r>
    </w:p>
    <w:p>
      <w:pPr>
        <w:pStyle w:val="BodyText"/>
        <w:spacing w:before="13"/>
        <w:rPr>
          <w:rFonts w:ascii="Microsoft JhengHei UI"/>
          <w:b/>
          <w:sz w:val="27"/>
        </w:rPr>
      </w:pPr>
    </w:p>
    <w:p>
      <w:pPr>
        <w:pStyle w:val="BodyText"/>
        <w:spacing w:line="408" w:lineRule="auto"/>
        <w:ind w:left="120" w:right="177"/>
      </w:pPr>
      <w:r>
        <w:rPr>
          <w:spacing w:val="-5"/>
        </w:rPr>
        <w:t>是一种中枢神经系统的退行性疾病，临床表现为震颤麻痹、共济失调等。须满足下列全部条</w:t>
      </w:r>
      <w:r>
        <w:rPr>
          <w:spacing w:val="-5"/>
          <w:w w:val="95"/>
        </w:rPr>
        <w:t>件：</w:t>
      </w:r>
    </w:p>
    <w:p>
      <w:pPr>
        <w:pStyle w:val="BodyText"/>
        <w:spacing w:before="46"/>
        <w:ind w:left="120"/>
      </w:pPr>
      <w:r>
        <w:rPr>
          <w:w w:val="95"/>
        </w:rPr>
        <w:t>（1）药物治疗无法控制病情；</w:t>
      </w:r>
    </w:p>
    <w:p>
      <w:pPr>
        <w:pStyle w:val="BodyText"/>
        <w:spacing w:line="408" w:lineRule="auto" w:before="193"/>
        <w:ind w:left="120" w:right="196"/>
      </w:pPr>
      <w:r>
        <w:rPr>
          <w:w w:val="95"/>
        </w:rPr>
        <w:t>（2）自主生活能力完全丧失，无法独立完成六项基本日常生活活动中的三项或三项以上。   继发性帕金森综合症不在保障范围内。</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3" w:id="116"/>
      <w:r>
        <w:rPr>
          <w:spacing w:val="5"/>
        </w:rPr>
        <w:t>严重 </w:t>
      </w:r>
      <w:r>
        <w:rPr/>
        <w:t>III</w:t>
      </w:r>
      <w:bookmarkEnd w:id="116"/>
      <w:r>
        <w:rPr>
          <w:spacing w:val="1"/>
        </w:rPr>
        <w:t> 度烧伤</w:t>
      </w:r>
    </w:p>
    <w:p>
      <w:pPr>
        <w:pStyle w:val="BodyText"/>
        <w:spacing w:before="13"/>
        <w:rPr>
          <w:rFonts w:ascii="Microsoft JhengHei UI"/>
          <w:b/>
          <w:sz w:val="27"/>
        </w:rPr>
      </w:pPr>
    </w:p>
    <w:p>
      <w:pPr>
        <w:pStyle w:val="BodyText"/>
        <w:spacing w:line="408" w:lineRule="auto"/>
        <w:ind w:left="120" w:right="17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pStyle w:val="BodyText"/>
        <w:spacing w:before="9"/>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2" w:id="117"/>
      <w:bookmarkEnd w:id="117"/>
      <w:r>
        <w:rPr>
          <w:w w:val="95"/>
        </w:rPr>
        <w:t>严重原发性肺动脉高压</w:t>
      </w:r>
    </w:p>
    <w:p>
      <w:pPr>
        <w:pStyle w:val="BodyText"/>
        <w:spacing w:before="3"/>
        <w:rPr>
          <w:rFonts w:ascii="Microsoft JhengHei UI"/>
          <w:b/>
          <w:sz w:val="23"/>
        </w:rPr>
      </w:pPr>
    </w:p>
    <w:p>
      <w:pPr>
        <w:pStyle w:val="BodyText"/>
        <w:spacing w:line="273" w:lineRule="auto"/>
        <w:ind w:left="120" w:right="17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BodyText"/>
        <w:spacing w:before="9"/>
        <w:rPr>
          <w:sz w:val="23"/>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1" w:id="118"/>
      <w:bookmarkEnd w:id="118"/>
      <w:r>
        <w:rPr>
          <w:w w:val="95"/>
        </w:rPr>
        <w:t>严重运动神经元病</w:t>
      </w:r>
    </w:p>
    <w:p>
      <w:pPr>
        <w:pStyle w:val="BodyText"/>
        <w:spacing w:before="15"/>
        <w:rPr>
          <w:rFonts w:ascii="Microsoft JhengHei UI"/>
          <w:b/>
          <w:sz w:val="27"/>
        </w:rPr>
      </w:pPr>
    </w:p>
    <w:p>
      <w:pPr>
        <w:pStyle w:val="BodyText"/>
        <w:spacing w:line="408" w:lineRule="auto"/>
        <w:ind w:left="120" w:right="17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spacing w:after="0" w:line="408" w:lineRule="auto"/>
        <w:jc w:val="both"/>
        <w:sectPr>
          <w:pgSz w:w="11910" w:h="16840"/>
          <w:pgMar w:top="1460" w:bottom="280" w:left="1680" w:right="162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20" w:id="119"/>
      <w:bookmarkStart w:name="语言能力丧失" w:id="120"/>
      <w:r>
        <w:rPr>
          <w:b w:val="0"/>
        </w:rPr>
      </w:r>
      <w:bookmarkStart w:name="重型再生障碍性贫血" w:id="121"/>
      <w:bookmarkEnd w:id="121"/>
      <w:r>
        <w:rPr>
          <w:b w:val="0"/>
        </w:rPr>
      </w:r>
      <w:bookmarkStart w:name="主动脉手术" w:id="122"/>
      <w:bookmarkEnd w:id="122"/>
      <w:r>
        <w:rPr>
          <w:b w:val="0"/>
        </w:rPr>
      </w:r>
      <w:bookmarkStart w:name="系统性红斑狼疮－III型或以上狼疮性肾炎" w:id="123"/>
      <w:bookmarkEnd w:id="123"/>
      <w:r>
        <w:rPr>
          <w:b w:val="0"/>
        </w:rPr>
      </w:r>
      <w:bookmarkStart w:name="系统性红斑狼疮－III型或以上狼疮性肾炎" w:id="124"/>
      <w:bookmarkEnd w:id="119"/>
      <w:r>
        <w:rPr>
          <w:w w:val="95"/>
        </w:rPr>
        <w:t>语言能力丧失</w:t>
      </w:r>
    </w:p>
    <w:p>
      <w:pPr>
        <w:pStyle w:val="BodyText"/>
        <w:spacing w:before="13"/>
        <w:rPr>
          <w:rFonts w:ascii="Microsoft JhengHei UI"/>
          <w:b/>
          <w:sz w:val="27"/>
        </w:rPr>
      </w:pPr>
    </w:p>
    <w:p>
      <w:pPr>
        <w:pStyle w:val="BodyText"/>
        <w:spacing w:line="408" w:lineRule="auto"/>
        <w:ind w:left="120" w:right="12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6"/>
        <w:ind w:left="120"/>
      </w:pPr>
      <w:r>
        <w:rPr>
          <w:w w:val="95"/>
        </w:rPr>
        <w:t>精神心理因素所致的语言能力丧失不在保障范围内。</w:t>
      </w:r>
    </w:p>
    <w:p>
      <w:pPr>
        <w:pStyle w:val="BodyText"/>
        <w:spacing w:before="11"/>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9" w:id="125"/>
      <w:bookmarkEnd w:id="125"/>
      <w:r>
        <w:rPr>
          <w:w w:val="95"/>
        </w:rPr>
        <w:t>重型再生障碍性贫血</w:t>
      </w:r>
    </w:p>
    <w:p>
      <w:pPr>
        <w:pStyle w:val="BodyText"/>
        <w:spacing w:before="15"/>
        <w:rPr>
          <w:rFonts w:ascii="Microsoft JhengHei UI"/>
          <w:b/>
          <w:sz w:val="27"/>
        </w:rPr>
      </w:pPr>
    </w:p>
    <w:p>
      <w:pPr>
        <w:pStyle w:val="BodyText"/>
        <w:spacing w:line="408" w:lineRule="auto"/>
        <w:ind w:left="120" w:right="119"/>
      </w:pPr>
      <w:r>
        <w:rPr>
          <w:spacing w:val="-5"/>
          <w:w w:val="95"/>
        </w:rPr>
        <w:t>指因骨髓造血功能慢性持续性衰竭导致的贫血、中性粒细胞减少及血小板减少。须满足下列   全部条件：</w:t>
      </w:r>
    </w:p>
    <w:p>
      <w:pPr>
        <w:pStyle w:val="BodyText"/>
        <w:spacing w:before="45"/>
        <w:ind w:left="120"/>
      </w:pPr>
      <w:r>
        <w:rPr>
          <w:w w:val="95"/>
        </w:rPr>
        <w:t>（1）骨髓穿刺检查或骨髓活检结果支持诊断；</w:t>
      </w:r>
    </w:p>
    <w:p>
      <w:pPr>
        <w:pStyle w:val="BodyText"/>
        <w:spacing w:before="192"/>
        <w:ind w:left="120"/>
      </w:pPr>
      <w:r>
        <w:rPr>
          <w:w w:val="95"/>
        </w:rPr>
        <w:t>（2）外周血象须具备以下三项条件：</w:t>
      </w:r>
    </w:p>
    <w:p>
      <w:pPr>
        <w:pStyle w:val="BodyText"/>
        <w:spacing w:before="7"/>
        <w:rPr>
          <w:sz w:val="22"/>
        </w:rPr>
      </w:pPr>
    </w:p>
    <w:p>
      <w:pPr>
        <w:spacing w:line="422" w:lineRule="auto" w:before="0"/>
        <w:ind w:left="960" w:right="4315" w:firstLine="0"/>
        <w:jc w:val="left"/>
        <w:rPr>
          <w:sz w:val="21"/>
        </w:rPr>
      </w:pP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4"/>
        </w:rPr>
        <w:t>&lt; </w:t>
      </w:r>
      <w:r>
        <w:rPr>
          <w:rFonts w:ascii="Times New Roman" w:hAnsi="Times New Roman" w:eastAsia="Times New Roman"/>
          <w:sz w:val="24"/>
        </w:rPr>
        <w:t>1% </w:t>
      </w:r>
      <w:r>
        <w:rPr>
          <w:sz w:val="21"/>
        </w:rPr>
        <w:t>；</w:t>
      </w:r>
    </w:p>
    <w:p>
      <w:pPr>
        <w:spacing w:before="55"/>
        <w:ind w:left="960"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BodyText"/>
        <w:spacing w:before="8"/>
        <w:rPr>
          <w:rFonts w:ascii="Times New Roman"/>
          <w:i/>
          <w:sz w:val="19"/>
        </w:rPr>
      </w:pPr>
    </w:p>
    <w:p>
      <w:pPr>
        <w:pStyle w:val="Heading2"/>
        <w:numPr>
          <w:ilvl w:val="2"/>
          <w:numId w:val="9"/>
        </w:numPr>
        <w:tabs>
          <w:tab w:pos="1206" w:val="left" w:leader="none"/>
          <w:tab w:pos="1207" w:val="left" w:leader="none"/>
        </w:tabs>
        <w:spacing w:line="359" w:lineRule="exact" w:before="0" w:after="0"/>
        <w:ind w:left="1206" w:right="0" w:hanging="1086"/>
        <w:jc w:val="left"/>
      </w:pPr>
      <w:bookmarkStart w:name="_TOC_250018" w:id="126"/>
      <w:bookmarkEnd w:id="126"/>
      <w:r>
        <w:rPr>
          <w:w w:val="95"/>
        </w:rPr>
        <w:t>主动脉手术</w:t>
      </w:r>
    </w:p>
    <w:p>
      <w:pPr>
        <w:pStyle w:val="BodyText"/>
        <w:spacing w:before="13"/>
        <w:rPr>
          <w:rFonts w:ascii="Microsoft JhengHei UI"/>
          <w:b/>
          <w:sz w:val="27"/>
        </w:rPr>
      </w:pPr>
    </w:p>
    <w:p>
      <w:pPr>
        <w:pStyle w:val="BodyText"/>
        <w:spacing w:line="408" w:lineRule="auto"/>
        <w:ind w:left="120"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6"/>
        <w:ind w:left="120"/>
      </w:pPr>
      <w:r>
        <w:rPr>
          <w:w w:val="95"/>
        </w:rPr>
        <w:t>动脉内血管成形术不在保障范围内。</w:t>
      </w:r>
    </w:p>
    <w:p>
      <w:pPr>
        <w:pStyle w:val="BodyText"/>
        <w:rPr>
          <w:sz w:val="32"/>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7" w:id="127"/>
      <w:bookmarkEnd w:id="127"/>
      <w:r>
        <w:rPr/>
        <w:t>系统性红斑狼疮  －  III 型或以上狼疮性肾炎</w:t>
      </w:r>
    </w:p>
    <w:p>
      <w:pPr>
        <w:pStyle w:val="BodyText"/>
        <w:spacing w:before="15"/>
        <w:rPr>
          <w:rFonts w:ascii="Microsoft JhengHei UI"/>
          <w:b/>
          <w:sz w:val="27"/>
        </w:rPr>
      </w:pPr>
    </w:p>
    <w:p>
      <w:pPr>
        <w:pStyle w:val="BodyText"/>
        <w:spacing w:line="408" w:lineRule="auto"/>
        <w:ind w:left="120" w:right="117"/>
      </w:pPr>
      <w:r>
        <w:rPr>
          <w:spacing w:val="-5"/>
        </w:rPr>
        <w:t>系统性红斑狼疮是由多种因素引起，累及多系统的自身免疫性疾病。其特点是生成自身抗体</w:t>
      </w:r>
      <w:r>
        <w:rPr>
          <w:spacing w:val="-5"/>
          <w:w w:val="95"/>
        </w:rPr>
        <w:t>对抗多种自身抗原。多见于育龄妇女。</w:t>
      </w:r>
    </w:p>
    <w:p>
      <w:pPr>
        <w:pStyle w:val="BodyText"/>
        <w:spacing w:line="408" w:lineRule="auto" w:before="45"/>
        <w:ind w:left="120" w:right="115"/>
        <w:jc w:val="both"/>
      </w:pPr>
      <w:r>
        <w:rPr>
          <w:spacing w:val="-2"/>
        </w:rPr>
        <w:t>本保单所指的系统性红斑狼疮仅限于累及肾脏</w:t>
      </w:r>
      <w:r>
        <w:rPr/>
        <w:t>（</w:t>
      </w:r>
      <w:r>
        <w:rPr>
          <w:spacing w:val="-8"/>
        </w:rPr>
        <w:t>经肾脏活检确认的，符合 </w:t>
      </w:r>
      <w:r>
        <w:rPr>
          <w:w w:val="140"/>
        </w:rPr>
        <w:t>WHO</w:t>
      </w:r>
      <w:r>
        <w:rPr>
          <w:spacing w:val="-67"/>
          <w:w w:val="140"/>
        </w:rPr>
        <w:t> </w:t>
      </w:r>
      <w:r>
        <w:rPr/>
        <w:t>诊断标准定</w:t>
      </w:r>
      <w:r>
        <w:rPr>
          <w:spacing w:val="-39"/>
        </w:rPr>
        <w:t>义 </w:t>
      </w:r>
      <w:r>
        <w:rPr/>
        <w:t>III</w:t>
      </w:r>
      <w:r>
        <w:rPr>
          <w:spacing w:val="-39"/>
        </w:rPr>
        <w:t> 型至 </w:t>
      </w:r>
      <w:r>
        <w:rPr>
          <w:w w:val="140"/>
        </w:rPr>
        <w:t>V</w:t>
      </w:r>
      <w:r>
        <w:rPr>
          <w:spacing w:val="-120"/>
          <w:w w:val="140"/>
        </w:rPr>
        <w:t> </w:t>
      </w:r>
      <w:r>
        <w:rPr/>
        <w:t>型狼疮性肾炎）</w:t>
      </w:r>
      <w:r>
        <w:rPr>
          <w:spacing w:val="-2"/>
        </w:rPr>
        <w:t>的系统性红斑狼疮。其他类型的红斑性狼疮，如盘状狼疮、仅</w:t>
      </w:r>
      <w:r>
        <w:rPr>
          <w:spacing w:val="-2"/>
          <w:w w:val="95"/>
        </w:rPr>
        <w:t>累及血液及关节的狼疮不在本保单保障范围內。</w:t>
      </w:r>
    </w:p>
    <w:p>
      <w:pPr>
        <w:pStyle w:val="BodyText"/>
        <w:spacing w:line="357" w:lineRule="auto"/>
        <w:ind w:left="120" w:right="3196"/>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11</w:t>
      </w:r>
      <w:r>
        <w:rPr>
          <w:spacing w:val="-1"/>
          <w:w w:val="43"/>
        </w:rPr>
        <w:t>.</w:t>
      </w:r>
      <w:r>
        <w:rPr>
          <w:spacing w:val="1"/>
          <w:w w:val="93"/>
        </w:rPr>
        <w:t>8</w:t>
      </w:r>
      <w:r>
        <w:rPr>
          <w:spacing w:val="1"/>
          <w:w w:val="99"/>
        </w:rPr>
        <w:t>）</w:t>
      </w:r>
      <w:r>
        <w:rPr>
          <w:spacing w:val="-20"/>
          <w:w w:val="99"/>
        </w:rPr>
        <w:t>确</w:t>
      </w:r>
      <w:r>
        <w:rPr>
          <w:spacing w:val="-3"/>
        </w:rPr>
        <w:t>诊。世界卫生组织</w:t>
      </w:r>
      <w:r>
        <w:rPr>
          <w:spacing w:val="-3"/>
          <w:w w:val="120"/>
        </w:rPr>
        <w:t>（WHO）</w:t>
      </w:r>
      <w:r>
        <w:rPr>
          <w:spacing w:val="-3"/>
        </w:rPr>
        <w:t>狼疮性肾炎分型：</w:t>
      </w:r>
    </w:p>
    <w:p>
      <w:pPr>
        <w:spacing w:after="0" w:line="357" w:lineRule="auto"/>
        <w:sectPr>
          <w:pgSz w:w="11910" w:h="16840"/>
          <w:pgMar w:top="1460" w:bottom="280" w:left="1680" w:right="1680"/>
        </w:sectPr>
      </w:pPr>
    </w:p>
    <w:p>
      <w:pPr>
        <w:pStyle w:val="ListParagraph"/>
        <w:numPr>
          <w:ilvl w:val="0"/>
          <w:numId w:val="10"/>
        </w:numPr>
        <w:tabs>
          <w:tab w:pos="264" w:val="left" w:leader="none"/>
          <w:tab w:pos="3237" w:val="left" w:leader="none"/>
        </w:tabs>
        <w:spacing w:line="240" w:lineRule="auto" w:before="32" w:after="0"/>
        <w:ind w:left="264" w:right="0" w:hanging="125"/>
        <w:jc w:val="both"/>
        <w:rPr>
          <w:sz w:val="21"/>
        </w:rPr>
      </w:pPr>
      <w:bookmarkStart w:name="经输血导致的人类免疫缺陷病毒（HIV）感染" w:id="128"/>
      <w:bookmarkEnd w:id="128"/>
      <w:r>
        <w:rPr/>
      </w:r>
      <w:bookmarkStart w:name="严重多发性硬化" w:id="129"/>
      <w:bookmarkEnd w:id="129"/>
      <w:r>
        <w:rPr/>
      </w:r>
      <w:bookmarkStart w:name="严重类风湿性关节炎" w:id="130"/>
      <w:bookmarkEnd w:id="130"/>
      <w:r>
        <w:rPr/>
      </w:r>
      <w:bookmarkStart w:name="严重类风湿性关节炎" w:id="131"/>
      <w:bookmarkEnd w:id="131"/>
      <w:r>
        <w:rPr>
          <w:sz w:val="21"/>
        </w:rPr>
        <w:t>型</w:t>
      </w:r>
      <w:r>
        <w:rPr>
          <w:sz w:val="21"/>
        </w:rPr>
        <w:t>（微小病变型）</w:t>
        <w:tab/>
      </w:r>
      <w:r>
        <w:rPr>
          <w:w w:val="95"/>
          <w:sz w:val="21"/>
        </w:rPr>
        <w:t>镜下阴性，尿液正常</w:t>
      </w:r>
    </w:p>
    <w:p>
      <w:pPr>
        <w:pStyle w:val="ListParagraph"/>
        <w:numPr>
          <w:ilvl w:val="0"/>
          <w:numId w:val="10"/>
        </w:numPr>
        <w:tabs>
          <w:tab w:pos="339" w:val="left" w:leader="none"/>
          <w:tab w:pos="3237" w:val="left" w:leader="none"/>
        </w:tabs>
        <w:spacing w:line="240" w:lineRule="auto" w:before="193" w:after="0"/>
        <w:ind w:left="338" w:right="0" w:hanging="199"/>
        <w:jc w:val="both"/>
        <w:rPr>
          <w:sz w:val="21"/>
        </w:rPr>
      </w:pPr>
      <w:r>
        <w:rPr>
          <w:sz w:val="21"/>
        </w:rPr>
        <w:t>型（系膜病变型）</w:t>
        <w:tab/>
      </w:r>
      <w:r>
        <w:rPr>
          <w:w w:val="95"/>
          <w:sz w:val="21"/>
        </w:rPr>
        <w:t>中度蛋白尿，偶有尿沉渣改变</w:t>
      </w:r>
    </w:p>
    <w:p>
      <w:pPr>
        <w:pStyle w:val="ListParagraph"/>
        <w:numPr>
          <w:ilvl w:val="0"/>
          <w:numId w:val="10"/>
        </w:numPr>
        <w:tabs>
          <w:tab w:pos="413" w:val="left" w:leader="none"/>
        </w:tabs>
        <w:spacing w:line="240" w:lineRule="auto" w:before="193" w:after="0"/>
        <w:ind w:left="412" w:right="0" w:hanging="273"/>
        <w:jc w:val="both"/>
        <w:rPr>
          <w:sz w:val="21"/>
        </w:rPr>
      </w:pPr>
      <w:r>
        <w:rPr>
          <w:sz w:val="21"/>
        </w:rPr>
        <w:t>型（局灶及节段增生型）</w:t>
      </w:r>
      <w:r>
        <w:rPr>
          <w:spacing w:val="2"/>
          <w:sz w:val="21"/>
        </w:rPr>
        <w:t>    蛋白尿，尿沉渣改变</w:t>
      </w:r>
    </w:p>
    <w:p>
      <w:pPr>
        <w:pStyle w:val="ListParagraph"/>
        <w:numPr>
          <w:ilvl w:val="0"/>
          <w:numId w:val="10"/>
        </w:numPr>
        <w:tabs>
          <w:tab w:pos="408" w:val="left" w:leader="none"/>
          <w:tab w:pos="3237" w:val="left" w:leader="none"/>
        </w:tabs>
        <w:spacing w:line="240" w:lineRule="auto" w:before="193" w:after="0"/>
        <w:ind w:left="408" w:right="0" w:hanging="269"/>
        <w:jc w:val="both"/>
        <w:rPr>
          <w:sz w:val="21"/>
        </w:rPr>
      </w:pPr>
      <w:r>
        <w:rPr>
          <w:sz w:val="21"/>
        </w:rPr>
        <w:t>型（弥漫增生型）</w:t>
        <w:tab/>
      </w:r>
      <w:r>
        <w:rPr>
          <w:w w:val="95"/>
          <w:sz w:val="21"/>
        </w:rPr>
        <w:t>急性肾炎伴有尿沉渣改变及／或肾病综合征</w:t>
      </w:r>
    </w:p>
    <w:p>
      <w:pPr>
        <w:pStyle w:val="ListParagraph"/>
        <w:numPr>
          <w:ilvl w:val="0"/>
          <w:numId w:val="10"/>
        </w:numPr>
        <w:tabs>
          <w:tab w:pos="332" w:val="left" w:leader="none"/>
          <w:tab w:pos="3237" w:val="left" w:leader="none"/>
        </w:tabs>
        <w:spacing w:line="240" w:lineRule="auto" w:before="193" w:after="0"/>
        <w:ind w:left="331" w:right="0" w:hanging="192"/>
        <w:jc w:val="both"/>
        <w:rPr>
          <w:sz w:val="21"/>
        </w:rPr>
      </w:pPr>
      <w:r>
        <w:rPr>
          <w:sz w:val="21"/>
        </w:rPr>
        <w:t>型（膜型）</w:t>
        <w:tab/>
      </w:r>
      <w:r>
        <w:rPr>
          <w:w w:val="95"/>
          <w:sz w:val="21"/>
        </w:rPr>
        <w:t>肾病综合征或重度蛋白尿</w:t>
      </w:r>
    </w:p>
    <w:p>
      <w:pPr>
        <w:pStyle w:val="BodyText"/>
        <w:rPr>
          <w:sz w:val="32"/>
        </w:rPr>
      </w:pPr>
    </w:p>
    <w:p>
      <w:pPr>
        <w:pStyle w:val="Heading2"/>
        <w:numPr>
          <w:ilvl w:val="2"/>
          <w:numId w:val="9"/>
        </w:numPr>
        <w:tabs>
          <w:tab w:pos="1207" w:val="left" w:leader="none"/>
        </w:tabs>
        <w:spacing w:line="240" w:lineRule="auto" w:before="0" w:after="0"/>
        <w:ind w:left="1206" w:right="0" w:hanging="1086"/>
        <w:jc w:val="both"/>
      </w:pPr>
      <w:bookmarkStart w:name="_TOC_250016" w:id="132"/>
      <w:bookmarkEnd w:id="132"/>
      <w:r>
        <w:rPr/>
        <w:t>经输血导致的人类免疫缺陷病毒（HIV）感染</w:t>
      </w:r>
    </w:p>
    <w:p>
      <w:pPr>
        <w:pStyle w:val="BodyText"/>
        <w:spacing w:before="13"/>
        <w:rPr>
          <w:rFonts w:ascii="Microsoft JhengHei UI"/>
          <w:b/>
          <w:sz w:val="27"/>
        </w:rPr>
      </w:pPr>
    </w:p>
    <w:p>
      <w:pPr>
        <w:pStyle w:val="BodyText"/>
        <w:ind w:left="120"/>
        <w:jc w:val="both"/>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193"/>
        <w:ind w:left="120"/>
        <w:jc w:val="both"/>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3"/>
        <w:ind w:left="120" w:right="134"/>
      </w:pPr>
      <w:r>
        <w:rPr>
          <w:w w:val="95"/>
        </w:rPr>
        <w:t>（2）提供输血治疗的输血中心或医院出具该项输血感染属医疗责任事故的报告，或者法院   终审裁定为医疗责任并且不准上诉；</w:t>
      </w:r>
    </w:p>
    <w:p>
      <w:pPr>
        <w:pStyle w:val="BodyText"/>
        <w:spacing w:before="46"/>
        <w:ind w:left="120"/>
      </w:pPr>
      <w:r>
        <w:rPr>
          <w:w w:val="95"/>
        </w:rPr>
        <w:t>（3）受感染的被保险人不是血友病患者。</w:t>
      </w:r>
    </w:p>
    <w:p>
      <w:pPr>
        <w:pStyle w:val="BodyText"/>
        <w:spacing w:line="408" w:lineRule="auto" w:before="193"/>
        <w:ind w:left="120"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line="408" w:lineRule="auto" w:before="46"/>
        <w:ind w:left="120" w:right="119"/>
        <w:jc w:val="both"/>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r>
        <w:rPr>
          <w:spacing w:val="-11"/>
          <w:w w:val="95"/>
        </w:rPr>
        <w:t>围内。保险公司必须拥有获得使用被保险人的所有血液样本的权利和能够对这些样本进行独   立检验的权利。</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5" w:id="133"/>
      <w:bookmarkEnd w:id="133"/>
      <w:r>
        <w:rPr>
          <w:w w:val="95"/>
        </w:rPr>
        <w:t>严重多发性硬化</w:t>
      </w:r>
    </w:p>
    <w:p>
      <w:pPr>
        <w:pStyle w:val="BodyText"/>
        <w:spacing w:before="15"/>
        <w:rPr>
          <w:rFonts w:ascii="Microsoft JhengHei UI"/>
          <w:b/>
          <w:sz w:val="27"/>
        </w:rPr>
      </w:pPr>
    </w:p>
    <w:p>
      <w:pPr>
        <w:pStyle w:val="BodyText"/>
        <w:spacing w:line="408" w:lineRule="auto"/>
        <w:ind w:left="120" w:right="117"/>
        <w:jc w:val="both"/>
      </w:pPr>
      <w:r>
        <w:rPr>
          <w:spacing w:val="-4"/>
          <w:w w:val="95"/>
        </w:rPr>
        <w:t>多发性硬化为中枢神经系统白质多灶性脱髓鞘病变，病变有时累及灰质。多发性硬化必须明   </w:t>
      </w:r>
      <w:r>
        <w:rPr>
          <w:spacing w:val="-11"/>
          <w:w w:val="95"/>
        </w:rPr>
        <w:t>确诊断，并且已经造成神经系统功能损害导致被保险人永久不可逆性的无法独立完成下列基   本日常生活活动：</w:t>
      </w:r>
    </w:p>
    <w:p>
      <w:pPr>
        <w:pStyle w:val="BodyText"/>
        <w:spacing w:before="45"/>
        <w:ind w:left="120"/>
      </w:pPr>
      <w:r>
        <w:rPr>
          <w:w w:val="95"/>
        </w:rPr>
        <w:t>（1）移动：自己从一个房间移动到另一个房间；或者</w:t>
      </w:r>
    </w:p>
    <w:p>
      <w:pPr>
        <w:pStyle w:val="BodyText"/>
        <w:spacing w:before="192"/>
        <w:ind w:left="120"/>
      </w:pPr>
      <w:r>
        <w:rPr>
          <w:w w:val="95"/>
        </w:rPr>
        <w:t>（2）进食：自己从已准备好的碗或碟中取食物放入口中</w:t>
      </w:r>
    </w:p>
    <w:p>
      <w:pPr>
        <w:pStyle w:val="BodyText"/>
        <w:spacing w:before="10"/>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4" w:id="134"/>
      <w:bookmarkEnd w:id="134"/>
      <w:r>
        <w:rPr>
          <w:w w:val="95"/>
        </w:rPr>
        <w:t>严重类风湿性关节炎</w:t>
      </w:r>
    </w:p>
    <w:p>
      <w:pPr>
        <w:pStyle w:val="BodyText"/>
        <w:spacing w:before="15"/>
        <w:rPr>
          <w:rFonts w:ascii="Microsoft JhengHei UI"/>
          <w:b/>
          <w:sz w:val="27"/>
        </w:rPr>
      </w:pPr>
    </w:p>
    <w:p>
      <w:pPr>
        <w:pStyle w:val="BodyText"/>
        <w:spacing w:line="408" w:lineRule="auto"/>
        <w:ind w:left="120" w:right="115"/>
        <w:jc w:val="both"/>
      </w:pPr>
      <w:r>
        <w:rPr>
          <w:spacing w:val="-4"/>
        </w:rPr>
        <w:t>类风湿性关节炎为广泛分布的慢性进行性多关节病变，表现为关节严重变形，侵犯至少三个</w:t>
      </w:r>
      <w:r>
        <w:rPr>
          <w:spacing w:val="-7"/>
          <w:w w:val="95"/>
        </w:rPr>
        <w:t>主要关节或关节组【如：双手</w:t>
      </w:r>
      <w:r>
        <w:rPr>
          <w:w w:val="95"/>
        </w:rPr>
        <w:t>（多手指</w:t>
      </w:r>
      <w:r>
        <w:rPr>
          <w:spacing w:val="-10"/>
          <w:w w:val="95"/>
        </w:rPr>
        <w:t>）</w:t>
      </w:r>
      <w:r>
        <w:rPr>
          <w:spacing w:val="-5"/>
          <w:w w:val="95"/>
        </w:rPr>
        <w:t>关节、双足</w:t>
      </w:r>
      <w:r>
        <w:rPr>
          <w:w w:val="95"/>
        </w:rPr>
        <w:t>（多足趾</w:t>
      </w:r>
      <w:r>
        <w:rPr>
          <w:spacing w:val="-8"/>
          <w:w w:val="95"/>
        </w:rPr>
        <w:t>）</w:t>
      </w:r>
      <w:r>
        <w:rPr>
          <w:spacing w:val="-4"/>
          <w:w w:val="95"/>
        </w:rPr>
        <w:t>关节、双腕关节、双膝关节   </w:t>
      </w:r>
      <w:r>
        <w:rPr>
          <w:spacing w:val="-12"/>
          <w:w w:val="95"/>
        </w:rPr>
        <w:t>和双髋关节】。诊断必须由风湿科主任级和保险公司的医务总监确认，被保人所患的类风湿</w:t>
      </w:r>
    </w:p>
    <w:p>
      <w:pPr>
        <w:spacing w:after="0" w:line="408" w:lineRule="auto"/>
        <w:jc w:val="both"/>
        <w:sectPr>
          <w:pgSz w:w="11910" w:h="16840"/>
          <w:pgMar w:top="1440" w:bottom="280" w:left="1680" w:right="1680"/>
        </w:sectPr>
      </w:pPr>
    </w:p>
    <w:p>
      <w:pPr>
        <w:pStyle w:val="BodyText"/>
        <w:spacing w:line="408" w:lineRule="auto" w:before="32"/>
        <w:ind w:left="120" w:right="115"/>
      </w:pPr>
      <w:bookmarkStart w:name="慢性呼吸功能衰竭" w:id="135"/>
      <w:bookmarkEnd w:id="135"/>
      <w:r>
        <w:rPr/>
      </w:r>
      <w:bookmarkStart w:name="肢体机能完全丧失" w:id="136"/>
      <w:bookmarkEnd w:id="136"/>
      <w:r>
        <w:rPr/>
      </w:r>
      <w:bookmarkStart w:name="语言能力或咀嚼吞咽能力完全丧失" w:id="137"/>
      <w:bookmarkEnd w:id="137"/>
      <w:r>
        <w:rPr/>
      </w:r>
      <w:bookmarkStart w:name="六项基本日常生活活动" w:id="138"/>
      <w:bookmarkEnd w:id="138"/>
      <w:r>
        <w:rPr/>
      </w:r>
      <w:r>
        <w:rPr>
          <w:w w:val="95"/>
        </w:rPr>
        <w:t>性关节炎必须已经达到类风湿性关节炎功能分级 III 级以上的功能障碍（严重限制，不能完成大部分的日常工作和活动）并且符合下列所有条件：</w:t>
      </w:r>
    </w:p>
    <w:p>
      <w:pPr>
        <w:pStyle w:val="BodyText"/>
        <w:spacing w:before="46"/>
        <w:ind w:left="540"/>
      </w:pPr>
      <w:r>
        <w:rPr>
          <w:w w:val="95"/>
        </w:rPr>
        <w:t>（1）晨僵</w:t>
      </w:r>
    </w:p>
    <w:p>
      <w:pPr>
        <w:pStyle w:val="BodyText"/>
        <w:spacing w:before="193"/>
        <w:ind w:left="540"/>
      </w:pPr>
      <w:r>
        <w:rPr>
          <w:w w:val="95"/>
        </w:rPr>
        <w:t>（2）对称性关节炎</w:t>
      </w:r>
    </w:p>
    <w:p>
      <w:pPr>
        <w:pStyle w:val="BodyText"/>
        <w:spacing w:before="193"/>
        <w:ind w:left="540"/>
      </w:pPr>
      <w:r>
        <w:rPr>
          <w:w w:val="95"/>
        </w:rPr>
        <w:t>（3）类风湿性皮下结节</w:t>
      </w:r>
    </w:p>
    <w:p>
      <w:pPr>
        <w:pStyle w:val="BodyText"/>
        <w:spacing w:before="193"/>
        <w:ind w:left="540"/>
      </w:pPr>
      <w:r>
        <w:rPr>
          <w:w w:val="95"/>
        </w:rPr>
        <w:t>（4）类风湿因子滴度升高</w:t>
      </w:r>
    </w:p>
    <w:p>
      <w:pPr>
        <w:pStyle w:val="BodyText"/>
        <w:spacing w:before="193"/>
        <w:ind w:left="540"/>
      </w:pPr>
      <w:r>
        <w:rPr/>
        <w:t>（</w:t>
      </w:r>
      <w:r>
        <w:rPr>
          <w:rFonts w:ascii="Times New Roman" w:eastAsia="Times New Roman"/>
        </w:rPr>
        <w:t>5</w:t>
      </w:r>
      <w:r>
        <w:rPr/>
        <w:t>）X 线显示严重的关节（软骨和骨）破坏和关节畸形</w:t>
      </w:r>
    </w:p>
    <w:p>
      <w:pPr>
        <w:pStyle w:val="BodyText"/>
        <w:spacing w:before="10"/>
        <w:rPr>
          <w:sz w:val="3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3" w:id="139"/>
      <w:bookmarkEnd w:id="139"/>
      <w:r>
        <w:rPr>
          <w:w w:val="95"/>
        </w:rPr>
        <w:t>慢性呼吸功能衰竭</w:t>
      </w:r>
    </w:p>
    <w:p>
      <w:pPr>
        <w:pStyle w:val="BodyText"/>
        <w:spacing w:before="13"/>
        <w:rPr>
          <w:rFonts w:ascii="Microsoft JhengHei UI"/>
          <w:b/>
          <w:sz w:val="27"/>
        </w:rPr>
      </w:pPr>
    </w:p>
    <w:p>
      <w:pPr>
        <w:pStyle w:val="BodyText"/>
        <w:spacing w:line="408" w:lineRule="auto"/>
        <w:ind w:left="120" w:right="117"/>
      </w:pPr>
      <w:r>
        <w:rPr>
          <w:spacing w:val="-4"/>
        </w:rPr>
        <w:t>慢性肺部疾病导致永久不可逆性的慢性呼吸功能衰竭，必须由呼吸专科医师确认并符合下列</w:t>
      </w:r>
      <w:r>
        <w:rPr>
          <w:spacing w:val="-4"/>
          <w:w w:val="95"/>
        </w:rPr>
        <w:t>所有条件：</w:t>
      </w:r>
    </w:p>
    <w:p>
      <w:pPr>
        <w:pStyle w:val="BodyText"/>
        <w:spacing w:before="46"/>
        <w:ind w:left="540"/>
      </w:pPr>
      <w:r>
        <w:rPr>
          <w:w w:val="95"/>
        </w:rPr>
        <w:t>（1）休息时出现呼吸困难；</w:t>
      </w:r>
    </w:p>
    <w:p>
      <w:pPr>
        <w:pStyle w:val="BodyText"/>
        <w:spacing w:before="193"/>
        <w:ind w:left="540"/>
      </w:pPr>
      <w:r>
        <w:rPr>
          <w:w w:val="105"/>
        </w:rPr>
        <w:t>（2）动脉氧分压 （PaO2）&lt; 50mmHg；</w:t>
      </w:r>
    </w:p>
    <w:p>
      <w:pPr>
        <w:pStyle w:val="BodyText"/>
        <w:spacing w:before="193"/>
        <w:ind w:left="540"/>
      </w:pPr>
      <w:r>
        <w:rPr/>
        <w:t>（3）动脉血氧饱和度 （SaO 2 ）&lt; 80％；</w:t>
      </w:r>
    </w:p>
    <w:p>
      <w:pPr>
        <w:pStyle w:val="BodyText"/>
        <w:spacing w:before="193"/>
        <w:ind w:left="120"/>
      </w:pPr>
      <w:r>
        <w:rPr>
          <w:w w:val="95"/>
        </w:rPr>
        <w:t>（4）因缺氧必须接受持续的输氧治疗。</w:t>
      </w:r>
    </w:p>
    <w:p>
      <w:pPr>
        <w:pStyle w:val="BodyText"/>
        <w:spacing w:before="6"/>
        <w:rPr>
          <w:sz w:val="33"/>
        </w:rPr>
      </w:pPr>
    </w:p>
    <w:p>
      <w:pPr>
        <w:pStyle w:val="Heading2"/>
        <w:numPr>
          <w:ilvl w:val="1"/>
          <w:numId w:val="11"/>
        </w:numPr>
        <w:tabs>
          <w:tab w:pos="693" w:val="left" w:leader="none"/>
        </w:tabs>
        <w:spacing w:line="240" w:lineRule="auto" w:before="0" w:after="0"/>
        <w:ind w:left="692" w:right="0" w:hanging="566"/>
        <w:jc w:val="left"/>
      </w:pPr>
      <w:bookmarkStart w:name="_TOC_250012" w:id="140"/>
      <w:bookmarkEnd w:id="140"/>
      <w:r>
        <w:rPr>
          <w:w w:val="95"/>
        </w:rPr>
        <w:t>肢体机能完全丧失</w:t>
      </w:r>
    </w:p>
    <w:p>
      <w:pPr>
        <w:pStyle w:val="BodyText"/>
        <w:spacing w:before="15"/>
        <w:rPr>
          <w:rFonts w:ascii="Microsoft JhengHei UI"/>
          <w:b/>
          <w:sz w:val="27"/>
        </w:rPr>
      </w:pPr>
    </w:p>
    <w:p>
      <w:pPr>
        <w:pStyle w:val="BodyText"/>
        <w:spacing w:line="408" w:lineRule="auto"/>
        <w:ind w:left="120" w:right="117"/>
      </w:pPr>
      <w:r>
        <w:rPr>
          <w:spacing w:val="-5"/>
          <w:w w:val="95"/>
        </w:rPr>
        <w:t>指肢体的三大关节中的两大关节僵硬，或不能随意识活动。肢体是指包括肩关节的整个上肢   或包括髋关节的整个下肢。</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11" w:id="141"/>
      <w:bookmarkEnd w:id="141"/>
      <w:r>
        <w:rPr>
          <w:w w:val="95"/>
        </w:rPr>
        <w:t>语言能力或咀嚼吞咽能力完全丧失</w:t>
      </w:r>
    </w:p>
    <w:p>
      <w:pPr>
        <w:pStyle w:val="BodyText"/>
        <w:spacing w:before="15"/>
        <w:rPr>
          <w:rFonts w:ascii="Microsoft JhengHei UI"/>
          <w:b/>
          <w:sz w:val="27"/>
        </w:rPr>
      </w:pPr>
    </w:p>
    <w:p>
      <w:pPr>
        <w:pStyle w:val="BodyText"/>
        <w:spacing w:line="408" w:lineRule="auto"/>
        <w:ind w:left="120"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408" w:lineRule="auto" w:before="45"/>
        <w:ind w:left="120" w:right="117"/>
      </w:pPr>
      <w:r>
        <w:rPr>
          <w:spacing w:val="-7"/>
          <w:w w:val="95"/>
        </w:rPr>
        <w:t>咀嚼吞咽能力完全丧失，指因牙齿以外的原因导致器质障碍或机能障碍，以致不能作咀嚼吞   咽动作，除流质食物外不能摄取或吞咽的状态。</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10" w:id="142"/>
      <w:bookmarkEnd w:id="142"/>
      <w:r>
        <w:rPr>
          <w:w w:val="95"/>
        </w:rPr>
        <w:t>六项基本日常生活活动</w:t>
      </w:r>
    </w:p>
    <w:p>
      <w:pPr>
        <w:pStyle w:val="BodyText"/>
        <w:spacing w:before="15"/>
        <w:rPr>
          <w:rFonts w:ascii="Microsoft JhengHei UI"/>
          <w:b/>
          <w:sz w:val="27"/>
        </w:rPr>
      </w:pPr>
    </w:p>
    <w:p>
      <w:pPr>
        <w:pStyle w:val="BodyText"/>
        <w:ind w:left="120"/>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p>
    <w:p>
      <w:pPr>
        <w:spacing w:after="0"/>
        <w:sectPr>
          <w:pgSz w:w="11910" w:h="16840"/>
          <w:pgMar w:top="1440" w:bottom="280" w:left="1680" w:right="1680"/>
        </w:sectPr>
      </w:pPr>
    </w:p>
    <w:p>
      <w:pPr>
        <w:pStyle w:val="BodyText"/>
        <w:spacing w:line="408" w:lineRule="auto" w:before="32"/>
        <w:ind w:left="120" w:right="118"/>
      </w:pPr>
      <w:bookmarkStart w:name="永久不可逆" w:id="143"/>
      <w:bookmarkEnd w:id="143"/>
      <w:r>
        <w:rPr/>
      </w:r>
      <w:bookmarkStart w:name="专科医生" w:id="144"/>
      <w:bookmarkEnd w:id="144"/>
      <w:r>
        <w:rPr/>
      </w:r>
      <w:bookmarkStart w:name="本条款约定确诊日" w:id="145"/>
      <w:bookmarkEnd w:id="145"/>
      <w:r>
        <w:rPr/>
      </w:r>
      <w:bookmarkStart w:name="无合法有效驾驶证驾驶" w:id="146"/>
      <w:bookmarkEnd w:id="146"/>
      <w:r>
        <w:rPr/>
      </w:r>
      <w:bookmarkStart w:name="感染艾滋病病毒或患艾滋病" w:id="147"/>
      <w:bookmarkEnd w:id="147"/>
      <w:r>
        <w:rPr/>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09" w:id="148"/>
      <w:bookmarkEnd w:id="148"/>
      <w:r>
        <w:rPr>
          <w:w w:val="95"/>
        </w:rPr>
        <w:t>永久不可逆</w:t>
      </w:r>
    </w:p>
    <w:p>
      <w:pPr>
        <w:pStyle w:val="BodyText"/>
        <w:spacing w:before="13"/>
        <w:rPr>
          <w:rFonts w:ascii="Microsoft JhengHei UI"/>
          <w:b/>
          <w:sz w:val="27"/>
        </w:rPr>
      </w:pPr>
    </w:p>
    <w:p>
      <w:pPr>
        <w:pStyle w:val="BodyText"/>
        <w:spacing w:line="408" w:lineRule="auto"/>
        <w:ind w:left="120" w:right="115"/>
      </w:pPr>
      <w:r>
        <w:rPr>
          <w:spacing w:val="-5"/>
        </w:rPr>
        <w:t>指自疾病确诊或意外伤害发生之日起，经过积极治疗 </w:t>
      </w:r>
      <w:r>
        <w:rPr/>
        <w:t>180</w:t>
      </w:r>
      <w:r>
        <w:rPr>
          <w:spacing w:val="-11"/>
        </w:rPr>
        <w:t> 天后，仍无法通过现有医疗手段恢</w:t>
      </w:r>
      <w:r>
        <w:rPr>
          <w:spacing w:val="-11"/>
          <w:w w:val="95"/>
        </w:rPr>
        <w:t>复。</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08" w:id="149"/>
      <w:bookmarkEnd w:id="149"/>
      <w:r>
        <w:rPr>
          <w:w w:val="95"/>
        </w:rPr>
        <w:t>专科医生</w:t>
      </w:r>
    </w:p>
    <w:p>
      <w:pPr>
        <w:pStyle w:val="BodyText"/>
        <w:spacing w:before="15"/>
        <w:rPr>
          <w:rFonts w:ascii="Microsoft JhengHei UI"/>
          <w:b/>
          <w:sz w:val="27"/>
        </w:rPr>
      </w:pPr>
    </w:p>
    <w:p>
      <w:pPr>
        <w:pStyle w:val="BodyText"/>
        <w:ind w:left="120"/>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408" w:lineRule="auto" w:before="192"/>
        <w:ind w:left="120" w:right="117"/>
        <w:jc w:val="both"/>
      </w:pPr>
      <w:r>
        <w:rPr>
          <w:w w:val="99"/>
        </w:rPr>
        <w:t>（</w:t>
      </w:r>
      <w:r>
        <w:rPr>
          <w:w w:val="93"/>
        </w:rPr>
        <w:t>2</w:t>
      </w:r>
      <w:r>
        <w:rPr>
          <w:spacing w:val="-20"/>
          <w:w w:val="99"/>
        </w:rPr>
        <w:t>）</w:t>
      </w:r>
      <w:r>
        <w:rPr>
          <w:spacing w:val="-8"/>
          <w:w w:val="99"/>
        </w:rPr>
        <w:t>具有有效的中华人民共和国《医师执业证书》</w:t>
      </w:r>
      <w:r>
        <w:rPr>
          <w:spacing w:val="-123"/>
          <w:w w:val="99"/>
        </w:rPr>
        <w:t>；</w:t>
      </w:r>
      <w:r>
        <w:rPr>
          <w:w w:val="99"/>
        </w:rPr>
        <w:t>（</w:t>
      </w:r>
      <w:r>
        <w:rPr>
          <w:w w:val="93"/>
        </w:rPr>
        <w:t>3</w:t>
      </w:r>
      <w:r>
        <w:rPr>
          <w:spacing w:val="-20"/>
          <w:w w:val="99"/>
        </w:rPr>
        <w:t>）</w:t>
      </w:r>
      <w:r>
        <w:rPr>
          <w:w w:val="99"/>
        </w:rPr>
        <w:t>具有有效的中华人民共和国主治医</w:t>
      </w:r>
      <w:r>
        <w:rPr>
          <w:spacing w:val="-11"/>
          <w:w w:val="99"/>
        </w:rPr>
        <w:t>师或主治医师以上职称的《医师职称证书》；</w:t>
      </w:r>
      <w:r>
        <w:rPr>
          <w:spacing w:val="1"/>
          <w:w w:val="99"/>
        </w:rPr>
        <w:t>（</w:t>
      </w:r>
      <w:r>
        <w:rPr>
          <w:w w:val="93"/>
        </w:rPr>
        <w:t>4</w:t>
      </w:r>
      <w:r>
        <w:rPr>
          <w:spacing w:val="1"/>
          <w:w w:val="99"/>
        </w:rPr>
        <w:t>）</w:t>
      </w:r>
      <w:r>
        <w:rPr>
          <w:w w:val="99"/>
        </w:rPr>
        <w:t>在二级或二级以上医院的相应科室从事临</w:t>
      </w:r>
      <w:r>
        <w:rPr>
          <w:w w:val="95"/>
        </w:rPr>
        <w:t>床工作三年以上</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7" w:id="150"/>
      <w:bookmarkEnd w:id="150"/>
      <w:r>
        <w:rPr>
          <w:w w:val="95"/>
        </w:rPr>
        <w:t>本条款约定确诊日</w:t>
      </w:r>
    </w:p>
    <w:p>
      <w:pPr>
        <w:pStyle w:val="BodyText"/>
        <w:spacing w:before="15"/>
        <w:rPr>
          <w:rFonts w:ascii="Microsoft JhengHei UI"/>
          <w:b/>
          <w:sz w:val="27"/>
        </w:rPr>
      </w:pPr>
    </w:p>
    <w:p>
      <w:pPr>
        <w:pStyle w:val="BodyText"/>
        <w:spacing w:line="408" w:lineRule="auto"/>
        <w:ind w:left="120" w:right="124"/>
      </w:pPr>
      <w:r>
        <w:rPr/>
        <w:t>指满足本附加险合同“30 种重大疾病”定义所有条件之日。恶性肿瘤的本条款约定确诊日</w:t>
      </w:r>
      <w:r>
        <w:rPr>
          <w:w w:val="95"/>
        </w:rPr>
        <w:t>以明确诊断该类疾病的病检标本提取日为准。</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6" w:id="151"/>
      <w:bookmarkEnd w:id="151"/>
      <w:r>
        <w:rPr>
          <w:w w:val="95"/>
        </w:rPr>
        <w:t>无合法有效驾驶证驾驶</w:t>
      </w:r>
    </w:p>
    <w:p>
      <w:pPr>
        <w:pStyle w:val="BodyText"/>
        <w:spacing w:before="15"/>
        <w:rPr>
          <w:rFonts w:ascii="Microsoft JhengHei UI"/>
          <w:b/>
          <w:sz w:val="27"/>
        </w:rPr>
      </w:pPr>
    </w:p>
    <w:p>
      <w:pPr>
        <w:pStyle w:val="BodyText"/>
        <w:ind w:left="120"/>
      </w:pPr>
      <w:r>
        <w:rPr>
          <w:w w:val="95"/>
        </w:rPr>
        <w:t>指下列情形之一：</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没有驾驶证驾驶；</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驾驶与驾驶证准驾车型不相符合的车辆；</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驾驶员持审验不合格的驾驶证驾驶；</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未经公安交通管理部门同意，持未审验的驾驶证驾驶；</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持学习驾驶证学习驾车时，无教练员随车指导，或不按指定时间、路线学习驾车；</w:t>
      </w:r>
    </w:p>
    <w:p>
      <w:pPr>
        <w:pStyle w:val="ListParagraph"/>
        <w:numPr>
          <w:ilvl w:val="0"/>
          <w:numId w:val="12"/>
        </w:numPr>
        <w:tabs>
          <w:tab w:pos="447" w:val="left" w:leader="none"/>
        </w:tabs>
        <w:spacing w:line="240" w:lineRule="auto" w:before="192" w:after="0"/>
        <w:ind w:left="446" w:right="0" w:hanging="326"/>
        <w:jc w:val="left"/>
        <w:rPr>
          <w:sz w:val="21"/>
        </w:rPr>
      </w:pPr>
      <w:r>
        <w:rPr>
          <w:w w:val="95"/>
          <w:sz w:val="21"/>
        </w:rPr>
        <w:t>公安交通管理部门规定的其他无有效驾驶证驾驶的情况。</w:t>
      </w:r>
    </w:p>
    <w:p>
      <w:pPr>
        <w:pStyle w:val="BodyText"/>
        <w:spacing w:before="5"/>
        <w:rPr>
          <w:sz w:val="33"/>
        </w:rPr>
      </w:pPr>
    </w:p>
    <w:p>
      <w:pPr>
        <w:pStyle w:val="Heading2"/>
        <w:numPr>
          <w:ilvl w:val="1"/>
          <w:numId w:val="11"/>
        </w:numPr>
        <w:tabs>
          <w:tab w:pos="693" w:val="left" w:leader="none"/>
        </w:tabs>
        <w:spacing w:line="240" w:lineRule="auto" w:before="0" w:after="0"/>
        <w:ind w:left="692" w:right="0" w:hanging="566"/>
        <w:jc w:val="left"/>
      </w:pPr>
      <w:bookmarkStart w:name="_TOC_250005" w:id="152"/>
      <w:bookmarkEnd w:id="152"/>
      <w:r>
        <w:rPr>
          <w:w w:val="95"/>
        </w:rPr>
        <w:t>感染艾滋病病毒或患艾滋病</w:t>
      </w:r>
    </w:p>
    <w:p>
      <w:pPr>
        <w:pStyle w:val="BodyText"/>
        <w:spacing w:before="15"/>
        <w:rPr>
          <w:rFonts w:ascii="Microsoft JhengHei UI"/>
          <w:b/>
          <w:sz w:val="27"/>
        </w:rPr>
      </w:pPr>
    </w:p>
    <w:p>
      <w:pPr>
        <w:pStyle w:val="BodyText"/>
        <w:ind w:left="120"/>
      </w:pPr>
      <w:r>
        <w:rPr>
          <w:spacing w:val="-3"/>
          <w:w w:val="99"/>
        </w:rPr>
        <w:t>艾滋病病毒指人类免疫缺陷病毒，英文缩写为</w:t>
      </w:r>
      <w:r>
        <w:rPr>
          <w:spacing w:val="-1"/>
          <w:w w:val="151"/>
        </w:rPr>
        <w:t>H</w:t>
      </w:r>
      <w:r>
        <w:rPr>
          <w:w w:val="70"/>
        </w:rPr>
        <w:t>I</w:t>
      </w:r>
      <w:r>
        <w:rPr>
          <w:spacing w:val="1"/>
          <w:w w:val="134"/>
        </w:rPr>
        <w:t>V</w:t>
      </w:r>
      <w:r>
        <w:rPr>
          <w:spacing w:val="-4"/>
          <w:w w:val="99"/>
        </w:rPr>
        <w:t>。艾滋病指人类免疫缺陷病毒引起的获得</w:t>
      </w:r>
    </w:p>
    <w:p>
      <w:pPr>
        <w:spacing w:after="0"/>
        <w:sectPr>
          <w:pgSz w:w="11910" w:h="16840"/>
          <w:pgMar w:top="1440" w:bottom="280" w:left="1680" w:right="1680"/>
        </w:sectPr>
      </w:pPr>
    </w:p>
    <w:p>
      <w:pPr>
        <w:pStyle w:val="BodyText"/>
        <w:spacing w:before="32"/>
        <w:ind w:left="120"/>
      </w:pPr>
      <w:bookmarkStart w:name="遗传性疾病" w:id="153"/>
      <w:bookmarkEnd w:id="153"/>
      <w:r>
        <w:rPr/>
      </w:r>
      <w:bookmarkStart w:name="先天性畸形、变形或染色体异常" w:id="154"/>
      <w:bookmarkEnd w:id="154"/>
      <w:r>
        <w:rPr/>
      </w:r>
      <w:bookmarkStart w:name="银行转账交费" w:id="155"/>
      <w:bookmarkEnd w:id="155"/>
      <w:r>
        <w:rPr/>
      </w:r>
      <w:bookmarkStart w:name="本条款约定利率" w:id="156"/>
      <w:bookmarkEnd w:id="156"/>
      <w:r>
        <w:rPr/>
      </w:r>
      <w:bookmarkStart w:name="不可抗力" w:id="157"/>
      <w:bookmarkEnd w:id="157"/>
      <w:r>
        <w:rPr/>
      </w:r>
      <w:r>
        <w:rPr>
          <w:spacing w:val="-1"/>
          <w:w w:val="99"/>
        </w:rPr>
        <w:t>性免疫缺陷综合症，英文缩写为</w:t>
      </w:r>
      <w:r>
        <w:rPr>
          <w:w w:val="134"/>
        </w:rPr>
        <w:t>A</w:t>
      </w:r>
      <w:r>
        <w:rPr>
          <w:w w:val="70"/>
        </w:rPr>
        <w:t>I</w:t>
      </w:r>
      <w:r>
        <w:rPr>
          <w:spacing w:val="-1"/>
          <w:w w:val="153"/>
        </w:rPr>
        <w:t>D</w:t>
      </w:r>
      <w:r>
        <w:rPr>
          <w:spacing w:val="2"/>
          <w:w w:val="95"/>
        </w:rPr>
        <w:t>S</w:t>
      </w:r>
      <w:r>
        <w:rPr>
          <w:w w:val="99"/>
        </w:rPr>
        <w:t>。</w:t>
      </w:r>
    </w:p>
    <w:p>
      <w:pPr>
        <w:pStyle w:val="BodyText"/>
        <w:spacing w:line="408" w:lineRule="auto" w:before="193"/>
        <w:ind w:left="120" w:right="1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BodyText"/>
        <w:spacing w:before="2"/>
        <w:rPr>
          <w:sz w:val="22"/>
        </w:rPr>
      </w:pPr>
    </w:p>
    <w:p>
      <w:pPr>
        <w:pStyle w:val="Heading2"/>
        <w:numPr>
          <w:ilvl w:val="1"/>
          <w:numId w:val="11"/>
        </w:numPr>
        <w:tabs>
          <w:tab w:pos="693" w:val="left" w:leader="none"/>
        </w:tabs>
        <w:spacing w:line="240" w:lineRule="auto" w:before="1" w:after="0"/>
        <w:ind w:left="692" w:right="0" w:hanging="566"/>
        <w:jc w:val="left"/>
      </w:pPr>
      <w:bookmarkStart w:name="_TOC_250004" w:id="158"/>
      <w:bookmarkEnd w:id="158"/>
      <w:r>
        <w:rPr>
          <w:w w:val="95"/>
        </w:rPr>
        <w:t>遗传性疾病</w:t>
      </w:r>
    </w:p>
    <w:p>
      <w:pPr>
        <w:pStyle w:val="BodyText"/>
        <w:spacing w:before="13"/>
        <w:rPr>
          <w:rFonts w:ascii="Microsoft JhengHei UI"/>
          <w:b/>
          <w:sz w:val="27"/>
        </w:rPr>
      </w:pPr>
    </w:p>
    <w:p>
      <w:pPr>
        <w:pStyle w:val="BodyText"/>
        <w:spacing w:line="408" w:lineRule="auto"/>
        <w:ind w:left="120" w:right="1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BodyText"/>
        <w:spacing w:before="2"/>
        <w:rPr>
          <w:sz w:val="22"/>
        </w:rPr>
      </w:pPr>
    </w:p>
    <w:p>
      <w:pPr>
        <w:pStyle w:val="Heading2"/>
        <w:numPr>
          <w:ilvl w:val="1"/>
          <w:numId w:val="11"/>
        </w:numPr>
        <w:tabs>
          <w:tab w:pos="693" w:val="left" w:leader="none"/>
        </w:tabs>
        <w:spacing w:line="240" w:lineRule="auto" w:before="0" w:after="0"/>
        <w:ind w:left="692" w:right="0" w:hanging="566"/>
        <w:jc w:val="left"/>
      </w:pPr>
      <w:bookmarkStart w:name="_TOC_250003" w:id="159"/>
      <w:bookmarkEnd w:id="159"/>
      <w:r>
        <w:rPr>
          <w:w w:val="95"/>
        </w:rPr>
        <w:t>先天性畸形、变形或染色体异常</w:t>
      </w:r>
    </w:p>
    <w:p>
      <w:pPr>
        <w:pStyle w:val="BodyText"/>
        <w:spacing w:before="15"/>
        <w:rPr>
          <w:rFonts w:ascii="Microsoft JhengHei UI"/>
          <w:b/>
          <w:sz w:val="27"/>
        </w:rPr>
      </w:pPr>
    </w:p>
    <w:p>
      <w:pPr>
        <w:pStyle w:val="BodyText"/>
        <w:spacing w:line="408" w:lineRule="auto"/>
        <w:ind w:left="120" w:right="119"/>
      </w:pPr>
      <w:r>
        <w:rPr>
          <w:spacing w:val="-6"/>
          <w:w w:val="95"/>
        </w:rPr>
        <w:t>指被保险人出生时就具有的畸形、变形或染色体异常。先天性畸形、变形和染色体异常依照</w:t>
      </w:r>
      <w:r>
        <w:rPr>
          <w:w w:val="99"/>
        </w:rPr>
        <w:t>世界卫生组织《疾病和有关健康问题的国际统计分类》</w:t>
      </w:r>
      <w:r>
        <w:rPr>
          <w:spacing w:val="1"/>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确定</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2" w:id="160"/>
      <w:bookmarkEnd w:id="160"/>
      <w:r>
        <w:rPr>
          <w:w w:val="95"/>
        </w:rPr>
        <w:t>银行转账交费</w:t>
      </w:r>
    </w:p>
    <w:p>
      <w:pPr>
        <w:pStyle w:val="BodyText"/>
        <w:spacing w:before="15"/>
        <w:rPr>
          <w:rFonts w:ascii="Microsoft JhengHei UI"/>
          <w:b/>
          <w:sz w:val="27"/>
        </w:rPr>
      </w:pPr>
    </w:p>
    <w:p>
      <w:pPr>
        <w:pStyle w:val="BodyText"/>
        <w:spacing w:line="408" w:lineRule="auto"/>
        <w:ind w:left="120" w:right="121"/>
      </w:pPr>
      <w:r>
        <w:rPr>
          <w:spacing w:val="-3"/>
          <w:w w:val="95"/>
        </w:rPr>
        <w:t>指投保人将保险费存入本公司指定银行的活期账户内，我们通过银行转账将保险费划转，继   而完成投保人续交保险费的交纳。</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1" w:id="161"/>
      <w:bookmarkEnd w:id="161"/>
      <w:r>
        <w:rPr>
          <w:w w:val="95"/>
        </w:rPr>
        <w:t>本条款约定利率</w:t>
      </w:r>
    </w:p>
    <w:p>
      <w:pPr>
        <w:pStyle w:val="BodyText"/>
        <w:spacing w:before="15"/>
        <w:rPr>
          <w:rFonts w:ascii="Microsoft JhengHei UI"/>
          <w:b/>
          <w:sz w:val="27"/>
        </w:rPr>
      </w:pPr>
    </w:p>
    <w:p>
      <w:pPr>
        <w:pStyle w:val="BodyText"/>
        <w:spacing w:line="408" w:lineRule="auto"/>
        <w:ind w:left="120" w:right="120"/>
      </w:pPr>
      <w:r>
        <w:rPr>
          <w:w w:val="99"/>
        </w:rPr>
        <w:t>按“同期中国人民银行每月第一个营业日适用的人民币六个月期贷款利率与</w:t>
      </w:r>
      <w:r>
        <w:rPr>
          <w:w w:val="93"/>
        </w:rPr>
        <w:t>4</w:t>
      </w:r>
      <w:r>
        <w:rPr>
          <w:w w:val="43"/>
        </w:rPr>
        <w:t>.</w:t>
      </w:r>
      <w:r>
        <w:rPr>
          <w:w w:val="93"/>
        </w:rPr>
        <w:t>5</w:t>
      </w:r>
      <w:r>
        <w:rPr>
          <w:w w:val="163"/>
        </w:rPr>
        <w:t>%</w:t>
      </w:r>
      <w:r>
        <w:rPr>
          <w:w w:val="99"/>
        </w:rPr>
        <w:t>之较大者</w:t>
      </w:r>
      <w:r>
        <w:rPr>
          <w:w w:val="56"/>
        </w:rPr>
        <w:t>”</w:t>
      </w:r>
      <w:r>
        <w:rPr>
          <w:w w:val="95"/>
        </w:rPr>
        <w:t>计算。</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00" w:id="162"/>
      <w:bookmarkEnd w:id="162"/>
      <w:r>
        <w:rPr>
          <w:w w:val="95"/>
        </w:rPr>
        <w:t>不可抗力</w:t>
      </w:r>
    </w:p>
    <w:p>
      <w:pPr>
        <w:pStyle w:val="BodyText"/>
        <w:spacing w:before="15"/>
        <w:rPr>
          <w:rFonts w:ascii="Microsoft JhengHei UI"/>
          <w:b/>
          <w:sz w:val="27"/>
        </w:rPr>
      </w:pPr>
    </w:p>
    <w:p>
      <w:pPr>
        <w:pStyle w:val="BodyText"/>
        <w:ind w:left="120"/>
      </w:pPr>
      <w:r>
        <w:rPr>
          <w:w w:val="95"/>
        </w:rPr>
        <w:t>指不能预见、不能避免、不能克服的客观情况。</w:t>
      </w:r>
    </w:p>
    <w:sectPr>
      <w:pgSz w:w="11910" w:h="16840"/>
      <w:pgMar w:top="14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Sans Serif">
    <w:altName w:val="Microsoft Sans Serif"/>
    <w:charset w:val="0"/>
    <w:family w:val="swiss"/>
    <w:pitch w:val="variable"/>
  </w:font>
  <w:font w:name="Microsoft JhengHei UI">
    <w:altName w:val="Microsoft JhengHei UI"/>
    <w:charset w:val="0"/>
    <w:family w:val="swiss"/>
    <w:pitch w:val="variable"/>
  </w:font>
  <w:font w:name="Malgun Gothic">
    <w:altName w:val="Malgun Gothic"/>
    <w:charset w:val="0"/>
    <w:family w:val="swiss"/>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46" w:hanging="327"/>
        <w:jc w:val="left"/>
      </w:pPr>
      <w:rPr>
        <w:rFonts w:hint="default" w:ascii="宋体" w:hAnsi="宋体" w:eastAsia="宋体" w:cs="宋体"/>
        <w:spacing w:val="-1"/>
        <w:w w:val="58"/>
        <w:sz w:val="21"/>
        <w:szCs w:val="21"/>
      </w:rPr>
    </w:lvl>
    <w:lvl w:ilvl="1">
      <w:start w:val="0"/>
      <w:numFmt w:val="bullet"/>
      <w:lvlText w:val="•"/>
      <w:lvlJc w:val="left"/>
      <w:pPr>
        <w:ind w:left="1250" w:hanging="327"/>
      </w:pPr>
      <w:rPr>
        <w:rFonts w:hint="default"/>
      </w:rPr>
    </w:lvl>
    <w:lvl w:ilvl="2">
      <w:start w:val="0"/>
      <w:numFmt w:val="bullet"/>
      <w:lvlText w:val="•"/>
      <w:lvlJc w:val="left"/>
      <w:pPr>
        <w:ind w:left="2061" w:hanging="327"/>
      </w:pPr>
      <w:rPr>
        <w:rFonts w:hint="default"/>
      </w:rPr>
    </w:lvl>
    <w:lvl w:ilvl="3">
      <w:start w:val="0"/>
      <w:numFmt w:val="bullet"/>
      <w:lvlText w:val="•"/>
      <w:lvlJc w:val="left"/>
      <w:pPr>
        <w:ind w:left="2871" w:hanging="327"/>
      </w:pPr>
      <w:rPr>
        <w:rFonts w:hint="default"/>
      </w:rPr>
    </w:lvl>
    <w:lvl w:ilvl="4">
      <w:start w:val="0"/>
      <w:numFmt w:val="bullet"/>
      <w:lvlText w:val="•"/>
      <w:lvlJc w:val="left"/>
      <w:pPr>
        <w:ind w:left="3682" w:hanging="327"/>
      </w:pPr>
      <w:rPr>
        <w:rFonts w:hint="default"/>
      </w:rPr>
    </w:lvl>
    <w:lvl w:ilvl="5">
      <w:start w:val="0"/>
      <w:numFmt w:val="bullet"/>
      <w:lvlText w:val="•"/>
      <w:lvlJc w:val="left"/>
      <w:pPr>
        <w:ind w:left="4493" w:hanging="327"/>
      </w:pPr>
      <w:rPr>
        <w:rFonts w:hint="default"/>
      </w:rPr>
    </w:lvl>
    <w:lvl w:ilvl="6">
      <w:start w:val="0"/>
      <w:numFmt w:val="bullet"/>
      <w:lvlText w:val="•"/>
      <w:lvlJc w:val="left"/>
      <w:pPr>
        <w:ind w:left="5303" w:hanging="327"/>
      </w:pPr>
      <w:rPr>
        <w:rFonts w:hint="default"/>
      </w:rPr>
    </w:lvl>
    <w:lvl w:ilvl="7">
      <w:start w:val="0"/>
      <w:numFmt w:val="bullet"/>
      <w:lvlText w:val="•"/>
      <w:lvlJc w:val="left"/>
      <w:pPr>
        <w:ind w:left="6114" w:hanging="327"/>
      </w:pPr>
      <w:rPr>
        <w:rFonts w:hint="default"/>
      </w:rPr>
    </w:lvl>
    <w:lvl w:ilvl="8">
      <w:start w:val="0"/>
      <w:numFmt w:val="bullet"/>
      <w:lvlText w:val="•"/>
      <w:lvlJc w:val="left"/>
      <w:pPr>
        <w:ind w:left="6924" w:hanging="327"/>
      </w:pPr>
      <w:rPr>
        <w:rFonts w:hint="default"/>
      </w:rPr>
    </w:lvl>
  </w:abstractNum>
  <w:abstractNum w:abstractNumId="10">
    <w:multiLevelType w:val="hybridMultilevel"/>
    <w:lvl w:ilvl="0">
      <w:start w:val="11"/>
      <w:numFmt w:val="decimal"/>
      <w:lvlText w:val="%1"/>
      <w:lvlJc w:val="left"/>
      <w:pPr>
        <w:ind w:left="692" w:hanging="567"/>
        <w:jc w:val="left"/>
      </w:pPr>
      <w:rPr>
        <w:rFonts w:hint="default"/>
      </w:rPr>
    </w:lvl>
    <w:lvl w:ilvl="1">
      <w:start w:val="4"/>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69" w:hanging="567"/>
      </w:pPr>
      <w:rPr>
        <w:rFonts w:hint="default"/>
      </w:rPr>
    </w:lvl>
    <w:lvl w:ilvl="3">
      <w:start w:val="0"/>
      <w:numFmt w:val="bullet"/>
      <w:lvlText w:val="•"/>
      <w:lvlJc w:val="left"/>
      <w:pPr>
        <w:ind w:left="3053" w:hanging="567"/>
      </w:pPr>
      <w:rPr>
        <w:rFonts w:hint="default"/>
      </w:rPr>
    </w:lvl>
    <w:lvl w:ilvl="4">
      <w:start w:val="0"/>
      <w:numFmt w:val="bullet"/>
      <w:lvlText w:val="•"/>
      <w:lvlJc w:val="left"/>
      <w:pPr>
        <w:ind w:left="3838" w:hanging="567"/>
      </w:pPr>
      <w:rPr>
        <w:rFonts w:hint="default"/>
      </w:rPr>
    </w:lvl>
    <w:lvl w:ilvl="5">
      <w:start w:val="0"/>
      <w:numFmt w:val="bullet"/>
      <w:lvlText w:val="•"/>
      <w:lvlJc w:val="left"/>
      <w:pPr>
        <w:ind w:left="4623" w:hanging="567"/>
      </w:pPr>
      <w:rPr>
        <w:rFonts w:hint="default"/>
      </w:rPr>
    </w:lvl>
    <w:lvl w:ilvl="6">
      <w:start w:val="0"/>
      <w:numFmt w:val="bullet"/>
      <w:lvlText w:val="•"/>
      <w:lvlJc w:val="left"/>
      <w:pPr>
        <w:ind w:left="5407" w:hanging="567"/>
      </w:pPr>
      <w:rPr>
        <w:rFonts w:hint="default"/>
      </w:rPr>
    </w:lvl>
    <w:lvl w:ilvl="7">
      <w:start w:val="0"/>
      <w:numFmt w:val="bullet"/>
      <w:lvlText w:val="•"/>
      <w:lvlJc w:val="left"/>
      <w:pPr>
        <w:ind w:left="6192" w:hanging="567"/>
      </w:pPr>
      <w:rPr>
        <w:rFonts w:hint="default"/>
      </w:rPr>
    </w:lvl>
    <w:lvl w:ilvl="8">
      <w:start w:val="0"/>
      <w:numFmt w:val="bullet"/>
      <w:lvlText w:val="•"/>
      <w:lvlJc w:val="left"/>
      <w:pPr>
        <w:ind w:left="6976" w:hanging="567"/>
      </w:pPr>
      <w:rPr>
        <w:rFonts w:hint="default"/>
      </w:rPr>
    </w:lvl>
  </w:abstractNum>
  <w:abstractNum w:abstractNumId="9">
    <w:multiLevelType w:val="hybridMultilevel"/>
    <w:lvl w:ilvl="0">
      <w:start w:val="1"/>
      <w:numFmt w:val="upperRoman"/>
      <w:lvlText w:val="%1"/>
      <w:lvlJc w:val="left"/>
      <w:pPr>
        <w:ind w:left="264" w:hanging="125"/>
        <w:jc w:val="left"/>
      </w:pPr>
      <w:rPr>
        <w:rFonts w:hint="default" w:ascii="宋体" w:hAnsi="宋体" w:eastAsia="宋体" w:cs="宋体"/>
        <w:w w:val="70"/>
        <w:sz w:val="21"/>
        <w:szCs w:val="21"/>
      </w:rPr>
    </w:lvl>
    <w:lvl w:ilvl="1">
      <w:start w:val="0"/>
      <w:numFmt w:val="bullet"/>
      <w:lvlText w:val="•"/>
      <w:lvlJc w:val="left"/>
      <w:pPr>
        <w:ind w:left="1088" w:hanging="125"/>
      </w:pPr>
      <w:rPr>
        <w:rFonts w:hint="default"/>
      </w:rPr>
    </w:lvl>
    <w:lvl w:ilvl="2">
      <w:start w:val="0"/>
      <w:numFmt w:val="bullet"/>
      <w:lvlText w:val="•"/>
      <w:lvlJc w:val="left"/>
      <w:pPr>
        <w:ind w:left="1917" w:hanging="125"/>
      </w:pPr>
      <w:rPr>
        <w:rFonts w:hint="default"/>
      </w:rPr>
    </w:lvl>
    <w:lvl w:ilvl="3">
      <w:start w:val="0"/>
      <w:numFmt w:val="bullet"/>
      <w:lvlText w:val="•"/>
      <w:lvlJc w:val="left"/>
      <w:pPr>
        <w:ind w:left="2745" w:hanging="125"/>
      </w:pPr>
      <w:rPr>
        <w:rFonts w:hint="default"/>
      </w:rPr>
    </w:lvl>
    <w:lvl w:ilvl="4">
      <w:start w:val="0"/>
      <w:numFmt w:val="bullet"/>
      <w:lvlText w:val="•"/>
      <w:lvlJc w:val="left"/>
      <w:pPr>
        <w:ind w:left="3574" w:hanging="125"/>
      </w:pPr>
      <w:rPr>
        <w:rFonts w:hint="default"/>
      </w:rPr>
    </w:lvl>
    <w:lvl w:ilvl="5">
      <w:start w:val="0"/>
      <w:numFmt w:val="bullet"/>
      <w:lvlText w:val="•"/>
      <w:lvlJc w:val="left"/>
      <w:pPr>
        <w:ind w:left="4403" w:hanging="125"/>
      </w:pPr>
      <w:rPr>
        <w:rFonts w:hint="default"/>
      </w:rPr>
    </w:lvl>
    <w:lvl w:ilvl="6">
      <w:start w:val="0"/>
      <w:numFmt w:val="bullet"/>
      <w:lvlText w:val="•"/>
      <w:lvlJc w:val="left"/>
      <w:pPr>
        <w:ind w:left="5231" w:hanging="125"/>
      </w:pPr>
      <w:rPr>
        <w:rFonts w:hint="default"/>
      </w:rPr>
    </w:lvl>
    <w:lvl w:ilvl="7">
      <w:start w:val="0"/>
      <w:numFmt w:val="bullet"/>
      <w:lvlText w:val="•"/>
      <w:lvlJc w:val="left"/>
      <w:pPr>
        <w:ind w:left="6060" w:hanging="125"/>
      </w:pPr>
      <w:rPr>
        <w:rFonts w:hint="default"/>
      </w:rPr>
    </w:lvl>
    <w:lvl w:ilvl="8">
      <w:start w:val="0"/>
      <w:numFmt w:val="bullet"/>
      <w:lvlText w:val="•"/>
      <w:lvlJc w:val="left"/>
      <w:pPr>
        <w:ind w:left="6888" w:hanging="125"/>
      </w:pPr>
      <w:rPr>
        <w:rFonts w:hint="default"/>
      </w:rPr>
    </w:lvl>
  </w:abstractNum>
  <w:abstractNum w:abstractNumId="8">
    <w:multiLevelType w:val="hybridMultilevel"/>
    <w:lvl w:ilvl="0">
      <w:start w:val="1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1206" w:hanging="108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2118" w:hanging="1087"/>
      </w:pPr>
      <w:rPr>
        <w:rFonts w:hint="default"/>
      </w:rPr>
    </w:lvl>
    <w:lvl w:ilvl="4">
      <w:start w:val="0"/>
      <w:numFmt w:val="bullet"/>
      <w:lvlText w:val="•"/>
      <w:lvlJc w:val="left"/>
      <w:pPr>
        <w:ind w:left="3036" w:hanging="1087"/>
      </w:pPr>
      <w:rPr>
        <w:rFonts w:hint="default"/>
      </w:rPr>
    </w:lvl>
    <w:lvl w:ilvl="5">
      <w:start w:val="0"/>
      <w:numFmt w:val="bullet"/>
      <w:lvlText w:val="•"/>
      <w:lvlJc w:val="left"/>
      <w:pPr>
        <w:ind w:left="3954" w:hanging="1087"/>
      </w:pPr>
      <w:rPr>
        <w:rFonts w:hint="default"/>
      </w:rPr>
    </w:lvl>
    <w:lvl w:ilvl="6">
      <w:start w:val="0"/>
      <w:numFmt w:val="bullet"/>
      <w:lvlText w:val="•"/>
      <w:lvlJc w:val="left"/>
      <w:pPr>
        <w:ind w:left="4873" w:hanging="1087"/>
      </w:pPr>
      <w:rPr>
        <w:rFonts w:hint="default"/>
      </w:rPr>
    </w:lvl>
    <w:lvl w:ilvl="7">
      <w:start w:val="0"/>
      <w:numFmt w:val="bullet"/>
      <w:lvlText w:val="•"/>
      <w:lvlJc w:val="left"/>
      <w:pPr>
        <w:ind w:left="5791" w:hanging="1087"/>
      </w:pPr>
      <w:rPr>
        <w:rFonts w:hint="default"/>
      </w:rPr>
    </w:lvl>
    <w:lvl w:ilvl="8">
      <w:start w:val="0"/>
      <w:numFmt w:val="bullet"/>
      <w:lvlText w:val="•"/>
      <w:lvlJc w:val="left"/>
      <w:pPr>
        <w:ind w:left="6709" w:hanging="1087"/>
      </w:pPr>
      <w:rPr>
        <w:rFonts w:hint="default"/>
      </w:rPr>
    </w:lvl>
  </w:abstractNum>
  <w:abstractNum w:abstractNumId="7">
    <w:multiLevelType w:val="hybridMultilevel"/>
    <w:lvl w:ilvl="0">
      <w:start w:val="1"/>
      <w:numFmt w:val="decimal"/>
      <w:lvlText w:val="%1."/>
      <w:lvlJc w:val="left"/>
      <w:pPr>
        <w:ind w:left="540"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6">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2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6" w:hanging="420"/>
      </w:pPr>
      <w:rPr>
        <w:rFonts w:hint="default"/>
      </w:rPr>
    </w:lvl>
    <w:lvl w:ilvl="5">
      <w:start w:val="0"/>
      <w:numFmt w:val="bullet"/>
      <w:lvlText w:val="•"/>
      <w:lvlJc w:val="left"/>
      <w:pPr>
        <w:ind w:left="4793" w:hanging="420"/>
      </w:pPr>
      <w:rPr>
        <w:rFonts w:hint="default"/>
      </w:rPr>
    </w:lvl>
    <w:lvl w:ilvl="6">
      <w:start w:val="0"/>
      <w:numFmt w:val="bullet"/>
      <w:lvlText w:val="•"/>
      <w:lvlJc w:val="left"/>
      <w:pPr>
        <w:ind w:left="5559" w:hanging="420"/>
      </w:pPr>
      <w:rPr>
        <w:rFonts w:hint="default"/>
      </w:rPr>
    </w:lvl>
    <w:lvl w:ilvl="7">
      <w:start w:val="0"/>
      <w:numFmt w:val="bullet"/>
      <w:lvlText w:val="•"/>
      <w:lvlJc w:val="left"/>
      <w:pPr>
        <w:ind w:left="6326" w:hanging="420"/>
      </w:pPr>
      <w:rPr>
        <w:rFonts w:hint="default"/>
      </w:rPr>
    </w:lvl>
    <w:lvl w:ilvl="8">
      <w:start w:val="0"/>
      <w:numFmt w:val="bullet"/>
      <w:lvlText w:val="•"/>
      <w:lvlJc w:val="left"/>
      <w:pPr>
        <w:ind w:left="7092" w:hanging="420"/>
      </w:pPr>
      <w:rPr>
        <w:rFonts w:hint="default"/>
      </w:rPr>
    </w:lvl>
  </w:abstractNum>
  <w:abstractNum w:abstractNumId="5">
    <w:multiLevelType w:val="hybridMultilevel"/>
    <w:lvl w:ilvl="0">
      <w:start w:val="6"/>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668" w:hanging="543"/>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685" w:hanging="543"/>
      </w:pPr>
      <w:rPr>
        <w:rFonts w:hint="default"/>
      </w:rPr>
    </w:lvl>
    <w:lvl w:ilvl="4">
      <w:start w:val="0"/>
      <w:numFmt w:val="bullet"/>
      <w:lvlText w:val="•"/>
      <w:lvlJc w:val="left"/>
      <w:pPr>
        <w:ind w:left="2671" w:hanging="543"/>
      </w:pPr>
      <w:rPr>
        <w:rFonts w:hint="default"/>
      </w:rPr>
    </w:lvl>
    <w:lvl w:ilvl="5">
      <w:start w:val="0"/>
      <w:numFmt w:val="bullet"/>
      <w:lvlText w:val="•"/>
      <w:lvlJc w:val="left"/>
      <w:pPr>
        <w:ind w:left="3657" w:hanging="543"/>
      </w:pPr>
      <w:rPr>
        <w:rFonts w:hint="default"/>
      </w:rPr>
    </w:lvl>
    <w:lvl w:ilvl="6">
      <w:start w:val="0"/>
      <w:numFmt w:val="bullet"/>
      <w:lvlText w:val="•"/>
      <w:lvlJc w:val="left"/>
      <w:pPr>
        <w:ind w:left="4643" w:hanging="543"/>
      </w:pPr>
      <w:rPr>
        <w:rFonts w:hint="default"/>
      </w:rPr>
    </w:lvl>
    <w:lvl w:ilvl="7">
      <w:start w:val="0"/>
      <w:numFmt w:val="bullet"/>
      <w:lvlText w:val="•"/>
      <w:lvlJc w:val="left"/>
      <w:pPr>
        <w:ind w:left="5628" w:hanging="543"/>
      </w:pPr>
      <w:rPr>
        <w:rFonts w:hint="default"/>
      </w:rPr>
    </w:lvl>
    <w:lvl w:ilvl="8">
      <w:start w:val="0"/>
      <w:numFmt w:val="bullet"/>
      <w:lvlText w:val="•"/>
      <w:lvlJc w:val="left"/>
      <w:pPr>
        <w:ind w:left="6614" w:hanging="543"/>
      </w:pPr>
      <w:rPr>
        <w:rFonts w:hint="default"/>
      </w:rPr>
    </w:lvl>
  </w:abstractNum>
  <w:abstractNum w:abstractNumId="4">
    <w:multiLevelType w:val="hybridMultilevel"/>
    <w:lvl w:ilvl="0">
      <w:start w:val="1"/>
      <w:numFmt w:val="decimal"/>
      <w:lvlText w:val="%1."/>
      <w:lvlJc w:val="left"/>
      <w:pPr>
        <w:ind w:left="546" w:hanging="42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3">
    <w:multiLevelType w:val="hybridMultilevel"/>
    <w:lvl w:ilvl="0">
      <w:start w:val="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1"/>
        <w:w w:val="78"/>
        <w:sz w:val="21"/>
        <w:szCs w:val="21"/>
      </w:rPr>
    </w:lvl>
    <w:lvl w:ilvl="2">
      <w:start w:val="0"/>
      <w:numFmt w:val="bullet"/>
      <w:lvlText w:val="•"/>
      <w:lvlJc w:val="left"/>
      <w:pPr>
        <w:ind w:left="1571" w:hanging="567"/>
      </w:pPr>
      <w:rPr>
        <w:rFonts w:hint="default"/>
      </w:rPr>
    </w:lvl>
    <w:lvl w:ilvl="3">
      <w:start w:val="0"/>
      <w:numFmt w:val="bullet"/>
      <w:lvlText w:val="•"/>
      <w:lvlJc w:val="left"/>
      <w:pPr>
        <w:ind w:left="2443" w:hanging="567"/>
      </w:pPr>
      <w:rPr>
        <w:rFonts w:hint="default"/>
      </w:rPr>
    </w:lvl>
    <w:lvl w:ilvl="4">
      <w:start w:val="0"/>
      <w:numFmt w:val="bullet"/>
      <w:lvlText w:val="•"/>
      <w:lvlJc w:val="left"/>
      <w:pPr>
        <w:ind w:left="3315" w:hanging="567"/>
      </w:pPr>
      <w:rPr>
        <w:rFonts w:hint="default"/>
      </w:rPr>
    </w:lvl>
    <w:lvl w:ilvl="5">
      <w:start w:val="0"/>
      <w:numFmt w:val="bullet"/>
      <w:lvlText w:val="•"/>
      <w:lvlJc w:val="left"/>
      <w:pPr>
        <w:ind w:left="4187" w:hanging="567"/>
      </w:pPr>
      <w:rPr>
        <w:rFonts w:hint="default"/>
      </w:rPr>
    </w:lvl>
    <w:lvl w:ilvl="6">
      <w:start w:val="0"/>
      <w:numFmt w:val="bullet"/>
      <w:lvlText w:val="•"/>
      <w:lvlJc w:val="left"/>
      <w:pPr>
        <w:ind w:left="5058" w:hanging="567"/>
      </w:pPr>
      <w:rPr>
        <w:rFonts w:hint="default"/>
      </w:rPr>
    </w:lvl>
    <w:lvl w:ilvl="7">
      <w:start w:val="0"/>
      <w:numFmt w:val="bullet"/>
      <w:lvlText w:val="•"/>
      <w:lvlJc w:val="left"/>
      <w:pPr>
        <w:ind w:left="5930" w:hanging="567"/>
      </w:pPr>
      <w:rPr>
        <w:rFonts w:hint="default"/>
      </w:rPr>
    </w:lvl>
    <w:lvl w:ilvl="8">
      <w:start w:val="0"/>
      <w:numFmt w:val="bullet"/>
      <w:lvlText w:val="•"/>
      <w:lvlJc w:val="left"/>
      <w:pPr>
        <w:ind w:left="6802" w:hanging="567"/>
      </w:pPr>
      <w:rPr>
        <w:rFonts w:hint="default"/>
      </w:rPr>
    </w:lvl>
  </w:abstractNum>
  <w:abstractNum w:abstractNumId="2">
    <w:multiLevelType w:val="hybridMultilevel"/>
    <w:lvl w:ilvl="0">
      <w:start w:val="11"/>
      <w:numFmt w:val="decimal"/>
      <w:lvlText w:val="%1"/>
      <w:lvlJc w:val="left"/>
      <w:pPr>
        <w:ind w:left="2008" w:hanging="1049"/>
        <w:jc w:val="left"/>
      </w:pPr>
      <w:rPr>
        <w:rFonts w:hint="default"/>
      </w:rPr>
    </w:lvl>
    <w:lvl w:ilvl="1">
      <w:start w:val="3"/>
      <w:numFmt w:val="decimal"/>
      <w:lvlText w:val="%1.%2"/>
      <w:lvlJc w:val="left"/>
      <w:pPr>
        <w:ind w:left="2008" w:hanging="1049"/>
        <w:jc w:val="left"/>
      </w:pPr>
      <w:rPr>
        <w:rFonts w:hint="default"/>
      </w:rPr>
    </w:lvl>
    <w:lvl w:ilvl="2">
      <w:start w:val="16"/>
      <w:numFmt w:val="decimal"/>
      <w:lvlText w:val="%1.%2.%3."/>
      <w:lvlJc w:val="left"/>
      <w:pPr>
        <w:ind w:left="2008" w:hanging="1049"/>
        <w:jc w:val="left"/>
      </w:pPr>
      <w:rPr>
        <w:rFonts w:hint="default" w:ascii="宋体" w:hAnsi="宋体" w:eastAsia="宋体" w:cs="宋体"/>
        <w:spacing w:val="-2"/>
        <w:w w:val="99"/>
        <w:sz w:val="21"/>
        <w:szCs w:val="21"/>
      </w:rPr>
    </w:lvl>
    <w:lvl w:ilvl="3">
      <w:start w:val="0"/>
      <w:numFmt w:val="bullet"/>
      <w:lvlText w:val="•"/>
      <w:lvlJc w:val="left"/>
      <w:pPr>
        <w:ind w:left="3963" w:hanging="1049"/>
      </w:pPr>
      <w:rPr>
        <w:rFonts w:hint="default"/>
      </w:rPr>
    </w:lvl>
    <w:lvl w:ilvl="4">
      <w:start w:val="0"/>
      <w:numFmt w:val="bullet"/>
      <w:lvlText w:val="•"/>
      <w:lvlJc w:val="left"/>
      <w:pPr>
        <w:ind w:left="4618" w:hanging="1049"/>
      </w:pPr>
      <w:rPr>
        <w:rFonts w:hint="default"/>
      </w:rPr>
    </w:lvl>
    <w:lvl w:ilvl="5">
      <w:start w:val="0"/>
      <w:numFmt w:val="bullet"/>
      <w:lvlText w:val="•"/>
      <w:lvlJc w:val="left"/>
      <w:pPr>
        <w:ind w:left="5273" w:hanging="1049"/>
      </w:pPr>
      <w:rPr>
        <w:rFonts w:hint="default"/>
      </w:rPr>
    </w:lvl>
    <w:lvl w:ilvl="6">
      <w:start w:val="0"/>
      <w:numFmt w:val="bullet"/>
      <w:lvlText w:val="•"/>
      <w:lvlJc w:val="left"/>
      <w:pPr>
        <w:ind w:left="5927" w:hanging="1049"/>
      </w:pPr>
      <w:rPr>
        <w:rFonts w:hint="default"/>
      </w:rPr>
    </w:lvl>
    <w:lvl w:ilvl="7">
      <w:start w:val="0"/>
      <w:numFmt w:val="bullet"/>
      <w:lvlText w:val="•"/>
      <w:lvlJc w:val="left"/>
      <w:pPr>
        <w:ind w:left="6582" w:hanging="1049"/>
      </w:pPr>
      <w:rPr>
        <w:rFonts w:hint="default"/>
      </w:rPr>
    </w:lvl>
    <w:lvl w:ilvl="8">
      <w:start w:val="0"/>
      <w:numFmt w:val="bullet"/>
      <w:lvlText w:val="•"/>
      <w:lvlJc w:val="left"/>
      <w:pPr>
        <w:ind w:left="7236" w:hanging="1049"/>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171" w:hanging="632"/>
        <w:jc w:val="left"/>
      </w:pPr>
      <w:rPr>
        <w:rFonts w:hint="default" w:ascii="宋体" w:hAnsi="宋体" w:eastAsia="宋体" w:cs="宋体"/>
        <w:spacing w:val="-1"/>
        <w:w w:val="43"/>
        <w:sz w:val="21"/>
        <w:szCs w:val="21"/>
      </w:rPr>
    </w:lvl>
    <w:lvl w:ilvl="2">
      <w:start w:val="1"/>
      <w:numFmt w:val="decimal"/>
      <w:lvlText w:val="%1.%2.%3."/>
      <w:lvlJc w:val="left"/>
      <w:pPr>
        <w:ind w:left="1497" w:hanging="538"/>
        <w:jc w:val="left"/>
      </w:pPr>
      <w:rPr>
        <w:rFonts w:hint="default" w:ascii="宋体" w:hAnsi="宋体" w:eastAsia="宋体" w:cs="宋体"/>
        <w:spacing w:val="-1"/>
        <w:w w:val="43"/>
        <w:sz w:val="21"/>
        <w:szCs w:val="21"/>
      </w:rPr>
    </w:lvl>
    <w:lvl w:ilvl="3">
      <w:start w:val="0"/>
      <w:numFmt w:val="bullet"/>
      <w:lvlText w:val="•"/>
      <w:lvlJc w:val="left"/>
      <w:pPr>
        <w:ind w:left="1900" w:hanging="538"/>
      </w:pPr>
      <w:rPr>
        <w:rFonts w:hint="default"/>
      </w:rPr>
    </w:lvl>
    <w:lvl w:ilvl="4">
      <w:start w:val="0"/>
      <w:numFmt w:val="bullet"/>
      <w:lvlText w:val="•"/>
      <w:lvlJc w:val="left"/>
      <w:pPr>
        <w:ind w:left="2849" w:hanging="538"/>
      </w:pPr>
      <w:rPr>
        <w:rFonts w:hint="default"/>
      </w:rPr>
    </w:lvl>
    <w:lvl w:ilvl="5">
      <w:start w:val="0"/>
      <w:numFmt w:val="bullet"/>
      <w:lvlText w:val="•"/>
      <w:lvlJc w:val="left"/>
      <w:pPr>
        <w:ind w:left="3798" w:hanging="538"/>
      </w:pPr>
      <w:rPr>
        <w:rFonts w:hint="default"/>
      </w:rPr>
    </w:lvl>
    <w:lvl w:ilvl="6">
      <w:start w:val="0"/>
      <w:numFmt w:val="bullet"/>
      <w:lvlText w:val="•"/>
      <w:lvlJc w:val="left"/>
      <w:pPr>
        <w:ind w:left="4748" w:hanging="538"/>
      </w:pPr>
      <w:rPr>
        <w:rFonts w:hint="default"/>
      </w:rPr>
    </w:lvl>
    <w:lvl w:ilvl="7">
      <w:start w:val="0"/>
      <w:numFmt w:val="bullet"/>
      <w:lvlText w:val="•"/>
      <w:lvlJc w:val="left"/>
      <w:pPr>
        <w:ind w:left="5697" w:hanging="538"/>
      </w:pPr>
      <w:rPr>
        <w:rFonts w:hint="default"/>
      </w:rPr>
    </w:lvl>
    <w:lvl w:ilvl="8">
      <w:start w:val="0"/>
      <w:numFmt w:val="bullet"/>
      <w:lvlText w:val="•"/>
      <w:lvlJc w:val="left"/>
      <w:pPr>
        <w:ind w:left="6647" w:hanging="538"/>
      </w:pPr>
      <w:rPr>
        <w:rFonts w:hint="default"/>
      </w:rPr>
    </w:lvl>
  </w:abstractNum>
  <w:abstractNum w:abstractNumId="0">
    <w:multiLevelType w:val="hybridMultilevel"/>
    <w:lvl w:ilvl="0">
      <w:start w:val="0"/>
      <w:numFmt w:val="bullet"/>
      <w:lvlText w:val="�"/>
      <w:lvlJc w:val="left"/>
      <w:pPr>
        <w:ind w:left="849"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71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45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203" w:hanging="420"/>
      </w:pPr>
      <w:rPr>
        <w:rFonts w:hint="default"/>
      </w:rPr>
    </w:lvl>
    <w:lvl w:ilvl="6">
      <w:start w:val="0"/>
      <w:numFmt w:val="bullet"/>
      <w:lvlText w:val="•"/>
      <w:lvlJc w:val="left"/>
      <w:pPr>
        <w:ind w:left="6075" w:hanging="420"/>
      </w:pPr>
      <w:rPr>
        <w:rFonts w:hint="default"/>
      </w:rPr>
    </w:lvl>
    <w:lvl w:ilvl="7">
      <w:start w:val="0"/>
      <w:numFmt w:val="bullet"/>
      <w:lvlText w:val="•"/>
      <w:lvlJc w:val="left"/>
      <w:pPr>
        <w:ind w:left="6948" w:hanging="420"/>
      </w:pPr>
      <w:rPr>
        <w:rFonts w:hint="default"/>
      </w:rPr>
    </w:lvl>
    <w:lvl w:ilvl="8">
      <w:start w:val="0"/>
      <w:numFmt w:val="bullet"/>
      <w:lvlText w:val="•"/>
      <w:lvlJc w:val="left"/>
      <w:pPr>
        <w:ind w:left="7820"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60" w:hanging="840"/>
    </w:pPr>
    <w:rPr>
      <w:rFonts w:ascii="宋体" w:hAnsi="宋体" w:eastAsia="宋体" w:cs="宋体"/>
      <w:sz w:val="21"/>
      <w:szCs w:val="21"/>
    </w:rPr>
  </w:style>
  <w:style w:styleId="TOC2" w:type="paragraph">
    <w:name w:val="TOC 2"/>
    <w:basedOn w:val="Normal"/>
    <w:uiPriority w:val="1"/>
    <w:qFormat/>
    <w:pPr>
      <w:spacing w:before="21"/>
      <w:ind w:left="1171" w:hanging="631"/>
    </w:pPr>
    <w:rPr>
      <w:rFonts w:ascii="宋体" w:hAnsi="宋体" w:eastAsia="宋体" w:cs="宋体"/>
      <w:sz w:val="21"/>
      <w:szCs w:val="21"/>
    </w:rPr>
  </w:style>
  <w:style w:styleId="TOC3" w:type="paragraph">
    <w:name w:val="TOC 3"/>
    <w:basedOn w:val="Normal"/>
    <w:uiPriority w:val="1"/>
    <w:qFormat/>
    <w:pPr>
      <w:spacing w:before="21"/>
      <w:ind w:left="1380" w:hanging="840"/>
    </w:pPr>
    <w:rPr>
      <w:rFonts w:ascii="宋体" w:hAnsi="宋体" w:eastAsia="宋体" w:cs="宋体"/>
      <w:sz w:val="21"/>
      <w:szCs w:val="21"/>
    </w:rPr>
  </w:style>
  <w:style w:styleId="TOC4" w:type="paragraph">
    <w:name w:val="TOC 4"/>
    <w:basedOn w:val="Normal"/>
    <w:uiPriority w:val="1"/>
    <w:qFormat/>
    <w:pPr>
      <w:spacing w:before="21"/>
      <w:ind w:left="2008" w:hanging="1048"/>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128"/>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692" w:hanging="1086"/>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ind w:left="692" w:hanging="108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2018-10-20T08:04:19Z</dcterms:created>
  <dcterms:modified xsi:type="dcterms:W3CDTF">2018-10-20T08:04:19Z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WPS Office 个人版</vt:lpwstr>
  </property>
  <property fmtid="{D5CDD505-2E9C-101B-9397-08002B2CF9AE}" pid="4" name="LastSaved">
    <vt:filetime>2018-10-20T00:00:00Z</vt:filetime>
  </property>
</Properties>
</file>