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ind w:left="2862"/>
      </w:pPr>
      <w:r>
        <w:rPr/>
        <w:drawing>
          <wp:anchor distT="0" distB="0" distL="0" distR="0" allowOverlap="1" layoutInCell="1" locked="0" behindDoc="1" simplePos="0" relativeHeight="268388183">
            <wp:simplePos x="0" y="0"/>
            <wp:positionH relativeFrom="page">
              <wp:posOffset>5292851</wp:posOffset>
            </wp:positionH>
            <wp:positionV relativeFrom="paragraph">
              <wp:posOffset>24501</wp:posOffset>
            </wp:positionV>
            <wp:extent cx="1723643" cy="10652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23643" cy="1065276"/>
                    </a:xfrm>
                    <a:prstGeom prst="rect">
                      <a:avLst/>
                    </a:prstGeom>
                  </pic:spPr>
                </pic:pic>
              </a:graphicData>
            </a:graphic>
          </wp:anchor>
        </w:drawing>
      </w:r>
      <w:r>
        <w:rPr/>
        <w:t>人保寿险附加金色童年重大疾病保险</w:t>
      </w:r>
      <w:r>
        <w:rPr>
          <w:w w:val="95"/>
        </w:rPr>
        <w:t>条款目录</w:t>
      </w:r>
    </w:p>
    <w:p>
      <w:pPr>
        <w:pStyle w:val="BodyText"/>
        <w:spacing w:line="273" w:lineRule="auto" w:before="16"/>
        <w:ind w:left="2855" w:right="2794"/>
        <w:jc w:val="center"/>
      </w:pPr>
      <w:r>
        <w:rPr>
          <w:spacing w:val="-3"/>
          <w:u w:val="single"/>
        </w:rPr>
        <w:t>条款是保险合同的重要内容，为充分保障您的权益， 请您仔细</w:t>
      </w:r>
      <w:r>
        <w:rPr>
          <w:spacing w:val="-212"/>
          <w:u w:val="single"/>
        </w:rPr>
        <w:t>阅</w:t>
      </w:r>
      <w:r>
        <w:rPr>
          <w:spacing w:val="-3"/>
          <w:u w:val="single"/>
        </w:rPr>
        <w:t>读本条款。</w:t>
      </w:r>
    </w:p>
    <w:p>
      <w:pPr>
        <w:pStyle w:val="BodyText"/>
        <w:rPr>
          <w:sz w:val="20"/>
        </w:rPr>
      </w:pPr>
    </w:p>
    <w:p>
      <w:pPr>
        <w:pStyle w:val="BodyText"/>
        <w:spacing w:before="4"/>
        <w:rPr>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5"/>
        <w:gridCol w:w="3570"/>
        <w:gridCol w:w="2524"/>
      </w:tblGrid>
      <w:tr>
        <w:trPr>
          <w:trHeight w:val="288" w:hRule="atLeast"/>
        </w:trPr>
        <w:tc>
          <w:tcPr>
            <w:tcW w:w="3485"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3570" w:type="dxa"/>
          </w:tcPr>
          <w:p>
            <w:pPr>
              <w:pStyle w:val="TableParagraph"/>
              <w:spacing w:line="234" w:lineRule="exact"/>
              <w:ind w:left="187"/>
              <w:rPr>
                <w:b/>
                <w:sz w:val="21"/>
              </w:rPr>
            </w:pPr>
            <w:r>
              <w:rPr>
                <w:rFonts w:ascii="Times New Roman" w:eastAsia="Times New Roman"/>
                <w:b/>
                <w:sz w:val="21"/>
              </w:rPr>
              <w:t>4.  </w:t>
            </w:r>
            <w:r>
              <w:rPr>
                <w:b/>
                <w:sz w:val="21"/>
              </w:rPr>
              <w:t>如何申请领取保险金</w:t>
            </w:r>
          </w:p>
        </w:tc>
        <w:tc>
          <w:tcPr>
            <w:tcW w:w="2524" w:type="dxa"/>
          </w:tcPr>
          <w:p>
            <w:pPr>
              <w:pStyle w:val="TableParagraph"/>
              <w:spacing w:line="234" w:lineRule="exact"/>
              <w:ind w:left="1009"/>
              <w:rPr>
                <w:sz w:val="21"/>
              </w:rPr>
            </w:pPr>
            <w:r>
              <w:rPr>
                <w:rFonts w:ascii="Times New Roman" w:eastAsia="Times New Roman"/>
                <w:sz w:val="21"/>
              </w:rPr>
              <w:t>5.10  </w:t>
            </w:r>
            <w:r>
              <w:rPr>
                <w:sz w:val="21"/>
              </w:rPr>
              <w:t>潜水</w:t>
            </w:r>
          </w:p>
        </w:tc>
      </w:tr>
      <w:tr>
        <w:trPr>
          <w:trHeight w:val="343" w:hRule="atLeast"/>
        </w:trPr>
        <w:tc>
          <w:tcPr>
            <w:tcW w:w="3485" w:type="dxa"/>
          </w:tcPr>
          <w:p>
            <w:pPr>
              <w:pStyle w:val="TableParagraph"/>
              <w:spacing w:line="288" w:lineRule="exact"/>
              <w:ind w:left="622"/>
              <w:rPr>
                <w:sz w:val="21"/>
              </w:rPr>
            </w:pPr>
            <w:r>
              <w:rPr>
                <w:rFonts w:ascii="Times New Roman" w:eastAsia="Times New Roman"/>
                <w:sz w:val="21"/>
              </w:rPr>
              <w:t>1.1  </w:t>
            </w:r>
            <w:r>
              <w:rPr>
                <w:sz w:val="21"/>
              </w:rPr>
              <w:t>附加合同订立</w:t>
            </w:r>
          </w:p>
        </w:tc>
        <w:tc>
          <w:tcPr>
            <w:tcW w:w="3570" w:type="dxa"/>
          </w:tcPr>
          <w:p>
            <w:pPr>
              <w:pStyle w:val="TableParagraph"/>
              <w:spacing w:line="288" w:lineRule="exact"/>
              <w:ind w:left="607"/>
              <w:rPr>
                <w:sz w:val="21"/>
              </w:rPr>
            </w:pPr>
            <w:r>
              <w:rPr>
                <w:rFonts w:ascii="Times New Roman" w:eastAsia="Times New Roman"/>
                <w:sz w:val="21"/>
              </w:rPr>
              <w:t>4.1  </w:t>
            </w:r>
            <w:r>
              <w:rPr>
                <w:sz w:val="21"/>
              </w:rPr>
              <w:t>受益人</w:t>
            </w:r>
          </w:p>
        </w:tc>
        <w:tc>
          <w:tcPr>
            <w:tcW w:w="2524" w:type="dxa"/>
          </w:tcPr>
          <w:p>
            <w:pPr>
              <w:pStyle w:val="TableParagraph"/>
              <w:spacing w:line="288" w:lineRule="exact"/>
              <w:ind w:left="1007"/>
              <w:rPr>
                <w:sz w:val="21"/>
              </w:rPr>
            </w:pPr>
            <w:r>
              <w:rPr>
                <w:rFonts w:ascii="Times New Roman" w:eastAsia="Times New Roman"/>
                <w:sz w:val="21"/>
              </w:rPr>
              <w:t>5.11  </w:t>
            </w:r>
            <w:r>
              <w:rPr>
                <w:sz w:val="21"/>
              </w:rPr>
              <w:t>空中运动</w:t>
            </w:r>
          </w:p>
        </w:tc>
      </w:tr>
      <w:tr>
        <w:trPr>
          <w:trHeight w:val="344" w:hRule="atLeast"/>
        </w:trPr>
        <w:tc>
          <w:tcPr>
            <w:tcW w:w="3485" w:type="dxa"/>
          </w:tcPr>
          <w:p>
            <w:pPr>
              <w:pStyle w:val="TableParagraph"/>
              <w:spacing w:line="288" w:lineRule="exact"/>
              <w:ind w:left="622"/>
              <w:rPr>
                <w:sz w:val="21"/>
              </w:rPr>
            </w:pPr>
            <w:r>
              <w:rPr>
                <w:rFonts w:ascii="Times New Roman" w:eastAsia="Times New Roman"/>
                <w:sz w:val="21"/>
              </w:rPr>
              <w:t>1.2  </w:t>
            </w:r>
            <w:r>
              <w:rPr>
                <w:sz w:val="21"/>
              </w:rPr>
              <w:t>附加合同生效</w:t>
            </w:r>
          </w:p>
        </w:tc>
        <w:tc>
          <w:tcPr>
            <w:tcW w:w="3570" w:type="dxa"/>
          </w:tcPr>
          <w:p>
            <w:pPr>
              <w:pStyle w:val="TableParagraph"/>
              <w:spacing w:line="288" w:lineRule="exact"/>
              <w:ind w:left="607"/>
              <w:rPr>
                <w:sz w:val="21"/>
              </w:rPr>
            </w:pPr>
            <w:r>
              <w:rPr>
                <w:rFonts w:ascii="Times New Roman" w:eastAsia="Times New Roman"/>
                <w:sz w:val="21"/>
              </w:rPr>
              <w:t>4.2  </w:t>
            </w:r>
            <w:r>
              <w:rPr>
                <w:sz w:val="21"/>
              </w:rPr>
              <w:t>保险金申请</w:t>
            </w:r>
          </w:p>
        </w:tc>
        <w:tc>
          <w:tcPr>
            <w:tcW w:w="2524" w:type="dxa"/>
          </w:tcPr>
          <w:p>
            <w:pPr>
              <w:pStyle w:val="TableParagraph"/>
              <w:spacing w:line="288" w:lineRule="exact"/>
              <w:ind w:left="1007"/>
              <w:rPr>
                <w:sz w:val="21"/>
              </w:rPr>
            </w:pPr>
            <w:r>
              <w:rPr>
                <w:rFonts w:ascii="Times New Roman" w:eastAsia="Times New Roman"/>
                <w:sz w:val="21"/>
              </w:rPr>
              <w:t>5.12  </w:t>
            </w:r>
            <w:r>
              <w:rPr>
                <w:sz w:val="21"/>
              </w:rPr>
              <w:t>攀岩</w:t>
            </w:r>
          </w:p>
        </w:tc>
      </w:tr>
      <w:tr>
        <w:trPr>
          <w:trHeight w:val="344" w:hRule="atLeast"/>
        </w:trPr>
        <w:tc>
          <w:tcPr>
            <w:tcW w:w="3485" w:type="dxa"/>
          </w:tcPr>
          <w:p>
            <w:pPr>
              <w:pStyle w:val="TableParagraph"/>
              <w:ind w:left="0"/>
              <w:rPr>
                <w:rFonts w:ascii="Times New Roman"/>
                <w:sz w:val="20"/>
              </w:rPr>
            </w:pPr>
          </w:p>
        </w:tc>
        <w:tc>
          <w:tcPr>
            <w:tcW w:w="3570" w:type="dxa"/>
          </w:tcPr>
          <w:p>
            <w:pPr>
              <w:pStyle w:val="TableParagraph"/>
              <w:spacing w:line="289" w:lineRule="exact"/>
              <w:ind w:left="608"/>
              <w:rPr>
                <w:sz w:val="21"/>
              </w:rPr>
            </w:pPr>
            <w:r>
              <w:rPr>
                <w:rFonts w:ascii="Times New Roman" w:eastAsia="Times New Roman"/>
                <w:sz w:val="21"/>
              </w:rPr>
              <w:t>4.3  </w:t>
            </w:r>
            <w:r>
              <w:rPr>
                <w:sz w:val="21"/>
              </w:rPr>
              <w:t>诉讼时效</w:t>
            </w:r>
          </w:p>
        </w:tc>
        <w:tc>
          <w:tcPr>
            <w:tcW w:w="2524" w:type="dxa"/>
          </w:tcPr>
          <w:p>
            <w:pPr>
              <w:pStyle w:val="TableParagraph"/>
              <w:spacing w:line="289" w:lineRule="exact"/>
              <w:ind w:left="1007"/>
              <w:rPr>
                <w:sz w:val="21"/>
              </w:rPr>
            </w:pPr>
            <w:r>
              <w:rPr>
                <w:rFonts w:ascii="Times New Roman" w:eastAsia="Times New Roman"/>
                <w:sz w:val="21"/>
              </w:rPr>
              <w:t>5.13  </w:t>
            </w:r>
            <w:r>
              <w:rPr>
                <w:sz w:val="21"/>
              </w:rPr>
              <w:t>探险</w:t>
            </w:r>
          </w:p>
        </w:tc>
      </w:tr>
      <w:tr>
        <w:trPr>
          <w:trHeight w:val="343" w:hRule="atLeast"/>
        </w:trPr>
        <w:tc>
          <w:tcPr>
            <w:tcW w:w="3485" w:type="dxa"/>
          </w:tcPr>
          <w:p>
            <w:pPr>
              <w:pStyle w:val="TableParagraph"/>
              <w:spacing w:line="288" w:lineRule="exact"/>
              <w:ind w:left="200"/>
              <w:rPr>
                <w:b/>
                <w:sz w:val="21"/>
              </w:rPr>
            </w:pPr>
            <w:r>
              <w:rPr>
                <w:rFonts w:ascii="Times New Roman" w:eastAsia="Times New Roman"/>
                <w:b/>
                <w:sz w:val="21"/>
              </w:rPr>
              <w:t>2.  </w:t>
            </w:r>
            <w:r>
              <w:rPr>
                <w:b/>
                <w:sz w:val="21"/>
              </w:rPr>
              <w:t>您获得的保障</w:t>
            </w:r>
          </w:p>
        </w:tc>
        <w:tc>
          <w:tcPr>
            <w:tcW w:w="3570" w:type="dxa"/>
          </w:tcPr>
          <w:p>
            <w:pPr>
              <w:pStyle w:val="TableParagraph"/>
              <w:ind w:left="0"/>
              <w:rPr>
                <w:rFonts w:ascii="Times New Roman"/>
                <w:sz w:val="20"/>
              </w:rPr>
            </w:pPr>
          </w:p>
        </w:tc>
        <w:tc>
          <w:tcPr>
            <w:tcW w:w="2524" w:type="dxa"/>
          </w:tcPr>
          <w:p>
            <w:pPr>
              <w:pStyle w:val="TableParagraph"/>
              <w:spacing w:line="288" w:lineRule="exact"/>
              <w:ind w:left="1007"/>
              <w:rPr>
                <w:sz w:val="21"/>
              </w:rPr>
            </w:pPr>
            <w:r>
              <w:rPr>
                <w:rFonts w:ascii="Times New Roman" w:eastAsia="Times New Roman"/>
                <w:sz w:val="21"/>
              </w:rPr>
              <w:t>5.14  </w:t>
            </w:r>
            <w:r>
              <w:rPr>
                <w:sz w:val="21"/>
              </w:rPr>
              <w:t>武术</w:t>
            </w:r>
          </w:p>
        </w:tc>
      </w:tr>
      <w:tr>
        <w:trPr>
          <w:trHeight w:val="344" w:hRule="atLeast"/>
        </w:trPr>
        <w:tc>
          <w:tcPr>
            <w:tcW w:w="3485" w:type="dxa"/>
          </w:tcPr>
          <w:p>
            <w:pPr>
              <w:pStyle w:val="TableParagraph"/>
              <w:spacing w:line="288" w:lineRule="exact"/>
              <w:ind w:left="622"/>
              <w:rPr>
                <w:sz w:val="21"/>
              </w:rPr>
            </w:pPr>
            <w:r>
              <w:rPr>
                <w:rFonts w:ascii="Times New Roman" w:eastAsia="Times New Roman"/>
                <w:sz w:val="21"/>
              </w:rPr>
              <w:t>2.1  </w:t>
            </w:r>
            <w:r>
              <w:rPr>
                <w:sz w:val="21"/>
              </w:rPr>
              <w:t>基本保险金额</w:t>
            </w:r>
          </w:p>
        </w:tc>
        <w:tc>
          <w:tcPr>
            <w:tcW w:w="3570" w:type="dxa"/>
          </w:tcPr>
          <w:p>
            <w:pPr>
              <w:pStyle w:val="TableParagraph"/>
              <w:spacing w:line="288" w:lineRule="exact"/>
              <w:ind w:left="187"/>
              <w:rPr>
                <w:b/>
                <w:sz w:val="21"/>
              </w:rPr>
            </w:pPr>
            <w:r>
              <w:rPr>
                <w:rFonts w:ascii="Times New Roman" w:eastAsia="Times New Roman"/>
                <w:b/>
                <w:sz w:val="21"/>
              </w:rPr>
              <w:t>5.  </w:t>
            </w:r>
            <w:r>
              <w:rPr>
                <w:b/>
                <w:sz w:val="21"/>
              </w:rPr>
              <w:t>您需要了解的重要术语</w:t>
            </w:r>
          </w:p>
        </w:tc>
        <w:tc>
          <w:tcPr>
            <w:tcW w:w="2524" w:type="dxa"/>
          </w:tcPr>
          <w:p>
            <w:pPr>
              <w:pStyle w:val="TableParagraph"/>
              <w:spacing w:line="288" w:lineRule="exact"/>
              <w:ind w:left="1009"/>
              <w:rPr>
                <w:sz w:val="21"/>
              </w:rPr>
            </w:pPr>
            <w:r>
              <w:rPr>
                <w:rFonts w:ascii="Times New Roman" w:eastAsia="Times New Roman"/>
                <w:sz w:val="21"/>
              </w:rPr>
              <w:t>5.15  </w:t>
            </w:r>
            <w:r>
              <w:rPr>
                <w:sz w:val="21"/>
              </w:rPr>
              <w:t>特技表演</w:t>
            </w:r>
          </w:p>
        </w:tc>
      </w:tr>
      <w:tr>
        <w:trPr>
          <w:trHeight w:val="344" w:hRule="atLeast"/>
        </w:trPr>
        <w:tc>
          <w:tcPr>
            <w:tcW w:w="3485" w:type="dxa"/>
          </w:tcPr>
          <w:p>
            <w:pPr>
              <w:pStyle w:val="TableParagraph"/>
              <w:spacing w:line="289" w:lineRule="exact"/>
              <w:ind w:left="622"/>
              <w:rPr>
                <w:sz w:val="21"/>
              </w:rPr>
            </w:pPr>
            <w:r>
              <w:rPr>
                <w:rFonts w:ascii="Times New Roman" w:eastAsia="Times New Roman"/>
                <w:sz w:val="21"/>
              </w:rPr>
              <w:t>2.2  </w:t>
            </w:r>
            <w:r>
              <w:rPr>
                <w:sz w:val="21"/>
              </w:rPr>
              <w:t>保险期间</w:t>
            </w:r>
          </w:p>
        </w:tc>
        <w:tc>
          <w:tcPr>
            <w:tcW w:w="3570" w:type="dxa"/>
          </w:tcPr>
          <w:p>
            <w:pPr>
              <w:pStyle w:val="TableParagraph"/>
              <w:spacing w:line="289" w:lineRule="exact"/>
              <w:ind w:left="607"/>
              <w:rPr>
                <w:sz w:val="21"/>
              </w:rPr>
            </w:pPr>
            <w:r>
              <w:rPr>
                <w:rFonts w:ascii="Times New Roman" w:eastAsia="Times New Roman"/>
                <w:sz w:val="21"/>
              </w:rPr>
              <w:t>5.1  </w:t>
            </w:r>
            <w:r>
              <w:rPr>
                <w:sz w:val="21"/>
              </w:rPr>
              <w:t>意外伤害</w:t>
            </w:r>
          </w:p>
        </w:tc>
        <w:tc>
          <w:tcPr>
            <w:tcW w:w="2524" w:type="dxa"/>
          </w:tcPr>
          <w:p>
            <w:pPr>
              <w:pStyle w:val="TableParagraph"/>
              <w:spacing w:line="289" w:lineRule="exact"/>
              <w:ind w:left="1009"/>
              <w:rPr>
                <w:sz w:val="21"/>
              </w:rPr>
            </w:pPr>
            <w:r>
              <w:rPr>
                <w:rFonts w:ascii="Times New Roman" w:eastAsia="Times New Roman"/>
                <w:sz w:val="21"/>
              </w:rPr>
              <w:t>5.16  </w:t>
            </w:r>
            <w:r>
              <w:rPr>
                <w:sz w:val="21"/>
              </w:rPr>
              <w:t>重大疾病</w:t>
            </w:r>
          </w:p>
        </w:tc>
      </w:tr>
      <w:tr>
        <w:trPr>
          <w:trHeight w:val="343" w:hRule="atLeast"/>
        </w:trPr>
        <w:tc>
          <w:tcPr>
            <w:tcW w:w="3485" w:type="dxa"/>
          </w:tcPr>
          <w:p>
            <w:pPr>
              <w:pStyle w:val="TableParagraph"/>
              <w:spacing w:line="288" w:lineRule="exact"/>
              <w:ind w:left="622"/>
              <w:rPr>
                <w:sz w:val="21"/>
              </w:rPr>
            </w:pPr>
            <w:r>
              <w:rPr>
                <w:rFonts w:ascii="Times New Roman" w:eastAsia="Times New Roman"/>
                <w:sz w:val="21"/>
              </w:rPr>
              <w:t>2.3  </w:t>
            </w:r>
            <w:r>
              <w:rPr>
                <w:sz w:val="21"/>
              </w:rPr>
              <w:t>保险责任</w:t>
            </w:r>
          </w:p>
        </w:tc>
        <w:tc>
          <w:tcPr>
            <w:tcW w:w="3570" w:type="dxa"/>
          </w:tcPr>
          <w:p>
            <w:pPr>
              <w:pStyle w:val="TableParagraph"/>
              <w:spacing w:line="288" w:lineRule="exact"/>
              <w:ind w:left="607"/>
              <w:rPr>
                <w:sz w:val="21"/>
              </w:rPr>
            </w:pPr>
            <w:r>
              <w:rPr>
                <w:rFonts w:ascii="Times New Roman" w:eastAsia="Times New Roman"/>
                <w:sz w:val="21"/>
              </w:rPr>
              <w:t>5.2  </w:t>
            </w:r>
            <w:r>
              <w:rPr>
                <w:sz w:val="21"/>
              </w:rPr>
              <w:t>住院</w:t>
            </w:r>
          </w:p>
        </w:tc>
        <w:tc>
          <w:tcPr>
            <w:tcW w:w="2524" w:type="dxa"/>
          </w:tcPr>
          <w:p>
            <w:pPr>
              <w:pStyle w:val="TableParagraph"/>
              <w:spacing w:line="288" w:lineRule="exact"/>
              <w:ind w:left="1007"/>
              <w:rPr>
                <w:sz w:val="21"/>
              </w:rPr>
            </w:pPr>
            <w:r>
              <w:rPr>
                <w:rFonts w:ascii="Times New Roman" w:eastAsia="Times New Roman"/>
                <w:sz w:val="21"/>
              </w:rPr>
              <w:t>5.17  </w:t>
            </w:r>
            <w:r>
              <w:rPr>
                <w:sz w:val="21"/>
              </w:rPr>
              <w:t>特定疾病</w:t>
            </w:r>
          </w:p>
        </w:tc>
      </w:tr>
      <w:tr>
        <w:trPr>
          <w:trHeight w:val="344" w:hRule="atLeast"/>
        </w:trPr>
        <w:tc>
          <w:tcPr>
            <w:tcW w:w="3485" w:type="dxa"/>
          </w:tcPr>
          <w:p>
            <w:pPr>
              <w:pStyle w:val="TableParagraph"/>
              <w:spacing w:line="288" w:lineRule="exact"/>
              <w:ind w:left="622"/>
              <w:rPr>
                <w:sz w:val="21"/>
              </w:rPr>
            </w:pPr>
            <w:r>
              <w:rPr>
                <w:rFonts w:ascii="Times New Roman" w:eastAsia="Times New Roman"/>
                <w:sz w:val="21"/>
              </w:rPr>
              <w:t>2.4  </w:t>
            </w:r>
            <w:r>
              <w:rPr>
                <w:sz w:val="21"/>
              </w:rPr>
              <w:t>责任免除</w:t>
            </w:r>
          </w:p>
        </w:tc>
        <w:tc>
          <w:tcPr>
            <w:tcW w:w="3570" w:type="dxa"/>
          </w:tcPr>
          <w:p>
            <w:pPr>
              <w:pStyle w:val="TableParagraph"/>
              <w:spacing w:line="288" w:lineRule="exact"/>
              <w:ind w:left="607"/>
              <w:rPr>
                <w:sz w:val="21"/>
              </w:rPr>
            </w:pPr>
            <w:r>
              <w:rPr>
                <w:rFonts w:ascii="Times New Roman" w:eastAsia="Times New Roman"/>
                <w:sz w:val="21"/>
              </w:rPr>
              <w:t>5.3  </w:t>
            </w:r>
            <w:r>
              <w:rPr>
                <w:sz w:val="21"/>
              </w:rPr>
              <w:t>全残</w:t>
            </w:r>
          </w:p>
        </w:tc>
        <w:tc>
          <w:tcPr>
            <w:tcW w:w="2524" w:type="dxa"/>
          </w:tcPr>
          <w:p>
            <w:pPr>
              <w:pStyle w:val="TableParagraph"/>
              <w:ind w:left="0"/>
              <w:rPr>
                <w:rFonts w:ascii="Times New Roman"/>
                <w:sz w:val="20"/>
              </w:rPr>
            </w:pPr>
          </w:p>
        </w:tc>
      </w:tr>
      <w:tr>
        <w:trPr>
          <w:trHeight w:val="344" w:hRule="atLeast"/>
        </w:trPr>
        <w:tc>
          <w:tcPr>
            <w:tcW w:w="3485" w:type="dxa"/>
          </w:tcPr>
          <w:p>
            <w:pPr>
              <w:pStyle w:val="TableParagraph"/>
              <w:ind w:left="0"/>
              <w:rPr>
                <w:rFonts w:ascii="Times New Roman"/>
                <w:sz w:val="20"/>
              </w:rPr>
            </w:pPr>
          </w:p>
        </w:tc>
        <w:tc>
          <w:tcPr>
            <w:tcW w:w="3570" w:type="dxa"/>
          </w:tcPr>
          <w:p>
            <w:pPr>
              <w:pStyle w:val="TableParagraph"/>
              <w:spacing w:line="290" w:lineRule="exact"/>
              <w:ind w:left="607"/>
              <w:rPr>
                <w:sz w:val="21"/>
              </w:rPr>
            </w:pPr>
            <w:r>
              <w:rPr>
                <w:rFonts w:ascii="Times New Roman" w:eastAsia="Times New Roman"/>
                <w:sz w:val="21"/>
              </w:rPr>
              <w:t>5.4  </w:t>
            </w:r>
            <w:r>
              <w:rPr>
                <w:sz w:val="21"/>
              </w:rPr>
              <w:t>感染艾滋病病毒或患艾滋病</w:t>
            </w:r>
          </w:p>
        </w:tc>
        <w:tc>
          <w:tcPr>
            <w:tcW w:w="2524" w:type="dxa"/>
          </w:tcPr>
          <w:p>
            <w:pPr>
              <w:pStyle w:val="TableParagraph"/>
              <w:ind w:left="0"/>
              <w:rPr>
                <w:rFonts w:ascii="Times New Roman"/>
                <w:sz w:val="20"/>
              </w:rPr>
            </w:pPr>
          </w:p>
        </w:tc>
      </w:tr>
      <w:tr>
        <w:trPr>
          <w:trHeight w:val="343" w:hRule="atLeast"/>
        </w:trPr>
        <w:tc>
          <w:tcPr>
            <w:tcW w:w="3485" w:type="dxa"/>
          </w:tcPr>
          <w:p>
            <w:pPr>
              <w:pStyle w:val="TableParagraph"/>
              <w:spacing w:line="288" w:lineRule="exact"/>
              <w:ind w:left="200"/>
              <w:rPr>
                <w:b/>
                <w:sz w:val="21"/>
              </w:rPr>
            </w:pPr>
            <w:r>
              <w:rPr>
                <w:rFonts w:ascii="Times New Roman" w:eastAsia="Times New Roman"/>
                <w:b/>
                <w:sz w:val="21"/>
              </w:rPr>
              <w:t>3.  </w:t>
            </w:r>
            <w:r>
              <w:rPr>
                <w:b/>
                <w:sz w:val="21"/>
              </w:rPr>
              <w:t>您的义务和权利</w:t>
            </w:r>
          </w:p>
        </w:tc>
        <w:tc>
          <w:tcPr>
            <w:tcW w:w="3570" w:type="dxa"/>
          </w:tcPr>
          <w:p>
            <w:pPr>
              <w:pStyle w:val="TableParagraph"/>
              <w:spacing w:line="288" w:lineRule="exact"/>
              <w:ind w:left="607"/>
              <w:rPr>
                <w:sz w:val="21"/>
              </w:rPr>
            </w:pPr>
            <w:r>
              <w:rPr>
                <w:rFonts w:ascii="Times New Roman" w:eastAsia="Times New Roman"/>
                <w:sz w:val="21"/>
              </w:rPr>
              <w:t>5.5  </w:t>
            </w:r>
            <w:r>
              <w:rPr>
                <w:sz w:val="21"/>
              </w:rPr>
              <w:t>遗传性疾病</w:t>
            </w:r>
          </w:p>
        </w:tc>
        <w:tc>
          <w:tcPr>
            <w:tcW w:w="2524" w:type="dxa"/>
          </w:tcPr>
          <w:p>
            <w:pPr>
              <w:pStyle w:val="TableParagraph"/>
              <w:ind w:left="0"/>
              <w:rPr>
                <w:rFonts w:ascii="Times New Roman"/>
                <w:sz w:val="20"/>
              </w:rPr>
            </w:pPr>
          </w:p>
        </w:tc>
      </w:tr>
      <w:tr>
        <w:trPr>
          <w:trHeight w:val="344" w:hRule="atLeast"/>
        </w:trPr>
        <w:tc>
          <w:tcPr>
            <w:tcW w:w="3485" w:type="dxa"/>
          </w:tcPr>
          <w:p>
            <w:pPr>
              <w:pStyle w:val="TableParagraph"/>
              <w:spacing w:line="288" w:lineRule="exact"/>
              <w:ind w:left="619"/>
              <w:rPr>
                <w:sz w:val="21"/>
              </w:rPr>
            </w:pPr>
            <w:r>
              <w:rPr>
                <w:rFonts w:ascii="Times New Roman" w:eastAsia="Times New Roman"/>
                <w:sz w:val="21"/>
              </w:rPr>
              <w:t>3.1  </w:t>
            </w:r>
            <w:r>
              <w:rPr>
                <w:sz w:val="21"/>
              </w:rPr>
              <w:t>保险费的交纳</w:t>
            </w:r>
          </w:p>
        </w:tc>
        <w:tc>
          <w:tcPr>
            <w:tcW w:w="6094" w:type="dxa"/>
            <w:gridSpan w:val="2"/>
          </w:tcPr>
          <w:p>
            <w:pPr>
              <w:pStyle w:val="TableParagraph"/>
              <w:spacing w:line="288" w:lineRule="exact"/>
              <w:ind w:left="610"/>
              <w:rPr>
                <w:sz w:val="21"/>
              </w:rPr>
            </w:pPr>
            <w:r>
              <w:rPr>
                <w:rFonts w:ascii="Times New Roman" w:eastAsia="Times New Roman"/>
                <w:sz w:val="21"/>
              </w:rPr>
              <w:t>5.6  </w:t>
            </w:r>
            <w:r>
              <w:rPr>
                <w:sz w:val="21"/>
              </w:rPr>
              <w:t>先天性畸形、变形或染色体异常</w:t>
            </w:r>
          </w:p>
        </w:tc>
      </w:tr>
      <w:tr>
        <w:trPr>
          <w:trHeight w:val="344" w:hRule="atLeast"/>
        </w:trPr>
        <w:tc>
          <w:tcPr>
            <w:tcW w:w="3485" w:type="dxa"/>
          </w:tcPr>
          <w:p>
            <w:pPr>
              <w:pStyle w:val="TableParagraph"/>
              <w:spacing w:line="289" w:lineRule="exact"/>
              <w:ind w:left="619"/>
              <w:rPr>
                <w:sz w:val="21"/>
              </w:rPr>
            </w:pPr>
            <w:r>
              <w:rPr>
                <w:rFonts w:ascii="Times New Roman" w:eastAsia="Times New Roman"/>
                <w:sz w:val="21"/>
              </w:rPr>
              <w:t>3.2  </w:t>
            </w:r>
            <w:r>
              <w:rPr>
                <w:sz w:val="21"/>
              </w:rPr>
              <w:t>犹豫期</w:t>
            </w:r>
          </w:p>
        </w:tc>
        <w:tc>
          <w:tcPr>
            <w:tcW w:w="3570" w:type="dxa"/>
          </w:tcPr>
          <w:p>
            <w:pPr>
              <w:pStyle w:val="TableParagraph"/>
              <w:spacing w:line="289" w:lineRule="exact"/>
              <w:ind w:left="607"/>
              <w:rPr>
                <w:sz w:val="21"/>
              </w:rPr>
            </w:pPr>
            <w:r>
              <w:rPr>
                <w:rFonts w:ascii="Times New Roman" w:eastAsia="Times New Roman"/>
                <w:sz w:val="21"/>
              </w:rPr>
              <w:t>5.7  </w:t>
            </w:r>
            <w:r>
              <w:rPr>
                <w:sz w:val="21"/>
              </w:rPr>
              <w:t>酗酒</w:t>
            </w:r>
          </w:p>
        </w:tc>
        <w:tc>
          <w:tcPr>
            <w:tcW w:w="2524" w:type="dxa"/>
          </w:tcPr>
          <w:p>
            <w:pPr>
              <w:pStyle w:val="TableParagraph"/>
              <w:ind w:left="0"/>
              <w:rPr>
                <w:rFonts w:ascii="Times New Roman"/>
                <w:sz w:val="20"/>
              </w:rPr>
            </w:pPr>
          </w:p>
        </w:tc>
      </w:tr>
      <w:tr>
        <w:trPr>
          <w:trHeight w:val="343" w:hRule="atLeast"/>
        </w:trPr>
        <w:tc>
          <w:tcPr>
            <w:tcW w:w="3485" w:type="dxa"/>
          </w:tcPr>
          <w:p>
            <w:pPr>
              <w:pStyle w:val="TableParagraph"/>
              <w:spacing w:line="288" w:lineRule="exact"/>
              <w:ind w:left="619"/>
              <w:rPr>
                <w:sz w:val="21"/>
              </w:rPr>
            </w:pPr>
            <w:r>
              <w:rPr>
                <w:rFonts w:ascii="Times New Roman" w:eastAsia="Times New Roman"/>
                <w:sz w:val="21"/>
              </w:rPr>
              <w:t>3.3  </w:t>
            </w:r>
            <w:r>
              <w:rPr>
                <w:sz w:val="21"/>
              </w:rPr>
              <w:t>您解除合同的手续及风险</w:t>
            </w:r>
          </w:p>
        </w:tc>
        <w:tc>
          <w:tcPr>
            <w:tcW w:w="3570" w:type="dxa"/>
          </w:tcPr>
          <w:p>
            <w:pPr>
              <w:pStyle w:val="TableParagraph"/>
              <w:spacing w:line="288" w:lineRule="exact"/>
              <w:ind w:left="607"/>
              <w:rPr>
                <w:sz w:val="21"/>
              </w:rPr>
            </w:pPr>
            <w:r>
              <w:rPr>
                <w:rFonts w:ascii="Times New Roman" w:eastAsia="Times New Roman"/>
                <w:sz w:val="21"/>
              </w:rPr>
              <w:t>5.8  </w:t>
            </w:r>
            <w:r>
              <w:rPr>
                <w:sz w:val="21"/>
              </w:rPr>
              <w:t>猝死</w:t>
            </w:r>
          </w:p>
        </w:tc>
        <w:tc>
          <w:tcPr>
            <w:tcW w:w="2524" w:type="dxa"/>
          </w:tcPr>
          <w:p>
            <w:pPr>
              <w:pStyle w:val="TableParagraph"/>
              <w:ind w:left="0"/>
              <w:rPr>
                <w:rFonts w:ascii="Times New Roman"/>
                <w:sz w:val="20"/>
              </w:rPr>
            </w:pPr>
          </w:p>
        </w:tc>
      </w:tr>
      <w:tr>
        <w:trPr>
          <w:trHeight w:val="288" w:hRule="atLeast"/>
        </w:trPr>
        <w:tc>
          <w:tcPr>
            <w:tcW w:w="3485" w:type="dxa"/>
          </w:tcPr>
          <w:p>
            <w:pPr>
              <w:pStyle w:val="TableParagraph"/>
              <w:spacing w:line="269" w:lineRule="exact"/>
              <w:ind w:left="622"/>
              <w:rPr>
                <w:sz w:val="21"/>
              </w:rPr>
            </w:pPr>
            <w:r>
              <w:rPr>
                <w:rFonts w:ascii="Times New Roman" w:eastAsia="Times New Roman"/>
                <w:sz w:val="21"/>
              </w:rPr>
              <w:t>3.4  </w:t>
            </w:r>
            <w:r>
              <w:rPr>
                <w:sz w:val="21"/>
              </w:rPr>
              <w:t>效力终止</w:t>
            </w:r>
          </w:p>
        </w:tc>
        <w:tc>
          <w:tcPr>
            <w:tcW w:w="3570" w:type="dxa"/>
          </w:tcPr>
          <w:p>
            <w:pPr>
              <w:pStyle w:val="TableParagraph"/>
              <w:spacing w:line="269" w:lineRule="exact"/>
              <w:ind w:left="610"/>
              <w:rPr>
                <w:sz w:val="21"/>
              </w:rPr>
            </w:pPr>
            <w:r>
              <w:rPr>
                <w:rFonts w:ascii="Times New Roman" w:eastAsia="Times New Roman"/>
                <w:sz w:val="21"/>
              </w:rPr>
              <w:t>5.9  </w:t>
            </w:r>
            <w:r>
              <w:rPr>
                <w:sz w:val="21"/>
              </w:rPr>
              <w:t>精神疾病</w:t>
            </w:r>
          </w:p>
        </w:tc>
        <w:tc>
          <w:tcPr>
            <w:tcW w:w="2524" w:type="dxa"/>
          </w:tcPr>
          <w:p>
            <w:pPr>
              <w:pStyle w:val="TableParagraph"/>
              <w:ind w:left="0"/>
              <w:rPr>
                <w:rFonts w:ascii="Times New Roman"/>
                <w:sz w:val="20"/>
              </w:rPr>
            </w:pPr>
          </w:p>
        </w:tc>
      </w:tr>
    </w:tbl>
    <w:p>
      <w:pPr>
        <w:pStyle w:val="BodyText"/>
        <w:rPr>
          <w:sz w:val="20"/>
        </w:rPr>
      </w:pPr>
    </w:p>
    <w:p>
      <w:pPr>
        <w:pStyle w:val="BodyText"/>
        <w:rPr>
          <w:sz w:val="20"/>
        </w:rPr>
      </w:pPr>
    </w:p>
    <w:p>
      <w:pPr>
        <w:pStyle w:val="BodyText"/>
        <w:rPr>
          <w:sz w:val="20"/>
        </w:rPr>
      </w:pPr>
    </w:p>
    <w:p>
      <w:pPr>
        <w:pStyle w:val="BodyText"/>
        <w:spacing w:before="12"/>
      </w:pPr>
    </w:p>
    <w:p>
      <w:pPr>
        <w:pStyle w:val="Heading1"/>
        <w:ind w:left="2861"/>
      </w:pPr>
      <w:r>
        <w:rPr>
          <w:w w:val="95"/>
        </w:rPr>
        <w:t>条款特别提示</w:t>
      </w:r>
    </w:p>
    <w:p>
      <w:pPr>
        <w:pStyle w:val="BodyText"/>
        <w:spacing w:before="71"/>
        <w:ind w:left="1794" w:right="1735"/>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4"/>
        <w:rPr>
          <w:sz w:val="15"/>
        </w:rPr>
      </w:pPr>
    </w:p>
    <w:tbl>
      <w:tblPr>
        <w:tblW w:w="0" w:type="auto"/>
        <w:jc w:val="left"/>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0" w:hRule="atLeast"/>
        </w:trPr>
        <w:tc>
          <w:tcPr>
            <w:tcW w:w="9070" w:type="dxa"/>
          </w:tcPr>
          <w:p>
            <w:pPr>
              <w:pStyle w:val="TableParagraph"/>
              <w:spacing w:line="211" w:lineRule="exact"/>
              <w:ind w:left="3577" w:right="3350"/>
              <w:jc w:val="center"/>
              <w:rPr>
                <w:sz w:val="21"/>
              </w:rPr>
            </w:pPr>
            <w:r>
              <w:rPr>
                <w:sz w:val="21"/>
              </w:rPr>
              <w:t>您拥有的重要权利</w:t>
            </w:r>
          </w:p>
        </w:tc>
      </w:tr>
      <w:tr>
        <w:trPr>
          <w:trHeight w:val="347" w:hRule="atLeast"/>
        </w:trPr>
        <w:tc>
          <w:tcPr>
            <w:tcW w:w="9070" w:type="dxa"/>
          </w:tcPr>
          <w:p>
            <w:pPr>
              <w:pStyle w:val="TableParagraph"/>
              <w:numPr>
                <w:ilvl w:val="0"/>
                <w:numId w:val="1"/>
              </w:numPr>
              <w:tabs>
                <w:tab w:pos="620" w:val="left" w:leader="none"/>
                <w:tab w:pos="621" w:val="left" w:leader="none"/>
                <w:tab w:pos="8869" w:val="right" w:leader="dot"/>
              </w:tabs>
              <w:spacing w:line="240" w:lineRule="auto" w:before="4"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40" w:hRule="atLeast"/>
        </w:trPr>
        <w:tc>
          <w:tcPr>
            <w:tcW w:w="9070" w:type="dxa"/>
          </w:tcPr>
          <w:p>
            <w:pPr>
              <w:pStyle w:val="TableParagraph"/>
              <w:numPr>
                <w:ilvl w:val="0"/>
                <w:numId w:val="2"/>
              </w:numPr>
              <w:tabs>
                <w:tab w:pos="620" w:val="left" w:leader="none"/>
                <w:tab w:pos="621" w:val="left" w:leader="none"/>
                <w:tab w:pos="8866" w:val="right" w:leader="dot"/>
              </w:tabs>
              <w:spacing w:line="288" w:lineRule="exact" w:before="0" w:after="0"/>
              <w:ind w:left="620" w:right="0" w:hanging="420"/>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97" w:hRule="atLeast"/>
        </w:trPr>
        <w:tc>
          <w:tcPr>
            <w:tcW w:w="9070" w:type="dxa"/>
          </w:tcPr>
          <w:p>
            <w:pPr>
              <w:pStyle w:val="TableParagraph"/>
              <w:spacing w:before="162"/>
              <w:ind w:left="3580" w:right="3350"/>
              <w:jc w:val="center"/>
              <w:rPr>
                <w:sz w:val="21"/>
              </w:rPr>
            </w:pPr>
            <w:r>
              <w:rPr>
                <w:sz w:val="21"/>
              </w:rPr>
              <w:t>您应当特别注意的事项</w:t>
            </w:r>
          </w:p>
        </w:tc>
      </w:tr>
      <w:tr>
        <w:trPr>
          <w:trHeight w:val="347" w:hRule="atLeast"/>
        </w:trPr>
        <w:tc>
          <w:tcPr>
            <w:tcW w:w="9070" w:type="dxa"/>
          </w:tcPr>
          <w:p>
            <w:pPr>
              <w:pStyle w:val="TableParagraph"/>
              <w:numPr>
                <w:ilvl w:val="0"/>
                <w:numId w:val="4"/>
              </w:numPr>
              <w:tabs>
                <w:tab w:pos="620" w:val="left" w:leader="none"/>
                <w:tab w:pos="621" w:val="left" w:leader="none"/>
              </w:tabs>
              <w:spacing w:line="240" w:lineRule="auto" w:before="5" w:after="0"/>
              <w:ind w:left="620" w:right="0" w:hanging="420"/>
              <w:jc w:val="left"/>
              <w:rPr>
                <w:sz w:val="21"/>
              </w:rPr>
            </w:pPr>
            <w:r>
              <w:rPr>
                <w:spacing w:val="-3"/>
                <w:sz w:val="21"/>
              </w:rPr>
              <w:t>主合同条款也适用于本附加合同，若主合同条款与本附加合同条款互有抵触，则以本</w:t>
            </w:r>
          </w:p>
        </w:tc>
      </w:tr>
      <w:tr>
        <w:trPr>
          <w:trHeight w:val="339" w:hRule="atLeast"/>
        </w:trPr>
        <w:tc>
          <w:tcPr>
            <w:tcW w:w="9070" w:type="dxa"/>
          </w:tcPr>
          <w:p>
            <w:pPr>
              <w:pStyle w:val="TableParagraph"/>
              <w:tabs>
                <w:tab w:pos="8870" w:val="right" w:leader="dot"/>
              </w:tabs>
              <w:spacing w:line="286" w:lineRule="exact"/>
              <w:ind w:left="620"/>
              <w:rPr>
                <w:rFonts w:ascii="Times New Roman" w:eastAsia="Times New Roman"/>
                <w:sz w:val="21"/>
              </w:rPr>
            </w:pPr>
            <w:r>
              <w:rPr>
                <w:sz w:val="21"/>
              </w:rPr>
              <w:t>附加</w:t>
            </w:r>
            <w:r>
              <w:rPr>
                <w:spacing w:val="-3"/>
                <w:sz w:val="21"/>
              </w:rPr>
              <w:t>合同</w:t>
            </w:r>
            <w:r>
              <w:rPr>
                <w:sz w:val="21"/>
              </w:rPr>
              <w:t>条</w:t>
            </w:r>
            <w:r>
              <w:rPr>
                <w:spacing w:val="-3"/>
                <w:sz w:val="21"/>
              </w:rPr>
              <w:t>款</w:t>
            </w:r>
            <w:r>
              <w:rPr>
                <w:sz w:val="21"/>
              </w:rPr>
              <w:t>为准</w:t>
              <w:tab/>
            </w:r>
            <w:r>
              <w:rPr>
                <w:rFonts w:ascii="Times New Roman" w:eastAsia="Times New Roman"/>
                <w:sz w:val="21"/>
              </w:rPr>
              <w:t>1.1</w:t>
            </w:r>
          </w:p>
        </w:tc>
      </w:tr>
      <w:tr>
        <w:trPr>
          <w:trHeight w:val="340" w:hRule="atLeast"/>
        </w:trPr>
        <w:tc>
          <w:tcPr>
            <w:tcW w:w="9070" w:type="dxa"/>
          </w:tcPr>
          <w:p>
            <w:pPr>
              <w:pStyle w:val="TableParagraph"/>
              <w:numPr>
                <w:ilvl w:val="0"/>
                <w:numId w:val="5"/>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40" w:hRule="atLeast"/>
        </w:trPr>
        <w:tc>
          <w:tcPr>
            <w:tcW w:w="9070" w:type="dxa"/>
          </w:tcPr>
          <w:p>
            <w:pPr>
              <w:pStyle w:val="TableParagraph"/>
              <w:numPr>
                <w:ilvl w:val="0"/>
                <w:numId w:val="6"/>
              </w:numPr>
              <w:tabs>
                <w:tab w:pos="619" w:val="left" w:leader="none"/>
                <w:tab w:pos="621" w:val="left" w:leader="none"/>
                <w:tab w:pos="8868" w:val="right" w:leader="dot"/>
              </w:tabs>
              <w:spacing w:line="289" w:lineRule="exact" w:before="0" w:after="0"/>
              <w:ind w:left="620" w:right="0" w:hanging="420"/>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时须</w:t>
            </w:r>
            <w:r>
              <w:rPr>
                <w:sz w:val="21"/>
              </w:rPr>
              <w:t>同</w:t>
            </w:r>
            <w:r>
              <w:rPr>
                <w:spacing w:val="-3"/>
                <w:sz w:val="21"/>
              </w:rPr>
              <w:t>时</w:t>
            </w:r>
            <w:r>
              <w:rPr>
                <w:sz w:val="21"/>
              </w:rPr>
              <w:t>解</w:t>
            </w:r>
            <w:r>
              <w:rPr>
                <w:spacing w:val="-3"/>
                <w:sz w:val="21"/>
              </w:rPr>
              <w:t>除主</w:t>
            </w:r>
            <w:r>
              <w:rPr>
                <w:sz w:val="21"/>
              </w:rPr>
              <w:t>合</w:t>
            </w:r>
            <w:r>
              <w:rPr>
                <w:spacing w:val="-3"/>
                <w:sz w:val="21"/>
              </w:rPr>
              <w:t>同</w:t>
            </w:r>
            <w:r>
              <w:rPr>
                <w:sz w:val="21"/>
              </w:rPr>
              <w:t>，且</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339" w:hRule="atLeast"/>
        </w:trPr>
        <w:tc>
          <w:tcPr>
            <w:tcW w:w="9070" w:type="dxa"/>
          </w:tcPr>
          <w:p>
            <w:pPr>
              <w:pStyle w:val="TableParagraph"/>
              <w:numPr>
                <w:ilvl w:val="0"/>
                <w:numId w:val="7"/>
              </w:numPr>
              <w:tabs>
                <w:tab w:pos="619" w:val="left" w:leader="none"/>
                <w:tab w:pos="620" w:val="left" w:leader="none"/>
                <w:tab w:pos="8868" w:val="right" w:leader="dot"/>
              </w:tabs>
              <w:spacing w:line="287" w:lineRule="exact" w:before="0" w:after="0"/>
              <w:ind w:left="619" w:right="0" w:hanging="419"/>
              <w:jc w:val="left"/>
              <w:rPr>
                <w:rFonts w:ascii="Times New Roman" w:eastAsia="Times New Roman"/>
                <w:sz w:val="21"/>
              </w:rPr>
            </w:pPr>
            <w:r>
              <w:rPr>
                <w:sz w:val="21"/>
              </w:rPr>
              <w:t>当某</w:t>
            </w:r>
            <w:r>
              <w:rPr>
                <w:spacing w:val="-3"/>
                <w:sz w:val="21"/>
              </w:rPr>
              <w:t>些</w:t>
            </w:r>
            <w:r>
              <w:rPr>
                <w:sz w:val="21"/>
              </w:rPr>
              <w:t>情</w:t>
            </w:r>
            <w:r>
              <w:rPr>
                <w:spacing w:val="-3"/>
                <w:sz w:val="21"/>
              </w:rPr>
              <w:t>形</w:t>
            </w:r>
            <w:r>
              <w:rPr>
                <w:sz w:val="21"/>
              </w:rPr>
              <w:t>发</w:t>
            </w:r>
            <w:r>
              <w:rPr>
                <w:spacing w:val="-3"/>
                <w:sz w:val="21"/>
              </w:rPr>
              <w:t>生</w:t>
            </w:r>
            <w:r>
              <w:rPr>
                <w:sz w:val="21"/>
              </w:rPr>
              <w:t>时</w:t>
            </w:r>
            <w:r>
              <w:rPr>
                <w:spacing w:val="-3"/>
                <w:sz w:val="21"/>
              </w:rPr>
              <w:t>，</w:t>
            </w:r>
            <w:r>
              <w:rPr>
                <w:sz w:val="21"/>
              </w:rPr>
              <w:t>本</w:t>
            </w:r>
            <w:r>
              <w:rPr>
                <w:spacing w:val="-3"/>
                <w:sz w:val="21"/>
              </w:rPr>
              <w:t>附</w:t>
            </w:r>
            <w:r>
              <w:rPr>
                <w:sz w:val="21"/>
              </w:rPr>
              <w:t>加合</w:t>
            </w:r>
            <w:r>
              <w:rPr>
                <w:spacing w:val="-3"/>
                <w:sz w:val="21"/>
              </w:rPr>
              <w:t>同</w:t>
            </w:r>
            <w:r>
              <w:rPr>
                <w:sz w:val="21"/>
              </w:rPr>
              <w:t>效</w:t>
            </w:r>
            <w:r>
              <w:rPr>
                <w:spacing w:val="-3"/>
                <w:sz w:val="21"/>
              </w:rPr>
              <w:t>力</w:t>
            </w:r>
            <w:r>
              <w:rPr>
                <w:sz w:val="21"/>
              </w:rPr>
              <w:t>自</w:t>
            </w:r>
            <w:r>
              <w:rPr>
                <w:spacing w:val="-3"/>
                <w:sz w:val="21"/>
              </w:rPr>
              <w:t>动</w:t>
            </w:r>
            <w:r>
              <w:rPr>
                <w:sz w:val="21"/>
              </w:rPr>
              <w:t>终止</w:t>
              <w:tab/>
            </w:r>
            <w:r>
              <w:rPr>
                <w:rFonts w:ascii="Times New Roman" w:eastAsia="Times New Roman"/>
                <w:sz w:val="21"/>
              </w:rPr>
              <w:t>3.4</w:t>
            </w:r>
          </w:p>
        </w:tc>
      </w:tr>
      <w:tr>
        <w:trPr>
          <w:trHeight w:val="288" w:hRule="atLeast"/>
        </w:trPr>
        <w:tc>
          <w:tcPr>
            <w:tcW w:w="9070" w:type="dxa"/>
          </w:tcPr>
          <w:p>
            <w:pPr>
              <w:pStyle w:val="TableParagraph"/>
              <w:numPr>
                <w:ilvl w:val="0"/>
                <w:numId w:val="8"/>
              </w:numPr>
              <w:tabs>
                <w:tab w:pos="619" w:val="left" w:leader="none"/>
                <w:tab w:pos="620" w:val="left" w:leader="none"/>
                <w:tab w:pos="8710" w:val="right" w:leader="dot"/>
              </w:tabs>
              <w:spacing w:line="268"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680" w:right="740"/>
        </w:sectPr>
      </w:pPr>
    </w:p>
    <w:p>
      <w:pPr>
        <w:pStyle w:val="Heading1"/>
        <w:spacing w:line="372" w:lineRule="exact"/>
        <w:ind w:right="497"/>
      </w:pPr>
      <w:r>
        <w:rPr>
          <w:w w:val="95"/>
        </w:rPr>
        <w:t>人保寿险附加金色童年重大疾病保险条款</w:t>
      </w:r>
    </w:p>
    <w:p>
      <w:pPr>
        <w:pStyle w:val="BodyText"/>
        <w:spacing w:before="245" w:after="30"/>
        <w:ind w:left="523" w:right="497"/>
        <w:jc w:val="center"/>
      </w:pPr>
      <w:r>
        <w:rPr/>
        <w:t>在本条款中，“您”指投保人，“我们”、“本公司”均指中国人民人寿保险股份有限公司。</w:t>
      </w: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28"/>
        <w:gridCol w:w="7624"/>
      </w:tblGrid>
      <w:tr>
        <w:trPr>
          <w:trHeight w:val="300" w:hRule="atLeast"/>
        </w:trPr>
        <w:tc>
          <w:tcPr>
            <w:tcW w:w="600" w:type="dxa"/>
            <w:shd w:val="clear" w:color="auto" w:fill="E1E1E1"/>
          </w:tcPr>
          <w:p>
            <w:pPr>
              <w:pStyle w:val="TableParagraph"/>
              <w:spacing w:line="236" w:lineRule="exact" w:before="44"/>
              <w:ind w:left="108"/>
              <w:rPr>
                <w:rFonts w:ascii="Times New Roman"/>
                <w:b/>
                <w:sz w:val="21"/>
              </w:rPr>
            </w:pPr>
            <w:r>
              <w:rPr>
                <w:rFonts w:ascii="Times New Roman"/>
                <w:b/>
                <w:w w:val="100"/>
                <w:sz w:val="21"/>
              </w:rPr>
              <w:t>1</w:t>
            </w:r>
          </w:p>
        </w:tc>
        <w:tc>
          <w:tcPr>
            <w:tcW w:w="8852" w:type="dxa"/>
            <w:gridSpan w:val="2"/>
            <w:shd w:val="clear" w:color="auto" w:fill="E1E1E1"/>
          </w:tcPr>
          <w:p>
            <w:pPr>
              <w:pStyle w:val="TableParagraph"/>
              <w:spacing w:line="270" w:lineRule="exact"/>
              <w:ind w:left="228"/>
              <w:rPr>
                <w:b/>
                <w:sz w:val="21"/>
              </w:rPr>
            </w:pP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28" w:type="dxa"/>
          </w:tcPr>
          <w:p>
            <w:pPr>
              <w:pStyle w:val="TableParagraph"/>
              <w:spacing w:line="261" w:lineRule="auto" w:before="107"/>
              <w:ind w:left="228" w:right="153"/>
              <w:rPr>
                <w:b/>
                <w:sz w:val="21"/>
              </w:rPr>
            </w:pPr>
            <w:r>
              <w:rPr>
                <w:b/>
                <w:sz w:val="21"/>
              </w:rPr>
              <w:t>附加合同订立</w:t>
            </w:r>
          </w:p>
        </w:tc>
        <w:tc>
          <w:tcPr>
            <w:tcW w:w="7624" w:type="dxa"/>
          </w:tcPr>
          <w:p>
            <w:pPr>
              <w:pStyle w:val="TableParagraph"/>
              <w:spacing w:line="261" w:lineRule="auto" w:before="107"/>
              <w:ind w:right="103"/>
              <w:jc w:val="both"/>
              <w:rPr>
                <w:sz w:val="21"/>
              </w:rPr>
            </w:pPr>
            <w:r>
              <w:rPr>
                <w:sz w:val="21"/>
              </w:rPr>
              <w:t>人保寿险附加金色童年重大疾病保险合同（以下简称“本附加合同”）由人保寿险金色童年两全保险合同（以下简称“主合同”）投保人提出申请，经我们同意而订立。主合同条款适用于本附加合同，若主合同条款与本附加合同条款互有抵触，则以本附加合同条款为准。</w:t>
            </w:r>
          </w:p>
          <w:p>
            <w:pPr>
              <w:pStyle w:val="TableParagraph"/>
              <w:spacing w:before="5"/>
              <w:jc w:val="both"/>
              <w:rPr>
                <w:rFonts w:ascii="黑体" w:eastAsia="黑体" w:hint="eastAsia"/>
                <w:sz w:val="21"/>
              </w:rPr>
            </w:pPr>
            <w:r>
              <w:rPr>
                <w:rFonts w:ascii="黑体" w:eastAsia="黑体" w:hint="eastAsia"/>
                <w:sz w:val="21"/>
              </w:rPr>
              <w:t>若本附加合同未在主合同保险单或批注单上载明，本附加合同不发Th效力。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228" w:type="dxa"/>
          </w:tcPr>
          <w:p>
            <w:pPr>
              <w:pStyle w:val="TableParagraph"/>
              <w:spacing w:line="261" w:lineRule="auto" w:before="40"/>
              <w:ind w:left="228" w:right="153"/>
              <w:rPr>
                <w:b/>
                <w:sz w:val="21"/>
              </w:rPr>
            </w:pPr>
            <w:r>
              <w:rPr>
                <w:b/>
                <w:sz w:val="21"/>
              </w:rPr>
              <w:t>附加合同生效</w:t>
            </w:r>
          </w:p>
        </w:tc>
        <w:tc>
          <w:tcPr>
            <w:tcW w:w="7624" w:type="dxa"/>
          </w:tcPr>
          <w:p>
            <w:pPr>
              <w:pStyle w:val="TableParagraph"/>
              <w:spacing w:before="40"/>
              <w:rPr>
                <w:sz w:val="21"/>
              </w:rPr>
            </w:pPr>
            <w:r>
              <w:rPr>
                <w:sz w:val="21"/>
              </w:rPr>
              <w:t>本附加合同需与主合同同时投保，本附加合同的生效日期与主合同相同。</w:t>
            </w:r>
          </w:p>
        </w:tc>
      </w:tr>
      <w:tr>
        <w:trPr>
          <w:trHeight w:val="300" w:hRule="atLeast"/>
        </w:trPr>
        <w:tc>
          <w:tcPr>
            <w:tcW w:w="600" w:type="dxa"/>
            <w:shd w:val="clear" w:color="auto" w:fill="E1E1E1"/>
          </w:tcPr>
          <w:p>
            <w:pPr>
              <w:pStyle w:val="TableParagraph"/>
              <w:spacing w:line="236" w:lineRule="exact" w:before="44"/>
              <w:ind w:left="108"/>
              <w:rPr>
                <w:rFonts w:ascii="Times New Roman"/>
                <w:b/>
                <w:sz w:val="21"/>
              </w:rPr>
            </w:pPr>
            <w:r>
              <w:rPr>
                <w:rFonts w:ascii="Times New Roman"/>
                <w:b/>
                <w:w w:val="100"/>
                <w:sz w:val="21"/>
              </w:rPr>
              <w:t>2</w:t>
            </w:r>
          </w:p>
        </w:tc>
        <w:tc>
          <w:tcPr>
            <w:tcW w:w="8852" w:type="dxa"/>
            <w:gridSpan w:val="2"/>
            <w:shd w:val="clear" w:color="auto" w:fill="E1E1E1"/>
          </w:tcPr>
          <w:p>
            <w:pPr>
              <w:pStyle w:val="TableParagraph"/>
              <w:spacing w:line="270" w:lineRule="exact"/>
              <w:ind w:left="228"/>
              <w:rPr>
                <w:b/>
                <w:sz w:val="21"/>
              </w:rPr>
            </w:pP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28" w:type="dxa"/>
          </w:tcPr>
          <w:p>
            <w:pPr>
              <w:pStyle w:val="TableParagraph"/>
              <w:spacing w:line="261" w:lineRule="auto" w:before="107"/>
              <w:ind w:left="228" w:right="153"/>
              <w:rPr>
                <w:b/>
                <w:sz w:val="21"/>
              </w:rPr>
            </w:pPr>
            <w:r>
              <w:rPr>
                <w:b/>
                <w:sz w:val="21"/>
              </w:rPr>
              <w:t>基本保险金额</w:t>
            </w:r>
          </w:p>
        </w:tc>
        <w:tc>
          <w:tcPr>
            <w:tcW w:w="7624" w:type="dxa"/>
          </w:tcPr>
          <w:p>
            <w:pPr>
              <w:pStyle w:val="TableParagraph"/>
              <w:spacing w:before="107"/>
              <w:rPr>
                <w:sz w:val="21"/>
              </w:rPr>
            </w:pPr>
            <w:r>
              <w:rPr>
                <w:sz w:val="21"/>
              </w:rPr>
              <w:t>本附加合同的基本保险金额与主合同相同。</w:t>
            </w:r>
          </w:p>
        </w:tc>
      </w:tr>
      <w:tr>
        <w:trPr>
          <w:trHeight w:val="420" w:hRule="atLeast"/>
        </w:trPr>
        <w:tc>
          <w:tcPr>
            <w:tcW w:w="600" w:type="dxa"/>
          </w:tcPr>
          <w:p>
            <w:pPr>
              <w:pStyle w:val="TableParagraph"/>
              <w:spacing w:before="89"/>
              <w:ind w:left="108"/>
              <w:rPr>
                <w:rFonts w:ascii="Times New Roman"/>
                <w:b/>
                <w:sz w:val="21"/>
              </w:rPr>
            </w:pPr>
            <w:r>
              <w:rPr>
                <w:rFonts w:ascii="Times New Roman"/>
                <w:b/>
                <w:sz w:val="21"/>
              </w:rPr>
              <w:t>2.2</w:t>
            </w:r>
          </w:p>
        </w:tc>
        <w:tc>
          <w:tcPr>
            <w:tcW w:w="1228" w:type="dxa"/>
          </w:tcPr>
          <w:p>
            <w:pPr>
              <w:pStyle w:val="TableParagraph"/>
              <w:spacing w:before="40"/>
              <w:ind w:left="0" w:right="153"/>
              <w:jc w:val="right"/>
              <w:rPr>
                <w:b/>
                <w:sz w:val="21"/>
              </w:rPr>
            </w:pPr>
            <w:r>
              <w:rPr>
                <w:b/>
                <w:sz w:val="21"/>
              </w:rPr>
              <w:t>保险期间</w:t>
            </w:r>
          </w:p>
        </w:tc>
        <w:tc>
          <w:tcPr>
            <w:tcW w:w="7624" w:type="dxa"/>
          </w:tcPr>
          <w:p>
            <w:pPr>
              <w:pStyle w:val="TableParagraph"/>
              <w:spacing w:before="40"/>
              <w:rPr>
                <w:sz w:val="21"/>
              </w:rPr>
            </w:pPr>
            <w:r>
              <w:rPr>
                <w:sz w:val="21"/>
              </w:rPr>
              <w:t>本附加合同的保险期间与主合同相同。</w:t>
            </w:r>
          </w:p>
        </w:tc>
      </w:tr>
      <w:tr>
        <w:trPr>
          <w:trHeight w:val="412" w:hRule="atLeast"/>
        </w:trPr>
        <w:tc>
          <w:tcPr>
            <w:tcW w:w="600" w:type="dxa"/>
          </w:tcPr>
          <w:p>
            <w:pPr>
              <w:pStyle w:val="TableParagraph"/>
              <w:spacing w:before="81"/>
              <w:ind w:left="108"/>
              <w:rPr>
                <w:rFonts w:ascii="Times New Roman"/>
                <w:b/>
                <w:sz w:val="21"/>
              </w:rPr>
            </w:pPr>
            <w:r>
              <w:rPr>
                <w:rFonts w:ascii="Times New Roman"/>
                <w:b/>
                <w:sz w:val="21"/>
              </w:rPr>
              <w:t>2.3</w:t>
            </w:r>
          </w:p>
        </w:tc>
        <w:tc>
          <w:tcPr>
            <w:tcW w:w="1228" w:type="dxa"/>
          </w:tcPr>
          <w:p>
            <w:pPr>
              <w:pStyle w:val="TableParagraph"/>
              <w:spacing w:before="32"/>
              <w:ind w:left="0" w:right="153"/>
              <w:jc w:val="right"/>
              <w:rPr>
                <w:b/>
                <w:sz w:val="21"/>
              </w:rPr>
            </w:pPr>
            <w:r>
              <w:rPr>
                <w:b/>
                <w:sz w:val="21"/>
              </w:rPr>
              <w:t>保险责任</w:t>
            </w:r>
          </w:p>
        </w:tc>
        <w:tc>
          <w:tcPr>
            <w:tcW w:w="7624" w:type="dxa"/>
          </w:tcPr>
          <w:p>
            <w:pPr>
              <w:pStyle w:val="TableParagraph"/>
              <w:spacing w:before="32"/>
              <w:rPr>
                <w:sz w:val="21"/>
              </w:rPr>
            </w:pPr>
            <w:r>
              <w:rPr>
                <w:sz w:val="21"/>
              </w:rPr>
              <w:t>在本附加合同有效期内，我们承担如下保险责任：</w:t>
            </w:r>
          </w:p>
        </w:tc>
      </w:tr>
      <w:tr>
        <w:trPr>
          <w:trHeight w:val="2235" w:hRule="atLeast"/>
        </w:trPr>
        <w:tc>
          <w:tcPr>
            <w:tcW w:w="600" w:type="dxa"/>
          </w:tcPr>
          <w:p>
            <w:pPr>
              <w:pStyle w:val="TableParagraph"/>
              <w:ind w:left="0"/>
              <w:rPr>
                <w:rFonts w:ascii="Times New Roman"/>
                <w:sz w:val="20"/>
              </w:rPr>
            </w:pPr>
          </w:p>
        </w:tc>
        <w:tc>
          <w:tcPr>
            <w:tcW w:w="1228" w:type="dxa"/>
          </w:tcPr>
          <w:p>
            <w:pPr>
              <w:pStyle w:val="TableParagraph"/>
              <w:spacing w:line="252" w:lineRule="auto" w:before="40"/>
              <w:ind w:left="228" w:right="155"/>
              <w:rPr>
                <w:rFonts w:ascii="等线" w:eastAsia="等线" w:hint="eastAsia"/>
                <w:b/>
                <w:sz w:val="21"/>
              </w:rPr>
            </w:pPr>
            <w:r>
              <w:rPr>
                <w:rFonts w:ascii="等线" w:eastAsia="等线" w:hint="eastAsia"/>
                <w:b/>
                <w:sz w:val="21"/>
              </w:rPr>
              <w:t>重大疾病保险金</w:t>
            </w:r>
          </w:p>
        </w:tc>
        <w:tc>
          <w:tcPr>
            <w:tcW w:w="7624" w:type="dxa"/>
          </w:tcPr>
          <w:p>
            <w:pPr>
              <w:pStyle w:val="TableParagraph"/>
              <w:spacing w:line="252" w:lineRule="auto" w:before="32"/>
              <w:ind w:right="111" w:hanging="1"/>
              <w:jc w:val="both"/>
              <w:rPr>
                <w:sz w:val="21"/>
              </w:rPr>
            </w:pPr>
            <w:r>
              <w:rPr>
                <w:spacing w:val="-3"/>
                <w:sz w:val="21"/>
              </w:rPr>
              <w:t>被保险人自本附加合同生效</w:t>
            </w:r>
            <w:r>
              <w:rPr>
                <w:sz w:val="21"/>
              </w:rPr>
              <w:t>（</w:t>
            </w:r>
            <w:r>
              <w:rPr>
                <w:spacing w:val="-3"/>
                <w:sz w:val="21"/>
              </w:rPr>
              <w:t>或最后复效</w:t>
            </w:r>
            <w:r>
              <w:rPr>
                <w:sz w:val="21"/>
              </w:rPr>
              <w:t>）</w:t>
            </w:r>
            <w:r>
              <w:rPr>
                <w:spacing w:val="-12"/>
                <w:sz w:val="21"/>
              </w:rPr>
              <w:t>之日起 </w:t>
            </w:r>
            <w:r>
              <w:rPr>
                <w:rFonts w:ascii="Times New Roman" w:eastAsia="Times New Roman"/>
                <w:sz w:val="21"/>
              </w:rPr>
              <w:t>180 </w:t>
            </w:r>
            <w:r>
              <w:rPr>
                <w:spacing w:val="-3"/>
                <w:sz w:val="21"/>
              </w:rPr>
              <w:t>日内因疾病，初次被确诊</w:t>
            </w:r>
            <w:r>
              <w:rPr>
                <w:spacing w:val="-3"/>
                <w:w w:val="100"/>
                <w:sz w:val="21"/>
              </w:rPr>
              <w:t>患有本附加合同约定的</w:t>
            </w:r>
            <w:r>
              <w:rPr>
                <w:b/>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5.1</w:t>
            </w:r>
            <w:r>
              <w:rPr>
                <w:rFonts w:ascii="Times New Roman" w:eastAsia="Times New Roman"/>
                <w:spacing w:val="-3"/>
                <w:w w:val="100"/>
                <w:sz w:val="21"/>
              </w:rPr>
              <w:t>6</w:t>
            </w:r>
            <w:r>
              <w:rPr>
                <w:spacing w:val="-106"/>
                <w:w w:val="100"/>
                <w:sz w:val="21"/>
              </w:rPr>
              <w:t>）</w:t>
            </w:r>
            <w:r>
              <w:rPr>
                <w:spacing w:val="-3"/>
                <w:w w:val="100"/>
                <w:sz w:val="21"/>
              </w:rPr>
              <w:t>（一种或多种</w:t>
            </w:r>
            <w:r>
              <w:rPr>
                <w:spacing w:val="-104"/>
                <w:w w:val="100"/>
                <w:sz w:val="21"/>
              </w:rPr>
              <w:t>）</w:t>
            </w:r>
            <w:r>
              <w:rPr>
                <w:spacing w:val="-3"/>
                <w:w w:val="100"/>
                <w:sz w:val="21"/>
              </w:rPr>
              <w:t>，我们按您已交的本附</w:t>
            </w:r>
            <w:r>
              <w:rPr>
                <w:spacing w:val="-3"/>
                <w:sz w:val="21"/>
              </w:rPr>
              <w:t>加合同和主合同的保险费之和（不计利息</w:t>
            </w:r>
            <w:r>
              <w:rPr>
                <w:sz w:val="21"/>
              </w:rPr>
              <w:t>）</w:t>
            </w:r>
            <w:r>
              <w:rPr>
                <w:spacing w:val="-4"/>
                <w:sz w:val="21"/>
              </w:rPr>
              <w:t>给付重大疾病保险金，本附加合同和</w:t>
            </w:r>
            <w:r>
              <w:rPr>
                <w:spacing w:val="-3"/>
                <w:sz w:val="21"/>
              </w:rPr>
              <w:t>主合同同时终止。</w:t>
            </w:r>
          </w:p>
          <w:p>
            <w:pPr>
              <w:pStyle w:val="TableParagraph"/>
              <w:spacing w:before="7"/>
              <w:jc w:val="both"/>
              <w:rPr>
                <w:sz w:val="21"/>
              </w:rPr>
            </w:pPr>
            <w:r>
              <w:rPr>
                <w:sz w:val="21"/>
              </w:rPr>
              <w:t>被保险人因遭受</w:t>
            </w:r>
            <w:r>
              <w:rPr>
                <w:b/>
                <w:sz w:val="21"/>
              </w:rPr>
              <w:t>意外伤害</w:t>
            </w:r>
            <w:r>
              <w:rPr>
                <w:sz w:val="21"/>
              </w:rPr>
              <w:t>（见 </w:t>
            </w:r>
            <w:r>
              <w:rPr>
                <w:rFonts w:ascii="Times New Roman" w:eastAsia="Times New Roman"/>
                <w:sz w:val="21"/>
              </w:rPr>
              <w:t>5.1</w:t>
            </w:r>
            <w:r>
              <w:rPr>
                <w:sz w:val="21"/>
              </w:rPr>
              <w:t>）或自本附加合同生效（或最后复效）之日起</w:t>
            </w:r>
          </w:p>
          <w:p>
            <w:pPr>
              <w:pStyle w:val="TableParagraph"/>
              <w:spacing w:before="21"/>
              <w:jc w:val="both"/>
              <w:rPr>
                <w:sz w:val="21"/>
              </w:rPr>
            </w:pPr>
            <w:r>
              <w:rPr>
                <w:rFonts w:ascii="Times New Roman" w:eastAsia="Times New Roman"/>
                <w:sz w:val="21"/>
              </w:rPr>
              <w:t>180 </w:t>
            </w:r>
            <w:r>
              <w:rPr>
                <w:spacing w:val="-12"/>
                <w:sz w:val="21"/>
              </w:rPr>
              <w:t>日后因 疾病，初次被确诊患有本附加合同约定的重大疾病</w:t>
            </w:r>
            <w:r>
              <w:rPr>
                <w:spacing w:val="-3"/>
                <w:sz w:val="21"/>
              </w:rPr>
              <w:t>（一种或多种</w:t>
            </w:r>
            <w:r>
              <w:rPr>
                <w:spacing w:val="-71"/>
                <w:sz w:val="21"/>
              </w:rPr>
              <w:t>）</w:t>
            </w:r>
            <w:r>
              <w:rPr>
                <w:spacing w:val="-52"/>
                <w:sz w:val="21"/>
              </w:rPr>
              <w:t>，我</w:t>
            </w:r>
          </w:p>
          <w:p>
            <w:pPr>
              <w:pStyle w:val="TableParagraph"/>
              <w:spacing w:before="21"/>
              <w:jc w:val="both"/>
              <w:rPr>
                <w:sz w:val="21"/>
              </w:rPr>
            </w:pPr>
            <w:r>
              <w:rPr>
                <w:spacing w:val="-6"/>
                <w:sz w:val="21"/>
              </w:rPr>
              <w:t>们按基本保险金额的 </w:t>
            </w:r>
            <w:r>
              <w:rPr>
                <w:rFonts w:ascii="Times New Roman" w:eastAsia="Times New Roman"/>
                <w:sz w:val="21"/>
              </w:rPr>
              <w:t>10 </w:t>
            </w:r>
            <w:r>
              <w:rPr>
                <w:spacing w:val="-3"/>
                <w:sz w:val="21"/>
              </w:rPr>
              <w:t>倍给付重大疾病保险金，本附加合同和主合同同时终止。</w:t>
            </w:r>
          </w:p>
        </w:tc>
      </w:tr>
      <w:tr>
        <w:trPr>
          <w:trHeight w:val="1364" w:hRule="atLeast"/>
        </w:trPr>
        <w:tc>
          <w:tcPr>
            <w:tcW w:w="600" w:type="dxa"/>
          </w:tcPr>
          <w:p>
            <w:pPr>
              <w:pStyle w:val="TableParagraph"/>
              <w:ind w:left="0"/>
              <w:rPr>
                <w:rFonts w:ascii="Times New Roman"/>
                <w:sz w:val="20"/>
              </w:rPr>
            </w:pPr>
          </w:p>
        </w:tc>
        <w:tc>
          <w:tcPr>
            <w:tcW w:w="1228" w:type="dxa"/>
          </w:tcPr>
          <w:p>
            <w:pPr>
              <w:pStyle w:val="TableParagraph"/>
              <w:spacing w:line="252" w:lineRule="auto" w:before="53"/>
              <w:ind w:left="228" w:right="155"/>
              <w:rPr>
                <w:rFonts w:ascii="等线" w:eastAsia="等线" w:hint="eastAsia"/>
                <w:b/>
                <w:sz w:val="21"/>
              </w:rPr>
            </w:pPr>
            <w:r>
              <w:rPr>
                <w:rFonts w:ascii="等线" w:eastAsia="等线" w:hint="eastAsia"/>
                <w:b/>
                <w:sz w:val="21"/>
              </w:rPr>
              <w:t>特定疾病保险金</w:t>
            </w:r>
          </w:p>
        </w:tc>
        <w:tc>
          <w:tcPr>
            <w:tcW w:w="7624" w:type="dxa"/>
          </w:tcPr>
          <w:p>
            <w:pPr>
              <w:pStyle w:val="TableParagraph"/>
              <w:spacing w:line="256" w:lineRule="auto" w:before="38"/>
              <w:ind w:right="104" w:hanging="1"/>
              <w:jc w:val="both"/>
              <w:rPr>
                <w:sz w:val="21"/>
              </w:rPr>
            </w:pPr>
            <w:r>
              <w:rPr>
                <w:spacing w:val="-5"/>
                <w:sz w:val="21"/>
              </w:rPr>
              <w:t>被保险人因遭受意外伤害或自本附加合同生效</w:t>
            </w:r>
            <w:r>
              <w:rPr>
                <w:sz w:val="21"/>
              </w:rPr>
              <w:t>（</w:t>
            </w:r>
            <w:r>
              <w:rPr>
                <w:spacing w:val="-3"/>
                <w:sz w:val="21"/>
              </w:rPr>
              <w:t>或最后复效</w:t>
            </w:r>
            <w:r>
              <w:rPr>
                <w:spacing w:val="-22"/>
                <w:sz w:val="21"/>
              </w:rPr>
              <w:t>）</w:t>
            </w:r>
            <w:r>
              <w:rPr>
                <w:spacing w:val="-13"/>
                <w:sz w:val="21"/>
              </w:rPr>
              <w:t>之日起 </w:t>
            </w:r>
            <w:r>
              <w:rPr>
                <w:rFonts w:ascii="Times New Roman" w:eastAsia="Times New Roman"/>
                <w:sz w:val="21"/>
              </w:rPr>
              <w:t>180 </w:t>
            </w:r>
            <w:r>
              <w:rPr>
                <w:spacing w:val="-3"/>
                <w:sz w:val="21"/>
              </w:rPr>
              <w:t>日后因</w:t>
            </w:r>
            <w:r>
              <w:rPr>
                <w:spacing w:val="-7"/>
                <w:w w:val="100"/>
                <w:sz w:val="21"/>
              </w:rPr>
              <w:t>疾病，初次被确诊患有本附加合同约定的</w:t>
            </w:r>
            <w:r>
              <w:rPr>
                <w:b/>
                <w:spacing w:val="-9"/>
                <w:w w:val="100"/>
                <w:sz w:val="21"/>
              </w:rPr>
              <w:t>特定疾病</w:t>
            </w:r>
            <w:r>
              <w:rPr>
                <w:w w:val="100"/>
                <w:sz w:val="21"/>
              </w:rPr>
              <w:t>（见</w:t>
            </w:r>
            <w:r>
              <w:rPr>
                <w:spacing w:val="-53"/>
                <w:sz w:val="21"/>
              </w:rPr>
              <w:t> </w:t>
            </w:r>
            <w:r>
              <w:rPr>
                <w:rFonts w:ascii="Times New Roman" w:eastAsia="Times New Roman"/>
                <w:w w:val="100"/>
                <w:sz w:val="21"/>
              </w:rPr>
              <w:t>5</w:t>
            </w:r>
            <w:r>
              <w:rPr>
                <w:rFonts w:ascii="Times New Roman" w:eastAsia="Times New Roman"/>
                <w:spacing w:val="-3"/>
                <w:w w:val="100"/>
                <w:sz w:val="21"/>
              </w:rPr>
              <w:t>.</w:t>
            </w:r>
            <w:r>
              <w:rPr>
                <w:rFonts w:ascii="Times New Roman" w:eastAsia="Times New Roman"/>
                <w:w w:val="100"/>
                <w:sz w:val="21"/>
              </w:rPr>
              <w:t>17</w:t>
            </w:r>
            <w:r>
              <w:rPr>
                <w:spacing w:val="-106"/>
                <w:w w:val="100"/>
                <w:sz w:val="21"/>
              </w:rPr>
              <w:t>）</w:t>
            </w:r>
            <w:r>
              <w:rPr>
                <w:spacing w:val="-8"/>
                <w:w w:val="100"/>
                <w:sz w:val="21"/>
              </w:rPr>
              <w:t>，我们按基本保险金</w:t>
            </w:r>
            <w:r>
              <w:rPr>
                <w:spacing w:val="-19"/>
                <w:sz w:val="21"/>
              </w:rPr>
              <w:t>额的 </w:t>
            </w:r>
            <w:r>
              <w:rPr>
                <w:rFonts w:ascii="Times New Roman" w:eastAsia="Times New Roman"/>
                <w:sz w:val="21"/>
              </w:rPr>
              <w:t>2 </w:t>
            </w:r>
            <w:r>
              <w:rPr>
                <w:spacing w:val="-3"/>
                <w:sz w:val="21"/>
              </w:rPr>
              <w:t>倍给付特定疾病保险金，本附加合同继续有效。</w:t>
            </w:r>
          </w:p>
          <w:p>
            <w:pPr>
              <w:pStyle w:val="TableParagraph"/>
              <w:spacing w:before="4"/>
              <w:jc w:val="both"/>
              <w:rPr>
                <w:rFonts w:ascii="黑体" w:eastAsia="黑体" w:hint="eastAsia"/>
                <w:sz w:val="21"/>
              </w:rPr>
            </w:pPr>
            <w:r>
              <w:rPr>
                <w:rFonts w:ascii="黑体" w:eastAsia="黑体" w:hint="eastAsia"/>
                <w:sz w:val="21"/>
              </w:rPr>
              <w:t>特定疾病保险金的给付以 </w:t>
            </w:r>
            <w:r>
              <w:rPr>
                <w:rFonts w:ascii="Times New Roman" w:eastAsia="Times New Roman"/>
                <w:sz w:val="21"/>
              </w:rPr>
              <w:t>1 </w:t>
            </w:r>
            <w:r>
              <w:rPr>
                <w:rFonts w:ascii="黑体" w:eastAsia="黑体" w:hint="eastAsia"/>
                <w:sz w:val="21"/>
              </w:rPr>
              <w:t>次为限，给付金额最高为人民币 </w:t>
            </w:r>
            <w:r>
              <w:rPr>
                <w:rFonts w:ascii="Times New Roman" w:eastAsia="Times New Roman"/>
                <w:sz w:val="21"/>
              </w:rPr>
              <w:t>10 </w:t>
            </w:r>
            <w:r>
              <w:rPr>
                <w:rFonts w:ascii="黑体" w:eastAsia="黑体" w:hint="eastAsia"/>
                <w:sz w:val="21"/>
              </w:rPr>
              <w:t>万元。</w:t>
            </w:r>
          </w:p>
        </w:tc>
      </w:tr>
      <w:tr>
        <w:trPr>
          <w:trHeight w:val="2514" w:hRule="atLeast"/>
        </w:trPr>
        <w:tc>
          <w:tcPr>
            <w:tcW w:w="600" w:type="dxa"/>
          </w:tcPr>
          <w:p>
            <w:pPr>
              <w:pStyle w:val="TableParagraph"/>
              <w:ind w:left="0"/>
              <w:rPr>
                <w:rFonts w:ascii="Times New Roman"/>
                <w:sz w:val="20"/>
              </w:rPr>
            </w:pPr>
          </w:p>
        </w:tc>
        <w:tc>
          <w:tcPr>
            <w:tcW w:w="1228" w:type="dxa"/>
          </w:tcPr>
          <w:p>
            <w:pPr>
              <w:pStyle w:val="TableParagraph"/>
              <w:spacing w:line="252" w:lineRule="auto" w:before="49"/>
              <w:ind w:left="228" w:right="155"/>
              <w:jc w:val="both"/>
              <w:rPr>
                <w:rFonts w:ascii="等线" w:eastAsia="等线" w:hint="eastAsia"/>
                <w:b/>
                <w:sz w:val="21"/>
              </w:rPr>
            </w:pPr>
            <w:r>
              <w:rPr>
                <w:rFonts w:ascii="等线" w:eastAsia="等线" w:hint="eastAsia"/>
                <w:b/>
                <w:sz w:val="21"/>
              </w:rPr>
              <w:t>意外伤害住院津贴保险金</w:t>
            </w:r>
          </w:p>
        </w:tc>
        <w:tc>
          <w:tcPr>
            <w:tcW w:w="7624" w:type="dxa"/>
          </w:tcPr>
          <w:p>
            <w:pPr>
              <w:pStyle w:val="TableParagraph"/>
              <w:spacing w:line="247" w:lineRule="auto" w:before="42"/>
              <w:ind w:right="108"/>
              <w:jc w:val="both"/>
              <w:rPr>
                <w:sz w:val="21"/>
              </w:rPr>
            </w:pPr>
            <w:r>
              <w:rPr>
                <w:spacing w:val="-5"/>
                <w:sz w:val="21"/>
              </w:rPr>
              <w:t>被保险人遭受意外伤害，且自意外伤害发生之日起 </w:t>
            </w:r>
            <w:r>
              <w:rPr>
                <w:rFonts w:ascii="Times New Roman" w:eastAsia="Times New Roman"/>
                <w:sz w:val="21"/>
              </w:rPr>
              <w:t>180 </w:t>
            </w:r>
            <w:r>
              <w:rPr>
                <w:spacing w:val="-3"/>
                <w:sz w:val="21"/>
              </w:rPr>
              <w:t>日内，因该意外伤害导致在我们认可的医院</w:t>
            </w:r>
            <w:r>
              <w:rPr>
                <w:b/>
                <w:spacing w:val="-16"/>
                <w:sz w:val="21"/>
              </w:rPr>
              <w:t>住院</w:t>
            </w:r>
            <w:r>
              <w:rPr>
                <w:spacing w:val="-3"/>
                <w:sz w:val="21"/>
              </w:rPr>
              <w:t>（</w:t>
            </w:r>
            <w:r>
              <w:rPr>
                <w:spacing w:val="-11"/>
                <w:sz w:val="21"/>
              </w:rPr>
              <w:t>见 </w:t>
            </w:r>
            <w:r>
              <w:rPr>
                <w:rFonts w:ascii="Times New Roman" w:eastAsia="Times New Roman"/>
                <w:spacing w:val="-9"/>
                <w:sz w:val="21"/>
              </w:rPr>
              <w:t>5.2</w:t>
            </w:r>
            <w:r>
              <w:rPr>
                <w:spacing w:val="-9"/>
                <w:sz w:val="21"/>
              </w:rPr>
              <w:t>）</w:t>
            </w:r>
            <w:r>
              <w:rPr>
                <w:spacing w:val="-7"/>
                <w:sz w:val="21"/>
              </w:rPr>
              <w:t>进行合理且必要的治疗，我们将按基本保险金额</w:t>
            </w:r>
            <w:r>
              <w:rPr>
                <w:spacing w:val="-3"/>
                <w:sz w:val="21"/>
              </w:rPr>
              <w:t>的千分之一乘以住院日数给付意外伤害住院津贴保险金。</w:t>
            </w:r>
          </w:p>
          <w:p>
            <w:pPr>
              <w:pStyle w:val="TableParagraph"/>
              <w:spacing w:line="261" w:lineRule="auto" w:before="19"/>
              <w:ind w:right="103"/>
              <w:jc w:val="both"/>
              <w:rPr>
                <w:sz w:val="21"/>
              </w:rPr>
            </w:pPr>
            <w:r>
              <w:rPr>
                <w:spacing w:val="-3"/>
                <w:sz w:val="21"/>
              </w:rPr>
              <w:t>同一意外伤害导致的一次住院治疗，我们给付的意外伤害住院津贴保险金，最高</w:t>
            </w:r>
            <w:r>
              <w:rPr>
                <w:spacing w:val="-24"/>
                <w:sz w:val="21"/>
              </w:rPr>
              <w:t>以 </w:t>
            </w:r>
            <w:r>
              <w:rPr>
                <w:rFonts w:ascii="Times New Roman" w:eastAsia="Times New Roman"/>
                <w:sz w:val="21"/>
              </w:rPr>
              <w:t>180 </w:t>
            </w:r>
            <w:r>
              <w:rPr>
                <w:spacing w:val="-11"/>
                <w:sz w:val="21"/>
              </w:rPr>
              <w:t>日为限。我们累计给付的意外伤害住院津贴保险金日数以 </w:t>
            </w:r>
            <w:r>
              <w:rPr>
                <w:rFonts w:ascii="Times New Roman" w:eastAsia="Times New Roman"/>
                <w:sz w:val="21"/>
              </w:rPr>
              <w:t>1000 </w:t>
            </w:r>
            <w:r>
              <w:rPr>
                <w:spacing w:val="-12"/>
                <w:sz w:val="21"/>
              </w:rPr>
              <w:t>日为限。若</w:t>
            </w:r>
          </w:p>
          <w:p>
            <w:pPr>
              <w:pStyle w:val="TableParagraph"/>
              <w:spacing w:line="254" w:lineRule="auto"/>
              <w:ind w:right="104"/>
              <w:jc w:val="both"/>
              <w:rPr>
                <w:sz w:val="21"/>
              </w:rPr>
            </w:pPr>
            <w:r>
              <w:rPr>
                <w:spacing w:val="-7"/>
                <w:sz w:val="21"/>
              </w:rPr>
              <w:t>被保险人因同一意外伤害间歇性住院治疗，前次出院与后次入院日期间隔未达 </w:t>
            </w:r>
            <w:r>
              <w:rPr>
                <w:rFonts w:ascii="Times New Roman" w:eastAsia="Times New Roman"/>
                <w:sz w:val="21"/>
              </w:rPr>
              <w:t>90 </w:t>
            </w:r>
            <w:r>
              <w:rPr>
                <w:spacing w:val="-3"/>
                <w:sz w:val="21"/>
              </w:rPr>
              <w:t>日，则后次住院视为前次住院的延续，两次住院按一次住院限额给付意外伤害住院津贴保险金。</w:t>
            </w:r>
          </w:p>
        </w:tc>
      </w:tr>
      <w:tr>
        <w:trPr>
          <w:trHeight w:val="1324" w:hRule="atLeast"/>
        </w:trPr>
        <w:tc>
          <w:tcPr>
            <w:tcW w:w="600" w:type="dxa"/>
          </w:tcPr>
          <w:p>
            <w:pPr>
              <w:pStyle w:val="TableParagraph"/>
              <w:ind w:left="0"/>
              <w:rPr>
                <w:rFonts w:ascii="Times New Roman"/>
                <w:sz w:val="20"/>
              </w:rPr>
            </w:pPr>
          </w:p>
        </w:tc>
        <w:tc>
          <w:tcPr>
            <w:tcW w:w="1228" w:type="dxa"/>
          </w:tcPr>
          <w:p>
            <w:pPr>
              <w:pStyle w:val="TableParagraph"/>
              <w:spacing w:line="252" w:lineRule="auto" w:before="48"/>
              <w:ind w:left="228" w:right="155"/>
              <w:jc w:val="both"/>
              <w:rPr>
                <w:rFonts w:ascii="等线" w:eastAsia="等线" w:hint="eastAsia"/>
                <w:b/>
                <w:sz w:val="21"/>
              </w:rPr>
            </w:pPr>
            <w:r>
              <w:rPr>
                <w:rFonts w:ascii="等线" w:eastAsia="等线" w:hint="eastAsia"/>
                <w:b/>
                <w:sz w:val="21"/>
              </w:rPr>
              <w:t>投保人意外身故或全残豁免保险费</w:t>
            </w:r>
          </w:p>
        </w:tc>
        <w:tc>
          <w:tcPr>
            <w:tcW w:w="7624" w:type="dxa"/>
          </w:tcPr>
          <w:p>
            <w:pPr>
              <w:pStyle w:val="TableParagraph"/>
              <w:spacing w:line="247" w:lineRule="auto" w:before="40"/>
              <w:ind w:right="115" w:hanging="1"/>
              <w:jc w:val="both"/>
              <w:rPr>
                <w:sz w:val="21"/>
              </w:rPr>
            </w:pPr>
            <w:r>
              <w:rPr>
                <w:spacing w:val="-9"/>
                <w:sz w:val="21"/>
              </w:rPr>
              <w:t>投保人在年满 </w:t>
            </w:r>
            <w:r>
              <w:rPr>
                <w:rFonts w:ascii="Times New Roman" w:eastAsia="Times New Roman"/>
                <w:sz w:val="21"/>
              </w:rPr>
              <w:t>65 </w:t>
            </w:r>
            <w:r>
              <w:rPr>
                <w:spacing w:val="-10"/>
                <w:sz w:val="21"/>
              </w:rPr>
              <w:t>周岁之前遭受意外伤害，且自意外伤害发生之日起 </w:t>
            </w:r>
            <w:r>
              <w:rPr>
                <w:rFonts w:ascii="Times New Roman" w:eastAsia="Times New Roman"/>
                <w:sz w:val="21"/>
              </w:rPr>
              <w:t>180 </w:t>
            </w:r>
            <w:r>
              <w:rPr>
                <w:spacing w:val="-40"/>
                <w:sz w:val="21"/>
              </w:rPr>
              <w:t>日内 ，因</w:t>
            </w:r>
            <w:r>
              <w:rPr>
                <w:spacing w:val="-4"/>
                <w:w w:val="100"/>
                <w:sz w:val="21"/>
              </w:rPr>
              <w:t>该意外伤害导致身故或</w:t>
            </w:r>
            <w:r>
              <w:rPr>
                <w:b/>
                <w:w w:val="100"/>
                <w:sz w:val="21"/>
              </w:rPr>
              <w:t>全残</w:t>
            </w:r>
            <w:r>
              <w:rPr>
                <w:w w:val="100"/>
                <w:sz w:val="21"/>
              </w:rPr>
              <w:t>（见</w:t>
            </w:r>
            <w:r>
              <w:rPr>
                <w:spacing w:val="-55"/>
                <w:sz w:val="21"/>
              </w:rPr>
              <w:t> </w:t>
            </w:r>
            <w:r>
              <w:rPr>
                <w:rFonts w:ascii="Times New Roman" w:eastAsia="Times New Roman"/>
                <w:w w:val="100"/>
                <w:sz w:val="21"/>
              </w:rPr>
              <w:t>5.3</w:t>
            </w:r>
            <w:r>
              <w:rPr>
                <w:spacing w:val="-108"/>
                <w:w w:val="100"/>
                <w:sz w:val="21"/>
              </w:rPr>
              <w:t>）</w:t>
            </w:r>
            <w:r>
              <w:rPr>
                <w:spacing w:val="-3"/>
                <w:w w:val="100"/>
                <w:sz w:val="21"/>
              </w:rPr>
              <w:t>，我们豁免投保人身故或全残日以后本附加</w:t>
            </w:r>
            <w:r>
              <w:rPr>
                <w:spacing w:val="-3"/>
                <w:sz w:val="21"/>
              </w:rPr>
              <w:t>合同和主合同的各期保险费。</w:t>
            </w:r>
          </w:p>
          <w:p>
            <w:pPr>
              <w:pStyle w:val="TableParagraph"/>
              <w:spacing w:before="18"/>
              <w:jc w:val="both"/>
              <w:rPr>
                <w:sz w:val="21"/>
              </w:rPr>
            </w:pPr>
            <w:r>
              <w:rPr>
                <w:sz w:val="21"/>
              </w:rPr>
              <w:t>已获豁免保险费的保险合同，其权益与正常交费的保险合同相同。</w:t>
            </w:r>
          </w:p>
        </w:tc>
      </w:tr>
      <w:tr>
        <w:trPr>
          <w:trHeight w:val="906" w:hRule="atLeast"/>
        </w:trPr>
        <w:tc>
          <w:tcPr>
            <w:tcW w:w="600" w:type="dxa"/>
          </w:tcPr>
          <w:p>
            <w:pPr>
              <w:pStyle w:val="TableParagraph"/>
              <w:spacing w:before="80"/>
              <w:ind w:left="108"/>
              <w:rPr>
                <w:rFonts w:ascii="Times New Roman"/>
                <w:b/>
                <w:sz w:val="21"/>
              </w:rPr>
            </w:pPr>
            <w:r>
              <w:rPr>
                <w:rFonts w:ascii="Times New Roman"/>
                <w:b/>
                <w:sz w:val="21"/>
              </w:rPr>
              <w:t>2.4</w:t>
            </w:r>
          </w:p>
        </w:tc>
        <w:tc>
          <w:tcPr>
            <w:tcW w:w="1228" w:type="dxa"/>
          </w:tcPr>
          <w:p>
            <w:pPr>
              <w:pStyle w:val="TableParagraph"/>
              <w:spacing w:before="31"/>
              <w:ind w:left="0" w:right="153"/>
              <w:jc w:val="right"/>
              <w:rPr>
                <w:b/>
                <w:sz w:val="21"/>
              </w:rPr>
            </w:pPr>
            <w:r>
              <w:rPr>
                <w:b/>
                <w:sz w:val="21"/>
              </w:rPr>
              <w:t>责任免除</w:t>
            </w:r>
          </w:p>
        </w:tc>
        <w:tc>
          <w:tcPr>
            <w:tcW w:w="7624" w:type="dxa"/>
          </w:tcPr>
          <w:p>
            <w:pPr>
              <w:pStyle w:val="TableParagraph"/>
              <w:spacing w:line="300" w:lineRule="atLeast" w:before="6"/>
              <w:ind w:right="58"/>
              <w:jc w:val="both"/>
              <w:rPr>
                <w:rFonts w:ascii="黑体" w:eastAsia="黑体" w:hint="eastAsia"/>
                <w:sz w:val="21"/>
              </w:rPr>
            </w:pPr>
            <w:r>
              <w:rPr>
                <w:rFonts w:ascii="黑体" w:eastAsia="黑体" w:hint="eastAsia"/>
                <w:sz w:val="21"/>
              </w:rPr>
              <w:t>（一）因下列情形之一，导致被保险人发Th重大疾病或特定疾病、达到重大疾病或特定疾病状态以及进行手术，我们不承担给付重大疾病保险金或特定疾病保险金的责任：</w:t>
            </w:r>
          </w:p>
        </w:tc>
      </w:tr>
    </w:tbl>
    <w:p>
      <w:pPr>
        <w:spacing w:after="0" w:line="300" w:lineRule="atLeast"/>
        <w:jc w:val="both"/>
        <w:rPr>
          <w:rFonts w:ascii="黑体" w:eastAsia="黑体" w:hint="eastAsia"/>
          <w:sz w:val="21"/>
        </w:rPr>
        <w:sectPr>
          <w:pgSz w:w="11910" w:h="16840"/>
          <w:pgMar w:top="1380" w:bottom="280" w:left="1160" w:right="1080"/>
        </w:sectPr>
      </w:pPr>
    </w:p>
    <w:tbl>
      <w:tblPr>
        <w:tblW w:w="0" w:type="auto"/>
        <w:jc w:val="left"/>
        <w:tblInd w:w="1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8"/>
      </w:tblGrid>
      <w:tr>
        <w:trPr>
          <w:trHeight w:val="4218" w:hRule="atLeast"/>
        </w:trPr>
        <w:tc>
          <w:tcPr>
            <w:tcW w:w="7868" w:type="dxa"/>
          </w:tcPr>
          <w:p>
            <w:pPr>
              <w:pStyle w:val="TableParagraph"/>
              <w:spacing w:line="227" w:lineRule="exact"/>
              <w:ind w:left="20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）被保险人酒后驾驶、无合法有效驾驶证驾驶，或驾驶无有效行驶证的机动车；</w:t>
            </w:r>
          </w:p>
          <w:p>
            <w:pPr>
              <w:pStyle w:val="TableParagraph"/>
              <w:spacing w:line="254" w:lineRule="auto" w:before="9"/>
              <w:ind w:left="692" w:right="354" w:hanging="493"/>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5.4</w:t>
            </w:r>
            <w:r>
              <w:rPr>
                <w:rFonts w:ascii="黑体" w:hAnsi="黑体" w:eastAsia="黑体" w:hint="eastAsia"/>
                <w:sz w:val="21"/>
              </w:rPr>
              <w:t>）（被保险人感染艾滋病病毒但符合本附加合同“经输血导致的人类免疫缺陷病毒感染”定义的不在此限）；</w:t>
            </w:r>
          </w:p>
          <w:p>
            <w:pPr>
              <w:pStyle w:val="TableParagraph"/>
              <w:spacing w:before="13"/>
              <w:ind w:left="200"/>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5.5</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5.6</w:t>
            </w:r>
            <w:r>
              <w:rPr>
                <w:rFonts w:ascii="黑体" w:eastAsia="黑体" w:hint="eastAsia"/>
                <w:sz w:val="21"/>
              </w:rPr>
              <w:t>）。</w:t>
            </w:r>
          </w:p>
          <w:p>
            <w:pPr>
              <w:pStyle w:val="TableParagraph"/>
              <w:spacing w:line="247" w:lineRule="auto" w:before="9"/>
              <w:ind w:left="200" w:right="309"/>
              <w:rPr>
                <w:rFonts w:ascii="黑体" w:eastAsia="黑体" w:hint="eastAsia"/>
                <w:sz w:val="21"/>
              </w:rPr>
            </w:pPr>
            <w:r>
              <w:rPr>
                <w:rFonts w:ascii="黑体" w:eastAsia="黑体" w:hint="eastAsia"/>
                <w:sz w:val="21"/>
              </w:rPr>
              <w:t>发Th</w:t>
            </w:r>
            <w:r>
              <w:rPr>
                <w:rFonts w:ascii="黑体" w:eastAsia="黑体" w:hint="eastAsia"/>
                <w:spacing w:val="-11"/>
                <w:sz w:val="21"/>
              </w:rPr>
              <w:t>上述第</w:t>
            </w:r>
            <w:r>
              <w:rPr>
                <w:rFonts w:ascii="黑体" w:eastAsia="黑体" w:hint="eastAsia"/>
                <w:spacing w:val="-10"/>
                <w:sz w:val="21"/>
              </w:rPr>
              <w:t>（</w:t>
            </w:r>
            <w:r>
              <w:rPr>
                <w:rFonts w:ascii="Times New Roman" w:eastAsia="Times New Roman"/>
                <w:spacing w:val="-10"/>
                <w:sz w:val="21"/>
              </w:rPr>
              <w:t>1</w:t>
            </w:r>
            <w:r>
              <w:rPr>
                <w:rFonts w:ascii="黑体" w:eastAsia="黑体" w:hint="eastAsia"/>
                <w:spacing w:val="-10"/>
                <w:sz w:val="21"/>
              </w:rPr>
              <w:t>）</w:t>
            </w:r>
            <w:r>
              <w:rPr>
                <w:rFonts w:ascii="黑体" w:eastAsia="黑体" w:hint="eastAsia"/>
                <w:spacing w:val="-8"/>
                <w:sz w:val="21"/>
              </w:rPr>
              <w:t>项情形，本附加合同和主合同同时终止，我们向重大疾病保险金</w:t>
            </w:r>
            <w:r>
              <w:rPr>
                <w:rFonts w:ascii="黑体" w:eastAsia="黑体" w:hint="eastAsia"/>
                <w:spacing w:val="-3"/>
                <w:sz w:val="21"/>
              </w:rPr>
              <w:t>或特定疾病保险金受益人退还本附加合同和主合同的现金价值。</w:t>
            </w:r>
          </w:p>
          <w:p>
            <w:pPr>
              <w:pStyle w:val="TableParagraph"/>
              <w:spacing w:line="261" w:lineRule="auto" w:before="18"/>
              <w:ind w:left="200" w:right="302"/>
              <w:rPr>
                <w:rFonts w:ascii="黑体" w:eastAsia="黑体" w:hint="eastAsia"/>
                <w:sz w:val="21"/>
              </w:rPr>
            </w:pPr>
            <w:r>
              <w:rPr>
                <w:rFonts w:ascii="黑体" w:eastAsia="黑体" w:hint="eastAsia"/>
                <w:sz w:val="21"/>
              </w:rPr>
              <w:t>发Th上述其他情形，本附加合同和主合同同时终止，我们向您退还本附加合同和主合同的现金价值。</w:t>
            </w:r>
          </w:p>
        </w:tc>
      </w:tr>
      <w:tr>
        <w:trPr>
          <w:trHeight w:val="6120" w:hRule="atLeast"/>
        </w:trPr>
        <w:tc>
          <w:tcPr>
            <w:tcW w:w="7868" w:type="dxa"/>
          </w:tcPr>
          <w:p>
            <w:pPr>
              <w:pStyle w:val="TableParagraph"/>
              <w:spacing w:line="261" w:lineRule="auto" w:before="30"/>
              <w:ind w:left="200" w:right="302" w:hanging="1"/>
              <w:rPr>
                <w:rFonts w:ascii="黑体" w:eastAsia="黑体" w:hint="eastAsia"/>
                <w:sz w:val="21"/>
              </w:rPr>
            </w:pPr>
            <w:r>
              <w:rPr>
                <w:rFonts w:ascii="黑体" w:eastAsia="黑体" w:hint="eastAsia"/>
                <w:sz w:val="21"/>
              </w:rPr>
              <w:t>（二）因下列情形之一导致被保险人住院治疗，我们不承担给付意外伤害住院津贴保险金的责任：</w:t>
            </w:r>
          </w:p>
          <w:p>
            <w:pPr>
              <w:pStyle w:val="TableParagraph"/>
              <w:spacing w:before="5"/>
              <w:ind w:left="200"/>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1</w:t>
            </w:r>
            <w:r>
              <w:rPr>
                <w:rFonts w:ascii="黑体" w:hAnsi="黑体" w:eastAsia="黑体" w:hint="eastAsia"/>
                <w:sz w:val="21"/>
              </w:rPr>
              <w:t>）主合同中列明的“责任免除”事项；</w:t>
            </w:r>
          </w:p>
          <w:p>
            <w:pPr>
              <w:pStyle w:val="TableParagraph"/>
              <w:spacing w:line="247" w:lineRule="auto" w:before="9"/>
              <w:ind w:left="718" w:right="307" w:hanging="519"/>
              <w:rPr>
                <w:rFonts w:ascii="黑体" w:eastAsia="黑体" w:hint="eastAsia"/>
                <w:sz w:val="21"/>
              </w:rPr>
            </w:pPr>
            <w:r>
              <w:rPr>
                <w:rFonts w:ascii="黑体" w:eastAsia="黑体" w:hint="eastAsia"/>
                <w:spacing w:val="-9"/>
                <w:sz w:val="21"/>
              </w:rPr>
              <w:t>（</w:t>
            </w:r>
            <w:r>
              <w:rPr>
                <w:rFonts w:ascii="Times New Roman" w:eastAsia="Times New Roman"/>
                <w:spacing w:val="-9"/>
                <w:sz w:val="21"/>
              </w:rPr>
              <w:t>2</w:t>
            </w:r>
            <w:r>
              <w:rPr>
                <w:rFonts w:ascii="黑体" w:eastAsia="黑体" w:hint="eastAsia"/>
                <w:spacing w:val="-9"/>
                <w:sz w:val="21"/>
              </w:rPr>
              <w:t>）</w:t>
            </w:r>
            <w:r>
              <w:rPr>
                <w:rFonts w:ascii="黑体" w:eastAsia="黑体" w:hint="eastAsia"/>
                <w:spacing w:val="-7"/>
                <w:sz w:val="21"/>
              </w:rPr>
              <w:t>被保险人自杀</w:t>
            </w:r>
            <w:r>
              <w:rPr>
                <w:rFonts w:ascii="黑体" w:eastAsia="黑体" w:hint="eastAsia"/>
                <w:sz w:val="21"/>
              </w:rPr>
              <w:t>（</w:t>
            </w:r>
            <w:r>
              <w:rPr>
                <w:rFonts w:ascii="黑体" w:eastAsia="黑体" w:hint="eastAsia"/>
                <w:spacing w:val="-3"/>
                <w:sz w:val="21"/>
              </w:rPr>
              <w:t>但被保险人自杀时为无民事行为能力人的除外</w:t>
            </w:r>
            <w:r>
              <w:rPr>
                <w:rFonts w:ascii="黑体" w:eastAsia="黑体" w:hint="eastAsia"/>
                <w:spacing w:val="-27"/>
                <w:sz w:val="21"/>
              </w:rPr>
              <w:t>）</w:t>
            </w:r>
            <w:r>
              <w:rPr>
                <w:rFonts w:ascii="黑体" w:eastAsia="黑体" w:hint="eastAsia"/>
                <w:spacing w:val="-10"/>
                <w:sz w:val="21"/>
              </w:rPr>
              <w:t>或斗殴、</w:t>
            </w:r>
            <w:r>
              <w:rPr>
                <w:rFonts w:ascii="黑体" w:eastAsia="黑体" w:hint="eastAsia"/>
                <w:b/>
                <w:sz w:val="21"/>
              </w:rPr>
              <w:t>酗</w:t>
            </w:r>
            <w:r>
              <w:rPr>
                <w:rFonts w:ascii="黑体" w:eastAsia="黑体" w:hint="eastAsia"/>
                <w:b/>
                <w:w w:val="100"/>
                <w:sz w:val="21"/>
              </w:rPr>
              <w:t>酒</w:t>
            </w:r>
            <w:r>
              <w:rPr>
                <w:rFonts w:ascii="黑体" w:eastAsia="黑体" w:hint="eastAsia"/>
                <w:w w:val="100"/>
                <w:sz w:val="21"/>
              </w:rPr>
              <w:t>（见</w:t>
            </w:r>
            <w:r>
              <w:rPr>
                <w:rFonts w:ascii="黑体" w:eastAsia="黑体" w:hint="eastAsia"/>
                <w:spacing w:val="-55"/>
                <w:sz w:val="21"/>
              </w:rPr>
              <w:t> </w:t>
            </w:r>
            <w:r>
              <w:rPr>
                <w:rFonts w:ascii="Times New Roman" w:eastAsia="Times New Roman"/>
                <w:w w:val="100"/>
                <w:sz w:val="21"/>
              </w:rPr>
              <w:t>5.7</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猝死</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spacing w:val="-3"/>
                <w:w w:val="100"/>
                <w:sz w:val="21"/>
              </w:rPr>
              <w:t>5</w:t>
            </w:r>
            <w:r>
              <w:rPr>
                <w:rFonts w:ascii="Times New Roman" w:eastAsia="Times New Roman"/>
                <w:w w:val="100"/>
                <w:sz w:val="21"/>
              </w:rPr>
              <w:t>.</w:t>
            </w:r>
            <w:r>
              <w:rPr>
                <w:rFonts w:ascii="Times New Roman" w:eastAsia="Times New Roman"/>
                <w:spacing w:val="-3"/>
                <w:w w:val="100"/>
                <w:sz w:val="21"/>
              </w:rPr>
              <w:t>8</w:t>
            </w:r>
            <w:r>
              <w:rPr>
                <w:rFonts w:ascii="黑体" w:eastAsia="黑体" w:hint="eastAsia"/>
                <w:spacing w:val="-106"/>
                <w:w w:val="100"/>
                <w:sz w:val="21"/>
              </w:rPr>
              <w:t>）；</w:t>
            </w:r>
          </w:p>
          <w:p>
            <w:pPr>
              <w:pStyle w:val="TableParagraph"/>
              <w:spacing w:before="2"/>
              <w:ind w:left="200"/>
              <w:rPr>
                <w:rFonts w:ascii="黑体" w:eastAsia="黑体" w:hint="eastAsia"/>
                <w:sz w:val="21"/>
              </w:rPr>
            </w:pPr>
            <w:r>
              <w:rPr>
                <w:rFonts w:ascii="黑体" w:eastAsia="黑体" w:hint="eastAsia"/>
                <w:spacing w:val="-1"/>
                <w:sz w:val="21"/>
              </w:rPr>
              <w:t>（</w:t>
            </w:r>
            <w:r>
              <w:rPr>
                <w:rFonts w:ascii="Times New Roman" w:eastAsia="Times New Roman"/>
                <w:spacing w:val="-1"/>
                <w:sz w:val="21"/>
              </w:rPr>
              <w:t>3</w:t>
            </w:r>
            <w:r>
              <w:rPr>
                <w:rFonts w:ascii="黑体" w:eastAsia="黑体" w:hint="eastAsia"/>
                <w:spacing w:val="-1"/>
                <w:sz w:val="21"/>
              </w:rPr>
              <w:t>）</w:t>
            </w:r>
            <w:r>
              <w:rPr>
                <w:rFonts w:ascii="黑体" w:eastAsia="黑体" w:hint="eastAsia"/>
                <w:spacing w:val="-3"/>
                <w:sz w:val="21"/>
              </w:rPr>
              <w:t>被保险人妊娠</w:t>
            </w:r>
            <w:r>
              <w:rPr>
                <w:rFonts w:ascii="黑体" w:eastAsia="黑体" w:hint="eastAsia"/>
                <w:sz w:val="21"/>
              </w:rPr>
              <w:t>（</w:t>
            </w:r>
            <w:r>
              <w:rPr>
                <w:rFonts w:ascii="黑体" w:eastAsia="黑体" w:hint="eastAsia"/>
                <w:spacing w:val="-3"/>
                <w:sz w:val="21"/>
              </w:rPr>
              <w:t>包括异位妊娠</w:t>
            </w:r>
            <w:r>
              <w:rPr>
                <w:rFonts w:ascii="黑体" w:eastAsia="黑体" w:hint="eastAsia"/>
                <w:spacing w:val="-108"/>
                <w:sz w:val="21"/>
              </w:rPr>
              <w:t>）</w:t>
            </w:r>
            <w:r>
              <w:rPr>
                <w:rFonts w:ascii="黑体" w:eastAsia="黑体" w:hint="eastAsia"/>
                <w:spacing w:val="-3"/>
                <w:sz w:val="21"/>
              </w:rPr>
              <w:t>、流产、分娩、节育；</w:t>
            </w:r>
          </w:p>
          <w:p>
            <w:pPr>
              <w:pStyle w:val="TableParagraph"/>
              <w:spacing w:before="9"/>
              <w:ind w:left="200"/>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）被保险人因</w:t>
            </w:r>
            <w:r>
              <w:rPr>
                <w:rFonts w:ascii="黑体" w:eastAsia="黑体" w:hint="eastAsia"/>
                <w:b/>
                <w:sz w:val="21"/>
              </w:rPr>
              <w:t>精神疾病</w:t>
            </w:r>
            <w:r>
              <w:rPr>
                <w:rFonts w:ascii="黑体" w:eastAsia="黑体" w:hint="eastAsia"/>
                <w:sz w:val="21"/>
              </w:rPr>
              <w:t>（见 </w:t>
            </w:r>
            <w:r>
              <w:rPr>
                <w:rFonts w:ascii="Times New Roman" w:eastAsia="Times New Roman"/>
                <w:sz w:val="21"/>
              </w:rPr>
              <w:t>5.9</w:t>
            </w:r>
            <w:r>
              <w:rPr>
                <w:rFonts w:ascii="黑体" w:eastAsia="黑体" w:hint="eastAsia"/>
                <w:sz w:val="21"/>
              </w:rPr>
              <w:t>）而导致的意外伤害；</w:t>
            </w:r>
          </w:p>
          <w:p>
            <w:pPr>
              <w:pStyle w:val="TableParagraph"/>
              <w:spacing w:line="247" w:lineRule="auto" w:before="9"/>
              <w:ind w:left="716" w:right="306" w:hanging="516"/>
              <w:rPr>
                <w:rFonts w:ascii="黑体" w:eastAsia="黑体" w:hint="eastAsia"/>
                <w:sz w:val="21"/>
              </w:rPr>
            </w:pPr>
            <w:r>
              <w:rPr>
                <w:rFonts w:ascii="黑体" w:eastAsia="黑体" w:hint="eastAsia"/>
                <w:spacing w:val="-12"/>
                <w:sz w:val="21"/>
              </w:rPr>
              <w:t>（</w:t>
            </w:r>
            <w:r>
              <w:rPr>
                <w:rFonts w:ascii="Times New Roman" w:eastAsia="Times New Roman"/>
                <w:spacing w:val="-12"/>
                <w:sz w:val="21"/>
              </w:rPr>
              <w:t>5</w:t>
            </w:r>
            <w:r>
              <w:rPr>
                <w:rFonts w:ascii="黑体" w:eastAsia="黑体" w:hint="eastAsia"/>
                <w:spacing w:val="-12"/>
                <w:sz w:val="21"/>
              </w:rPr>
              <w:t>）</w:t>
            </w:r>
            <w:r>
              <w:rPr>
                <w:rFonts w:ascii="黑体" w:eastAsia="黑体" w:hint="eastAsia"/>
                <w:spacing w:val="-7"/>
                <w:sz w:val="21"/>
              </w:rPr>
              <w:t>被保险人因受国家管制药物的影响或未遵医嘱服用、涂用、注射药物而导致</w:t>
            </w:r>
            <w:r>
              <w:rPr>
                <w:rFonts w:ascii="黑体" w:eastAsia="黑体" w:hint="eastAsia"/>
                <w:spacing w:val="-2"/>
                <w:sz w:val="21"/>
              </w:rPr>
              <w:t>的意外伤害；</w:t>
            </w:r>
          </w:p>
          <w:p>
            <w:pPr>
              <w:pStyle w:val="TableParagraph"/>
              <w:spacing w:line="247" w:lineRule="auto" w:before="18"/>
              <w:ind w:left="716" w:right="304" w:hanging="516"/>
              <w:jc w:val="both"/>
              <w:rPr>
                <w:rFonts w:ascii="黑体" w:eastAsia="黑体" w:hint="eastAsia"/>
                <w:sz w:val="21"/>
              </w:rPr>
            </w:pPr>
            <w:r>
              <w:rPr>
                <w:rFonts w:ascii="黑体" w:eastAsia="黑体" w:hint="eastAsia"/>
                <w:spacing w:val="-5"/>
                <w:sz w:val="21"/>
              </w:rPr>
              <w:t>（</w:t>
            </w:r>
            <w:r>
              <w:rPr>
                <w:rFonts w:ascii="Times New Roman" w:eastAsia="Times New Roman"/>
                <w:spacing w:val="-5"/>
                <w:sz w:val="21"/>
              </w:rPr>
              <w:t>6</w:t>
            </w:r>
            <w:r>
              <w:rPr>
                <w:rFonts w:ascii="黑体" w:eastAsia="黑体" w:hint="eastAsia"/>
                <w:spacing w:val="-5"/>
                <w:sz w:val="21"/>
              </w:rPr>
              <w:t>）</w:t>
            </w:r>
            <w:r>
              <w:rPr>
                <w:rFonts w:ascii="黑体" w:eastAsia="黑体" w:hint="eastAsia"/>
                <w:spacing w:val="-3"/>
                <w:sz w:val="21"/>
              </w:rPr>
              <w:t>被保险人从事</w:t>
            </w:r>
            <w:r>
              <w:rPr>
                <w:rFonts w:ascii="黑体" w:eastAsia="黑体" w:hint="eastAsia"/>
                <w:b/>
                <w:spacing w:val="-5"/>
                <w:sz w:val="21"/>
              </w:rPr>
              <w:t>潜水</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4"/>
                <w:sz w:val="21"/>
              </w:rPr>
              <w:t>5.10</w:t>
            </w:r>
            <w:r>
              <w:rPr>
                <w:rFonts w:ascii="黑体" w:eastAsia="黑体" w:hint="eastAsia"/>
                <w:spacing w:val="-4"/>
                <w:sz w:val="21"/>
              </w:rPr>
              <w:t>）</w:t>
            </w:r>
            <w:r>
              <w:rPr>
                <w:rFonts w:ascii="黑体" w:eastAsia="黑体" w:hint="eastAsia"/>
                <w:spacing w:val="-13"/>
                <w:sz w:val="21"/>
              </w:rPr>
              <w:t>、</w:t>
            </w:r>
            <w:r>
              <w:rPr>
                <w:rFonts w:ascii="黑体" w:eastAsia="黑体" w:hint="eastAsia"/>
                <w:b/>
                <w:spacing w:val="-3"/>
                <w:sz w:val="21"/>
              </w:rPr>
              <w:t>空中运动</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4"/>
                <w:sz w:val="21"/>
              </w:rPr>
              <w:t>5.11</w:t>
            </w:r>
            <w:r>
              <w:rPr>
                <w:rFonts w:ascii="黑体" w:eastAsia="黑体" w:hint="eastAsia"/>
                <w:spacing w:val="-4"/>
                <w:sz w:val="21"/>
              </w:rPr>
              <w:t>）</w:t>
            </w:r>
            <w:r>
              <w:rPr>
                <w:rFonts w:ascii="黑体" w:eastAsia="黑体" w:hint="eastAsia"/>
                <w:spacing w:val="-13"/>
                <w:sz w:val="21"/>
              </w:rPr>
              <w:t>、</w:t>
            </w:r>
            <w:r>
              <w:rPr>
                <w:rFonts w:ascii="黑体" w:eastAsia="黑体" w:hint="eastAsia"/>
                <w:b/>
                <w:spacing w:val="-5"/>
                <w:sz w:val="21"/>
              </w:rPr>
              <w:t>攀岩</w:t>
            </w:r>
            <w:r>
              <w:rPr>
                <w:rFonts w:ascii="黑体" w:eastAsia="黑体" w:hint="eastAsia"/>
                <w:spacing w:val="-3"/>
                <w:sz w:val="21"/>
              </w:rPr>
              <w:t>（</w:t>
            </w:r>
            <w:r>
              <w:rPr>
                <w:rFonts w:ascii="黑体" w:eastAsia="黑体" w:hint="eastAsia"/>
                <w:spacing w:val="-20"/>
                <w:sz w:val="21"/>
              </w:rPr>
              <w:t>见 </w:t>
            </w:r>
            <w:r>
              <w:rPr>
                <w:rFonts w:ascii="Times New Roman" w:eastAsia="Times New Roman"/>
                <w:spacing w:val="-4"/>
                <w:sz w:val="21"/>
              </w:rPr>
              <w:t>5.12</w:t>
            </w:r>
            <w:r>
              <w:rPr>
                <w:rFonts w:ascii="黑体" w:eastAsia="黑体" w:hint="eastAsia"/>
                <w:spacing w:val="-4"/>
                <w:sz w:val="21"/>
              </w:rPr>
              <w:t>）</w:t>
            </w:r>
            <w:r>
              <w:rPr>
                <w:rFonts w:ascii="黑体" w:eastAsia="黑体" w:hint="eastAsia"/>
                <w:spacing w:val="-13"/>
                <w:sz w:val="21"/>
              </w:rPr>
              <w:t>、</w:t>
            </w:r>
            <w:r>
              <w:rPr>
                <w:rFonts w:ascii="黑体" w:eastAsia="黑体" w:hint="eastAsia"/>
                <w:b/>
                <w:sz w:val="21"/>
              </w:rPr>
              <w:t>探</w:t>
            </w:r>
            <w:r>
              <w:rPr>
                <w:rFonts w:ascii="黑体" w:eastAsia="黑体" w:hint="eastAsia"/>
                <w:b/>
                <w:spacing w:val="-8"/>
                <w:sz w:val="21"/>
              </w:rPr>
              <w:t>险</w:t>
            </w:r>
            <w:r>
              <w:rPr>
                <w:rFonts w:ascii="黑体" w:eastAsia="黑体" w:hint="eastAsia"/>
                <w:spacing w:val="-3"/>
                <w:sz w:val="21"/>
              </w:rPr>
              <w:t>（</w:t>
            </w:r>
            <w:r>
              <w:rPr>
                <w:rFonts w:ascii="黑体" w:eastAsia="黑体" w:hint="eastAsia"/>
                <w:spacing w:val="-21"/>
                <w:sz w:val="21"/>
              </w:rPr>
              <w:t>见 </w:t>
            </w:r>
            <w:r>
              <w:rPr>
                <w:rFonts w:ascii="Times New Roman" w:eastAsia="Times New Roman"/>
                <w:spacing w:val="-3"/>
                <w:sz w:val="21"/>
              </w:rPr>
              <w:t>5.13</w:t>
            </w:r>
            <w:r>
              <w:rPr>
                <w:rFonts w:ascii="黑体" w:eastAsia="黑体" w:hint="eastAsia"/>
                <w:spacing w:val="-3"/>
                <w:sz w:val="21"/>
              </w:rPr>
              <w:t>）</w:t>
            </w:r>
            <w:r>
              <w:rPr>
                <w:rFonts w:ascii="黑体" w:eastAsia="黑体" w:hint="eastAsia"/>
                <w:spacing w:val="-7"/>
                <w:sz w:val="21"/>
              </w:rPr>
              <w:t>、摔跤、</w:t>
            </w:r>
            <w:r>
              <w:rPr>
                <w:rFonts w:ascii="黑体" w:eastAsia="黑体" w:hint="eastAsia"/>
                <w:b/>
                <w:spacing w:val="-4"/>
                <w:sz w:val="21"/>
              </w:rPr>
              <w:t>武术</w:t>
            </w:r>
            <w:r>
              <w:rPr>
                <w:rFonts w:ascii="黑体" w:eastAsia="黑体" w:hint="eastAsia"/>
                <w:spacing w:val="-3"/>
                <w:sz w:val="21"/>
              </w:rPr>
              <w:t>（</w:t>
            </w:r>
            <w:r>
              <w:rPr>
                <w:rFonts w:ascii="黑体" w:eastAsia="黑体" w:hint="eastAsia"/>
                <w:spacing w:val="-21"/>
                <w:sz w:val="21"/>
              </w:rPr>
              <w:t>见 </w:t>
            </w:r>
            <w:r>
              <w:rPr>
                <w:rFonts w:ascii="Times New Roman" w:eastAsia="Times New Roman"/>
                <w:spacing w:val="-3"/>
                <w:sz w:val="21"/>
              </w:rPr>
              <w:t>5.14</w:t>
            </w:r>
            <w:r>
              <w:rPr>
                <w:rFonts w:ascii="黑体" w:eastAsia="黑体" w:hint="eastAsia"/>
                <w:spacing w:val="-3"/>
                <w:sz w:val="21"/>
              </w:rPr>
              <w:t>）</w:t>
            </w:r>
            <w:r>
              <w:rPr>
                <w:rFonts w:ascii="黑体" w:eastAsia="黑体" w:hint="eastAsia"/>
                <w:spacing w:val="-13"/>
                <w:sz w:val="21"/>
              </w:rPr>
              <w:t>、</w:t>
            </w:r>
            <w:r>
              <w:rPr>
                <w:rFonts w:ascii="黑体" w:eastAsia="黑体" w:hint="eastAsia"/>
                <w:b/>
                <w:spacing w:val="-3"/>
                <w:sz w:val="21"/>
              </w:rPr>
              <w:t>特技表演</w:t>
            </w:r>
            <w:r>
              <w:rPr>
                <w:rFonts w:ascii="黑体" w:eastAsia="黑体" w:hint="eastAsia"/>
                <w:sz w:val="21"/>
              </w:rPr>
              <w:t>（</w:t>
            </w:r>
            <w:r>
              <w:rPr>
                <w:rFonts w:ascii="黑体" w:eastAsia="黑体" w:hint="eastAsia"/>
                <w:spacing w:val="-21"/>
                <w:sz w:val="21"/>
              </w:rPr>
              <w:t>见 </w:t>
            </w:r>
            <w:r>
              <w:rPr>
                <w:rFonts w:ascii="Times New Roman" w:eastAsia="Times New Roman"/>
                <w:spacing w:val="-3"/>
                <w:sz w:val="21"/>
              </w:rPr>
              <w:t>5.15</w:t>
            </w:r>
            <w:r>
              <w:rPr>
                <w:rFonts w:ascii="黑体" w:eastAsia="黑体" w:hint="eastAsia"/>
                <w:spacing w:val="-3"/>
                <w:sz w:val="21"/>
              </w:rPr>
              <w:t>）</w:t>
            </w:r>
            <w:r>
              <w:rPr>
                <w:rFonts w:ascii="黑体" w:eastAsia="黑体" w:hint="eastAsia"/>
                <w:spacing w:val="-5"/>
                <w:sz w:val="21"/>
              </w:rPr>
              <w:t>、赛马、赛车</w:t>
            </w:r>
            <w:r>
              <w:rPr>
                <w:rFonts w:ascii="黑体" w:eastAsia="黑体" w:hint="eastAsia"/>
                <w:spacing w:val="-4"/>
                <w:sz w:val="21"/>
              </w:rPr>
              <w:t>及其他高危险活动或高危险运动；</w:t>
            </w:r>
          </w:p>
          <w:p>
            <w:pPr>
              <w:pStyle w:val="TableParagraph"/>
              <w:spacing w:before="18"/>
              <w:ind w:left="20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）牙齿修复、牙齿整形，视力矫正，美容和整形手术及一般理疗；</w:t>
            </w:r>
          </w:p>
          <w:p>
            <w:pPr>
              <w:pStyle w:val="TableParagraph"/>
              <w:spacing w:line="254" w:lineRule="auto" w:before="9"/>
              <w:ind w:left="716" w:right="304" w:hanging="516"/>
              <w:jc w:val="both"/>
              <w:rPr>
                <w:rFonts w:ascii="黑体" w:eastAsia="黑体" w:hint="eastAsia"/>
                <w:sz w:val="21"/>
              </w:rPr>
            </w:pPr>
            <w:r>
              <w:rPr>
                <w:rFonts w:ascii="黑体" w:eastAsia="黑体" w:hint="eastAsia"/>
                <w:spacing w:val="-5"/>
                <w:sz w:val="21"/>
              </w:rPr>
              <w:t>（</w:t>
            </w:r>
            <w:r>
              <w:rPr>
                <w:rFonts w:ascii="Times New Roman" w:eastAsia="Times New Roman"/>
                <w:spacing w:val="-5"/>
                <w:sz w:val="21"/>
              </w:rPr>
              <w:t>8</w:t>
            </w:r>
            <w:r>
              <w:rPr>
                <w:rFonts w:ascii="黑体" w:eastAsia="黑体" w:hint="eastAsia"/>
                <w:spacing w:val="-5"/>
                <w:sz w:val="21"/>
              </w:rPr>
              <w:t>）</w:t>
            </w:r>
            <w:r>
              <w:rPr>
                <w:rFonts w:ascii="黑体" w:eastAsia="黑体" w:hint="eastAsia"/>
                <w:spacing w:val="-10"/>
                <w:sz w:val="21"/>
              </w:rPr>
              <w:t>神经、精神的功能失常，包括痴呆、神经衰弱、精神分裂症、抑郁症、躁狂</w:t>
            </w:r>
            <w:r>
              <w:rPr>
                <w:rFonts w:ascii="黑体" w:eastAsia="黑体" w:hint="eastAsia"/>
                <w:spacing w:val="-2"/>
                <w:sz w:val="21"/>
              </w:rPr>
              <w:t>症、躁抑症、神经症</w:t>
            </w:r>
            <w:r>
              <w:rPr>
                <w:rFonts w:ascii="黑体" w:eastAsia="黑体" w:hint="eastAsia"/>
                <w:sz w:val="21"/>
              </w:rPr>
              <w:t>（</w:t>
            </w:r>
            <w:r>
              <w:rPr>
                <w:rFonts w:ascii="黑体" w:eastAsia="黑体" w:hint="eastAsia"/>
                <w:spacing w:val="-3"/>
                <w:sz w:val="21"/>
              </w:rPr>
              <w:t>包括恐怖症，焦虑症，强迫症</w:t>
            </w:r>
            <w:r>
              <w:rPr>
                <w:rFonts w:ascii="黑体" w:eastAsia="黑体" w:hint="eastAsia"/>
                <w:spacing w:val="-106"/>
                <w:sz w:val="21"/>
              </w:rPr>
              <w:t>）</w:t>
            </w:r>
            <w:r>
              <w:rPr>
                <w:rFonts w:ascii="黑体" w:eastAsia="黑体" w:hint="eastAsia"/>
                <w:spacing w:val="-2"/>
                <w:sz w:val="21"/>
              </w:rPr>
              <w:t>、癔症、疑病症、帕</w:t>
            </w:r>
            <w:r>
              <w:rPr>
                <w:rFonts w:ascii="黑体" w:eastAsia="黑体" w:hint="eastAsia"/>
                <w:spacing w:val="-3"/>
                <w:sz w:val="21"/>
              </w:rPr>
              <w:t>金森氏病、偏头痛、雷诺综合症及植物神经功能障碍；</w:t>
            </w:r>
          </w:p>
          <w:p>
            <w:pPr>
              <w:pStyle w:val="TableParagraph"/>
              <w:spacing w:before="12"/>
              <w:ind w:left="200"/>
              <w:rPr>
                <w:rFonts w:ascii="黑体" w:eastAsia="黑体" w:hint="eastAsia"/>
                <w:sz w:val="21"/>
              </w:rPr>
            </w:pPr>
            <w:r>
              <w:rPr>
                <w:rFonts w:ascii="黑体" w:eastAsia="黑体" w:hint="eastAsia"/>
                <w:sz w:val="21"/>
              </w:rPr>
              <w:t>（</w:t>
            </w:r>
            <w:r>
              <w:rPr>
                <w:rFonts w:ascii="Times New Roman" w:eastAsia="Times New Roman"/>
                <w:sz w:val="21"/>
              </w:rPr>
              <w:t>9</w:t>
            </w:r>
            <w:r>
              <w:rPr>
                <w:rFonts w:ascii="黑体" w:eastAsia="黑体" w:hint="eastAsia"/>
                <w:sz w:val="21"/>
              </w:rPr>
              <w:t>）椎间盘突出症或膨出症；</w:t>
            </w:r>
          </w:p>
          <w:p>
            <w:pPr>
              <w:pStyle w:val="TableParagraph"/>
              <w:spacing w:line="247" w:lineRule="auto" w:before="8"/>
              <w:ind w:left="716" w:right="301" w:hanging="517"/>
              <w:rPr>
                <w:rFonts w:ascii="黑体" w:eastAsia="黑体" w:hint="eastAsia"/>
                <w:sz w:val="21"/>
              </w:rPr>
            </w:pPr>
            <w:r>
              <w:rPr>
                <w:rFonts w:ascii="黑体" w:eastAsia="黑体" w:hint="eastAsia"/>
                <w:sz w:val="21"/>
              </w:rPr>
              <w:t>（</w:t>
            </w:r>
            <w:r>
              <w:rPr>
                <w:rFonts w:ascii="Times New Roman" w:eastAsia="Times New Roman"/>
                <w:sz w:val="21"/>
              </w:rPr>
              <w:t>10</w:t>
            </w:r>
            <w:r>
              <w:rPr>
                <w:rFonts w:ascii="黑体" w:eastAsia="黑体" w:hint="eastAsia"/>
                <w:sz w:val="21"/>
              </w:rPr>
              <w:t>）在本附加合同的签发日之前被保险人已存在但未如实告知的疾病、症状或受伤；</w:t>
            </w:r>
          </w:p>
          <w:p>
            <w:pPr>
              <w:pStyle w:val="TableParagraph"/>
              <w:spacing w:before="18"/>
              <w:ind w:left="200"/>
              <w:rPr>
                <w:rFonts w:ascii="黑体" w:eastAsia="黑体" w:hint="eastAsia"/>
                <w:sz w:val="21"/>
              </w:rPr>
            </w:pPr>
            <w:r>
              <w:rPr>
                <w:rFonts w:ascii="黑体" w:eastAsia="黑体" w:hint="eastAsia"/>
                <w:sz w:val="21"/>
              </w:rPr>
              <w:t>（</w:t>
            </w:r>
            <w:r>
              <w:rPr>
                <w:rFonts w:ascii="Times New Roman" w:eastAsia="Times New Roman"/>
                <w:sz w:val="21"/>
              </w:rPr>
              <w:t>11</w:t>
            </w:r>
            <w:r>
              <w:rPr>
                <w:rFonts w:ascii="黑体" w:eastAsia="黑体" w:hint="eastAsia"/>
                <w:sz w:val="21"/>
              </w:rPr>
              <w:t>）先天性疾病或先天性畸形。</w:t>
            </w:r>
          </w:p>
        </w:tc>
      </w:tr>
      <w:tr>
        <w:trPr>
          <w:trHeight w:val="3319" w:hRule="atLeast"/>
        </w:trPr>
        <w:tc>
          <w:tcPr>
            <w:tcW w:w="7868" w:type="dxa"/>
          </w:tcPr>
          <w:p>
            <w:pPr>
              <w:pStyle w:val="TableParagraph"/>
              <w:spacing w:line="261" w:lineRule="auto" w:before="22"/>
              <w:ind w:left="200" w:right="313"/>
              <w:rPr>
                <w:rFonts w:ascii="黑体" w:eastAsia="黑体" w:hint="eastAsia"/>
                <w:sz w:val="21"/>
              </w:rPr>
            </w:pPr>
            <w:r>
              <w:rPr>
                <w:rFonts w:ascii="黑体" w:eastAsia="黑体" w:hint="eastAsia"/>
                <w:sz w:val="21"/>
              </w:rPr>
              <w:t>（三）因下列情形之一导致投保人身故或全残的，我们不承担投保人意外身故或全残豁免保险费的责任：</w:t>
            </w:r>
          </w:p>
          <w:p>
            <w:pPr>
              <w:pStyle w:val="TableParagraph"/>
              <w:spacing w:before="5"/>
              <w:ind w:left="20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）投保人故意犯罪或抗拒依法采取的刑事强制措施；</w:t>
            </w:r>
          </w:p>
          <w:p>
            <w:pPr>
              <w:pStyle w:val="TableParagraph"/>
              <w:spacing w:before="8"/>
              <w:ind w:left="200"/>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）投保人主动吸食或注射毒品；</w:t>
            </w:r>
          </w:p>
          <w:p>
            <w:pPr>
              <w:pStyle w:val="TableParagraph"/>
              <w:spacing w:line="247" w:lineRule="auto" w:before="8"/>
              <w:ind w:left="692" w:right="306" w:hanging="493"/>
              <w:rPr>
                <w:rFonts w:ascii="黑体" w:eastAsia="黑体" w:hint="eastAsia"/>
                <w:sz w:val="21"/>
              </w:rPr>
            </w:pPr>
            <w:r>
              <w:rPr>
                <w:rFonts w:ascii="黑体" w:eastAsia="黑体" w:hint="eastAsia"/>
                <w:spacing w:val="-12"/>
                <w:sz w:val="21"/>
              </w:rPr>
              <w:t>（</w:t>
            </w:r>
            <w:r>
              <w:rPr>
                <w:rFonts w:ascii="Times New Roman" w:eastAsia="Times New Roman"/>
                <w:spacing w:val="-12"/>
                <w:sz w:val="21"/>
              </w:rPr>
              <w:t>3</w:t>
            </w:r>
            <w:r>
              <w:rPr>
                <w:rFonts w:ascii="黑体" w:eastAsia="黑体" w:hint="eastAsia"/>
                <w:spacing w:val="-12"/>
                <w:sz w:val="21"/>
              </w:rPr>
              <w:t>）</w:t>
            </w:r>
            <w:r>
              <w:rPr>
                <w:rFonts w:ascii="黑体" w:eastAsia="黑体" w:hint="eastAsia"/>
                <w:spacing w:val="-10"/>
                <w:sz w:val="21"/>
              </w:rPr>
              <w:t>投保人酒后驾驶，无合法有效驾驶证驾驶，或驾驶无合法有效行驶证的机动</w:t>
            </w:r>
            <w:r>
              <w:rPr>
                <w:rFonts w:ascii="黑体" w:eastAsia="黑体" w:hint="eastAsia"/>
                <w:sz w:val="21"/>
              </w:rPr>
              <w:t>车；</w:t>
            </w:r>
          </w:p>
          <w:p>
            <w:pPr>
              <w:pStyle w:val="TableParagraph"/>
              <w:spacing w:before="18"/>
              <w:ind w:left="200"/>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）战争、军事冲突、军暴乱或武装叛乱；</w:t>
            </w:r>
          </w:p>
          <w:p>
            <w:pPr>
              <w:pStyle w:val="TableParagraph"/>
              <w:spacing w:before="9"/>
              <w:ind w:left="201"/>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）核爆炸、核辐射或核污染；</w:t>
            </w:r>
          </w:p>
          <w:p>
            <w:pPr>
              <w:pStyle w:val="TableParagraph"/>
              <w:spacing w:line="247" w:lineRule="auto" w:before="9"/>
              <w:ind w:left="719" w:right="205" w:hanging="519"/>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）投保人自杀（但投保人自杀时为无民事行为能力人的除外）或斗殴、酗酒、猝死；</w:t>
            </w:r>
          </w:p>
          <w:p>
            <w:pPr>
              <w:pStyle w:val="TableParagraph"/>
              <w:spacing w:line="278" w:lineRule="exact" w:before="18"/>
              <w:ind w:left="201"/>
              <w:rPr>
                <w:rFonts w:ascii="黑体" w:eastAsia="黑体" w:hint="eastAsia"/>
                <w:sz w:val="21"/>
              </w:rPr>
            </w:pPr>
            <w:r>
              <w:rPr>
                <w:rFonts w:ascii="黑体" w:eastAsia="黑体" w:hint="eastAsia"/>
                <w:spacing w:val="-1"/>
                <w:sz w:val="21"/>
              </w:rPr>
              <w:t>（</w:t>
            </w:r>
            <w:r>
              <w:rPr>
                <w:rFonts w:ascii="Times New Roman" w:eastAsia="Times New Roman"/>
                <w:spacing w:val="-1"/>
                <w:sz w:val="21"/>
              </w:rPr>
              <w:t>7</w:t>
            </w:r>
            <w:r>
              <w:rPr>
                <w:rFonts w:ascii="黑体" w:eastAsia="黑体" w:hint="eastAsia"/>
                <w:spacing w:val="-1"/>
                <w:sz w:val="21"/>
              </w:rPr>
              <w:t>）</w:t>
            </w:r>
            <w:r>
              <w:rPr>
                <w:rFonts w:ascii="黑体" w:eastAsia="黑体" w:hint="eastAsia"/>
                <w:spacing w:val="-3"/>
                <w:sz w:val="21"/>
              </w:rPr>
              <w:t>投保人妊娠</w:t>
            </w:r>
            <w:r>
              <w:rPr>
                <w:rFonts w:ascii="黑体" w:eastAsia="黑体" w:hint="eastAsia"/>
                <w:sz w:val="21"/>
              </w:rPr>
              <w:t>（</w:t>
            </w:r>
            <w:r>
              <w:rPr>
                <w:rFonts w:ascii="黑体" w:eastAsia="黑体" w:hint="eastAsia"/>
                <w:spacing w:val="-3"/>
                <w:sz w:val="21"/>
              </w:rPr>
              <w:t>包括异位妊娠</w:t>
            </w:r>
            <w:r>
              <w:rPr>
                <w:rFonts w:ascii="黑体" w:eastAsia="黑体" w:hint="eastAsia"/>
                <w:spacing w:val="-106"/>
                <w:sz w:val="21"/>
              </w:rPr>
              <w:t>）</w:t>
            </w:r>
            <w:r>
              <w:rPr>
                <w:rFonts w:ascii="黑体" w:eastAsia="黑体" w:hint="eastAsia"/>
                <w:spacing w:val="-3"/>
                <w:sz w:val="21"/>
              </w:rPr>
              <w:t>、流产、分娩、节育；</w:t>
            </w:r>
          </w:p>
        </w:tc>
      </w:tr>
    </w:tbl>
    <w:p>
      <w:pPr>
        <w:spacing w:after="0" w:line="278" w:lineRule="exact"/>
        <w:rPr>
          <w:rFonts w:ascii="黑体" w:eastAsia="黑体" w:hint="eastAsia"/>
          <w:sz w:val="21"/>
        </w:rPr>
        <w:sectPr>
          <w:pgSz w:w="11910" w:h="16840"/>
          <w:pgMar w:top="1480" w:bottom="280" w:left="1680" w:right="8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190"/>
        <w:gridCol w:w="7661"/>
      </w:tblGrid>
      <w:tr>
        <w:trPr>
          <w:trHeight w:val="961" w:hRule="atLeast"/>
        </w:trPr>
        <w:tc>
          <w:tcPr>
            <w:tcW w:w="600" w:type="dxa"/>
          </w:tcPr>
          <w:p>
            <w:pPr>
              <w:pStyle w:val="TableParagraph"/>
              <w:ind w:left="0"/>
              <w:rPr>
                <w:rFonts w:ascii="Times New Roman"/>
                <w:sz w:val="20"/>
              </w:rPr>
            </w:pPr>
          </w:p>
        </w:tc>
        <w:tc>
          <w:tcPr>
            <w:tcW w:w="1190" w:type="dxa"/>
          </w:tcPr>
          <w:p>
            <w:pPr>
              <w:pStyle w:val="TableParagraph"/>
              <w:ind w:left="0"/>
              <w:rPr>
                <w:rFonts w:ascii="Times New Roman"/>
                <w:sz w:val="20"/>
              </w:rPr>
            </w:pPr>
          </w:p>
        </w:tc>
        <w:tc>
          <w:tcPr>
            <w:tcW w:w="7661" w:type="dxa"/>
          </w:tcPr>
          <w:p>
            <w:pPr>
              <w:pStyle w:val="TableParagraph"/>
              <w:spacing w:line="227" w:lineRule="exact"/>
              <w:ind w:left="192"/>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）投保人因精神疾病而导致的意外伤害；</w:t>
            </w:r>
          </w:p>
          <w:p>
            <w:pPr>
              <w:pStyle w:val="TableParagraph"/>
              <w:spacing w:line="247" w:lineRule="auto" w:before="9"/>
              <w:ind w:left="708" w:right="106" w:hanging="516"/>
              <w:rPr>
                <w:rFonts w:ascii="黑体" w:eastAsia="黑体" w:hint="eastAsia"/>
                <w:sz w:val="21"/>
              </w:rPr>
            </w:pPr>
            <w:r>
              <w:rPr>
                <w:rFonts w:ascii="黑体" w:eastAsia="黑体" w:hint="eastAsia"/>
                <w:spacing w:val="-12"/>
                <w:sz w:val="21"/>
              </w:rPr>
              <w:t>（</w:t>
            </w:r>
            <w:r>
              <w:rPr>
                <w:rFonts w:ascii="Times New Roman" w:eastAsia="Times New Roman"/>
                <w:spacing w:val="-12"/>
                <w:sz w:val="21"/>
              </w:rPr>
              <w:t>9</w:t>
            </w:r>
            <w:r>
              <w:rPr>
                <w:rFonts w:ascii="黑体" w:eastAsia="黑体" w:hint="eastAsia"/>
                <w:spacing w:val="-12"/>
                <w:sz w:val="21"/>
              </w:rPr>
              <w:t>）</w:t>
            </w:r>
            <w:r>
              <w:rPr>
                <w:rFonts w:ascii="黑体" w:eastAsia="黑体" w:hint="eastAsia"/>
                <w:spacing w:val="-7"/>
                <w:sz w:val="21"/>
              </w:rPr>
              <w:t>投保人因受国家管制药物的影响或未遵医嘱服用、涂用、注射药物而导致的</w:t>
            </w:r>
            <w:r>
              <w:rPr>
                <w:rFonts w:ascii="黑体" w:eastAsia="黑体" w:hint="eastAsia"/>
                <w:spacing w:val="-1"/>
                <w:sz w:val="21"/>
              </w:rPr>
              <w:t>意外伤害。</w:t>
            </w:r>
          </w:p>
        </w:tc>
      </w:tr>
      <w:tr>
        <w:trPr>
          <w:trHeight w:val="300" w:hRule="atLeast"/>
        </w:trPr>
        <w:tc>
          <w:tcPr>
            <w:tcW w:w="600" w:type="dxa"/>
            <w:shd w:val="clear" w:color="auto" w:fill="E1E1E1"/>
          </w:tcPr>
          <w:p>
            <w:pPr>
              <w:pStyle w:val="TableParagraph"/>
              <w:spacing w:before="37"/>
              <w:ind w:left="108"/>
              <w:rPr>
                <w:rFonts w:ascii="Times New Roman"/>
                <w:b/>
                <w:sz w:val="21"/>
              </w:rPr>
            </w:pPr>
            <w:r>
              <w:rPr>
                <w:rFonts w:ascii="Times New Roman"/>
                <w:b/>
                <w:w w:val="100"/>
                <w:sz w:val="21"/>
              </w:rPr>
              <w:t>3</w:t>
            </w:r>
          </w:p>
        </w:tc>
        <w:tc>
          <w:tcPr>
            <w:tcW w:w="8851" w:type="dxa"/>
            <w:gridSpan w:val="2"/>
            <w:shd w:val="clear" w:color="auto" w:fill="E1E1E1"/>
          </w:tcPr>
          <w:p>
            <w:pPr>
              <w:pStyle w:val="TableParagraph"/>
              <w:spacing w:line="263" w:lineRule="exact"/>
              <w:ind w:left="228"/>
              <w:rPr>
                <w:b/>
                <w:sz w:val="21"/>
              </w:rPr>
            </w:pPr>
            <w:r>
              <w:rPr>
                <w:b/>
                <w:sz w:val="21"/>
              </w:rPr>
              <w:t>您的义务和权利</w:t>
            </w:r>
          </w:p>
        </w:tc>
      </w:tr>
      <w:tr>
        <w:trPr>
          <w:trHeight w:val="779" w:hRule="atLeast"/>
        </w:trPr>
        <w:tc>
          <w:tcPr>
            <w:tcW w:w="600" w:type="dxa"/>
          </w:tcPr>
          <w:p>
            <w:pPr>
              <w:pStyle w:val="TableParagraph"/>
              <w:spacing w:before="150"/>
              <w:ind w:left="108"/>
              <w:rPr>
                <w:rFonts w:ascii="Times New Roman"/>
                <w:b/>
                <w:sz w:val="21"/>
              </w:rPr>
            </w:pPr>
            <w:r>
              <w:rPr>
                <w:rFonts w:ascii="Times New Roman"/>
                <w:b/>
                <w:sz w:val="21"/>
              </w:rPr>
              <w:t>3.1</w:t>
            </w:r>
          </w:p>
        </w:tc>
        <w:tc>
          <w:tcPr>
            <w:tcW w:w="1190" w:type="dxa"/>
          </w:tcPr>
          <w:p>
            <w:pPr>
              <w:pStyle w:val="TableParagraph"/>
              <w:spacing w:line="261" w:lineRule="auto" w:before="101"/>
              <w:ind w:left="228" w:right="115"/>
              <w:rPr>
                <w:b/>
                <w:sz w:val="21"/>
              </w:rPr>
            </w:pPr>
            <w:r>
              <w:rPr>
                <w:b/>
                <w:sz w:val="21"/>
              </w:rPr>
              <w:t>保险费的交纳</w:t>
            </w:r>
          </w:p>
        </w:tc>
        <w:tc>
          <w:tcPr>
            <w:tcW w:w="7661" w:type="dxa"/>
          </w:tcPr>
          <w:p>
            <w:pPr>
              <w:pStyle w:val="TableParagraph"/>
              <w:spacing w:before="101"/>
              <w:ind w:left="192"/>
              <w:rPr>
                <w:sz w:val="21"/>
              </w:rPr>
            </w:pPr>
            <w:r>
              <w:rPr>
                <w:sz w:val="21"/>
              </w:rPr>
              <w:t>本附加合同保险费的交纳方式与主合同相同。</w:t>
            </w:r>
          </w:p>
        </w:tc>
      </w:tr>
      <w:tr>
        <w:trPr>
          <w:trHeight w:val="1612" w:hRule="atLeast"/>
        </w:trPr>
        <w:tc>
          <w:tcPr>
            <w:tcW w:w="600" w:type="dxa"/>
          </w:tcPr>
          <w:p>
            <w:pPr>
              <w:pStyle w:val="TableParagraph"/>
              <w:spacing w:before="83"/>
              <w:ind w:left="108"/>
              <w:rPr>
                <w:rFonts w:ascii="Times New Roman"/>
                <w:b/>
                <w:sz w:val="21"/>
              </w:rPr>
            </w:pPr>
            <w:r>
              <w:rPr>
                <w:rFonts w:ascii="Times New Roman"/>
                <w:b/>
                <w:sz w:val="21"/>
              </w:rPr>
              <w:t>3.2</w:t>
            </w:r>
          </w:p>
        </w:tc>
        <w:tc>
          <w:tcPr>
            <w:tcW w:w="1190" w:type="dxa"/>
          </w:tcPr>
          <w:p>
            <w:pPr>
              <w:pStyle w:val="TableParagraph"/>
              <w:spacing w:before="33"/>
              <w:ind w:left="228"/>
              <w:rPr>
                <w:b/>
                <w:sz w:val="21"/>
              </w:rPr>
            </w:pPr>
            <w:r>
              <w:rPr>
                <w:b/>
                <w:sz w:val="21"/>
              </w:rPr>
              <w:t>犹豫期</w:t>
            </w:r>
          </w:p>
        </w:tc>
        <w:tc>
          <w:tcPr>
            <w:tcW w:w="7661" w:type="dxa"/>
          </w:tcPr>
          <w:p>
            <w:pPr>
              <w:pStyle w:val="TableParagraph"/>
              <w:spacing w:line="254" w:lineRule="auto" w:before="33"/>
              <w:ind w:left="192" w:right="11" w:hanging="1"/>
              <w:rPr>
                <w:rFonts w:ascii="黑体" w:eastAsia="黑体" w:hint="eastAsia"/>
                <w:sz w:val="21"/>
              </w:rPr>
            </w:pPr>
            <w:r>
              <w:rPr>
                <w:spacing w:val="-7"/>
                <w:sz w:val="21"/>
              </w:rPr>
              <w:t>您于签收本附加合同后 </w:t>
            </w:r>
            <w:r>
              <w:rPr>
                <w:rFonts w:ascii="Times New Roman" w:eastAsia="Times New Roman"/>
                <w:sz w:val="21"/>
              </w:rPr>
              <w:t>15 </w:t>
            </w:r>
            <w:r>
              <w:rPr>
                <w:spacing w:val="-10"/>
                <w:sz w:val="21"/>
              </w:rPr>
              <w:t>日内可要求撤销本附加合同。若您在此期间提出撤销本</w:t>
            </w:r>
            <w:r>
              <w:rPr>
                <w:spacing w:val="-4"/>
                <w:sz w:val="21"/>
              </w:rPr>
              <w:t>附加合同，需要填写书面申请书，并提供您的保险合同及有效身份证件。</w:t>
            </w:r>
            <w:r>
              <w:rPr>
                <w:rFonts w:ascii="黑体" w:eastAsia="黑体" w:hint="eastAsia"/>
                <w:spacing w:val="-3"/>
                <w:sz w:val="21"/>
              </w:rPr>
              <w:t>自您书面申请撤销本附加合同之日起，本附加合同即被撤销，我们自本附加合同</w:t>
            </w:r>
            <w:r>
              <w:rPr>
                <w:rFonts w:ascii="黑体" w:eastAsia="黑体" w:hint="eastAsia"/>
                <w:sz w:val="21"/>
              </w:rPr>
              <w:t>Th效日</w:t>
            </w:r>
            <w:r>
              <w:rPr>
                <w:rFonts w:ascii="黑体" w:eastAsia="黑体" w:hint="eastAsia"/>
                <w:spacing w:val="-3"/>
                <w:sz w:val="21"/>
              </w:rPr>
              <w:t>起即不承担保险责任。</w:t>
            </w:r>
            <w:r>
              <w:rPr>
                <w:spacing w:val="-7"/>
                <w:sz w:val="21"/>
              </w:rPr>
              <w:t>本附加合同撤销后 </w:t>
            </w:r>
            <w:r>
              <w:rPr>
                <w:rFonts w:ascii="Times New Roman" w:eastAsia="Times New Roman"/>
                <w:sz w:val="21"/>
              </w:rPr>
              <w:t>30 </w:t>
            </w:r>
            <w:r>
              <w:rPr>
                <w:spacing w:val="-3"/>
                <w:sz w:val="21"/>
              </w:rPr>
              <w:t>日内，我们无息退还您已交保险费。</w:t>
            </w:r>
            <w:r>
              <w:rPr>
                <w:rFonts w:ascii="黑体" w:eastAsia="黑体" w:hint="eastAsia"/>
                <w:spacing w:val="-3"/>
                <w:sz w:val="21"/>
              </w:rPr>
              <w:t>您申请撤销本附加合同时须同时申请撤销主合同。</w:t>
            </w:r>
          </w:p>
        </w:tc>
      </w:tr>
      <w:tr>
        <w:trPr>
          <w:trHeight w:val="2512" w:hRule="atLeast"/>
        </w:trPr>
        <w:tc>
          <w:tcPr>
            <w:tcW w:w="600" w:type="dxa"/>
          </w:tcPr>
          <w:p>
            <w:pPr>
              <w:pStyle w:val="TableParagraph"/>
              <w:spacing w:before="83"/>
              <w:ind w:left="108"/>
              <w:rPr>
                <w:rFonts w:ascii="Times New Roman"/>
                <w:b/>
                <w:sz w:val="21"/>
              </w:rPr>
            </w:pPr>
            <w:r>
              <w:rPr>
                <w:rFonts w:ascii="Times New Roman"/>
                <w:b/>
                <w:sz w:val="21"/>
              </w:rPr>
              <w:t>3.3</w:t>
            </w:r>
          </w:p>
        </w:tc>
        <w:tc>
          <w:tcPr>
            <w:tcW w:w="1190" w:type="dxa"/>
          </w:tcPr>
          <w:p>
            <w:pPr>
              <w:pStyle w:val="TableParagraph"/>
              <w:spacing w:line="261" w:lineRule="auto" w:before="34"/>
              <w:ind w:left="228" w:right="115"/>
              <w:jc w:val="both"/>
              <w:rPr>
                <w:b/>
                <w:sz w:val="21"/>
              </w:rPr>
            </w:pPr>
            <w:r>
              <w:rPr>
                <w:b/>
                <w:sz w:val="21"/>
              </w:rPr>
              <w:t>您解除合同的手续及风险</w:t>
            </w:r>
          </w:p>
        </w:tc>
        <w:tc>
          <w:tcPr>
            <w:tcW w:w="7661" w:type="dxa"/>
          </w:tcPr>
          <w:p>
            <w:pPr>
              <w:pStyle w:val="TableParagraph"/>
              <w:spacing w:line="261" w:lineRule="auto" w:before="34"/>
              <w:ind w:left="192" w:right="102" w:hanging="1"/>
              <w:rPr>
                <w:sz w:val="21"/>
              </w:rPr>
            </w:pPr>
            <w:r>
              <w:rPr>
                <w:sz w:val="21"/>
              </w:rPr>
              <w:t>若您在犹豫期后申请解除本附加合同，请填写解除合同申请书并向我们提供下列资料：</w:t>
            </w:r>
          </w:p>
          <w:p>
            <w:pPr>
              <w:pStyle w:val="TableParagraph"/>
              <w:spacing w:before="6"/>
              <w:ind w:left="192"/>
              <w:rPr>
                <w:sz w:val="21"/>
              </w:rPr>
            </w:pPr>
            <w:r>
              <w:rPr>
                <w:sz w:val="21"/>
              </w:rPr>
              <w:t>（</w:t>
            </w:r>
            <w:r>
              <w:rPr>
                <w:rFonts w:ascii="Times New Roman" w:eastAsia="Times New Roman"/>
                <w:sz w:val="21"/>
              </w:rPr>
              <w:t>1</w:t>
            </w:r>
            <w:r>
              <w:rPr>
                <w:sz w:val="21"/>
              </w:rPr>
              <w:t>）保险合同；</w:t>
            </w:r>
          </w:p>
          <w:p>
            <w:pPr>
              <w:pStyle w:val="TableParagraph"/>
              <w:spacing w:before="9"/>
              <w:ind w:left="192"/>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192" w:right="102"/>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1" w:lineRule="auto"/>
              <w:ind w:left="192" w:right="2840"/>
              <w:rPr>
                <w:rFonts w:ascii="黑体" w:eastAsia="黑体" w:hint="eastAsia"/>
                <w:sz w:val="21"/>
              </w:rPr>
            </w:pPr>
            <w:r>
              <w:rPr>
                <w:rFonts w:ascii="黑体" w:eastAsia="黑体" w:hint="eastAsia"/>
                <w:sz w:val="21"/>
              </w:rPr>
              <w:t>您申请解除本附加合同时须同时申请解除主合同。您犹豫期后解除本附加合同会遭受一定损失。</w:t>
            </w:r>
          </w:p>
        </w:tc>
      </w:tr>
      <w:tr>
        <w:trPr>
          <w:trHeight w:val="1058" w:hRule="atLeast"/>
        </w:trPr>
        <w:tc>
          <w:tcPr>
            <w:tcW w:w="600" w:type="dxa"/>
          </w:tcPr>
          <w:p>
            <w:pPr>
              <w:pStyle w:val="TableParagraph"/>
              <w:spacing w:before="83"/>
              <w:ind w:left="108"/>
              <w:rPr>
                <w:rFonts w:ascii="Times New Roman"/>
                <w:b/>
                <w:sz w:val="21"/>
              </w:rPr>
            </w:pPr>
            <w:r>
              <w:rPr>
                <w:rFonts w:ascii="Times New Roman"/>
                <w:b/>
                <w:sz w:val="21"/>
              </w:rPr>
              <w:t>3.4</w:t>
            </w:r>
          </w:p>
        </w:tc>
        <w:tc>
          <w:tcPr>
            <w:tcW w:w="1190" w:type="dxa"/>
          </w:tcPr>
          <w:p>
            <w:pPr>
              <w:pStyle w:val="TableParagraph"/>
              <w:spacing w:before="34"/>
              <w:ind w:left="228"/>
              <w:rPr>
                <w:b/>
                <w:sz w:val="21"/>
              </w:rPr>
            </w:pPr>
            <w:r>
              <w:rPr>
                <w:b/>
                <w:sz w:val="21"/>
              </w:rPr>
              <w:t>效力终止</w:t>
            </w:r>
          </w:p>
        </w:tc>
        <w:tc>
          <w:tcPr>
            <w:tcW w:w="7661" w:type="dxa"/>
          </w:tcPr>
          <w:p>
            <w:pPr>
              <w:pStyle w:val="TableParagraph"/>
              <w:spacing w:before="34"/>
              <w:ind w:left="192"/>
              <w:rPr>
                <w:sz w:val="21"/>
              </w:rPr>
            </w:pPr>
            <w:r>
              <w:rPr>
                <w:sz w:val="21"/>
              </w:rPr>
              <w:t>当发生下列情形之一时，本附加合同效力自动终止：</w:t>
            </w:r>
          </w:p>
          <w:p>
            <w:pPr>
              <w:pStyle w:val="TableParagraph"/>
              <w:spacing w:before="25"/>
              <w:ind w:left="192"/>
              <w:rPr>
                <w:sz w:val="21"/>
              </w:rPr>
            </w:pPr>
            <w:r>
              <w:rPr>
                <w:sz w:val="21"/>
              </w:rPr>
              <w:t>（</w:t>
            </w:r>
            <w:r>
              <w:rPr>
                <w:rFonts w:ascii="Times New Roman" w:eastAsia="Times New Roman"/>
                <w:sz w:val="21"/>
              </w:rPr>
              <w:t>1</w:t>
            </w:r>
            <w:r>
              <w:rPr>
                <w:sz w:val="21"/>
              </w:rPr>
              <w:t>）主合同效力终止；</w:t>
            </w:r>
          </w:p>
          <w:p>
            <w:pPr>
              <w:pStyle w:val="TableParagraph"/>
              <w:spacing w:before="9"/>
              <w:ind w:left="192"/>
              <w:rPr>
                <w:sz w:val="21"/>
              </w:rPr>
            </w:pPr>
            <w:r>
              <w:rPr>
                <w:sz w:val="21"/>
              </w:rPr>
              <w:t>（</w:t>
            </w:r>
            <w:r>
              <w:rPr>
                <w:rFonts w:ascii="Times New Roman" w:eastAsia="Times New Roman"/>
                <w:sz w:val="21"/>
              </w:rPr>
              <w:t>2</w:t>
            </w:r>
            <w:r>
              <w:rPr>
                <w:sz w:val="21"/>
              </w:rPr>
              <w:t>）因本附加合同条款所列其他情况而终止。</w:t>
            </w:r>
          </w:p>
        </w:tc>
      </w:tr>
      <w:tr>
        <w:trPr>
          <w:trHeight w:val="302" w:hRule="atLeast"/>
        </w:trPr>
        <w:tc>
          <w:tcPr>
            <w:tcW w:w="600" w:type="dxa"/>
            <w:shd w:val="clear" w:color="auto" w:fill="E1E1E1"/>
          </w:tcPr>
          <w:p>
            <w:pPr>
              <w:pStyle w:val="TableParagraph"/>
              <w:spacing w:before="39"/>
              <w:ind w:left="108"/>
              <w:rPr>
                <w:rFonts w:ascii="Times New Roman"/>
                <w:b/>
                <w:sz w:val="21"/>
              </w:rPr>
            </w:pPr>
            <w:r>
              <w:rPr>
                <w:rFonts w:ascii="Times New Roman"/>
                <w:b/>
                <w:w w:val="100"/>
                <w:sz w:val="21"/>
              </w:rPr>
              <w:t>4</w:t>
            </w:r>
          </w:p>
        </w:tc>
        <w:tc>
          <w:tcPr>
            <w:tcW w:w="8851" w:type="dxa"/>
            <w:gridSpan w:val="2"/>
            <w:shd w:val="clear" w:color="auto" w:fill="E1E1E1"/>
          </w:tcPr>
          <w:p>
            <w:pPr>
              <w:pStyle w:val="TableParagraph"/>
              <w:spacing w:line="265" w:lineRule="exact"/>
              <w:ind w:left="228"/>
              <w:rPr>
                <w:b/>
                <w:sz w:val="21"/>
              </w:rPr>
            </w:pPr>
            <w:r>
              <w:rPr>
                <w:b/>
                <w:sz w:val="21"/>
              </w:rPr>
              <w:t>如何申请领取保险金</w:t>
            </w:r>
          </w:p>
        </w:tc>
      </w:tr>
      <w:tr>
        <w:trPr>
          <w:trHeight w:val="3563" w:hRule="atLeast"/>
        </w:trPr>
        <w:tc>
          <w:tcPr>
            <w:tcW w:w="600" w:type="dxa"/>
          </w:tcPr>
          <w:p>
            <w:pPr>
              <w:pStyle w:val="TableParagraph"/>
              <w:spacing w:before="150"/>
              <w:ind w:left="108"/>
              <w:rPr>
                <w:rFonts w:ascii="Times New Roman"/>
                <w:b/>
                <w:sz w:val="21"/>
              </w:rPr>
            </w:pPr>
            <w:r>
              <w:rPr>
                <w:rFonts w:ascii="Times New Roman"/>
                <w:b/>
                <w:sz w:val="21"/>
              </w:rPr>
              <w:t>4.1</w:t>
            </w:r>
          </w:p>
        </w:tc>
        <w:tc>
          <w:tcPr>
            <w:tcW w:w="1190" w:type="dxa"/>
          </w:tcPr>
          <w:p>
            <w:pPr>
              <w:pStyle w:val="TableParagraph"/>
              <w:spacing w:before="101"/>
              <w:ind w:left="228"/>
              <w:rPr>
                <w:b/>
                <w:sz w:val="21"/>
              </w:rPr>
            </w:pPr>
            <w:r>
              <w:rPr>
                <w:b/>
                <w:sz w:val="21"/>
              </w:rPr>
              <w:t>受益人</w:t>
            </w:r>
          </w:p>
        </w:tc>
        <w:tc>
          <w:tcPr>
            <w:tcW w:w="7661" w:type="dxa"/>
          </w:tcPr>
          <w:p>
            <w:pPr>
              <w:pStyle w:val="TableParagraph"/>
              <w:spacing w:line="261" w:lineRule="auto" w:before="101"/>
              <w:ind w:left="117" w:right="189"/>
              <w:rPr>
                <w:sz w:val="21"/>
              </w:rPr>
            </w:pPr>
            <w:r>
              <w:rPr>
                <w:sz w:val="21"/>
              </w:rPr>
              <w:t>除本附加合同另有指定外，重大疾病保险金、特定疾病保险金和意外伤害住院津贴保险金受益人为被保险人本人。</w:t>
            </w:r>
          </w:p>
          <w:p>
            <w:pPr>
              <w:pStyle w:val="TableParagraph"/>
              <w:spacing w:line="274" w:lineRule="exact"/>
              <w:ind w:left="118"/>
              <w:rPr>
                <w:sz w:val="21"/>
              </w:rPr>
            </w:pPr>
            <w:r>
              <w:rPr>
                <w:sz w:val="21"/>
              </w:rPr>
              <w:t>被保险人身故后，有下列情形之一的，保险金作为被保险人的遗产，由我们依照</w:t>
            </w:r>
          </w:p>
          <w:p>
            <w:pPr>
              <w:pStyle w:val="TableParagraph"/>
              <w:spacing w:before="37"/>
              <w:ind w:left="117"/>
              <w:rPr>
                <w:sz w:val="21"/>
              </w:rPr>
            </w:pPr>
            <w:r>
              <w:rPr>
                <w:sz w:val="21"/>
              </w:rPr>
              <w:t>《中华人民共和国继承法》的规定履行给付保险金的义务：</w:t>
            </w:r>
          </w:p>
          <w:p>
            <w:pPr>
              <w:pStyle w:val="TableParagraph"/>
              <w:spacing w:before="37"/>
              <w:ind w:left="117"/>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17"/>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17"/>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17" w:right="105"/>
              <w:rPr>
                <w:sz w:val="21"/>
              </w:rPr>
            </w:pPr>
            <w:r>
              <w:rPr>
                <w:sz w:val="21"/>
              </w:rPr>
              <w:t>受益人与被保险人在同一事件中身故，且不能确定身故顺序的，推定受益人身故在先。</w:t>
            </w:r>
          </w:p>
          <w:p>
            <w:pPr>
              <w:pStyle w:val="TableParagraph"/>
              <w:spacing w:line="261" w:lineRule="auto" w:before="15"/>
              <w:ind w:left="117" w:right="184"/>
              <w:rPr>
                <w:sz w:val="21"/>
              </w:rPr>
            </w:pPr>
            <w:r>
              <w:rPr>
                <w:sz w:val="21"/>
              </w:rPr>
              <w:t>受益人故意造成被保险人身故、伤残、疾病的，或者故意杀害被保险人未遂的， 该受益人丧失受益权。</w:t>
            </w:r>
          </w:p>
        </w:tc>
      </w:tr>
      <w:tr>
        <w:trPr>
          <w:trHeight w:val="717" w:hRule="atLeast"/>
        </w:trPr>
        <w:tc>
          <w:tcPr>
            <w:tcW w:w="600" w:type="dxa"/>
          </w:tcPr>
          <w:p>
            <w:pPr>
              <w:pStyle w:val="TableParagraph"/>
              <w:spacing w:before="83"/>
              <w:ind w:left="108"/>
              <w:rPr>
                <w:rFonts w:ascii="Times New Roman"/>
                <w:b/>
                <w:sz w:val="21"/>
              </w:rPr>
            </w:pPr>
            <w:r>
              <w:rPr>
                <w:rFonts w:ascii="Times New Roman"/>
                <w:b/>
                <w:sz w:val="21"/>
              </w:rPr>
              <w:t>4.2</w:t>
            </w:r>
          </w:p>
        </w:tc>
        <w:tc>
          <w:tcPr>
            <w:tcW w:w="1190" w:type="dxa"/>
          </w:tcPr>
          <w:p>
            <w:pPr>
              <w:pStyle w:val="TableParagraph"/>
              <w:spacing w:line="261" w:lineRule="auto" w:before="34"/>
              <w:ind w:left="228" w:right="115"/>
              <w:rPr>
                <w:b/>
                <w:sz w:val="21"/>
              </w:rPr>
            </w:pPr>
            <w:r>
              <w:rPr>
                <w:b/>
                <w:sz w:val="21"/>
              </w:rPr>
              <w:t>保险金申请</w:t>
            </w:r>
          </w:p>
        </w:tc>
        <w:tc>
          <w:tcPr>
            <w:tcW w:w="7661" w:type="dxa"/>
          </w:tcPr>
          <w:p>
            <w:pPr>
              <w:pStyle w:val="TableParagraph"/>
              <w:spacing w:before="34"/>
              <w:ind w:left="118"/>
              <w:rPr>
                <w:sz w:val="21"/>
              </w:rPr>
            </w:pPr>
            <w:r>
              <w:rPr>
                <w:sz w:val="21"/>
              </w:rPr>
              <w:t>在申请保险金时，请按照下列方式办理：</w:t>
            </w:r>
          </w:p>
        </w:tc>
      </w:tr>
      <w:tr>
        <w:trPr>
          <w:trHeight w:val="1856" w:hRule="atLeast"/>
        </w:trPr>
        <w:tc>
          <w:tcPr>
            <w:tcW w:w="600" w:type="dxa"/>
          </w:tcPr>
          <w:p>
            <w:pPr>
              <w:pStyle w:val="TableParagraph"/>
              <w:ind w:left="0"/>
              <w:rPr>
                <w:rFonts w:ascii="Times New Roman"/>
                <w:sz w:val="20"/>
              </w:rPr>
            </w:pPr>
          </w:p>
        </w:tc>
        <w:tc>
          <w:tcPr>
            <w:tcW w:w="1190" w:type="dxa"/>
          </w:tcPr>
          <w:p>
            <w:pPr>
              <w:pStyle w:val="TableParagraph"/>
              <w:spacing w:line="252" w:lineRule="auto" w:before="39"/>
              <w:ind w:left="228" w:right="117"/>
              <w:jc w:val="both"/>
              <w:rPr>
                <w:rFonts w:ascii="等线" w:eastAsia="等线" w:hint="eastAsia"/>
                <w:b/>
                <w:sz w:val="21"/>
              </w:rPr>
            </w:pPr>
            <w:r>
              <w:rPr>
                <w:rFonts w:ascii="等线" w:eastAsia="等线" w:hint="eastAsia"/>
                <w:b/>
                <w:sz w:val="21"/>
              </w:rPr>
              <w:t>重大疾病保险金、特定疾病保险金申请</w:t>
            </w:r>
          </w:p>
        </w:tc>
        <w:tc>
          <w:tcPr>
            <w:tcW w:w="7661" w:type="dxa"/>
          </w:tcPr>
          <w:p>
            <w:pPr>
              <w:pStyle w:val="TableParagraph"/>
              <w:spacing w:line="261" w:lineRule="auto" w:before="31"/>
              <w:ind w:left="117" w:right="55"/>
              <w:rPr>
                <w:sz w:val="21"/>
              </w:rPr>
            </w:pPr>
            <w:r>
              <w:rPr>
                <w:spacing w:val="-9"/>
                <w:sz w:val="21"/>
              </w:rPr>
              <w:t>在申请重大疾病保险金、特定疾病保险金时，申请人须填写保险金给付申请书，并</w:t>
            </w:r>
            <w:r>
              <w:rPr>
                <w:spacing w:val="-5"/>
                <w:sz w:val="21"/>
              </w:rPr>
              <w:t>提供下列证明和资料：</w:t>
            </w:r>
          </w:p>
          <w:p>
            <w:pPr>
              <w:pStyle w:val="TableParagraph"/>
              <w:spacing w:before="20"/>
              <w:ind w:left="117"/>
              <w:rPr>
                <w:sz w:val="21"/>
              </w:rPr>
            </w:pPr>
            <w:r>
              <w:rPr>
                <w:sz w:val="21"/>
              </w:rPr>
              <w:t>（</w:t>
            </w:r>
            <w:r>
              <w:rPr>
                <w:rFonts w:ascii="Times New Roman" w:eastAsia="Times New Roman"/>
                <w:sz w:val="21"/>
              </w:rPr>
              <w:t>1</w:t>
            </w:r>
            <w:r>
              <w:rPr>
                <w:sz w:val="21"/>
              </w:rPr>
              <w:t>）保险合同；</w:t>
            </w:r>
          </w:p>
          <w:p>
            <w:pPr>
              <w:pStyle w:val="TableParagraph"/>
              <w:spacing w:before="23"/>
              <w:ind w:left="117"/>
              <w:rPr>
                <w:sz w:val="21"/>
              </w:rPr>
            </w:pPr>
            <w:r>
              <w:rPr>
                <w:sz w:val="21"/>
              </w:rPr>
              <w:t>（</w:t>
            </w:r>
            <w:r>
              <w:rPr>
                <w:rFonts w:ascii="Times New Roman" w:eastAsia="Times New Roman"/>
                <w:sz w:val="21"/>
              </w:rPr>
              <w:t>2</w:t>
            </w:r>
            <w:r>
              <w:rPr>
                <w:sz w:val="21"/>
              </w:rPr>
              <w:t>）申请人的有效身份证件；</w:t>
            </w:r>
          </w:p>
          <w:p>
            <w:pPr>
              <w:pStyle w:val="TableParagraph"/>
              <w:spacing w:line="280" w:lineRule="atLeast" w:before="23"/>
              <w:ind w:left="644" w:right="58" w:hanging="526"/>
              <w:rPr>
                <w:sz w:val="21"/>
              </w:rPr>
            </w:pPr>
            <w:r>
              <w:rPr>
                <w:sz w:val="21"/>
              </w:rPr>
              <w:t>（</w:t>
            </w:r>
            <w:r>
              <w:rPr>
                <w:rFonts w:ascii="Times New Roman" w:eastAsia="Times New Roman"/>
                <w:sz w:val="21"/>
              </w:rPr>
              <w:t>3</w:t>
            </w:r>
            <w:r>
              <w:rPr>
                <w:sz w:val="21"/>
              </w:rPr>
              <w:t>）我们认可的医院出具的疾病诊断证明书、病历记录和确诊疾病必要的病理检验、血液检验、影像学检查及其他科学方法的检查报告。我们保留就疾病诊</w:t>
            </w:r>
          </w:p>
        </w:tc>
      </w:tr>
    </w:tbl>
    <w:p>
      <w:pPr>
        <w:spacing w:after="0" w:line="280" w:lineRule="atLeast"/>
        <w:rPr>
          <w:sz w:val="21"/>
        </w:rPr>
        <w:sectPr>
          <w:pgSz w:w="11910" w:h="16840"/>
          <w:pgMar w:top="1480" w:bottom="280" w:left="116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190"/>
        <w:gridCol w:w="7661"/>
      </w:tblGrid>
      <w:tr>
        <w:trPr>
          <w:trHeight w:val="634" w:hRule="atLeast"/>
        </w:trPr>
        <w:tc>
          <w:tcPr>
            <w:tcW w:w="600" w:type="dxa"/>
          </w:tcPr>
          <w:p>
            <w:pPr>
              <w:pStyle w:val="TableParagraph"/>
              <w:ind w:left="0"/>
              <w:rPr>
                <w:rFonts w:ascii="Times New Roman"/>
                <w:sz w:val="20"/>
              </w:rPr>
            </w:pPr>
          </w:p>
        </w:tc>
        <w:tc>
          <w:tcPr>
            <w:tcW w:w="1190" w:type="dxa"/>
          </w:tcPr>
          <w:p>
            <w:pPr>
              <w:pStyle w:val="TableParagraph"/>
              <w:ind w:left="0"/>
              <w:rPr>
                <w:rFonts w:ascii="Times New Roman"/>
                <w:sz w:val="20"/>
              </w:rPr>
            </w:pPr>
          </w:p>
        </w:tc>
        <w:tc>
          <w:tcPr>
            <w:tcW w:w="7661" w:type="dxa"/>
          </w:tcPr>
          <w:p>
            <w:pPr>
              <w:pStyle w:val="TableParagraph"/>
              <w:spacing w:line="211" w:lineRule="exact"/>
              <w:ind w:left="643"/>
              <w:rPr>
                <w:sz w:val="21"/>
              </w:rPr>
            </w:pPr>
            <w:r>
              <w:rPr>
                <w:sz w:val="21"/>
              </w:rPr>
              <w:t>断咨询其他医疗专家的权利；</w:t>
            </w:r>
          </w:p>
          <w:p>
            <w:pPr>
              <w:pStyle w:val="TableParagraph"/>
              <w:spacing w:before="39"/>
              <w:ind w:left="11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2212" w:hRule="atLeast"/>
        </w:trPr>
        <w:tc>
          <w:tcPr>
            <w:tcW w:w="600" w:type="dxa"/>
          </w:tcPr>
          <w:p>
            <w:pPr>
              <w:pStyle w:val="TableParagraph"/>
              <w:ind w:left="0"/>
              <w:rPr>
                <w:rFonts w:ascii="Times New Roman"/>
                <w:sz w:val="20"/>
              </w:rPr>
            </w:pPr>
          </w:p>
        </w:tc>
        <w:tc>
          <w:tcPr>
            <w:tcW w:w="1190" w:type="dxa"/>
          </w:tcPr>
          <w:p>
            <w:pPr>
              <w:pStyle w:val="TableParagraph"/>
              <w:spacing w:line="252" w:lineRule="auto" w:before="36"/>
              <w:ind w:left="228" w:right="117"/>
              <w:jc w:val="both"/>
              <w:rPr>
                <w:rFonts w:ascii="等线" w:eastAsia="等线" w:hint="eastAsia"/>
                <w:b/>
                <w:sz w:val="21"/>
              </w:rPr>
            </w:pPr>
            <w:r>
              <w:rPr>
                <w:rFonts w:ascii="等线" w:eastAsia="等线" w:hint="eastAsia"/>
                <w:b/>
                <w:sz w:val="21"/>
              </w:rPr>
              <w:t>意外伤害住院津贴保险金申请</w:t>
            </w:r>
          </w:p>
        </w:tc>
        <w:tc>
          <w:tcPr>
            <w:tcW w:w="7661" w:type="dxa"/>
          </w:tcPr>
          <w:p>
            <w:pPr>
              <w:pStyle w:val="TableParagraph"/>
              <w:spacing w:line="261" w:lineRule="auto" w:before="29"/>
              <w:ind w:left="118" w:right="104"/>
              <w:rPr>
                <w:sz w:val="21"/>
              </w:rPr>
            </w:pPr>
            <w:r>
              <w:rPr>
                <w:sz w:val="21"/>
              </w:rPr>
              <w:t>在申请意外伤害住院津贴保险金时，申请人须填写保险金给付申请书，并提供下列证明和资料：</w:t>
            </w:r>
          </w:p>
          <w:p>
            <w:pPr>
              <w:pStyle w:val="TableParagraph"/>
              <w:spacing w:before="6"/>
              <w:ind w:left="117"/>
              <w:rPr>
                <w:sz w:val="21"/>
              </w:rPr>
            </w:pPr>
            <w:r>
              <w:rPr>
                <w:sz w:val="21"/>
              </w:rPr>
              <w:t>（</w:t>
            </w:r>
            <w:r>
              <w:rPr>
                <w:rFonts w:ascii="Times New Roman" w:eastAsia="Times New Roman"/>
                <w:sz w:val="21"/>
              </w:rPr>
              <w:t>1</w:t>
            </w:r>
            <w:r>
              <w:rPr>
                <w:sz w:val="21"/>
              </w:rPr>
              <w:t>）保险合同；</w:t>
            </w:r>
          </w:p>
          <w:p>
            <w:pPr>
              <w:pStyle w:val="TableParagraph"/>
              <w:spacing w:before="9"/>
              <w:ind w:left="118"/>
              <w:rPr>
                <w:sz w:val="21"/>
              </w:rPr>
            </w:pPr>
            <w:r>
              <w:rPr>
                <w:sz w:val="21"/>
              </w:rPr>
              <w:t>（</w:t>
            </w:r>
            <w:r>
              <w:rPr>
                <w:rFonts w:ascii="Times New Roman" w:eastAsia="Times New Roman"/>
                <w:sz w:val="21"/>
              </w:rPr>
              <w:t>2</w:t>
            </w:r>
            <w:r>
              <w:rPr>
                <w:sz w:val="21"/>
              </w:rPr>
              <w:t>）申请人的有效身份证件；</w:t>
            </w:r>
          </w:p>
          <w:p>
            <w:pPr>
              <w:pStyle w:val="TableParagraph"/>
              <w:spacing w:line="247" w:lineRule="auto" w:before="9"/>
              <w:ind w:left="634" w:right="71" w:hanging="517"/>
              <w:rPr>
                <w:sz w:val="21"/>
              </w:rPr>
            </w:pPr>
            <w:r>
              <w:rPr>
                <w:sz w:val="21"/>
              </w:rPr>
              <w:t>（</w:t>
            </w:r>
            <w:r>
              <w:rPr>
                <w:rFonts w:ascii="Times New Roman" w:eastAsia="Times New Roman"/>
                <w:sz w:val="21"/>
              </w:rPr>
              <w:t>3</w:t>
            </w:r>
            <w:r>
              <w:rPr>
                <w:sz w:val="21"/>
              </w:rPr>
              <w:t>）我们认可的医院出具的诊断证明书、门诊或急诊病历、出院小结、医疗费用清单和结算明细表、医疗费用原始收据；</w:t>
            </w:r>
          </w:p>
          <w:p>
            <w:pPr>
              <w:pStyle w:val="TableParagraph"/>
              <w:spacing w:before="18"/>
              <w:ind w:left="11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2212" w:hRule="atLeast"/>
        </w:trPr>
        <w:tc>
          <w:tcPr>
            <w:tcW w:w="600" w:type="dxa"/>
          </w:tcPr>
          <w:p>
            <w:pPr>
              <w:pStyle w:val="TableParagraph"/>
              <w:ind w:left="0"/>
              <w:rPr>
                <w:rFonts w:ascii="Times New Roman"/>
                <w:sz w:val="20"/>
              </w:rPr>
            </w:pPr>
          </w:p>
        </w:tc>
        <w:tc>
          <w:tcPr>
            <w:tcW w:w="1190" w:type="dxa"/>
          </w:tcPr>
          <w:p>
            <w:pPr>
              <w:pStyle w:val="TableParagraph"/>
              <w:spacing w:line="252" w:lineRule="auto" w:before="37"/>
              <w:ind w:left="228" w:right="117"/>
              <w:jc w:val="both"/>
              <w:rPr>
                <w:rFonts w:ascii="等线" w:eastAsia="等线" w:hint="eastAsia"/>
                <w:b/>
                <w:sz w:val="21"/>
              </w:rPr>
            </w:pPr>
            <w:r>
              <w:rPr>
                <w:rFonts w:ascii="等线" w:eastAsia="等线" w:hint="eastAsia"/>
                <w:b/>
                <w:sz w:val="21"/>
              </w:rPr>
              <w:t>投保人意外身故豁免保险费申请</w:t>
            </w:r>
          </w:p>
        </w:tc>
        <w:tc>
          <w:tcPr>
            <w:tcW w:w="7661" w:type="dxa"/>
          </w:tcPr>
          <w:p>
            <w:pPr>
              <w:pStyle w:val="TableParagraph"/>
              <w:spacing w:line="261" w:lineRule="auto" w:before="29"/>
              <w:ind w:left="118" w:right="55" w:hanging="1"/>
              <w:rPr>
                <w:sz w:val="21"/>
              </w:rPr>
            </w:pPr>
            <w:r>
              <w:rPr>
                <w:spacing w:val="-8"/>
                <w:sz w:val="21"/>
              </w:rPr>
              <w:t>在申请投保人意外身故豁免保险费时，申请人须填写豁免保险费申请书，并提供下</w:t>
            </w:r>
            <w:r>
              <w:rPr>
                <w:spacing w:val="-5"/>
                <w:sz w:val="21"/>
              </w:rPr>
              <w:t>列证明和资料：</w:t>
            </w:r>
          </w:p>
          <w:p>
            <w:pPr>
              <w:pStyle w:val="TableParagraph"/>
              <w:spacing w:before="6"/>
              <w:ind w:left="118"/>
              <w:rPr>
                <w:sz w:val="21"/>
              </w:rPr>
            </w:pPr>
            <w:r>
              <w:rPr>
                <w:sz w:val="21"/>
              </w:rPr>
              <w:t>（</w:t>
            </w:r>
            <w:r>
              <w:rPr>
                <w:rFonts w:ascii="Times New Roman" w:eastAsia="Times New Roman"/>
                <w:sz w:val="21"/>
              </w:rPr>
              <w:t>1</w:t>
            </w:r>
            <w:r>
              <w:rPr>
                <w:sz w:val="21"/>
              </w:rPr>
              <w:t>）保险合同；</w:t>
            </w:r>
          </w:p>
          <w:p>
            <w:pPr>
              <w:pStyle w:val="TableParagraph"/>
              <w:spacing w:before="9"/>
              <w:ind w:left="118"/>
              <w:rPr>
                <w:sz w:val="21"/>
              </w:rPr>
            </w:pPr>
            <w:r>
              <w:rPr>
                <w:sz w:val="21"/>
              </w:rPr>
              <w:t>（</w:t>
            </w:r>
            <w:r>
              <w:rPr>
                <w:rFonts w:ascii="Times New Roman" w:eastAsia="Times New Roman"/>
                <w:sz w:val="21"/>
              </w:rPr>
              <w:t>2</w:t>
            </w:r>
            <w:r>
              <w:rPr>
                <w:sz w:val="21"/>
              </w:rPr>
              <w:t>）申请人的有效身份证件；</w:t>
            </w:r>
          </w:p>
          <w:p>
            <w:pPr>
              <w:pStyle w:val="TableParagraph"/>
              <w:spacing w:line="247" w:lineRule="auto" w:before="9"/>
              <w:ind w:left="656" w:right="61" w:hanging="538"/>
              <w:rPr>
                <w:sz w:val="21"/>
              </w:rPr>
            </w:pPr>
            <w:r>
              <w:rPr>
                <w:sz w:val="21"/>
              </w:rPr>
              <w:t>（</w:t>
            </w:r>
            <w:r>
              <w:rPr>
                <w:rFonts w:ascii="Times New Roman" w:eastAsia="Times New Roman"/>
                <w:sz w:val="21"/>
              </w:rPr>
              <w:t>3</w:t>
            </w:r>
            <w:r>
              <w:rPr>
                <w:sz w:val="21"/>
              </w:rPr>
              <w:t>）国家卫生行政部门认定的医疗机构、公安部门或其他相关机构出具的投保人的死亡证明；</w:t>
            </w:r>
          </w:p>
          <w:p>
            <w:pPr>
              <w:pStyle w:val="TableParagraph"/>
              <w:spacing w:before="19"/>
              <w:ind w:left="11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914" w:hRule="atLeast"/>
        </w:trPr>
        <w:tc>
          <w:tcPr>
            <w:tcW w:w="600" w:type="dxa"/>
          </w:tcPr>
          <w:p>
            <w:pPr>
              <w:pStyle w:val="TableParagraph"/>
              <w:ind w:left="0"/>
              <w:rPr>
                <w:rFonts w:ascii="Times New Roman"/>
                <w:sz w:val="20"/>
              </w:rPr>
            </w:pPr>
          </w:p>
        </w:tc>
        <w:tc>
          <w:tcPr>
            <w:tcW w:w="1190" w:type="dxa"/>
          </w:tcPr>
          <w:p>
            <w:pPr>
              <w:pStyle w:val="TableParagraph"/>
              <w:spacing w:line="252" w:lineRule="auto" w:before="37"/>
              <w:ind w:left="228" w:right="117"/>
              <w:jc w:val="both"/>
              <w:rPr>
                <w:rFonts w:ascii="等线" w:eastAsia="等线" w:hint="eastAsia"/>
                <w:b/>
                <w:sz w:val="21"/>
              </w:rPr>
            </w:pPr>
            <w:r>
              <w:rPr>
                <w:rFonts w:ascii="等线" w:eastAsia="等线" w:hint="eastAsia"/>
                <w:b/>
                <w:sz w:val="21"/>
              </w:rPr>
              <w:t>投保人意外全残豁免保险费申请</w:t>
            </w:r>
          </w:p>
        </w:tc>
        <w:tc>
          <w:tcPr>
            <w:tcW w:w="7661" w:type="dxa"/>
          </w:tcPr>
          <w:p>
            <w:pPr>
              <w:pStyle w:val="TableParagraph"/>
              <w:spacing w:line="261" w:lineRule="auto" w:before="29"/>
              <w:ind w:left="117" w:right="104"/>
              <w:rPr>
                <w:sz w:val="21"/>
              </w:rPr>
            </w:pPr>
            <w:r>
              <w:rPr>
                <w:sz w:val="21"/>
              </w:rPr>
              <w:t>在申请投保人意外全残豁免保险费时，申请人须填写豁免保险费申请书，并提供下列证明和资料：</w:t>
            </w:r>
          </w:p>
          <w:p>
            <w:pPr>
              <w:pStyle w:val="TableParagraph"/>
              <w:spacing w:before="6"/>
              <w:ind w:left="117"/>
              <w:rPr>
                <w:sz w:val="21"/>
              </w:rPr>
            </w:pPr>
            <w:r>
              <w:rPr>
                <w:sz w:val="21"/>
              </w:rPr>
              <w:t>（</w:t>
            </w:r>
            <w:r>
              <w:rPr>
                <w:rFonts w:ascii="Times New Roman" w:eastAsia="Times New Roman"/>
                <w:sz w:val="21"/>
              </w:rPr>
              <w:t>1</w:t>
            </w:r>
            <w:r>
              <w:rPr>
                <w:sz w:val="21"/>
              </w:rPr>
              <w:t>）保险合同；</w:t>
            </w:r>
          </w:p>
          <w:p>
            <w:pPr>
              <w:pStyle w:val="TableParagraph"/>
              <w:spacing w:before="9"/>
              <w:ind w:left="117"/>
              <w:rPr>
                <w:sz w:val="21"/>
              </w:rPr>
            </w:pPr>
            <w:r>
              <w:rPr>
                <w:sz w:val="21"/>
              </w:rPr>
              <w:t>（</w:t>
            </w:r>
            <w:r>
              <w:rPr>
                <w:rFonts w:ascii="Times New Roman" w:eastAsia="Times New Roman"/>
                <w:sz w:val="21"/>
              </w:rPr>
              <w:t>2</w:t>
            </w:r>
            <w:r>
              <w:rPr>
                <w:sz w:val="21"/>
              </w:rPr>
              <w:t>）申请人的有效身份证件；</w:t>
            </w:r>
          </w:p>
          <w:p>
            <w:pPr>
              <w:pStyle w:val="TableParagraph"/>
              <w:spacing w:before="9"/>
              <w:ind w:left="118"/>
              <w:rPr>
                <w:sz w:val="21"/>
              </w:rPr>
            </w:pPr>
            <w:r>
              <w:rPr>
                <w:sz w:val="21"/>
              </w:rPr>
              <w:t>（</w:t>
            </w:r>
            <w:r>
              <w:rPr>
                <w:rFonts w:ascii="Times New Roman" w:eastAsia="Times New Roman"/>
                <w:sz w:val="21"/>
              </w:rPr>
              <w:t>3</w:t>
            </w:r>
            <w:r>
              <w:rPr>
                <w:sz w:val="21"/>
              </w:rPr>
              <w:t>）我们认可的医院出具的投保人残疾程度鉴定书；</w:t>
            </w:r>
          </w:p>
          <w:p>
            <w:pPr>
              <w:pStyle w:val="TableParagraph"/>
              <w:spacing w:before="9"/>
              <w:ind w:left="118"/>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02" w:hRule="atLeast"/>
        </w:trPr>
        <w:tc>
          <w:tcPr>
            <w:tcW w:w="600" w:type="dxa"/>
          </w:tcPr>
          <w:p>
            <w:pPr>
              <w:pStyle w:val="TableParagraph"/>
              <w:ind w:left="0"/>
              <w:rPr>
                <w:rFonts w:ascii="Times New Roman"/>
                <w:sz w:val="20"/>
              </w:rPr>
            </w:pPr>
          </w:p>
        </w:tc>
        <w:tc>
          <w:tcPr>
            <w:tcW w:w="1190" w:type="dxa"/>
          </w:tcPr>
          <w:p>
            <w:pPr>
              <w:pStyle w:val="TableParagraph"/>
              <w:ind w:left="0"/>
              <w:rPr>
                <w:rFonts w:ascii="Times New Roman"/>
                <w:sz w:val="20"/>
              </w:rPr>
            </w:pPr>
          </w:p>
        </w:tc>
        <w:tc>
          <w:tcPr>
            <w:tcW w:w="7661" w:type="dxa"/>
          </w:tcPr>
          <w:p>
            <w:pPr>
              <w:pStyle w:val="TableParagraph"/>
              <w:spacing w:before="30"/>
              <w:ind w:left="118"/>
              <w:rPr>
                <w:sz w:val="21"/>
              </w:rPr>
            </w:pPr>
            <w:r>
              <w:rPr>
                <w:sz w:val="21"/>
              </w:rPr>
              <w:t>保险金作为被保险人遗产时，必须提供可证明合法继承权的相关权利文件。</w:t>
            </w:r>
          </w:p>
          <w:p>
            <w:pPr>
              <w:pStyle w:val="TableParagraph"/>
              <w:spacing w:line="261" w:lineRule="auto" w:before="24"/>
              <w:ind w:left="117" w:right="59"/>
              <w:rPr>
                <w:sz w:val="21"/>
              </w:rPr>
            </w:pPr>
            <w:r>
              <w:rPr>
                <w:sz w:val="21"/>
              </w:rPr>
              <w:t>以上证明和资料不完整的，我们将及时一次性通知申请人补充提供有关证明和资料。</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4.3</w:t>
            </w:r>
          </w:p>
        </w:tc>
        <w:tc>
          <w:tcPr>
            <w:tcW w:w="1190" w:type="dxa"/>
          </w:tcPr>
          <w:p>
            <w:pPr>
              <w:pStyle w:val="TableParagraph"/>
              <w:spacing w:before="40"/>
              <w:ind w:left="228"/>
              <w:rPr>
                <w:b/>
                <w:sz w:val="21"/>
              </w:rPr>
            </w:pPr>
            <w:r>
              <w:rPr>
                <w:b/>
                <w:sz w:val="21"/>
              </w:rPr>
              <w:t>诉讼时效</w:t>
            </w:r>
          </w:p>
        </w:tc>
        <w:tc>
          <w:tcPr>
            <w:tcW w:w="7661" w:type="dxa"/>
          </w:tcPr>
          <w:p>
            <w:pPr>
              <w:pStyle w:val="TableParagraph"/>
              <w:spacing w:line="247" w:lineRule="auto" w:before="40"/>
              <w:ind w:left="118" w:right="122" w:hanging="1"/>
              <w:rPr>
                <w:sz w:val="21"/>
              </w:rPr>
            </w:pPr>
            <w:r>
              <w:rPr>
                <w:sz w:val="21"/>
              </w:rPr>
              <w:t>受益人向我们请求给付保险金的诉讼时效期间为 </w:t>
            </w:r>
            <w:r>
              <w:rPr>
                <w:rFonts w:ascii="Times New Roman" w:eastAsia="Times New Roman"/>
                <w:sz w:val="21"/>
              </w:rPr>
              <w:t>2 </w:t>
            </w:r>
            <w:r>
              <w:rPr>
                <w:sz w:val="21"/>
              </w:rPr>
              <w:t>年，自其知道或应当知道保险事故发生之日起计算。</w:t>
            </w:r>
          </w:p>
        </w:tc>
      </w:tr>
      <w:tr>
        <w:trPr>
          <w:trHeight w:val="300" w:hRule="atLeast"/>
        </w:trPr>
        <w:tc>
          <w:tcPr>
            <w:tcW w:w="600" w:type="dxa"/>
            <w:shd w:val="clear" w:color="auto" w:fill="E1E1E1"/>
          </w:tcPr>
          <w:p>
            <w:pPr>
              <w:pStyle w:val="TableParagraph"/>
              <w:spacing w:line="236" w:lineRule="exact" w:before="44"/>
              <w:ind w:left="108"/>
              <w:rPr>
                <w:rFonts w:ascii="Times New Roman"/>
                <w:b/>
                <w:sz w:val="21"/>
              </w:rPr>
            </w:pPr>
            <w:r>
              <w:rPr>
                <w:rFonts w:ascii="Times New Roman"/>
                <w:b/>
                <w:w w:val="100"/>
                <w:sz w:val="21"/>
              </w:rPr>
              <w:t>5</w:t>
            </w:r>
          </w:p>
        </w:tc>
        <w:tc>
          <w:tcPr>
            <w:tcW w:w="8851" w:type="dxa"/>
            <w:gridSpan w:val="2"/>
            <w:shd w:val="clear" w:color="auto" w:fill="E1E1E1"/>
          </w:tcPr>
          <w:p>
            <w:pPr>
              <w:pStyle w:val="TableParagraph"/>
              <w:spacing w:line="270" w:lineRule="exact"/>
              <w:ind w:left="228"/>
              <w:rPr>
                <w:b/>
                <w:sz w:val="21"/>
              </w:rPr>
            </w:pPr>
            <w:r>
              <w:rPr>
                <w:b/>
                <w:sz w:val="21"/>
              </w:rPr>
              <w:t>您需要了解的重要术语</w:t>
            </w:r>
          </w:p>
        </w:tc>
      </w:tr>
      <w:tr>
        <w:trPr>
          <w:trHeight w:val="487" w:hRule="atLeast"/>
        </w:trPr>
        <w:tc>
          <w:tcPr>
            <w:tcW w:w="600" w:type="dxa"/>
          </w:tcPr>
          <w:p>
            <w:pPr>
              <w:pStyle w:val="TableParagraph"/>
              <w:spacing w:before="156"/>
              <w:ind w:left="108"/>
              <w:rPr>
                <w:rFonts w:ascii="Times New Roman"/>
                <w:b/>
                <w:sz w:val="21"/>
              </w:rPr>
            </w:pPr>
            <w:r>
              <w:rPr>
                <w:rFonts w:ascii="Times New Roman"/>
                <w:b/>
                <w:sz w:val="21"/>
              </w:rPr>
              <w:t>5.1</w:t>
            </w:r>
          </w:p>
        </w:tc>
        <w:tc>
          <w:tcPr>
            <w:tcW w:w="1190" w:type="dxa"/>
          </w:tcPr>
          <w:p>
            <w:pPr>
              <w:pStyle w:val="TableParagraph"/>
              <w:spacing w:before="107"/>
              <w:ind w:left="228"/>
              <w:rPr>
                <w:b/>
                <w:sz w:val="21"/>
              </w:rPr>
            </w:pPr>
            <w:r>
              <w:rPr>
                <w:b/>
                <w:sz w:val="21"/>
              </w:rPr>
              <w:t>意外伤害</w:t>
            </w:r>
          </w:p>
        </w:tc>
        <w:tc>
          <w:tcPr>
            <w:tcW w:w="7661" w:type="dxa"/>
          </w:tcPr>
          <w:p>
            <w:pPr>
              <w:pStyle w:val="TableParagraph"/>
              <w:spacing w:before="107"/>
              <w:ind w:left="192"/>
              <w:rPr>
                <w:sz w:val="21"/>
              </w:rPr>
            </w:pPr>
            <w:r>
              <w:rPr>
                <w:sz w:val="21"/>
              </w:rPr>
              <w:t>指外来的、突发的、非本意的、非疾病的使身体受到伤害的客观事件。</w:t>
            </w:r>
          </w:p>
        </w:tc>
      </w:tr>
      <w:tr>
        <w:trPr>
          <w:trHeight w:val="704" w:hRule="atLeast"/>
        </w:trPr>
        <w:tc>
          <w:tcPr>
            <w:tcW w:w="600" w:type="dxa"/>
          </w:tcPr>
          <w:p>
            <w:pPr>
              <w:pStyle w:val="TableParagraph"/>
              <w:spacing w:before="81"/>
              <w:ind w:left="108"/>
              <w:rPr>
                <w:rFonts w:ascii="Times New Roman"/>
                <w:b/>
                <w:sz w:val="21"/>
              </w:rPr>
            </w:pPr>
            <w:r>
              <w:rPr>
                <w:rFonts w:ascii="Times New Roman"/>
                <w:b/>
                <w:sz w:val="21"/>
              </w:rPr>
              <w:t>5.2</w:t>
            </w:r>
          </w:p>
        </w:tc>
        <w:tc>
          <w:tcPr>
            <w:tcW w:w="1190" w:type="dxa"/>
          </w:tcPr>
          <w:p>
            <w:pPr>
              <w:pStyle w:val="TableParagraph"/>
              <w:spacing w:before="32"/>
              <w:ind w:left="228"/>
              <w:rPr>
                <w:b/>
                <w:sz w:val="21"/>
              </w:rPr>
            </w:pPr>
            <w:r>
              <w:rPr>
                <w:b/>
                <w:sz w:val="21"/>
              </w:rPr>
              <w:t>住院</w:t>
            </w:r>
          </w:p>
        </w:tc>
        <w:tc>
          <w:tcPr>
            <w:tcW w:w="7661" w:type="dxa"/>
          </w:tcPr>
          <w:p>
            <w:pPr>
              <w:pStyle w:val="TableParagraph"/>
              <w:spacing w:line="261" w:lineRule="auto" w:before="32"/>
              <w:ind w:left="192" w:right="103"/>
              <w:rPr>
                <w:rFonts w:ascii="黑体" w:eastAsia="黑体" w:hint="eastAsia"/>
                <w:sz w:val="21"/>
              </w:rPr>
            </w:pPr>
            <w:r>
              <w:rPr>
                <w:sz w:val="21"/>
              </w:rPr>
              <w:t>指被保险人因意外伤害而入住医院的住院部病房进行住院治疗，并办理入出院手续，</w:t>
            </w:r>
            <w:r>
              <w:rPr>
                <w:rFonts w:ascii="黑体" w:eastAsia="黑体" w:hint="eastAsia"/>
                <w:sz w:val="21"/>
              </w:rPr>
              <w:t>不包括入住家庭病床、其他挂床住院及不合理的住院。</w:t>
            </w:r>
          </w:p>
        </w:tc>
      </w:tr>
      <w:tr>
        <w:trPr>
          <w:trHeight w:val="3631" w:hRule="atLeast"/>
        </w:trPr>
        <w:tc>
          <w:tcPr>
            <w:tcW w:w="600" w:type="dxa"/>
          </w:tcPr>
          <w:p>
            <w:pPr>
              <w:pStyle w:val="TableParagraph"/>
              <w:spacing w:before="89"/>
              <w:ind w:left="108"/>
              <w:rPr>
                <w:rFonts w:ascii="Times New Roman"/>
                <w:b/>
                <w:sz w:val="21"/>
              </w:rPr>
            </w:pPr>
            <w:r>
              <w:rPr>
                <w:rFonts w:ascii="Times New Roman"/>
                <w:b/>
                <w:sz w:val="21"/>
              </w:rPr>
              <w:t>5.3</w:t>
            </w:r>
          </w:p>
        </w:tc>
        <w:tc>
          <w:tcPr>
            <w:tcW w:w="1190" w:type="dxa"/>
          </w:tcPr>
          <w:p>
            <w:pPr>
              <w:pStyle w:val="TableParagraph"/>
              <w:spacing w:before="40"/>
              <w:ind w:left="228"/>
              <w:rPr>
                <w:b/>
                <w:sz w:val="21"/>
              </w:rPr>
            </w:pPr>
            <w:r>
              <w:rPr>
                <w:b/>
                <w:sz w:val="21"/>
              </w:rPr>
              <w:t>全残</w:t>
            </w:r>
          </w:p>
        </w:tc>
        <w:tc>
          <w:tcPr>
            <w:tcW w:w="7661" w:type="dxa"/>
          </w:tcPr>
          <w:p>
            <w:pPr>
              <w:pStyle w:val="TableParagraph"/>
              <w:spacing w:before="40"/>
              <w:ind w:left="192"/>
              <w:rPr>
                <w:sz w:val="21"/>
              </w:rPr>
            </w:pPr>
            <w:r>
              <w:rPr>
                <w:sz w:val="21"/>
              </w:rPr>
              <w:t>本附加合同所述“全残”是指下列情形之一：</w:t>
            </w:r>
          </w:p>
          <w:p>
            <w:pPr>
              <w:pStyle w:val="TableParagraph"/>
              <w:spacing w:before="24"/>
              <w:ind w:left="192"/>
              <w:rPr>
                <w:sz w:val="21"/>
              </w:rPr>
            </w:pPr>
            <w:r>
              <w:rPr>
                <w:sz w:val="21"/>
              </w:rPr>
              <w:t>（</w:t>
            </w:r>
            <w:r>
              <w:rPr>
                <w:rFonts w:ascii="Times New Roman" w:eastAsia="Times New Roman"/>
                <w:sz w:val="21"/>
              </w:rPr>
              <w:t>1</w:t>
            </w:r>
            <w:r>
              <w:rPr>
                <w:sz w:val="21"/>
              </w:rPr>
              <w:t>）双目永久完全失明；</w:t>
            </w:r>
          </w:p>
          <w:p>
            <w:pPr>
              <w:pStyle w:val="TableParagraph"/>
              <w:spacing w:before="8"/>
              <w:ind w:left="192"/>
              <w:rPr>
                <w:sz w:val="21"/>
              </w:rPr>
            </w:pPr>
            <w:r>
              <w:rPr>
                <w:sz w:val="21"/>
              </w:rPr>
              <w:t>（</w:t>
            </w:r>
            <w:r>
              <w:rPr>
                <w:rFonts w:ascii="Times New Roman" w:eastAsia="Times New Roman"/>
                <w:sz w:val="21"/>
              </w:rPr>
              <w:t>2</w:t>
            </w:r>
            <w:r>
              <w:rPr>
                <w:sz w:val="21"/>
              </w:rPr>
              <w:t>）两上肢腕关节以上或两下肢踝关节以上缺失；</w:t>
            </w:r>
          </w:p>
          <w:p>
            <w:pPr>
              <w:pStyle w:val="TableParagraph"/>
              <w:spacing w:before="8"/>
              <w:ind w:left="192"/>
              <w:rPr>
                <w:sz w:val="21"/>
              </w:rPr>
            </w:pPr>
            <w:r>
              <w:rPr>
                <w:sz w:val="21"/>
              </w:rPr>
              <w:t>（</w:t>
            </w:r>
            <w:r>
              <w:rPr>
                <w:rFonts w:ascii="Times New Roman" w:eastAsia="Times New Roman"/>
                <w:sz w:val="21"/>
              </w:rPr>
              <w:t>3</w:t>
            </w:r>
            <w:r>
              <w:rPr>
                <w:sz w:val="21"/>
              </w:rPr>
              <w:t>）一上肢腕关节以上及一下肢踝关节以上缺失；</w:t>
            </w:r>
          </w:p>
          <w:p>
            <w:pPr>
              <w:pStyle w:val="TableParagraph"/>
              <w:spacing w:before="8"/>
              <w:ind w:left="192"/>
              <w:rPr>
                <w:sz w:val="21"/>
              </w:rPr>
            </w:pPr>
            <w:r>
              <w:rPr>
                <w:sz w:val="21"/>
              </w:rPr>
              <w:t>（</w:t>
            </w:r>
            <w:r>
              <w:rPr>
                <w:rFonts w:ascii="Times New Roman" w:eastAsia="Times New Roman"/>
                <w:sz w:val="21"/>
              </w:rPr>
              <w:t>4</w:t>
            </w:r>
            <w:r>
              <w:rPr>
                <w:sz w:val="21"/>
              </w:rPr>
              <w:t>）一目永久完全失明及一上肢腕关节以上缺失；</w:t>
            </w:r>
          </w:p>
          <w:p>
            <w:pPr>
              <w:pStyle w:val="TableParagraph"/>
              <w:spacing w:before="8"/>
              <w:ind w:left="192"/>
              <w:rPr>
                <w:sz w:val="21"/>
              </w:rPr>
            </w:pPr>
            <w:r>
              <w:rPr>
                <w:sz w:val="21"/>
              </w:rPr>
              <w:t>（</w:t>
            </w:r>
            <w:r>
              <w:rPr>
                <w:rFonts w:ascii="Times New Roman" w:eastAsia="Times New Roman"/>
                <w:sz w:val="21"/>
              </w:rPr>
              <w:t>5</w:t>
            </w:r>
            <w:r>
              <w:rPr>
                <w:sz w:val="21"/>
              </w:rPr>
              <w:t>）一目永久完全失明及一下肢踝关节以上缺失；</w:t>
            </w:r>
          </w:p>
          <w:p>
            <w:pPr>
              <w:pStyle w:val="TableParagraph"/>
              <w:spacing w:before="8"/>
              <w:ind w:left="192"/>
              <w:rPr>
                <w:sz w:val="21"/>
              </w:rPr>
            </w:pPr>
            <w:r>
              <w:rPr>
                <w:sz w:val="21"/>
              </w:rPr>
              <w:t>（</w:t>
            </w:r>
            <w:r>
              <w:rPr>
                <w:rFonts w:ascii="Times New Roman" w:eastAsia="Times New Roman"/>
                <w:sz w:val="21"/>
              </w:rPr>
              <w:t>6</w:t>
            </w:r>
            <w:r>
              <w:rPr>
                <w:sz w:val="21"/>
              </w:rPr>
              <w:t>）四肢关节机能永久完全丧失；</w:t>
            </w:r>
          </w:p>
          <w:p>
            <w:pPr>
              <w:pStyle w:val="TableParagraph"/>
              <w:spacing w:before="8"/>
              <w:ind w:left="192"/>
              <w:rPr>
                <w:sz w:val="21"/>
              </w:rPr>
            </w:pPr>
            <w:r>
              <w:rPr>
                <w:sz w:val="21"/>
              </w:rPr>
              <w:t>（</w:t>
            </w:r>
            <w:r>
              <w:rPr>
                <w:rFonts w:ascii="Times New Roman" w:eastAsia="Times New Roman"/>
                <w:sz w:val="21"/>
              </w:rPr>
              <w:t>7</w:t>
            </w:r>
            <w:r>
              <w:rPr>
                <w:sz w:val="21"/>
              </w:rPr>
              <w:t>）咀嚼、吞咽机能永久完全丧失；</w:t>
            </w:r>
          </w:p>
          <w:p>
            <w:pPr>
              <w:pStyle w:val="TableParagraph"/>
              <w:spacing w:line="247" w:lineRule="auto" w:before="9"/>
              <w:ind w:left="718" w:right="6" w:hanging="526"/>
              <w:rPr>
                <w:sz w:val="21"/>
              </w:rPr>
            </w:pPr>
            <w:r>
              <w:rPr>
                <w:sz w:val="21"/>
              </w:rPr>
              <w:t>（</w:t>
            </w:r>
            <w:r>
              <w:rPr>
                <w:rFonts w:ascii="Times New Roman" w:eastAsia="Times New Roman"/>
                <w:sz w:val="21"/>
              </w:rPr>
              <w:t>8</w:t>
            </w:r>
            <w:r>
              <w:rPr>
                <w:sz w:val="21"/>
              </w:rPr>
              <w:t>）中枢神经系统机能或胸、腹部脏器机能极度障碍，终身不能从事任何工作， 为维持生命必要的日常生活活动，全需他人扶助的。</w:t>
            </w:r>
          </w:p>
          <w:p>
            <w:pPr>
              <w:pStyle w:val="TableParagraph"/>
              <w:spacing w:line="300" w:lineRule="exact" w:before="24"/>
              <w:ind w:left="192" w:right="109"/>
              <w:rPr>
                <w:sz w:val="21"/>
              </w:rPr>
            </w:pPr>
            <w:r>
              <w:rPr>
                <w:spacing w:val="-3"/>
                <w:sz w:val="21"/>
              </w:rPr>
              <w:t>失明：包括眼球缺失或摘除、或不能辨别明暗、或仅能辨别眼前手动者，最佳矫</w:t>
            </w:r>
            <w:r>
              <w:rPr>
                <w:spacing w:val="-6"/>
                <w:sz w:val="21"/>
              </w:rPr>
              <w:t>正视力低于国际标准视力表 </w:t>
            </w:r>
            <w:r>
              <w:rPr>
                <w:rFonts w:ascii="Times New Roman" w:eastAsia="Times New Roman"/>
                <w:sz w:val="21"/>
              </w:rPr>
              <w:t>0.02</w:t>
            </w:r>
            <w:r>
              <w:rPr>
                <w:spacing w:val="-8"/>
                <w:sz w:val="21"/>
              </w:rPr>
              <w:t>，或视野半径小于 </w:t>
            </w:r>
            <w:r>
              <w:rPr>
                <w:rFonts w:ascii="Times New Roman" w:eastAsia="Times New Roman"/>
                <w:sz w:val="21"/>
              </w:rPr>
              <w:t>5 </w:t>
            </w:r>
            <w:r>
              <w:rPr>
                <w:spacing w:val="-3"/>
                <w:sz w:val="21"/>
              </w:rPr>
              <w:t>度，并由我们认可的医院的</w:t>
            </w:r>
          </w:p>
        </w:tc>
      </w:tr>
    </w:tbl>
    <w:p>
      <w:pPr>
        <w:spacing w:after="0" w:line="300" w:lineRule="exact"/>
        <w:rPr>
          <w:sz w:val="21"/>
        </w:rPr>
        <w:sectPr>
          <w:pgSz w:w="11910" w:h="16840"/>
          <w:pgMar w:top="1480" w:bottom="280" w:left="1160" w:right="10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175"/>
        <w:gridCol w:w="7825"/>
      </w:tblGrid>
      <w:tr>
        <w:trPr>
          <w:trHeight w:val="2708" w:hRule="atLeast"/>
        </w:trPr>
        <w:tc>
          <w:tcPr>
            <w:tcW w:w="745" w:type="dxa"/>
          </w:tcPr>
          <w:p>
            <w:pPr>
              <w:pStyle w:val="TableParagraph"/>
              <w:ind w:left="0"/>
              <w:rPr>
                <w:rFonts w:ascii="Times New Roman"/>
                <w:sz w:val="20"/>
              </w:rPr>
            </w:pPr>
          </w:p>
        </w:tc>
        <w:tc>
          <w:tcPr>
            <w:tcW w:w="1175" w:type="dxa"/>
          </w:tcPr>
          <w:p>
            <w:pPr>
              <w:pStyle w:val="TableParagraph"/>
              <w:ind w:left="0"/>
              <w:rPr>
                <w:rFonts w:ascii="Times New Roman"/>
                <w:sz w:val="20"/>
              </w:rPr>
            </w:pPr>
          </w:p>
        </w:tc>
        <w:tc>
          <w:tcPr>
            <w:tcW w:w="7825" w:type="dxa"/>
          </w:tcPr>
          <w:p>
            <w:pPr>
              <w:pStyle w:val="TableParagraph"/>
              <w:spacing w:line="211" w:lineRule="exact"/>
              <w:rPr>
                <w:sz w:val="21"/>
              </w:rPr>
            </w:pPr>
            <w:r>
              <w:rPr>
                <w:sz w:val="21"/>
              </w:rPr>
              <w:t>有资格的眼科医师出具医疗诊断证明。</w:t>
            </w:r>
          </w:p>
          <w:p>
            <w:pPr>
              <w:pStyle w:val="TableParagraph"/>
              <w:spacing w:line="261" w:lineRule="auto" w:before="25"/>
              <w:ind w:right="311"/>
              <w:rPr>
                <w:sz w:val="21"/>
              </w:rPr>
            </w:pPr>
            <w:r>
              <w:rPr>
                <w:spacing w:val="-3"/>
                <w:sz w:val="21"/>
              </w:rPr>
              <w:t>关节机能的丧失：系指关节永久完全僵硬、或麻痹、或关节不能随意识活动。 咀嚼、吞咽机能的丧失：系指由于牙齿以外的原因引起器质障碍或机能障碍，以至不能作咀嚼、吞咽运动，除流质食物外不能摄取或吞咽的状态。</w:t>
            </w:r>
          </w:p>
          <w:p>
            <w:pPr>
              <w:pStyle w:val="TableParagraph"/>
              <w:spacing w:line="261" w:lineRule="auto" w:before="6"/>
              <w:ind w:right="311"/>
              <w:rPr>
                <w:sz w:val="21"/>
              </w:rPr>
            </w:pPr>
            <w:r>
              <w:rPr>
                <w:sz w:val="21"/>
              </w:rPr>
              <w:t>为维持生命必要之日常生活活动，全需他人扶助：系指食物摄取、大小便始末、穿脱衣服、起居、步行、入浴等，皆不能自己为之，需要他人帮助。</w:t>
            </w:r>
          </w:p>
          <w:p>
            <w:pPr>
              <w:pStyle w:val="TableParagraph"/>
              <w:spacing w:line="247" w:lineRule="auto" w:before="6"/>
              <w:ind w:right="251"/>
              <w:rPr>
                <w:sz w:val="21"/>
              </w:rPr>
            </w:pPr>
            <w:r>
              <w:rPr>
                <w:sz w:val="21"/>
              </w:rPr>
              <w:t>所谓永久完全系指自意外伤害之日起或疾病确诊之日起经过 </w:t>
            </w:r>
            <w:r>
              <w:rPr>
                <w:rFonts w:ascii="Times New Roman" w:eastAsia="Times New Roman"/>
                <w:sz w:val="21"/>
              </w:rPr>
              <w:t>180 </w:t>
            </w:r>
            <w:r>
              <w:rPr>
                <w:sz w:val="21"/>
              </w:rPr>
              <w:t>日的治疗，机能仍然完全丧失，但眼球摘除等明显无法复原的情况不在此限。</w:t>
            </w:r>
          </w:p>
          <w:p>
            <w:pPr>
              <w:pStyle w:val="TableParagraph"/>
              <w:spacing w:before="18"/>
              <w:rPr>
                <w:sz w:val="21"/>
              </w:rPr>
            </w:pPr>
            <w:r>
              <w:rPr>
                <w:sz w:val="21"/>
              </w:rPr>
              <w:t>我们认可的医院作出全残鉴定结论的时间为投保人全残发生时间。</w:t>
            </w:r>
          </w:p>
        </w:tc>
      </w:tr>
      <w:tr>
        <w:trPr>
          <w:trHeight w:val="1612" w:hRule="atLeast"/>
        </w:trPr>
        <w:tc>
          <w:tcPr>
            <w:tcW w:w="745" w:type="dxa"/>
          </w:tcPr>
          <w:p>
            <w:pPr>
              <w:pStyle w:val="TableParagraph"/>
              <w:spacing w:before="90"/>
              <w:ind w:left="200"/>
              <w:rPr>
                <w:rFonts w:ascii="Times New Roman"/>
                <w:b/>
                <w:sz w:val="21"/>
              </w:rPr>
            </w:pPr>
            <w:r>
              <w:rPr>
                <w:rFonts w:ascii="Times New Roman"/>
                <w:b/>
                <w:sz w:val="21"/>
              </w:rPr>
              <w:t>5.4</w:t>
            </w:r>
          </w:p>
        </w:tc>
        <w:tc>
          <w:tcPr>
            <w:tcW w:w="1175" w:type="dxa"/>
          </w:tcPr>
          <w:p>
            <w:pPr>
              <w:pStyle w:val="TableParagraph"/>
              <w:spacing w:line="261" w:lineRule="auto" w:before="40"/>
              <w:ind w:left="175" w:right="153"/>
              <w:jc w:val="both"/>
              <w:rPr>
                <w:b/>
                <w:sz w:val="21"/>
              </w:rPr>
            </w:pPr>
            <w:r>
              <w:rPr>
                <w:b/>
                <w:sz w:val="21"/>
              </w:rPr>
              <w:t>感染艾滋病病毒或患艾滋病</w:t>
            </w:r>
          </w:p>
        </w:tc>
        <w:tc>
          <w:tcPr>
            <w:tcW w:w="7825" w:type="dxa"/>
          </w:tcPr>
          <w:p>
            <w:pPr>
              <w:pStyle w:val="TableParagraph"/>
              <w:spacing w:line="247" w:lineRule="auto" w:before="40"/>
              <w:ind w:right="305"/>
              <w:jc w:val="both"/>
              <w:rPr>
                <w:sz w:val="21"/>
              </w:rPr>
            </w:pPr>
            <w:r>
              <w:rPr>
                <w:sz w:val="21"/>
              </w:rPr>
              <w:t>艾滋病病毒指人类免疫缺陷病毒，英文缩写为</w:t>
            </w:r>
            <w:r>
              <w:rPr>
                <w:rFonts w:ascii="Times New Roman" w:eastAsia="Times New Roman"/>
                <w:sz w:val="21"/>
              </w:rPr>
              <w:t>HIV</w:t>
            </w:r>
            <w:r>
              <w:rPr>
                <w:sz w:val="21"/>
              </w:rPr>
              <w:t>。艾滋病指人类免疫缺陷病毒引起的获得性免疫缺陷综合征，英文缩写为</w:t>
            </w:r>
            <w:r>
              <w:rPr>
                <w:rFonts w:ascii="Times New Roman" w:eastAsia="Times New Roman"/>
                <w:sz w:val="21"/>
              </w:rPr>
              <w:t>AIDS</w:t>
            </w:r>
            <w:r>
              <w:rPr>
                <w:sz w:val="21"/>
              </w:rPr>
              <w:t>。</w:t>
            </w:r>
          </w:p>
          <w:p>
            <w:pPr>
              <w:pStyle w:val="TableParagraph"/>
              <w:spacing w:line="261" w:lineRule="auto" w:before="1"/>
              <w:ind w:right="304"/>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745" w:type="dxa"/>
          </w:tcPr>
          <w:p>
            <w:pPr>
              <w:pStyle w:val="TableParagraph"/>
              <w:spacing w:before="89"/>
              <w:ind w:left="200"/>
              <w:rPr>
                <w:rFonts w:ascii="Times New Roman"/>
                <w:b/>
                <w:sz w:val="21"/>
              </w:rPr>
            </w:pPr>
            <w:r>
              <w:rPr>
                <w:rFonts w:ascii="Times New Roman"/>
                <w:b/>
                <w:sz w:val="21"/>
              </w:rPr>
              <w:t>5.5</w:t>
            </w:r>
          </w:p>
        </w:tc>
        <w:tc>
          <w:tcPr>
            <w:tcW w:w="1175" w:type="dxa"/>
          </w:tcPr>
          <w:p>
            <w:pPr>
              <w:pStyle w:val="TableParagraph"/>
              <w:spacing w:line="261" w:lineRule="auto" w:before="40"/>
              <w:ind w:left="175" w:right="153"/>
              <w:rPr>
                <w:b/>
                <w:sz w:val="21"/>
              </w:rPr>
            </w:pPr>
            <w:r>
              <w:rPr>
                <w:b/>
                <w:sz w:val="21"/>
              </w:rPr>
              <w:t>遗传性疾病</w:t>
            </w:r>
          </w:p>
        </w:tc>
        <w:tc>
          <w:tcPr>
            <w:tcW w:w="7825" w:type="dxa"/>
          </w:tcPr>
          <w:p>
            <w:pPr>
              <w:pStyle w:val="TableParagraph"/>
              <w:spacing w:line="261" w:lineRule="auto" w:before="40"/>
              <w:ind w:right="198"/>
              <w:rPr>
                <w:sz w:val="21"/>
              </w:rPr>
            </w:pPr>
            <w:r>
              <w:rPr>
                <w:spacing w:val="-7"/>
                <w:sz w:val="21"/>
              </w:rPr>
              <w:t>指生殖细胞或受精卵的遗传物质</w:t>
            </w:r>
            <w:r>
              <w:rPr>
                <w:sz w:val="21"/>
              </w:rPr>
              <w:t>（</w:t>
            </w:r>
            <w:r>
              <w:rPr>
                <w:spacing w:val="-3"/>
                <w:sz w:val="21"/>
              </w:rPr>
              <w:t>染色体和基因</w:t>
            </w:r>
            <w:r>
              <w:rPr>
                <w:spacing w:val="-51"/>
                <w:sz w:val="21"/>
              </w:rPr>
              <w:t>）</w:t>
            </w:r>
            <w:r>
              <w:rPr>
                <w:spacing w:val="-3"/>
                <w:sz w:val="21"/>
              </w:rPr>
              <w:t>发生突变或畸变所引起的疾病， 通常具有由亲代传至后代的垂直传递的特征。</w:t>
            </w:r>
          </w:p>
        </w:tc>
      </w:tr>
      <w:tr>
        <w:trPr>
          <w:trHeight w:val="1318" w:hRule="atLeast"/>
        </w:trPr>
        <w:tc>
          <w:tcPr>
            <w:tcW w:w="745" w:type="dxa"/>
          </w:tcPr>
          <w:p>
            <w:pPr>
              <w:pStyle w:val="TableParagraph"/>
              <w:spacing w:before="89"/>
              <w:ind w:left="200"/>
              <w:rPr>
                <w:rFonts w:ascii="Times New Roman"/>
                <w:b/>
                <w:sz w:val="21"/>
              </w:rPr>
            </w:pPr>
            <w:r>
              <w:rPr>
                <w:rFonts w:ascii="Times New Roman"/>
                <w:b/>
                <w:sz w:val="21"/>
              </w:rPr>
              <w:t>5.6</w:t>
            </w:r>
          </w:p>
        </w:tc>
        <w:tc>
          <w:tcPr>
            <w:tcW w:w="1175" w:type="dxa"/>
          </w:tcPr>
          <w:p>
            <w:pPr>
              <w:pStyle w:val="TableParagraph"/>
              <w:spacing w:line="261" w:lineRule="auto" w:before="40"/>
              <w:ind w:left="175" w:right="153"/>
              <w:jc w:val="both"/>
              <w:rPr>
                <w:b/>
                <w:sz w:val="21"/>
              </w:rPr>
            </w:pPr>
            <w:r>
              <w:rPr>
                <w:b/>
                <w:sz w:val="21"/>
              </w:rPr>
              <w:t>先天性畸形、变形或染色体异常</w:t>
            </w:r>
          </w:p>
        </w:tc>
        <w:tc>
          <w:tcPr>
            <w:tcW w:w="7825" w:type="dxa"/>
          </w:tcPr>
          <w:p>
            <w:pPr>
              <w:pStyle w:val="TableParagraph"/>
              <w:spacing w:line="254" w:lineRule="auto" w:before="40"/>
              <w:ind w:right="304"/>
              <w:jc w:val="both"/>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018" w:hRule="atLeast"/>
        </w:trPr>
        <w:tc>
          <w:tcPr>
            <w:tcW w:w="745" w:type="dxa"/>
          </w:tcPr>
          <w:p>
            <w:pPr>
              <w:pStyle w:val="TableParagraph"/>
              <w:spacing w:before="95"/>
              <w:ind w:left="200"/>
              <w:rPr>
                <w:rFonts w:ascii="Times New Roman"/>
                <w:b/>
                <w:sz w:val="21"/>
              </w:rPr>
            </w:pPr>
            <w:r>
              <w:rPr>
                <w:rFonts w:ascii="Times New Roman"/>
                <w:b/>
                <w:sz w:val="21"/>
              </w:rPr>
              <w:t>5.7</w:t>
            </w:r>
          </w:p>
        </w:tc>
        <w:tc>
          <w:tcPr>
            <w:tcW w:w="1175" w:type="dxa"/>
          </w:tcPr>
          <w:p>
            <w:pPr>
              <w:pStyle w:val="TableParagraph"/>
              <w:spacing w:before="46"/>
              <w:ind w:left="175"/>
              <w:rPr>
                <w:b/>
                <w:sz w:val="21"/>
              </w:rPr>
            </w:pPr>
            <w:r>
              <w:rPr>
                <w:b/>
                <w:sz w:val="21"/>
              </w:rPr>
              <w:t>酗酒</w:t>
            </w:r>
          </w:p>
        </w:tc>
        <w:tc>
          <w:tcPr>
            <w:tcW w:w="7825" w:type="dxa"/>
          </w:tcPr>
          <w:p>
            <w:pPr>
              <w:pStyle w:val="TableParagraph"/>
              <w:spacing w:line="254" w:lineRule="auto" w:before="46"/>
              <w:ind w:right="311"/>
              <w:jc w:val="both"/>
              <w:rPr>
                <w:sz w:val="21"/>
              </w:rPr>
            </w:pPr>
            <w:r>
              <w:rPr>
                <w:spacing w:val="-5"/>
                <w:sz w:val="21"/>
              </w:rPr>
              <w:t>指酒精摄入过量。长期过量饮酒导致身体脏器严重损害，或 </w:t>
            </w:r>
            <w:r>
              <w:rPr>
                <w:rFonts w:ascii="Times New Roman" w:eastAsia="Times New Roman"/>
                <w:sz w:val="21"/>
              </w:rPr>
              <w:t>1 </w:t>
            </w:r>
            <w:r>
              <w:rPr>
                <w:spacing w:val="-3"/>
                <w:sz w:val="21"/>
              </w:rPr>
              <w:t>次大量饮酒导致急性酒精中毒或自制力丧失造成自身伤害、斗殴肇事或交通肇事。酒精摄入过量由医疗机构或公安部门判定。</w:t>
            </w:r>
          </w:p>
        </w:tc>
      </w:tr>
      <w:tr>
        <w:trPr>
          <w:trHeight w:val="1012" w:hRule="atLeast"/>
        </w:trPr>
        <w:tc>
          <w:tcPr>
            <w:tcW w:w="745" w:type="dxa"/>
          </w:tcPr>
          <w:p>
            <w:pPr>
              <w:pStyle w:val="TableParagraph"/>
              <w:spacing w:before="89"/>
              <w:ind w:left="200"/>
              <w:rPr>
                <w:rFonts w:ascii="Times New Roman"/>
                <w:b/>
                <w:sz w:val="21"/>
              </w:rPr>
            </w:pPr>
            <w:r>
              <w:rPr>
                <w:rFonts w:ascii="Times New Roman"/>
                <w:b/>
                <w:sz w:val="21"/>
              </w:rPr>
              <w:t>5.8</w:t>
            </w:r>
          </w:p>
        </w:tc>
        <w:tc>
          <w:tcPr>
            <w:tcW w:w="1175" w:type="dxa"/>
          </w:tcPr>
          <w:p>
            <w:pPr>
              <w:pStyle w:val="TableParagraph"/>
              <w:spacing w:before="40"/>
              <w:ind w:left="175"/>
              <w:rPr>
                <w:b/>
                <w:sz w:val="21"/>
              </w:rPr>
            </w:pPr>
            <w:r>
              <w:rPr>
                <w:b/>
                <w:sz w:val="21"/>
              </w:rPr>
              <w:t>猝死</w:t>
            </w:r>
          </w:p>
        </w:tc>
        <w:tc>
          <w:tcPr>
            <w:tcW w:w="7825" w:type="dxa"/>
          </w:tcPr>
          <w:p>
            <w:pPr>
              <w:pStyle w:val="TableParagraph"/>
              <w:spacing w:line="254" w:lineRule="auto" w:before="40"/>
              <w:ind w:right="309"/>
              <w:jc w:val="both"/>
              <w:rPr>
                <w:sz w:val="21"/>
              </w:rPr>
            </w:pPr>
            <w:r>
              <w:rPr>
                <w:spacing w:val="-11"/>
                <w:sz w:val="21"/>
              </w:rPr>
              <w:t>指外表看似健康的人因潜在疾病、机能障碍或其他原因在出现症状后 </w:t>
            </w:r>
            <w:r>
              <w:rPr>
                <w:rFonts w:ascii="Times New Roman" w:eastAsia="Times New Roman"/>
                <w:sz w:val="21"/>
              </w:rPr>
              <w:t>24 </w:t>
            </w:r>
            <w:r>
              <w:rPr>
                <w:spacing w:val="-3"/>
                <w:sz w:val="21"/>
              </w:rPr>
              <w:t>小时内发生的非暴力性突然死亡。如有司法机关的法律文件、医疗机构的诊断书等对猝死进行认定的，则以上述法律文件、诊断书等为准。</w:t>
            </w:r>
          </w:p>
        </w:tc>
      </w:tr>
      <w:tr>
        <w:trPr>
          <w:trHeight w:val="722" w:hRule="atLeast"/>
        </w:trPr>
        <w:tc>
          <w:tcPr>
            <w:tcW w:w="745" w:type="dxa"/>
          </w:tcPr>
          <w:p>
            <w:pPr>
              <w:pStyle w:val="TableParagraph"/>
              <w:spacing w:before="89"/>
              <w:ind w:left="200"/>
              <w:rPr>
                <w:rFonts w:ascii="Times New Roman"/>
                <w:b/>
                <w:sz w:val="21"/>
              </w:rPr>
            </w:pPr>
            <w:r>
              <w:rPr>
                <w:rFonts w:ascii="Times New Roman"/>
                <w:b/>
                <w:sz w:val="21"/>
              </w:rPr>
              <w:t>5.9</w:t>
            </w:r>
          </w:p>
        </w:tc>
        <w:tc>
          <w:tcPr>
            <w:tcW w:w="1175" w:type="dxa"/>
          </w:tcPr>
          <w:p>
            <w:pPr>
              <w:pStyle w:val="TableParagraph"/>
              <w:spacing w:before="40"/>
              <w:ind w:left="175"/>
              <w:rPr>
                <w:b/>
                <w:sz w:val="21"/>
              </w:rPr>
            </w:pPr>
            <w:r>
              <w:rPr>
                <w:b/>
                <w:sz w:val="21"/>
              </w:rPr>
              <w:t>精神疾病</w:t>
            </w:r>
          </w:p>
        </w:tc>
        <w:tc>
          <w:tcPr>
            <w:tcW w:w="7825" w:type="dxa"/>
          </w:tcPr>
          <w:p>
            <w:pPr>
              <w:pStyle w:val="TableParagraph"/>
              <w:spacing w:line="261" w:lineRule="auto" w:before="40"/>
              <w:ind w:right="311"/>
              <w:rPr>
                <w:sz w:val="21"/>
              </w:rPr>
            </w:pPr>
            <w:r>
              <w:rPr>
                <w:spacing w:val="-3"/>
                <w:sz w:val="21"/>
              </w:rPr>
              <w:t>指精神与行为障碍，以世界卫生组织颁布的《疾病和有关健康问题的国际统计分</w:t>
            </w:r>
            <w:r>
              <w:rPr>
                <w:spacing w:val="-3"/>
                <w:w w:val="100"/>
                <w:sz w:val="21"/>
              </w:rPr>
              <w:t>类（</w:t>
            </w:r>
            <w:r>
              <w:rPr>
                <w:rFonts w:ascii="Times New Roman" w:eastAsia="Times New Roman"/>
                <w:spacing w:val="-4"/>
                <w:w w:val="100"/>
                <w:sz w:val="21"/>
              </w:rPr>
              <w:t>I</w:t>
            </w:r>
            <w:r>
              <w:rPr>
                <w:rFonts w:ascii="Times New Roman" w:eastAsia="Times New Roman"/>
                <w:w w:val="100"/>
                <w:sz w:val="21"/>
              </w:rPr>
              <w:t>C</w:t>
            </w:r>
            <w:r>
              <w:rPr>
                <w:rFonts w:ascii="Times New Roman" w:eastAsia="Times New Roman"/>
                <w:spacing w:val="0"/>
                <w:w w:val="100"/>
                <w:sz w:val="21"/>
              </w:rPr>
              <w:t>D</w:t>
            </w:r>
            <w:r>
              <w:rPr>
                <w:rFonts w:ascii="Times New Roman" w:eastAsia="Times New Roman"/>
                <w:spacing w:val="-4"/>
                <w:w w:val="100"/>
                <w:sz w:val="21"/>
              </w:rPr>
              <w:t>-</w:t>
            </w:r>
            <w:r>
              <w:rPr>
                <w:rFonts w:ascii="Times New Roman" w:eastAsia="Times New Roman"/>
                <w:w w:val="100"/>
                <w:sz w:val="21"/>
              </w:rPr>
              <w:t>10</w:t>
            </w:r>
            <w:r>
              <w:rPr>
                <w:spacing w:val="-106"/>
                <w:w w:val="100"/>
                <w:sz w:val="21"/>
              </w:rPr>
              <w:t>）</w:t>
            </w:r>
            <w:r>
              <w:rPr>
                <w:spacing w:val="-2"/>
                <w:w w:val="100"/>
                <w:sz w:val="21"/>
              </w:rPr>
              <w:t>》为准。</w:t>
            </w:r>
          </w:p>
        </w:tc>
      </w:tr>
      <w:tr>
        <w:trPr>
          <w:trHeight w:val="414" w:hRule="atLeast"/>
        </w:trPr>
        <w:tc>
          <w:tcPr>
            <w:tcW w:w="745" w:type="dxa"/>
          </w:tcPr>
          <w:p>
            <w:pPr>
              <w:pStyle w:val="TableParagraph"/>
              <w:spacing w:before="83"/>
              <w:ind w:left="200"/>
              <w:rPr>
                <w:rFonts w:ascii="Times New Roman"/>
                <w:b/>
                <w:sz w:val="21"/>
              </w:rPr>
            </w:pPr>
            <w:r>
              <w:rPr>
                <w:rFonts w:ascii="Times New Roman"/>
                <w:b/>
                <w:sz w:val="21"/>
              </w:rPr>
              <w:t>5.10</w:t>
            </w:r>
          </w:p>
        </w:tc>
        <w:tc>
          <w:tcPr>
            <w:tcW w:w="1175" w:type="dxa"/>
          </w:tcPr>
          <w:p>
            <w:pPr>
              <w:pStyle w:val="TableParagraph"/>
              <w:spacing w:before="33"/>
              <w:ind w:left="175"/>
              <w:rPr>
                <w:b/>
                <w:sz w:val="21"/>
              </w:rPr>
            </w:pPr>
            <w:r>
              <w:rPr>
                <w:b/>
                <w:sz w:val="21"/>
              </w:rPr>
              <w:t>潜水</w:t>
            </w:r>
          </w:p>
        </w:tc>
        <w:tc>
          <w:tcPr>
            <w:tcW w:w="7825" w:type="dxa"/>
          </w:tcPr>
          <w:p>
            <w:pPr>
              <w:pStyle w:val="TableParagraph"/>
              <w:spacing w:before="33"/>
              <w:rPr>
                <w:sz w:val="21"/>
              </w:rPr>
            </w:pPr>
            <w:r>
              <w:rPr>
                <w:sz w:val="21"/>
              </w:rPr>
              <w:t>指以辅助呼吸器材在江、河、湖、海、水库、运河等水域进行的水下运动。</w:t>
            </w:r>
          </w:p>
        </w:tc>
      </w:tr>
      <w:tr>
        <w:trPr>
          <w:trHeight w:val="412" w:hRule="atLeast"/>
        </w:trPr>
        <w:tc>
          <w:tcPr>
            <w:tcW w:w="745" w:type="dxa"/>
          </w:tcPr>
          <w:p>
            <w:pPr>
              <w:pStyle w:val="TableParagraph"/>
              <w:spacing w:before="81"/>
              <w:ind w:left="200"/>
              <w:rPr>
                <w:rFonts w:ascii="Times New Roman"/>
                <w:b/>
                <w:sz w:val="21"/>
              </w:rPr>
            </w:pPr>
            <w:r>
              <w:rPr>
                <w:rFonts w:ascii="Times New Roman"/>
                <w:b/>
                <w:sz w:val="21"/>
              </w:rPr>
              <w:t>5.11</w:t>
            </w:r>
          </w:p>
        </w:tc>
        <w:tc>
          <w:tcPr>
            <w:tcW w:w="1175" w:type="dxa"/>
          </w:tcPr>
          <w:p>
            <w:pPr>
              <w:pStyle w:val="TableParagraph"/>
              <w:spacing w:before="32"/>
              <w:ind w:left="175"/>
              <w:rPr>
                <w:b/>
                <w:sz w:val="21"/>
              </w:rPr>
            </w:pPr>
            <w:r>
              <w:rPr>
                <w:b/>
                <w:sz w:val="21"/>
              </w:rPr>
              <w:t>空中运动</w:t>
            </w:r>
          </w:p>
        </w:tc>
        <w:tc>
          <w:tcPr>
            <w:tcW w:w="7825" w:type="dxa"/>
          </w:tcPr>
          <w:p>
            <w:pPr>
              <w:pStyle w:val="TableParagraph"/>
              <w:spacing w:before="32"/>
              <w:rPr>
                <w:sz w:val="21"/>
              </w:rPr>
            </w:pPr>
            <w:r>
              <w:rPr>
                <w:spacing w:val="-11"/>
                <w:sz w:val="21"/>
              </w:rPr>
              <w:t>指从事跳伞、驾驶滑翔翼</w:t>
            </w:r>
            <w:r>
              <w:rPr>
                <w:spacing w:val="-3"/>
                <w:sz w:val="21"/>
              </w:rPr>
              <w:t>（</w:t>
            </w:r>
            <w:r>
              <w:rPr>
                <w:sz w:val="21"/>
              </w:rPr>
              <w:t>机</w:t>
            </w:r>
            <w:r>
              <w:rPr>
                <w:spacing w:val="-106"/>
                <w:sz w:val="21"/>
              </w:rPr>
              <w:t>）</w:t>
            </w:r>
            <w:r>
              <w:rPr>
                <w:spacing w:val="-13"/>
                <w:sz w:val="21"/>
              </w:rPr>
              <w:t>、蹦极、乘热气球等空中运动的训练、娱乐或表演。</w:t>
            </w:r>
          </w:p>
        </w:tc>
      </w:tr>
      <w:tr>
        <w:trPr>
          <w:trHeight w:val="412" w:hRule="atLeast"/>
        </w:trPr>
        <w:tc>
          <w:tcPr>
            <w:tcW w:w="745" w:type="dxa"/>
          </w:tcPr>
          <w:p>
            <w:pPr>
              <w:pStyle w:val="TableParagraph"/>
              <w:spacing w:before="81"/>
              <w:ind w:left="200"/>
              <w:rPr>
                <w:rFonts w:ascii="Times New Roman"/>
                <w:b/>
                <w:sz w:val="21"/>
              </w:rPr>
            </w:pPr>
            <w:r>
              <w:rPr>
                <w:rFonts w:ascii="Times New Roman"/>
                <w:b/>
                <w:sz w:val="21"/>
              </w:rPr>
              <w:t>5.12</w:t>
            </w:r>
          </w:p>
        </w:tc>
        <w:tc>
          <w:tcPr>
            <w:tcW w:w="1175" w:type="dxa"/>
          </w:tcPr>
          <w:p>
            <w:pPr>
              <w:pStyle w:val="TableParagraph"/>
              <w:spacing w:before="32"/>
              <w:ind w:left="175"/>
              <w:rPr>
                <w:b/>
                <w:sz w:val="21"/>
              </w:rPr>
            </w:pPr>
            <w:r>
              <w:rPr>
                <w:b/>
                <w:sz w:val="21"/>
              </w:rPr>
              <w:t>攀岩</w:t>
            </w:r>
          </w:p>
        </w:tc>
        <w:tc>
          <w:tcPr>
            <w:tcW w:w="7825" w:type="dxa"/>
          </w:tcPr>
          <w:p>
            <w:pPr>
              <w:pStyle w:val="TableParagraph"/>
              <w:spacing w:before="32"/>
              <w:rPr>
                <w:sz w:val="21"/>
              </w:rPr>
            </w:pPr>
            <w:r>
              <w:rPr>
                <w:sz w:val="21"/>
              </w:rPr>
              <w:t>指攀登悬崖、建筑物外墙、人造悬崖、冰崖、冰ft等运动。</w:t>
            </w:r>
          </w:p>
        </w:tc>
      </w:tr>
      <w:tr>
        <w:trPr>
          <w:trHeight w:val="704" w:hRule="atLeast"/>
        </w:trPr>
        <w:tc>
          <w:tcPr>
            <w:tcW w:w="745" w:type="dxa"/>
          </w:tcPr>
          <w:p>
            <w:pPr>
              <w:pStyle w:val="TableParagraph"/>
              <w:spacing w:before="81"/>
              <w:ind w:left="200"/>
              <w:rPr>
                <w:rFonts w:ascii="Times New Roman"/>
                <w:b/>
                <w:sz w:val="21"/>
              </w:rPr>
            </w:pPr>
            <w:r>
              <w:rPr>
                <w:rFonts w:ascii="Times New Roman"/>
                <w:b/>
                <w:sz w:val="21"/>
              </w:rPr>
              <w:t>5.13</w:t>
            </w:r>
          </w:p>
        </w:tc>
        <w:tc>
          <w:tcPr>
            <w:tcW w:w="1175" w:type="dxa"/>
          </w:tcPr>
          <w:p>
            <w:pPr>
              <w:pStyle w:val="TableParagraph"/>
              <w:spacing w:before="32"/>
              <w:ind w:left="175"/>
              <w:rPr>
                <w:b/>
                <w:sz w:val="21"/>
              </w:rPr>
            </w:pPr>
            <w:r>
              <w:rPr>
                <w:b/>
                <w:sz w:val="21"/>
              </w:rPr>
              <w:t>探险</w:t>
            </w:r>
          </w:p>
        </w:tc>
        <w:tc>
          <w:tcPr>
            <w:tcW w:w="7825" w:type="dxa"/>
          </w:tcPr>
          <w:p>
            <w:pPr>
              <w:pStyle w:val="TableParagraph"/>
              <w:spacing w:line="261" w:lineRule="auto" w:before="32"/>
              <w:ind w:right="311"/>
              <w:rPr>
                <w:sz w:val="21"/>
              </w:rPr>
            </w:pPr>
            <w:r>
              <w:rPr>
                <w:sz w:val="21"/>
              </w:rPr>
              <w:t>指明知在某种特定的自然条件下有失去生命或使身体受到伤害的危险，而故意使自己置身其中的行为，如：江河漂流、徒步穿越沙漠或原始森林等活动。</w:t>
            </w:r>
          </w:p>
        </w:tc>
      </w:tr>
      <w:tr>
        <w:trPr>
          <w:trHeight w:val="712" w:hRule="atLeast"/>
        </w:trPr>
        <w:tc>
          <w:tcPr>
            <w:tcW w:w="745" w:type="dxa"/>
          </w:tcPr>
          <w:p>
            <w:pPr>
              <w:pStyle w:val="TableParagraph"/>
              <w:spacing w:before="89"/>
              <w:ind w:left="200"/>
              <w:rPr>
                <w:rFonts w:ascii="Times New Roman"/>
                <w:b/>
                <w:sz w:val="21"/>
              </w:rPr>
            </w:pPr>
            <w:r>
              <w:rPr>
                <w:rFonts w:ascii="Times New Roman"/>
                <w:b/>
                <w:sz w:val="21"/>
              </w:rPr>
              <w:t>5.14</w:t>
            </w:r>
          </w:p>
        </w:tc>
        <w:tc>
          <w:tcPr>
            <w:tcW w:w="1175" w:type="dxa"/>
          </w:tcPr>
          <w:p>
            <w:pPr>
              <w:pStyle w:val="TableParagraph"/>
              <w:spacing w:before="40"/>
              <w:ind w:left="175"/>
              <w:rPr>
                <w:b/>
                <w:sz w:val="21"/>
              </w:rPr>
            </w:pPr>
            <w:r>
              <w:rPr>
                <w:b/>
                <w:sz w:val="21"/>
              </w:rPr>
              <w:t>武术</w:t>
            </w:r>
          </w:p>
        </w:tc>
        <w:tc>
          <w:tcPr>
            <w:tcW w:w="7825" w:type="dxa"/>
          </w:tcPr>
          <w:p>
            <w:pPr>
              <w:pStyle w:val="TableParagraph"/>
              <w:spacing w:line="261" w:lineRule="auto" w:before="40"/>
              <w:ind w:right="311"/>
              <w:rPr>
                <w:sz w:val="21"/>
              </w:rPr>
            </w:pPr>
            <w:r>
              <w:rPr>
                <w:sz w:val="21"/>
              </w:rPr>
              <w:t>指两人或两人以上对抗性柔道、空手道、跆拳道、散打、拳击等各种拳术及各种使用器械的对抗性训练或比赛。</w:t>
            </w:r>
          </w:p>
        </w:tc>
      </w:tr>
      <w:tr>
        <w:trPr>
          <w:trHeight w:val="420" w:hRule="atLeast"/>
        </w:trPr>
        <w:tc>
          <w:tcPr>
            <w:tcW w:w="745" w:type="dxa"/>
          </w:tcPr>
          <w:p>
            <w:pPr>
              <w:pStyle w:val="TableParagraph"/>
              <w:spacing w:before="89"/>
              <w:ind w:left="200"/>
              <w:rPr>
                <w:rFonts w:ascii="Times New Roman"/>
                <w:b/>
                <w:sz w:val="21"/>
              </w:rPr>
            </w:pPr>
            <w:r>
              <w:rPr>
                <w:rFonts w:ascii="Times New Roman"/>
                <w:b/>
                <w:sz w:val="21"/>
              </w:rPr>
              <w:t>5.15</w:t>
            </w:r>
          </w:p>
        </w:tc>
        <w:tc>
          <w:tcPr>
            <w:tcW w:w="1175" w:type="dxa"/>
          </w:tcPr>
          <w:p>
            <w:pPr>
              <w:pStyle w:val="TableParagraph"/>
              <w:spacing w:before="40"/>
              <w:ind w:left="175"/>
              <w:rPr>
                <w:b/>
                <w:sz w:val="21"/>
              </w:rPr>
            </w:pPr>
            <w:r>
              <w:rPr>
                <w:b/>
                <w:sz w:val="21"/>
              </w:rPr>
              <w:t>特技表演</w:t>
            </w:r>
          </w:p>
        </w:tc>
        <w:tc>
          <w:tcPr>
            <w:tcW w:w="7825" w:type="dxa"/>
          </w:tcPr>
          <w:p>
            <w:pPr>
              <w:pStyle w:val="TableParagraph"/>
              <w:spacing w:before="40"/>
              <w:rPr>
                <w:sz w:val="21"/>
              </w:rPr>
            </w:pPr>
            <w:r>
              <w:rPr>
                <w:sz w:val="21"/>
              </w:rPr>
              <w:t>指从事马术、杂技、飞车、驯兽等特殊技能训练或比赛。</w:t>
            </w:r>
          </w:p>
        </w:tc>
      </w:tr>
      <w:tr>
        <w:trPr>
          <w:trHeight w:val="1304" w:hRule="atLeast"/>
        </w:trPr>
        <w:tc>
          <w:tcPr>
            <w:tcW w:w="745" w:type="dxa"/>
          </w:tcPr>
          <w:p>
            <w:pPr>
              <w:pStyle w:val="TableParagraph"/>
              <w:spacing w:before="81"/>
              <w:ind w:left="200"/>
              <w:rPr>
                <w:rFonts w:ascii="Times New Roman"/>
                <w:b/>
                <w:sz w:val="21"/>
              </w:rPr>
            </w:pPr>
            <w:r>
              <w:rPr>
                <w:rFonts w:ascii="Times New Roman"/>
                <w:b/>
                <w:sz w:val="21"/>
              </w:rPr>
              <w:t>5.16</w:t>
            </w:r>
          </w:p>
        </w:tc>
        <w:tc>
          <w:tcPr>
            <w:tcW w:w="1175" w:type="dxa"/>
          </w:tcPr>
          <w:p>
            <w:pPr>
              <w:pStyle w:val="TableParagraph"/>
              <w:spacing w:before="32"/>
              <w:ind w:left="175"/>
              <w:rPr>
                <w:b/>
                <w:sz w:val="21"/>
              </w:rPr>
            </w:pPr>
            <w:r>
              <w:rPr>
                <w:b/>
                <w:sz w:val="21"/>
              </w:rPr>
              <w:t>重大疾病</w:t>
            </w:r>
          </w:p>
        </w:tc>
        <w:tc>
          <w:tcPr>
            <w:tcW w:w="7825" w:type="dxa"/>
          </w:tcPr>
          <w:p>
            <w:pPr>
              <w:pStyle w:val="TableParagraph"/>
              <w:spacing w:line="247" w:lineRule="auto" w:before="32"/>
              <w:ind w:right="307"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312"/>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31" w:hRule="atLeast"/>
        </w:trPr>
        <w:tc>
          <w:tcPr>
            <w:tcW w:w="745" w:type="dxa"/>
          </w:tcPr>
          <w:p>
            <w:pPr>
              <w:pStyle w:val="TableParagraph"/>
              <w:spacing w:line="222" w:lineRule="exact" w:before="89"/>
              <w:ind w:left="200"/>
              <w:rPr>
                <w:rFonts w:ascii="Times New Roman"/>
                <w:b/>
                <w:sz w:val="21"/>
              </w:rPr>
            </w:pPr>
            <w:r>
              <w:rPr>
                <w:rFonts w:ascii="Times New Roman"/>
                <w:b/>
                <w:sz w:val="21"/>
              </w:rPr>
              <w:t>1.</w:t>
            </w:r>
          </w:p>
        </w:tc>
        <w:tc>
          <w:tcPr>
            <w:tcW w:w="1175" w:type="dxa"/>
          </w:tcPr>
          <w:p>
            <w:pPr>
              <w:pStyle w:val="TableParagraph"/>
              <w:spacing w:line="271" w:lineRule="exact" w:before="40"/>
              <w:ind w:left="175"/>
              <w:rPr>
                <w:b/>
                <w:sz w:val="21"/>
              </w:rPr>
            </w:pPr>
            <w:r>
              <w:rPr>
                <w:b/>
                <w:sz w:val="21"/>
              </w:rPr>
              <w:t>恶性肿</w:t>
            </w:r>
          </w:p>
        </w:tc>
        <w:tc>
          <w:tcPr>
            <w:tcW w:w="7825" w:type="dxa"/>
          </w:tcPr>
          <w:p>
            <w:pPr>
              <w:pStyle w:val="TableParagraph"/>
              <w:spacing w:line="271" w:lineRule="exact" w:before="40"/>
              <w:rPr>
                <w:sz w:val="21"/>
              </w:rPr>
            </w:pPr>
            <w:r>
              <w:rPr>
                <w:sz w:val="21"/>
              </w:rPr>
              <w:t>指恶性细胞不受控制的进行性增长和扩散，浸润和破坏周围正常组织，可以经血</w:t>
            </w:r>
          </w:p>
        </w:tc>
      </w:tr>
    </w:tbl>
    <w:p>
      <w:pPr>
        <w:spacing w:after="0" w:line="271" w:lineRule="exact"/>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381"/>
        <w:gridCol w:w="7724"/>
      </w:tblGrid>
      <w:tr>
        <w:trPr>
          <w:trHeight w:val="2716" w:hRule="atLeast"/>
        </w:trPr>
        <w:tc>
          <w:tcPr>
            <w:tcW w:w="639" w:type="dxa"/>
          </w:tcPr>
          <w:p>
            <w:pPr>
              <w:pStyle w:val="TableParagraph"/>
              <w:ind w:left="0"/>
              <w:rPr>
                <w:rFonts w:ascii="Times New Roman"/>
                <w:sz w:val="20"/>
              </w:rPr>
            </w:pPr>
          </w:p>
        </w:tc>
        <w:tc>
          <w:tcPr>
            <w:tcW w:w="1381" w:type="dxa"/>
          </w:tcPr>
          <w:p>
            <w:pPr>
              <w:pStyle w:val="TableParagraph"/>
              <w:spacing w:line="211" w:lineRule="exact"/>
              <w:ind w:left="280"/>
              <w:rPr>
                <w:b/>
                <w:sz w:val="21"/>
              </w:rPr>
            </w:pPr>
            <w:r>
              <w:rPr>
                <w:b/>
                <w:sz w:val="21"/>
              </w:rPr>
              <w:t>瘤：</w:t>
            </w:r>
          </w:p>
        </w:tc>
        <w:tc>
          <w:tcPr>
            <w:tcW w:w="7724" w:type="dxa"/>
          </w:tcPr>
          <w:p>
            <w:pPr>
              <w:pStyle w:val="TableParagraph"/>
              <w:spacing w:line="211" w:lineRule="exact"/>
              <w:ind w:left="54"/>
              <w:rPr>
                <w:sz w:val="21"/>
              </w:rPr>
            </w:pPr>
            <w:r>
              <w:rPr>
                <w:sz w:val="21"/>
              </w:rPr>
              <w:t>管、淋巴管和体腔扩散转移到身体其它部位的疾病。经病理学检查结果明确诊断，</w:t>
            </w:r>
          </w:p>
          <w:p>
            <w:pPr>
              <w:pStyle w:val="TableParagraph"/>
              <w:spacing w:line="247" w:lineRule="auto" w:before="25"/>
              <w:ind w:left="54" w:right="268"/>
              <w:rPr>
                <w:rFonts w:ascii="黑体" w:eastAsia="黑体" w:hint="eastAsia"/>
                <w:sz w:val="21"/>
              </w:rPr>
            </w:pPr>
            <w:r>
              <w:rPr>
                <w:sz w:val="21"/>
              </w:rPr>
              <w:t>临床诊断属于世界卫生组织《疾病和有关健康问题的国际统计分类》（</w:t>
            </w:r>
            <w:r>
              <w:rPr>
                <w:rFonts w:ascii="Times New Roman" w:eastAsia="Times New Roman"/>
                <w:sz w:val="21"/>
              </w:rPr>
              <w:t>ICD-10</w:t>
            </w:r>
            <w:r>
              <w:rPr>
                <w:sz w:val="21"/>
              </w:rPr>
              <w:t>） 的恶性肿瘤范畴。</w:t>
            </w:r>
            <w:r>
              <w:rPr>
                <w:rFonts w:ascii="黑体" w:eastAsia="黑体" w:hint="eastAsia"/>
                <w:sz w:val="21"/>
              </w:rPr>
              <w:t>下列疾病不在保障范围内：</w:t>
            </w:r>
          </w:p>
          <w:p>
            <w:pPr>
              <w:pStyle w:val="TableParagraph"/>
              <w:spacing w:before="18"/>
              <w:ind w:left="54"/>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before="8"/>
              <w:ind w:left="54"/>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before="8"/>
              <w:ind w:left="54"/>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before="8"/>
              <w:ind w:left="54"/>
              <w:rPr>
                <w:rFonts w:ascii="黑体" w:eastAsia="黑体" w:hint="eastAsia"/>
                <w:sz w:val="21"/>
              </w:rPr>
            </w:pPr>
            <w:r>
              <w:rPr>
                <w:rFonts w:ascii="黑体" w:eastAsia="黑体" w:hint="eastAsia"/>
                <w:w w:val="100"/>
                <w:sz w:val="21"/>
              </w:rPr>
              <w:t>（</w:t>
            </w:r>
            <w:r>
              <w:rPr>
                <w:rFonts w:ascii="Times New Roman" w:eastAsia="Times New Roman"/>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9"/>
              <w:ind w:left="54"/>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w:t>
            </w:r>
            <w:r>
              <w:rPr>
                <w:rFonts w:ascii="黑体" w:eastAsia="黑体" w:hint="eastAsia"/>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rFonts w:ascii="黑体" w:eastAsia="黑体" w:hint="eastAsia"/>
                <w:sz w:val="21"/>
                <w:vertAlign w:val="baseline"/>
              </w:rPr>
              <w:t>期或更轻分期的前列腺癌；</w:t>
            </w:r>
          </w:p>
          <w:p>
            <w:pPr>
              <w:pStyle w:val="TableParagraph"/>
              <w:spacing w:before="9"/>
              <w:ind w:left="54"/>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1912" w:hRule="atLeast"/>
        </w:trPr>
        <w:tc>
          <w:tcPr>
            <w:tcW w:w="639" w:type="dxa"/>
          </w:tcPr>
          <w:p>
            <w:pPr>
              <w:pStyle w:val="TableParagraph"/>
              <w:spacing w:before="81"/>
              <w:ind w:left="200"/>
              <w:rPr>
                <w:rFonts w:ascii="Times New Roman"/>
                <w:b/>
                <w:sz w:val="21"/>
              </w:rPr>
            </w:pPr>
            <w:r>
              <w:rPr>
                <w:rFonts w:ascii="Times New Roman"/>
                <w:b/>
                <w:sz w:val="21"/>
              </w:rPr>
              <w:t>2.</w:t>
            </w:r>
          </w:p>
        </w:tc>
        <w:tc>
          <w:tcPr>
            <w:tcW w:w="1381" w:type="dxa"/>
          </w:tcPr>
          <w:p>
            <w:pPr>
              <w:pStyle w:val="TableParagraph"/>
              <w:spacing w:line="261" w:lineRule="auto" w:before="32"/>
              <w:ind w:left="280" w:right="253"/>
              <w:rPr>
                <w:b/>
                <w:sz w:val="21"/>
              </w:rPr>
            </w:pPr>
            <w:r>
              <w:rPr>
                <w:b/>
                <w:sz w:val="21"/>
              </w:rPr>
              <w:t>急性心肌梗塞：</w:t>
            </w:r>
          </w:p>
        </w:tc>
        <w:tc>
          <w:tcPr>
            <w:tcW w:w="7724" w:type="dxa"/>
          </w:tcPr>
          <w:p>
            <w:pPr>
              <w:pStyle w:val="TableParagraph"/>
              <w:spacing w:line="261" w:lineRule="auto" w:before="32"/>
              <w:ind w:left="54" w:right="303"/>
              <w:rPr>
                <w:sz w:val="21"/>
              </w:rPr>
            </w:pPr>
            <w:r>
              <w:rPr>
                <w:sz w:val="21"/>
              </w:rPr>
              <w:t>指因冠状动脉阻塞导致的相应区域供血不足造成部分心肌坏死。须满足下列至少三项条件：</w:t>
            </w:r>
          </w:p>
          <w:p>
            <w:pPr>
              <w:pStyle w:val="TableParagraph"/>
              <w:spacing w:before="6"/>
              <w:ind w:left="54"/>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54"/>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ind w:left="54"/>
              <w:rPr>
                <w:sz w:val="21"/>
              </w:rPr>
            </w:pPr>
            <w:r>
              <w:rPr>
                <w:w w:val="100"/>
                <w:sz w:val="21"/>
              </w:rPr>
              <w:t>（</w:t>
            </w:r>
            <w:r>
              <w:rPr>
                <w:rFonts w:ascii="Times New Roman" w:eastAsia="Times New Roman"/>
                <w:w w:val="100"/>
                <w:sz w:val="21"/>
              </w:rPr>
              <w:t>3</w:t>
            </w:r>
            <w:r>
              <w:rPr>
                <w:spacing w:val="-104"/>
                <w:w w:val="100"/>
                <w:sz w:val="21"/>
              </w:rPr>
              <w:t>）</w:t>
            </w:r>
            <w:r>
              <w:rPr>
                <w:spacing w:val="-9"/>
                <w:w w:val="100"/>
                <w:sz w:val="21"/>
              </w:rPr>
              <w:t>心肌酶或肌钙蛋白有诊断意义的升高，或呈符合急性心肌梗塞的动态性变化；</w:t>
            </w:r>
          </w:p>
          <w:p>
            <w:pPr>
              <w:pStyle w:val="TableParagraph"/>
              <w:spacing w:before="9"/>
              <w:ind w:left="5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639" w:type="dxa"/>
          </w:tcPr>
          <w:p>
            <w:pPr>
              <w:pStyle w:val="TableParagraph"/>
              <w:spacing w:before="81"/>
              <w:ind w:left="200"/>
              <w:rPr>
                <w:rFonts w:ascii="Times New Roman"/>
                <w:b/>
                <w:sz w:val="21"/>
              </w:rPr>
            </w:pPr>
            <w:r>
              <w:rPr>
                <w:rFonts w:ascii="Times New Roman"/>
                <w:b/>
                <w:sz w:val="21"/>
              </w:rPr>
              <w:t>3.</w:t>
            </w:r>
          </w:p>
        </w:tc>
        <w:tc>
          <w:tcPr>
            <w:tcW w:w="1381" w:type="dxa"/>
          </w:tcPr>
          <w:p>
            <w:pPr>
              <w:pStyle w:val="TableParagraph"/>
              <w:spacing w:line="261" w:lineRule="auto" w:before="32"/>
              <w:ind w:left="280" w:right="253"/>
              <w:rPr>
                <w:b/>
                <w:sz w:val="21"/>
              </w:rPr>
            </w:pPr>
            <w:r>
              <w:rPr>
                <w:b/>
                <w:sz w:val="21"/>
              </w:rPr>
              <w:t>脑中风后遗症：</w:t>
            </w:r>
          </w:p>
        </w:tc>
        <w:tc>
          <w:tcPr>
            <w:tcW w:w="7724" w:type="dxa"/>
          </w:tcPr>
          <w:p>
            <w:pPr>
              <w:pStyle w:val="TableParagraph"/>
              <w:spacing w:line="254" w:lineRule="auto" w:before="32"/>
              <w:ind w:left="54" w:right="303"/>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ind w:left="54"/>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before="9"/>
              <w:ind w:left="54"/>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247" w:lineRule="auto" w:before="9"/>
              <w:ind w:left="579" w:right="306" w:hanging="526"/>
              <w:rPr>
                <w:sz w:val="21"/>
              </w:rPr>
            </w:pPr>
            <w:r>
              <w:rPr>
                <w:spacing w:val="-6"/>
                <w:sz w:val="21"/>
              </w:rPr>
              <w:t>（</w:t>
            </w:r>
            <w:r>
              <w:rPr>
                <w:rFonts w:ascii="Times New Roman" w:eastAsia="Times New Roman"/>
                <w:spacing w:val="-6"/>
                <w:sz w:val="21"/>
              </w:rPr>
              <w:t>3</w:t>
            </w:r>
            <w:r>
              <w:rPr>
                <w:spacing w:val="-6"/>
                <w:sz w:val="21"/>
              </w:rPr>
              <w:t>）</w:t>
            </w:r>
            <w:r>
              <w:rPr>
                <w:spacing w:val="-5"/>
                <w:sz w:val="21"/>
              </w:rPr>
              <w:t>自主生活能力完全丧失，无法独立完成</w:t>
            </w:r>
            <w:r>
              <w:rPr>
                <w:b/>
                <w:spacing w:val="-3"/>
                <w:sz w:val="21"/>
              </w:rPr>
              <w:t>六项基本日常生活活动</w:t>
            </w:r>
            <w:r>
              <w:rPr>
                <w:spacing w:val="-3"/>
                <w:sz w:val="21"/>
              </w:rPr>
              <w:t>（</w:t>
            </w:r>
            <w:r>
              <w:rPr>
                <w:spacing w:val="-15"/>
                <w:sz w:val="21"/>
              </w:rPr>
              <w:t>注 </w:t>
            </w:r>
            <w:r>
              <w:rPr>
                <w:rFonts w:ascii="Times New Roman" w:eastAsia="Times New Roman"/>
                <w:spacing w:val="-8"/>
                <w:sz w:val="21"/>
              </w:rPr>
              <w:t>4</w:t>
            </w:r>
            <w:r>
              <w:rPr>
                <w:spacing w:val="-8"/>
                <w:sz w:val="21"/>
              </w:rPr>
              <w:t>）</w:t>
            </w:r>
            <w:r>
              <w:rPr>
                <w:spacing w:val="-2"/>
                <w:sz w:val="21"/>
              </w:rPr>
              <w:t>中的</w:t>
            </w:r>
            <w:r>
              <w:rPr>
                <w:spacing w:val="-3"/>
                <w:sz w:val="21"/>
              </w:rPr>
              <w:t>三项或三项以上。</w:t>
            </w:r>
          </w:p>
        </w:tc>
      </w:tr>
      <w:tr>
        <w:trPr>
          <w:trHeight w:val="1612" w:hRule="atLeast"/>
        </w:trPr>
        <w:tc>
          <w:tcPr>
            <w:tcW w:w="639" w:type="dxa"/>
          </w:tcPr>
          <w:p>
            <w:pPr>
              <w:pStyle w:val="TableParagraph"/>
              <w:spacing w:before="89"/>
              <w:ind w:left="200"/>
              <w:rPr>
                <w:rFonts w:ascii="Times New Roman"/>
                <w:b/>
                <w:sz w:val="21"/>
              </w:rPr>
            </w:pPr>
            <w:r>
              <w:rPr>
                <w:rFonts w:ascii="Times New Roman"/>
                <w:b/>
                <w:sz w:val="21"/>
              </w:rPr>
              <w:t>4.</w:t>
            </w:r>
          </w:p>
        </w:tc>
        <w:tc>
          <w:tcPr>
            <w:tcW w:w="1381" w:type="dxa"/>
          </w:tcPr>
          <w:p>
            <w:pPr>
              <w:pStyle w:val="TableParagraph"/>
              <w:spacing w:line="261" w:lineRule="auto" w:before="40"/>
              <w:ind w:left="280" w:right="253"/>
              <w:rPr>
                <w:b/>
                <w:sz w:val="21"/>
              </w:rPr>
            </w:pPr>
            <w:r>
              <w:rPr>
                <w:b/>
                <w:sz w:val="21"/>
              </w:rPr>
              <w:t>重大器官移植术或造血干细胞移植 术：</w:t>
            </w:r>
          </w:p>
        </w:tc>
        <w:tc>
          <w:tcPr>
            <w:tcW w:w="7724" w:type="dxa"/>
          </w:tcPr>
          <w:p>
            <w:pPr>
              <w:pStyle w:val="TableParagraph"/>
              <w:spacing w:line="261" w:lineRule="auto" w:before="40"/>
              <w:ind w:left="54" w:right="303"/>
              <w:jc w:val="both"/>
              <w:rPr>
                <w:sz w:val="21"/>
              </w:rPr>
            </w:pPr>
            <w:r>
              <w:rPr>
                <w:sz w:val="21"/>
              </w:rPr>
              <w:t>重大器官移植术，指因相应器官功能衰竭，已经实施了肾脏、肝脏、心脏或肺脏的异体移植手术。</w:t>
            </w:r>
          </w:p>
          <w:p>
            <w:pPr>
              <w:pStyle w:val="TableParagraph"/>
              <w:spacing w:line="261" w:lineRule="auto" w:before="6"/>
              <w:ind w:left="54" w:right="310"/>
              <w:jc w:val="both"/>
              <w:rPr>
                <w:sz w:val="21"/>
              </w:rPr>
            </w:pPr>
            <w:r>
              <w:rPr>
                <w:sz w:val="21"/>
              </w:rPr>
              <w:t>造血干细胞移植术，指因造血功能损害或造血系统恶性肿瘤，已经实施了造血细胞（包括骨髓造血干细胞、外周血造血干细胞和脐血造血干细胞）的异体移植手术。</w:t>
            </w:r>
          </w:p>
        </w:tc>
      </w:tr>
      <w:tr>
        <w:trPr>
          <w:trHeight w:val="1912" w:hRule="atLeast"/>
        </w:trPr>
        <w:tc>
          <w:tcPr>
            <w:tcW w:w="639" w:type="dxa"/>
          </w:tcPr>
          <w:p>
            <w:pPr>
              <w:pStyle w:val="TableParagraph"/>
              <w:spacing w:before="89"/>
              <w:ind w:left="200"/>
              <w:rPr>
                <w:rFonts w:ascii="Times New Roman"/>
                <w:b/>
                <w:sz w:val="21"/>
              </w:rPr>
            </w:pPr>
            <w:r>
              <w:rPr>
                <w:rFonts w:ascii="Times New Roman"/>
                <w:b/>
                <w:sz w:val="21"/>
              </w:rPr>
              <w:t>5.</w:t>
            </w:r>
          </w:p>
        </w:tc>
        <w:tc>
          <w:tcPr>
            <w:tcW w:w="1381" w:type="dxa"/>
          </w:tcPr>
          <w:p>
            <w:pPr>
              <w:pStyle w:val="TableParagraph"/>
              <w:spacing w:line="261" w:lineRule="auto" w:before="40"/>
              <w:ind w:left="280" w:right="253"/>
              <w:rPr>
                <w:b/>
                <w:sz w:val="21"/>
              </w:rPr>
            </w:pPr>
            <w:r>
              <w:rPr>
                <w:b/>
                <w:sz w:val="21"/>
              </w:rPr>
              <w:t>冠状动脉搭桥术</w:t>
            </w:r>
          </w:p>
          <w:p>
            <w:pPr>
              <w:pStyle w:val="TableParagraph"/>
              <w:spacing w:line="261" w:lineRule="auto" w:before="6"/>
              <w:ind w:left="280" w:right="253"/>
              <w:rPr>
                <w:b/>
                <w:sz w:val="21"/>
              </w:rPr>
            </w:pPr>
            <w:r>
              <w:rPr>
                <w:b/>
                <w:sz w:val="21"/>
              </w:rPr>
              <w:t>（或称冠状动脉旁路移植 术）：</w:t>
            </w:r>
          </w:p>
        </w:tc>
        <w:tc>
          <w:tcPr>
            <w:tcW w:w="7724" w:type="dxa"/>
          </w:tcPr>
          <w:p>
            <w:pPr>
              <w:pStyle w:val="TableParagraph"/>
              <w:spacing w:line="261" w:lineRule="auto" w:before="40"/>
              <w:ind w:left="54" w:right="303"/>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612" w:hRule="atLeast"/>
        </w:trPr>
        <w:tc>
          <w:tcPr>
            <w:tcW w:w="639" w:type="dxa"/>
          </w:tcPr>
          <w:p>
            <w:pPr>
              <w:pStyle w:val="TableParagraph"/>
              <w:spacing w:before="89"/>
              <w:ind w:left="200"/>
              <w:rPr>
                <w:rFonts w:ascii="Times New Roman"/>
                <w:b/>
                <w:sz w:val="21"/>
              </w:rPr>
            </w:pPr>
            <w:r>
              <w:rPr>
                <w:rFonts w:ascii="Times New Roman"/>
                <w:b/>
                <w:sz w:val="21"/>
              </w:rPr>
              <w:t>6.</w:t>
            </w:r>
          </w:p>
        </w:tc>
        <w:tc>
          <w:tcPr>
            <w:tcW w:w="1381" w:type="dxa"/>
          </w:tcPr>
          <w:p>
            <w:pPr>
              <w:pStyle w:val="TableParagraph"/>
              <w:spacing w:line="261" w:lineRule="auto" w:before="40"/>
              <w:ind w:left="280" w:right="51"/>
              <w:rPr>
                <w:b/>
                <w:sz w:val="21"/>
              </w:rPr>
            </w:pPr>
            <w:r>
              <w:rPr>
                <w:b/>
                <w:sz w:val="21"/>
              </w:rPr>
              <w:t>终末期肾病（或称慢性肾功能衰竭尿毒症期</w:t>
            </w:r>
            <w:r>
              <w:rPr>
                <w:b/>
                <w:spacing w:val="-5"/>
                <w:sz w:val="21"/>
              </w:rPr>
              <w:t>）：</w:t>
            </w:r>
          </w:p>
        </w:tc>
        <w:tc>
          <w:tcPr>
            <w:tcW w:w="7724" w:type="dxa"/>
          </w:tcPr>
          <w:p>
            <w:pPr>
              <w:pStyle w:val="TableParagraph"/>
              <w:spacing w:line="247" w:lineRule="auto" w:before="40"/>
              <w:ind w:left="54" w:right="308"/>
              <w:rPr>
                <w:sz w:val="21"/>
              </w:rPr>
            </w:pPr>
            <w:r>
              <w:rPr>
                <w:spacing w:val="-10"/>
                <w:sz w:val="21"/>
              </w:rPr>
              <w:t>指双肾功能慢性不可逆性衰竭，达到尿毒症期，经诊断后已经进行了至少 </w:t>
            </w:r>
            <w:r>
              <w:rPr>
                <w:rFonts w:ascii="Times New Roman" w:eastAsia="Times New Roman"/>
                <w:sz w:val="21"/>
              </w:rPr>
              <w:t>90 </w:t>
            </w:r>
            <w:r>
              <w:rPr>
                <w:spacing w:val="-3"/>
                <w:sz w:val="21"/>
              </w:rPr>
              <w:t>天的规律性透析治疗或实施了肾脏移植手术。</w:t>
            </w:r>
          </w:p>
        </w:tc>
      </w:tr>
      <w:tr>
        <w:trPr>
          <w:trHeight w:val="714" w:hRule="atLeast"/>
        </w:trPr>
        <w:tc>
          <w:tcPr>
            <w:tcW w:w="639" w:type="dxa"/>
          </w:tcPr>
          <w:p>
            <w:pPr>
              <w:pStyle w:val="TableParagraph"/>
              <w:spacing w:before="89"/>
              <w:ind w:left="200"/>
              <w:rPr>
                <w:rFonts w:ascii="Times New Roman"/>
                <w:b/>
                <w:sz w:val="21"/>
              </w:rPr>
            </w:pPr>
            <w:r>
              <w:rPr>
                <w:rFonts w:ascii="Times New Roman"/>
                <w:b/>
                <w:sz w:val="21"/>
              </w:rPr>
              <w:t>7.</w:t>
            </w:r>
          </w:p>
        </w:tc>
        <w:tc>
          <w:tcPr>
            <w:tcW w:w="1381" w:type="dxa"/>
          </w:tcPr>
          <w:p>
            <w:pPr>
              <w:pStyle w:val="TableParagraph"/>
              <w:spacing w:line="261" w:lineRule="auto" w:before="40"/>
              <w:ind w:left="280" w:right="253"/>
              <w:rPr>
                <w:b/>
                <w:sz w:val="21"/>
              </w:rPr>
            </w:pPr>
            <w:r>
              <w:rPr>
                <w:b/>
                <w:sz w:val="21"/>
              </w:rPr>
              <w:t>多个肢体缺失：</w:t>
            </w:r>
          </w:p>
        </w:tc>
        <w:tc>
          <w:tcPr>
            <w:tcW w:w="7724" w:type="dxa"/>
          </w:tcPr>
          <w:p>
            <w:pPr>
              <w:pStyle w:val="TableParagraph"/>
              <w:spacing w:line="261" w:lineRule="auto" w:before="40"/>
              <w:ind w:left="54" w:right="310"/>
              <w:rPr>
                <w:sz w:val="21"/>
              </w:rPr>
            </w:pPr>
            <w:r>
              <w:rPr>
                <w:sz w:val="21"/>
              </w:rPr>
              <w:t>指因疾病或意外伤害导致两个或两个以上肢体自腕关节或踝关节近端（靠近躯干端）以上完全性断离。</w:t>
            </w:r>
          </w:p>
        </w:tc>
      </w:tr>
      <w:tr>
        <w:trPr>
          <w:trHeight w:val="932" w:hRule="atLeast"/>
        </w:trPr>
        <w:tc>
          <w:tcPr>
            <w:tcW w:w="639" w:type="dxa"/>
          </w:tcPr>
          <w:p>
            <w:pPr>
              <w:pStyle w:val="TableParagraph"/>
              <w:spacing w:before="90"/>
              <w:ind w:left="200"/>
              <w:rPr>
                <w:rFonts w:ascii="Times New Roman"/>
                <w:b/>
                <w:sz w:val="21"/>
              </w:rPr>
            </w:pPr>
            <w:r>
              <w:rPr>
                <w:rFonts w:ascii="Times New Roman"/>
                <w:b/>
                <w:sz w:val="21"/>
              </w:rPr>
              <w:t>8.</w:t>
            </w:r>
          </w:p>
        </w:tc>
        <w:tc>
          <w:tcPr>
            <w:tcW w:w="1381" w:type="dxa"/>
          </w:tcPr>
          <w:p>
            <w:pPr>
              <w:pStyle w:val="TableParagraph"/>
              <w:spacing w:line="300" w:lineRule="atLeast" w:before="16"/>
              <w:ind w:left="280" w:right="253"/>
              <w:jc w:val="both"/>
              <w:rPr>
                <w:b/>
                <w:sz w:val="21"/>
              </w:rPr>
            </w:pPr>
            <w:r>
              <w:rPr>
                <w:b/>
                <w:sz w:val="21"/>
              </w:rPr>
              <w:t>急性或亚急性重症肝炎：</w:t>
            </w:r>
          </w:p>
        </w:tc>
        <w:tc>
          <w:tcPr>
            <w:tcW w:w="7724" w:type="dxa"/>
          </w:tcPr>
          <w:p>
            <w:pPr>
              <w:pStyle w:val="TableParagraph"/>
              <w:spacing w:line="261" w:lineRule="auto" w:before="41"/>
              <w:ind w:left="54" w:right="303"/>
              <w:rPr>
                <w:sz w:val="21"/>
              </w:rPr>
            </w:pPr>
            <w:r>
              <w:rPr>
                <w:sz w:val="21"/>
              </w:rPr>
              <w:t>指因肝炎病毒感染引起肝脏组织弥漫性坏死，导致急性肝功能衰竭，且经血清学或病毒学检查证实，并须满足下列全部条件：</w:t>
            </w:r>
          </w:p>
          <w:p>
            <w:pPr>
              <w:pStyle w:val="TableParagraph"/>
              <w:spacing w:line="271" w:lineRule="exact" w:before="5"/>
              <w:ind w:left="54"/>
              <w:rPr>
                <w:sz w:val="21"/>
              </w:rPr>
            </w:pPr>
            <w:r>
              <w:rPr>
                <w:sz w:val="21"/>
              </w:rPr>
              <w:t>（</w:t>
            </w:r>
            <w:r>
              <w:rPr>
                <w:rFonts w:ascii="Times New Roman" w:eastAsia="Times New Roman"/>
                <w:sz w:val="21"/>
              </w:rPr>
              <w:t>1</w:t>
            </w:r>
            <w:r>
              <w:rPr>
                <w:sz w:val="21"/>
              </w:rPr>
              <w:t>）重度黄疸或黄疸迅速加重；</w:t>
            </w:r>
          </w:p>
        </w:tc>
      </w:tr>
    </w:tbl>
    <w:p>
      <w:pPr>
        <w:spacing w:after="0" w:line="271" w:lineRule="exact"/>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7"/>
        <w:gridCol w:w="7819"/>
      </w:tblGrid>
      <w:tr>
        <w:trPr>
          <w:trHeight w:val="923" w:hRule="atLeast"/>
        </w:trPr>
        <w:tc>
          <w:tcPr>
            <w:tcW w:w="692" w:type="dxa"/>
          </w:tcPr>
          <w:p>
            <w:pPr>
              <w:pStyle w:val="TableParagraph"/>
              <w:ind w:left="0"/>
              <w:rPr>
                <w:rFonts w:ascii="Times New Roman"/>
                <w:sz w:val="20"/>
              </w:rPr>
            </w:pPr>
          </w:p>
        </w:tc>
        <w:tc>
          <w:tcPr>
            <w:tcW w:w="1227" w:type="dxa"/>
          </w:tcPr>
          <w:p>
            <w:pPr>
              <w:pStyle w:val="TableParagraph"/>
              <w:ind w:left="0"/>
              <w:rPr>
                <w:rFonts w:ascii="Times New Roman"/>
                <w:sz w:val="20"/>
              </w:rPr>
            </w:pPr>
          </w:p>
        </w:tc>
        <w:tc>
          <w:tcPr>
            <w:tcW w:w="7819" w:type="dxa"/>
          </w:tcPr>
          <w:p>
            <w:pPr>
              <w:pStyle w:val="TableParagraph"/>
              <w:spacing w:line="227" w:lineRule="exact"/>
              <w:ind w:left="155"/>
              <w:rPr>
                <w:sz w:val="21"/>
              </w:rPr>
            </w:pPr>
            <w:r>
              <w:rPr>
                <w:sz w:val="21"/>
              </w:rPr>
              <w:t>（</w:t>
            </w:r>
            <w:r>
              <w:rPr>
                <w:rFonts w:ascii="Times New Roman" w:eastAsia="Times New Roman"/>
                <w:sz w:val="21"/>
              </w:rPr>
              <w:t>2</w:t>
            </w:r>
            <w:r>
              <w:rPr>
                <w:sz w:val="21"/>
              </w:rPr>
              <w:t>）肝性脑病；</w:t>
            </w:r>
          </w:p>
          <w:p>
            <w:pPr>
              <w:pStyle w:val="TableParagraph"/>
              <w:spacing w:before="9"/>
              <w:ind w:left="155"/>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ind w:left="155"/>
              <w:rPr>
                <w:sz w:val="21"/>
              </w:rPr>
            </w:pPr>
            <w:r>
              <w:rPr>
                <w:sz w:val="21"/>
              </w:rPr>
              <w:t>（</w:t>
            </w:r>
            <w:r>
              <w:rPr>
                <w:rFonts w:ascii="Times New Roman" w:eastAsia="Times New Roman"/>
                <w:sz w:val="21"/>
              </w:rPr>
              <w:t>4</w:t>
            </w:r>
            <w:r>
              <w:rPr>
                <w:sz w:val="21"/>
              </w:rPr>
              <w:t>）肝功能指标进行性恶化。</w:t>
            </w:r>
          </w:p>
        </w:tc>
      </w:tr>
      <w:tr>
        <w:trPr>
          <w:trHeight w:val="2204" w:hRule="atLeast"/>
        </w:trPr>
        <w:tc>
          <w:tcPr>
            <w:tcW w:w="692" w:type="dxa"/>
          </w:tcPr>
          <w:p>
            <w:pPr>
              <w:pStyle w:val="TableParagraph"/>
              <w:spacing w:before="75"/>
              <w:ind w:left="200"/>
              <w:rPr>
                <w:rFonts w:ascii="Times New Roman"/>
                <w:b/>
                <w:sz w:val="21"/>
              </w:rPr>
            </w:pPr>
            <w:r>
              <w:rPr>
                <w:rFonts w:ascii="Times New Roman"/>
                <w:b/>
                <w:sz w:val="21"/>
              </w:rPr>
              <w:t>9.</w:t>
            </w:r>
          </w:p>
        </w:tc>
        <w:tc>
          <w:tcPr>
            <w:tcW w:w="1227" w:type="dxa"/>
          </w:tcPr>
          <w:p>
            <w:pPr>
              <w:pStyle w:val="TableParagraph"/>
              <w:spacing w:line="261" w:lineRule="auto" w:before="26"/>
              <w:ind w:left="228" w:right="152"/>
              <w:rPr>
                <w:b/>
                <w:sz w:val="21"/>
              </w:rPr>
            </w:pPr>
            <w:r>
              <w:rPr>
                <w:b/>
                <w:sz w:val="21"/>
              </w:rPr>
              <w:t>良性脑肿瘤：</w:t>
            </w:r>
          </w:p>
        </w:tc>
        <w:tc>
          <w:tcPr>
            <w:tcW w:w="7819" w:type="dxa"/>
          </w:tcPr>
          <w:p>
            <w:pPr>
              <w:pStyle w:val="TableParagraph"/>
              <w:spacing w:line="261" w:lineRule="auto" w:before="26"/>
              <w:ind w:left="155" w:right="200"/>
              <w:rPr>
                <w:sz w:val="21"/>
              </w:rPr>
            </w:pPr>
            <w:r>
              <w:rPr>
                <w:spacing w:val="-10"/>
                <w:sz w:val="21"/>
              </w:rPr>
              <w:t>指脑的良性肿瘤，已经引起颅内压增高，临床表现为视神经乳头水肿、精神症状、</w:t>
            </w:r>
            <w:r>
              <w:rPr>
                <w:spacing w:val="-6"/>
                <w:sz w:val="21"/>
              </w:rPr>
              <w:t>癫痫及运动感觉障碍等，并危及生命。须由头颅断层扫描</w:t>
            </w:r>
            <w:r>
              <w:rPr>
                <w:spacing w:val="-4"/>
                <w:sz w:val="21"/>
              </w:rPr>
              <w:t>（</w:t>
            </w:r>
            <w:r>
              <w:rPr>
                <w:rFonts w:ascii="Times New Roman" w:eastAsia="Times New Roman"/>
                <w:spacing w:val="-4"/>
                <w:sz w:val="21"/>
              </w:rPr>
              <w:t>CT</w:t>
            </w:r>
            <w:r>
              <w:rPr>
                <w:spacing w:val="-4"/>
                <w:sz w:val="21"/>
              </w:rPr>
              <w:t>）</w:t>
            </w:r>
            <w:r>
              <w:rPr>
                <w:spacing w:val="-5"/>
                <w:sz w:val="21"/>
              </w:rPr>
              <w:t>、核磁共振检查</w:t>
            </w:r>
          </w:p>
          <w:p>
            <w:pPr>
              <w:pStyle w:val="TableParagraph"/>
              <w:spacing w:line="247" w:lineRule="auto"/>
              <w:ind w:left="155" w:right="301"/>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0"/>
              <w:ind w:left="155"/>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
              <w:ind w:left="155"/>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ind w:left="155"/>
              <w:rPr>
                <w:rFonts w:ascii="黑体" w:eastAsia="黑体" w:hint="eastAsia"/>
                <w:sz w:val="21"/>
              </w:rPr>
            </w:pPr>
            <w:r>
              <w:rPr>
                <w:rFonts w:ascii="黑体" w:eastAsia="黑体" w:hint="eastAsia"/>
                <w:sz w:val="21"/>
              </w:rPr>
              <w:t>脑垂体瘤、脑囊肿、脑血管性疾病不在保障范围内。</w:t>
            </w:r>
          </w:p>
        </w:tc>
      </w:tr>
      <w:tr>
        <w:trPr>
          <w:trHeight w:val="1912" w:hRule="atLeast"/>
        </w:trPr>
        <w:tc>
          <w:tcPr>
            <w:tcW w:w="692" w:type="dxa"/>
          </w:tcPr>
          <w:p>
            <w:pPr>
              <w:pStyle w:val="TableParagraph"/>
              <w:spacing w:before="83"/>
              <w:ind w:left="200"/>
              <w:rPr>
                <w:rFonts w:ascii="Times New Roman"/>
                <w:b/>
                <w:sz w:val="21"/>
              </w:rPr>
            </w:pPr>
            <w:r>
              <w:rPr>
                <w:rFonts w:ascii="Times New Roman"/>
                <w:b/>
                <w:sz w:val="21"/>
              </w:rPr>
              <w:t>10.</w:t>
            </w:r>
          </w:p>
        </w:tc>
        <w:tc>
          <w:tcPr>
            <w:tcW w:w="1227" w:type="dxa"/>
          </w:tcPr>
          <w:p>
            <w:pPr>
              <w:pStyle w:val="TableParagraph"/>
              <w:spacing w:line="261" w:lineRule="auto" w:before="34"/>
              <w:ind w:left="228" w:right="152"/>
              <w:jc w:val="both"/>
              <w:rPr>
                <w:b/>
                <w:sz w:val="21"/>
              </w:rPr>
            </w:pPr>
            <w:r>
              <w:rPr>
                <w:b/>
                <w:sz w:val="21"/>
              </w:rPr>
              <w:t>慢性肝功能衰竭失代偿期：</w:t>
            </w:r>
          </w:p>
        </w:tc>
        <w:tc>
          <w:tcPr>
            <w:tcW w:w="7819" w:type="dxa"/>
          </w:tcPr>
          <w:p>
            <w:pPr>
              <w:pStyle w:val="TableParagraph"/>
              <w:spacing w:before="34"/>
              <w:ind w:left="155"/>
              <w:rPr>
                <w:sz w:val="21"/>
              </w:rPr>
            </w:pPr>
            <w:r>
              <w:rPr>
                <w:sz w:val="21"/>
              </w:rPr>
              <w:t>指因慢性肝脏疾病导致肝功能衰竭。须满足下列全部条件：</w:t>
            </w:r>
          </w:p>
          <w:p>
            <w:pPr>
              <w:pStyle w:val="TableParagraph"/>
              <w:spacing w:before="25"/>
              <w:ind w:left="155"/>
              <w:rPr>
                <w:sz w:val="21"/>
              </w:rPr>
            </w:pPr>
            <w:r>
              <w:rPr>
                <w:sz w:val="21"/>
              </w:rPr>
              <w:t>（</w:t>
            </w:r>
            <w:r>
              <w:rPr>
                <w:rFonts w:ascii="Times New Roman" w:eastAsia="Times New Roman"/>
                <w:sz w:val="21"/>
              </w:rPr>
              <w:t>1</w:t>
            </w:r>
            <w:r>
              <w:rPr>
                <w:sz w:val="21"/>
              </w:rPr>
              <w:t>）持续性黄疸；</w:t>
            </w:r>
          </w:p>
          <w:p>
            <w:pPr>
              <w:pStyle w:val="TableParagraph"/>
              <w:spacing w:before="9"/>
              <w:ind w:left="155"/>
              <w:rPr>
                <w:sz w:val="21"/>
              </w:rPr>
            </w:pPr>
            <w:r>
              <w:rPr>
                <w:sz w:val="21"/>
              </w:rPr>
              <w:t>（</w:t>
            </w:r>
            <w:r>
              <w:rPr>
                <w:rFonts w:ascii="Times New Roman" w:eastAsia="Times New Roman"/>
                <w:sz w:val="21"/>
              </w:rPr>
              <w:t>2</w:t>
            </w:r>
            <w:r>
              <w:rPr>
                <w:sz w:val="21"/>
              </w:rPr>
              <w:t>）腹水；</w:t>
            </w:r>
          </w:p>
          <w:p>
            <w:pPr>
              <w:pStyle w:val="TableParagraph"/>
              <w:spacing w:before="9"/>
              <w:ind w:left="155"/>
              <w:rPr>
                <w:sz w:val="21"/>
              </w:rPr>
            </w:pPr>
            <w:r>
              <w:rPr>
                <w:sz w:val="21"/>
              </w:rPr>
              <w:t>（</w:t>
            </w:r>
            <w:r>
              <w:rPr>
                <w:rFonts w:ascii="Times New Roman" w:eastAsia="Times New Roman"/>
                <w:sz w:val="21"/>
              </w:rPr>
              <w:t>3</w:t>
            </w:r>
            <w:r>
              <w:rPr>
                <w:sz w:val="21"/>
              </w:rPr>
              <w:t>）肝性脑病；</w:t>
            </w:r>
          </w:p>
          <w:p>
            <w:pPr>
              <w:pStyle w:val="TableParagraph"/>
              <w:spacing w:before="9"/>
              <w:ind w:left="155"/>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ind w:left="155"/>
              <w:rPr>
                <w:rFonts w:ascii="黑体" w:eastAsia="黑体" w:hint="eastAsia"/>
                <w:sz w:val="21"/>
              </w:rPr>
            </w:pPr>
            <w:r>
              <w:rPr>
                <w:rFonts w:ascii="黑体" w:eastAsia="黑体" w:hint="eastAsia"/>
                <w:sz w:val="21"/>
              </w:rPr>
              <w:t>因酗酒或药物滥用导致的肝功能衰竭不在保障范围内。</w:t>
            </w:r>
          </w:p>
        </w:tc>
      </w:tr>
      <w:tr>
        <w:trPr>
          <w:trHeight w:val="1913" w:hRule="atLeast"/>
        </w:trPr>
        <w:tc>
          <w:tcPr>
            <w:tcW w:w="692" w:type="dxa"/>
          </w:tcPr>
          <w:p>
            <w:pPr>
              <w:pStyle w:val="TableParagraph"/>
              <w:spacing w:before="83"/>
              <w:ind w:left="200"/>
              <w:rPr>
                <w:rFonts w:ascii="Times New Roman"/>
                <w:b/>
                <w:sz w:val="21"/>
              </w:rPr>
            </w:pPr>
            <w:r>
              <w:rPr>
                <w:rFonts w:ascii="Times New Roman"/>
                <w:b/>
                <w:sz w:val="21"/>
              </w:rPr>
              <w:t>11.</w:t>
            </w:r>
          </w:p>
        </w:tc>
        <w:tc>
          <w:tcPr>
            <w:tcW w:w="1227" w:type="dxa"/>
          </w:tcPr>
          <w:p>
            <w:pPr>
              <w:pStyle w:val="TableParagraph"/>
              <w:spacing w:line="261" w:lineRule="auto" w:before="34"/>
              <w:ind w:left="228" w:right="152"/>
              <w:rPr>
                <w:b/>
                <w:sz w:val="21"/>
              </w:rPr>
            </w:pPr>
            <w:r>
              <w:rPr>
                <w:b/>
                <w:sz w:val="21"/>
              </w:rPr>
              <w:t>脑炎后遗症或脑膜炎后遗 症：</w:t>
            </w:r>
          </w:p>
        </w:tc>
        <w:tc>
          <w:tcPr>
            <w:tcW w:w="7819" w:type="dxa"/>
          </w:tcPr>
          <w:p>
            <w:pPr>
              <w:pStyle w:val="TableParagraph"/>
              <w:spacing w:line="261" w:lineRule="auto" w:before="34"/>
              <w:ind w:left="155" w:right="297"/>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ind w:left="155"/>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155"/>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81" w:right="297"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自主生活能力完全丧失，无法独立完成六项基本日常生活活动中的三项或三</w:t>
            </w:r>
            <w:r>
              <w:rPr>
                <w:spacing w:val="-6"/>
                <w:sz w:val="21"/>
              </w:rPr>
              <w:t>项以上。</w:t>
            </w:r>
          </w:p>
        </w:tc>
      </w:tr>
      <w:tr>
        <w:trPr>
          <w:trHeight w:val="1312" w:hRule="atLeast"/>
        </w:trPr>
        <w:tc>
          <w:tcPr>
            <w:tcW w:w="692" w:type="dxa"/>
          </w:tcPr>
          <w:p>
            <w:pPr>
              <w:pStyle w:val="TableParagraph"/>
              <w:spacing w:before="83"/>
              <w:ind w:left="200"/>
              <w:rPr>
                <w:rFonts w:ascii="Times New Roman"/>
                <w:b/>
                <w:sz w:val="21"/>
              </w:rPr>
            </w:pPr>
            <w:r>
              <w:rPr>
                <w:rFonts w:ascii="Times New Roman"/>
                <w:b/>
                <w:sz w:val="21"/>
              </w:rPr>
              <w:t>12.</w:t>
            </w:r>
          </w:p>
        </w:tc>
        <w:tc>
          <w:tcPr>
            <w:tcW w:w="1227" w:type="dxa"/>
          </w:tcPr>
          <w:p>
            <w:pPr>
              <w:pStyle w:val="TableParagraph"/>
              <w:spacing w:line="261" w:lineRule="auto" w:before="33"/>
              <w:ind w:left="228" w:right="363"/>
              <w:rPr>
                <w:b/>
                <w:sz w:val="21"/>
              </w:rPr>
            </w:pPr>
            <w:r>
              <w:rPr>
                <w:b/>
                <w:sz w:val="21"/>
              </w:rPr>
              <w:t>深度昏迷：</w:t>
            </w:r>
          </w:p>
        </w:tc>
        <w:tc>
          <w:tcPr>
            <w:tcW w:w="7819" w:type="dxa"/>
          </w:tcPr>
          <w:p>
            <w:pPr>
              <w:pStyle w:val="TableParagraph"/>
              <w:spacing w:line="254" w:lineRule="auto" w:before="33"/>
              <w:ind w:left="155" w:right="298"/>
              <w:jc w:val="both"/>
              <w:rPr>
                <w:sz w:val="21"/>
              </w:rPr>
            </w:pPr>
            <w:r>
              <w:rPr>
                <w:spacing w:val="-4"/>
                <w:sz w:val="21"/>
              </w:rPr>
              <w:t>指因疾病或意外伤害导致意识丧失，对外界刺激和体内需求均无反应，昏迷程度</w:t>
            </w:r>
            <w:r>
              <w:rPr>
                <w:spacing w:val="-5"/>
                <w:sz w:val="21"/>
              </w:rPr>
              <w:t>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7"/>
                <w:sz w:val="21"/>
              </w:rPr>
              <w:t>分或 </w:t>
            </w:r>
            <w:r>
              <w:rPr>
                <w:rFonts w:ascii="Times New Roman" w:eastAsia="Times New Roman"/>
                <w:sz w:val="21"/>
              </w:rPr>
              <w:t>5 </w:t>
            </w:r>
            <w:r>
              <w:rPr>
                <w:spacing w:val="-5"/>
                <w:sz w:val="21"/>
              </w:rPr>
              <w:t>分以下，且已经持</w:t>
            </w:r>
            <w:r>
              <w:rPr>
                <w:spacing w:val="-7"/>
                <w:sz w:val="21"/>
              </w:rPr>
              <w:t>续使用呼吸机及其它生命维持系统 </w:t>
            </w:r>
            <w:r>
              <w:rPr>
                <w:rFonts w:ascii="Times New Roman" w:eastAsia="Times New Roman"/>
                <w:sz w:val="21"/>
              </w:rPr>
              <w:t>96 </w:t>
            </w:r>
            <w:r>
              <w:rPr>
                <w:spacing w:val="-3"/>
                <w:sz w:val="21"/>
              </w:rPr>
              <w:t>小时以上。</w:t>
            </w:r>
          </w:p>
          <w:p>
            <w:pPr>
              <w:pStyle w:val="TableParagraph"/>
              <w:spacing w:line="270" w:lineRule="exact"/>
              <w:ind w:left="155"/>
              <w:jc w:val="both"/>
              <w:rPr>
                <w:rFonts w:ascii="黑体" w:eastAsia="黑体" w:hint="eastAsia"/>
                <w:sz w:val="21"/>
              </w:rPr>
            </w:pPr>
            <w:r>
              <w:rPr>
                <w:rFonts w:ascii="黑体" w:eastAsia="黑体" w:hint="eastAsia"/>
                <w:sz w:val="21"/>
              </w:rPr>
              <w:t>因酗酒或药物滥用导致的深度昏迷不在保障范围内。</w:t>
            </w:r>
          </w:p>
        </w:tc>
      </w:tr>
      <w:tr>
        <w:trPr>
          <w:trHeight w:val="1012" w:hRule="atLeast"/>
        </w:trPr>
        <w:tc>
          <w:tcPr>
            <w:tcW w:w="692" w:type="dxa"/>
          </w:tcPr>
          <w:p>
            <w:pPr>
              <w:pStyle w:val="TableParagraph"/>
              <w:spacing w:before="83"/>
              <w:ind w:left="200"/>
              <w:rPr>
                <w:rFonts w:ascii="Times New Roman"/>
                <w:b/>
                <w:sz w:val="21"/>
              </w:rPr>
            </w:pPr>
            <w:r>
              <w:rPr>
                <w:rFonts w:ascii="Times New Roman"/>
                <w:b/>
                <w:sz w:val="21"/>
              </w:rPr>
              <w:t>13.</w:t>
            </w:r>
          </w:p>
        </w:tc>
        <w:tc>
          <w:tcPr>
            <w:tcW w:w="1227" w:type="dxa"/>
          </w:tcPr>
          <w:p>
            <w:pPr>
              <w:pStyle w:val="TableParagraph"/>
              <w:spacing w:line="261" w:lineRule="auto" w:before="34"/>
              <w:ind w:left="228" w:right="363"/>
              <w:rPr>
                <w:b/>
                <w:sz w:val="21"/>
              </w:rPr>
            </w:pPr>
            <w:r>
              <w:rPr>
                <w:b/>
                <w:sz w:val="21"/>
              </w:rPr>
              <w:t>双耳失聪：</w:t>
            </w:r>
          </w:p>
        </w:tc>
        <w:tc>
          <w:tcPr>
            <w:tcW w:w="7819" w:type="dxa"/>
          </w:tcPr>
          <w:p>
            <w:pPr>
              <w:pStyle w:val="TableParagraph"/>
              <w:spacing w:line="247" w:lineRule="auto" w:before="34"/>
              <w:ind w:left="155" w:right="304" w:hanging="1"/>
              <w:jc w:val="both"/>
              <w:rPr>
                <w:sz w:val="21"/>
              </w:rPr>
            </w:pPr>
            <w:r>
              <w:rPr>
                <w:spacing w:val="-3"/>
                <w:sz w:val="21"/>
              </w:rPr>
              <w:t>指因疾病或意外伤害导致双耳听力</w:t>
            </w:r>
            <w:r>
              <w:rPr>
                <w:b/>
                <w:spacing w:val="-8"/>
                <w:sz w:val="21"/>
              </w:rPr>
              <w:t>永久不可逆</w:t>
            </w:r>
            <w:r>
              <w:rPr>
                <w:spacing w:val="-3"/>
                <w:sz w:val="21"/>
              </w:rPr>
              <w:t>（</w:t>
            </w:r>
            <w:r>
              <w:rPr>
                <w:spacing w:val="-22"/>
                <w:sz w:val="21"/>
              </w:rPr>
              <w:t>注 </w:t>
            </w:r>
            <w:r>
              <w:rPr>
                <w:rFonts w:ascii="Times New Roman" w:eastAsia="Times New Roman"/>
                <w:spacing w:val="-21"/>
                <w:sz w:val="21"/>
              </w:rPr>
              <w:t>5</w:t>
            </w:r>
            <w:r>
              <w:rPr>
                <w:spacing w:val="-21"/>
                <w:sz w:val="21"/>
              </w:rPr>
              <w:t>）</w:t>
            </w:r>
            <w:r>
              <w:rPr>
                <w:spacing w:val="-16"/>
                <w:sz w:val="21"/>
              </w:rPr>
              <w:t>性丧失，在 </w:t>
            </w:r>
            <w:r>
              <w:rPr>
                <w:rFonts w:ascii="Times New Roman" w:eastAsia="Times New Roman"/>
                <w:sz w:val="21"/>
              </w:rPr>
              <w:t>500 </w:t>
            </w:r>
            <w:r>
              <w:rPr>
                <w:spacing w:val="-15"/>
                <w:sz w:val="21"/>
              </w:rPr>
              <w:t>赫兹、</w:t>
            </w:r>
            <w:r>
              <w:rPr>
                <w:rFonts w:ascii="Times New Roman" w:eastAsia="Times New Roman"/>
                <w:spacing w:val="-3"/>
                <w:sz w:val="21"/>
              </w:rPr>
              <w:t>1000 </w:t>
            </w:r>
            <w:r>
              <w:rPr>
                <w:spacing w:val="-13"/>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22" w:hRule="atLeast"/>
        </w:trPr>
        <w:tc>
          <w:tcPr>
            <w:tcW w:w="692" w:type="dxa"/>
          </w:tcPr>
          <w:p>
            <w:pPr>
              <w:pStyle w:val="TableParagraph"/>
              <w:spacing w:before="83"/>
              <w:ind w:left="200"/>
              <w:rPr>
                <w:rFonts w:ascii="Times New Roman"/>
                <w:b/>
                <w:sz w:val="21"/>
              </w:rPr>
            </w:pPr>
            <w:r>
              <w:rPr>
                <w:rFonts w:ascii="Times New Roman"/>
                <w:b/>
                <w:sz w:val="21"/>
              </w:rPr>
              <w:t>14.</w:t>
            </w:r>
          </w:p>
        </w:tc>
        <w:tc>
          <w:tcPr>
            <w:tcW w:w="1227" w:type="dxa"/>
          </w:tcPr>
          <w:p>
            <w:pPr>
              <w:pStyle w:val="TableParagraph"/>
              <w:spacing w:line="261" w:lineRule="auto" w:before="34"/>
              <w:ind w:left="228" w:right="363"/>
              <w:rPr>
                <w:b/>
                <w:sz w:val="21"/>
              </w:rPr>
            </w:pPr>
            <w:r>
              <w:rPr>
                <w:b/>
                <w:sz w:val="21"/>
              </w:rPr>
              <w:t>双目失明：</w:t>
            </w:r>
          </w:p>
        </w:tc>
        <w:tc>
          <w:tcPr>
            <w:tcW w:w="7819" w:type="dxa"/>
          </w:tcPr>
          <w:p>
            <w:pPr>
              <w:pStyle w:val="TableParagraph"/>
              <w:spacing w:line="261" w:lineRule="auto" w:before="34"/>
              <w:ind w:left="155" w:right="297"/>
              <w:rPr>
                <w:sz w:val="21"/>
              </w:rPr>
            </w:pPr>
            <w:r>
              <w:rPr>
                <w:sz w:val="21"/>
              </w:rPr>
              <w:t>指因疾病或意外伤害导致双眼视力永久不可逆性丧失，双眼中较好眼须满足下列至少一项条件：</w:t>
            </w:r>
          </w:p>
          <w:p>
            <w:pPr>
              <w:pStyle w:val="TableParagraph"/>
              <w:spacing w:before="6"/>
              <w:ind w:left="155"/>
              <w:rPr>
                <w:sz w:val="21"/>
              </w:rPr>
            </w:pPr>
            <w:r>
              <w:rPr>
                <w:sz w:val="21"/>
              </w:rPr>
              <w:t>（</w:t>
            </w:r>
            <w:r>
              <w:rPr>
                <w:rFonts w:ascii="Times New Roman" w:eastAsia="Times New Roman"/>
                <w:sz w:val="21"/>
              </w:rPr>
              <w:t>1</w:t>
            </w:r>
            <w:r>
              <w:rPr>
                <w:sz w:val="21"/>
              </w:rPr>
              <w:t>）眼球缺失或摘除；</w:t>
            </w:r>
          </w:p>
          <w:p>
            <w:pPr>
              <w:pStyle w:val="TableParagraph"/>
              <w:spacing w:before="9"/>
              <w:ind w:left="155"/>
              <w:rPr>
                <w:sz w:val="21"/>
              </w:rPr>
            </w:pPr>
            <w:r>
              <w:rPr>
                <w:w w:val="100"/>
                <w:sz w:val="21"/>
              </w:rPr>
              <w:t>（</w:t>
            </w:r>
            <w:r>
              <w:rPr>
                <w:rFonts w:ascii="Times New Roman" w:eastAsia="Times New Roman"/>
                <w:w w:val="100"/>
                <w:sz w:val="21"/>
              </w:rPr>
              <w:t>2</w:t>
            </w:r>
            <w:r>
              <w:rPr>
                <w:spacing w:val="-106"/>
                <w:w w:val="100"/>
                <w:sz w:val="21"/>
              </w:rPr>
              <w:t>）</w:t>
            </w:r>
            <w:r>
              <w:rPr>
                <w:spacing w:val="-3"/>
                <w:w w:val="100"/>
                <w:sz w:val="21"/>
              </w:rPr>
              <w:t>矫正视力低于</w:t>
            </w:r>
            <w:r>
              <w:rPr>
                <w:spacing w:val="-53"/>
                <w:sz w:val="21"/>
              </w:rPr>
              <w:t> </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104"/>
                <w:w w:val="100"/>
                <w:sz w:val="21"/>
              </w:rPr>
              <w:t>2</w:t>
            </w:r>
            <w:r>
              <w:rPr>
                <w:spacing w:val="-3"/>
                <w:w w:val="100"/>
                <w:sz w:val="21"/>
              </w:rPr>
              <w:t>（</w:t>
            </w:r>
            <w:r>
              <w:rPr>
                <w:spacing w:val="-12"/>
                <w:w w:val="100"/>
                <w:sz w:val="21"/>
              </w:rPr>
              <w:t>采用国际标准视力表，如果使用其他视力表应进行换算</w:t>
            </w:r>
            <w:r>
              <w:rPr>
                <w:spacing w:val="-106"/>
                <w:w w:val="100"/>
                <w:sz w:val="21"/>
              </w:rPr>
              <w:t>）</w:t>
            </w:r>
            <w:r>
              <w:rPr>
                <w:w w:val="100"/>
                <w:sz w:val="21"/>
              </w:rPr>
              <w:t>；</w:t>
            </w:r>
          </w:p>
          <w:p>
            <w:pPr>
              <w:pStyle w:val="TableParagraph"/>
              <w:spacing w:before="9"/>
              <w:ind w:left="15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5" w:hRule="atLeast"/>
        </w:trPr>
        <w:tc>
          <w:tcPr>
            <w:tcW w:w="692" w:type="dxa"/>
          </w:tcPr>
          <w:p>
            <w:pPr>
              <w:pStyle w:val="TableParagraph"/>
              <w:spacing w:before="76"/>
              <w:ind w:left="200"/>
              <w:rPr>
                <w:rFonts w:ascii="Times New Roman"/>
                <w:b/>
                <w:sz w:val="21"/>
              </w:rPr>
            </w:pPr>
            <w:r>
              <w:rPr>
                <w:rFonts w:ascii="Times New Roman"/>
                <w:b/>
                <w:sz w:val="21"/>
              </w:rPr>
              <w:t>15.</w:t>
            </w:r>
          </w:p>
        </w:tc>
        <w:tc>
          <w:tcPr>
            <w:tcW w:w="1227" w:type="dxa"/>
          </w:tcPr>
          <w:p>
            <w:pPr>
              <w:pStyle w:val="TableParagraph"/>
              <w:spacing w:before="27"/>
              <w:ind w:left="228"/>
              <w:rPr>
                <w:b/>
                <w:sz w:val="21"/>
              </w:rPr>
            </w:pPr>
            <w:r>
              <w:rPr>
                <w:b/>
                <w:sz w:val="21"/>
              </w:rPr>
              <w:t>瘫痪：</w:t>
            </w:r>
          </w:p>
        </w:tc>
        <w:tc>
          <w:tcPr>
            <w:tcW w:w="7819" w:type="dxa"/>
          </w:tcPr>
          <w:p>
            <w:pPr>
              <w:pStyle w:val="TableParagraph"/>
              <w:spacing w:line="254" w:lineRule="auto" w:before="27"/>
              <w:ind w:left="155" w:right="304"/>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692" w:type="dxa"/>
          </w:tcPr>
          <w:p>
            <w:pPr>
              <w:pStyle w:val="TableParagraph"/>
              <w:spacing w:before="83"/>
              <w:ind w:left="200"/>
              <w:rPr>
                <w:rFonts w:ascii="Times New Roman"/>
                <w:b/>
                <w:sz w:val="21"/>
              </w:rPr>
            </w:pPr>
            <w:r>
              <w:rPr>
                <w:rFonts w:ascii="Times New Roman"/>
                <w:b/>
                <w:sz w:val="21"/>
              </w:rPr>
              <w:t>16.</w:t>
            </w:r>
          </w:p>
        </w:tc>
        <w:tc>
          <w:tcPr>
            <w:tcW w:w="1227" w:type="dxa"/>
          </w:tcPr>
          <w:p>
            <w:pPr>
              <w:pStyle w:val="TableParagraph"/>
              <w:spacing w:line="261" w:lineRule="auto" w:before="34"/>
              <w:ind w:left="228" w:right="152"/>
              <w:rPr>
                <w:b/>
                <w:sz w:val="21"/>
              </w:rPr>
            </w:pPr>
            <w:r>
              <w:rPr>
                <w:b/>
                <w:sz w:val="21"/>
              </w:rPr>
              <w:t>心脏瓣膜手术：</w:t>
            </w:r>
          </w:p>
        </w:tc>
        <w:tc>
          <w:tcPr>
            <w:tcW w:w="7819" w:type="dxa"/>
          </w:tcPr>
          <w:p>
            <w:pPr>
              <w:pStyle w:val="TableParagraph"/>
              <w:spacing w:before="34"/>
              <w:ind w:left="155"/>
              <w:rPr>
                <w:sz w:val="21"/>
              </w:rPr>
            </w:pPr>
            <w:r>
              <w:rPr>
                <w:sz w:val="21"/>
              </w:rPr>
              <w:t>指为治疗心脏瓣膜疾病，实际实施了开胸进行的心脏瓣膜置换或修复的手术。</w:t>
            </w:r>
          </w:p>
        </w:tc>
      </w:tr>
      <w:tr>
        <w:trPr>
          <w:trHeight w:val="1215" w:hRule="atLeast"/>
        </w:trPr>
        <w:tc>
          <w:tcPr>
            <w:tcW w:w="692" w:type="dxa"/>
          </w:tcPr>
          <w:p>
            <w:pPr>
              <w:pStyle w:val="TableParagraph"/>
              <w:spacing w:before="83"/>
              <w:ind w:left="200"/>
              <w:rPr>
                <w:rFonts w:ascii="Times New Roman"/>
                <w:b/>
                <w:sz w:val="21"/>
              </w:rPr>
            </w:pPr>
            <w:r>
              <w:rPr>
                <w:rFonts w:ascii="Times New Roman"/>
                <w:b/>
                <w:sz w:val="21"/>
              </w:rPr>
              <w:t>17.</w:t>
            </w:r>
          </w:p>
        </w:tc>
        <w:tc>
          <w:tcPr>
            <w:tcW w:w="1227" w:type="dxa"/>
          </w:tcPr>
          <w:p>
            <w:pPr>
              <w:pStyle w:val="TableParagraph"/>
              <w:spacing w:line="261" w:lineRule="auto" w:before="33"/>
              <w:ind w:left="228" w:right="152"/>
              <w:rPr>
                <w:b/>
                <w:sz w:val="21"/>
              </w:rPr>
            </w:pPr>
            <w:r>
              <w:rPr>
                <w:b/>
                <w:sz w:val="21"/>
              </w:rPr>
              <w:t>严重阿尔茨海默 病：</w:t>
            </w:r>
          </w:p>
        </w:tc>
        <w:tc>
          <w:tcPr>
            <w:tcW w:w="7819" w:type="dxa"/>
          </w:tcPr>
          <w:p>
            <w:pPr>
              <w:pStyle w:val="TableParagraph"/>
              <w:spacing w:line="300" w:lineRule="exact" w:before="39"/>
              <w:ind w:left="155" w:right="297"/>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w:t>
            </w:r>
          </w:p>
        </w:tc>
      </w:tr>
    </w:tbl>
    <w:p>
      <w:pPr>
        <w:spacing w:after="0" w:line="300" w:lineRule="exact"/>
        <w:jc w:val="both"/>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8"/>
        <w:gridCol w:w="7822"/>
      </w:tblGrid>
      <w:tr>
        <w:trPr>
          <w:trHeight w:val="608" w:hRule="atLeast"/>
        </w:trPr>
        <w:tc>
          <w:tcPr>
            <w:tcW w:w="692" w:type="dxa"/>
          </w:tcPr>
          <w:p>
            <w:pPr>
              <w:pStyle w:val="TableParagraph"/>
              <w:ind w:left="0"/>
              <w:rPr>
                <w:rFonts w:ascii="Times New Roman"/>
                <w:sz w:val="20"/>
              </w:rPr>
            </w:pPr>
          </w:p>
        </w:tc>
        <w:tc>
          <w:tcPr>
            <w:tcW w:w="1228" w:type="dxa"/>
          </w:tcPr>
          <w:p>
            <w:pPr>
              <w:pStyle w:val="TableParagraph"/>
              <w:ind w:left="0"/>
              <w:rPr>
                <w:rFonts w:ascii="Times New Roman"/>
                <w:sz w:val="20"/>
              </w:rPr>
            </w:pPr>
          </w:p>
        </w:tc>
        <w:tc>
          <w:tcPr>
            <w:tcW w:w="7822" w:type="dxa"/>
          </w:tcPr>
          <w:p>
            <w:pPr>
              <w:pStyle w:val="TableParagraph"/>
              <w:spacing w:line="211" w:lineRule="exact"/>
              <w:rPr>
                <w:sz w:val="21"/>
              </w:rPr>
            </w:pPr>
            <w:r>
              <w:rPr>
                <w:sz w:val="21"/>
              </w:rPr>
              <w:t>活动中的三项或三项以上。</w:t>
            </w:r>
          </w:p>
          <w:p>
            <w:pPr>
              <w:pStyle w:val="TableParagraph"/>
              <w:spacing w:before="25"/>
              <w:rPr>
                <w:rFonts w:ascii="黑体" w:eastAsia="黑体" w:hint="eastAsia"/>
                <w:sz w:val="21"/>
              </w:rPr>
            </w:pPr>
            <w:r>
              <w:rPr>
                <w:rFonts w:ascii="黑体" w:eastAsia="黑体" w:hint="eastAsia"/>
                <w:sz w:val="21"/>
              </w:rPr>
              <w:t>神经官能症和精神疾病不在保障范围内。</w:t>
            </w:r>
          </w:p>
        </w:tc>
      </w:tr>
      <w:tr>
        <w:trPr>
          <w:trHeight w:val="2512" w:hRule="atLeast"/>
        </w:trPr>
        <w:tc>
          <w:tcPr>
            <w:tcW w:w="692" w:type="dxa"/>
          </w:tcPr>
          <w:p>
            <w:pPr>
              <w:pStyle w:val="TableParagraph"/>
              <w:spacing w:before="89"/>
              <w:ind w:left="200"/>
              <w:rPr>
                <w:rFonts w:ascii="Times New Roman"/>
                <w:b/>
                <w:sz w:val="21"/>
              </w:rPr>
            </w:pPr>
            <w:r>
              <w:rPr>
                <w:rFonts w:ascii="Times New Roman"/>
                <w:b/>
                <w:sz w:val="21"/>
              </w:rPr>
              <w:t>18.</w:t>
            </w:r>
          </w:p>
        </w:tc>
        <w:tc>
          <w:tcPr>
            <w:tcW w:w="1228" w:type="dxa"/>
          </w:tcPr>
          <w:p>
            <w:pPr>
              <w:pStyle w:val="TableParagraph"/>
              <w:spacing w:line="261" w:lineRule="auto" w:before="40"/>
              <w:ind w:left="228" w:right="153"/>
              <w:rPr>
                <w:b/>
                <w:sz w:val="21"/>
              </w:rPr>
            </w:pPr>
            <w:r>
              <w:rPr>
                <w:b/>
                <w:sz w:val="21"/>
              </w:rPr>
              <w:t>严重脑损伤：</w:t>
            </w:r>
          </w:p>
        </w:tc>
        <w:tc>
          <w:tcPr>
            <w:tcW w:w="7822" w:type="dxa"/>
          </w:tcPr>
          <w:p>
            <w:pPr>
              <w:pStyle w:val="TableParagraph"/>
              <w:spacing w:line="252" w:lineRule="auto" w:before="40"/>
              <w:ind w:right="199"/>
              <w:rPr>
                <w:sz w:val="21"/>
              </w:rPr>
            </w:pPr>
            <w:r>
              <w:rPr>
                <w:spacing w:val="-3"/>
                <w:sz w:val="21"/>
              </w:rPr>
              <w:t>指因头部遭受机械性外力，引起脑重要部位损伤，导致神经系统永久性的功能障</w:t>
            </w:r>
            <w:r>
              <w:rPr>
                <w:spacing w:val="-19"/>
                <w:sz w:val="21"/>
              </w:rPr>
              <w:t>碍。须由头颅断层扫描</w:t>
            </w:r>
            <w:r>
              <w:rPr>
                <w:spacing w:val="-21"/>
                <w:sz w:val="21"/>
              </w:rPr>
              <w:t>（</w:t>
            </w:r>
            <w:r>
              <w:rPr>
                <w:rFonts w:ascii="Times New Roman" w:eastAsia="Times New Roman"/>
                <w:spacing w:val="-21"/>
                <w:sz w:val="21"/>
              </w:rPr>
              <w:t>CT</w:t>
            </w:r>
            <w:r>
              <w:rPr>
                <w:spacing w:val="-21"/>
                <w:sz w:val="21"/>
              </w:rPr>
              <w:t>）</w:t>
            </w:r>
            <w:r>
              <w:rPr>
                <w:spacing w:val="-24"/>
                <w:sz w:val="21"/>
              </w:rPr>
              <w:t>、核磁共振检查</w:t>
            </w:r>
            <w:r>
              <w:rPr>
                <w:spacing w:val="-16"/>
                <w:sz w:val="21"/>
              </w:rPr>
              <w:t>（</w:t>
            </w:r>
            <w:r>
              <w:rPr>
                <w:rFonts w:ascii="Times New Roman" w:eastAsia="Times New Roman"/>
                <w:spacing w:val="-16"/>
                <w:sz w:val="21"/>
              </w:rPr>
              <w:t>MRI</w:t>
            </w:r>
            <w:r>
              <w:rPr>
                <w:spacing w:val="-16"/>
                <w:sz w:val="21"/>
              </w:rPr>
              <w:t>）</w:t>
            </w:r>
            <w:r>
              <w:rPr>
                <w:spacing w:val="-11"/>
                <w:sz w:val="21"/>
              </w:rPr>
              <w:t>或正电子发射断层扫描</w:t>
            </w:r>
            <w:r>
              <w:rPr>
                <w:sz w:val="21"/>
              </w:rPr>
              <w:t>（</w:t>
            </w:r>
            <w:r>
              <w:rPr>
                <w:rFonts w:ascii="Times New Roman" w:eastAsia="Times New Roman"/>
                <w:sz w:val="21"/>
              </w:rPr>
              <w:t>PET</w:t>
            </w:r>
            <w:r>
              <w:rPr>
                <w:sz w:val="21"/>
              </w:rPr>
              <w:t>） </w:t>
            </w:r>
            <w:r>
              <w:rPr>
                <w:spacing w:val="-5"/>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80" w:right="301" w:hanging="526"/>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自主生活能力完全丧失，无法独立完成六项基本日常生活活动中的三项或三</w:t>
            </w:r>
            <w:r>
              <w:rPr>
                <w:spacing w:val="-6"/>
                <w:sz w:val="21"/>
              </w:rPr>
              <w:t>项以上。</w:t>
            </w:r>
          </w:p>
        </w:tc>
      </w:tr>
      <w:tr>
        <w:trPr>
          <w:trHeight w:val="1912" w:hRule="atLeast"/>
        </w:trPr>
        <w:tc>
          <w:tcPr>
            <w:tcW w:w="692" w:type="dxa"/>
          </w:tcPr>
          <w:p>
            <w:pPr>
              <w:pStyle w:val="TableParagraph"/>
              <w:spacing w:before="89"/>
              <w:ind w:left="200"/>
              <w:rPr>
                <w:rFonts w:ascii="Times New Roman"/>
                <w:b/>
                <w:sz w:val="21"/>
              </w:rPr>
            </w:pPr>
            <w:r>
              <w:rPr>
                <w:rFonts w:ascii="Times New Roman"/>
                <w:b/>
                <w:sz w:val="21"/>
              </w:rPr>
              <w:t>19.</w:t>
            </w:r>
          </w:p>
        </w:tc>
        <w:tc>
          <w:tcPr>
            <w:tcW w:w="1228" w:type="dxa"/>
          </w:tcPr>
          <w:p>
            <w:pPr>
              <w:pStyle w:val="TableParagraph"/>
              <w:spacing w:line="261" w:lineRule="auto" w:before="40"/>
              <w:ind w:left="228" w:right="153"/>
              <w:rPr>
                <w:b/>
                <w:sz w:val="21"/>
              </w:rPr>
            </w:pPr>
            <w:r>
              <w:rPr>
                <w:b/>
                <w:sz w:val="21"/>
              </w:rPr>
              <w:t>严重帕金森病：</w:t>
            </w:r>
          </w:p>
        </w:tc>
        <w:tc>
          <w:tcPr>
            <w:tcW w:w="7822" w:type="dxa"/>
          </w:tcPr>
          <w:p>
            <w:pPr>
              <w:pStyle w:val="TableParagraph"/>
              <w:spacing w:line="261" w:lineRule="auto" w:before="40"/>
              <w:ind w:right="301"/>
              <w:rPr>
                <w:sz w:val="21"/>
              </w:rPr>
            </w:pPr>
            <w:r>
              <w:rPr>
                <w:sz w:val="21"/>
              </w:rPr>
              <w:t>是一种中枢神经系统的退行性疾病，临床表现为震颤麻痹、共济失调等。须满足下列全部条件：</w:t>
            </w:r>
          </w:p>
          <w:p>
            <w:pPr>
              <w:pStyle w:val="TableParagraph"/>
              <w:spacing w:before="6"/>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80" w:right="301" w:hanging="526"/>
              <w:rPr>
                <w:sz w:val="21"/>
              </w:rPr>
            </w:pPr>
            <w:r>
              <w:rPr>
                <w:spacing w:val="-17"/>
                <w:sz w:val="21"/>
              </w:rPr>
              <w:t>（</w:t>
            </w:r>
            <w:r>
              <w:rPr>
                <w:rFonts w:ascii="Times New Roman" w:eastAsia="Times New Roman"/>
                <w:spacing w:val="-17"/>
                <w:sz w:val="21"/>
              </w:rPr>
              <w:t>2</w:t>
            </w:r>
            <w:r>
              <w:rPr>
                <w:spacing w:val="-17"/>
                <w:sz w:val="21"/>
              </w:rPr>
              <w:t>）</w:t>
            </w:r>
            <w:r>
              <w:rPr>
                <w:spacing w:val="-7"/>
                <w:sz w:val="21"/>
              </w:rPr>
              <w:t>自主生活能力完全丧失，无法独立完成六项基本日常生活活动中的三项或三</w:t>
            </w:r>
            <w:r>
              <w:rPr>
                <w:spacing w:val="-5"/>
                <w:sz w:val="21"/>
              </w:rPr>
              <w:t>项以上。</w:t>
            </w:r>
          </w:p>
          <w:p>
            <w:pPr>
              <w:pStyle w:val="TableParagraph"/>
              <w:spacing w:before="18"/>
              <w:rPr>
                <w:rFonts w:ascii="黑体" w:eastAsia="黑体" w:hint="eastAsia"/>
                <w:sz w:val="21"/>
              </w:rPr>
            </w:pPr>
            <w:r>
              <w:rPr>
                <w:rFonts w:ascii="黑体" w:eastAsia="黑体" w:hint="eastAsia"/>
                <w:sz w:val="21"/>
              </w:rPr>
              <w:t>继发性帕金森综合征不在保障范围内。</w:t>
            </w:r>
          </w:p>
        </w:tc>
      </w:tr>
      <w:tr>
        <w:trPr>
          <w:trHeight w:val="713" w:hRule="atLeast"/>
        </w:trPr>
        <w:tc>
          <w:tcPr>
            <w:tcW w:w="692" w:type="dxa"/>
          </w:tcPr>
          <w:p>
            <w:pPr>
              <w:pStyle w:val="TableParagraph"/>
              <w:spacing w:before="90"/>
              <w:ind w:left="200"/>
              <w:rPr>
                <w:rFonts w:ascii="Times New Roman"/>
                <w:b/>
                <w:sz w:val="21"/>
              </w:rPr>
            </w:pPr>
            <w:r>
              <w:rPr>
                <w:rFonts w:ascii="Times New Roman"/>
                <w:b/>
                <w:sz w:val="21"/>
              </w:rPr>
              <w:t>20.</w:t>
            </w:r>
          </w:p>
        </w:tc>
        <w:tc>
          <w:tcPr>
            <w:tcW w:w="1228" w:type="dxa"/>
          </w:tcPr>
          <w:p>
            <w:pPr>
              <w:pStyle w:val="TableParagraph"/>
              <w:spacing w:line="261" w:lineRule="auto" w:before="40"/>
              <w:ind w:left="228" w:right="153"/>
              <w:rPr>
                <w:b/>
                <w:sz w:val="21"/>
              </w:rPr>
            </w:pPr>
            <w:r>
              <w:rPr>
                <w:b/>
                <w:sz w:val="21"/>
              </w:rPr>
              <w:t>严重Ⅲ度烧伤：</w:t>
            </w:r>
          </w:p>
        </w:tc>
        <w:tc>
          <w:tcPr>
            <w:tcW w:w="7822" w:type="dxa"/>
          </w:tcPr>
          <w:p>
            <w:pPr>
              <w:pStyle w:val="TableParagraph"/>
              <w:spacing w:line="247" w:lineRule="auto" w:before="40"/>
              <w:ind w:right="301" w:hanging="1"/>
              <w:rPr>
                <w:sz w:val="21"/>
              </w:rPr>
            </w:pPr>
            <w:r>
              <w:rPr>
                <w:spacing w:val="-11"/>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11"/>
                <w:sz w:val="21"/>
              </w:rPr>
              <w:t>％以上。体</w:t>
            </w:r>
            <w:r>
              <w:rPr>
                <w:spacing w:val="-6"/>
                <w:sz w:val="21"/>
              </w:rPr>
              <w:t>表面积根据《中国新九分法》计算。</w:t>
            </w:r>
          </w:p>
        </w:tc>
      </w:tr>
      <w:tr>
        <w:trPr>
          <w:trHeight w:val="1020" w:hRule="atLeast"/>
        </w:trPr>
        <w:tc>
          <w:tcPr>
            <w:tcW w:w="692" w:type="dxa"/>
          </w:tcPr>
          <w:p>
            <w:pPr>
              <w:pStyle w:val="TableParagraph"/>
              <w:spacing w:before="89"/>
              <w:ind w:left="200"/>
              <w:rPr>
                <w:rFonts w:ascii="Times New Roman"/>
                <w:b/>
                <w:sz w:val="21"/>
              </w:rPr>
            </w:pPr>
            <w:r>
              <w:rPr>
                <w:rFonts w:ascii="Times New Roman"/>
                <w:b/>
                <w:sz w:val="21"/>
              </w:rPr>
              <w:t>21.</w:t>
            </w:r>
          </w:p>
        </w:tc>
        <w:tc>
          <w:tcPr>
            <w:tcW w:w="1228" w:type="dxa"/>
          </w:tcPr>
          <w:p>
            <w:pPr>
              <w:pStyle w:val="TableParagraph"/>
              <w:spacing w:line="261" w:lineRule="auto" w:before="40"/>
              <w:ind w:left="228" w:right="153"/>
              <w:jc w:val="both"/>
              <w:rPr>
                <w:b/>
                <w:sz w:val="21"/>
              </w:rPr>
            </w:pPr>
            <w:r>
              <w:rPr>
                <w:b/>
                <w:sz w:val="21"/>
              </w:rPr>
              <w:t>严重原发性肺动脉高压：</w:t>
            </w:r>
          </w:p>
        </w:tc>
        <w:tc>
          <w:tcPr>
            <w:tcW w:w="7822" w:type="dxa"/>
          </w:tcPr>
          <w:p>
            <w:pPr>
              <w:pStyle w:val="TableParagraph"/>
              <w:spacing w:line="254" w:lineRule="auto" w:before="40"/>
              <w:ind w:right="308"/>
              <w:jc w:val="both"/>
              <w:rPr>
                <w:sz w:val="21"/>
              </w:rPr>
            </w:pPr>
            <w:r>
              <w:rPr>
                <w:spacing w:val="-3"/>
                <w:sz w:val="21"/>
              </w:rPr>
              <w:t>指不明原因的肺动脉压力持续性增高，进行性发展而导致的慢性疾病，已经造成</w:t>
            </w:r>
            <w:r>
              <w:rPr>
                <w:spacing w:val="-8"/>
                <w:sz w:val="21"/>
              </w:rPr>
              <w:t>永久不可逆性的体力活动能力受限，达到美国纽约心脏病学会心功能状态分级 </w:t>
            </w:r>
            <w:r>
              <w:rPr>
                <w:rFonts w:ascii="Times New Roman" w:eastAsia="Times New Roman"/>
                <w:spacing w:val="-6"/>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81"/>
              <w:ind w:left="200"/>
              <w:rPr>
                <w:rFonts w:ascii="Times New Roman"/>
                <w:b/>
                <w:sz w:val="21"/>
              </w:rPr>
            </w:pPr>
            <w:r>
              <w:rPr>
                <w:rFonts w:ascii="Times New Roman"/>
                <w:b/>
                <w:sz w:val="21"/>
              </w:rPr>
              <w:t>22.</w:t>
            </w:r>
          </w:p>
        </w:tc>
        <w:tc>
          <w:tcPr>
            <w:tcW w:w="1228" w:type="dxa"/>
          </w:tcPr>
          <w:p>
            <w:pPr>
              <w:pStyle w:val="TableParagraph"/>
              <w:spacing w:line="261" w:lineRule="auto" w:before="32"/>
              <w:ind w:left="228" w:right="153"/>
              <w:rPr>
                <w:b/>
                <w:sz w:val="21"/>
              </w:rPr>
            </w:pPr>
            <w:r>
              <w:rPr>
                <w:b/>
                <w:sz w:val="21"/>
              </w:rPr>
              <w:t>严重运动神经元 病：</w:t>
            </w:r>
          </w:p>
        </w:tc>
        <w:tc>
          <w:tcPr>
            <w:tcW w:w="7822" w:type="dxa"/>
          </w:tcPr>
          <w:p>
            <w:pPr>
              <w:pStyle w:val="TableParagraph"/>
              <w:spacing w:line="261" w:lineRule="auto" w:before="32"/>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3" w:hRule="atLeast"/>
        </w:trPr>
        <w:tc>
          <w:tcPr>
            <w:tcW w:w="692" w:type="dxa"/>
          </w:tcPr>
          <w:p>
            <w:pPr>
              <w:pStyle w:val="TableParagraph"/>
              <w:spacing w:before="89"/>
              <w:ind w:left="200"/>
              <w:rPr>
                <w:rFonts w:ascii="Times New Roman"/>
                <w:b/>
                <w:sz w:val="21"/>
              </w:rPr>
            </w:pPr>
            <w:r>
              <w:rPr>
                <w:rFonts w:ascii="Times New Roman"/>
                <w:b/>
                <w:sz w:val="21"/>
              </w:rPr>
              <w:t>23.</w:t>
            </w:r>
          </w:p>
        </w:tc>
        <w:tc>
          <w:tcPr>
            <w:tcW w:w="1228" w:type="dxa"/>
          </w:tcPr>
          <w:p>
            <w:pPr>
              <w:pStyle w:val="TableParagraph"/>
              <w:spacing w:line="261" w:lineRule="auto" w:before="40"/>
              <w:ind w:left="228" w:right="153"/>
              <w:rPr>
                <w:b/>
                <w:sz w:val="21"/>
              </w:rPr>
            </w:pPr>
            <w:r>
              <w:rPr>
                <w:b/>
                <w:sz w:val="21"/>
              </w:rPr>
              <w:t>语言能力丧失：</w:t>
            </w:r>
          </w:p>
        </w:tc>
        <w:tc>
          <w:tcPr>
            <w:tcW w:w="7822" w:type="dxa"/>
          </w:tcPr>
          <w:p>
            <w:pPr>
              <w:pStyle w:val="TableParagraph"/>
              <w:spacing w:line="247" w:lineRule="auto" w:before="40"/>
              <w:ind w:right="306"/>
              <w:rPr>
                <w:sz w:val="21"/>
              </w:rPr>
            </w:pPr>
            <w:r>
              <w:rPr>
                <w:spacing w:val="-8"/>
                <w:sz w:val="21"/>
              </w:rPr>
              <w:t>指因疾病或意外伤害导致完全丧失语言能力，经过积极治疗至少 </w:t>
            </w:r>
            <w:r>
              <w:rPr>
                <w:rFonts w:ascii="Times New Roman" w:eastAsia="Times New Roman"/>
                <w:sz w:val="21"/>
              </w:rPr>
              <w:t>12 </w:t>
            </w:r>
            <w:r>
              <w:rPr>
                <w:spacing w:val="-26"/>
                <w:sz w:val="21"/>
              </w:rPr>
              <w:t>个月</w:t>
            </w:r>
            <w:r>
              <w:rPr>
                <w:spacing w:val="-3"/>
                <w:sz w:val="21"/>
              </w:rPr>
              <w:t>（声带完全切除不受此时间限制</w:t>
            </w:r>
            <w:r>
              <w:rPr>
                <w:sz w:val="21"/>
              </w:rPr>
              <w:t>）</w:t>
            </w:r>
            <w:r>
              <w:rPr>
                <w:spacing w:val="-3"/>
                <w:sz w:val="21"/>
              </w:rPr>
              <w:t>，仍无法通过现有医疗手段恢复。</w:t>
            </w:r>
          </w:p>
          <w:p>
            <w:pPr>
              <w:pStyle w:val="TableParagraph"/>
              <w:spacing w:before="18"/>
              <w:rPr>
                <w:rFonts w:ascii="黑体" w:eastAsia="黑体" w:hint="eastAsia"/>
                <w:sz w:val="21"/>
              </w:rPr>
            </w:pPr>
            <w:r>
              <w:rPr>
                <w:rFonts w:ascii="黑体" w:eastAsia="黑体" w:hint="eastAsia"/>
                <w:sz w:val="21"/>
              </w:rPr>
              <w:t>精神心理因素所致的语言能力丧失不在保障范围内。</w:t>
            </w:r>
          </w:p>
        </w:tc>
      </w:tr>
      <w:tr>
        <w:trPr>
          <w:trHeight w:val="2222" w:hRule="atLeast"/>
        </w:trPr>
        <w:tc>
          <w:tcPr>
            <w:tcW w:w="692" w:type="dxa"/>
          </w:tcPr>
          <w:p>
            <w:pPr>
              <w:pStyle w:val="TableParagraph"/>
              <w:spacing w:before="91"/>
              <w:ind w:left="200"/>
              <w:rPr>
                <w:rFonts w:ascii="Times New Roman"/>
                <w:b/>
                <w:sz w:val="21"/>
              </w:rPr>
            </w:pPr>
            <w:r>
              <w:rPr>
                <w:rFonts w:ascii="Times New Roman"/>
                <w:b/>
                <w:sz w:val="21"/>
              </w:rPr>
              <w:t>24.</w:t>
            </w:r>
          </w:p>
        </w:tc>
        <w:tc>
          <w:tcPr>
            <w:tcW w:w="1228" w:type="dxa"/>
          </w:tcPr>
          <w:p>
            <w:pPr>
              <w:pStyle w:val="TableParagraph"/>
              <w:spacing w:line="261" w:lineRule="auto" w:before="41"/>
              <w:ind w:left="228" w:right="153"/>
              <w:jc w:val="both"/>
              <w:rPr>
                <w:b/>
                <w:sz w:val="21"/>
              </w:rPr>
            </w:pPr>
            <w:r>
              <w:rPr>
                <w:b/>
                <w:sz w:val="21"/>
              </w:rPr>
              <w:t>重型再生障碍性贫血：</w:t>
            </w:r>
          </w:p>
        </w:tc>
        <w:tc>
          <w:tcPr>
            <w:tcW w:w="7822" w:type="dxa"/>
          </w:tcPr>
          <w:p>
            <w:pPr>
              <w:pStyle w:val="TableParagraph"/>
              <w:spacing w:line="261" w:lineRule="auto" w:before="41"/>
              <w:ind w:right="301"/>
              <w:rPr>
                <w:sz w:val="21"/>
              </w:rPr>
            </w:pPr>
            <w:r>
              <w:rPr>
                <w:sz w:val="21"/>
              </w:rPr>
              <w:t>指因骨髓造血功能慢性持续性衰竭导致的贫血、中性粒细胞减少及血小板减少。须满足下列全部条件：</w:t>
            </w:r>
          </w:p>
          <w:p>
            <w:pPr>
              <w:pStyle w:val="TableParagraph"/>
              <w:spacing w:before="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74"/>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574"/>
              <w:rPr>
                <w:sz w:val="21"/>
              </w:rPr>
            </w:pPr>
            <w:r>
              <w:rPr>
                <w:sz w:val="21"/>
              </w:rPr>
              <w:t>②网织红细胞＜</w:t>
            </w:r>
            <w:r>
              <w:rPr>
                <w:rFonts w:ascii="Times New Roman" w:hAnsi="Times New Roman" w:eastAsia="Times New Roman"/>
                <w:sz w:val="21"/>
              </w:rPr>
              <w:t>1%</w:t>
            </w:r>
            <w:r>
              <w:rPr>
                <w:sz w:val="21"/>
              </w:rPr>
              <w:t>；</w:t>
            </w:r>
          </w:p>
          <w:p>
            <w:pPr>
              <w:pStyle w:val="TableParagraph"/>
              <w:spacing w:before="9"/>
              <w:ind w:left="574"/>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692" w:type="dxa"/>
          </w:tcPr>
          <w:p>
            <w:pPr>
              <w:pStyle w:val="TableParagraph"/>
              <w:spacing w:before="81"/>
              <w:ind w:left="200"/>
              <w:rPr>
                <w:rFonts w:ascii="Times New Roman"/>
                <w:b/>
                <w:sz w:val="21"/>
              </w:rPr>
            </w:pPr>
            <w:r>
              <w:rPr>
                <w:rFonts w:ascii="Times New Roman"/>
                <w:b/>
                <w:sz w:val="21"/>
              </w:rPr>
              <w:t>25.</w:t>
            </w:r>
          </w:p>
        </w:tc>
        <w:tc>
          <w:tcPr>
            <w:tcW w:w="1228" w:type="dxa"/>
          </w:tcPr>
          <w:p>
            <w:pPr>
              <w:pStyle w:val="TableParagraph"/>
              <w:spacing w:line="261" w:lineRule="auto" w:before="32"/>
              <w:ind w:left="228" w:right="153"/>
              <w:rPr>
                <w:b/>
                <w:sz w:val="21"/>
              </w:rPr>
            </w:pPr>
            <w:r>
              <w:rPr>
                <w:b/>
                <w:sz w:val="21"/>
              </w:rPr>
              <w:t>主动脉手术：</w:t>
            </w:r>
          </w:p>
        </w:tc>
        <w:tc>
          <w:tcPr>
            <w:tcW w:w="7822" w:type="dxa"/>
          </w:tcPr>
          <w:p>
            <w:pPr>
              <w:pStyle w:val="TableParagraph"/>
              <w:spacing w:line="261" w:lineRule="auto" w:before="32"/>
              <w:ind w:right="3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jc w:val="both"/>
              <w:rPr>
                <w:rFonts w:ascii="黑体" w:eastAsia="黑体" w:hint="eastAsia"/>
                <w:sz w:val="21"/>
              </w:rPr>
            </w:pPr>
            <w:r>
              <w:rPr>
                <w:rFonts w:ascii="黑体" w:eastAsia="黑体" w:hint="eastAsia"/>
                <w:sz w:val="21"/>
              </w:rPr>
              <w:t>动脉内血管成形术不在保障范围内。</w:t>
            </w:r>
          </w:p>
        </w:tc>
      </w:tr>
      <w:tr>
        <w:trPr>
          <w:trHeight w:val="1531" w:hRule="atLeast"/>
        </w:trPr>
        <w:tc>
          <w:tcPr>
            <w:tcW w:w="692" w:type="dxa"/>
          </w:tcPr>
          <w:p>
            <w:pPr>
              <w:pStyle w:val="TableParagraph"/>
              <w:spacing w:before="89"/>
              <w:ind w:left="200"/>
              <w:rPr>
                <w:rFonts w:ascii="Times New Roman"/>
                <w:b/>
                <w:sz w:val="21"/>
              </w:rPr>
            </w:pPr>
            <w:r>
              <w:rPr>
                <w:rFonts w:ascii="Times New Roman"/>
                <w:b/>
                <w:sz w:val="21"/>
              </w:rPr>
              <w:t>26.</w:t>
            </w:r>
          </w:p>
        </w:tc>
        <w:tc>
          <w:tcPr>
            <w:tcW w:w="1228" w:type="dxa"/>
          </w:tcPr>
          <w:p>
            <w:pPr>
              <w:pStyle w:val="TableParagraph"/>
              <w:spacing w:line="261" w:lineRule="auto" w:before="40"/>
              <w:ind w:left="228" w:right="153"/>
              <w:rPr>
                <w:b/>
                <w:sz w:val="21"/>
              </w:rPr>
            </w:pPr>
            <w:r>
              <w:rPr>
                <w:b/>
                <w:sz w:val="21"/>
              </w:rPr>
              <w:t>终末期肺病：</w:t>
            </w:r>
          </w:p>
        </w:tc>
        <w:tc>
          <w:tcPr>
            <w:tcW w:w="7822" w:type="dxa"/>
          </w:tcPr>
          <w:p>
            <w:pPr>
              <w:pStyle w:val="TableParagraph"/>
              <w:spacing w:line="261" w:lineRule="auto" w:before="40"/>
              <w:ind w:right="301"/>
              <w:rPr>
                <w:sz w:val="21"/>
              </w:rPr>
            </w:pPr>
            <w:r>
              <w:rPr>
                <w:sz w:val="21"/>
              </w:rPr>
              <w:t>指被保险人必须由我们认可的医院的呼吸科专科医师确诊患有慢性终末期肺病而出现慢性呼吸功能衰竭，必须满足以下所有条件：</w:t>
            </w:r>
          </w:p>
          <w:p>
            <w:pPr>
              <w:pStyle w:val="TableParagraph"/>
              <w:spacing w:line="317" w:lineRule="exact" w:before="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line="271" w:lineRule="exact" w:before="10"/>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tc>
      </w:tr>
    </w:tbl>
    <w:p>
      <w:pPr>
        <w:spacing w:after="0" w:line="271" w:lineRule="exact"/>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8"/>
        <w:gridCol w:w="7820"/>
      </w:tblGrid>
      <w:tr>
        <w:trPr>
          <w:trHeight w:val="323" w:hRule="atLeast"/>
        </w:trPr>
        <w:tc>
          <w:tcPr>
            <w:tcW w:w="692" w:type="dxa"/>
          </w:tcPr>
          <w:p>
            <w:pPr>
              <w:pStyle w:val="TableParagraph"/>
              <w:ind w:left="0"/>
              <w:rPr>
                <w:rFonts w:ascii="Times New Roman"/>
                <w:sz w:val="20"/>
              </w:rPr>
            </w:pPr>
          </w:p>
        </w:tc>
        <w:tc>
          <w:tcPr>
            <w:tcW w:w="1228" w:type="dxa"/>
          </w:tcPr>
          <w:p>
            <w:pPr>
              <w:pStyle w:val="TableParagraph"/>
              <w:ind w:left="0"/>
              <w:rPr>
                <w:rFonts w:ascii="Times New Roman"/>
                <w:sz w:val="20"/>
              </w:rPr>
            </w:pPr>
          </w:p>
        </w:tc>
        <w:tc>
          <w:tcPr>
            <w:tcW w:w="7820" w:type="dxa"/>
          </w:tcPr>
          <w:p>
            <w:pPr>
              <w:pStyle w:val="TableParagraph"/>
              <w:spacing w:line="227" w:lineRule="exact"/>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200"/>
              <w:rPr>
                <w:rFonts w:ascii="Times New Roman"/>
                <w:b/>
                <w:sz w:val="21"/>
              </w:rPr>
            </w:pPr>
            <w:r>
              <w:rPr>
                <w:rFonts w:ascii="Times New Roman"/>
                <w:b/>
                <w:sz w:val="21"/>
              </w:rPr>
              <w:t>27.</w:t>
            </w:r>
          </w:p>
        </w:tc>
        <w:tc>
          <w:tcPr>
            <w:tcW w:w="1228" w:type="dxa"/>
          </w:tcPr>
          <w:p>
            <w:pPr>
              <w:pStyle w:val="TableParagraph"/>
              <w:spacing w:line="261" w:lineRule="auto" w:before="25"/>
              <w:ind w:left="228" w:right="153"/>
              <w:rPr>
                <w:b/>
                <w:sz w:val="21"/>
              </w:rPr>
            </w:pPr>
            <w:r>
              <w:rPr>
                <w:b/>
                <w:sz w:val="21"/>
              </w:rPr>
              <w:t>肌营养不良症：</w:t>
            </w:r>
          </w:p>
        </w:tc>
        <w:tc>
          <w:tcPr>
            <w:tcW w:w="7820" w:type="dxa"/>
          </w:tcPr>
          <w:p>
            <w:pPr>
              <w:pStyle w:val="TableParagraph"/>
              <w:spacing w:line="261" w:lineRule="auto" w:before="25"/>
              <w:ind w:right="299"/>
              <w:rPr>
                <w:sz w:val="21"/>
              </w:rPr>
            </w:pPr>
            <w:r>
              <w:rPr>
                <w:sz w:val="21"/>
              </w:rPr>
              <w:t>是一组遗传性肌肉变性性病变，临床特征为与神经系统无关的骨骼肌对称地进行性无力和萎缩，其诊断需同时符合以下条件：</w:t>
            </w:r>
          </w:p>
          <w:p>
            <w:pPr>
              <w:pStyle w:val="TableParagraph"/>
              <w:spacing w:before="5"/>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w w:val="100"/>
                <w:sz w:val="21"/>
              </w:rPr>
              <w:t>（</w:t>
            </w:r>
            <w:r>
              <w:rPr>
                <w:rFonts w:ascii="Times New Roman" w:eastAsia="Times New Roman"/>
                <w:w w:val="100"/>
                <w:sz w:val="21"/>
              </w:rPr>
              <w:t>2</w:t>
            </w:r>
            <w:r>
              <w:rPr>
                <w:spacing w:val="-104"/>
                <w:w w:val="100"/>
                <w:sz w:val="21"/>
              </w:rPr>
              <w:t>）</w:t>
            </w:r>
            <w:r>
              <w:rPr>
                <w:spacing w:val="-7"/>
                <w:w w:val="100"/>
                <w:sz w:val="21"/>
              </w:rPr>
              <w:t>肌肉活检的病理学诊断符合肌营养不良症的肌肉细胞变性、坏死等阳性改变；</w:t>
            </w:r>
          </w:p>
          <w:p>
            <w:pPr>
              <w:pStyle w:val="TableParagraph"/>
              <w:spacing w:line="247" w:lineRule="auto" w:before="9"/>
              <w:ind w:left="680" w:right="299" w:hanging="526"/>
              <w:rPr>
                <w:sz w:val="21"/>
              </w:rPr>
            </w:pPr>
            <w:r>
              <w:rPr>
                <w:w w:val="100"/>
                <w:sz w:val="21"/>
              </w:rPr>
              <w:t>（</w:t>
            </w:r>
            <w:r>
              <w:rPr>
                <w:rFonts w:ascii="Times New Roman" w:eastAsia="Times New Roman"/>
                <w:w w:val="100"/>
                <w:sz w:val="21"/>
              </w:rPr>
              <w:t>3</w:t>
            </w:r>
            <w:r>
              <w:rPr>
                <w:spacing w:val="-99"/>
                <w:w w:val="100"/>
                <w:sz w:val="21"/>
              </w:rPr>
              <w:t>）</w:t>
            </w:r>
            <w:r>
              <w:rPr>
                <w:spacing w:val="-3"/>
                <w:w w:val="100"/>
                <w:sz w:val="21"/>
              </w:rPr>
              <w:t>已导致被保险人永久不可逆性的丧失独立完成三项或三项以上日常生活活动</w:t>
            </w:r>
            <w:r>
              <w:rPr>
                <w:spacing w:val="-3"/>
                <w:sz w:val="21"/>
              </w:rPr>
              <w:t>能力。</w:t>
            </w:r>
          </w:p>
        </w:tc>
      </w:tr>
      <w:tr>
        <w:trPr>
          <w:trHeight w:val="1312" w:hRule="atLeast"/>
        </w:trPr>
        <w:tc>
          <w:tcPr>
            <w:tcW w:w="692" w:type="dxa"/>
          </w:tcPr>
          <w:p>
            <w:pPr>
              <w:pStyle w:val="TableParagraph"/>
              <w:spacing w:before="83"/>
              <w:ind w:left="200"/>
              <w:rPr>
                <w:rFonts w:ascii="Times New Roman"/>
                <w:b/>
                <w:sz w:val="21"/>
              </w:rPr>
            </w:pPr>
            <w:r>
              <w:rPr>
                <w:rFonts w:ascii="Times New Roman"/>
                <w:b/>
                <w:sz w:val="21"/>
              </w:rPr>
              <w:t>28.</w:t>
            </w:r>
          </w:p>
        </w:tc>
        <w:tc>
          <w:tcPr>
            <w:tcW w:w="1228" w:type="dxa"/>
          </w:tcPr>
          <w:p>
            <w:pPr>
              <w:pStyle w:val="TableParagraph"/>
              <w:spacing w:line="261" w:lineRule="auto" w:before="33"/>
              <w:ind w:left="228" w:right="153"/>
              <w:rPr>
                <w:b/>
                <w:sz w:val="21"/>
              </w:rPr>
            </w:pPr>
            <w:r>
              <w:rPr>
                <w:b/>
                <w:sz w:val="21"/>
              </w:rPr>
              <w:t>多发性硬化症：</w:t>
            </w:r>
          </w:p>
        </w:tc>
        <w:tc>
          <w:tcPr>
            <w:tcW w:w="7820" w:type="dxa"/>
          </w:tcPr>
          <w:p>
            <w:pPr>
              <w:pStyle w:val="TableParagraph"/>
              <w:spacing w:line="261" w:lineRule="auto" w:before="33"/>
              <w:ind w:right="306"/>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4012" w:hRule="atLeast"/>
        </w:trPr>
        <w:tc>
          <w:tcPr>
            <w:tcW w:w="692" w:type="dxa"/>
          </w:tcPr>
          <w:p>
            <w:pPr>
              <w:pStyle w:val="TableParagraph"/>
              <w:spacing w:before="83"/>
              <w:ind w:left="200"/>
              <w:rPr>
                <w:rFonts w:ascii="Times New Roman"/>
                <w:b/>
                <w:sz w:val="21"/>
              </w:rPr>
            </w:pPr>
            <w:r>
              <w:rPr>
                <w:rFonts w:ascii="Times New Roman"/>
                <w:b/>
                <w:sz w:val="21"/>
              </w:rPr>
              <w:t>29.</w:t>
            </w:r>
          </w:p>
        </w:tc>
        <w:tc>
          <w:tcPr>
            <w:tcW w:w="1228" w:type="dxa"/>
          </w:tcPr>
          <w:p>
            <w:pPr>
              <w:pStyle w:val="TableParagraph"/>
              <w:spacing w:line="261" w:lineRule="auto" w:before="34"/>
              <w:ind w:left="228" w:right="153"/>
              <w:rPr>
                <w:b/>
                <w:sz w:val="21"/>
              </w:rPr>
            </w:pPr>
            <w:r>
              <w:rPr>
                <w:b/>
                <w:sz w:val="21"/>
              </w:rPr>
              <w:t>经输血导致的人类免疫缺陷病毒感 染：</w:t>
            </w:r>
          </w:p>
        </w:tc>
        <w:tc>
          <w:tcPr>
            <w:tcW w:w="7820" w:type="dxa"/>
          </w:tcPr>
          <w:p>
            <w:pPr>
              <w:pStyle w:val="TableParagraph"/>
              <w:spacing w:before="34"/>
              <w:rPr>
                <w:sz w:val="21"/>
              </w:rPr>
            </w:pPr>
            <w:r>
              <w:rPr>
                <w:sz w:val="21"/>
              </w:rPr>
              <w:t>指被保险人感染上人类免疫缺陷病毒并且符合下列所有条件：</w:t>
            </w:r>
          </w:p>
          <w:p>
            <w:pPr>
              <w:pStyle w:val="TableParagraph"/>
              <w:spacing w:line="247" w:lineRule="auto" w:before="25"/>
              <w:ind w:left="682" w:right="304" w:hanging="526"/>
              <w:rPr>
                <w:sz w:val="21"/>
              </w:rPr>
            </w:pPr>
            <w:r>
              <w:rPr>
                <w:spacing w:val="-12"/>
                <w:sz w:val="21"/>
              </w:rPr>
              <w:t>（</w:t>
            </w:r>
            <w:r>
              <w:rPr>
                <w:rFonts w:ascii="Times New Roman" w:eastAsia="Times New Roman"/>
                <w:spacing w:val="-12"/>
                <w:sz w:val="21"/>
              </w:rPr>
              <w:t>1</w:t>
            </w:r>
            <w:r>
              <w:rPr>
                <w:spacing w:val="-12"/>
                <w:sz w:val="21"/>
              </w:rPr>
              <w:t>）</w:t>
            </w:r>
            <w:r>
              <w:rPr>
                <w:spacing w:val="-7"/>
                <w:sz w:val="21"/>
              </w:rPr>
              <w:t>在保障起始日或复效日之后，被保险人因治疗必需而接受输血，并且因输血</w:t>
            </w:r>
            <w:r>
              <w:rPr>
                <w:spacing w:val="-3"/>
                <w:sz w:val="21"/>
              </w:rPr>
              <w:t>而感染人类免疫缺陷病毒；</w:t>
            </w:r>
          </w:p>
          <w:p>
            <w:pPr>
              <w:pStyle w:val="TableParagraph"/>
              <w:spacing w:line="247" w:lineRule="auto" w:before="19"/>
              <w:ind w:left="682" w:right="200"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9"/>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right="299"/>
              <w:rPr>
                <w:rFonts w:ascii="黑体" w:eastAsia="黑体" w:hint="eastAsia"/>
                <w:sz w:val="21"/>
              </w:rPr>
            </w:pPr>
            <w:r>
              <w:rPr>
                <w:rFonts w:ascii="黑体" w:eastAsia="黑体" w:hint="eastAsia"/>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right="299"/>
              <w:rPr>
                <w:rFonts w:ascii="黑体" w:eastAsia="黑体" w:hint="eastAsia"/>
                <w:sz w:val="21"/>
              </w:rPr>
            </w:pPr>
            <w:r>
              <w:rPr>
                <w:rFonts w:ascii="黑体" w:eastAsia="黑体" w:hint="eastAsia"/>
                <w:sz w:val="21"/>
              </w:rPr>
              <w:t>任何因其他传播方式（包括：性传播或静脉注射毒品）导致的人类免疫缺陷病毒感染不在本保单保障范围内。</w:t>
            </w:r>
          </w:p>
          <w:p>
            <w:pPr>
              <w:pStyle w:val="TableParagraph"/>
              <w:spacing w:line="261" w:lineRule="auto" w:before="6"/>
              <w:ind w:right="306"/>
              <w:rPr>
                <w:sz w:val="21"/>
              </w:rPr>
            </w:pPr>
            <w:r>
              <w:rPr>
                <w:sz w:val="21"/>
              </w:rPr>
              <w:t>保险公司必须拥有获得使用被保险人的血液样本的权利和能够对这些样本进行独立检验的权利。</w:t>
            </w:r>
          </w:p>
        </w:tc>
      </w:tr>
      <w:tr>
        <w:trPr>
          <w:trHeight w:val="2812" w:hRule="atLeast"/>
        </w:trPr>
        <w:tc>
          <w:tcPr>
            <w:tcW w:w="692" w:type="dxa"/>
          </w:tcPr>
          <w:p>
            <w:pPr>
              <w:pStyle w:val="TableParagraph"/>
              <w:spacing w:before="83"/>
              <w:ind w:left="200"/>
              <w:rPr>
                <w:rFonts w:ascii="Times New Roman"/>
                <w:b/>
                <w:sz w:val="21"/>
              </w:rPr>
            </w:pPr>
            <w:r>
              <w:rPr>
                <w:rFonts w:ascii="Times New Roman"/>
                <w:b/>
                <w:sz w:val="21"/>
              </w:rPr>
              <w:t>30.</w:t>
            </w:r>
          </w:p>
        </w:tc>
        <w:tc>
          <w:tcPr>
            <w:tcW w:w="1228" w:type="dxa"/>
          </w:tcPr>
          <w:p>
            <w:pPr>
              <w:pStyle w:val="TableParagraph"/>
              <w:spacing w:line="261" w:lineRule="auto" w:before="34"/>
              <w:ind w:left="228" w:right="153"/>
              <w:rPr>
                <w:b/>
                <w:sz w:val="21"/>
              </w:rPr>
            </w:pPr>
            <w:r>
              <w:rPr>
                <w:b/>
                <w:sz w:val="21"/>
              </w:rPr>
              <w:t>重症肌无力：</w:t>
            </w:r>
          </w:p>
        </w:tc>
        <w:tc>
          <w:tcPr>
            <w:tcW w:w="7820" w:type="dxa"/>
          </w:tcPr>
          <w:p>
            <w:pPr>
              <w:pStyle w:val="TableParagraph"/>
              <w:spacing w:line="261" w:lineRule="auto" w:before="34"/>
              <w:ind w:right="299"/>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6"/>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79" w:right="304" w:hanging="526"/>
              <w:rPr>
                <w:sz w:val="21"/>
              </w:rPr>
            </w:pPr>
            <w:r>
              <w:rPr>
                <w:spacing w:val="-9"/>
                <w:sz w:val="21"/>
              </w:rPr>
              <w:t>（</w:t>
            </w:r>
            <w:r>
              <w:rPr>
                <w:rFonts w:ascii="Times New Roman" w:eastAsia="Times New Roman"/>
                <w:spacing w:val="-9"/>
                <w:sz w:val="21"/>
              </w:rPr>
              <w:t>2</w:t>
            </w:r>
            <w:r>
              <w:rPr>
                <w:spacing w:val="-9"/>
                <w:sz w:val="21"/>
              </w:rPr>
              <w:t>）出现眼睑下垂，或延髓肌受累引起的构音困难、进食呛咳，或由于肌无力累</w:t>
            </w:r>
            <w:r>
              <w:rPr>
                <w:spacing w:val="-4"/>
                <w:sz w:val="21"/>
              </w:rPr>
              <w:t>及延髓肌、呼吸肌而致机体呼吸功能不正常的危急状态即肌无力危象；</w:t>
            </w:r>
          </w:p>
          <w:p>
            <w:pPr>
              <w:pStyle w:val="TableParagraph"/>
              <w:spacing w:line="247" w:lineRule="auto" w:before="19"/>
              <w:ind w:left="680" w:right="299" w:hanging="526"/>
              <w:rPr>
                <w:sz w:val="21"/>
              </w:rPr>
            </w:pPr>
            <w:r>
              <w:rPr>
                <w:spacing w:val="-12"/>
                <w:sz w:val="21"/>
              </w:rPr>
              <w:t>（</w:t>
            </w:r>
            <w:r>
              <w:rPr>
                <w:rFonts w:ascii="Times New Roman" w:eastAsia="Times New Roman"/>
                <w:spacing w:val="-12"/>
                <w:sz w:val="21"/>
              </w:rPr>
              <w:t>3</w:t>
            </w:r>
            <w:r>
              <w:rPr>
                <w:spacing w:val="-12"/>
                <w:sz w:val="21"/>
              </w:rPr>
              <w:t>）</w:t>
            </w:r>
            <w:r>
              <w:rPr>
                <w:spacing w:val="-10"/>
                <w:sz w:val="21"/>
              </w:rPr>
              <w:t>症状缓解、复发及恶化交替出现，临床接受新斯的明等抗胆碱酯酶药物治疗</w:t>
            </w:r>
            <w:r>
              <w:rPr>
                <w:spacing w:val="-6"/>
                <w:sz w:val="21"/>
              </w:rPr>
              <w:t>的病史。</w:t>
            </w:r>
          </w:p>
        </w:tc>
      </w:tr>
      <w:tr>
        <w:trPr>
          <w:trHeight w:val="1012" w:hRule="atLeast"/>
        </w:trPr>
        <w:tc>
          <w:tcPr>
            <w:tcW w:w="692" w:type="dxa"/>
          </w:tcPr>
          <w:p>
            <w:pPr>
              <w:pStyle w:val="TableParagraph"/>
              <w:spacing w:before="83"/>
              <w:ind w:left="200"/>
              <w:rPr>
                <w:rFonts w:ascii="Times New Roman"/>
                <w:b/>
                <w:sz w:val="21"/>
              </w:rPr>
            </w:pPr>
            <w:r>
              <w:rPr>
                <w:rFonts w:ascii="Times New Roman"/>
                <w:b/>
                <w:sz w:val="21"/>
              </w:rPr>
              <w:t>31.</w:t>
            </w:r>
          </w:p>
        </w:tc>
        <w:tc>
          <w:tcPr>
            <w:tcW w:w="1228" w:type="dxa"/>
          </w:tcPr>
          <w:p>
            <w:pPr>
              <w:pStyle w:val="TableParagraph"/>
              <w:spacing w:line="261" w:lineRule="auto" w:before="33"/>
              <w:ind w:left="228" w:right="153"/>
              <w:rPr>
                <w:b/>
                <w:sz w:val="21"/>
              </w:rPr>
            </w:pPr>
            <w:r>
              <w:rPr>
                <w:b/>
                <w:sz w:val="21"/>
              </w:rPr>
              <w:t>脑动脉瘤开颅手 术：</w:t>
            </w:r>
          </w:p>
        </w:tc>
        <w:tc>
          <w:tcPr>
            <w:tcW w:w="7820" w:type="dxa"/>
          </w:tcPr>
          <w:p>
            <w:pPr>
              <w:pStyle w:val="TableParagraph"/>
              <w:spacing w:before="33"/>
              <w:rPr>
                <w:rFonts w:ascii="黑体" w:eastAsia="黑体" w:hint="eastAsia"/>
                <w:sz w:val="21"/>
              </w:rPr>
            </w:pPr>
            <w:r>
              <w:rPr>
                <w:sz w:val="21"/>
              </w:rPr>
              <w:t>指确已进行开颅手术以夹闭、修复或切除脑动脉瘤。</w:t>
            </w:r>
            <w:r>
              <w:rPr>
                <w:rFonts w:ascii="黑体" w:eastAsia="黑体" w:hint="eastAsia"/>
                <w:sz w:val="21"/>
              </w:rPr>
              <w:t>但不包括导管及血管内手术。</w:t>
            </w:r>
          </w:p>
        </w:tc>
      </w:tr>
      <w:tr>
        <w:trPr>
          <w:trHeight w:val="2180" w:hRule="atLeast"/>
        </w:trPr>
        <w:tc>
          <w:tcPr>
            <w:tcW w:w="692" w:type="dxa"/>
          </w:tcPr>
          <w:p>
            <w:pPr>
              <w:pStyle w:val="TableParagraph"/>
              <w:spacing w:before="83"/>
              <w:ind w:left="200"/>
              <w:rPr>
                <w:rFonts w:ascii="Times New Roman"/>
                <w:b/>
                <w:sz w:val="21"/>
              </w:rPr>
            </w:pPr>
            <w:r>
              <w:rPr>
                <w:rFonts w:ascii="Times New Roman"/>
                <w:b/>
                <w:sz w:val="21"/>
              </w:rPr>
              <w:t>32.</w:t>
            </w:r>
          </w:p>
        </w:tc>
        <w:tc>
          <w:tcPr>
            <w:tcW w:w="1228" w:type="dxa"/>
          </w:tcPr>
          <w:p>
            <w:pPr>
              <w:pStyle w:val="TableParagraph"/>
              <w:spacing w:line="261" w:lineRule="auto" w:before="34"/>
              <w:ind w:left="228" w:right="153"/>
              <w:rPr>
                <w:b/>
                <w:sz w:val="21"/>
              </w:rPr>
            </w:pPr>
            <w:r>
              <w:rPr>
                <w:b/>
                <w:sz w:val="21"/>
              </w:rPr>
              <w:t>严重系统性红斑狼疮性肾 病：</w:t>
            </w:r>
          </w:p>
        </w:tc>
        <w:tc>
          <w:tcPr>
            <w:tcW w:w="7820" w:type="dxa"/>
          </w:tcPr>
          <w:p>
            <w:pPr>
              <w:pStyle w:val="TableParagraph"/>
              <w:spacing w:line="266" w:lineRule="auto" w:before="27"/>
              <w:ind w:right="306"/>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4"/>
              <w:ind w:left="574"/>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574"/>
              <w:rPr>
                <w:sz w:val="21"/>
              </w:rPr>
            </w:pPr>
            <w:r>
              <w:rPr>
                <w:sz w:val="21"/>
              </w:rPr>
              <w:t>Ⅰ型（微小病变型）镜下阴性，尿液正常</w:t>
            </w:r>
          </w:p>
          <w:p>
            <w:pPr>
              <w:pStyle w:val="TableParagraph"/>
              <w:spacing w:line="262" w:lineRule="exact" w:before="37"/>
              <w:ind w:left="574"/>
              <w:rPr>
                <w:sz w:val="21"/>
              </w:rPr>
            </w:pPr>
            <w:r>
              <w:rPr>
                <w:sz w:val="21"/>
              </w:rPr>
              <w:t>Ⅱ型（系膜病变型）中度蛋白尿，偶有尿沉渣改变</w:t>
            </w:r>
          </w:p>
        </w:tc>
      </w:tr>
    </w:tbl>
    <w:p>
      <w:pPr>
        <w:spacing w:after="0" w:line="262" w:lineRule="exact"/>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8"/>
        <w:gridCol w:w="7825"/>
      </w:tblGrid>
      <w:tr>
        <w:trPr>
          <w:trHeight w:val="1551" w:hRule="atLeast"/>
        </w:trPr>
        <w:tc>
          <w:tcPr>
            <w:tcW w:w="692" w:type="dxa"/>
          </w:tcPr>
          <w:p>
            <w:pPr>
              <w:pStyle w:val="TableParagraph"/>
              <w:ind w:left="0"/>
              <w:rPr>
                <w:rFonts w:ascii="Times New Roman"/>
                <w:sz w:val="20"/>
              </w:rPr>
            </w:pPr>
          </w:p>
        </w:tc>
        <w:tc>
          <w:tcPr>
            <w:tcW w:w="1228" w:type="dxa"/>
          </w:tcPr>
          <w:p>
            <w:pPr>
              <w:pStyle w:val="TableParagraph"/>
              <w:ind w:left="0"/>
              <w:rPr>
                <w:rFonts w:ascii="Times New Roman"/>
                <w:sz w:val="20"/>
              </w:rPr>
            </w:pPr>
          </w:p>
        </w:tc>
        <w:tc>
          <w:tcPr>
            <w:tcW w:w="7825" w:type="dxa"/>
          </w:tcPr>
          <w:p>
            <w:pPr>
              <w:pStyle w:val="TableParagraph"/>
              <w:spacing w:line="204" w:lineRule="exact"/>
              <w:ind w:left="574"/>
              <w:rPr>
                <w:sz w:val="21"/>
              </w:rPr>
            </w:pPr>
            <w:r>
              <w:rPr>
                <w:sz w:val="21"/>
              </w:rPr>
              <w:t>Ⅲ型（局灶及节段增生型）蛋白尿，尿沉渣改变</w:t>
            </w:r>
          </w:p>
          <w:p>
            <w:pPr>
              <w:pStyle w:val="TableParagraph"/>
              <w:spacing w:before="37"/>
              <w:ind w:left="574"/>
              <w:rPr>
                <w:sz w:val="21"/>
              </w:rPr>
            </w:pPr>
            <w:r>
              <w:rPr>
                <w:sz w:val="21"/>
              </w:rPr>
              <w:t>Ⅳ型（弥漫增生型）急性肾炎伴有尿沉渣改变及／或肾病综合征</w:t>
            </w:r>
          </w:p>
          <w:p>
            <w:pPr>
              <w:pStyle w:val="TableParagraph"/>
              <w:spacing w:before="37"/>
              <w:ind w:left="574"/>
              <w:rPr>
                <w:sz w:val="21"/>
              </w:rPr>
            </w:pPr>
            <w:r>
              <w:rPr>
                <w:sz w:val="21"/>
              </w:rPr>
              <w:t>Ⅴ型（膜型）肾病综合征或重度蛋白尿</w:t>
            </w:r>
          </w:p>
          <w:p>
            <w:pPr>
              <w:pStyle w:val="TableParagraph"/>
              <w:spacing w:line="261" w:lineRule="auto" w:before="44"/>
              <w:ind w:right="311"/>
              <w:rPr>
                <w:rFonts w:ascii="黑体" w:eastAsia="黑体" w:hint="eastAsia"/>
                <w:sz w:val="21"/>
              </w:rPr>
            </w:pPr>
            <w:r>
              <w:rPr>
                <w:rFonts w:ascii="黑体" w:eastAsia="黑体" w:hint="eastAsia"/>
                <w:sz w:val="21"/>
              </w:rPr>
              <w:t>其它类型的红斑性狼疮，如盘状狼疮，仅累及血液及关节等其它系统的系统性红斑狼疮不在保障范围内。</w:t>
            </w:r>
          </w:p>
        </w:tc>
      </w:tr>
      <w:tr>
        <w:trPr>
          <w:trHeight w:val="2212" w:hRule="atLeast"/>
        </w:trPr>
        <w:tc>
          <w:tcPr>
            <w:tcW w:w="692" w:type="dxa"/>
          </w:tcPr>
          <w:p>
            <w:pPr>
              <w:pStyle w:val="TableParagraph"/>
              <w:spacing w:before="82"/>
              <w:ind w:left="200"/>
              <w:rPr>
                <w:rFonts w:ascii="Times New Roman"/>
                <w:b/>
                <w:sz w:val="21"/>
              </w:rPr>
            </w:pPr>
            <w:r>
              <w:rPr>
                <w:rFonts w:ascii="Times New Roman"/>
                <w:b/>
                <w:sz w:val="21"/>
              </w:rPr>
              <w:t>33.</w:t>
            </w:r>
          </w:p>
        </w:tc>
        <w:tc>
          <w:tcPr>
            <w:tcW w:w="1228" w:type="dxa"/>
          </w:tcPr>
          <w:p>
            <w:pPr>
              <w:pStyle w:val="TableParagraph"/>
              <w:spacing w:line="261" w:lineRule="auto" w:before="33"/>
              <w:ind w:left="228" w:right="153"/>
              <w:jc w:val="both"/>
              <w:rPr>
                <w:b/>
                <w:sz w:val="21"/>
              </w:rPr>
            </w:pPr>
            <w:r>
              <w:rPr>
                <w:b/>
                <w:sz w:val="21"/>
              </w:rPr>
              <w:t>严重的原发性心肌病：</w:t>
            </w:r>
          </w:p>
        </w:tc>
        <w:tc>
          <w:tcPr>
            <w:tcW w:w="7825" w:type="dxa"/>
          </w:tcPr>
          <w:p>
            <w:pPr>
              <w:pStyle w:val="TableParagraph"/>
              <w:spacing w:line="259" w:lineRule="auto" w:before="33"/>
              <w:ind w:right="311"/>
              <w:jc w:val="both"/>
              <w:rPr>
                <w:rFonts w:ascii="黑体" w:eastAsia="黑体" w:hint="eastAsia"/>
                <w:sz w:val="21"/>
              </w:rPr>
            </w:pPr>
            <w:r>
              <w:rPr>
                <w:spacing w:val="-3"/>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5"/>
                <w:sz w:val="21"/>
              </w:rPr>
              <w:t>，且有相关住院医疗记录显示四级心功能衰竭状态持续至少 </w:t>
            </w:r>
            <w:r>
              <w:rPr>
                <w:rFonts w:ascii="Times New Roman" w:eastAsia="Times New Roman"/>
                <w:sz w:val="21"/>
              </w:rPr>
              <w:t>180 </w:t>
            </w:r>
            <w:r>
              <w:rPr>
                <w:spacing w:val="-2"/>
                <w:sz w:val="21"/>
              </w:rPr>
              <w:t>日。</w:t>
            </w:r>
            <w:r>
              <w:rPr>
                <w:rFonts w:ascii="黑体" w:eastAsia="黑体" w:hint="eastAsia"/>
                <w:sz w:val="21"/>
              </w:rPr>
              <w:t>本</w:t>
            </w:r>
            <w:r>
              <w:rPr>
                <w:rFonts w:ascii="黑体" w:eastAsia="黑体" w:hint="eastAsia"/>
                <w:spacing w:val="-2"/>
                <w:sz w:val="21"/>
              </w:rPr>
              <w:t>病须经专科医</w:t>
            </w:r>
            <w:r>
              <w:rPr>
                <w:rFonts w:ascii="黑体" w:eastAsia="黑体" w:hint="eastAsia"/>
                <w:sz w:val="21"/>
              </w:rPr>
              <w:t>Th</w:t>
            </w:r>
            <w:r>
              <w:rPr>
                <w:rFonts w:ascii="黑体" w:eastAsia="黑体" w:hint="eastAsia"/>
                <w:spacing w:val="-3"/>
                <w:sz w:val="21"/>
              </w:rPr>
              <w:t>明确诊断。继发于全身性疾病或其它器官系统疾病造成的心肌病变不在保障范围。</w:t>
            </w:r>
          </w:p>
        </w:tc>
      </w:tr>
      <w:tr>
        <w:trPr>
          <w:trHeight w:val="1612" w:hRule="atLeast"/>
        </w:trPr>
        <w:tc>
          <w:tcPr>
            <w:tcW w:w="692" w:type="dxa"/>
          </w:tcPr>
          <w:p>
            <w:pPr>
              <w:pStyle w:val="TableParagraph"/>
              <w:spacing w:before="82"/>
              <w:ind w:left="200"/>
              <w:rPr>
                <w:rFonts w:ascii="Times New Roman"/>
                <w:b/>
                <w:sz w:val="21"/>
              </w:rPr>
            </w:pPr>
            <w:r>
              <w:rPr>
                <w:rFonts w:ascii="Times New Roman"/>
                <w:b/>
                <w:sz w:val="21"/>
              </w:rPr>
              <w:t>34.</w:t>
            </w:r>
          </w:p>
        </w:tc>
        <w:tc>
          <w:tcPr>
            <w:tcW w:w="1228" w:type="dxa"/>
          </w:tcPr>
          <w:p>
            <w:pPr>
              <w:pStyle w:val="TableParagraph"/>
              <w:spacing w:before="33"/>
              <w:ind w:left="0" w:right="153"/>
              <w:jc w:val="right"/>
              <w:rPr>
                <w:b/>
                <w:sz w:val="21"/>
              </w:rPr>
            </w:pPr>
            <w:r>
              <w:rPr>
                <w:b/>
                <w:sz w:val="21"/>
              </w:rPr>
              <w:t>植物人：</w:t>
            </w:r>
          </w:p>
        </w:tc>
        <w:tc>
          <w:tcPr>
            <w:tcW w:w="7825" w:type="dxa"/>
          </w:tcPr>
          <w:p>
            <w:pPr>
              <w:pStyle w:val="TableParagraph"/>
              <w:spacing w:line="261" w:lineRule="auto" w:before="33"/>
              <w:ind w:right="259"/>
              <w:rPr>
                <w:sz w:val="21"/>
              </w:rPr>
            </w:pPr>
            <w:r>
              <w:rPr>
                <w:sz w:val="21"/>
              </w:rPr>
              <w:t>指脑皮质广泛性坏死而导致对自身及周边的认知能力完全丧失，但脑干功能依然存在。必须由神经专科医生明确诊断，并有头颅断层扫描（</w:t>
            </w:r>
            <w:r>
              <w:rPr>
                <w:rFonts w:ascii="Times New Roman" w:eastAsia="Times New Roman"/>
                <w:sz w:val="21"/>
              </w:rPr>
              <w:t>CT</w:t>
            </w:r>
            <w:r>
              <w:rPr>
                <w:sz w:val="21"/>
              </w:rPr>
              <w:t>），核磁共振检查</w:t>
            </w:r>
          </w:p>
          <w:p>
            <w:pPr>
              <w:pStyle w:val="TableParagraph"/>
              <w:spacing w:line="279" w:lineRule="exact"/>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p>
          <w:p>
            <w:pPr>
              <w:pStyle w:val="TableParagraph"/>
              <w:spacing w:line="261" w:lineRule="auto" w:before="9"/>
              <w:ind w:right="312"/>
              <w:rPr>
                <w:rFonts w:ascii="黑体" w:eastAsia="黑体" w:hint="eastAsia"/>
                <w:sz w:val="21"/>
              </w:rPr>
            </w:pPr>
            <w:r>
              <w:rPr>
                <w:sz w:val="21"/>
              </w:rPr>
              <w:t>上述情况必须有至少一个月的病历记录加以证实。</w:t>
            </w:r>
            <w:r>
              <w:rPr>
                <w:rFonts w:ascii="黑体" w:eastAsia="黑体" w:hint="eastAsia"/>
                <w:sz w:val="21"/>
              </w:rPr>
              <w:t>由于酗酒或滥用药物所致的植物人状态不在保障范围内。</w:t>
            </w:r>
          </w:p>
        </w:tc>
      </w:tr>
      <w:tr>
        <w:trPr>
          <w:trHeight w:val="3412" w:hRule="atLeast"/>
        </w:trPr>
        <w:tc>
          <w:tcPr>
            <w:tcW w:w="692" w:type="dxa"/>
          </w:tcPr>
          <w:p>
            <w:pPr>
              <w:pStyle w:val="TableParagraph"/>
              <w:spacing w:before="82"/>
              <w:ind w:left="200"/>
              <w:rPr>
                <w:rFonts w:ascii="Times New Roman"/>
                <w:b/>
                <w:sz w:val="21"/>
              </w:rPr>
            </w:pPr>
            <w:r>
              <w:rPr>
                <w:rFonts w:ascii="Times New Roman"/>
                <w:b/>
                <w:sz w:val="21"/>
              </w:rPr>
              <w:t>35.</w:t>
            </w:r>
          </w:p>
        </w:tc>
        <w:tc>
          <w:tcPr>
            <w:tcW w:w="1228" w:type="dxa"/>
          </w:tcPr>
          <w:p>
            <w:pPr>
              <w:pStyle w:val="TableParagraph"/>
              <w:spacing w:line="261" w:lineRule="auto" w:before="33"/>
              <w:ind w:left="228" w:right="153"/>
              <w:jc w:val="both"/>
              <w:rPr>
                <w:b/>
                <w:sz w:val="21"/>
              </w:rPr>
            </w:pPr>
            <w:r>
              <w:rPr>
                <w:b/>
                <w:sz w:val="21"/>
              </w:rPr>
              <w:t>因职业关系导致的人类免疫缺陷病毒感染：</w:t>
            </w:r>
          </w:p>
        </w:tc>
        <w:tc>
          <w:tcPr>
            <w:tcW w:w="7825" w:type="dxa"/>
          </w:tcPr>
          <w:p>
            <w:pPr>
              <w:pStyle w:val="TableParagraph"/>
              <w:spacing w:line="261" w:lineRule="auto" w:before="33"/>
              <w:ind w:right="304"/>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rPr>
                <w:sz w:val="21"/>
              </w:rPr>
            </w:pPr>
            <w:r>
              <w:rPr>
                <w:sz w:val="21"/>
              </w:rPr>
              <w:t>必须满足下列全部条件：</w:t>
            </w:r>
          </w:p>
          <w:p>
            <w:pPr>
              <w:pStyle w:val="TableParagraph"/>
              <w:spacing w:line="254" w:lineRule="auto" w:before="26"/>
              <w:ind w:left="680" w:right="304" w:hanging="526"/>
              <w:jc w:val="both"/>
              <w:rPr>
                <w:sz w:val="21"/>
              </w:rPr>
            </w:pPr>
            <w:r>
              <w:rPr>
                <w:spacing w:val="-17"/>
                <w:sz w:val="21"/>
              </w:rPr>
              <w:t>（</w:t>
            </w:r>
            <w:r>
              <w:rPr>
                <w:rFonts w:ascii="Times New Roman" w:eastAsia="Times New Roman"/>
                <w:spacing w:val="-17"/>
                <w:sz w:val="21"/>
              </w:rPr>
              <w:t>1</w:t>
            </w:r>
            <w:r>
              <w:rPr>
                <w:spacing w:val="-17"/>
                <w:sz w:val="21"/>
              </w:rPr>
              <w:t>）</w:t>
            </w:r>
            <w:r>
              <w:rPr>
                <w:spacing w:val="-6"/>
                <w:sz w:val="21"/>
              </w:rPr>
              <w:t>感染必须是在被保险人正在从事其职业工作中发生，该职业必须属于以下职</w:t>
            </w:r>
            <w:r>
              <w:rPr>
                <w:spacing w:val="-11"/>
                <w:sz w:val="21"/>
              </w:rPr>
              <w:t>业之一：医生和牙科医生、护士、医院化验室工作人员、医院护工、医生助</w:t>
            </w:r>
            <w:r>
              <w:rPr>
                <w:spacing w:val="-3"/>
                <w:sz w:val="21"/>
              </w:rPr>
              <w:t>理和牙医助理、救护车工作人员、助产士、消防队员、警察、狱警；</w:t>
            </w:r>
          </w:p>
          <w:p>
            <w:pPr>
              <w:pStyle w:val="TableParagraph"/>
              <w:spacing w:before="13"/>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9"/>
              <w:ind w:left="680" w:right="305" w:hanging="526"/>
              <w:rPr>
                <w:sz w:val="21"/>
              </w:rPr>
            </w:pPr>
            <w:r>
              <w:rPr>
                <w:spacing w:val="-17"/>
                <w:sz w:val="21"/>
              </w:rPr>
              <w:t>（</w:t>
            </w:r>
            <w:r>
              <w:rPr>
                <w:rFonts w:ascii="Times New Roman" w:eastAsia="Times New Roman"/>
                <w:spacing w:val="-17"/>
                <w:sz w:val="21"/>
              </w:rPr>
              <w:t>3</w:t>
            </w:r>
            <w:r>
              <w:rPr>
                <w:spacing w:val="-17"/>
                <w:sz w:val="21"/>
              </w:rPr>
              <w:t>）</w:t>
            </w:r>
            <w:r>
              <w:rPr>
                <w:spacing w:val="-5"/>
                <w:sz w:val="21"/>
              </w:rPr>
              <w:t>必须提供被保险人在所报告事故发生后的 </w:t>
            </w:r>
            <w:r>
              <w:rPr>
                <w:rFonts w:ascii="Times New Roman" w:eastAsia="Times New Roman"/>
                <w:sz w:val="21"/>
              </w:rPr>
              <w:t>5 </w:t>
            </w:r>
            <w:r>
              <w:rPr>
                <w:spacing w:val="-8"/>
                <w:sz w:val="21"/>
              </w:rPr>
              <w:t>天内进行的检验报告，该报告必须显示被保险人血液 </w:t>
            </w:r>
            <w:r>
              <w:rPr>
                <w:rFonts w:ascii="Times New Roman" w:eastAsia="Times New Roman"/>
                <w:sz w:val="21"/>
              </w:rPr>
              <w:t>HIV </w:t>
            </w:r>
            <w:r>
              <w:rPr>
                <w:spacing w:val="-1"/>
                <w:sz w:val="21"/>
              </w:rPr>
              <w:t>病毒阴性和</w:t>
            </w:r>
            <w:r>
              <w:rPr>
                <w:rFonts w:ascii="Times New Roman" w:eastAsia="Times New Roman"/>
                <w:spacing w:val="-4"/>
                <w:sz w:val="21"/>
              </w:rPr>
              <w:t>/</w:t>
            </w:r>
            <w:r>
              <w:rPr>
                <w:spacing w:val="50"/>
                <w:sz w:val="21"/>
              </w:rPr>
              <w:t>或</w:t>
            </w:r>
            <w:r>
              <w:rPr>
                <w:rFonts w:ascii="Times New Roman" w:eastAsia="Times New Roman"/>
                <w:sz w:val="21"/>
              </w:rPr>
              <w:t>HIV </w:t>
            </w:r>
            <w:r>
              <w:rPr>
                <w:spacing w:val="-3"/>
                <w:sz w:val="21"/>
              </w:rPr>
              <w:t>抗体阴性；</w:t>
            </w:r>
          </w:p>
          <w:p>
            <w:pPr>
              <w:pStyle w:val="TableParagraph"/>
              <w:spacing w:before="2"/>
              <w:rPr>
                <w:rFonts w:ascii="Times New Roman" w:eastAsia="Times New Roman"/>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 </w:t>
            </w:r>
            <w:r>
              <w:rPr>
                <w:rFonts w:ascii="Times New Roman" w:eastAsia="Times New Roman"/>
                <w:sz w:val="21"/>
              </w:rPr>
              <w:t>HIV </w:t>
            </w:r>
            <w:r>
              <w:rPr>
                <w:sz w:val="21"/>
              </w:rPr>
              <w:t>病毒或者 </w:t>
            </w:r>
            <w:r>
              <w:rPr>
                <w:rFonts w:ascii="Times New Roman" w:eastAsia="Times New Roman"/>
                <w:sz w:val="21"/>
              </w:rPr>
              <w:t>HIV</w:t>
            </w:r>
          </w:p>
          <w:p>
            <w:pPr>
              <w:pStyle w:val="TableParagraph"/>
              <w:spacing w:before="9"/>
              <w:ind w:left="680"/>
              <w:rPr>
                <w:sz w:val="21"/>
              </w:rPr>
            </w:pPr>
            <w:r>
              <w:rPr>
                <w:sz w:val="21"/>
              </w:rPr>
              <w:t>抗体。</w:t>
            </w:r>
          </w:p>
        </w:tc>
      </w:tr>
      <w:tr>
        <w:trPr>
          <w:trHeight w:val="1320" w:hRule="atLeast"/>
        </w:trPr>
        <w:tc>
          <w:tcPr>
            <w:tcW w:w="692" w:type="dxa"/>
          </w:tcPr>
          <w:p>
            <w:pPr>
              <w:pStyle w:val="TableParagraph"/>
              <w:spacing w:before="82"/>
              <w:ind w:left="200"/>
              <w:rPr>
                <w:rFonts w:ascii="Times New Roman"/>
                <w:b/>
                <w:sz w:val="21"/>
              </w:rPr>
            </w:pPr>
            <w:r>
              <w:rPr>
                <w:rFonts w:ascii="Times New Roman"/>
                <w:b/>
                <w:sz w:val="21"/>
              </w:rPr>
              <w:t>36.</w:t>
            </w:r>
          </w:p>
        </w:tc>
        <w:tc>
          <w:tcPr>
            <w:tcW w:w="1228" w:type="dxa"/>
          </w:tcPr>
          <w:p>
            <w:pPr>
              <w:pStyle w:val="TableParagraph"/>
              <w:spacing w:line="261" w:lineRule="auto" w:before="33"/>
              <w:ind w:left="228" w:right="153"/>
              <w:rPr>
                <w:b/>
                <w:sz w:val="21"/>
              </w:rPr>
            </w:pPr>
            <w:r>
              <w:rPr>
                <w:b/>
                <w:sz w:val="21"/>
              </w:rPr>
              <w:t>肾髓质囊性病：</w:t>
            </w:r>
          </w:p>
        </w:tc>
        <w:tc>
          <w:tcPr>
            <w:tcW w:w="7825" w:type="dxa"/>
          </w:tcPr>
          <w:p>
            <w:pPr>
              <w:pStyle w:val="TableParagraph"/>
              <w:spacing w:before="33"/>
              <w:rPr>
                <w:sz w:val="21"/>
              </w:rPr>
            </w:pPr>
            <w:r>
              <w:rPr>
                <w:sz w:val="21"/>
              </w:rPr>
              <w:t>指经肾脏内科专科医生明确诊断为肾髓质囊性病，且须同时满足下列条件：</w:t>
            </w:r>
          </w:p>
          <w:p>
            <w:pPr>
              <w:pStyle w:val="TableParagraph"/>
              <w:spacing w:before="24"/>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8"/>
              <w:rPr>
                <w:sz w:val="21"/>
              </w:rPr>
            </w:pPr>
            <w:r>
              <w:rPr>
                <w:sz w:val="21"/>
              </w:rPr>
              <w:t>（</w:t>
            </w:r>
            <w:r>
              <w:rPr>
                <w:rFonts w:ascii="Times New Roman" w:eastAsia="Times New Roman"/>
                <w:sz w:val="21"/>
              </w:rPr>
              <w:t>2</w:t>
            </w:r>
            <w:r>
              <w:rPr>
                <w:sz w:val="21"/>
              </w:rPr>
              <w:t>）贫血、多尿及肾功能衰竭等临床表现；</w:t>
            </w:r>
          </w:p>
          <w:p>
            <w:pPr>
              <w:pStyle w:val="TableParagraph"/>
              <w:spacing w:before="8"/>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692" w:type="dxa"/>
          </w:tcPr>
          <w:p>
            <w:pPr>
              <w:pStyle w:val="TableParagraph"/>
              <w:spacing w:before="74"/>
              <w:ind w:left="200"/>
              <w:rPr>
                <w:rFonts w:ascii="Times New Roman"/>
                <w:b/>
                <w:sz w:val="21"/>
              </w:rPr>
            </w:pPr>
            <w:r>
              <w:rPr>
                <w:rFonts w:ascii="Times New Roman"/>
                <w:b/>
                <w:sz w:val="21"/>
              </w:rPr>
              <w:t>37.</w:t>
            </w:r>
          </w:p>
        </w:tc>
        <w:tc>
          <w:tcPr>
            <w:tcW w:w="1228" w:type="dxa"/>
          </w:tcPr>
          <w:p>
            <w:pPr>
              <w:pStyle w:val="TableParagraph"/>
              <w:spacing w:line="261" w:lineRule="auto" w:before="25"/>
              <w:ind w:left="228" w:right="153"/>
              <w:rPr>
                <w:b/>
                <w:sz w:val="21"/>
              </w:rPr>
            </w:pPr>
            <w:r>
              <w:rPr>
                <w:b/>
                <w:sz w:val="21"/>
              </w:rPr>
              <w:t>脊髓灰质炎：</w:t>
            </w:r>
          </w:p>
        </w:tc>
        <w:tc>
          <w:tcPr>
            <w:tcW w:w="7825" w:type="dxa"/>
          </w:tcPr>
          <w:p>
            <w:pPr>
              <w:pStyle w:val="TableParagraph"/>
              <w:spacing w:line="259" w:lineRule="auto" w:before="25"/>
              <w:ind w:right="198"/>
              <w:rPr>
                <w:sz w:val="21"/>
              </w:rPr>
            </w:pPr>
            <w:r>
              <w:rPr>
                <w:spacing w:val="-3"/>
                <w:sz w:val="21"/>
              </w:rPr>
              <w:t>是由于脊髓灰质炎病毒感染所致的瘫痪性疾病，临床表现为运动功能损害或呼吸无力。脊髓灰质炎必须明确诊断。</w:t>
            </w:r>
            <w:r>
              <w:rPr>
                <w:rFonts w:ascii="黑体" w:eastAsia="黑体" w:hint="eastAsia"/>
                <w:spacing w:val="-3"/>
                <w:sz w:val="21"/>
              </w:rPr>
              <w:t>我们仅对脊髓灰质炎造成的神经系统功能损害</w:t>
            </w:r>
            <w:r>
              <w:rPr>
                <w:rFonts w:ascii="黑体" w:eastAsia="黑体" w:hint="eastAsia"/>
                <w:spacing w:val="-4"/>
                <w:sz w:val="21"/>
              </w:rPr>
              <w:t>导致被保险人一肢或一肢以上肢体机能永久完全丧失的情况予以理赔。</w:t>
            </w:r>
            <w:r>
              <w:rPr>
                <w:spacing w:val="-2"/>
                <w:sz w:val="21"/>
              </w:rPr>
              <w:t>肢体机能</w:t>
            </w:r>
            <w:r>
              <w:rPr>
                <w:spacing w:val="-11"/>
                <w:sz w:val="21"/>
              </w:rPr>
              <w:t>永久完全丧失，指疾病确诊 </w:t>
            </w:r>
            <w:r>
              <w:rPr>
                <w:rFonts w:ascii="Times New Roman" w:eastAsia="Times New Roman"/>
                <w:sz w:val="21"/>
              </w:rPr>
              <w:t>180 </w:t>
            </w:r>
            <w:r>
              <w:rPr>
                <w:spacing w:val="-9"/>
                <w:sz w:val="21"/>
              </w:rPr>
              <w:t>日后，每肢三大关节中的两大关节仍然完全僵硬， </w:t>
            </w:r>
            <w:r>
              <w:rPr>
                <w:spacing w:val="-5"/>
                <w:sz w:val="21"/>
              </w:rPr>
              <w:t>或不能随意识活动。</w:t>
            </w:r>
          </w:p>
        </w:tc>
      </w:tr>
      <w:tr>
        <w:trPr>
          <w:trHeight w:val="2130" w:hRule="atLeast"/>
        </w:trPr>
        <w:tc>
          <w:tcPr>
            <w:tcW w:w="692" w:type="dxa"/>
          </w:tcPr>
          <w:p>
            <w:pPr>
              <w:pStyle w:val="TableParagraph"/>
              <w:spacing w:before="82"/>
              <w:ind w:left="200"/>
              <w:rPr>
                <w:rFonts w:ascii="Times New Roman"/>
                <w:b/>
                <w:sz w:val="21"/>
              </w:rPr>
            </w:pPr>
            <w:r>
              <w:rPr>
                <w:rFonts w:ascii="Times New Roman"/>
                <w:b/>
                <w:sz w:val="21"/>
              </w:rPr>
              <w:t>38.</w:t>
            </w:r>
          </w:p>
        </w:tc>
        <w:tc>
          <w:tcPr>
            <w:tcW w:w="1228" w:type="dxa"/>
          </w:tcPr>
          <w:p>
            <w:pPr>
              <w:pStyle w:val="TableParagraph"/>
              <w:spacing w:before="33"/>
              <w:ind w:left="0" w:right="153"/>
              <w:jc w:val="right"/>
              <w:rPr>
                <w:b/>
                <w:sz w:val="21"/>
              </w:rPr>
            </w:pPr>
            <w:r>
              <w:rPr>
                <w:b/>
                <w:sz w:val="21"/>
              </w:rPr>
              <w:t>硬皮病：</w:t>
            </w:r>
          </w:p>
        </w:tc>
        <w:tc>
          <w:tcPr>
            <w:tcW w:w="7825" w:type="dxa"/>
          </w:tcPr>
          <w:p>
            <w:pPr>
              <w:pStyle w:val="TableParagraph"/>
              <w:spacing w:line="261" w:lineRule="auto" w:before="33"/>
              <w:ind w:right="304"/>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6"/>
              <w:jc w:val="both"/>
              <w:rPr>
                <w:rFonts w:ascii="黑体" w:eastAsia="黑体" w:hint="eastAsia"/>
                <w:sz w:val="21"/>
              </w:rPr>
            </w:pPr>
            <w:r>
              <w:rPr>
                <w:rFonts w:ascii="黑体" w:eastAsia="黑体" w:hint="eastAsia"/>
                <w:sz w:val="21"/>
              </w:rPr>
              <w:t>下列疾病不在保障范围内：</w:t>
            </w:r>
          </w:p>
          <w:p>
            <w:pPr>
              <w:pStyle w:val="TableParagraph"/>
              <w:spacing w:before="25"/>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）局限性硬皮病（包括带状硬皮病、硬斑病）；</w:t>
            </w:r>
          </w:p>
          <w:p>
            <w:pPr>
              <w:pStyle w:val="TableParagraph"/>
              <w:spacing w:before="9"/>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）嗜酸细胞性筋膜炎；</w:t>
            </w:r>
          </w:p>
          <w:p>
            <w:pPr>
              <w:pStyle w:val="TableParagraph"/>
              <w:spacing w:line="278" w:lineRule="exact" w:before="9"/>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w:t>
            </w:r>
            <w:r>
              <w:rPr>
                <w:rFonts w:ascii="Times New Roman" w:eastAsia="Times New Roman"/>
                <w:sz w:val="21"/>
              </w:rPr>
              <w:t>CREST </w:t>
            </w:r>
            <w:r>
              <w:rPr>
                <w:rFonts w:ascii="黑体" w:eastAsia="黑体" w:hint="eastAsia"/>
                <w:sz w:val="21"/>
              </w:rPr>
              <w:t>综合征。</w:t>
            </w:r>
          </w:p>
        </w:tc>
      </w:tr>
    </w:tbl>
    <w:p>
      <w:pPr>
        <w:spacing w:after="0" w:line="278" w:lineRule="exact"/>
        <w:jc w:val="both"/>
        <w:rPr>
          <w:rFonts w:ascii="黑体" w:eastAsia="黑体" w:hint="eastAsia"/>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90"/>
        <w:gridCol w:w="7656"/>
      </w:tblGrid>
      <w:tr>
        <w:trPr>
          <w:trHeight w:val="2414" w:hRule="atLeast"/>
        </w:trPr>
        <w:tc>
          <w:tcPr>
            <w:tcW w:w="692" w:type="dxa"/>
          </w:tcPr>
          <w:p>
            <w:pPr>
              <w:pStyle w:val="TableParagraph"/>
              <w:spacing w:line="234" w:lineRule="exact"/>
              <w:ind w:left="200"/>
              <w:rPr>
                <w:rFonts w:ascii="Times New Roman"/>
                <w:b/>
                <w:sz w:val="21"/>
              </w:rPr>
            </w:pPr>
            <w:r>
              <w:rPr>
                <w:rFonts w:ascii="Times New Roman"/>
                <w:b/>
                <w:sz w:val="21"/>
              </w:rPr>
              <w:t>39.</w:t>
            </w:r>
          </w:p>
        </w:tc>
        <w:tc>
          <w:tcPr>
            <w:tcW w:w="1290" w:type="dxa"/>
          </w:tcPr>
          <w:p>
            <w:pPr>
              <w:pStyle w:val="TableParagraph"/>
              <w:spacing w:line="218" w:lineRule="exact"/>
              <w:ind w:left="228"/>
              <w:rPr>
                <w:b/>
                <w:sz w:val="21"/>
              </w:rPr>
            </w:pPr>
            <w:r>
              <w:rPr>
                <w:b/>
                <w:sz w:val="21"/>
              </w:rPr>
              <w:t>肺源性心</w:t>
            </w:r>
          </w:p>
          <w:p>
            <w:pPr>
              <w:pStyle w:val="TableParagraph"/>
              <w:spacing w:before="25"/>
              <w:ind w:left="228"/>
              <w:rPr>
                <w:b/>
                <w:sz w:val="21"/>
              </w:rPr>
            </w:pPr>
            <w:r>
              <w:rPr>
                <w:b/>
                <w:sz w:val="21"/>
              </w:rPr>
              <w:t>脏病：</w:t>
            </w:r>
          </w:p>
        </w:tc>
        <w:tc>
          <w:tcPr>
            <w:tcW w:w="7656" w:type="dxa"/>
          </w:tcPr>
          <w:p>
            <w:pPr>
              <w:pStyle w:val="TableParagraph"/>
              <w:spacing w:line="218" w:lineRule="exact"/>
              <w:ind w:left="92"/>
              <w:rPr>
                <w:sz w:val="21"/>
              </w:rPr>
            </w:pPr>
            <w:r>
              <w:rPr>
                <w:sz w:val="21"/>
              </w:rPr>
              <w:t>由呼吸专科医生或心内科专科医生确诊为肺源性心脏病。诊断必须基于右心导管</w:t>
            </w:r>
          </w:p>
          <w:p>
            <w:pPr>
              <w:pStyle w:val="TableParagraph"/>
              <w:spacing w:before="25"/>
              <w:ind w:left="92"/>
              <w:rPr>
                <w:sz w:val="21"/>
              </w:rPr>
            </w:pPr>
            <w:r>
              <w:rPr>
                <w:sz w:val="21"/>
              </w:rPr>
              <w:t>（心血管造影）的检查结果，且必须同时满足如下诊断标准：</w:t>
            </w:r>
          </w:p>
          <w:p>
            <w:pPr>
              <w:pStyle w:val="TableParagraph"/>
              <w:spacing w:before="25"/>
              <w:ind w:left="92"/>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ind w:left="92"/>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ind w:left="92"/>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before="9"/>
              <w:ind w:left="92"/>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line="261" w:lineRule="auto" w:before="9"/>
              <w:ind w:left="92" w:right="415"/>
              <w:rPr>
                <w:rFonts w:ascii="黑体" w:eastAsia="黑体" w:hint="eastAsia"/>
                <w:sz w:val="21"/>
              </w:rPr>
            </w:pPr>
            <w:r>
              <w:rPr>
                <w:rFonts w:ascii="黑体" w:eastAsia="黑体" w:hint="eastAsia"/>
                <w:sz w:val="21"/>
              </w:rPr>
              <w:t>因左心病变或者先天性心脏病引起的右心衰竭或者肺动脉高压不在保障范围之内。</w:t>
            </w:r>
          </w:p>
        </w:tc>
      </w:tr>
      <w:tr>
        <w:trPr>
          <w:trHeight w:val="2605" w:hRule="atLeast"/>
        </w:trPr>
        <w:tc>
          <w:tcPr>
            <w:tcW w:w="692" w:type="dxa"/>
          </w:tcPr>
          <w:p>
            <w:pPr>
              <w:pStyle w:val="TableParagraph"/>
              <w:spacing w:before="90"/>
              <w:ind w:left="200"/>
              <w:rPr>
                <w:rFonts w:ascii="Times New Roman"/>
                <w:b/>
                <w:sz w:val="21"/>
              </w:rPr>
            </w:pPr>
            <w:r>
              <w:rPr>
                <w:rFonts w:ascii="Times New Roman"/>
                <w:b/>
                <w:sz w:val="21"/>
              </w:rPr>
              <w:t>40.</w:t>
            </w:r>
          </w:p>
        </w:tc>
        <w:tc>
          <w:tcPr>
            <w:tcW w:w="1290" w:type="dxa"/>
          </w:tcPr>
          <w:p>
            <w:pPr>
              <w:pStyle w:val="TableParagraph"/>
              <w:spacing w:line="283" w:lineRule="auto" w:before="41"/>
              <w:ind w:left="228" w:right="90"/>
              <w:rPr>
                <w:rFonts w:ascii="Times New Roman" w:eastAsia="Times New Roman"/>
                <w:b/>
                <w:sz w:val="21"/>
              </w:rPr>
            </w:pPr>
            <w:r>
              <w:rPr>
                <w:b/>
                <w:sz w:val="21"/>
              </w:rPr>
              <w:t>肝豆状核变性</w:t>
            </w:r>
            <w:r>
              <w:rPr>
                <w:rFonts w:ascii="Times New Roman" w:eastAsia="Times New Roman"/>
                <w:b/>
                <w:sz w:val="21"/>
              </w:rPr>
              <w:t>(Wilson</w:t>
            </w:r>
          </w:p>
          <w:p>
            <w:pPr>
              <w:pStyle w:val="TableParagraph"/>
              <w:spacing w:line="258" w:lineRule="exact"/>
              <w:ind w:left="228"/>
              <w:rPr>
                <w:b/>
                <w:sz w:val="21"/>
              </w:rPr>
            </w:pPr>
            <w:r>
              <w:rPr>
                <w:b/>
                <w:sz w:val="21"/>
              </w:rPr>
              <w:t>病</w:t>
            </w:r>
            <w:r>
              <w:rPr>
                <w:rFonts w:ascii="Times New Roman" w:eastAsia="Times New Roman"/>
                <w:b/>
                <w:sz w:val="21"/>
              </w:rPr>
              <w:t>)</w:t>
            </w:r>
            <w:r>
              <w:rPr>
                <w:b/>
                <w:sz w:val="21"/>
              </w:rPr>
              <w:t>：</w:t>
            </w:r>
          </w:p>
        </w:tc>
        <w:tc>
          <w:tcPr>
            <w:tcW w:w="7656" w:type="dxa"/>
          </w:tcPr>
          <w:p>
            <w:pPr>
              <w:pStyle w:val="TableParagraph"/>
              <w:spacing w:line="273" w:lineRule="auto" w:before="33"/>
              <w:ind w:left="92" w:right="197"/>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56" w:lineRule="auto" w:before="7"/>
              <w:ind w:left="618" w:right="201" w:hanging="526"/>
              <w:rPr>
                <w:sz w:val="21"/>
              </w:rPr>
            </w:pPr>
            <w:r>
              <w:rPr>
                <w:spacing w:val="-8"/>
                <w:sz w:val="21"/>
              </w:rPr>
              <w:t>（</w:t>
            </w:r>
            <w:r>
              <w:rPr>
                <w:rFonts w:ascii="Times New Roman" w:eastAsia="Times New Roman"/>
                <w:spacing w:val="-8"/>
                <w:sz w:val="21"/>
              </w:rPr>
              <w:t>1</w:t>
            </w:r>
            <w:r>
              <w:rPr>
                <w:spacing w:val="-8"/>
                <w:sz w:val="21"/>
              </w:rPr>
              <w:t>）</w:t>
            </w:r>
            <w:r>
              <w:rPr>
                <w:spacing w:val="-9"/>
                <w:sz w:val="21"/>
              </w:rPr>
              <w:t>临床表现包括：进行性加剧的肢体震颤，肌强直，吞咽及发音困难，精神异</w:t>
            </w:r>
            <w:r>
              <w:rPr>
                <w:sz w:val="21"/>
              </w:rPr>
              <w:t>常；</w:t>
            </w:r>
          </w:p>
          <w:p>
            <w:pPr>
              <w:pStyle w:val="TableParagraph"/>
              <w:spacing w:before="22"/>
              <w:ind w:left="92"/>
              <w:rPr>
                <w:sz w:val="21"/>
              </w:rPr>
            </w:pPr>
            <w:r>
              <w:rPr>
                <w:sz w:val="21"/>
              </w:rPr>
              <w:t>（</w:t>
            </w:r>
            <w:r>
              <w:rPr>
                <w:rFonts w:ascii="Times New Roman" w:eastAsia="Times New Roman"/>
                <w:sz w:val="21"/>
              </w:rPr>
              <w:t>2</w:t>
            </w:r>
            <w:r>
              <w:rPr>
                <w:sz w:val="21"/>
              </w:rPr>
              <w:t>）</w:t>
            </w:r>
            <w:r>
              <w:rPr>
                <w:spacing w:val="-3"/>
                <w:sz w:val="21"/>
              </w:rPr>
              <w:t>角膜色素环</w:t>
            </w:r>
            <w:r>
              <w:rPr>
                <w:sz w:val="21"/>
              </w:rPr>
              <w:t>（</w:t>
            </w:r>
            <w:r>
              <w:rPr>
                <w:rFonts w:ascii="Times New Roman" w:eastAsia="Times New Roman"/>
                <w:sz w:val="21"/>
              </w:rPr>
              <w:t>K-F </w:t>
            </w:r>
            <w:r>
              <w:rPr>
                <w:sz w:val="21"/>
              </w:rPr>
              <w:t>环</w:t>
            </w:r>
            <w:r>
              <w:rPr>
                <w:spacing w:val="-106"/>
                <w:sz w:val="21"/>
              </w:rPr>
              <w:t>）；</w:t>
            </w:r>
          </w:p>
          <w:p>
            <w:pPr>
              <w:pStyle w:val="TableParagraph"/>
              <w:spacing w:before="20"/>
              <w:ind w:left="92"/>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ind w:left="92"/>
              <w:rPr>
                <w:sz w:val="21"/>
              </w:rPr>
            </w:pPr>
            <w:r>
              <w:rPr>
                <w:sz w:val="21"/>
              </w:rPr>
              <w:t>（</w:t>
            </w:r>
            <w:r>
              <w:rPr>
                <w:rFonts w:ascii="Times New Roman" w:eastAsia="Times New Roman"/>
                <w:sz w:val="21"/>
              </w:rPr>
              <w:t>4</w:t>
            </w:r>
            <w:r>
              <w:rPr>
                <w:sz w:val="21"/>
              </w:rPr>
              <w:t>）食管静脉曲张；</w:t>
            </w:r>
          </w:p>
          <w:p>
            <w:pPr>
              <w:pStyle w:val="TableParagraph"/>
              <w:spacing w:before="28"/>
              <w:ind w:left="92"/>
              <w:rPr>
                <w:sz w:val="21"/>
              </w:rPr>
            </w:pPr>
            <w:r>
              <w:rPr>
                <w:sz w:val="21"/>
              </w:rPr>
              <w:t>（</w:t>
            </w:r>
            <w:r>
              <w:rPr>
                <w:rFonts w:ascii="Times New Roman" w:eastAsia="Times New Roman"/>
                <w:sz w:val="21"/>
              </w:rPr>
              <w:t>5</w:t>
            </w:r>
            <w:r>
              <w:rPr>
                <w:sz w:val="21"/>
              </w:rPr>
              <w:t>）腹水。</w:t>
            </w:r>
          </w:p>
        </w:tc>
      </w:tr>
      <w:tr>
        <w:trPr>
          <w:trHeight w:val="1004" w:hRule="atLeast"/>
        </w:trPr>
        <w:tc>
          <w:tcPr>
            <w:tcW w:w="692" w:type="dxa"/>
          </w:tcPr>
          <w:p>
            <w:pPr>
              <w:pStyle w:val="TableParagraph"/>
              <w:spacing w:before="82"/>
              <w:ind w:left="200"/>
              <w:rPr>
                <w:rFonts w:ascii="Times New Roman"/>
                <w:b/>
                <w:sz w:val="21"/>
              </w:rPr>
            </w:pPr>
            <w:r>
              <w:rPr>
                <w:rFonts w:ascii="Times New Roman"/>
                <w:b/>
                <w:sz w:val="21"/>
              </w:rPr>
              <w:t>41.</w:t>
            </w:r>
          </w:p>
        </w:tc>
        <w:tc>
          <w:tcPr>
            <w:tcW w:w="1290" w:type="dxa"/>
          </w:tcPr>
          <w:p>
            <w:pPr>
              <w:pStyle w:val="TableParagraph"/>
              <w:spacing w:before="32"/>
              <w:ind w:left="228"/>
              <w:rPr>
                <w:b/>
                <w:sz w:val="21"/>
              </w:rPr>
            </w:pPr>
            <w:r>
              <w:rPr>
                <w:b/>
                <w:sz w:val="21"/>
              </w:rPr>
              <w:t>象皮病：</w:t>
            </w:r>
          </w:p>
        </w:tc>
        <w:tc>
          <w:tcPr>
            <w:tcW w:w="7656" w:type="dxa"/>
          </w:tcPr>
          <w:p>
            <w:pPr>
              <w:pStyle w:val="TableParagraph"/>
              <w:spacing w:line="261" w:lineRule="auto" w:before="32"/>
              <w:ind w:left="92" w:right="204"/>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20" w:hRule="atLeast"/>
        </w:trPr>
        <w:tc>
          <w:tcPr>
            <w:tcW w:w="692" w:type="dxa"/>
          </w:tcPr>
          <w:p>
            <w:pPr>
              <w:pStyle w:val="TableParagraph"/>
              <w:spacing w:before="89"/>
              <w:ind w:left="200"/>
              <w:rPr>
                <w:rFonts w:ascii="Times New Roman"/>
                <w:b/>
                <w:sz w:val="21"/>
              </w:rPr>
            </w:pPr>
            <w:r>
              <w:rPr>
                <w:rFonts w:ascii="Times New Roman"/>
                <w:b/>
                <w:sz w:val="21"/>
              </w:rPr>
              <w:t>42.</w:t>
            </w:r>
          </w:p>
        </w:tc>
        <w:tc>
          <w:tcPr>
            <w:tcW w:w="1290" w:type="dxa"/>
          </w:tcPr>
          <w:p>
            <w:pPr>
              <w:pStyle w:val="TableParagraph"/>
              <w:spacing w:line="261" w:lineRule="auto" w:before="40"/>
              <w:ind w:left="228" w:right="215"/>
              <w:jc w:val="both"/>
              <w:rPr>
                <w:b/>
                <w:sz w:val="21"/>
              </w:rPr>
            </w:pPr>
            <w:r>
              <w:rPr>
                <w:b/>
                <w:sz w:val="21"/>
              </w:rPr>
              <w:t>严重自身免疫性肝炎：</w:t>
            </w:r>
          </w:p>
        </w:tc>
        <w:tc>
          <w:tcPr>
            <w:tcW w:w="7656" w:type="dxa"/>
          </w:tcPr>
          <w:p>
            <w:pPr>
              <w:pStyle w:val="TableParagraph"/>
              <w:spacing w:line="261" w:lineRule="auto" w:before="40"/>
              <w:ind w:left="92" w:right="197"/>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5"/>
              <w:ind w:left="92"/>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18" w:right="132"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ind w:left="92"/>
              <w:jc w:val="both"/>
              <w:rPr>
                <w:sz w:val="21"/>
              </w:rPr>
            </w:pPr>
            <w:r>
              <w:rPr>
                <w:sz w:val="21"/>
              </w:rPr>
              <w:t>（</w:t>
            </w:r>
            <w:r>
              <w:rPr>
                <w:rFonts w:ascii="Times New Roman" w:eastAsia="Times New Roman"/>
                <w:sz w:val="21"/>
              </w:rPr>
              <w:t>3</w:t>
            </w:r>
            <w:r>
              <w:rPr>
                <w:sz w:val="21"/>
              </w:rPr>
              <w:t>）肝脏活检证实免疫性肝炎；</w:t>
            </w:r>
          </w:p>
          <w:p>
            <w:pPr>
              <w:pStyle w:val="TableParagraph"/>
              <w:spacing w:before="9"/>
              <w:ind w:left="92"/>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2" w:hRule="atLeast"/>
        </w:trPr>
        <w:tc>
          <w:tcPr>
            <w:tcW w:w="692" w:type="dxa"/>
          </w:tcPr>
          <w:p>
            <w:pPr>
              <w:pStyle w:val="TableParagraph"/>
              <w:spacing w:before="81"/>
              <w:ind w:left="200"/>
              <w:rPr>
                <w:rFonts w:ascii="Times New Roman"/>
                <w:b/>
                <w:sz w:val="21"/>
              </w:rPr>
            </w:pPr>
            <w:r>
              <w:rPr>
                <w:rFonts w:ascii="Times New Roman"/>
                <w:b/>
                <w:sz w:val="21"/>
              </w:rPr>
              <w:t>43.</w:t>
            </w:r>
          </w:p>
        </w:tc>
        <w:tc>
          <w:tcPr>
            <w:tcW w:w="1290" w:type="dxa"/>
          </w:tcPr>
          <w:p>
            <w:pPr>
              <w:pStyle w:val="TableParagraph"/>
              <w:spacing w:line="261" w:lineRule="auto" w:before="32"/>
              <w:ind w:left="228" w:right="215"/>
              <w:rPr>
                <w:b/>
                <w:sz w:val="21"/>
              </w:rPr>
            </w:pPr>
            <w:r>
              <w:rPr>
                <w:b/>
                <w:sz w:val="21"/>
              </w:rPr>
              <w:t>严重心肌炎：</w:t>
            </w:r>
          </w:p>
        </w:tc>
        <w:tc>
          <w:tcPr>
            <w:tcW w:w="7656" w:type="dxa"/>
          </w:tcPr>
          <w:p>
            <w:pPr>
              <w:pStyle w:val="TableParagraph"/>
              <w:spacing w:line="261" w:lineRule="auto" w:before="32"/>
              <w:ind w:left="92" w:right="204"/>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1006" w:hRule="atLeast"/>
        </w:trPr>
        <w:tc>
          <w:tcPr>
            <w:tcW w:w="692" w:type="dxa"/>
          </w:tcPr>
          <w:p>
            <w:pPr>
              <w:pStyle w:val="TableParagraph"/>
              <w:spacing w:before="81"/>
              <w:ind w:left="200"/>
              <w:rPr>
                <w:rFonts w:ascii="Times New Roman"/>
                <w:b/>
                <w:sz w:val="21"/>
              </w:rPr>
            </w:pPr>
            <w:r>
              <w:rPr>
                <w:rFonts w:ascii="Times New Roman"/>
                <w:b/>
                <w:sz w:val="21"/>
              </w:rPr>
              <w:t>44.</w:t>
            </w:r>
          </w:p>
        </w:tc>
        <w:tc>
          <w:tcPr>
            <w:tcW w:w="1290" w:type="dxa"/>
          </w:tcPr>
          <w:p>
            <w:pPr>
              <w:pStyle w:val="TableParagraph"/>
              <w:spacing w:line="261" w:lineRule="auto" w:before="32"/>
              <w:ind w:left="228" w:right="215"/>
              <w:rPr>
                <w:b/>
                <w:sz w:val="21"/>
              </w:rPr>
            </w:pPr>
            <w:r>
              <w:rPr>
                <w:b/>
                <w:sz w:val="21"/>
              </w:rPr>
              <w:t>急性坏死性胰腺 炎：</w:t>
            </w:r>
          </w:p>
        </w:tc>
        <w:tc>
          <w:tcPr>
            <w:tcW w:w="7656" w:type="dxa"/>
          </w:tcPr>
          <w:p>
            <w:pPr>
              <w:pStyle w:val="TableParagraph"/>
              <w:spacing w:line="261" w:lineRule="auto" w:before="32"/>
              <w:ind w:left="92" w:right="204"/>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3" w:hRule="atLeast"/>
        </w:trPr>
        <w:tc>
          <w:tcPr>
            <w:tcW w:w="692" w:type="dxa"/>
          </w:tcPr>
          <w:p>
            <w:pPr>
              <w:pStyle w:val="TableParagraph"/>
              <w:spacing w:before="90"/>
              <w:ind w:left="200"/>
              <w:rPr>
                <w:rFonts w:ascii="Times New Roman"/>
                <w:b/>
                <w:sz w:val="21"/>
              </w:rPr>
            </w:pPr>
            <w:r>
              <w:rPr>
                <w:rFonts w:ascii="Times New Roman"/>
                <w:b/>
                <w:sz w:val="21"/>
              </w:rPr>
              <w:t>45.</w:t>
            </w:r>
          </w:p>
        </w:tc>
        <w:tc>
          <w:tcPr>
            <w:tcW w:w="1290" w:type="dxa"/>
          </w:tcPr>
          <w:p>
            <w:pPr>
              <w:pStyle w:val="TableParagraph"/>
              <w:spacing w:line="261" w:lineRule="auto" w:before="41"/>
              <w:ind w:left="228" w:right="215"/>
              <w:rPr>
                <w:b/>
                <w:sz w:val="21"/>
              </w:rPr>
            </w:pPr>
            <w:r>
              <w:rPr>
                <w:b/>
                <w:sz w:val="21"/>
              </w:rPr>
              <w:t>严重克隆病：</w:t>
            </w:r>
          </w:p>
        </w:tc>
        <w:tc>
          <w:tcPr>
            <w:tcW w:w="7656" w:type="dxa"/>
          </w:tcPr>
          <w:p>
            <w:pPr>
              <w:pStyle w:val="TableParagraph"/>
              <w:spacing w:line="261" w:lineRule="auto" w:before="41"/>
              <w:ind w:left="92" w:right="204"/>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692" w:type="dxa"/>
          </w:tcPr>
          <w:p>
            <w:pPr>
              <w:pStyle w:val="TableParagraph"/>
              <w:spacing w:before="89"/>
              <w:ind w:left="200"/>
              <w:rPr>
                <w:rFonts w:ascii="Times New Roman"/>
                <w:b/>
                <w:sz w:val="21"/>
              </w:rPr>
            </w:pPr>
            <w:r>
              <w:rPr>
                <w:rFonts w:ascii="Times New Roman"/>
                <w:b/>
                <w:sz w:val="21"/>
              </w:rPr>
              <w:t>46.</w:t>
            </w:r>
          </w:p>
        </w:tc>
        <w:tc>
          <w:tcPr>
            <w:tcW w:w="1290" w:type="dxa"/>
          </w:tcPr>
          <w:p>
            <w:pPr>
              <w:pStyle w:val="TableParagraph"/>
              <w:spacing w:line="261" w:lineRule="auto" w:before="40"/>
              <w:ind w:left="228" w:right="215"/>
              <w:rPr>
                <w:b/>
                <w:sz w:val="21"/>
              </w:rPr>
            </w:pPr>
            <w:r>
              <w:rPr>
                <w:b/>
                <w:sz w:val="21"/>
              </w:rPr>
              <w:t>严重冠心病：</w:t>
            </w:r>
          </w:p>
        </w:tc>
        <w:tc>
          <w:tcPr>
            <w:tcW w:w="7656" w:type="dxa"/>
          </w:tcPr>
          <w:p>
            <w:pPr>
              <w:pStyle w:val="TableParagraph"/>
              <w:spacing w:line="256" w:lineRule="auto" w:before="40"/>
              <w:ind w:left="92" w:right="198"/>
              <w:jc w:val="both"/>
              <w:rPr>
                <w:rFonts w:ascii="黑体" w:eastAsia="黑体" w:hint="eastAsia"/>
                <w:sz w:val="21"/>
              </w:rPr>
            </w:pPr>
            <w:r>
              <w:rPr>
                <w:spacing w:val="-4"/>
                <w:sz w:val="21"/>
              </w:rPr>
              <w:t>指根据冠状动脉造影检查结果确诊的三支主要血管</w:t>
            </w:r>
            <w:r>
              <w:rPr>
                <w:sz w:val="21"/>
              </w:rPr>
              <w:t>（</w:t>
            </w:r>
            <w:r>
              <w:rPr>
                <w:spacing w:val="-3"/>
                <w:sz w:val="21"/>
              </w:rPr>
              <w:t>左冠状动脉主干和右冠状动脉，或前降支、左旋支和右冠状动脉</w:t>
            </w:r>
            <w:r>
              <w:rPr>
                <w:sz w:val="21"/>
              </w:rPr>
              <w:t>）</w:t>
            </w:r>
            <w:r>
              <w:rPr>
                <w:spacing w:val="-3"/>
                <w:sz w:val="21"/>
              </w:rPr>
              <w:t>严重狭窄性病变（至少一支血管管腔直径</w:t>
            </w:r>
            <w:r>
              <w:rPr>
                <w:spacing w:val="-15"/>
                <w:sz w:val="21"/>
              </w:rPr>
              <w:t>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0"/>
                <w:sz w:val="21"/>
              </w:rPr>
              <w:t>）。</w:t>
            </w:r>
            <w:r>
              <w:rPr>
                <w:rFonts w:ascii="黑体" w:eastAsia="黑体" w:hint="eastAsia"/>
                <w:spacing w:val="-4"/>
                <w:sz w:val="21"/>
              </w:rPr>
              <w:t>前降支、左旋支及右冠</w:t>
            </w:r>
            <w:r>
              <w:rPr>
                <w:rFonts w:ascii="黑体" w:eastAsia="黑体" w:hint="eastAsia"/>
                <w:spacing w:val="-3"/>
                <w:sz w:val="21"/>
              </w:rPr>
              <w:t>状动脉的分支血管的狭窄不作为本保障的衡量指标。</w:t>
            </w:r>
          </w:p>
        </w:tc>
      </w:tr>
      <w:tr>
        <w:trPr>
          <w:trHeight w:val="915" w:hRule="atLeast"/>
        </w:trPr>
        <w:tc>
          <w:tcPr>
            <w:tcW w:w="692" w:type="dxa"/>
          </w:tcPr>
          <w:p>
            <w:pPr>
              <w:pStyle w:val="TableParagraph"/>
              <w:spacing w:before="89"/>
              <w:ind w:left="200"/>
              <w:rPr>
                <w:rFonts w:ascii="Times New Roman"/>
                <w:b/>
                <w:sz w:val="21"/>
              </w:rPr>
            </w:pPr>
            <w:r>
              <w:rPr>
                <w:rFonts w:ascii="Times New Roman"/>
                <w:b/>
                <w:sz w:val="21"/>
              </w:rPr>
              <w:t>47.</w:t>
            </w:r>
          </w:p>
        </w:tc>
        <w:tc>
          <w:tcPr>
            <w:tcW w:w="1290" w:type="dxa"/>
          </w:tcPr>
          <w:p>
            <w:pPr>
              <w:pStyle w:val="TableParagraph"/>
              <w:spacing w:line="300" w:lineRule="atLeast" w:before="15"/>
              <w:ind w:left="228" w:right="215"/>
              <w:rPr>
                <w:b/>
                <w:sz w:val="21"/>
              </w:rPr>
            </w:pPr>
            <w:r>
              <w:rPr>
                <w:b/>
                <w:sz w:val="21"/>
              </w:rPr>
              <w:t>艾迪森氏病(慢性肾上腺皮</w:t>
            </w:r>
          </w:p>
        </w:tc>
        <w:tc>
          <w:tcPr>
            <w:tcW w:w="7656" w:type="dxa"/>
          </w:tcPr>
          <w:p>
            <w:pPr>
              <w:pStyle w:val="TableParagraph"/>
              <w:spacing w:line="300" w:lineRule="atLeast" w:before="15"/>
              <w:ind w:left="92" w:right="197"/>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tc>
      </w:tr>
    </w:tbl>
    <w:p>
      <w:pPr>
        <w:spacing w:after="0" w:line="300" w:lineRule="atLeast"/>
        <w:jc w:val="both"/>
        <w:rPr>
          <w:sz w:val="21"/>
        </w:rPr>
        <w:sectPr>
          <w:pgSz w:w="11910" w:h="16840"/>
          <w:pgMar w:top="1580" w:bottom="280" w:left="106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8"/>
        <w:gridCol w:w="7720"/>
      </w:tblGrid>
      <w:tr>
        <w:trPr>
          <w:trHeight w:val="1515" w:hRule="atLeast"/>
        </w:trPr>
        <w:tc>
          <w:tcPr>
            <w:tcW w:w="692" w:type="dxa"/>
          </w:tcPr>
          <w:p>
            <w:pPr>
              <w:pStyle w:val="TableParagraph"/>
              <w:ind w:left="0"/>
              <w:rPr>
                <w:rFonts w:ascii="Times New Roman"/>
                <w:sz w:val="20"/>
              </w:rPr>
            </w:pPr>
          </w:p>
        </w:tc>
        <w:tc>
          <w:tcPr>
            <w:tcW w:w="1228" w:type="dxa"/>
          </w:tcPr>
          <w:p>
            <w:pPr>
              <w:pStyle w:val="TableParagraph"/>
              <w:spacing w:line="211" w:lineRule="exact"/>
              <w:ind w:left="228"/>
              <w:rPr>
                <w:b/>
                <w:sz w:val="21"/>
              </w:rPr>
            </w:pPr>
            <w:r>
              <w:rPr>
                <w:b/>
                <w:sz w:val="21"/>
              </w:rPr>
              <w:t>质功能衰</w:t>
            </w:r>
          </w:p>
          <w:p>
            <w:pPr>
              <w:pStyle w:val="TableParagraph"/>
              <w:spacing w:before="25"/>
              <w:ind w:left="228"/>
              <w:rPr>
                <w:b/>
                <w:sz w:val="21"/>
              </w:rPr>
            </w:pPr>
            <w:r>
              <w:rPr>
                <w:b/>
                <w:sz w:val="21"/>
              </w:rPr>
              <w:t>竭)：</w:t>
            </w:r>
          </w:p>
        </w:tc>
        <w:tc>
          <w:tcPr>
            <w:tcW w:w="7720" w:type="dxa"/>
          </w:tcPr>
          <w:p>
            <w:pPr>
              <w:pStyle w:val="TableParagraph"/>
              <w:spacing w:line="227" w:lineRule="exact"/>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rPr>
                <w:sz w:val="21"/>
              </w:rPr>
            </w:pPr>
            <w:r>
              <w:rPr>
                <w:sz w:val="21"/>
              </w:rPr>
              <w:t>（</w:t>
            </w:r>
            <w:r>
              <w:rPr>
                <w:rFonts w:ascii="Times New Roman" w:eastAsia="Times New Roman"/>
                <w:sz w:val="21"/>
              </w:rPr>
              <w:t>2</w:t>
            </w:r>
            <w:r>
              <w:rPr>
                <w:sz w:val="21"/>
              </w:rPr>
              <w:t>）胰岛素血糖减少测试；</w:t>
            </w:r>
          </w:p>
          <w:p>
            <w:pPr>
              <w:pStyle w:val="TableParagraph"/>
              <w:spacing w:before="9"/>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9"/>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2" w:hRule="atLeast"/>
        </w:trPr>
        <w:tc>
          <w:tcPr>
            <w:tcW w:w="692" w:type="dxa"/>
          </w:tcPr>
          <w:p>
            <w:pPr>
              <w:pStyle w:val="TableParagraph"/>
              <w:spacing w:before="83"/>
              <w:ind w:left="200"/>
              <w:rPr>
                <w:rFonts w:ascii="Times New Roman"/>
                <w:b/>
                <w:sz w:val="21"/>
              </w:rPr>
            </w:pPr>
            <w:r>
              <w:rPr>
                <w:rFonts w:ascii="Times New Roman"/>
                <w:b/>
                <w:sz w:val="21"/>
              </w:rPr>
              <w:t>48.</w:t>
            </w:r>
          </w:p>
        </w:tc>
        <w:tc>
          <w:tcPr>
            <w:tcW w:w="1228" w:type="dxa"/>
          </w:tcPr>
          <w:p>
            <w:pPr>
              <w:pStyle w:val="TableParagraph"/>
              <w:spacing w:line="261" w:lineRule="auto" w:before="34"/>
              <w:ind w:left="228" w:right="153"/>
              <w:rPr>
                <w:b/>
                <w:sz w:val="21"/>
              </w:rPr>
            </w:pPr>
            <w:r>
              <w:rPr>
                <w:b/>
                <w:sz w:val="21"/>
              </w:rPr>
              <w:t>埃博拉病毒感染：</w:t>
            </w:r>
          </w:p>
        </w:tc>
        <w:tc>
          <w:tcPr>
            <w:tcW w:w="7720" w:type="dxa"/>
          </w:tcPr>
          <w:p>
            <w:pPr>
              <w:pStyle w:val="TableParagraph"/>
              <w:spacing w:line="254" w:lineRule="auto" w:before="34"/>
              <w:ind w:right="204"/>
              <w:jc w:val="both"/>
              <w:rPr>
                <w:sz w:val="21"/>
              </w:rPr>
            </w:pPr>
            <w:r>
              <w:rPr>
                <w:spacing w:val="-3"/>
                <w:sz w:val="21"/>
              </w:rPr>
              <w:t>受埃博拉病毒感染导致出血性发热。埃博拉病必须经传染病专科医生确诊，并且</w:t>
            </w:r>
            <w:r>
              <w:rPr>
                <w:spacing w:val="-9"/>
                <w:sz w:val="21"/>
              </w:rPr>
              <w:t>埃博拉病毒的存在必须经过实验室检查证实。该病必须从症状开始后 </w:t>
            </w:r>
            <w:r>
              <w:rPr>
                <w:rFonts w:ascii="Times New Roman" w:eastAsia="Times New Roman"/>
                <w:sz w:val="21"/>
              </w:rPr>
              <w:t>30 </w:t>
            </w:r>
            <w:r>
              <w:rPr>
                <w:spacing w:val="-3"/>
                <w:sz w:val="21"/>
              </w:rPr>
              <w:t>日后持续</w:t>
            </w:r>
            <w:r>
              <w:rPr>
                <w:spacing w:val="-2"/>
                <w:sz w:val="21"/>
              </w:rPr>
              <w:t>出现并发症。</w:t>
            </w:r>
          </w:p>
        </w:tc>
      </w:tr>
      <w:tr>
        <w:trPr>
          <w:trHeight w:val="2212" w:hRule="atLeast"/>
        </w:trPr>
        <w:tc>
          <w:tcPr>
            <w:tcW w:w="692" w:type="dxa"/>
          </w:tcPr>
          <w:p>
            <w:pPr>
              <w:pStyle w:val="TableParagraph"/>
              <w:spacing w:before="83"/>
              <w:ind w:left="200"/>
              <w:rPr>
                <w:rFonts w:ascii="Times New Roman"/>
                <w:b/>
                <w:sz w:val="21"/>
              </w:rPr>
            </w:pPr>
            <w:r>
              <w:rPr>
                <w:rFonts w:ascii="Times New Roman"/>
                <w:b/>
                <w:sz w:val="21"/>
              </w:rPr>
              <w:t>49.</w:t>
            </w:r>
          </w:p>
        </w:tc>
        <w:tc>
          <w:tcPr>
            <w:tcW w:w="1228" w:type="dxa"/>
          </w:tcPr>
          <w:p>
            <w:pPr>
              <w:pStyle w:val="TableParagraph"/>
              <w:spacing w:line="261" w:lineRule="auto" w:before="34"/>
              <w:ind w:left="228" w:right="153"/>
              <w:jc w:val="both"/>
              <w:rPr>
                <w:b/>
                <w:sz w:val="21"/>
              </w:rPr>
            </w:pPr>
            <w:r>
              <w:rPr>
                <w:b/>
                <w:sz w:val="21"/>
              </w:rPr>
              <w:t>原发性硬化性胆管炎：</w:t>
            </w:r>
          </w:p>
        </w:tc>
        <w:tc>
          <w:tcPr>
            <w:tcW w:w="7720" w:type="dxa"/>
          </w:tcPr>
          <w:p>
            <w:pPr>
              <w:pStyle w:val="TableParagraph"/>
              <w:spacing w:line="261" w:lineRule="auto" w:before="34"/>
              <w:ind w:right="199"/>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6"/>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jc w:val="both"/>
              <w:rPr>
                <w:sz w:val="21"/>
              </w:rPr>
            </w:pPr>
            <w:r>
              <w:rPr>
                <w:sz w:val="21"/>
              </w:rPr>
              <w:t>（</w:t>
            </w:r>
            <w:r>
              <w:rPr>
                <w:rFonts w:ascii="Times New Roman" w:eastAsia="Times New Roman"/>
                <w:sz w:val="21"/>
              </w:rPr>
              <w:t>2</w:t>
            </w:r>
            <w:r>
              <w:rPr>
                <w:sz w:val="21"/>
              </w:rPr>
              <w:t>）持续性黄疸病史；</w:t>
            </w:r>
          </w:p>
          <w:p>
            <w:pPr>
              <w:pStyle w:val="TableParagraph"/>
              <w:spacing w:before="9"/>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9"/>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221" w:hRule="atLeast"/>
        </w:trPr>
        <w:tc>
          <w:tcPr>
            <w:tcW w:w="692" w:type="dxa"/>
          </w:tcPr>
          <w:p>
            <w:pPr>
              <w:pStyle w:val="TableParagraph"/>
              <w:spacing w:before="83"/>
              <w:ind w:left="200"/>
              <w:rPr>
                <w:rFonts w:ascii="Times New Roman"/>
                <w:b/>
                <w:sz w:val="21"/>
              </w:rPr>
            </w:pPr>
            <w:r>
              <w:rPr>
                <w:rFonts w:ascii="Times New Roman"/>
                <w:b/>
                <w:sz w:val="21"/>
              </w:rPr>
              <w:t>50.</w:t>
            </w:r>
          </w:p>
        </w:tc>
        <w:tc>
          <w:tcPr>
            <w:tcW w:w="1228" w:type="dxa"/>
          </w:tcPr>
          <w:p>
            <w:pPr>
              <w:pStyle w:val="TableParagraph"/>
              <w:spacing w:before="34"/>
              <w:ind w:left="228"/>
              <w:rPr>
                <w:b/>
                <w:sz w:val="21"/>
              </w:rPr>
            </w:pPr>
            <w:r>
              <w:rPr>
                <w:b/>
                <w:sz w:val="21"/>
              </w:rPr>
              <w:t>疯牛病：</w:t>
            </w:r>
          </w:p>
        </w:tc>
        <w:tc>
          <w:tcPr>
            <w:tcW w:w="7720" w:type="dxa"/>
          </w:tcPr>
          <w:p>
            <w:pPr>
              <w:pStyle w:val="TableParagraph"/>
              <w:spacing w:before="34"/>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9"/>
              <w:rPr>
                <w:sz w:val="21"/>
              </w:rPr>
            </w:pPr>
            <w:r>
              <w:rPr>
                <w:sz w:val="21"/>
              </w:rPr>
              <w:t>（</w:t>
            </w:r>
            <w:r>
              <w:rPr>
                <w:rFonts w:ascii="Times New Roman" w:eastAsia="Times New Roman"/>
                <w:sz w:val="21"/>
              </w:rPr>
              <w:t>3</w:t>
            </w:r>
            <w:r>
              <w:rPr>
                <w:sz w:val="21"/>
              </w:rPr>
              <w:t>）小脑功能不良，共济失调；</w:t>
            </w:r>
          </w:p>
          <w:p>
            <w:pPr>
              <w:pStyle w:val="TableParagraph"/>
              <w:spacing w:before="9"/>
              <w:rPr>
                <w:sz w:val="21"/>
              </w:rPr>
            </w:pPr>
            <w:r>
              <w:rPr>
                <w:sz w:val="21"/>
              </w:rPr>
              <w:t>（</w:t>
            </w:r>
            <w:r>
              <w:rPr>
                <w:rFonts w:ascii="Times New Roman" w:eastAsia="Times New Roman"/>
                <w:sz w:val="21"/>
              </w:rPr>
              <w:t>4</w:t>
            </w:r>
            <w:r>
              <w:rPr>
                <w:sz w:val="21"/>
              </w:rPr>
              <w:t>）手足徐动症；</w:t>
            </w:r>
          </w:p>
          <w:p>
            <w:pPr>
              <w:pStyle w:val="TableParagraph"/>
              <w:spacing w:line="261" w:lineRule="auto" w:before="9"/>
              <w:ind w:right="206"/>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4" w:hRule="atLeast"/>
        </w:trPr>
        <w:tc>
          <w:tcPr>
            <w:tcW w:w="692" w:type="dxa"/>
          </w:tcPr>
          <w:p>
            <w:pPr>
              <w:pStyle w:val="TableParagraph"/>
              <w:spacing w:before="75"/>
              <w:ind w:left="200"/>
              <w:rPr>
                <w:rFonts w:ascii="Times New Roman"/>
                <w:b/>
                <w:sz w:val="21"/>
              </w:rPr>
            </w:pPr>
            <w:r>
              <w:rPr>
                <w:rFonts w:ascii="Times New Roman"/>
                <w:b/>
                <w:sz w:val="21"/>
              </w:rPr>
              <w:t>51.</w:t>
            </w:r>
          </w:p>
        </w:tc>
        <w:tc>
          <w:tcPr>
            <w:tcW w:w="1228" w:type="dxa"/>
          </w:tcPr>
          <w:p>
            <w:pPr>
              <w:pStyle w:val="TableParagraph"/>
              <w:spacing w:line="261" w:lineRule="auto" w:before="25"/>
              <w:ind w:left="228" w:right="153"/>
              <w:rPr>
                <w:b/>
                <w:sz w:val="21"/>
              </w:rPr>
            </w:pPr>
            <w:r>
              <w:rPr>
                <w:b/>
                <w:sz w:val="21"/>
              </w:rPr>
              <w:t>严重溃疡性结肠 炎：</w:t>
            </w:r>
          </w:p>
        </w:tc>
        <w:tc>
          <w:tcPr>
            <w:tcW w:w="7720" w:type="dxa"/>
          </w:tcPr>
          <w:p>
            <w:pPr>
              <w:pStyle w:val="TableParagraph"/>
              <w:spacing w:line="261" w:lineRule="auto" w:before="25"/>
              <w:ind w:right="2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812" w:hRule="atLeast"/>
        </w:trPr>
        <w:tc>
          <w:tcPr>
            <w:tcW w:w="692" w:type="dxa"/>
          </w:tcPr>
          <w:p>
            <w:pPr>
              <w:pStyle w:val="TableParagraph"/>
              <w:spacing w:before="83"/>
              <w:ind w:left="200"/>
              <w:rPr>
                <w:rFonts w:ascii="Times New Roman"/>
                <w:b/>
                <w:sz w:val="21"/>
              </w:rPr>
            </w:pPr>
            <w:r>
              <w:rPr>
                <w:rFonts w:ascii="Times New Roman"/>
                <w:b/>
                <w:sz w:val="21"/>
              </w:rPr>
              <w:t>52.</w:t>
            </w:r>
          </w:p>
        </w:tc>
        <w:tc>
          <w:tcPr>
            <w:tcW w:w="1228" w:type="dxa"/>
          </w:tcPr>
          <w:p>
            <w:pPr>
              <w:pStyle w:val="TableParagraph"/>
              <w:spacing w:line="261" w:lineRule="auto" w:before="34"/>
              <w:ind w:left="228" w:right="153"/>
              <w:jc w:val="both"/>
              <w:rPr>
                <w:b/>
                <w:sz w:val="21"/>
              </w:rPr>
            </w:pPr>
            <w:r>
              <w:rPr>
                <w:b/>
                <w:sz w:val="21"/>
              </w:rPr>
              <w:t>严重类风湿性关节炎：</w:t>
            </w:r>
          </w:p>
        </w:tc>
        <w:tc>
          <w:tcPr>
            <w:tcW w:w="7720" w:type="dxa"/>
          </w:tcPr>
          <w:p>
            <w:pPr>
              <w:pStyle w:val="TableParagraph"/>
              <w:spacing w:before="34"/>
              <w:rPr>
                <w:sz w:val="21"/>
              </w:rPr>
            </w:pPr>
            <w:r>
              <w:rPr>
                <w:sz w:val="21"/>
              </w:rPr>
              <w:t>指类风湿性关节炎患者符合以下三项标准的：</w:t>
            </w:r>
          </w:p>
          <w:p>
            <w:pPr>
              <w:pStyle w:val="TableParagraph"/>
              <w:spacing w:line="247" w:lineRule="auto" w:before="25"/>
              <w:ind w:left="680" w:right="204"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p>
            <w:pPr>
              <w:pStyle w:val="TableParagraph"/>
              <w:spacing w:line="247" w:lineRule="auto" w:before="18"/>
              <w:ind w:left="680" w:right="199" w:hanging="526"/>
              <w:rPr>
                <w:sz w:val="21"/>
              </w:rPr>
            </w:pPr>
            <w:r>
              <w:rPr>
                <w:sz w:val="21"/>
              </w:rPr>
              <w:t>（</w:t>
            </w:r>
            <w:r>
              <w:rPr>
                <w:rFonts w:ascii="Times New Roman" w:eastAsia="Times New Roman"/>
                <w:sz w:val="21"/>
              </w:rPr>
              <w:t>2</w:t>
            </w:r>
            <w:r>
              <w:rPr>
                <w:sz w:val="21"/>
              </w:rPr>
              <w:t>）</w:t>
            </w:r>
            <w:r>
              <w:rPr>
                <w:spacing w:val="-4"/>
                <w:sz w:val="21"/>
              </w:rPr>
              <w:t>手和腕的后前位 </w:t>
            </w:r>
            <w:r>
              <w:rPr>
                <w:rFonts w:ascii="Times New Roman" w:eastAsia="Times New Roman"/>
                <w:sz w:val="21"/>
              </w:rPr>
              <w:t>X </w:t>
            </w:r>
            <w:r>
              <w:rPr>
                <w:spacing w:val="-3"/>
                <w:sz w:val="21"/>
              </w:rPr>
              <w:t>线拍片检查可见类风湿性关节炎的典型变化，包括骨质侵蚀或钙流失，位于受累关节及其邻近部位尤其明显；</w:t>
            </w:r>
          </w:p>
          <w:p>
            <w:pPr>
              <w:pStyle w:val="TableParagraph"/>
              <w:spacing w:before="18"/>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199"/>
              <w:rPr>
                <w:sz w:val="21"/>
              </w:rPr>
            </w:pPr>
            <w:r>
              <w:rPr>
                <w:sz w:val="21"/>
              </w:rPr>
              <w:t>类风湿性关节炎系指以关节滑膜炎为特征的慢性全身性自身免疫性疾病，诊断必须符合国际认可的该疾病的诊断标准。</w:t>
            </w:r>
          </w:p>
          <w:p>
            <w:pPr>
              <w:pStyle w:val="TableParagraph"/>
              <w:spacing w:before="6"/>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1914" w:hRule="atLeast"/>
        </w:trPr>
        <w:tc>
          <w:tcPr>
            <w:tcW w:w="692" w:type="dxa"/>
          </w:tcPr>
          <w:p>
            <w:pPr>
              <w:pStyle w:val="TableParagraph"/>
              <w:spacing w:before="83"/>
              <w:ind w:left="200"/>
              <w:rPr>
                <w:rFonts w:ascii="Times New Roman"/>
                <w:b/>
                <w:sz w:val="21"/>
              </w:rPr>
            </w:pPr>
            <w:r>
              <w:rPr>
                <w:rFonts w:ascii="Times New Roman"/>
                <w:b/>
                <w:sz w:val="21"/>
              </w:rPr>
              <w:t>53.</w:t>
            </w:r>
          </w:p>
        </w:tc>
        <w:tc>
          <w:tcPr>
            <w:tcW w:w="1228" w:type="dxa"/>
          </w:tcPr>
          <w:p>
            <w:pPr>
              <w:pStyle w:val="TableParagraph"/>
              <w:spacing w:line="261" w:lineRule="auto" w:before="34"/>
              <w:ind w:left="228" w:right="153"/>
              <w:jc w:val="both"/>
              <w:rPr>
                <w:b/>
                <w:sz w:val="21"/>
              </w:rPr>
            </w:pPr>
            <w:r>
              <w:rPr>
                <w:b/>
                <w:sz w:val="21"/>
              </w:rPr>
              <w:t>非阿尔茨海默病所致严重痴呆：</w:t>
            </w:r>
          </w:p>
        </w:tc>
        <w:tc>
          <w:tcPr>
            <w:tcW w:w="7720" w:type="dxa"/>
          </w:tcPr>
          <w:p>
            <w:pPr>
              <w:pStyle w:val="TableParagraph"/>
              <w:spacing w:line="261" w:lineRule="auto" w:before="34"/>
              <w:ind w:right="206"/>
              <w:jc w:val="both"/>
              <w:rPr>
                <w:rFonts w:ascii="黑体" w:eastAsia="黑体" w:hint="eastAsia"/>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rFonts w:ascii="黑体" w:eastAsia="黑体" w:hint="eastAsia"/>
                <w:sz w:val="21"/>
              </w:rPr>
              <w:t>神经官能症和精神疾病不在保障范围内。</w:t>
            </w:r>
          </w:p>
        </w:tc>
      </w:tr>
      <w:tr>
        <w:trPr>
          <w:trHeight w:val="632" w:hRule="atLeast"/>
        </w:trPr>
        <w:tc>
          <w:tcPr>
            <w:tcW w:w="692" w:type="dxa"/>
          </w:tcPr>
          <w:p>
            <w:pPr>
              <w:pStyle w:val="TableParagraph"/>
              <w:spacing w:before="84"/>
              <w:ind w:left="200"/>
              <w:rPr>
                <w:rFonts w:ascii="Times New Roman"/>
                <w:b/>
                <w:sz w:val="21"/>
              </w:rPr>
            </w:pPr>
            <w:r>
              <w:rPr>
                <w:rFonts w:ascii="Times New Roman"/>
                <w:b/>
                <w:sz w:val="21"/>
              </w:rPr>
              <w:t>54.</w:t>
            </w:r>
          </w:p>
        </w:tc>
        <w:tc>
          <w:tcPr>
            <w:tcW w:w="1228" w:type="dxa"/>
          </w:tcPr>
          <w:p>
            <w:pPr>
              <w:pStyle w:val="TableParagraph"/>
              <w:spacing w:line="300" w:lineRule="atLeast" w:before="10"/>
              <w:ind w:left="228" w:right="153"/>
              <w:rPr>
                <w:b/>
                <w:sz w:val="21"/>
              </w:rPr>
            </w:pPr>
            <w:r>
              <w:rPr>
                <w:b/>
                <w:sz w:val="21"/>
              </w:rPr>
              <w:t>坏死性筋膜炎：</w:t>
            </w:r>
          </w:p>
        </w:tc>
        <w:tc>
          <w:tcPr>
            <w:tcW w:w="7720" w:type="dxa"/>
          </w:tcPr>
          <w:p>
            <w:pPr>
              <w:pStyle w:val="TableParagraph"/>
              <w:spacing w:before="35"/>
              <w:rPr>
                <w:sz w:val="21"/>
              </w:rPr>
            </w:pPr>
            <w:r>
              <w:rPr>
                <w:sz w:val="21"/>
              </w:rPr>
              <w:t>坏死性筋膜炎的诊断须同时符合下列要求：</w:t>
            </w:r>
          </w:p>
          <w:p>
            <w:pPr>
              <w:pStyle w:val="TableParagraph"/>
              <w:spacing w:line="278" w:lineRule="exact" w:before="25"/>
              <w:rPr>
                <w:sz w:val="21"/>
              </w:rPr>
            </w:pPr>
            <w:r>
              <w:rPr>
                <w:sz w:val="21"/>
              </w:rPr>
              <w:t>（</w:t>
            </w:r>
            <w:r>
              <w:rPr>
                <w:rFonts w:ascii="Times New Roman" w:eastAsia="Times New Roman"/>
                <w:sz w:val="21"/>
              </w:rPr>
              <w:t>1</w:t>
            </w:r>
            <w:r>
              <w:rPr>
                <w:sz w:val="21"/>
              </w:rPr>
              <w:t>）符合坏死性筋膜炎的一般临床表现；</w:t>
            </w:r>
          </w:p>
        </w:tc>
      </w:tr>
    </w:tbl>
    <w:p>
      <w:pPr>
        <w:spacing w:after="0" w:line="278" w:lineRule="exact"/>
        <w:rPr>
          <w:sz w:val="21"/>
        </w:rPr>
        <w:sectPr>
          <w:pgSz w:w="11910" w:h="16840"/>
          <w:pgMar w:top="1480" w:bottom="280" w:left="106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202"/>
        <w:gridCol w:w="7771"/>
      </w:tblGrid>
      <w:tr>
        <w:trPr>
          <w:trHeight w:val="915" w:hRule="atLeast"/>
        </w:trPr>
        <w:tc>
          <w:tcPr>
            <w:tcW w:w="770" w:type="dxa"/>
          </w:tcPr>
          <w:p>
            <w:pPr>
              <w:pStyle w:val="TableParagraph"/>
              <w:ind w:left="0"/>
              <w:rPr>
                <w:rFonts w:ascii="Times New Roman"/>
                <w:sz w:val="20"/>
              </w:rPr>
            </w:pPr>
          </w:p>
        </w:tc>
        <w:tc>
          <w:tcPr>
            <w:tcW w:w="1202" w:type="dxa"/>
          </w:tcPr>
          <w:p>
            <w:pPr>
              <w:pStyle w:val="TableParagraph"/>
              <w:ind w:left="0"/>
              <w:rPr>
                <w:rFonts w:ascii="Times New Roman"/>
                <w:sz w:val="20"/>
              </w:rPr>
            </w:pPr>
          </w:p>
        </w:tc>
        <w:tc>
          <w:tcPr>
            <w:tcW w:w="7771" w:type="dxa"/>
          </w:tcPr>
          <w:p>
            <w:pPr>
              <w:pStyle w:val="TableParagraph"/>
              <w:spacing w:line="227" w:lineRule="exact"/>
              <w:ind w:left="102"/>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102" w:right="206"/>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912" w:hRule="atLeast"/>
        </w:trPr>
        <w:tc>
          <w:tcPr>
            <w:tcW w:w="770" w:type="dxa"/>
          </w:tcPr>
          <w:p>
            <w:pPr>
              <w:pStyle w:val="TableParagraph"/>
              <w:spacing w:before="83"/>
              <w:ind w:left="200"/>
              <w:rPr>
                <w:rFonts w:ascii="Times New Roman"/>
                <w:b/>
                <w:sz w:val="21"/>
              </w:rPr>
            </w:pPr>
            <w:r>
              <w:rPr>
                <w:rFonts w:ascii="Times New Roman"/>
                <w:b/>
                <w:sz w:val="21"/>
              </w:rPr>
              <w:t>55.</w:t>
            </w:r>
          </w:p>
        </w:tc>
        <w:tc>
          <w:tcPr>
            <w:tcW w:w="1202" w:type="dxa"/>
          </w:tcPr>
          <w:p>
            <w:pPr>
              <w:pStyle w:val="TableParagraph"/>
              <w:spacing w:line="261" w:lineRule="auto" w:before="33"/>
              <w:ind w:left="150" w:right="205"/>
              <w:jc w:val="both"/>
              <w:rPr>
                <w:b/>
                <w:sz w:val="21"/>
              </w:rPr>
            </w:pPr>
            <w:r>
              <w:rPr>
                <w:b/>
                <w:sz w:val="21"/>
              </w:rPr>
              <w:t>严重慢性复发性胰腺炎：</w:t>
            </w:r>
          </w:p>
        </w:tc>
        <w:tc>
          <w:tcPr>
            <w:tcW w:w="7771" w:type="dxa"/>
          </w:tcPr>
          <w:p>
            <w:pPr>
              <w:pStyle w:val="TableParagraph"/>
              <w:spacing w:line="261" w:lineRule="auto" w:before="33"/>
              <w:ind w:left="102" w:right="198"/>
              <w:rPr>
                <w:sz w:val="21"/>
              </w:rPr>
            </w:pPr>
            <w:r>
              <w:rPr>
                <w:spacing w:val="-3"/>
                <w:sz w:val="21"/>
              </w:rPr>
              <w:t>指慢性反复发作的胰腺炎症导致胰腺的广泛纤维化、坏死、弥漫性钙化及假性囊</w:t>
            </w:r>
            <w:r>
              <w:rPr>
                <w:spacing w:val="-11"/>
                <w:sz w:val="21"/>
              </w:rPr>
              <w:t>肿形成，造成胰腺功能障碍出现严重糖尿病和营养不良。必须满足以下所有条件：</w:t>
            </w:r>
          </w:p>
          <w:p>
            <w:pPr>
              <w:pStyle w:val="TableParagraph"/>
              <w:spacing w:line="247" w:lineRule="auto" w:before="5"/>
              <w:ind w:left="628" w:right="305" w:hanging="526"/>
              <w:rPr>
                <w:sz w:val="21"/>
              </w:rPr>
            </w:pPr>
            <w:r>
              <w:rPr>
                <w:spacing w:val="-6"/>
                <w:sz w:val="21"/>
              </w:rPr>
              <w:t>（</w:t>
            </w:r>
            <w:r>
              <w:rPr>
                <w:rFonts w:ascii="Times New Roman" w:eastAsia="Times New Roman"/>
                <w:spacing w:val="-6"/>
                <w:sz w:val="21"/>
              </w:rPr>
              <w:t>1</w:t>
            </w:r>
            <w:r>
              <w:rPr>
                <w:spacing w:val="-6"/>
                <w:sz w:val="21"/>
              </w:rPr>
              <w:t>）</w:t>
            </w:r>
            <w:r>
              <w:rPr>
                <w:rFonts w:ascii="Times New Roman" w:eastAsia="Times New Roman"/>
                <w:spacing w:val="-6"/>
                <w:sz w:val="21"/>
              </w:rPr>
              <w:t>CT </w:t>
            </w:r>
            <w:r>
              <w:rPr>
                <w:spacing w:val="-5"/>
                <w:sz w:val="21"/>
              </w:rPr>
              <w:t>显示胰腺广泛钙化或逆行胰胆管造影</w:t>
            </w:r>
            <w:r>
              <w:rPr>
                <w:spacing w:val="-6"/>
                <w:sz w:val="21"/>
              </w:rPr>
              <w:t>（</w:t>
            </w:r>
            <w:r>
              <w:rPr>
                <w:rFonts w:ascii="Times New Roman" w:eastAsia="Times New Roman"/>
                <w:spacing w:val="-6"/>
                <w:sz w:val="21"/>
              </w:rPr>
              <w:t>ERCP</w:t>
            </w:r>
            <w:r>
              <w:rPr>
                <w:spacing w:val="-6"/>
                <w:sz w:val="21"/>
              </w:rPr>
              <w:t>）</w:t>
            </w:r>
            <w:r>
              <w:rPr>
                <w:spacing w:val="-7"/>
                <w:sz w:val="21"/>
              </w:rPr>
              <w:t>显示胰管扭曲、扩张和狭窄；</w:t>
            </w:r>
          </w:p>
          <w:p>
            <w:pPr>
              <w:pStyle w:val="TableParagraph"/>
              <w:spacing w:before="18"/>
              <w:ind w:left="102"/>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ind w:left="102"/>
              <w:rPr>
                <w:rFonts w:ascii="黑体" w:eastAsia="黑体" w:hint="eastAsia"/>
                <w:sz w:val="21"/>
              </w:rPr>
            </w:pPr>
            <w:r>
              <w:rPr>
                <w:rFonts w:ascii="黑体" w:eastAsia="黑体" w:hint="eastAsia"/>
                <w:sz w:val="21"/>
              </w:rPr>
              <w:t>酒精导致的慢性复发性胰腺炎不在本保障范围内。</w:t>
            </w:r>
          </w:p>
        </w:tc>
      </w:tr>
      <w:tr>
        <w:trPr>
          <w:trHeight w:val="2212" w:hRule="atLeast"/>
        </w:trPr>
        <w:tc>
          <w:tcPr>
            <w:tcW w:w="770" w:type="dxa"/>
          </w:tcPr>
          <w:p>
            <w:pPr>
              <w:pStyle w:val="TableParagraph"/>
              <w:spacing w:before="83"/>
              <w:ind w:left="200"/>
              <w:rPr>
                <w:rFonts w:ascii="Times New Roman"/>
                <w:b/>
                <w:sz w:val="21"/>
              </w:rPr>
            </w:pPr>
            <w:r>
              <w:rPr>
                <w:rFonts w:ascii="Times New Roman"/>
                <w:b/>
                <w:sz w:val="21"/>
              </w:rPr>
              <w:t>56.</w:t>
            </w:r>
          </w:p>
        </w:tc>
        <w:tc>
          <w:tcPr>
            <w:tcW w:w="1202" w:type="dxa"/>
          </w:tcPr>
          <w:p>
            <w:pPr>
              <w:pStyle w:val="TableParagraph"/>
              <w:spacing w:line="261" w:lineRule="auto" w:before="34"/>
              <w:ind w:left="150" w:right="99"/>
              <w:jc w:val="both"/>
              <w:rPr>
                <w:b/>
                <w:sz w:val="21"/>
              </w:rPr>
            </w:pPr>
            <w:r>
              <w:rPr>
                <w:b/>
                <w:sz w:val="21"/>
              </w:rPr>
              <w:t>胰岛素依赖型糖尿病（Ｉ型</w:t>
            </w:r>
            <w:r>
              <w:rPr>
                <w:b/>
                <w:w w:val="100"/>
                <w:sz w:val="21"/>
              </w:rPr>
              <w:t>糖尿病</w:t>
            </w:r>
            <w:r>
              <w:rPr>
                <w:b/>
                <w:spacing w:val="-106"/>
                <w:w w:val="100"/>
                <w:sz w:val="21"/>
              </w:rPr>
              <w:t>）</w:t>
            </w:r>
            <w:r>
              <w:rPr>
                <w:b/>
                <w:w w:val="100"/>
                <w:sz w:val="21"/>
              </w:rPr>
              <w:t>：</w:t>
            </w:r>
          </w:p>
        </w:tc>
        <w:tc>
          <w:tcPr>
            <w:tcW w:w="7771" w:type="dxa"/>
          </w:tcPr>
          <w:p>
            <w:pPr>
              <w:pStyle w:val="TableParagraph"/>
              <w:spacing w:before="34"/>
              <w:ind w:left="102"/>
              <w:rPr>
                <w:sz w:val="21"/>
              </w:rPr>
            </w:pPr>
            <w:r>
              <w:rPr>
                <w:sz w:val="21"/>
              </w:rPr>
              <w:t>经内分泌专科医生明确诊断为Ｉ型糖尿病，且须同时满足下列条件：</w:t>
            </w:r>
          </w:p>
          <w:p>
            <w:pPr>
              <w:pStyle w:val="TableParagraph"/>
              <w:spacing w:before="25"/>
              <w:ind w:left="102"/>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ind w:left="102"/>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9"/>
              <w:ind w:left="102"/>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9"/>
              <w:ind w:left="522"/>
              <w:rPr>
                <w:sz w:val="21"/>
              </w:rPr>
            </w:pPr>
            <w:r>
              <w:rPr>
                <w:sz w:val="21"/>
              </w:rPr>
              <w:t>①并发增殖性视网膜病变；</w:t>
            </w:r>
          </w:p>
          <w:p>
            <w:pPr>
              <w:pStyle w:val="TableParagraph"/>
              <w:spacing w:before="25"/>
              <w:ind w:left="522"/>
              <w:rPr>
                <w:sz w:val="21"/>
              </w:rPr>
            </w:pPr>
            <w:r>
              <w:rPr>
                <w:sz w:val="21"/>
              </w:rPr>
              <w:t>②并发心脏病变，并须植入心脏起搏器进行治疗；</w:t>
            </w:r>
          </w:p>
          <w:p>
            <w:pPr>
              <w:pStyle w:val="TableParagraph"/>
              <w:spacing w:before="25"/>
              <w:ind w:left="522"/>
              <w:rPr>
                <w:sz w:val="21"/>
              </w:rPr>
            </w:pPr>
            <w:r>
              <w:rPr>
                <w:sz w:val="21"/>
              </w:rPr>
              <w:t>③至少一个脚趾发生坏疽并已达到手术切除指征。</w:t>
            </w:r>
          </w:p>
        </w:tc>
      </w:tr>
      <w:tr>
        <w:trPr>
          <w:trHeight w:val="1612" w:hRule="atLeast"/>
        </w:trPr>
        <w:tc>
          <w:tcPr>
            <w:tcW w:w="770" w:type="dxa"/>
          </w:tcPr>
          <w:p>
            <w:pPr>
              <w:pStyle w:val="TableParagraph"/>
              <w:spacing w:before="83"/>
              <w:ind w:left="200"/>
              <w:rPr>
                <w:rFonts w:ascii="Times New Roman"/>
                <w:b/>
                <w:sz w:val="21"/>
              </w:rPr>
            </w:pPr>
            <w:r>
              <w:rPr>
                <w:rFonts w:ascii="Times New Roman"/>
                <w:b/>
                <w:sz w:val="21"/>
              </w:rPr>
              <w:t>57.</w:t>
            </w:r>
          </w:p>
        </w:tc>
        <w:tc>
          <w:tcPr>
            <w:tcW w:w="1202" w:type="dxa"/>
          </w:tcPr>
          <w:p>
            <w:pPr>
              <w:pStyle w:val="TableParagraph"/>
              <w:spacing w:before="34"/>
              <w:ind w:left="150"/>
              <w:rPr>
                <w:b/>
                <w:sz w:val="21"/>
              </w:rPr>
            </w:pPr>
            <w:r>
              <w:rPr>
                <w:b/>
                <w:sz w:val="21"/>
              </w:rPr>
              <w:t>川崎病</w:t>
            </w:r>
          </w:p>
          <w:p>
            <w:pPr>
              <w:pStyle w:val="TableParagraph"/>
              <w:spacing w:line="261" w:lineRule="auto" w:before="25"/>
              <w:ind w:left="150" w:right="205"/>
              <w:rPr>
                <w:b/>
                <w:sz w:val="21"/>
              </w:rPr>
            </w:pPr>
            <w:r>
              <w:rPr>
                <w:b/>
                <w:sz w:val="21"/>
              </w:rPr>
              <w:t>（伴有冠状动脉 瘤）：</w:t>
            </w:r>
          </w:p>
        </w:tc>
        <w:tc>
          <w:tcPr>
            <w:tcW w:w="7771" w:type="dxa"/>
          </w:tcPr>
          <w:p>
            <w:pPr>
              <w:pStyle w:val="TableParagraph"/>
              <w:spacing w:line="261" w:lineRule="auto" w:before="34"/>
              <w:ind w:left="102" w:right="302"/>
              <w:jc w:val="both"/>
              <w:rPr>
                <w:sz w:val="21"/>
              </w:rPr>
            </w:pPr>
            <w:r>
              <w:rPr>
                <w:sz w:val="21"/>
              </w:rPr>
              <w:t>川崎病为一种病因不明的系统性血管炎，主要发生于八岁以下的儿童。川崎病根据轻度贫血、白细胞计数升高和红细胞沉降率升高诊断。血液化验也可能发现血小板（血液中重要的凝血成份）显著升高。</w:t>
            </w:r>
          </w:p>
          <w:p>
            <w:pPr>
              <w:pStyle w:val="TableParagraph"/>
              <w:spacing w:line="261" w:lineRule="auto" w:before="6"/>
              <w:ind w:left="102" w:right="309"/>
              <w:jc w:val="both"/>
              <w:rPr>
                <w:rFonts w:ascii="黑体" w:eastAsia="黑体" w:hint="eastAsia"/>
                <w:sz w:val="21"/>
              </w:rPr>
            </w:pPr>
            <w:r>
              <w:rPr>
                <w:rFonts w:ascii="黑体" w:eastAsia="黑体" w:hint="eastAsia"/>
                <w:sz w:val="21"/>
              </w:rPr>
              <w:t>本保单仅对诊断性检查证实川崎病并伴有冠状动脉瘤或其他心血管并发症，而且实际接受了对此等并发症进行的手术治疗的情况予以理赔。</w:t>
            </w:r>
          </w:p>
        </w:tc>
      </w:tr>
      <w:tr>
        <w:trPr>
          <w:trHeight w:val="1944" w:hRule="atLeast"/>
        </w:trPr>
        <w:tc>
          <w:tcPr>
            <w:tcW w:w="770" w:type="dxa"/>
          </w:tcPr>
          <w:p>
            <w:pPr>
              <w:pStyle w:val="TableParagraph"/>
              <w:spacing w:before="83"/>
              <w:ind w:left="200"/>
              <w:rPr>
                <w:rFonts w:ascii="Times New Roman"/>
                <w:b/>
                <w:sz w:val="21"/>
              </w:rPr>
            </w:pPr>
            <w:r>
              <w:rPr>
                <w:rFonts w:ascii="Times New Roman"/>
                <w:b/>
                <w:sz w:val="21"/>
              </w:rPr>
              <w:t>58.</w:t>
            </w:r>
          </w:p>
        </w:tc>
        <w:tc>
          <w:tcPr>
            <w:tcW w:w="1202" w:type="dxa"/>
          </w:tcPr>
          <w:p>
            <w:pPr>
              <w:pStyle w:val="TableParagraph"/>
              <w:spacing w:line="261" w:lineRule="auto" w:before="34"/>
              <w:ind w:left="150" w:right="416"/>
              <w:rPr>
                <w:b/>
                <w:sz w:val="21"/>
              </w:rPr>
            </w:pPr>
            <w:r>
              <w:rPr>
                <w:b/>
                <w:sz w:val="21"/>
              </w:rPr>
              <w:t>严重哮喘：</w:t>
            </w:r>
          </w:p>
        </w:tc>
        <w:tc>
          <w:tcPr>
            <w:tcW w:w="7771" w:type="dxa"/>
          </w:tcPr>
          <w:p>
            <w:pPr>
              <w:pStyle w:val="TableParagraph"/>
              <w:spacing w:before="34"/>
              <w:ind w:left="102"/>
              <w:rPr>
                <w:sz w:val="21"/>
              </w:rPr>
            </w:pPr>
            <w:r>
              <w:rPr>
                <w:sz w:val="21"/>
              </w:rPr>
              <w:t>严重哮喘必须明确诊断，并且满足下列标准中的三项或三项以上：</w:t>
            </w:r>
          </w:p>
          <w:p>
            <w:pPr>
              <w:pStyle w:val="TableParagraph"/>
              <w:spacing w:before="25"/>
              <w:ind w:left="102"/>
              <w:rPr>
                <w:sz w:val="21"/>
              </w:rPr>
            </w:pPr>
            <w:r>
              <w:rPr>
                <w:sz w:val="21"/>
              </w:rPr>
              <w:t>（</w:t>
            </w:r>
            <w:r>
              <w:rPr>
                <w:rFonts w:ascii="Times New Roman" w:eastAsia="Times New Roman"/>
                <w:sz w:val="21"/>
              </w:rPr>
              <w:t>1</w:t>
            </w:r>
            <w:r>
              <w:rPr>
                <w:sz w:val="21"/>
              </w:rPr>
              <w:t>）过去两年中有哮喘持续状态病史；</w:t>
            </w:r>
          </w:p>
          <w:p>
            <w:pPr>
              <w:pStyle w:val="TableParagraph"/>
              <w:spacing w:before="9"/>
              <w:ind w:left="102"/>
              <w:rPr>
                <w:sz w:val="21"/>
              </w:rPr>
            </w:pPr>
            <w:r>
              <w:rPr>
                <w:sz w:val="21"/>
              </w:rPr>
              <w:t>（</w:t>
            </w:r>
            <w:r>
              <w:rPr>
                <w:rFonts w:ascii="Times New Roman" w:eastAsia="Times New Roman"/>
                <w:sz w:val="21"/>
              </w:rPr>
              <w:t>2</w:t>
            </w:r>
            <w:r>
              <w:rPr>
                <w:sz w:val="21"/>
              </w:rPr>
              <w:t>）身体活动耐受能力显著且持续下降；</w:t>
            </w:r>
          </w:p>
          <w:p>
            <w:pPr>
              <w:pStyle w:val="TableParagraph"/>
              <w:spacing w:line="256" w:lineRule="auto" w:before="2"/>
              <w:ind w:left="628" w:right="199" w:hanging="526"/>
              <w:rPr>
                <w:sz w:val="21"/>
              </w:rPr>
            </w:pPr>
            <w:r>
              <w:rPr>
                <w:spacing w:val="-23"/>
                <w:sz w:val="21"/>
              </w:rPr>
              <w:t>（</w:t>
            </w:r>
            <w:r>
              <w:rPr>
                <w:rFonts w:ascii="Times New Roman" w:eastAsia="Times New Roman"/>
                <w:spacing w:val="-23"/>
                <w:sz w:val="21"/>
              </w:rPr>
              <w:t>3</w:t>
            </w:r>
            <w:r>
              <w:rPr>
                <w:spacing w:val="-23"/>
                <w:sz w:val="21"/>
              </w:rPr>
              <w:t>）</w:t>
            </w:r>
            <w:r>
              <w:rPr>
                <w:spacing w:val="-7"/>
                <w:sz w:val="21"/>
              </w:rPr>
              <w:t>慢性肺部过度膨涨充气导致的胸廓畸形</w:t>
            </w:r>
            <w:r>
              <w:rPr>
                <w:spacing w:val="-3"/>
                <w:sz w:val="21"/>
              </w:rPr>
              <w:t>（</w:t>
            </w:r>
            <w:r>
              <w:rPr>
                <w:spacing w:val="-11"/>
                <w:sz w:val="21"/>
              </w:rPr>
              <w:t>桶状胸，</w:t>
            </w:r>
            <w:r>
              <w:rPr>
                <w:rFonts w:ascii="Times New Roman" w:eastAsia="Times New Roman"/>
                <w:spacing w:val="-35"/>
                <w:sz w:val="21"/>
              </w:rPr>
              <w:t>X </w:t>
            </w:r>
            <w:r>
              <w:rPr>
                <w:spacing w:val="-3"/>
                <w:sz w:val="21"/>
              </w:rPr>
              <w:t>线显示肺野透明度增强， </w:t>
            </w:r>
            <w:r>
              <w:rPr>
                <w:spacing w:val="-3"/>
                <w:w w:val="100"/>
                <w:sz w:val="21"/>
              </w:rPr>
              <w:t>心胸比例</w:t>
            </w:r>
            <w:r>
              <w:rPr>
                <w:rFonts w:ascii="Times New Roman" w:eastAsia="Times New Roman"/>
                <w:w w:val="100"/>
                <w:sz w:val="21"/>
              </w:rPr>
              <w:t>&lt;0.3</w:t>
            </w:r>
            <w:r>
              <w:rPr>
                <w:rFonts w:ascii="Times New Roman" w:eastAsia="Times New Roman"/>
                <w:spacing w:val="-3"/>
                <w:w w:val="100"/>
                <w:sz w:val="21"/>
              </w:rPr>
              <w:t>5</w:t>
            </w:r>
            <w:r>
              <w:rPr>
                <w:spacing w:val="-106"/>
                <w:w w:val="100"/>
                <w:sz w:val="21"/>
              </w:rPr>
              <w:t>）；</w:t>
            </w:r>
          </w:p>
          <w:p>
            <w:pPr>
              <w:pStyle w:val="TableParagraph"/>
              <w:spacing w:before="12"/>
              <w:ind w:left="102"/>
              <w:rPr>
                <w:sz w:val="21"/>
              </w:rPr>
            </w:pPr>
            <w:r>
              <w:rPr>
                <w:sz w:val="21"/>
              </w:rPr>
              <w:t>（</w:t>
            </w:r>
            <w:r>
              <w:rPr>
                <w:rFonts w:ascii="Times New Roman" w:eastAsia="Times New Roman"/>
                <w:sz w:val="21"/>
              </w:rPr>
              <w:t>4</w:t>
            </w:r>
            <w:r>
              <w:rPr>
                <w:sz w:val="21"/>
              </w:rPr>
              <w:t>）持续每日口服皮质类固醇激素，至少持续服务六个月以上。</w:t>
            </w:r>
          </w:p>
        </w:tc>
      </w:tr>
      <w:tr>
        <w:trPr>
          <w:trHeight w:val="4652" w:hRule="atLeast"/>
        </w:trPr>
        <w:tc>
          <w:tcPr>
            <w:tcW w:w="770" w:type="dxa"/>
          </w:tcPr>
          <w:p>
            <w:pPr>
              <w:pStyle w:val="TableParagraph"/>
              <w:spacing w:before="75"/>
              <w:ind w:left="200"/>
              <w:rPr>
                <w:rFonts w:ascii="Times New Roman"/>
                <w:b/>
                <w:sz w:val="21"/>
              </w:rPr>
            </w:pPr>
            <w:r>
              <w:rPr>
                <w:rFonts w:ascii="Times New Roman"/>
                <w:b/>
                <w:sz w:val="21"/>
              </w:rPr>
              <w:t>59.</w:t>
            </w:r>
          </w:p>
        </w:tc>
        <w:tc>
          <w:tcPr>
            <w:tcW w:w="1202" w:type="dxa"/>
          </w:tcPr>
          <w:p>
            <w:pPr>
              <w:pStyle w:val="TableParagraph"/>
              <w:spacing w:line="261" w:lineRule="auto" w:before="25"/>
              <w:ind w:left="150" w:right="205"/>
              <w:rPr>
                <w:b/>
                <w:sz w:val="21"/>
              </w:rPr>
            </w:pPr>
            <w:r>
              <w:rPr>
                <w:b/>
                <w:sz w:val="21"/>
              </w:rPr>
              <w:t>外伤所致智力障 碍：</w:t>
            </w:r>
          </w:p>
        </w:tc>
        <w:tc>
          <w:tcPr>
            <w:tcW w:w="7771" w:type="dxa"/>
          </w:tcPr>
          <w:p>
            <w:pPr>
              <w:pStyle w:val="TableParagraph"/>
              <w:spacing w:line="256" w:lineRule="auto" w:before="25"/>
              <w:ind w:left="102" w:right="197"/>
              <w:rPr>
                <w:sz w:val="21"/>
              </w:rPr>
            </w:pPr>
            <w:r>
              <w:rPr>
                <w:spacing w:val="-6"/>
                <w:sz w:val="21"/>
              </w:rPr>
              <w:t>因严重头部外伤造成被保险人智力低常</w:t>
            </w:r>
            <w:r>
              <w:rPr>
                <w:spacing w:val="-3"/>
                <w:sz w:val="21"/>
              </w:rPr>
              <w:t>（智力低于常态</w:t>
            </w:r>
            <w:r>
              <w:rPr>
                <w:spacing w:val="-51"/>
                <w:sz w:val="21"/>
              </w:rPr>
              <w:t>）</w:t>
            </w:r>
            <w:r>
              <w:rPr>
                <w:spacing w:val="-3"/>
                <w:sz w:val="21"/>
              </w:rPr>
              <w:t>或智力残疾或学习障碍。</w:t>
            </w:r>
            <w:r>
              <w:rPr>
                <w:spacing w:val="-5"/>
                <w:w w:val="100"/>
                <w:sz w:val="21"/>
              </w:rPr>
              <w:t>根据智商</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106"/>
                <w:w w:val="100"/>
                <w:sz w:val="21"/>
              </w:rPr>
              <w:t>）</w:t>
            </w:r>
            <w:r>
              <w:rPr>
                <w:spacing w:val="-4"/>
                <w:w w:val="100"/>
                <w:sz w:val="21"/>
              </w:rPr>
              <w:t>，智力低常为轻度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rFonts w:ascii="Times New Roman" w:eastAsia="Times New Roman"/>
                <w:spacing w:val="-4"/>
                <w:w w:val="100"/>
                <w:sz w:val="21"/>
              </w:rPr>
              <w:t>5</w:t>
            </w:r>
            <w:r>
              <w:rPr>
                <w:rFonts w:ascii="Times New Roman" w:eastAsia="Times New Roman"/>
                <w:spacing w:val="2"/>
                <w:w w:val="100"/>
                <w:sz w:val="21"/>
              </w:rPr>
              <w:t>0</w:t>
            </w:r>
            <w:r>
              <w:rPr>
                <w:rFonts w:ascii="Times New Roman" w:eastAsia="Times New Roman"/>
                <w:spacing w:val="-4"/>
                <w:w w:val="100"/>
                <w:sz w:val="21"/>
              </w:rPr>
              <w:t>-</w:t>
            </w:r>
            <w:r>
              <w:rPr>
                <w:rFonts w:ascii="Times New Roman" w:eastAsia="Times New Roman"/>
                <w:w w:val="100"/>
                <w:sz w:val="21"/>
              </w:rPr>
              <w:t>70</w:t>
            </w:r>
            <w:r>
              <w:rPr>
                <w:spacing w:val="-108"/>
                <w:w w:val="100"/>
                <w:sz w:val="21"/>
              </w:rPr>
              <w:t>）</w:t>
            </w:r>
            <w:r>
              <w:rPr>
                <w:spacing w:val="-6"/>
                <w:w w:val="100"/>
                <w:sz w:val="21"/>
              </w:rPr>
              <w:t>，中度</w:t>
            </w:r>
            <w:r>
              <w:rPr>
                <w:spacing w:val="-1"/>
                <w:w w:val="100"/>
                <w:sz w:val="21"/>
              </w:rPr>
              <w:t>（</w:t>
            </w:r>
            <w:r>
              <w:rPr>
                <w:rFonts w:ascii="Times New Roman" w:eastAsia="Times New Roman"/>
                <w:spacing w:val="-4"/>
                <w:w w:val="100"/>
                <w:sz w:val="21"/>
              </w:rPr>
              <w:t>I</w:t>
            </w:r>
            <w:r>
              <w:rPr>
                <w:rFonts w:ascii="Times New Roman" w:eastAsia="Times New Roman"/>
                <w:spacing w:val="0"/>
                <w:w w:val="100"/>
                <w:sz w:val="21"/>
              </w:rPr>
              <w:t>Q</w:t>
            </w:r>
            <w:r>
              <w:rPr>
                <w:rFonts w:ascii="Times New Roman" w:eastAsia="Times New Roman"/>
                <w:spacing w:val="-4"/>
                <w:w w:val="100"/>
                <w:sz w:val="21"/>
              </w:rPr>
              <w:t>3</w:t>
            </w:r>
            <w:r>
              <w:rPr>
                <w:rFonts w:ascii="Times New Roman" w:eastAsia="Times New Roman"/>
                <w:spacing w:val="2"/>
                <w:w w:val="100"/>
                <w:sz w:val="21"/>
              </w:rPr>
              <w:t>5</w:t>
            </w:r>
            <w:r>
              <w:rPr>
                <w:rFonts w:ascii="Times New Roman" w:eastAsia="Times New Roman"/>
                <w:spacing w:val="-4"/>
                <w:w w:val="100"/>
                <w:sz w:val="21"/>
              </w:rPr>
              <w:t>-</w:t>
            </w:r>
            <w:r>
              <w:rPr>
                <w:rFonts w:ascii="Times New Roman" w:eastAsia="Times New Roman"/>
                <w:w w:val="100"/>
                <w:sz w:val="21"/>
              </w:rPr>
              <w:t>50</w:t>
            </w:r>
            <w:r>
              <w:rPr>
                <w:spacing w:val="-106"/>
                <w:w w:val="100"/>
                <w:sz w:val="21"/>
              </w:rPr>
              <w:t>）</w:t>
            </w:r>
            <w:r>
              <w:rPr>
                <w:spacing w:val="-6"/>
                <w:w w:val="100"/>
                <w:sz w:val="21"/>
              </w:rPr>
              <w:t>，重度</w:t>
            </w: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rFonts w:ascii="Times New Roman" w:eastAsia="Times New Roman"/>
                <w:spacing w:val="-4"/>
                <w:w w:val="100"/>
                <w:sz w:val="21"/>
              </w:rPr>
              <w:t>2</w:t>
            </w:r>
            <w:r>
              <w:rPr>
                <w:rFonts w:ascii="Times New Roman" w:eastAsia="Times New Roman"/>
                <w:spacing w:val="2"/>
                <w:w w:val="100"/>
                <w:sz w:val="21"/>
              </w:rPr>
              <w:t>0</w:t>
            </w:r>
            <w:r>
              <w:rPr>
                <w:rFonts w:ascii="Times New Roman" w:eastAsia="Times New Roman"/>
                <w:spacing w:val="-4"/>
                <w:w w:val="100"/>
                <w:sz w:val="21"/>
              </w:rPr>
              <w:t>-</w:t>
            </w:r>
            <w:r>
              <w:rPr>
                <w:rFonts w:ascii="Times New Roman" w:eastAsia="Times New Roman"/>
                <w:w w:val="100"/>
                <w:sz w:val="21"/>
              </w:rPr>
              <w:t>35</w:t>
            </w:r>
            <w:r>
              <w:rPr>
                <w:w w:val="100"/>
                <w:sz w:val="21"/>
              </w:rPr>
              <w:t>）</w:t>
            </w:r>
            <w:r>
              <w:rPr>
                <w:spacing w:val="-1"/>
                <w:w w:val="100"/>
                <w:sz w:val="21"/>
              </w:rPr>
              <w:t>和极重度</w:t>
            </w:r>
            <w:r>
              <w:rPr>
                <w:w w:val="100"/>
                <w:sz w:val="21"/>
              </w:rPr>
              <w:t>（</w:t>
            </w:r>
            <w:r>
              <w:rPr>
                <w:rFonts w:ascii="Times New Roman" w:eastAsia="Times New Roman"/>
                <w:spacing w:val="-4"/>
                <w:w w:val="100"/>
                <w:sz w:val="21"/>
              </w:rPr>
              <w:t>I</w:t>
            </w:r>
            <w:r>
              <w:rPr>
                <w:rFonts w:ascii="Times New Roman" w:eastAsia="Times New Roman"/>
                <w:spacing w:val="-2"/>
                <w:w w:val="100"/>
                <w:sz w:val="21"/>
              </w:rPr>
              <w:t>Q</w:t>
            </w:r>
            <w:r>
              <w:rPr>
                <w:rFonts w:ascii="Times New Roman" w:eastAsia="Times New Roman"/>
                <w:w w:val="100"/>
                <w:sz w:val="21"/>
              </w:rPr>
              <w:t>&lt;</w:t>
            </w:r>
            <w:r>
              <w:rPr>
                <w:rFonts w:ascii="Times New Roman" w:eastAsia="Times New Roman"/>
                <w:spacing w:val="-4"/>
                <w:w w:val="100"/>
                <w:sz w:val="21"/>
              </w:rPr>
              <w:t>2</w:t>
            </w:r>
            <w:r>
              <w:rPr>
                <w:rFonts w:ascii="Times New Roman" w:eastAsia="Times New Roman"/>
                <w:w w:val="100"/>
                <w:sz w:val="21"/>
              </w:rPr>
              <w:t>0</w:t>
            </w:r>
            <w:r>
              <w:rPr>
                <w:spacing w:val="-106"/>
                <w:w w:val="100"/>
                <w:sz w:val="21"/>
              </w:rPr>
              <w:t>）</w:t>
            </w:r>
            <w:r>
              <w:rPr>
                <w:spacing w:val="-37"/>
                <w:w w:val="100"/>
                <w:sz w:val="21"/>
              </w:rPr>
              <w:t>，智商</w:t>
            </w:r>
            <w:r>
              <w:rPr>
                <w:spacing w:val="50"/>
                <w:sz w:val="21"/>
              </w:rPr>
              <w:t> </w:t>
            </w:r>
            <w:r>
              <w:rPr>
                <w:rFonts w:ascii="Times New Roman" w:eastAsia="Times New Roman"/>
                <w:w w:val="100"/>
                <w:sz w:val="21"/>
              </w:rPr>
              <w:t>70</w:t>
            </w:r>
            <w:r>
              <w:rPr>
                <w:rFonts w:ascii="Times New Roman" w:eastAsia="Times New Roman"/>
                <w:spacing w:val="-4"/>
                <w:w w:val="100"/>
                <w:sz w:val="21"/>
              </w:rPr>
              <w:t>-</w:t>
            </w:r>
            <w:r>
              <w:rPr>
                <w:rFonts w:ascii="Times New Roman" w:eastAsia="Times New Roman"/>
                <w:w w:val="100"/>
                <w:sz w:val="21"/>
              </w:rPr>
              <w:t>85</w:t>
            </w:r>
            <w:r>
              <w:rPr>
                <w:rFonts w:ascii="Times New Roman" w:eastAsia="Times New Roman"/>
                <w:sz w:val="21"/>
              </w:rPr>
              <w:t> </w:t>
            </w:r>
            <w:r>
              <w:rPr>
                <w:spacing w:val="-3"/>
                <w:w w:val="100"/>
                <w:sz w:val="21"/>
              </w:rPr>
              <w:t>为智力临界低常。智商的检测必须由本公司认可</w:t>
            </w:r>
            <w:r>
              <w:rPr>
                <w:spacing w:val="-3"/>
                <w:sz w:val="21"/>
              </w:rPr>
              <w:t>的专职心理测验工作者进行，心理测验工作者必须持有由心理测量专业委员会资格认定书。根据被保险人年龄采用对应的智力量表如韦克斯勒智力量表</w:t>
            </w:r>
            <w:r>
              <w:rPr>
                <w:sz w:val="21"/>
              </w:rPr>
              <w:t>（</w:t>
            </w:r>
            <w:r>
              <w:rPr>
                <w:spacing w:val="-2"/>
                <w:sz w:val="21"/>
              </w:rPr>
              <w:t>儿童智</w:t>
            </w:r>
            <w:r>
              <w:rPr>
                <w:spacing w:val="-3"/>
                <w:sz w:val="21"/>
              </w:rPr>
              <w:t>力量表或成人智力量表</w:t>
            </w:r>
            <w:r>
              <w:rPr>
                <w:spacing w:val="-108"/>
                <w:sz w:val="21"/>
              </w:rPr>
              <w:t>）</w:t>
            </w:r>
            <w:r>
              <w:rPr>
                <w:sz w:val="21"/>
              </w:rPr>
              <w:t>。</w:t>
            </w:r>
          </w:p>
          <w:p>
            <w:pPr>
              <w:pStyle w:val="TableParagraph"/>
              <w:spacing w:before="10"/>
              <w:ind w:left="102"/>
              <w:rPr>
                <w:sz w:val="21"/>
              </w:rPr>
            </w:pPr>
            <w:r>
              <w:rPr>
                <w:sz w:val="21"/>
              </w:rPr>
              <w:t>理赔时必须满足下列全部条件：</w:t>
            </w:r>
          </w:p>
          <w:p>
            <w:pPr>
              <w:pStyle w:val="TableParagraph"/>
              <w:spacing w:before="25"/>
              <w:ind w:left="102"/>
              <w:rPr>
                <w:sz w:val="21"/>
              </w:rPr>
            </w:pPr>
            <w:r>
              <w:rPr>
                <w:sz w:val="21"/>
              </w:rPr>
              <w:t>（</w:t>
            </w:r>
            <w:r>
              <w:rPr>
                <w:rFonts w:ascii="Times New Roman" w:eastAsia="Times New Roman"/>
                <w:sz w:val="21"/>
              </w:rPr>
              <w:t>1</w:t>
            </w:r>
            <w:r>
              <w:rPr>
                <w:sz w:val="21"/>
              </w:rPr>
              <w:t>）被保险人大于或等于 </w:t>
            </w:r>
            <w:r>
              <w:rPr>
                <w:rFonts w:ascii="Times New Roman" w:eastAsia="Times New Roman"/>
                <w:sz w:val="21"/>
              </w:rPr>
              <w:t>6 </w:t>
            </w:r>
            <w:r>
              <w:rPr>
                <w:sz w:val="21"/>
              </w:rPr>
              <w:t>周岁；</w:t>
            </w:r>
          </w:p>
          <w:p>
            <w:pPr>
              <w:pStyle w:val="TableParagraph"/>
              <w:spacing w:line="256" w:lineRule="auto" w:before="2"/>
              <w:ind w:left="628" w:right="302" w:hanging="526"/>
              <w:rPr>
                <w:sz w:val="21"/>
              </w:rPr>
            </w:pPr>
            <w:r>
              <w:rPr>
                <w:spacing w:val="-17"/>
                <w:sz w:val="21"/>
              </w:rPr>
              <w:t>（</w:t>
            </w:r>
            <w:r>
              <w:rPr>
                <w:rFonts w:ascii="Times New Roman" w:eastAsia="Times New Roman"/>
                <w:spacing w:val="-17"/>
                <w:sz w:val="21"/>
              </w:rPr>
              <w:t>2</w:t>
            </w:r>
            <w:r>
              <w:rPr>
                <w:spacing w:val="-17"/>
                <w:sz w:val="21"/>
              </w:rPr>
              <w:t>）</w:t>
            </w:r>
            <w:r>
              <w:rPr>
                <w:spacing w:val="-8"/>
                <w:sz w:val="21"/>
              </w:rPr>
              <w:t>明确的颅脑外伤病史，并由儿科主任医师确诊被保险人由于该严重头部创伤</w:t>
            </w:r>
            <w:r>
              <w:rPr>
                <w:spacing w:val="-5"/>
                <w:sz w:val="21"/>
              </w:rPr>
              <w:t>造成智力低下；</w:t>
            </w:r>
          </w:p>
          <w:p>
            <w:pPr>
              <w:pStyle w:val="TableParagraph"/>
              <w:spacing w:line="256" w:lineRule="auto" w:before="22"/>
              <w:ind w:left="628" w:right="206" w:hanging="526"/>
              <w:rPr>
                <w:sz w:val="21"/>
              </w:rPr>
            </w:pPr>
            <w:r>
              <w:rPr>
                <w:sz w:val="21"/>
              </w:rPr>
              <w:t>（</w:t>
            </w:r>
            <w:r>
              <w:rPr>
                <w:rFonts w:ascii="Times New Roman" w:eastAsia="Times New Roman"/>
                <w:sz w:val="21"/>
              </w:rPr>
              <w:t>3</w:t>
            </w:r>
            <w:r>
              <w:rPr>
                <w:sz w:val="21"/>
              </w:rPr>
              <w:t>）</w:t>
            </w:r>
            <w:r>
              <w:rPr>
                <w:spacing w:val="-3"/>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29"/>
              <w:ind w:left="102"/>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日以上。</w:t>
            </w:r>
          </w:p>
          <w:p>
            <w:pPr>
              <w:pStyle w:val="TableParagraph"/>
              <w:spacing w:line="261" w:lineRule="auto" w:before="9"/>
              <w:ind w:left="102" w:right="309"/>
              <w:rPr>
                <w:rFonts w:ascii="黑体" w:eastAsia="黑体" w:hint="eastAsia"/>
                <w:sz w:val="21"/>
              </w:rPr>
            </w:pPr>
            <w:r>
              <w:rPr>
                <w:rFonts w:ascii="黑体" w:eastAsia="黑体" w:hint="eastAsia"/>
                <w:sz w:val="21"/>
              </w:rPr>
              <w:t>因先天性疾病，宫内缺氧，产伤，或其它后天性疾病造成的智力低常不在本保障范围内。</w:t>
            </w:r>
          </w:p>
        </w:tc>
      </w:tr>
      <w:tr>
        <w:trPr>
          <w:trHeight w:val="631" w:hRule="atLeast"/>
        </w:trPr>
        <w:tc>
          <w:tcPr>
            <w:tcW w:w="770" w:type="dxa"/>
          </w:tcPr>
          <w:p>
            <w:pPr>
              <w:pStyle w:val="TableParagraph"/>
              <w:spacing w:before="34"/>
              <w:ind w:left="200"/>
              <w:rPr>
                <w:rFonts w:ascii="Times New Roman" w:eastAsia="Times New Roman"/>
                <w:b/>
                <w:sz w:val="21"/>
              </w:rPr>
            </w:pPr>
            <w:r>
              <w:rPr>
                <w:b/>
                <w:sz w:val="21"/>
              </w:rPr>
              <w:t>注 </w:t>
            </w:r>
            <w:r>
              <w:rPr>
                <w:rFonts w:ascii="Times New Roman" w:eastAsia="Times New Roman"/>
                <w:b/>
                <w:sz w:val="21"/>
              </w:rPr>
              <w:t>1.</w:t>
            </w:r>
          </w:p>
        </w:tc>
        <w:tc>
          <w:tcPr>
            <w:tcW w:w="1202" w:type="dxa"/>
          </w:tcPr>
          <w:p>
            <w:pPr>
              <w:pStyle w:val="TableParagraph"/>
              <w:spacing w:line="300" w:lineRule="atLeast" w:before="8"/>
              <w:ind w:left="150" w:right="416"/>
              <w:rPr>
                <w:b/>
                <w:sz w:val="21"/>
              </w:rPr>
            </w:pPr>
            <w:r>
              <w:rPr>
                <w:b/>
                <w:sz w:val="21"/>
              </w:rPr>
              <w:t>专科医生：</w:t>
            </w:r>
          </w:p>
        </w:tc>
        <w:tc>
          <w:tcPr>
            <w:tcW w:w="7771" w:type="dxa"/>
          </w:tcPr>
          <w:p>
            <w:pPr>
              <w:pStyle w:val="TableParagraph"/>
              <w:spacing w:line="300" w:lineRule="atLeast" w:before="24"/>
              <w:ind w:left="102" w:right="303"/>
              <w:rPr>
                <w:sz w:val="21"/>
              </w:rPr>
            </w:pPr>
            <w:r>
              <w:rPr>
                <w:spacing w:val="-4"/>
                <w:sz w:val="21"/>
              </w:rPr>
              <w:t>专科医生应当同时满足以下四项资格条件：</w:t>
            </w:r>
            <w:r>
              <w:rPr>
                <w:spacing w:val="-20"/>
                <w:sz w:val="21"/>
              </w:rPr>
              <w:t>（</w:t>
            </w:r>
            <w:r>
              <w:rPr>
                <w:rFonts w:ascii="Times New Roman" w:eastAsia="Times New Roman"/>
                <w:spacing w:val="-20"/>
                <w:sz w:val="21"/>
              </w:rPr>
              <w:t>1</w:t>
            </w:r>
            <w:r>
              <w:rPr>
                <w:spacing w:val="-20"/>
                <w:sz w:val="21"/>
              </w:rPr>
              <w:t>）</w:t>
            </w:r>
            <w:r>
              <w:rPr>
                <w:spacing w:val="-5"/>
                <w:sz w:val="21"/>
              </w:rPr>
              <w:t>具有有效的中华人民共和国《医</w:t>
            </w:r>
            <w:r>
              <w:rPr>
                <w:spacing w:val="-7"/>
                <w:sz w:val="21"/>
              </w:rPr>
              <w:t>师资格证书》；</w:t>
            </w:r>
            <w:r>
              <w:rPr>
                <w:spacing w:val="-12"/>
                <w:sz w:val="21"/>
              </w:rPr>
              <w:t>（</w:t>
            </w:r>
            <w:r>
              <w:rPr>
                <w:rFonts w:ascii="Times New Roman" w:eastAsia="Times New Roman"/>
                <w:spacing w:val="-12"/>
                <w:sz w:val="21"/>
              </w:rPr>
              <w:t>2</w:t>
            </w:r>
            <w:r>
              <w:rPr>
                <w:spacing w:val="-12"/>
                <w:sz w:val="21"/>
              </w:rPr>
              <w:t>）</w:t>
            </w:r>
            <w:r>
              <w:rPr>
                <w:spacing w:val="-6"/>
                <w:sz w:val="21"/>
              </w:rPr>
              <w:t>具有有效的中华人民共和国《医师执业证书》，并按期到相</w:t>
            </w:r>
          </w:p>
        </w:tc>
      </w:tr>
    </w:tbl>
    <w:p>
      <w:pPr>
        <w:spacing w:after="0" w:line="300" w:lineRule="atLeast"/>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148"/>
        <w:gridCol w:w="7825"/>
      </w:tblGrid>
      <w:tr>
        <w:trPr>
          <w:trHeight w:val="915" w:hRule="atLeast"/>
        </w:trPr>
        <w:tc>
          <w:tcPr>
            <w:tcW w:w="771" w:type="dxa"/>
          </w:tcPr>
          <w:p>
            <w:pPr>
              <w:pStyle w:val="TableParagraph"/>
              <w:ind w:left="0"/>
              <w:rPr>
                <w:rFonts w:ascii="Times New Roman"/>
                <w:sz w:val="20"/>
              </w:rPr>
            </w:pPr>
          </w:p>
        </w:tc>
        <w:tc>
          <w:tcPr>
            <w:tcW w:w="1148" w:type="dxa"/>
          </w:tcPr>
          <w:p>
            <w:pPr>
              <w:pStyle w:val="TableParagraph"/>
              <w:ind w:left="0"/>
              <w:rPr>
                <w:rFonts w:ascii="Times New Roman"/>
                <w:sz w:val="20"/>
              </w:rPr>
            </w:pPr>
          </w:p>
        </w:tc>
        <w:tc>
          <w:tcPr>
            <w:tcW w:w="7825" w:type="dxa"/>
          </w:tcPr>
          <w:p>
            <w:pPr>
              <w:pStyle w:val="TableParagraph"/>
              <w:spacing w:line="227" w:lineRule="exact"/>
              <w:ind w:left="155"/>
              <w:rPr>
                <w:sz w:val="21"/>
              </w:rPr>
            </w:pPr>
            <w:r>
              <w:rPr>
                <w:sz w:val="21"/>
              </w:rPr>
              <w:t>关部门登记注册；（</w:t>
            </w:r>
            <w:r>
              <w:rPr>
                <w:rFonts w:ascii="Times New Roman" w:eastAsia="Times New Roman"/>
                <w:sz w:val="21"/>
              </w:rPr>
              <w:t>3</w:t>
            </w:r>
            <w:r>
              <w:rPr>
                <w:sz w:val="21"/>
              </w:rPr>
              <w:t>）具有有效的中华人民共和国主治医师或主治医师以上职称</w:t>
            </w:r>
          </w:p>
          <w:p>
            <w:pPr>
              <w:pStyle w:val="TableParagraph"/>
              <w:spacing w:line="247" w:lineRule="auto" w:before="9"/>
              <w:ind w:left="155" w:right="303" w:hanging="1"/>
              <w:rPr>
                <w:sz w:val="21"/>
              </w:rPr>
            </w:pPr>
            <w:r>
              <w:rPr>
                <w:spacing w:val="-8"/>
                <w:sz w:val="21"/>
              </w:rPr>
              <w:t>的《医师职称证书》；</w:t>
            </w:r>
            <w:r>
              <w:rPr>
                <w:spacing w:val="-17"/>
                <w:sz w:val="21"/>
              </w:rPr>
              <w:t>（</w:t>
            </w:r>
            <w:r>
              <w:rPr>
                <w:rFonts w:ascii="Times New Roman" w:eastAsia="Times New Roman"/>
                <w:spacing w:val="-17"/>
                <w:sz w:val="21"/>
              </w:rPr>
              <w:t>4</w:t>
            </w:r>
            <w:r>
              <w:rPr>
                <w:spacing w:val="-17"/>
                <w:sz w:val="21"/>
              </w:rPr>
              <w:t>）</w:t>
            </w:r>
            <w:r>
              <w:rPr>
                <w:spacing w:val="-3"/>
                <w:sz w:val="21"/>
              </w:rPr>
              <w:t>在二级或二级以上医院的相应科室从事临床工作三年以上。</w:t>
            </w:r>
          </w:p>
        </w:tc>
      </w:tr>
      <w:tr>
        <w:trPr>
          <w:trHeight w:val="1012" w:hRule="atLeast"/>
        </w:trPr>
        <w:tc>
          <w:tcPr>
            <w:tcW w:w="771" w:type="dxa"/>
          </w:tcPr>
          <w:p>
            <w:pPr>
              <w:pStyle w:val="TableParagraph"/>
              <w:spacing w:before="34"/>
              <w:ind w:left="200"/>
              <w:rPr>
                <w:rFonts w:ascii="Times New Roman" w:eastAsia="Times New Roman"/>
                <w:b/>
                <w:sz w:val="21"/>
              </w:rPr>
            </w:pPr>
            <w:r>
              <w:rPr>
                <w:b/>
                <w:sz w:val="21"/>
              </w:rPr>
              <w:t>注 </w:t>
            </w:r>
            <w:r>
              <w:rPr>
                <w:rFonts w:ascii="Times New Roman" w:eastAsia="Times New Roman"/>
                <w:b/>
                <w:sz w:val="21"/>
              </w:rPr>
              <w:t>2.</w:t>
            </w:r>
          </w:p>
        </w:tc>
        <w:tc>
          <w:tcPr>
            <w:tcW w:w="1148" w:type="dxa"/>
          </w:tcPr>
          <w:p>
            <w:pPr>
              <w:pStyle w:val="TableParagraph"/>
              <w:spacing w:line="261" w:lineRule="auto" w:before="34"/>
              <w:ind w:left="149" w:right="152"/>
              <w:rPr>
                <w:b/>
                <w:sz w:val="21"/>
              </w:rPr>
            </w:pPr>
            <w:r>
              <w:rPr>
                <w:b/>
                <w:sz w:val="21"/>
              </w:rPr>
              <w:t>肢体机能完全丧 失：</w:t>
            </w:r>
          </w:p>
        </w:tc>
        <w:tc>
          <w:tcPr>
            <w:tcW w:w="7825" w:type="dxa"/>
          </w:tcPr>
          <w:p>
            <w:pPr>
              <w:pStyle w:val="TableParagraph"/>
              <w:spacing w:line="261" w:lineRule="auto" w:before="34"/>
              <w:ind w:left="155" w:right="310"/>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3.</w:t>
            </w:r>
          </w:p>
        </w:tc>
        <w:tc>
          <w:tcPr>
            <w:tcW w:w="1148" w:type="dxa"/>
          </w:tcPr>
          <w:p>
            <w:pPr>
              <w:pStyle w:val="TableParagraph"/>
              <w:spacing w:line="261" w:lineRule="auto" w:before="33"/>
              <w:ind w:left="149" w:right="152"/>
              <w:jc w:val="both"/>
              <w:rPr>
                <w:b/>
                <w:sz w:val="21"/>
              </w:rPr>
            </w:pPr>
            <w:r>
              <w:rPr>
                <w:b/>
                <w:sz w:val="21"/>
              </w:rPr>
              <w:t>语言能力或咀嚼吞咽能力完全丧失：</w:t>
            </w:r>
          </w:p>
        </w:tc>
        <w:tc>
          <w:tcPr>
            <w:tcW w:w="7825" w:type="dxa"/>
          </w:tcPr>
          <w:p>
            <w:pPr>
              <w:pStyle w:val="TableParagraph"/>
              <w:spacing w:line="261" w:lineRule="auto" w:before="33"/>
              <w:ind w:left="155" w:right="303"/>
              <w:rPr>
                <w:sz w:val="21"/>
              </w:rPr>
            </w:pPr>
            <w:r>
              <w:rPr>
                <w:spacing w:val="-3"/>
                <w:sz w:val="21"/>
              </w:rPr>
              <w:t>语言能力完全丧失，指无法发出四种语音</w:t>
            </w:r>
            <w:r>
              <w:rPr>
                <w:sz w:val="21"/>
              </w:rPr>
              <w:t>（</w:t>
            </w:r>
            <w:r>
              <w:rPr>
                <w:spacing w:val="-3"/>
                <w:sz w:val="21"/>
              </w:rPr>
              <w:t>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1" w:type="dxa"/>
          </w:tcPr>
          <w:p>
            <w:pPr>
              <w:pStyle w:val="TableParagraph"/>
              <w:spacing w:before="33"/>
              <w:ind w:left="200"/>
              <w:rPr>
                <w:rFonts w:ascii="Times New Roman" w:eastAsia="Times New Roman"/>
                <w:b/>
                <w:sz w:val="21"/>
              </w:rPr>
            </w:pPr>
            <w:r>
              <w:rPr>
                <w:b/>
                <w:sz w:val="21"/>
              </w:rPr>
              <w:t>注 </w:t>
            </w:r>
            <w:r>
              <w:rPr>
                <w:rFonts w:ascii="Times New Roman" w:eastAsia="Times New Roman"/>
                <w:b/>
                <w:sz w:val="21"/>
              </w:rPr>
              <w:t>4.</w:t>
            </w:r>
          </w:p>
        </w:tc>
        <w:tc>
          <w:tcPr>
            <w:tcW w:w="1148" w:type="dxa"/>
          </w:tcPr>
          <w:p>
            <w:pPr>
              <w:pStyle w:val="TableParagraph"/>
              <w:spacing w:line="261" w:lineRule="auto" w:before="33"/>
              <w:ind w:left="149" w:right="152"/>
              <w:jc w:val="both"/>
              <w:rPr>
                <w:b/>
                <w:sz w:val="21"/>
              </w:rPr>
            </w:pPr>
            <w:r>
              <w:rPr>
                <w:b/>
                <w:sz w:val="21"/>
              </w:rPr>
              <w:t>六项基本日常生活活动：</w:t>
            </w:r>
          </w:p>
        </w:tc>
        <w:tc>
          <w:tcPr>
            <w:tcW w:w="7825" w:type="dxa"/>
          </w:tcPr>
          <w:p>
            <w:pPr>
              <w:pStyle w:val="TableParagraph"/>
              <w:spacing w:line="247" w:lineRule="auto" w:before="33"/>
              <w:ind w:left="155" w:right="207"/>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1"/>
              <w:ind w:left="155"/>
              <w:jc w:val="both"/>
              <w:rPr>
                <w:sz w:val="21"/>
              </w:rPr>
            </w:pPr>
            <w:r>
              <w:rPr>
                <w:sz w:val="21"/>
              </w:rPr>
              <w:t>（</w:t>
            </w:r>
            <w:r>
              <w:rPr>
                <w:rFonts w:ascii="Times New Roman" w:eastAsia="Times New Roman"/>
                <w:sz w:val="21"/>
              </w:rPr>
              <w:t>6</w:t>
            </w:r>
            <w:r>
              <w:rPr>
                <w:sz w:val="21"/>
              </w:rPr>
              <w:t>）洗澡：自己进行淋浴或盆浴。</w:t>
            </w:r>
          </w:p>
        </w:tc>
      </w:tr>
      <w:tr>
        <w:trPr>
          <w:trHeight w:val="704" w:hRule="atLeast"/>
        </w:trPr>
        <w:tc>
          <w:tcPr>
            <w:tcW w:w="771" w:type="dxa"/>
          </w:tcPr>
          <w:p>
            <w:pPr>
              <w:pStyle w:val="TableParagraph"/>
              <w:spacing w:before="25"/>
              <w:ind w:left="200"/>
              <w:rPr>
                <w:rFonts w:ascii="Times New Roman" w:eastAsia="Times New Roman"/>
                <w:b/>
                <w:sz w:val="21"/>
              </w:rPr>
            </w:pPr>
            <w:r>
              <w:rPr>
                <w:b/>
                <w:sz w:val="21"/>
              </w:rPr>
              <w:t>注 </w:t>
            </w:r>
            <w:r>
              <w:rPr>
                <w:rFonts w:ascii="Times New Roman" w:eastAsia="Times New Roman"/>
                <w:b/>
                <w:sz w:val="21"/>
              </w:rPr>
              <w:t>5.</w:t>
            </w:r>
          </w:p>
        </w:tc>
        <w:tc>
          <w:tcPr>
            <w:tcW w:w="1148" w:type="dxa"/>
          </w:tcPr>
          <w:p>
            <w:pPr>
              <w:pStyle w:val="TableParagraph"/>
              <w:spacing w:line="261" w:lineRule="auto" w:before="25"/>
              <w:ind w:left="149" w:right="152"/>
              <w:rPr>
                <w:b/>
                <w:sz w:val="21"/>
              </w:rPr>
            </w:pPr>
            <w:r>
              <w:rPr>
                <w:b/>
                <w:sz w:val="21"/>
              </w:rPr>
              <w:t>永久不可逆：</w:t>
            </w:r>
          </w:p>
        </w:tc>
        <w:tc>
          <w:tcPr>
            <w:tcW w:w="7825" w:type="dxa"/>
          </w:tcPr>
          <w:p>
            <w:pPr>
              <w:pStyle w:val="TableParagraph"/>
              <w:spacing w:line="247" w:lineRule="auto" w:before="25"/>
              <w:ind w:left="155" w:right="248"/>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712" w:hRule="atLeast"/>
        </w:trPr>
        <w:tc>
          <w:tcPr>
            <w:tcW w:w="771" w:type="dxa"/>
          </w:tcPr>
          <w:p>
            <w:pPr>
              <w:pStyle w:val="TableParagraph"/>
              <w:spacing w:before="83"/>
              <w:ind w:left="200"/>
              <w:rPr>
                <w:rFonts w:ascii="Times New Roman"/>
                <w:b/>
                <w:sz w:val="21"/>
              </w:rPr>
            </w:pPr>
            <w:r>
              <w:rPr>
                <w:rFonts w:ascii="Times New Roman"/>
                <w:b/>
                <w:sz w:val="21"/>
              </w:rPr>
              <w:t>5.17</w:t>
            </w:r>
          </w:p>
        </w:tc>
        <w:tc>
          <w:tcPr>
            <w:tcW w:w="1148" w:type="dxa"/>
          </w:tcPr>
          <w:p>
            <w:pPr>
              <w:pStyle w:val="TableParagraph"/>
              <w:spacing w:before="33"/>
              <w:ind w:left="149"/>
              <w:rPr>
                <w:b/>
                <w:sz w:val="21"/>
              </w:rPr>
            </w:pPr>
            <w:r>
              <w:rPr>
                <w:b/>
                <w:sz w:val="21"/>
              </w:rPr>
              <w:t>特定疾病</w:t>
            </w:r>
          </w:p>
        </w:tc>
        <w:tc>
          <w:tcPr>
            <w:tcW w:w="7825" w:type="dxa"/>
          </w:tcPr>
          <w:p>
            <w:pPr>
              <w:pStyle w:val="TableParagraph"/>
              <w:spacing w:line="261" w:lineRule="auto" w:before="33"/>
              <w:ind w:left="155" w:right="315"/>
              <w:rPr>
                <w:sz w:val="21"/>
              </w:rPr>
            </w:pPr>
            <w:r>
              <w:rPr>
                <w:sz w:val="21"/>
              </w:rPr>
              <w:t>指被保险人经我们认可的医院的专科医生确诊，初次发生符合下列定义的疾病或初次接受符合下列定义的手术。</w:t>
            </w:r>
          </w:p>
        </w:tc>
      </w:tr>
      <w:tr>
        <w:trPr>
          <w:trHeight w:val="1989" w:hRule="atLeast"/>
        </w:trPr>
        <w:tc>
          <w:tcPr>
            <w:tcW w:w="771" w:type="dxa"/>
          </w:tcPr>
          <w:p>
            <w:pPr>
              <w:pStyle w:val="TableParagraph"/>
              <w:spacing w:before="83"/>
              <w:ind w:left="200"/>
              <w:rPr>
                <w:rFonts w:ascii="Times New Roman"/>
                <w:b/>
                <w:sz w:val="21"/>
              </w:rPr>
            </w:pPr>
            <w:r>
              <w:rPr>
                <w:rFonts w:ascii="Times New Roman"/>
                <w:b/>
                <w:sz w:val="21"/>
              </w:rPr>
              <w:t>1.</w:t>
            </w:r>
          </w:p>
        </w:tc>
        <w:tc>
          <w:tcPr>
            <w:tcW w:w="1148" w:type="dxa"/>
          </w:tcPr>
          <w:p>
            <w:pPr>
              <w:pStyle w:val="TableParagraph"/>
              <w:spacing w:line="261" w:lineRule="auto" w:before="34"/>
              <w:ind w:left="149" w:right="152"/>
              <w:jc w:val="both"/>
              <w:rPr>
                <w:b/>
                <w:sz w:val="21"/>
              </w:rPr>
            </w:pPr>
            <w:r>
              <w:rPr>
                <w:b/>
                <w:sz w:val="21"/>
              </w:rPr>
              <w:t>极早期的恶性肿瘤或恶性病变：</w:t>
            </w:r>
          </w:p>
        </w:tc>
        <w:tc>
          <w:tcPr>
            <w:tcW w:w="7825" w:type="dxa"/>
          </w:tcPr>
          <w:p>
            <w:pPr>
              <w:pStyle w:val="TableParagraph"/>
              <w:spacing w:before="27"/>
              <w:ind w:left="155"/>
              <w:rPr>
                <w:sz w:val="21"/>
              </w:rPr>
            </w:pPr>
            <w:r>
              <w:rPr>
                <w:sz w:val="21"/>
              </w:rPr>
              <w:t>指经组织病理学检查被明确诊断为下列恶性病变，并且接受了相应的治疗。</w:t>
            </w:r>
          </w:p>
          <w:p>
            <w:pPr>
              <w:pStyle w:val="TableParagraph"/>
              <w:spacing w:before="37"/>
              <w:ind w:left="155"/>
              <w:rPr>
                <w:sz w:val="21"/>
              </w:rPr>
            </w:pPr>
            <w:r>
              <w:rPr>
                <w:sz w:val="21"/>
              </w:rPr>
              <w:t>（</w:t>
            </w:r>
            <w:r>
              <w:rPr>
                <w:rFonts w:ascii="Times New Roman" w:eastAsia="Times New Roman"/>
                <w:sz w:val="21"/>
              </w:rPr>
              <w:t>1</w:t>
            </w:r>
            <w:r>
              <w:rPr>
                <w:sz w:val="21"/>
              </w:rPr>
              <w:t>）原位癌；</w:t>
            </w:r>
          </w:p>
          <w:p>
            <w:pPr>
              <w:pStyle w:val="TableParagraph"/>
              <w:spacing w:before="21"/>
              <w:ind w:left="155"/>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5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55"/>
              <w:rPr>
                <w:sz w:val="21"/>
              </w:rPr>
            </w:pPr>
            <w:r>
              <w:rPr>
                <w:sz w:val="21"/>
              </w:rPr>
              <w:t>（</w:t>
            </w:r>
            <w:r>
              <w:rPr>
                <w:rFonts w:ascii="Times New Roman" w:eastAsia="Times New Roman"/>
                <w:sz w:val="21"/>
              </w:rPr>
              <w:t>4</w:t>
            </w:r>
            <w:r>
              <w:rPr>
                <w:sz w:val="21"/>
              </w:rPr>
              <w:t>）皮肤癌；</w:t>
            </w:r>
          </w:p>
          <w:p>
            <w:pPr>
              <w:pStyle w:val="TableParagraph"/>
              <w:spacing w:before="28"/>
              <w:ind w:left="155"/>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tc>
      </w:tr>
      <w:tr>
        <w:trPr>
          <w:trHeight w:val="1946" w:hRule="atLeast"/>
        </w:trPr>
        <w:tc>
          <w:tcPr>
            <w:tcW w:w="771" w:type="dxa"/>
          </w:tcPr>
          <w:p>
            <w:pPr>
              <w:pStyle w:val="TableParagraph"/>
              <w:spacing w:before="68"/>
              <w:ind w:left="200"/>
              <w:rPr>
                <w:rFonts w:ascii="Times New Roman"/>
                <w:b/>
                <w:sz w:val="21"/>
              </w:rPr>
            </w:pPr>
            <w:r>
              <w:rPr>
                <w:rFonts w:ascii="Times New Roman"/>
                <w:b/>
                <w:sz w:val="21"/>
              </w:rPr>
              <w:t>2.</w:t>
            </w:r>
          </w:p>
        </w:tc>
        <w:tc>
          <w:tcPr>
            <w:tcW w:w="1148" w:type="dxa"/>
          </w:tcPr>
          <w:p>
            <w:pPr>
              <w:pStyle w:val="TableParagraph"/>
              <w:spacing w:line="261" w:lineRule="auto" w:before="19"/>
              <w:ind w:left="149" w:right="152"/>
              <w:jc w:val="both"/>
              <w:rPr>
                <w:b/>
                <w:sz w:val="21"/>
              </w:rPr>
            </w:pPr>
            <w:r>
              <w:rPr>
                <w:b/>
                <w:sz w:val="21"/>
              </w:rPr>
              <w:t>不典型的急性心肌梗塞：</w:t>
            </w:r>
          </w:p>
        </w:tc>
        <w:tc>
          <w:tcPr>
            <w:tcW w:w="7825" w:type="dxa"/>
          </w:tcPr>
          <w:p>
            <w:pPr>
              <w:pStyle w:val="TableParagraph"/>
              <w:spacing w:before="12"/>
              <w:ind w:left="155"/>
              <w:rPr>
                <w:sz w:val="21"/>
              </w:rPr>
            </w:pPr>
            <w:r>
              <w:rPr>
                <w:sz w:val="21"/>
              </w:rPr>
              <w:t>指被临床诊断为急性心肌梗塞并接受了急性心肌梗塞治疗，虽然未达到重大疾病</w:t>
            </w:r>
          </w:p>
          <w:p>
            <w:pPr>
              <w:pStyle w:val="TableParagraph"/>
              <w:spacing w:before="37"/>
              <w:ind w:left="155"/>
              <w:rPr>
                <w:sz w:val="21"/>
              </w:rPr>
            </w:pPr>
            <w:r>
              <w:rPr>
                <w:sz w:val="21"/>
              </w:rPr>
              <w:t>“急性心肌梗塞”的给付标准，但满足下列全部条件：</w:t>
            </w:r>
          </w:p>
          <w:p>
            <w:pPr>
              <w:pStyle w:val="TableParagraph"/>
              <w:spacing w:before="37"/>
              <w:ind w:left="155"/>
              <w:rPr>
                <w:sz w:val="21"/>
              </w:rPr>
            </w:pPr>
            <w:r>
              <w:rPr>
                <w:sz w:val="21"/>
              </w:rPr>
              <w:t>（</w:t>
            </w:r>
            <w:r>
              <w:rPr>
                <w:rFonts w:ascii="Times New Roman" w:eastAsia="Times New Roman"/>
                <w:sz w:val="21"/>
              </w:rPr>
              <w:t>1</w:t>
            </w:r>
            <w:r>
              <w:rPr>
                <w:sz w:val="21"/>
              </w:rPr>
              <w:t>）肌钙蛋白有诊断意义的升高；</w:t>
            </w:r>
          </w:p>
          <w:p>
            <w:pPr>
              <w:pStyle w:val="TableParagraph"/>
              <w:spacing w:before="21"/>
              <w:ind w:left="155"/>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61" w:lineRule="auto" w:before="28"/>
              <w:ind w:left="155" w:right="310"/>
              <w:rPr>
                <w:rFonts w:ascii="黑体" w:eastAsia="黑体" w:hint="eastAsia"/>
                <w:sz w:val="21"/>
              </w:rPr>
            </w:pPr>
            <w:r>
              <w:rPr>
                <w:rFonts w:ascii="黑体" w:eastAsia="黑体" w:hint="eastAsia"/>
                <w:sz w:val="21"/>
              </w:rPr>
              <w:t>若被保险人在出现不典型的急性心肌梗塞后接受冠状动脉介入手术治疗，该冠状动脉介入手术与不典型的急性心肌梗塞视为同一特定疾病。</w:t>
            </w:r>
          </w:p>
        </w:tc>
      </w:tr>
      <w:tr>
        <w:trPr>
          <w:trHeight w:val="1668" w:hRule="atLeast"/>
        </w:trPr>
        <w:tc>
          <w:tcPr>
            <w:tcW w:w="771" w:type="dxa"/>
          </w:tcPr>
          <w:p>
            <w:pPr>
              <w:pStyle w:val="TableParagraph"/>
              <w:spacing w:before="83"/>
              <w:ind w:left="200"/>
              <w:rPr>
                <w:rFonts w:ascii="Times New Roman"/>
                <w:b/>
                <w:sz w:val="21"/>
              </w:rPr>
            </w:pPr>
            <w:r>
              <w:rPr>
                <w:rFonts w:ascii="Times New Roman"/>
                <w:b/>
                <w:sz w:val="21"/>
              </w:rPr>
              <w:t>3.</w:t>
            </w:r>
          </w:p>
        </w:tc>
        <w:tc>
          <w:tcPr>
            <w:tcW w:w="1148" w:type="dxa"/>
          </w:tcPr>
          <w:p>
            <w:pPr>
              <w:pStyle w:val="TableParagraph"/>
              <w:spacing w:line="261" w:lineRule="auto" w:before="34"/>
              <w:ind w:left="149" w:right="152"/>
              <w:rPr>
                <w:b/>
                <w:sz w:val="21"/>
              </w:rPr>
            </w:pPr>
            <w:r>
              <w:rPr>
                <w:b/>
                <w:sz w:val="21"/>
              </w:rPr>
              <w:t>轻微脑中风：</w:t>
            </w:r>
          </w:p>
        </w:tc>
        <w:tc>
          <w:tcPr>
            <w:tcW w:w="7825" w:type="dxa"/>
          </w:tcPr>
          <w:p>
            <w:pPr>
              <w:pStyle w:val="TableParagraph"/>
              <w:spacing w:before="27"/>
              <w:ind w:left="155"/>
              <w:rPr>
                <w:sz w:val="21"/>
              </w:rPr>
            </w:pPr>
            <w:r>
              <w:rPr>
                <w:sz w:val="21"/>
              </w:rPr>
              <w:t>指实际发生了脑血管的突发病变出现神经系统功能障碍表现，头颅断层扫描</w:t>
            </w:r>
          </w:p>
          <w:p>
            <w:pPr>
              <w:pStyle w:val="TableParagraph"/>
              <w:spacing w:line="256" w:lineRule="auto" w:before="37"/>
              <w:ind w:left="155" w:right="303"/>
              <w:jc w:val="both"/>
              <w:rPr>
                <w:sz w:val="21"/>
              </w:rPr>
            </w:pPr>
            <w:r>
              <w:rPr>
                <w:spacing w:val="1"/>
                <w:w w:val="100"/>
                <w:sz w:val="21"/>
              </w:rPr>
              <w:t>（</w:t>
            </w:r>
            <w:r>
              <w:rPr>
                <w:rFonts w:ascii="Times New Roman" w:hAnsi="Times New Roman" w:eastAsia="Times New Roman"/>
                <w:spacing w:val="-2"/>
                <w:w w:val="100"/>
                <w:sz w:val="21"/>
              </w:rPr>
              <w:t>C</w:t>
            </w:r>
            <w:r>
              <w:rPr>
                <w:rFonts w:ascii="Times New Roman" w:hAnsi="Times New Roman" w:eastAsia="Times New Roman"/>
                <w:spacing w:val="1"/>
                <w:w w:val="100"/>
                <w:sz w:val="21"/>
              </w:rPr>
              <w:t>T</w:t>
            </w:r>
            <w:r>
              <w:rPr>
                <w:spacing w:val="-104"/>
                <w:w w:val="100"/>
                <w:sz w:val="21"/>
              </w:rPr>
              <w:t>）</w:t>
            </w:r>
            <w:r>
              <w:rPr>
                <w:w w:val="100"/>
                <w:sz w:val="21"/>
              </w:rPr>
              <w:t>、核磁共振</w:t>
            </w:r>
            <w:r>
              <w:rPr>
                <w:spacing w:val="1"/>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1"/>
                <w:w w:val="100"/>
                <w:sz w:val="21"/>
              </w:rPr>
              <w:t>I</w:t>
            </w:r>
            <w:r>
              <w:rPr>
                <w:spacing w:val="1"/>
                <w:w w:val="100"/>
                <w:sz w:val="21"/>
              </w:rPr>
              <w:t>）</w:t>
            </w:r>
            <w:r>
              <w:rPr>
                <w:w w:val="100"/>
                <w:sz w:val="21"/>
              </w:rPr>
              <w:t>等影像学检查证实存在对应病灶，确诊为脑出血、脑</w:t>
            </w:r>
            <w:r>
              <w:rPr>
                <w:spacing w:val="-6"/>
                <w:sz w:val="21"/>
              </w:rPr>
              <w:t>栓塞或脑梗塞，在确诊 </w:t>
            </w:r>
            <w:r>
              <w:rPr>
                <w:rFonts w:ascii="Times New Roman" w:hAnsi="Times New Roman" w:eastAsia="Times New Roman"/>
                <w:sz w:val="21"/>
              </w:rPr>
              <w:t>180 </w:t>
            </w:r>
            <w:r>
              <w:rPr>
                <w:spacing w:val="-3"/>
                <w:sz w:val="21"/>
              </w:rPr>
              <w:t>日后未遗留神经系统功能障碍或后遗的神经系统功能障碍程度未达到重大疾病“脑中风后遗症”的给付标准。</w:t>
            </w:r>
          </w:p>
          <w:p>
            <w:pPr>
              <w:pStyle w:val="TableParagraph"/>
              <w:spacing w:before="29"/>
              <w:ind w:left="155"/>
              <w:jc w:val="both"/>
              <w:rPr>
                <w:rFonts w:ascii="黑体" w:eastAsia="黑体" w:hint="eastAsia"/>
                <w:sz w:val="21"/>
              </w:rPr>
            </w:pPr>
            <w:r>
              <w:rPr>
                <w:rFonts w:ascii="黑体" w:eastAsia="黑体" w:hint="eastAsia"/>
                <w:sz w:val="21"/>
              </w:rPr>
              <w:t>短暂性脑缺血发作(</w:t>
            </w:r>
            <w:r>
              <w:rPr>
                <w:rFonts w:ascii="Times New Roman" w:eastAsia="Times New Roman"/>
                <w:sz w:val="21"/>
              </w:rPr>
              <w:t>TIA</w:t>
            </w:r>
            <w:r>
              <w:rPr>
                <w:rFonts w:ascii="黑体" w:eastAsia="黑体" w:hint="eastAsia"/>
                <w:sz w:val="21"/>
              </w:rPr>
              <w:t>)和腔隙性脑梗塞不在保障范围内。</w:t>
            </w:r>
          </w:p>
        </w:tc>
      </w:tr>
      <w:tr>
        <w:trPr>
          <w:trHeight w:val="1328" w:hRule="atLeast"/>
        </w:trPr>
        <w:tc>
          <w:tcPr>
            <w:tcW w:w="771" w:type="dxa"/>
          </w:tcPr>
          <w:p>
            <w:pPr>
              <w:pStyle w:val="TableParagraph"/>
              <w:spacing w:before="75"/>
              <w:ind w:left="200"/>
              <w:rPr>
                <w:rFonts w:ascii="Times New Roman"/>
                <w:b/>
                <w:sz w:val="21"/>
              </w:rPr>
            </w:pPr>
            <w:r>
              <w:rPr>
                <w:rFonts w:ascii="Times New Roman"/>
                <w:b/>
                <w:sz w:val="21"/>
              </w:rPr>
              <w:t>4.</w:t>
            </w:r>
          </w:p>
        </w:tc>
        <w:tc>
          <w:tcPr>
            <w:tcW w:w="1148" w:type="dxa"/>
          </w:tcPr>
          <w:p>
            <w:pPr>
              <w:pStyle w:val="TableParagraph"/>
              <w:spacing w:line="261" w:lineRule="auto" w:before="26"/>
              <w:ind w:left="149" w:right="152"/>
              <w:rPr>
                <w:b/>
                <w:sz w:val="21"/>
              </w:rPr>
            </w:pPr>
            <w:r>
              <w:rPr>
                <w:b/>
                <w:sz w:val="21"/>
              </w:rPr>
              <w:t>冠状动脉介入手 术：</w:t>
            </w:r>
          </w:p>
        </w:tc>
        <w:tc>
          <w:tcPr>
            <w:tcW w:w="7825" w:type="dxa"/>
          </w:tcPr>
          <w:p>
            <w:pPr>
              <w:pStyle w:val="TableParagraph"/>
              <w:spacing w:line="273" w:lineRule="auto" w:before="19"/>
              <w:ind w:left="155" w:right="197"/>
              <w:rPr>
                <w:sz w:val="21"/>
              </w:rPr>
            </w:pPr>
            <w:r>
              <w:rPr>
                <w:spacing w:val="-9"/>
                <w:sz w:val="21"/>
              </w:rPr>
              <w:t>为了治疗明显的冠状动脉狭窄性疾病，首次实际实施了冠状动脉球囊扩张成形术、</w:t>
            </w:r>
            <w:r>
              <w:rPr>
                <w:spacing w:val="-5"/>
                <w:sz w:val="21"/>
              </w:rPr>
              <w:t>冠状动脉支架植入术或激光冠状动脉成形术。</w:t>
            </w:r>
          </w:p>
          <w:p>
            <w:pPr>
              <w:pStyle w:val="TableParagraph"/>
              <w:spacing w:line="261" w:lineRule="auto" w:before="15"/>
              <w:ind w:left="155" w:right="310"/>
              <w:rPr>
                <w:rFonts w:ascii="黑体" w:eastAsia="黑体" w:hint="eastAsia"/>
                <w:sz w:val="21"/>
              </w:rPr>
            </w:pPr>
            <w:r>
              <w:rPr>
                <w:rFonts w:ascii="黑体" w:eastAsia="黑体" w:hint="eastAsia"/>
                <w:sz w:val="21"/>
              </w:rPr>
              <w:t>若被保险人在出现不典型的急性心肌梗塞后接受冠状动脉介入手术治疗，该冠状动脉介入手术与不典型的急性心肌梗塞视为同一特定疾病。</w:t>
            </w:r>
          </w:p>
        </w:tc>
      </w:tr>
      <w:tr>
        <w:trPr>
          <w:trHeight w:val="932" w:hRule="atLeast"/>
        </w:trPr>
        <w:tc>
          <w:tcPr>
            <w:tcW w:w="771" w:type="dxa"/>
          </w:tcPr>
          <w:p>
            <w:pPr>
              <w:pStyle w:val="TableParagraph"/>
              <w:spacing w:before="83"/>
              <w:ind w:left="200"/>
              <w:rPr>
                <w:rFonts w:ascii="Times New Roman"/>
                <w:b/>
                <w:sz w:val="21"/>
              </w:rPr>
            </w:pPr>
            <w:r>
              <w:rPr>
                <w:rFonts w:ascii="Times New Roman"/>
                <w:b/>
                <w:sz w:val="21"/>
              </w:rPr>
              <w:t>5.</w:t>
            </w:r>
          </w:p>
        </w:tc>
        <w:tc>
          <w:tcPr>
            <w:tcW w:w="1148" w:type="dxa"/>
          </w:tcPr>
          <w:p>
            <w:pPr>
              <w:pStyle w:val="TableParagraph"/>
              <w:spacing w:line="261" w:lineRule="auto" w:before="34"/>
              <w:ind w:left="149" w:right="152"/>
              <w:rPr>
                <w:b/>
                <w:sz w:val="21"/>
              </w:rPr>
            </w:pPr>
            <w:r>
              <w:rPr>
                <w:b/>
                <w:sz w:val="21"/>
              </w:rPr>
              <w:t>肝功能衰竭：</w:t>
            </w:r>
          </w:p>
        </w:tc>
        <w:tc>
          <w:tcPr>
            <w:tcW w:w="7825" w:type="dxa"/>
          </w:tcPr>
          <w:p>
            <w:pPr>
              <w:pStyle w:val="TableParagraph"/>
              <w:spacing w:before="27"/>
              <w:ind w:left="155"/>
              <w:rPr>
                <w:sz w:val="21"/>
              </w:rPr>
            </w:pPr>
            <w:r>
              <w:rPr>
                <w:sz w:val="21"/>
              </w:rPr>
              <w:t>指因慢性肝脏疾病导致肝功能衰竭失代偿期，须满足下列任意三个条件：</w:t>
            </w:r>
          </w:p>
          <w:p>
            <w:pPr>
              <w:pStyle w:val="TableParagraph"/>
              <w:spacing w:before="37"/>
              <w:ind w:left="155"/>
              <w:rPr>
                <w:sz w:val="21"/>
              </w:rPr>
            </w:pPr>
            <w:r>
              <w:rPr>
                <w:sz w:val="21"/>
              </w:rPr>
              <w:t>（1）持续性黄疸；</w:t>
            </w:r>
          </w:p>
          <w:p>
            <w:pPr>
              <w:pStyle w:val="TableParagraph"/>
              <w:spacing w:line="262" w:lineRule="exact" w:before="37"/>
              <w:ind w:left="155"/>
              <w:rPr>
                <w:sz w:val="21"/>
              </w:rPr>
            </w:pPr>
            <w:r>
              <w:rPr>
                <w:sz w:val="21"/>
              </w:rPr>
              <w:t>（2）腹水；</w:t>
            </w:r>
          </w:p>
        </w:tc>
      </w:tr>
    </w:tbl>
    <w:p>
      <w:pPr>
        <w:spacing w:after="0" w:line="262" w:lineRule="exact"/>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8"/>
        <w:gridCol w:w="7822"/>
      </w:tblGrid>
      <w:tr>
        <w:trPr>
          <w:trHeight w:val="622" w:hRule="atLeast"/>
        </w:trPr>
        <w:tc>
          <w:tcPr>
            <w:tcW w:w="692" w:type="dxa"/>
          </w:tcPr>
          <w:p>
            <w:pPr>
              <w:pStyle w:val="TableParagraph"/>
              <w:ind w:left="0"/>
              <w:rPr>
                <w:rFonts w:ascii="Times New Roman"/>
                <w:sz w:val="20"/>
              </w:rPr>
            </w:pPr>
          </w:p>
        </w:tc>
        <w:tc>
          <w:tcPr>
            <w:tcW w:w="1228" w:type="dxa"/>
          </w:tcPr>
          <w:p>
            <w:pPr>
              <w:pStyle w:val="TableParagraph"/>
              <w:ind w:left="0"/>
              <w:rPr>
                <w:rFonts w:ascii="Times New Roman"/>
                <w:sz w:val="20"/>
              </w:rPr>
            </w:pPr>
          </w:p>
        </w:tc>
        <w:tc>
          <w:tcPr>
            <w:tcW w:w="7822" w:type="dxa"/>
          </w:tcPr>
          <w:p>
            <w:pPr>
              <w:pStyle w:val="TableParagraph"/>
              <w:spacing w:line="204" w:lineRule="exact"/>
              <w:rPr>
                <w:sz w:val="21"/>
              </w:rPr>
            </w:pPr>
            <w:r>
              <w:rPr>
                <w:sz w:val="21"/>
              </w:rPr>
              <w:t>（3）肝性脑病；</w:t>
            </w:r>
          </w:p>
          <w:p>
            <w:pPr>
              <w:pStyle w:val="TableParagraph"/>
              <w:spacing w:before="44"/>
              <w:rPr>
                <w:sz w:val="21"/>
              </w:rPr>
            </w:pPr>
            <w:r>
              <w:rPr>
                <w:sz w:val="21"/>
              </w:rPr>
              <w:t>（4）充血性脾肿大伴脾功能亢进或食管胃底静脉曲张。</w:t>
            </w:r>
          </w:p>
        </w:tc>
      </w:tr>
      <w:tr>
        <w:trPr>
          <w:trHeight w:val="1257" w:hRule="atLeast"/>
        </w:trPr>
        <w:tc>
          <w:tcPr>
            <w:tcW w:w="692" w:type="dxa"/>
          </w:tcPr>
          <w:p>
            <w:pPr>
              <w:pStyle w:val="TableParagraph"/>
              <w:spacing w:before="87"/>
              <w:ind w:left="200"/>
              <w:rPr>
                <w:rFonts w:ascii="Times New Roman"/>
                <w:b/>
                <w:sz w:val="21"/>
              </w:rPr>
            </w:pPr>
            <w:r>
              <w:rPr>
                <w:rFonts w:ascii="Times New Roman"/>
                <w:b/>
                <w:sz w:val="21"/>
              </w:rPr>
              <w:t>6.</w:t>
            </w:r>
          </w:p>
        </w:tc>
        <w:tc>
          <w:tcPr>
            <w:tcW w:w="1228" w:type="dxa"/>
          </w:tcPr>
          <w:p>
            <w:pPr>
              <w:pStyle w:val="TableParagraph"/>
              <w:spacing w:line="261" w:lineRule="auto" w:before="38"/>
              <w:ind w:left="228" w:right="153"/>
              <w:rPr>
                <w:b/>
                <w:sz w:val="21"/>
              </w:rPr>
            </w:pPr>
            <w:r>
              <w:rPr>
                <w:b/>
                <w:sz w:val="21"/>
              </w:rPr>
              <w:t>肺功能衰竭：</w:t>
            </w:r>
          </w:p>
        </w:tc>
        <w:tc>
          <w:tcPr>
            <w:tcW w:w="7822" w:type="dxa"/>
          </w:tcPr>
          <w:p>
            <w:pPr>
              <w:pStyle w:val="TableParagraph"/>
              <w:spacing w:before="21"/>
              <w:rPr>
                <w:sz w:val="21"/>
              </w:rPr>
            </w:pPr>
            <w:r>
              <w:rPr>
                <w:sz w:val="21"/>
              </w:rPr>
              <w:t>指因慢性呼吸系统疾病导致呼吸功能衰竭，且诊断必须满足以下所有条件：</w:t>
            </w:r>
          </w:p>
          <w:p>
            <w:pPr>
              <w:pStyle w:val="TableParagraph"/>
              <w:spacing w:before="5"/>
              <w:rPr>
                <w:sz w:val="21"/>
              </w:rPr>
            </w:pPr>
            <w:r>
              <w:rPr>
                <w:sz w:val="21"/>
              </w:rPr>
              <w:t>（1）第一秒末用力呼气量（FEV1）小于 1 升；</w:t>
            </w:r>
          </w:p>
          <w:p>
            <w:pPr>
              <w:pStyle w:val="TableParagraph"/>
              <w:spacing w:before="3"/>
              <w:rPr>
                <w:sz w:val="21"/>
              </w:rPr>
            </w:pPr>
            <w:r>
              <w:rPr>
                <w:sz w:val="21"/>
              </w:rPr>
              <w:t>（2）残气容积占肺总量(TLC)的 50%以上；</w:t>
            </w:r>
          </w:p>
          <w:p>
            <w:pPr>
              <w:pStyle w:val="TableParagraph"/>
              <w:spacing w:before="22"/>
              <w:ind w:left="155"/>
              <w:rPr>
                <w:sz w:val="21"/>
              </w:rPr>
            </w:pPr>
            <w:r>
              <w:rPr>
                <w:sz w:val="21"/>
              </w:rPr>
              <w:t>（3）PaO2&lt;60mmHg，PaCO2&gt;50mmHg。</w:t>
            </w:r>
          </w:p>
        </w:tc>
      </w:tr>
      <w:tr>
        <w:trPr>
          <w:trHeight w:val="1957" w:hRule="atLeast"/>
        </w:trPr>
        <w:tc>
          <w:tcPr>
            <w:tcW w:w="692" w:type="dxa"/>
          </w:tcPr>
          <w:p>
            <w:pPr>
              <w:pStyle w:val="TableParagraph"/>
              <w:spacing w:before="82"/>
              <w:ind w:left="200"/>
              <w:rPr>
                <w:rFonts w:ascii="Times New Roman"/>
                <w:b/>
                <w:sz w:val="21"/>
              </w:rPr>
            </w:pPr>
            <w:r>
              <w:rPr>
                <w:rFonts w:ascii="Times New Roman"/>
                <w:b/>
                <w:sz w:val="21"/>
              </w:rPr>
              <w:t>7.</w:t>
            </w:r>
          </w:p>
        </w:tc>
        <w:tc>
          <w:tcPr>
            <w:tcW w:w="1228" w:type="dxa"/>
          </w:tcPr>
          <w:p>
            <w:pPr>
              <w:pStyle w:val="TableParagraph"/>
              <w:spacing w:line="261" w:lineRule="auto" w:before="33"/>
              <w:ind w:left="228" w:right="153"/>
              <w:rPr>
                <w:b/>
                <w:sz w:val="21"/>
              </w:rPr>
            </w:pPr>
            <w:r>
              <w:rPr>
                <w:b/>
                <w:sz w:val="21"/>
              </w:rPr>
              <w:t>视力严重受损：</w:t>
            </w:r>
          </w:p>
        </w:tc>
        <w:tc>
          <w:tcPr>
            <w:tcW w:w="7822" w:type="dxa"/>
          </w:tcPr>
          <w:p>
            <w:pPr>
              <w:pStyle w:val="TableParagraph"/>
              <w:spacing w:before="26"/>
              <w:rPr>
                <w:sz w:val="21"/>
              </w:rPr>
            </w:pPr>
            <w:r>
              <w:rPr>
                <w:sz w:val="21"/>
              </w:rPr>
              <w:t>指因疾病或意外伤害导致双目视力永久不可逆性丧失，须满足下列全部条件：</w:t>
            </w:r>
          </w:p>
          <w:p>
            <w:pPr>
              <w:pStyle w:val="TableParagraph"/>
              <w:spacing w:line="256" w:lineRule="auto" w:before="37"/>
              <w:ind w:left="680" w:right="304" w:hanging="526"/>
              <w:rPr>
                <w:sz w:val="21"/>
              </w:rPr>
            </w:pPr>
            <w:r>
              <w:rPr>
                <w:sz w:val="21"/>
              </w:rPr>
              <w:t>（</w:t>
            </w:r>
            <w:r>
              <w:rPr>
                <w:rFonts w:ascii="Times New Roman" w:eastAsia="Times New Roman"/>
                <w:sz w:val="21"/>
              </w:rPr>
              <w:t>1</w:t>
            </w:r>
            <w:r>
              <w:rPr>
                <w:sz w:val="21"/>
              </w:rPr>
              <w:t>）</w:t>
            </w:r>
            <w:r>
              <w:rPr>
                <w:spacing w:val="-5"/>
                <w:sz w:val="21"/>
              </w:rPr>
              <w:t>双眼中较好眼矫正视力低于 </w:t>
            </w:r>
            <w:r>
              <w:rPr>
                <w:rFonts w:ascii="Times New Roman" w:eastAsia="Times New Roman"/>
                <w:sz w:val="21"/>
              </w:rPr>
              <w:t>0.1</w:t>
            </w:r>
            <w:r>
              <w:rPr>
                <w:sz w:val="21"/>
              </w:rPr>
              <w:t>（</w:t>
            </w:r>
            <w:r>
              <w:rPr>
                <w:spacing w:val="-3"/>
                <w:sz w:val="21"/>
              </w:rPr>
              <w:t>采用国际标准视力表，若使用其他视力表</w:t>
            </w:r>
            <w:r>
              <w:rPr>
                <w:spacing w:val="-3"/>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61" w:lineRule="auto" w:before="28"/>
              <w:ind w:right="308"/>
              <w:rPr>
                <w:rFonts w:ascii="黑体" w:eastAsia="黑体" w:hint="eastAsia"/>
                <w:sz w:val="21"/>
              </w:rPr>
            </w:pPr>
            <w:r>
              <w:rPr>
                <w:rFonts w:ascii="黑体" w:eastAsia="黑体" w:hint="eastAsia"/>
                <w:sz w:val="21"/>
              </w:rPr>
              <w:t>被保险人申请理赔时年龄必须在三周岁以上，并且需提供理赔当时的视力丧失诊断及检查证据。</w:t>
            </w:r>
          </w:p>
        </w:tc>
      </w:tr>
      <w:tr>
        <w:trPr>
          <w:trHeight w:val="1652" w:hRule="atLeast"/>
        </w:trPr>
        <w:tc>
          <w:tcPr>
            <w:tcW w:w="692" w:type="dxa"/>
          </w:tcPr>
          <w:p>
            <w:pPr>
              <w:pStyle w:val="TableParagraph"/>
              <w:spacing w:before="86"/>
              <w:ind w:left="200"/>
              <w:rPr>
                <w:rFonts w:ascii="Times New Roman"/>
                <w:b/>
                <w:sz w:val="21"/>
              </w:rPr>
            </w:pPr>
            <w:r>
              <w:rPr>
                <w:rFonts w:ascii="Times New Roman"/>
                <w:b/>
                <w:sz w:val="21"/>
              </w:rPr>
              <w:t>8.</w:t>
            </w:r>
          </w:p>
        </w:tc>
        <w:tc>
          <w:tcPr>
            <w:tcW w:w="1228" w:type="dxa"/>
          </w:tcPr>
          <w:p>
            <w:pPr>
              <w:pStyle w:val="TableParagraph"/>
              <w:spacing w:line="261" w:lineRule="auto" w:before="37"/>
              <w:ind w:left="228" w:right="153"/>
              <w:rPr>
                <w:b/>
                <w:sz w:val="21"/>
              </w:rPr>
            </w:pPr>
            <w:r>
              <w:rPr>
                <w:b/>
                <w:sz w:val="21"/>
              </w:rPr>
              <w:t>听力严重受损：</w:t>
            </w:r>
          </w:p>
        </w:tc>
        <w:tc>
          <w:tcPr>
            <w:tcW w:w="7822" w:type="dxa"/>
          </w:tcPr>
          <w:p>
            <w:pPr>
              <w:pStyle w:val="TableParagraph"/>
              <w:spacing w:before="30"/>
              <w:rPr>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TableParagraph"/>
              <w:spacing w:line="256" w:lineRule="auto" w:before="21"/>
              <w:ind w:right="304" w:hanging="1"/>
              <w:rPr>
                <w:sz w:val="21"/>
              </w:rPr>
            </w:pPr>
            <w:r>
              <w:rPr>
                <w:rFonts w:ascii="Times New Roman" w:eastAsia="Times New Roman"/>
                <w:sz w:val="21"/>
              </w:rPr>
              <w:t>2000 </w:t>
            </w:r>
            <w:r>
              <w:rPr>
                <w:sz w:val="21"/>
              </w:rPr>
              <w:t>赫兹语音频率下，平均听阈大于 </w:t>
            </w:r>
            <w:r>
              <w:rPr>
                <w:rFonts w:ascii="Times New Roman" w:eastAsia="Times New Roman"/>
                <w:sz w:val="21"/>
              </w:rPr>
              <w:t>70 </w:t>
            </w:r>
            <w:r>
              <w:rPr>
                <w:sz w:val="21"/>
              </w:rPr>
              <w:t>分贝，且经纯音听力测试、声导抗检测或听觉诱发电位检测等证实。</w:t>
            </w:r>
          </w:p>
          <w:p>
            <w:pPr>
              <w:pStyle w:val="TableParagraph"/>
              <w:spacing w:line="261" w:lineRule="auto" w:before="29"/>
              <w:ind w:right="308"/>
              <w:rPr>
                <w:rFonts w:ascii="黑体" w:eastAsia="黑体" w:hint="eastAsia"/>
                <w:sz w:val="21"/>
              </w:rPr>
            </w:pPr>
            <w:r>
              <w:rPr>
                <w:rFonts w:ascii="黑体" w:eastAsia="黑体" w:hint="eastAsia"/>
                <w:sz w:val="21"/>
              </w:rPr>
              <w:t>被保险人申请理赔时年龄必须在三周岁以上，并且需提供理赔当时的听力丧失诊断及检查证据。</w:t>
            </w:r>
          </w:p>
        </w:tc>
      </w:tr>
      <w:tr>
        <w:trPr>
          <w:trHeight w:val="1012" w:hRule="atLeast"/>
        </w:trPr>
        <w:tc>
          <w:tcPr>
            <w:tcW w:w="692" w:type="dxa"/>
          </w:tcPr>
          <w:p>
            <w:pPr>
              <w:pStyle w:val="TableParagraph"/>
              <w:spacing w:before="82"/>
              <w:ind w:left="200"/>
              <w:rPr>
                <w:rFonts w:ascii="Times New Roman"/>
                <w:b/>
                <w:sz w:val="21"/>
              </w:rPr>
            </w:pPr>
            <w:r>
              <w:rPr>
                <w:rFonts w:ascii="Times New Roman"/>
                <w:b/>
                <w:sz w:val="21"/>
              </w:rPr>
              <w:t>9.</w:t>
            </w:r>
          </w:p>
        </w:tc>
        <w:tc>
          <w:tcPr>
            <w:tcW w:w="1228" w:type="dxa"/>
          </w:tcPr>
          <w:p>
            <w:pPr>
              <w:pStyle w:val="TableParagraph"/>
              <w:spacing w:line="261" w:lineRule="auto" w:before="33"/>
              <w:ind w:left="228" w:right="153"/>
              <w:rPr>
                <w:b/>
                <w:sz w:val="21"/>
              </w:rPr>
            </w:pPr>
            <w:r>
              <w:rPr>
                <w:b/>
                <w:sz w:val="21"/>
              </w:rPr>
              <w:t>心脏瓣膜介入手 术：</w:t>
            </w:r>
          </w:p>
        </w:tc>
        <w:tc>
          <w:tcPr>
            <w:tcW w:w="7822" w:type="dxa"/>
          </w:tcPr>
          <w:p>
            <w:pPr>
              <w:pStyle w:val="TableParagraph"/>
              <w:spacing w:line="261" w:lineRule="auto" w:before="33"/>
              <w:ind w:right="308"/>
              <w:rPr>
                <w:sz w:val="21"/>
              </w:rPr>
            </w:pPr>
            <w:r>
              <w:rPr>
                <w:sz w:val="21"/>
              </w:rPr>
              <w:t>为了治疗心脏瓣膜疾病，实际实施了非开胸的经胸壁打孔内镜手术或经皮经导管介入手术进行的心脏瓣膜置换或修复手术。</w:t>
            </w:r>
          </w:p>
        </w:tc>
      </w:tr>
      <w:tr>
        <w:trPr>
          <w:trHeight w:val="712" w:hRule="atLeast"/>
        </w:trPr>
        <w:tc>
          <w:tcPr>
            <w:tcW w:w="692" w:type="dxa"/>
          </w:tcPr>
          <w:p>
            <w:pPr>
              <w:pStyle w:val="TableParagraph"/>
              <w:spacing w:before="82"/>
              <w:ind w:left="200"/>
              <w:rPr>
                <w:rFonts w:ascii="Times New Roman"/>
                <w:b/>
                <w:sz w:val="21"/>
              </w:rPr>
            </w:pPr>
            <w:r>
              <w:rPr>
                <w:rFonts w:ascii="Times New Roman"/>
                <w:b/>
                <w:sz w:val="21"/>
              </w:rPr>
              <w:t>10.</w:t>
            </w:r>
          </w:p>
        </w:tc>
        <w:tc>
          <w:tcPr>
            <w:tcW w:w="1228" w:type="dxa"/>
          </w:tcPr>
          <w:p>
            <w:pPr>
              <w:pStyle w:val="TableParagraph"/>
              <w:spacing w:line="261" w:lineRule="auto" w:before="33"/>
              <w:ind w:left="228" w:right="153"/>
              <w:rPr>
                <w:b/>
                <w:sz w:val="21"/>
              </w:rPr>
            </w:pPr>
            <w:r>
              <w:rPr>
                <w:b/>
                <w:sz w:val="21"/>
              </w:rPr>
              <w:t>主动脉内手术：</w:t>
            </w:r>
          </w:p>
        </w:tc>
        <w:tc>
          <w:tcPr>
            <w:tcW w:w="7822" w:type="dxa"/>
          </w:tcPr>
          <w:p>
            <w:pPr>
              <w:pStyle w:val="TableParagraph"/>
              <w:spacing w:before="33"/>
              <w:rPr>
                <w:sz w:val="21"/>
              </w:rPr>
            </w:pPr>
            <w:r>
              <w:rPr>
                <w:sz w:val="21"/>
              </w:rPr>
              <w:t>为了治疗主动脉疾病实际实施了经皮经导管进行的动脉内手术。</w:t>
            </w:r>
          </w:p>
          <w:p>
            <w:pPr>
              <w:pStyle w:val="TableParagraph"/>
              <w:spacing w:before="25"/>
              <w:rPr>
                <w:sz w:val="21"/>
              </w:rPr>
            </w:pPr>
            <w:r>
              <w:rPr>
                <w:sz w:val="21"/>
              </w:rPr>
              <w:t>主动脉指胸主动脉和腹主动脉，不包括胸主动脉和腹主动脉的分支血管。</w:t>
            </w:r>
          </w:p>
        </w:tc>
      </w:tr>
      <w:tr>
        <w:trPr>
          <w:trHeight w:val="1042" w:hRule="atLeast"/>
        </w:trPr>
        <w:tc>
          <w:tcPr>
            <w:tcW w:w="692" w:type="dxa"/>
          </w:tcPr>
          <w:p>
            <w:pPr>
              <w:pStyle w:val="TableParagraph"/>
              <w:spacing w:before="82"/>
              <w:ind w:left="200"/>
              <w:rPr>
                <w:rFonts w:ascii="Times New Roman"/>
                <w:b/>
                <w:sz w:val="21"/>
              </w:rPr>
            </w:pPr>
            <w:r>
              <w:rPr>
                <w:rFonts w:ascii="Times New Roman"/>
                <w:b/>
                <w:sz w:val="21"/>
              </w:rPr>
              <w:t>11.</w:t>
            </w:r>
          </w:p>
        </w:tc>
        <w:tc>
          <w:tcPr>
            <w:tcW w:w="1228" w:type="dxa"/>
          </w:tcPr>
          <w:p>
            <w:pPr>
              <w:pStyle w:val="TableParagraph"/>
              <w:spacing w:line="261" w:lineRule="auto" w:before="33"/>
              <w:ind w:left="228" w:right="153"/>
              <w:rPr>
                <w:b/>
                <w:sz w:val="21"/>
              </w:rPr>
            </w:pPr>
            <w:r>
              <w:rPr>
                <w:b/>
                <w:sz w:val="21"/>
              </w:rPr>
              <w:t>慢性肾功能衰竭：</w:t>
            </w:r>
          </w:p>
        </w:tc>
        <w:tc>
          <w:tcPr>
            <w:tcW w:w="7822" w:type="dxa"/>
          </w:tcPr>
          <w:p>
            <w:pPr>
              <w:pStyle w:val="TableParagraph"/>
              <w:spacing w:before="26"/>
              <w:rPr>
                <w:sz w:val="21"/>
              </w:rPr>
            </w:pPr>
            <w:r>
              <w:rPr>
                <w:sz w:val="21"/>
              </w:rPr>
              <w:t>指双肾慢性肾功能衰竭，须满足下列全部条件：</w:t>
            </w:r>
          </w:p>
          <w:p>
            <w:pPr>
              <w:pStyle w:val="TableParagraph"/>
              <w:spacing w:before="37"/>
              <w:rPr>
                <w:sz w:val="21"/>
              </w:rPr>
            </w:pPr>
            <w:r>
              <w:rPr>
                <w:sz w:val="21"/>
              </w:rPr>
              <w:t>（</w:t>
            </w:r>
            <w:r>
              <w:rPr>
                <w:rFonts w:ascii="Times New Roman" w:eastAsia="Times New Roman"/>
                <w:sz w:val="21"/>
              </w:rPr>
              <w:t>1</w:t>
            </w:r>
            <w:r>
              <w:rPr>
                <w:sz w:val="21"/>
              </w:rPr>
              <w:t>）肌酐清除率</w:t>
            </w:r>
            <w:r>
              <w:rPr>
                <w:rFonts w:ascii="Times New Roman" w:eastAsia="Times New Roman"/>
                <w:sz w:val="21"/>
              </w:rPr>
              <w:t>(Ccr)</w:t>
            </w:r>
            <w:r>
              <w:rPr>
                <w:sz w:val="21"/>
              </w:rPr>
              <w:t>低于</w:t>
            </w:r>
            <w:r>
              <w:rPr>
                <w:rFonts w:ascii="Times New Roman" w:eastAsia="Times New Roman"/>
                <w:sz w:val="21"/>
              </w:rPr>
              <w:t>30ml/min</w:t>
            </w:r>
            <w:r>
              <w:rPr>
                <w:sz w:val="21"/>
              </w:rPr>
              <w:t>，持续超过</w:t>
            </w:r>
            <w:r>
              <w:rPr>
                <w:rFonts w:ascii="Times New Roman" w:eastAsia="Times New Roman"/>
                <w:sz w:val="21"/>
              </w:rPr>
              <w:t>90</w:t>
            </w:r>
            <w:r>
              <w:rPr>
                <w:sz w:val="21"/>
              </w:rPr>
              <w:t>日；</w:t>
            </w:r>
          </w:p>
          <w:p>
            <w:pPr>
              <w:pStyle w:val="TableParagraph"/>
              <w:spacing w:before="28"/>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高于 </w:t>
            </w:r>
            <w:r>
              <w:rPr>
                <w:rFonts w:ascii="Times New Roman" w:eastAsia="Times New Roman"/>
                <w:sz w:val="21"/>
              </w:rPr>
              <w:t>400umol/l</w:t>
            </w:r>
            <w:r>
              <w:rPr>
                <w:sz w:val="21"/>
              </w:rPr>
              <w:t>，持续超过 </w:t>
            </w:r>
            <w:r>
              <w:rPr>
                <w:rFonts w:ascii="Times New Roman" w:eastAsia="Times New Roman"/>
                <w:sz w:val="21"/>
              </w:rPr>
              <w:t>90 </w:t>
            </w:r>
            <w:r>
              <w:rPr>
                <w:sz w:val="21"/>
              </w:rPr>
              <w:t>日。</w:t>
            </w:r>
          </w:p>
        </w:tc>
      </w:tr>
      <w:tr>
        <w:trPr>
          <w:trHeight w:val="1665" w:hRule="atLeast"/>
        </w:trPr>
        <w:tc>
          <w:tcPr>
            <w:tcW w:w="692" w:type="dxa"/>
          </w:tcPr>
          <w:p>
            <w:pPr>
              <w:pStyle w:val="TableParagraph"/>
              <w:spacing w:before="79"/>
              <w:ind w:left="200"/>
              <w:rPr>
                <w:rFonts w:ascii="Times New Roman"/>
                <w:b/>
                <w:sz w:val="21"/>
              </w:rPr>
            </w:pPr>
            <w:r>
              <w:rPr>
                <w:rFonts w:ascii="Times New Roman"/>
                <w:b/>
                <w:sz w:val="21"/>
              </w:rPr>
              <w:t>12.</w:t>
            </w:r>
          </w:p>
        </w:tc>
        <w:tc>
          <w:tcPr>
            <w:tcW w:w="1228" w:type="dxa"/>
          </w:tcPr>
          <w:p>
            <w:pPr>
              <w:pStyle w:val="TableParagraph"/>
              <w:spacing w:line="261" w:lineRule="auto" w:before="30"/>
              <w:ind w:left="228" w:right="153"/>
              <w:rPr>
                <w:b/>
                <w:sz w:val="21"/>
              </w:rPr>
            </w:pPr>
            <w:r>
              <w:rPr>
                <w:b/>
                <w:sz w:val="21"/>
              </w:rPr>
              <w:t>脑垂体 瘤、脑囊肿、脑动脉瘤及脑血管瘤：</w:t>
            </w:r>
          </w:p>
        </w:tc>
        <w:tc>
          <w:tcPr>
            <w:tcW w:w="7822" w:type="dxa"/>
          </w:tcPr>
          <w:p>
            <w:pPr>
              <w:pStyle w:val="TableParagraph"/>
              <w:spacing w:line="256" w:lineRule="auto" w:before="23"/>
              <w:ind w:right="303"/>
              <w:rPr>
                <w:sz w:val="21"/>
              </w:rPr>
            </w:pPr>
            <w:r>
              <w:rPr>
                <w:w w:val="100"/>
                <w:sz w:val="21"/>
              </w:rPr>
              <w:t>指经头颅断层扫描（</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或其他影像学检查被确诊为下列病</w:t>
            </w:r>
            <w:r>
              <w:rPr>
                <w:spacing w:val="-3"/>
                <w:sz w:val="21"/>
              </w:rPr>
              <w:t>变，并实际接受了手术或放射治疗。</w:t>
            </w:r>
          </w:p>
          <w:p>
            <w:pPr>
              <w:pStyle w:val="TableParagraph"/>
              <w:spacing w:before="22"/>
              <w:rPr>
                <w:sz w:val="21"/>
              </w:rPr>
            </w:pPr>
            <w:r>
              <w:rPr>
                <w:sz w:val="21"/>
              </w:rPr>
              <w:t>（</w:t>
            </w:r>
            <w:r>
              <w:rPr>
                <w:rFonts w:ascii="Times New Roman" w:eastAsia="Times New Roman"/>
                <w:sz w:val="21"/>
              </w:rPr>
              <w:t>1</w:t>
            </w:r>
            <w:r>
              <w:rPr>
                <w:sz w:val="21"/>
              </w:rPr>
              <w:t>）脑垂体瘤；</w:t>
            </w:r>
          </w:p>
          <w:p>
            <w:pPr>
              <w:pStyle w:val="TableParagraph"/>
              <w:spacing w:before="20"/>
              <w:rPr>
                <w:sz w:val="21"/>
              </w:rPr>
            </w:pPr>
            <w:r>
              <w:rPr>
                <w:sz w:val="21"/>
              </w:rPr>
              <w:t>（</w:t>
            </w:r>
            <w:r>
              <w:rPr>
                <w:rFonts w:ascii="Times New Roman" w:eastAsia="Times New Roman"/>
                <w:sz w:val="21"/>
              </w:rPr>
              <w:t>2</w:t>
            </w:r>
            <w:r>
              <w:rPr>
                <w:sz w:val="21"/>
              </w:rPr>
              <w:t>）脑囊肿；</w:t>
            </w:r>
          </w:p>
          <w:p>
            <w:pPr>
              <w:pStyle w:val="TableParagraph"/>
              <w:spacing w:before="27"/>
              <w:rPr>
                <w:sz w:val="21"/>
              </w:rPr>
            </w:pPr>
            <w:r>
              <w:rPr>
                <w:sz w:val="21"/>
              </w:rPr>
              <w:t>（</w:t>
            </w:r>
            <w:r>
              <w:rPr>
                <w:rFonts w:ascii="Times New Roman" w:eastAsia="Times New Roman"/>
                <w:sz w:val="21"/>
              </w:rPr>
              <w:t>3</w:t>
            </w:r>
            <w:r>
              <w:rPr>
                <w:sz w:val="21"/>
              </w:rPr>
              <w:t>）脑动脉瘤、脑血管瘤。</w:t>
            </w:r>
          </w:p>
        </w:tc>
      </w:tr>
      <w:tr>
        <w:trPr>
          <w:trHeight w:val="1641" w:hRule="atLeast"/>
        </w:trPr>
        <w:tc>
          <w:tcPr>
            <w:tcW w:w="692" w:type="dxa"/>
          </w:tcPr>
          <w:p>
            <w:pPr>
              <w:pStyle w:val="TableParagraph"/>
              <w:spacing w:before="75"/>
              <w:ind w:left="200"/>
              <w:rPr>
                <w:rFonts w:ascii="Times New Roman"/>
                <w:b/>
                <w:sz w:val="21"/>
              </w:rPr>
            </w:pPr>
            <w:r>
              <w:rPr>
                <w:rFonts w:ascii="Times New Roman"/>
                <w:b/>
                <w:sz w:val="21"/>
              </w:rPr>
              <w:t>13.</w:t>
            </w:r>
          </w:p>
        </w:tc>
        <w:tc>
          <w:tcPr>
            <w:tcW w:w="1228" w:type="dxa"/>
          </w:tcPr>
          <w:p>
            <w:pPr>
              <w:pStyle w:val="TableParagraph"/>
              <w:spacing w:line="261" w:lineRule="auto" w:before="25"/>
              <w:ind w:left="228" w:right="153"/>
              <w:rPr>
                <w:b/>
                <w:sz w:val="21"/>
              </w:rPr>
            </w:pPr>
            <w:r>
              <w:rPr>
                <w:b/>
                <w:sz w:val="21"/>
              </w:rPr>
              <w:t>轻度帕金森病：</w:t>
            </w:r>
          </w:p>
        </w:tc>
        <w:tc>
          <w:tcPr>
            <w:tcW w:w="7822" w:type="dxa"/>
          </w:tcPr>
          <w:p>
            <w:pPr>
              <w:pStyle w:val="TableParagraph"/>
              <w:spacing w:line="273" w:lineRule="auto" w:before="18"/>
              <w:ind w:right="301"/>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28"/>
              <w:ind w:left="680" w:right="301" w:hanging="526"/>
              <w:rPr>
                <w:sz w:val="21"/>
              </w:rPr>
            </w:pPr>
            <w:r>
              <w:rPr>
                <w:spacing w:val="-17"/>
                <w:sz w:val="21"/>
              </w:rPr>
              <w:t>（</w:t>
            </w:r>
            <w:r>
              <w:rPr>
                <w:rFonts w:ascii="Times New Roman" w:eastAsia="Times New Roman"/>
                <w:spacing w:val="-17"/>
                <w:sz w:val="21"/>
              </w:rPr>
              <w:t>2</w:t>
            </w:r>
            <w:r>
              <w:rPr>
                <w:spacing w:val="-17"/>
                <w:sz w:val="21"/>
              </w:rPr>
              <w:t>）</w:t>
            </w:r>
            <w:r>
              <w:rPr>
                <w:spacing w:val="-8"/>
                <w:sz w:val="21"/>
              </w:rPr>
              <w:t>自主生活能力完全丧失，无法独立完成六项基本日常生活活动中的二项或以上。</w:t>
            </w:r>
          </w:p>
        </w:tc>
      </w:tr>
      <w:tr>
        <w:trPr>
          <w:trHeight w:val="1312" w:hRule="atLeast"/>
        </w:trPr>
        <w:tc>
          <w:tcPr>
            <w:tcW w:w="692" w:type="dxa"/>
          </w:tcPr>
          <w:p>
            <w:pPr>
              <w:pStyle w:val="TableParagraph"/>
              <w:spacing w:before="82"/>
              <w:ind w:left="200"/>
              <w:rPr>
                <w:rFonts w:ascii="Times New Roman"/>
                <w:b/>
                <w:sz w:val="21"/>
              </w:rPr>
            </w:pPr>
            <w:r>
              <w:rPr>
                <w:rFonts w:ascii="Times New Roman"/>
                <w:b/>
                <w:sz w:val="21"/>
              </w:rPr>
              <w:t>14.</w:t>
            </w:r>
          </w:p>
        </w:tc>
        <w:tc>
          <w:tcPr>
            <w:tcW w:w="1228" w:type="dxa"/>
          </w:tcPr>
          <w:p>
            <w:pPr>
              <w:pStyle w:val="TableParagraph"/>
              <w:spacing w:before="33"/>
              <w:ind w:left="228"/>
              <w:rPr>
                <w:b/>
                <w:sz w:val="21"/>
              </w:rPr>
            </w:pPr>
            <w:r>
              <w:rPr>
                <w:b/>
                <w:sz w:val="21"/>
              </w:rPr>
              <w:t>脑损伤：</w:t>
            </w:r>
          </w:p>
        </w:tc>
        <w:tc>
          <w:tcPr>
            <w:tcW w:w="7822" w:type="dxa"/>
          </w:tcPr>
          <w:p>
            <w:pPr>
              <w:pStyle w:val="TableParagraph"/>
              <w:spacing w:line="252" w:lineRule="auto" w:before="33"/>
              <w:ind w:right="199"/>
              <w:rPr>
                <w:sz w:val="21"/>
              </w:rPr>
            </w:pPr>
            <w:r>
              <w:rPr>
                <w:spacing w:val="-3"/>
                <w:sz w:val="21"/>
              </w:rPr>
              <w:t>指因头部遭受机械性外力，引起脑重要部位损伤，导致神经系统永久性的功能障</w:t>
            </w:r>
            <w:r>
              <w:rPr>
                <w:spacing w:val="-16"/>
                <w:w w:val="100"/>
                <w:sz w:val="21"/>
              </w:rPr>
              <w:t>碍。须由头颅断层扫描</w:t>
            </w:r>
            <w:r>
              <w:rPr>
                <w:spacing w:val="-3"/>
                <w:w w:val="100"/>
                <w:sz w:val="21"/>
              </w:rPr>
              <w:t>（</w:t>
            </w:r>
            <w:r>
              <w:rPr>
                <w:rFonts w:ascii="Times New Roman" w:eastAsia="Times New Roman"/>
                <w:w w:val="100"/>
                <w:sz w:val="21"/>
              </w:rPr>
              <w:t>C</w:t>
            </w:r>
            <w:r>
              <w:rPr>
                <w:rFonts w:ascii="Times New Roman" w:eastAsia="Times New Roman"/>
                <w:spacing w:val="-3"/>
                <w:w w:val="100"/>
                <w:sz w:val="21"/>
              </w:rPr>
              <w:t>T</w:t>
            </w:r>
            <w:r>
              <w:rPr>
                <w:spacing w:val="-106"/>
                <w:w w:val="100"/>
                <w:sz w:val="21"/>
              </w:rPr>
              <w:t>）</w:t>
            </w:r>
            <w:r>
              <w:rPr>
                <w:spacing w:val="-22"/>
                <w:w w:val="100"/>
                <w:sz w:val="21"/>
              </w:rPr>
              <w:t>、核磁共振检查</w:t>
            </w:r>
            <w:r>
              <w:rPr>
                <w:w w:val="100"/>
                <w:sz w:val="21"/>
              </w:rPr>
              <w:t>（</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3"/>
                <w:w w:val="100"/>
                <w:sz w:val="21"/>
              </w:rPr>
              <w:t>I</w:t>
            </w:r>
            <w:r>
              <w:rPr>
                <w:spacing w:val="-68"/>
                <w:w w:val="100"/>
                <w:sz w:val="21"/>
              </w:rPr>
              <w:t>）</w:t>
            </w:r>
            <w:r>
              <w:rPr>
                <w:spacing w:val="-10"/>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w w:val="100"/>
                <w:sz w:val="21"/>
              </w:rPr>
              <w:t>）</w:t>
            </w:r>
            <w:r>
              <w:rPr>
                <w:spacing w:val="-5"/>
                <w:sz w:val="21"/>
              </w:rPr>
              <w:t>等影像学检查证实。神经系统永久性的功能障碍，指脑损伤 </w:t>
            </w:r>
            <w:r>
              <w:rPr>
                <w:rFonts w:ascii="Times New Roman" w:eastAsia="Times New Roman"/>
                <w:sz w:val="21"/>
              </w:rPr>
              <w:t>180 </w:t>
            </w:r>
            <w:r>
              <w:rPr>
                <w:spacing w:val="-3"/>
                <w:sz w:val="21"/>
              </w:rPr>
              <w:t>日后，仍完全丧失自主生活能力，无法独立完成六项基本日常生活活动中的二项或以上。</w:t>
            </w:r>
          </w:p>
        </w:tc>
      </w:tr>
      <w:tr>
        <w:trPr>
          <w:trHeight w:val="915" w:hRule="atLeast"/>
        </w:trPr>
        <w:tc>
          <w:tcPr>
            <w:tcW w:w="692" w:type="dxa"/>
          </w:tcPr>
          <w:p>
            <w:pPr>
              <w:pStyle w:val="TableParagraph"/>
              <w:spacing w:before="82"/>
              <w:ind w:left="200"/>
              <w:rPr>
                <w:rFonts w:ascii="Times New Roman"/>
                <w:b/>
                <w:sz w:val="21"/>
              </w:rPr>
            </w:pPr>
            <w:r>
              <w:rPr>
                <w:rFonts w:ascii="Times New Roman"/>
                <w:b/>
                <w:sz w:val="21"/>
              </w:rPr>
              <w:t>15.</w:t>
            </w:r>
          </w:p>
        </w:tc>
        <w:tc>
          <w:tcPr>
            <w:tcW w:w="1228" w:type="dxa"/>
          </w:tcPr>
          <w:p>
            <w:pPr>
              <w:pStyle w:val="TableParagraph"/>
              <w:spacing w:line="300" w:lineRule="atLeast" w:before="8"/>
              <w:ind w:left="228" w:right="153"/>
              <w:rPr>
                <w:b/>
                <w:sz w:val="21"/>
              </w:rPr>
            </w:pPr>
            <w:r>
              <w:rPr>
                <w:b/>
                <w:sz w:val="21"/>
              </w:rPr>
              <w:t>较小面积Ⅲ度烧 伤：</w:t>
            </w:r>
          </w:p>
        </w:tc>
        <w:tc>
          <w:tcPr>
            <w:tcW w:w="7822" w:type="dxa"/>
          </w:tcPr>
          <w:p>
            <w:pPr>
              <w:pStyle w:val="TableParagraph"/>
              <w:spacing w:line="247" w:lineRule="auto" w:before="33"/>
              <w:ind w:right="333"/>
              <w:rPr>
                <w:sz w:val="21"/>
              </w:rPr>
            </w:pPr>
            <w:r>
              <w:rPr>
                <w:spacing w:val="-9"/>
                <w:sz w:val="21"/>
              </w:rPr>
              <w:t>指烧伤程度为Ⅲ度，且Ⅲ度烧伤的面积达到全身体表面积的 </w:t>
            </w:r>
            <w:r>
              <w:rPr>
                <w:rFonts w:ascii="Times New Roman" w:hAnsi="Times New Roman" w:eastAsia="Times New Roman"/>
                <w:sz w:val="21"/>
              </w:rPr>
              <w:t>10</w:t>
            </w:r>
            <w:r>
              <w:rPr>
                <w:spacing w:val="-13"/>
                <w:sz w:val="21"/>
              </w:rPr>
              <w:t>％或 </w:t>
            </w:r>
            <w:r>
              <w:rPr>
                <w:rFonts w:ascii="Times New Roman" w:hAnsi="Times New Roman" w:eastAsia="Times New Roman"/>
                <w:sz w:val="21"/>
              </w:rPr>
              <w:t>10%</w:t>
            </w:r>
            <w:r>
              <w:rPr>
                <w:spacing w:val="-18"/>
                <w:sz w:val="21"/>
              </w:rPr>
              <w:t>以上，但</w:t>
            </w:r>
            <w:r>
              <w:rPr>
                <w:spacing w:val="-11"/>
                <w:sz w:val="21"/>
              </w:rPr>
              <w:t>少于 </w:t>
            </w:r>
            <w:r>
              <w:rPr>
                <w:rFonts w:ascii="Times New Roman" w:hAnsi="Times New Roman" w:eastAsia="Times New Roman"/>
                <w:sz w:val="21"/>
              </w:rPr>
              <w:t>20%</w:t>
            </w:r>
            <w:r>
              <w:rPr>
                <w:spacing w:val="-3"/>
                <w:sz w:val="21"/>
              </w:rPr>
              <w:t>。体表面积根据《中国新九分法》计算。</w:t>
            </w:r>
          </w:p>
        </w:tc>
      </w:tr>
    </w:tbl>
    <w:p>
      <w:pPr>
        <w:spacing w:after="0" w:line="247" w:lineRule="auto"/>
        <w:rPr>
          <w:sz w:val="21"/>
        </w:rPr>
        <w:sectPr>
          <w:pgSz w:w="11910" w:h="16840"/>
          <w:pgMar w:top="1480" w:bottom="280" w:left="106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7"/>
        <w:gridCol w:w="7719"/>
      </w:tblGrid>
      <w:tr>
        <w:trPr>
          <w:trHeight w:val="2714" w:hRule="atLeast"/>
        </w:trPr>
        <w:tc>
          <w:tcPr>
            <w:tcW w:w="692" w:type="dxa"/>
          </w:tcPr>
          <w:p>
            <w:pPr>
              <w:pStyle w:val="TableParagraph"/>
              <w:spacing w:line="234" w:lineRule="exact"/>
              <w:ind w:left="200"/>
              <w:rPr>
                <w:rFonts w:ascii="Times New Roman"/>
                <w:b/>
                <w:sz w:val="21"/>
              </w:rPr>
            </w:pPr>
            <w:r>
              <w:rPr>
                <w:rFonts w:ascii="Times New Roman"/>
                <w:b/>
                <w:sz w:val="21"/>
              </w:rPr>
              <w:t>16.</w:t>
            </w:r>
          </w:p>
        </w:tc>
        <w:tc>
          <w:tcPr>
            <w:tcW w:w="1227" w:type="dxa"/>
          </w:tcPr>
          <w:p>
            <w:pPr>
              <w:pStyle w:val="TableParagraph"/>
              <w:spacing w:line="218" w:lineRule="exact"/>
              <w:ind w:left="228"/>
              <w:rPr>
                <w:b/>
                <w:sz w:val="21"/>
              </w:rPr>
            </w:pPr>
            <w:r>
              <w:rPr>
                <w:b/>
                <w:sz w:val="21"/>
              </w:rPr>
              <w:t>特定周围</w:t>
            </w:r>
          </w:p>
          <w:p>
            <w:pPr>
              <w:pStyle w:val="TableParagraph"/>
              <w:spacing w:line="261" w:lineRule="auto" w:before="25"/>
              <w:ind w:left="228" w:right="152"/>
              <w:jc w:val="both"/>
              <w:rPr>
                <w:b/>
                <w:sz w:val="21"/>
              </w:rPr>
            </w:pPr>
            <w:r>
              <w:rPr>
                <w:b/>
                <w:sz w:val="21"/>
              </w:rPr>
              <w:t>动脉疾病的血管介入治疗：</w:t>
            </w:r>
          </w:p>
        </w:tc>
        <w:tc>
          <w:tcPr>
            <w:tcW w:w="7719" w:type="dxa"/>
          </w:tcPr>
          <w:p>
            <w:pPr>
              <w:pStyle w:val="TableParagraph"/>
              <w:spacing w:line="234" w:lineRule="exact"/>
              <w:ind w:left="155"/>
              <w:rPr>
                <w:sz w:val="21"/>
              </w:rPr>
            </w:pPr>
            <w:r>
              <w:rPr>
                <w:sz w:val="21"/>
              </w:rPr>
              <w:t>指为治疗一条或者一条以上的下</w:t>
            </w:r>
            <w:r>
              <w:rPr>
                <w:rFonts w:ascii="Times New Roman" w:eastAsia="Times New Roman"/>
                <w:w w:val="110"/>
                <w:sz w:val="21"/>
              </w:rPr>
              <w:t>列</w:t>
            </w:r>
            <w:r>
              <w:rPr>
                <w:sz w:val="21"/>
              </w:rPr>
              <w:t>动脉狭窄而实施的血管介入治疗：</w:t>
            </w:r>
          </w:p>
          <w:p>
            <w:pPr>
              <w:pStyle w:val="TableParagraph"/>
              <w:spacing w:before="9"/>
              <w:ind w:left="155"/>
              <w:rPr>
                <w:sz w:val="21"/>
              </w:rPr>
            </w:pPr>
            <w:r>
              <w:rPr>
                <w:sz w:val="21"/>
              </w:rPr>
              <w:t>（</w:t>
            </w:r>
            <w:r>
              <w:rPr>
                <w:rFonts w:ascii="Times New Roman" w:eastAsia="Times New Roman"/>
                <w:sz w:val="21"/>
              </w:rPr>
              <w:t>1</w:t>
            </w:r>
            <w:r>
              <w:rPr>
                <w:sz w:val="21"/>
              </w:rPr>
              <w:t>）为下肢或者上肢供血的动脉；</w:t>
            </w:r>
          </w:p>
          <w:p>
            <w:pPr>
              <w:pStyle w:val="TableParagraph"/>
              <w:spacing w:before="9"/>
              <w:ind w:left="155"/>
              <w:rPr>
                <w:sz w:val="21"/>
              </w:rPr>
            </w:pPr>
            <w:r>
              <w:rPr>
                <w:sz w:val="21"/>
              </w:rPr>
              <w:t>（</w:t>
            </w:r>
            <w:r>
              <w:rPr>
                <w:rFonts w:ascii="Times New Roman" w:eastAsia="Times New Roman"/>
                <w:sz w:val="21"/>
              </w:rPr>
              <w:t>2</w:t>
            </w:r>
            <w:r>
              <w:rPr>
                <w:sz w:val="21"/>
              </w:rPr>
              <w:t>）肾动脉；</w:t>
            </w:r>
          </w:p>
          <w:p>
            <w:pPr>
              <w:pStyle w:val="TableParagraph"/>
              <w:spacing w:before="9"/>
              <w:ind w:left="155"/>
              <w:rPr>
                <w:sz w:val="21"/>
              </w:rPr>
            </w:pPr>
            <w:r>
              <w:rPr>
                <w:sz w:val="21"/>
              </w:rPr>
              <w:t>（</w:t>
            </w:r>
            <w:r>
              <w:rPr>
                <w:rFonts w:ascii="Times New Roman" w:eastAsia="Times New Roman"/>
                <w:sz w:val="21"/>
              </w:rPr>
              <w:t>3</w:t>
            </w:r>
            <w:r>
              <w:rPr>
                <w:sz w:val="21"/>
              </w:rPr>
              <w:t>）肠系膜动脉。</w:t>
            </w:r>
          </w:p>
          <w:p>
            <w:pPr>
              <w:pStyle w:val="TableParagraph"/>
              <w:spacing w:before="9"/>
              <w:ind w:left="155"/>
              <w:rPr>
                <w:sz w:val="21"/>
              </w:rPr>
            </w:pPr>
            <w:r>
              <w:rPr>
                <w:sz w:val="21"/>
              </w:rPr>
              <w:t>须满足下列全部条件：</w:t>
            </w:r>
          </w:p>
          <w:p>
            <w:pPr>
              <w:pStyle w:val="TableParagraph"/>
              <w:spacing w:before="25"/>
              <w:ind w:left="155"/>
              <w:rPr>
                <w:sz w:val="21"/>
              </w:rPr>
            </w:pPr>
            <w:r>
              <w:rPr>
                <w:sz w:val="21"/>
              </w:rPr>
              <w:t>（</w:t>
            </w:r>
            <w:r>
              <w:rPr>
                <w:rFonts w:ascii="Times New Roman" w:eastAsia="Times New Roman"/>
                <w:sz w:val="21"/>
              </w:rPr>
              <w:t>1</w:t>
            </w:r>
            <w:r>
              <w:rPr>
                <w:sz w:val="21"/>
              </w:rPr>
              <w:t>）经血管造影术证实一条或者一条以上的上述动脉狭窄达到 </w:t>
            </w:r>
            <w:r>
              <w:rPr>
                <w:rFonts w:ascii="Times New Roman" w:eastAsia="Times New Roman"/>
                <w:sz w:val="21"/>
              </w:rPr>
              <w:t>50%</w:t>
            </w:r>
            <w:r>
              <w:rPr>
                <w:sz w:val="21"/>
              </w:rPr>
              <w:t>或者以上；</w:t>
            </w:r>
          </w:p>
          <w:p>
            <w:pPr>
              <w:pStyle w:val="TableParagraph"/>
              <w:spacing w:line="247" w:lineRule="auto" w:before="9"/>
              <w:ind w:left="680" w:right="201" w:hanging="526"/>
              <w:rPr>
                <w:sz w:val="21"/>
              </w:rPr>
            </w:pPr>
            <w:r>
              <w:rPr>
                <w:sz w:val="21"/>
              </w:rPr>
              <w:t>（</w:t>
            </w:r>
            <w:r>
              <w:rPr>
                <w:rFonts w:ascii="Times New Roman" w:eastAsia="Times New Roman"/>
                <w:sz w:val="21"/>
              </w:rPr>
              <w:t>2</w:t>
            </w:r>
            <w:r>
              <w:rPr>
                <w:sz w:val="21"/>
              </w:rPr>
              <w:t>）对一条或者一条以上的上述动脉施行了血管介入治疗，如血管成形术及</w:t>
            </w:r>
            <w:r>
              <w:rPr>
                <w:rFonts w:ascii="Times New Roman" w:eastAsia="Times New Roman"/>
                <w:sz w:val="21"/>
              </w:rPr>
              <w:t>/</w:t>
            </w:r>
            <w:r>
              <w:rPr>
                <w:sz w:val="21"/>
              </w:rPr>
              <w:t>或者进行植入支架或者动脉粥样瘤清除手术。</w:t>
            </w:r>
          </w:p>
          <w:p>
            <w:pPr>
              <w:pStyle w:val="TableParagraph"/>
              <w:spacing w:before="18"/>
              <w:ind w:left="155"/>
              <w:rPr>
                <w:sz w:val="21"/>
              </w:rPr>
            </w:pPr>
            <w:r>
              <w:rPr>
                <w:sz w:val="21"/>
              </w:rPr>
              <w:t>上述动脉疾病的诊断以及相关治疗的必要性必须由血管疾病的专科医生确定。</w:t>
            </w:r>
          </w:p>
        </w:tc>
      </w:tr>
      <w:tr>
        <w:trPr>
          <w:trHeight w:val="1321" w:hRule="atLeast"/>
        </w:trPr>
        <w:tc>
          <w:tcPr>
            <w:tcW w:w="692" w:type="dxa"/>
          </w:tcPr>
          <w:p>
            <w:pPr>
              <w:pStyle w:val="TableParagraph"/>
              <w:spacing w:before="90"/>
              <w:ind w:left="200"/>
              <w:rPr>
                <w:rFonts w:ascii="Times New Roman"/>
                <w:b/>
                <w:sz w:val="21"/>
              </w:rPr>
            </w:pPr>
            <w:r>
              <w:rPr>
                <w:rFonts w:ascii="Times New Roman"/>
                <w:b/>
                <w:sz w:val="21"/>
              </w:rPr>
              <w:t>17.</w:t>
            </w:r>
          </w:p>
        </w:tc>
        <w:tc>
          <w:tcPr>
            <w:tcW w:w="1227" w:type="dxa"/>
          </w:tcPr>
          <w:p>
            <w:pPr>
              <w:pStyle w:val="TableParagraph"/>
              <w:spacing w:line="261" w:lineRule="auto" w:before="40"/>
              <w:ind w:left="228" w:right="152"/>
              <w:rPr>
                <w:b/>
                <w:sz w:val="21"/>
              </w:rPr>
            </w:pPr>
            <w:r>
              <w:rPr>
                <w:b/>
                <w:sz w:val="21"/>
              </w:rPr>
              <w:t>原发性肺动脉高 压：</w:t>
            </w:r>
          </w:p>
        </w:tc>
        <w:tc>
          <w:tcPr>
            <w:tcW w:w="7719" w:type="dxa"/>
          </w:tcPr>
          <w:p>
            <w:pPr>
              <w:pStyle w:val="TableParagraph"/>
              <w:spacing w:line="254" w:lineRule="auto" w:before="40"/>
              <w:ind w:left="155" w:right="204"/>
              <w:jc w:val="both"/>
              <w:rPr>
                <w:sz w:val="21"/>
              </w:rPr>
            </w:pPr>
            <w:r>
              <w:rPr>
                <w:sz w:val="21"/>
              </w:rPr>
              <w:t>指由于原发性肺动脉高压进行性发展而导致右心室肥厚，已经造成永久不可逆性的体力活动能力受限，达到美国纽约心脏病学会心功能状态分级 </w:t>
            </w:r>
            <w:r>
              <w:rPr>
                <w:rFonts w:ascii="Times New Roman" w:eastAsia="Times New Roman"/>
                <w:sz w:val="21"/>
              </w:rPr>
              <w:t>III </w:t>
            </w:r>
            <w:r>
              <w:rPr>
                <w:sz w:val="21"/>
              </w:rPr>
              <w:t>级及以上， 但尚未达到 </w:t>
            </w:r>
            <w:r>
              <w:rPr>
                <w:rFonts w:ascii="Times New Roman" w:eastAsia="Times New Roman"/>
                <w:sz w:val="21"/>
              </w:rPr>
              <w:t>IV </w:t>
            </w:r>
            <w:r>
              <w:rPr>
                <w:sz w:val="21"/>
              </w:rPr>
              <w:t>级，且静息状态下肺动脉平均压超过 </w:t>
            </w:r>
            <w:r>
              <w:rPr>
                <w:rFonts w:ascii="Times New Roman" w:eastAsia="Times New Roman"/>
                <w:sz w:val="21"/>
              </w:rPr>
              <w:t>25mmHg</w:t>
            </w:r>
            <w:r>
              <w:rPr>
                <w:sz w:val="21"/>
              </w:rPr>
              <w:t>，但尚未超过</w:t>
            </w:r>
          </w:p>
          <w:p>
            <w:pPr>
              <w:pStyle w:val="TableParagraph"/>
              <w:spacing w:line="286" w:lineRule="exact"/>
              <w:ind w:left="155"/>
              <w:jc w:val="both"/>
              <w:rPr>
                <w:sz w:val="21"/>
              </w:rPr>
            </w:pPr>
            <w:r>
              <w:rPr>
                <w:rFonts w:ascii="Times New Roman" w:eastAsia="Times New Roman"/>
                <w:sz w:val="21"/>
              </w:rPr>
              <w:t>30mmHg</w:t>
            </w:r>
            <w:r>
              <w:rPr>
                <w:sz w:val="21"/>
              </w:rPr>
              <w:t>。</w:t>
            </w:r>
          </w:p>
        </w:tc>
      </w:tr>
      <w:tr>
        <w:trPr>
          <w:trHeight w:val="704" w:hRule="atLeast"/>
        </w:trPr>
        <w:tc>
          <w:tcPr>
            <w:tcW w:w="692" w:type="dxa"/>
          </w:tcPr>
          <w:p>
            <w:pPr>
              <w:pStyle w:val="TableParagraph"/>
              <w:spacing w:before="81"/>
              <w:ind w:left="200"/>
              <w:rPr>
                <w:rFonts w:ascii="Times New Roman"/>
                <w:b/>
                <w:sz w:val="21"/>
              </w:rPr>
            </w:pPr>
            <w:r>
              <w:rPr>
                <w:rFonts w:ascii="Times New Roman"/>
                <w:b/>
                <w:sz w:val="21"/>
              </w:rPr>
              <w:t>18.</w:t>
            </w:r>
          </w:p>
        </w:tc>
        <w:tc>
          <w:tcPr>
            <w:tcW w:w="1227" w:type="dxa"/>
          </w:tcPr>
          <w:p>
            <w:pPr>
              <w:pStyle w:val="TableParagraph"/>
              <w:spacing w:line="261" w:lineRule="auto" w:before="32"/>
              <w:ind w:left="228" w:right="152"/>
              <w:rPr>
                <w:b/>
                <w:sz w:val="21"/>
              </w:rPr>
            </w:pPr>
            <w:r>
              <w:rPr>
                <w:b/>
                <w:sz w:val="21"/>
              </w:rPr>
              <w:t>胆道重建手术：</w:t>
            </w:r>
          </w:p>
        </w:tc>
        <w:tc>
          <w:tcPr>
            <w:tcW w:w="7719" w:type="dxa"/>
          </w:tcPr>
          <w:p>
            <w:pPr>
              <w:pStyle w:val="TableParagraph"/>
              <w:spacing w:line="261" w:lineRule="auto" w:before="32"/>
              <w:ind w:left="155" w:right="204"/>
              <w:rPr>
                <w:rFonts w:ascii="黑体" w:eastAsia="黑体" w:hint="eastAsia"/>
                <w:sz w:val="21"/>
              </w:rPr>
            </w:pPr>
            <w:r>
              <w:rPr>
                <w:sz w:val="21"/>
              </w:rPr>
              <w:t>因胆道创伤导致接受涉及胆总管小肠吻合术的胆道重建手术。手术必须由专科医生认为是医疗所需的情况下进</w:t>
            </w:r>
            <w:r>
              <w:rPr>
                <w:rFonts w:ascii="Times New Roman" w:eastAsia="Times New Roman"/>
                <w:w w:val="110"/>
                <w:sz w:val="21"/>
              </w:rPr>
              <w:t>行</w:t>
            </w:r>
            <w:r>
              <w:rPr>
                <w:sz w:val="21"/>
              </w:rPr>
              <w:t>。</w:t>
            </w:r>
            <w:r>
              <w:rPr>
                <w:rFonts w:ascii="黑体" w:eastAsia="黑体" w:hint="eastAsia"/>
                <w:sz w:val="21"/>
              </w:rPr>
              <w:t>胆道闭锁不在保障范围内。</w:t>
            </w:r>
          </w:p>
        </w:tc>
      </w:tr>
      <w:tr>
        <w:trPr>
          <w:trHeight w:val="2512" w:hRule="atLeast"/>
        </w:trPr>
        <w:tc>
          <w:tcPr>
            <w:tcW w:w="692" w:type="dxa"/>
          </w:tcPr>
          <w:p>
            <w:pPr>
              <w:pStyle w:val="TableParagraph"/>
              <w:spacing w:before="89"/>
              <w:ind w:left="200"/>
              <w:rPr>
                <w:rFonts w:ascii="Times New Roman"/>
                <w:b/>
                <w:sz w:val="21"/>
              </w:rPr>
            </w:pPr>
            <w:r>
              <w:rPr>
                <w:rFonts w:ascii="Times New Roman"/>
                <w:b/>
                <w:sz w:val="21"/>
              </w:rPr>
              <w:t>19.</w:t>
            </w:r>
          </w:p>
        </w:tc>
        <w:tc>
          <w:tcPr>
            <w:tcW w:w="1227" w:type="dxa"/>
          </w:tcPr>
          <w:p>
            <w:pPr>
              <w:pStyle w:val="TableParagraph"/>
              <w:spacing w:line="261" w:lineRule="auto" w:before="40"/>
              <w:ind w:left="228" w:right="152"/>
              <w:rPr>
                <w:b/>
                <w:sz w:val="21"/>
              </w:rPr>
            </w:pPr>
            <w:r>
              <w:rPr>
                <w:b/>
                <w:sz w:val="21"/>
              </w:rPr>
              <w:t>单眼视力丧失：</w:t>
            </w:r>
          </w:p>
        </w:tc>
        <w:tc>
          <w:tcPr>
            <w:tcW w:w="7719" w:type="dxa"/>
          </w:tcPr>
          <w:p>
            <w:pPr>
              <w:pStyle w:val="TableParagraph"/>
              <w:spacing w:line="261" w:lineRule="auto" w:before="40"/>
              <w:ind w:left="155" w:right="197"/>
              <w:rPr>
                <w:sz w:val="21"/>
              </w:rPr>
            </w:pPr>
            <w:r>
              <w:rPr>
                <w:sz w:val="21"/>
              </w:rPr>
              <w:t>指因疾病或者意外伤害导致单眼视力永久不可逆性丧失，患眼须满足下列至少一项条件：</w:t>
            </w:r>
          </w:p>
          <w:p>
            <w:pPr>
              <w:pStyle w:val="TableParagraph"/>
              <w:spacing w:before="6"/>
              <w:ind w:left="155"/>
              <w:rPr>
                <w:sz w:val="21"/>
              </w:rPr>
            </w:pPr>
            <w:r>
              <w:rPr>
                <w:sz w:val="21"/>
              </w:rPr>
              <w:t>（</w:t>
            </w:r>
            <w:r>
              <w:rPr>
                <w:rFonts w:ascii="Times New Roman" w:eastAsia="Times New Roman"/>
                <w:sz w:val="21"/>
              </w:rPr>
              <w:t>1</w:t>
            </w:r>
            <w:r>
              <w:rPr>
                <w:sz w:val="21"/>
              </w:rPr>
              <w:t>）眼球缺失或者摘除；</w:t>
            </w:r>
          </w:p>
          <w:p>
            <w:pPr>
              <w:pStyle w:val="TableParagraph"/>
              <w:spacing w:line="247" w:lineRule="auto" w:before="9"/>
              <w:ind w:left="681" w:right="312" w:hanging="526"/>
              <w:rPr>
                <w:sz w:val="21"/>
              </w:rPr>
            </w:pPr>
            <w:r>
              <w:rPr>
                <w:sz w:val="21"/>
              </w:rPr>
              <w:t>（</w:t>
            </w:r>
            <w:r>
              <w:rPr>
                <w:rFonts w:ascii="Times New Roman" w:eastAsia="Times New Roman"/>
                <w:sz w:val="21"/>
              </w:rPr>
              <w:t>2</w:t>
            </w:r>
            <w:r>
              <w:rPr>
                <w:sz w:val="21"/>
              </w:rPr>
              <w:t>）</w:t>
            </w:r>
            <w:r>
              <w:rPr>
                <w:spacing w:val="-7"/>
                <w:sz w:val="21"/>
              </w:rPr>
              <w:t>矫正视力低于 </w:t>
            </w:r>
            <w:r>
              <w:rPr>
                <w:rFonts w:ascii="Times New Roman" w:eastAsia="Times New Roman"/>
                <w:sz w:val="21"/>
              </w:rPr>
              <w:t>0.02</w:t>
            </w:r>
            <w:r>
              <w:rPr>
                <w:sz w:val="21"/>
              </w:rPr>
              <w:t>（</w:t>
            </w:r>
            <w:r>
              <w:rPr>
                <w:spacing w:val="-3"/>
                <w:sz w:val="21"/>
              </w:rPr>
              <w:t>采用国际标准视力表，如果使用其它视力表应进行换</w:t>
            </w:r>
            <w:r>
              <w:rPr>
                <w:spacing w:val="-106"/>
                <w:sz w:val="21"/>
              </w:rPr>
              <w:t>算</w:t>
            </w:r>
            <w:r>
              <w:rPr>
                <w:sz w:val="21"/>
              </w:rPr>
              <w:t>）；</w:t>
            </w:r>
          </w:p>
          <w:p>
            <w:pPr>
              <w:pStyle w:val="TableParagraph"/>
              <w:spacing w:before="18"/>
              <w:ind w:left="15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61" w:lineRule="auto" w:before="8"/>
              <w:ind w:left="155" w:right="204"/>
              <w:rPr>
                <w:rFonts w:ascii="黑体" w:eastAsia="黑体" w:hint="eastAsia"/>
                <w:sz w:val="21"/>
              </w:rPr>
            </w:pPr>
            <w:r>
              <w:rPr>
                <w:rFonts w:ascii="黑体" w:eastAsia="黑体" w:hint="eastAsia"/>
                <w:sz w:val="21"/>
              </w:rPr>
              <w:t>被保险人申请理赔时年龄必须在三周岁以上，并且需提供理赔当时的视力丧失诊断及检查证据。</w:t>
            </w:r>
          </w:p>
        </w:tc>
      </w:tr>
      <w:tr>
        <w:trPr>
          <w:trHeight w:val="1013" w:hRule="atLeast"/>
        </w:trPr>
        <w:tc>
          <w:tcPr>
            <w:tcW w:w="692" w:type="dxa"/>
          </w:tcPr>
          <w:p>
            <w:pPr>
              <w:pStyle w:val="TableParagraph"/>
              <w:spacing w:before="90"/>
              <w:ind w:left="200"/>
              <w:rPr>
                <w:rFonts w:ascii="Times New Roman"/>
                <w:b/>
                <w:sz w:val="21"/>
              </w:rPr>
            </w:pPr>
            <w:r>
              <w:rPr>
                <w:rFonts w:ascii="Times New Roman"/>
                <w:b/>
                <w:sz w:val="21"/>
              </w:rPr>
              <w:t>20.</w:t>
            </w:r>
          </w:p>
        </w:tc>
        <w:tc>
          <w:tcPr>
            <w:tcW w:w="1227" w:type="dxa"/>
          </w:tcPr>
          <w:p>
            <w:pPr>
              <w:pStyle w:val="TableParagraph"/>
              <w:spacing w:line="261" w:lineRule="auto" w:before="40"/>
              <w:ind w:left="228" w:right="152"/>
              <w:rPr>
                <w:b/>
                <w:sz w:val="21"/>
              </w:rPr>
            </w:pPr>
            <w:r>
              <w:rPr>
                <w:b/>
                <w:sz w:val="21"/>
              </w:rPr>
              <w:t>运动神经元病：</w:t>
            </w:r>
          </w:p>
        </w:tc>
        <w:tc>
          <w:tcPr>
            <w:tcW w:w="7719" w:type="dxa"/>
          </w:tcPr>
          <w:p>
            <w:pPr>
              <w:pStyle w:val="TableParagraph"/>
              <w:spacing w:line="261" w:lineRule="auto" w:before="40"/>
              <w:ind w:left="155" w:right="204"/>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tc>
      </w:tr>
      <w:tr>
        <w:trPr>
          <w:trHeight w:val="1314" w:hRule="atLeast"/>
        </w:trPr>
        <w:tc>
          <w:tcPr>
            <w:tcW w:w="692" w:type="dxa"/>
          </w:tcPr>
          <w:p>
            <w:pPr>
              <w:pStyle w:val="TableParagraph"/>
              <w:spacing w:before="89"/>
              <w:ind w:left="200"/>
              <w:rPr>
                <w:rFonts w:ascii="Times New Roman"/>
                <w:b/>
                <w:sz w:val="21"/>
              </w:rPr>
            </w:pPr>
            <w:r>
              <w:rPr>
                <w:rFonts w:ascii="Times New Roman"/>
                <w:b/>
                <w:sz w:val="21"/>
              </w:rPr>
              <w:t>21.</w:t>
            </w:r>
          </w:p>
        </w:tc>
        <w:tc>
          <w:tcPr>
            <w:tcW w:w="1227" w:type="dxa"/>
          </w:tcPr>
          <w:p>
            <w:pPr>
              <w:pStyle w:val="TableParagraph"/>
              <w:spacing w:line="261" w:lineRule="auto" w:before="40"/>
              <w:ind w:left="228" w:right="152"/>
              <w:jc w:val="both"/>
              <w:rPr>
                <w:b/>
                <w:sz w:val="21"/>
              </w:rPr>
            </w:pPr>
            <w:r>
              <w:rPr>
                <w:b/>
                <w:sz w:val="21"/>
              </w:rPr>
              <w:t>中度严重溃疡性结肠炎：</w:t>
            </w:r>
          </w:p>
        </w:tc>
        <w:tc>
          <w:tcPr>
            <w:tcW w:w="7719" w:type="dxa"/>
          </w:tcPr>
          <w:p>
            <w:pPr>
              <w:pStyle w:val="TableParagraph"/>
              <w:spacing w:line="261" w:lineRule="auto" w:before="40"/>
              <w:ind w:left="155" w:right="204"/>
              <w:rPr>
                <w:sz w:val="21"/>
              </w:rPr>
            </w:pPr>
            <w:r>
              <w:rPr>
                <w:sz w:val="21"/>
              </w:rPr>
              <w:t>指伴有致命性电解质紊乱的急性暴发性溃疡性结肠炎，病变累及全结肠，表现为严重的血便和系统性症状体征。</w:t>
            </w:r>
          </w:p>
          <w:p>
            <w:pPr>
              <w:pStyle w:val="TableParagraph"/>
              <w:spacing w:line="247" w:lineRule="auto" w:before="6"/>
              <w:ind w:left="155" w:right="142"/>
              <w:rPr>
                <w:rFonts w:ascii="黑体" w:eastAsia="黑体" w:hint="eastAsia"/>
                <w:sz w:val="21"/>
              </w:rPr>
            </w:pPr>
            <w:r>
              <w:rPr>
                <w:sz w:val="21"/>
              </w:rPr>
              <w:t>本症须经专科医生连续以免疫抑制剂或免疫调节剂治疗 </w:t>
            </w:r>
            <w:r>
              <w:rPr>
                <w:rFonts w:ascii="Times New Roman" w:eastAsia="Times New Roman"/>
                <w:sz w:val="21"/>
              </w:rPr>
              <w:t>3 </w:t>
            </w:r>
            <w:r>
              <w:rPr>
                <w:sz w:val="21"/>
              </w:rPr>
              <w:t>个月以上，方符合赔偿条件。</w:t>
            </w:r>
            <w:r>
              <w:rPr>
                <w:rFonts w:ascii="黑体" w:eastAsia="黑体" w:hint="eastAsia"/>
                <w:sz w:val="21"/>
              </w:rPr>
              <w:t>溃疡性结肠炎只局限在直肠的不在保障范围内。</w:t>
            </w:r>
          </w:p>
        </w:tc>
      </w:tr>
      <w:tr>
        <w:trPr>
          <w:trHeight w:val="714" w:hRule="atLeast"/>
        </w:trPr>
        <w:tc>
          <w:tcPr>
            <w:tcW w:w="692" w:type="dxa"/>
          </w:tcPr>
          <w:p>
            <w:pPr>
              <w:pStyle w:val="TableParagraph"/>
              <w:spacing w:before="91"/>
              <w:ind w:left="200"/>
              <w:rPr>
                <w:rFonts w:ascii="Times New Roman"/>
                <w:b/>
                <w:sz w:val="21"/>
              </w:rPr>
            </w:pPr>
            <w:r>
              <w:rPr>
                <w:rFonts w:ascii="Times New Roman"/>
                <w:b/>
                <w:sz w:val="21"/>
              </w:rPr>
              <w:t>22.</w:t>
            </w:r>
          </w:p>
        </w:tc>
        <w:tc>
          <w:tcPr>
            <w:tcW w:w="1227" w:type="dxa"/>
          </w:tcPr>
          <w:p>
            <w:pPr>
              <w:pStyle w:val="TableParagraph"/>
              <w:spacing w:line="261" w:lineRule="auto" w:before="41"/>
              <w:ind w:left="228" w:right="152"/>
              <w:rPr>
                <w:b/>
                <w:sz w:val="21"/>
              </w:rPr>
            </w:pPr>
            <w:r>
              <w:rPr>
                <w:b/>
                <w:sz w:val="21"/>
              </w:rPr>
              <w:t>单个肢体缺失：</w:t>
            </w:r>
          </w:p>
        </w:tc>
        <w:tc>
          <w:tcPr>
            <w:tcW w:w="7719" w:type="dxa"/>
          </w:tcPr>
          <w:p>
            <w:pPr>
              <w:pStyle w:val="TableParagraph"/>
              <w:spacing w:before="41"/>
              <w:ind w:left="155"/>
              <w:rPr>
                <w:sz w:val="21"/>
              </w:rPr>
            </w:pPr>
            <w:r>
              <w:rPr>
                <w:sz w:val="21"/>
              </w:rPr>
              <w:t>指一个肢体自腕关节或者踝关节近端（靠近躯干端）以上完全性断离。</w:t>
            </w:r>
          </w:p>
        </w:tc>
      </w:tr>
      <w:tr>
        <w:trPr>
          <w:trHeight w:val="1612" w:hRule="atLeast"/>
        </w:trPr>
        <w:tc>
          <w:tcPr>
            <w:tcW w:w="692" w:type="dxa"/>
          </w:tcPr>
          <w:p>
            <w:pPr>
              <w:pStyle w:val="TableParagraph"/>
              <w:spacing w:before="89"/>
              <w:ind w:left="200"/>
              <w:rPr>
                <w:rFonts w:ascii="Times New Roman"/>
                <w:b/>
                <w:sz w:val="21"/>
              </w:rPr>
            </w:pPr>
            <w:r>
              <w:rPr>
                <w:rFonts w:ascii="Times New Roman"/>
                <w:b/>
                <w:sz w:val="21"/>
              </w:rPr>
              <w:t>23.</w:t>
            </w:r>
          </w:p>
        </w:tc>
        <w:tc>
          <w:tcPr>
            <w:tcW w:w="1227" w:type="dxa"/>
          </w:tcPr>
          <w:p>
            <w:pPr>
              <w:pStyle w:val="TableParagraph"/>
              <w:spacing w:line="261" w:lineRule="auto" w:before="40"/>
              <w:ind w:left="228" w:right="152"/>
              <w:rPr>
                <w:b/>
                <w:sz w:val="21"/>
              </w:rPr>
            </w:pPr>
            <w:r>
              <w:rPr>
                <w:b/>
                <w:sz w:val="21"/>
              </w:rPr>
              <w:t>面部重建手术：</w:t>
            </w:r>
          </w:p>
        </w:tc>
        <w:tc>
          <w:tcPr>
            <w:tcW w:w="7719" w:type="dxa"/>
          </w:tcPr>
          <w:p>
            <w:pPr>
              <w:pStyle w:val="TableParagraph"/>
              <w:spacing w:line="247" w:lineRule="auto" w:before="40"/>
              <w:ind w:left="155" w:right="197"/>
              <w:jc w:val="both"/>
              <w:rPr>
                <w:rFonts w:ascii="黑体" w:eastAsia="黑体" w:hint="eastAsia"/>
                <w:sz w:val="21"/>
              </w:rPr>
            </w:pPr>
            <w:r>
              <w:rPr>
                <w:spacing w:val="-1"/>
                <w:sz w:val="21"/>
              </w:rPr>
              <w:t>确实进</w:t>
            </w:r>
            <w:r>
              <w:rPr>
                <w:rFonts w:ascii="Times New Roman" w:eastAsia="Times New Roman"/>
                <w:sz w:val="21"/>
              </w:rPr>
              <w:t>行</w:t>
            </w:r>
            <w:r>
              <w:rPr>
                <w:spacing w:val="-3"/>
                <w:sz w:val="21"/>
              </w:rPr>
              <w:t>整形或者重建手术</w:t>
            </w:r>
            <w:r>
              <w:rPr>
                <w:sz w:val="21"/>
              </w:rPr>
              <w:t>（</w:t>
            </w:r>
            <w:r>
              <w:rPr>
                <w:spacing w:val="-3"/>
                <w:sz w:val="21"/>
              </w:rPr>
              <w:t>颈部以上的面部构造</w:t>
            </w:r>
            <w:r>
              <w:rPr>
                <w:rFonts w:ascii="Times New Roman" w:eastAsia="Times New Roman"/>
                <w:sz w:val="21"/>
              </w:rPr>
              <w:t>不</w:t>
            </w:r>
            <w:r>
              <w:rPr>
                <w:spacing w:val="-12"/>
                <w:sz w:val="21"/>
              </w:rPr>
              <w:t>完整、缺掉或者受损而对其</w:t>
            </w:r>
            <w:r>
              <w:rPr>
                <w:spacing w:val="-2"/>
                <w:sz w:val="21"/>
              </w:rPr>
              <w:t>形态及外观进</w:t>
            </w:r>
            <w:r>
              <w:rPr>
                <w:rFonts w:ascii="Times New Roman" w:eastAsia="Times New Roman"/>
                <w:spacing w:val="-3"/>
                <w:sz w:val="21"/>
              </w:rPr>
              <w:t>行</w:t>
            </w:r>
            <w:r>
              <w:rPr>
                <w:spacing w:val="-3"/>
                <w:sz w:val="21"/>
              </w:rPr>
              <w:t>修复或者重建</w:t>
            </w:r>
            <w:r>
              <w:rPr>
                <w:spacing w:val="-103"/>
                <w:sz w:val="21"/>
              </w:rPr>
              <w:t>）</w:t>
            </w:r>
            <w:r>
              <w:rPr>
                <w:spacing w:val="-13"/>
                <w:sz w:val="21"/>
              </w:rPr>
              <w:t>，同时必须由专科医生认为该面部毁容是需要接 </w:t>
            </w:r>
            <w:r>
              <w:rPr>
                <w:spacing w:val="-7"/>
                <w:sz w:val="21"/>
              </w:rPr>
              <w:t>受住院治疗，及其后接受该手术，而对该面部毁容所进</w:t>
            </w:r>
            <w:r>
              <w:rPr>
                <w:rFonts w:ascii="Times New Roman" w:eastAsia="Times New Roman"/>
                <w:sz w:val="21"/>
              </w:rPr>
              <w:t>行</w:t>
            </w:r>
            <w:r>
              <w:rPr>
                <w:spacing w:val="-3"/>
                <w:sz w:val="21"/>
              </w:rPr>
              <w:t>的治疗亦是医疗所需 。</w:t>
            </w:r>
            <w:r>
              <w:rPr>
                <w:rFonts w:ascii="黑体" w:eastAsia="黑体" w:hint="eastAsia"/>
                <w:spacing w:val="-3"/>
                <w:sz w:val="21"/>
              </w:rPr>
              <w:t>因纯粹整容原因、独</w:t>
            </w:r>
            <w:r>
              <w:rPr>
                <w:rFonts w:ascii="Times New Roman" w:eastAsia="Times New Roman"/>
                <w:spacing w:val="-3"/>
                <w:sz w:val="21"/>
              </w:rPr>
              <w:t>立</w:t>
            </w:r>
            <w:r>
              <w:rPr>
                <w:rFonts w:ascii="黑体" w:eastAsia="黑体" w:hint="eastAsia"/>
                <w:spacing w:val="-3"/>
                <w:sz w:val="21"/>
              </w:rPr>
              <w:t>的牙齿修复、独</w:t>
            </w:r>
            <w:r>
              <w:rPr>
                <w:rFonts w:ascii="Times New Roman" w:eastAsia="Times New Roman"/>
                <w:sz w:val="21"/>
              </w:rPr>
              <w:t>立</w:t>
            </w:r>
            <w:r>
              <w:rPr>
                <w:rFonts w:ascii="黑体" w:eastAsia="黑体" w:hint="eastAsia"/>
                <w:spacing w:val="-3"/>
                <w:sz w:val="21"/>
              </w:rPr>
              <w:t>的鼻骨折断或者独</w:t>
            </w:r>
            <w:r>
              <w:rPr>
                <w:rFonts w:ascii="Times New Roman" w:eastAsia="Times New Roman"/>
                <w:sz w:val="21"/>
              </w:rPr>
              <w:t>立</w:t>
            </w:r>
            <w:r>
              <w:rPr>
                <w:rFonts w:ascii="黑体" w:eastAsia="黑体" w:hint="eastAsia"/>
                <w:spacing w:val="-3"/>
                <w:sz w:val="21"/>
              </w:rPr>
              <w:t>的皮肤伤口所 </w:t>
            </w:r>
            <w:r>
              <w:rPr>
                <w:rFonts w:ascii="黑体" w:eastAsia="黑体" w:hint="eastAsia"/>
                <w:spacing w:val="-1"/>
                <w:w w:val="105"/>
                <w:sz w:val="21"/>
              </w:rPr>
              <w:t>进</w:t>
            </w:r>
            <w:r>
              <w:rPr>
                <w:rFonts w:ascii="Times New Roman" w:eastAsia="Times New Roman"/>
                <w:w w:val="105"/>
                <w:sz w:val="21"/>
              </w:rPr>
              <w:t>行</w:t>
            </w:r>
            <w:r>
              <w:rPr>
                <w:rFonts w:ascii="黑体" w:eastAsia="黑体" w:hint="eastAsia"/>
                <w:spacing w:val="-1"/>
                <w:w w:val="105"/>
                <w:sz w:val="21"/>
              </w:rPr>
              <w:t>的手术均</w:t>
            </w:r>
            <w:r>
              <w:rPr>
                <w:rFonts w:ascii="Times New Roman" w:eastAsia="Times New Roman"/>
                <w:w w:val="105"/>
                <w:sz w:val="21"/>
              </w:rPr>
              <w:t>不</w:t>
            </w:r>
            <w:r>
              <w:rPr>
                <w:rFonts w:ascii="黑体" w:eastAsia="黑体" w:hint="eastAsia"/>
                <w:spacing w:val="-3"/>
                <w:w w:val="105"/>
                <w:sz w:val="21"/>
              </w:rPr>
              <w:t>受此保障。</w:t>
            </w:r>
          </w:p>
        </w:tc>
      </w:tr>
      <w:tr>
        <w:trPr>
          <w:trHeight w:val="712" w:hRule="atLeast"/>
        </w:trPr>
        <w:tc>
          <w:tcPr>
            <w:tcW w:w="692" w:type="dxa"/>
          </w:tcPr>
          <w:p>
            <w:pPr>
              <w:pStyle w:val="TableParagraph"/>
              <w:spacing w:before="89"/>
              <w:ind w:left="200"/>
              <w:rPr>
                <w:rFonts w:ascii="Times New Roman"/>
                <w:b/>
                <w:sz w:val="21"/>
              </w:rPr>
            </w:pPr>
            <w:r>
              <w:rPr>
                <w:rFonts w:ascii="Times New Roman"/>
                <w:b/>
                <w:sz w:val="21"/>
              </w:rPr>
              <w:t>24.</w:t>
            </w:r>
          </w:p>
        </w:tc>
        <w:tc>
          <w:tcPr>
            <w:tcW w:w="1227" w:type="dxa"/>
          </w:tcPr>
          <w:p>
            <w:pPr>
              <w:pStyle w:val="TableParagraph"/>
              <w:spacing w:line="261" w:lineRule="auto" w:before="40"/>
              <w:ind w:left="228" w:right="363"/>
              <w:rPr>
                <w:b/>
                <w:sz w:val="21"/>
              </w:rPr>
            </w:pPr>
            <w:r>
              <w:rPr>
                <w:b/>
                <w:sz w:val="21"/>
              </w:rPr>
              <w:t>肾脏切除：</w:t>
            </w:r>
          </w:p>
        </w:tc>
        <w:tc>
          <w:tcPr>
            <w:tcW w:w="7719" w:type="dxa"/>
          </w:tcPr>
          <w:p>
            <w:pPr>
              <w:pStyle w:val="TableParagraph"/>
              <w:spacing w:line="261" w:lineRule="auto" w:before="40"/>
              <w:ind w:left="155" w:right="205"/>
              <w:rPr>
                <w:rFonts w:ascii="黑体" w:eastAsia="黑体" w:hint="eastAsia"/>
                <w:sz w:val="21"/>
              </w:rPr>
            </w:pPr>
            <w:r>
              <w:rPr>
                <w:sz w:val="21"/>
              </w:rPr>
              <w:t>指因疾病或者意外伤害导致至少单侧肾切除。</w:t>
            </w:r>
            <w:r>
              <w:rPr>
                <w:rFonts w:ascii="黑体" w:eastAsia="黑体" w:hint="eastAsia"/>
                <w:sz w:val="21"/>
              </w:rPr>
              <w:t>因捐赠肾脏而所需的肾脏切除不在保障范围内。</w:t>
            </w:r>
          </w:p>
        </w:tc>
      </w:tr>
      <w:tr>
        <w:trPr>
          <w:trHeight w:val="712" w:hRule="atLeast"/>
        </w:trPr>
        <w:tc>
          <w:tcPr>
            <w:tcW w:w="692" w:type="dxa"/>
          </w:tcPr>
          <w:p>
            <w:pPr>
              <w:pStyle w:val="TableParagraph"/>
              <w:spacing w:before="89"/>
              <w:ind w:left="200"/>
              <w:rPr>
                <w:rFonts w:ascii="Times New Roman"/>
                <w:b/>
                <w:sz w:val="21"/>
              </w:rPr>
            </w:pPr>
            <w:r>
              <w:rPr>
                <w:rFonts w:ascii="Times New Roman"/>
                <w:b/>
                <w:sz w:val="21"/>
              </w:rPr>
              <w:t>25.</w:t>
            </w:r>
          </w:p>
        </w:tc>
        <w:tc>
          <w:tcPr>
            <w:tcW w:w="1227" w:type="dxa"/>
          </w:tcPr>
          <w:p>
            <w:pPr>
              <w:pStyle w:val="TableParagraph"/>
              <w:spacing w:line="261" w:lineRule="auto" w:before="40"/>
              <w:ind w:left="228" w:right="363"/>
              <w:rPr>
                <w:b/>
                <w:sz w:val="21"/>
              </w:rPr>
            </w:pPr>
            <w:r>
              <w:rPr>
                <w:b/>
                <w:sz w:val="21"/>
              </w:rPr>
              <w:t>肝叶切除：</w:t>
            </w:r>
          </w:p>
        </w:tc>
        <w:tc>
          <w:tcPr>
            <w:tcW w:w="7719" w:type="dxa"/>
          </w:tcPr>
          <w:p>
            <w:pPr>
              <w:pStyle w:val="TableParagraph"/>
              <w:spacing w:line="261" w:lineRule="auto" w:before="40"/>
              <w:ind w:left="155" w:right="205"/>
              <w:rPr>
                <w:rFonts w:ascii="黑体" w:eastAsia="黑体" w:hint="eastAsia"/>
                <w:sz w:val="21"/>
              </w:rPr>
            </w:pPr>
            <w:r>
              <w:rPr>
                <w:sz w:val="21"/>
              </w:rPr>
              <w:t>指因疾病或者意外伤害导致至少一整叶肝脏切除。</w:t>
            </w:r>
            <w:r>
              <w:rPr>
                <w:rFonts w:ascii="黑体" w:eastAsia="黑体" w:hint="eastAsia"/>
                <w:sz w:val="21"/>
              </w:rPr>
              <w:t>因酒精或者滥用药物引致的疾病或者紊乱及／或者因捐赠肝脏而所需的肝脏手术均不在保障范围内。</w:t>
            </w:r>
          </w:p>
        </w:tc>
      </w:tr>
      <w:tr>
        <w:trPr>
          <w:trHeight w:val="331" w:hRule="atLeast"/>
        </w:trPr>
        <w:tc>
          <w:tcPr>
            <w:tcW w:w="692" w:type="dxa"/>
          </w:tcPr>
          <w:p>
            <w:pPr>
              <w:pStyle w:val="TableParagraph"/>
              <w:spacing w:line="222" w:lineRule="exact" w:before="89"/>
              <w:ind w:left="200"/>
              <w:rPr>
                <w:rFonts w:ascii="Times New Roman"/>
                <w:b/>
                <w:sz w:val="21"/>
              </w:rPr>
            </w:pPr>
            <w:r>
              <w:rPr>
                <w:rFonts w:ascii="Times New Roman"/>
                <w:b/>
                <w:sz w:val="21"/>
              </w:rPr>
              <w:t>26.</w:t>
            </w:r>
          </w:p>
        </w:tc>
        <w:tc>
          <w:tcPr>
            <w:tcW w:w="1227" w:type="dxa"/>
          </w:tcPr>
          <w:p>
            <w:pPr>
              <w:pStyle w:val="TableParagraph"/>
              <w:spacing w:line="271" w:lineRule="exact" w:before="40"/>
              <w:ind w:left="228"/>
              <w:rPr>
                <w:b/>
                <w:sz w:val="21"/>
              </w:rPr>
            </w:pPr>
            <w:r>
              <w:rPr>
                <w:b/>
                <w:sz w:val="21"/>
              </w:rPr>
              <w:t>肺切除：</w:t>
            </w:r>
          </w:p>
        </w:tc>
        <w:tc>
          <w:tcPr>
            <w:tcW w:w="7719" w:type="dxa"/>
          </w:tcPr>
          <w:p>
            <w:pPr>
              <w:pStyle w:val="TableParagraph"/>
              <w:spacing w:line="271" w:lineRule="exact" w:before="40"/>
              <w:ind w:left="155"/>
              <w:rPr>
                <w:rFonts w:ascii="黑体" w:eastAsia="黑体" w:hint="eastAsia"/>
                <w:sz w:val="21"/>
              </w:rPr>
            </w:pPr>
            <w:r>
              <w:rPr>
                <w:sz w:val="21"/>
              </w:rPr>
              <w:t>指因疾病或者意外伤害导致至少一个肺切除。</w:t>
            </w:r>
            <w:r>
              <w:rPr>
                <w:rFonts w:ascii="黑体" w:eastAsia="黑体" w:hint="eastAsia"/>
                <w:sz w:val="21"/>
              </w:rPr>
              <w:t>因捐赠肺而所需的肺切除不在保障</w:t>
            </w:r>
          </w:p>
        </w:tc>
      </w:tr>
    </w:tbl>
    <w:p>
      <w:pPr>
        <w:spacing w:after="0" w:line="271" w:lineRule="exact"/>
        <w:rPr>
          <w:rFonts w:ascii="黑体" w:eastAsia="黑体" w:hint="eastAsia"/>
          <w:sz w:val="21"/>
        </w:rPr>
        <w:sectPr>
          <w:pgSz w:w="11910" w:h="16840"/>
          <w:pgMar w:top="1580" w:bottom="280" w:left="1060" w:right="9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227"/>
        <w:gridCol w:w="7824"/>
      </w:tblGrid>
      <w:tr>
        <w:trPr>
          <w:trHeight w:val="308" w:hRule="atLeast"/>
        </w:trPr>
        <w:tc>
          <w:tcPr>
            <w:tcW w:w="692" w:type="dxa"/>
          </w:tcPr>
          <w:p>
            <w:pPr>
              <w:pStyle w:val="TableParagraph"/>
              <w:ind w:left="0"/>
              <w:rPr>
                <w:rFonts w:ascii="Times New Roman"/>
                <w:sz w:val="20"/>
              </w:rPr>
            </w:pPr>
          </w:p>
        </w:tc>
        <w:tc>
          <w:tcPr>
            <w:tcW w:w="1227" w:type="dxa"/>
          </w:tcPr>
          <w:p>
            <w:pPr>
              <w:pStyle w:val="TableParagraph"/>
              <w:ind w:left="0"/>
              <w:rPr>
                <w:rFonts w:ascii="Times New Roman"/>
                <w:sz w:val="20"/>
              </w:rPr>
            </w:pPr>
          </w:p>
        </w:tc>
        <w:tc>
          <w:tcPr>
            <w:tcW w:w="7824" w:type="dxa"/>
          </w:tcPr>
          <w:p>
            <w:pPr>
              <w:pStyle w:val="TableParagraph"/>
              <w:spacing w:line="211" w:lineRule="exact"/>
              <w:ind w:left="155"/>
              <w:rPr>
                <w:rFonts w:ascii="黑体" w:eastAsia="黑体" w:hint="eastAsia"/>
                <w:sz w:val="21"/>
              </w:rPr>
            </w:pPr>
            <w:r>
              <w:rPr>
                <w:rFonts w:ascii="黑体" w:eastAsia="黑体" w:hint="eastAsia"/>
                <w:sz w:val="21"/>
              </w:rPr>
              <w:t>范围内。</w:t>
            </w:r>
          </w:p>
        </w:tc>
      </w:tr>
      <w:tr>
        <w:trPr>
          <w:trHeight w:val="1612" w:hRule="atLeast"/>
        </w:trPr>
        <w:tc>
          <w:tcPr>
            <w:tcW w:w="692" w:type="dxa"/>
          </w:tcPr>
          <w:p>
            <w:pPr>
              <w:pStyle w:val="TableParagraph"/>
              <w:spacing w:before="89"/>
              <w:ind w:left="200"/>
              <w:rPr>
                <w:rFonts w:ascii="Times New Roman"/>
                <w:b/>
                <w:sz w:val="21"/>
              </w:rPr>
            </w:pPr>
            <w:r>
              <w:rPr>
                <w:rFonts w:ascii="Times New Roman"/>
                <w:b/>
                <w:sz w:val="21"/>
              </w:rPr>
              <w:t>27.</w:t>
            </w:r>
          </w:p>
        </w:tc>
        <w:tc>
          <w:tcPr>
            <w:tcW w:w="1227" w:type="dxa"/>
          </w:tcPr>
          <w:p>
            <w:pPr>
              <w:pStyle w:val="TableParagraph"/>
              <w:spacing w:line="261" w:lineRule="auto" w:before="40"/>
              <w:ind w:left="228" w:right="363"/>
              <w:rPr>
                <w:b/>
                <w:sz w:val="21"/>
              </w:rPr>
            </w:pPr>
            <w:r>
              <w:rPr>
                <w:b/>
                <w:sz w:val="21"/>
              </w:rPr>
              <w:t>单耳失聪：</w:t>
            </w:r>
          </w:p>
        </w:tc>
        <w:tc>
          <w:tcPr>
            <w:tcW w:w="7824" w:type="dxa"/>
          </w:tcPr>
          <w:p>
            <w:pPr>
              <w:pStyle w:val="TableParagraph"/>
              <w:spacing w:line="247" w:lineRule="auto" w:before="40"/>
              <w:ind w:left="155" w:right="303"/>
              <w:jc w:val="both"/>
              <w:rPr>
                <w:sz w:val="21"/>
              </w:rPr>
            </w:pPr>
            <w:r>
              <w:rPr>
                <w:spacing w:val="-6"/>
                <w:sz w:val="21"/>
              </w:rPr>
              <w:t>指因疾病或者意外伤害导致单耳听力永久不可逆性丧失，在 </w:t>
            </w:r>
            <w:r>
              <w:rPr>
                <w:rFonts w:ascii="Times New Roman" w:eastAsia="Times New Roman"/>
                <w:sz w:val="21"/>
              </w:rPr>
              <w:t>500 </w:t>
            </w:r>
            <w:r>
              <w:rPr>
                <w:spacing w:val="-9"/>
                <w:sz w:val="21"/>
              </w:rPr>
              <w:t>赫兹、</w:t>
            </w:r>
            <w:r>
              <w:rPr>
                <w:rFonts w:ascii="Times New Roman" w:eastAsia="Times New Roman"/>
                <w:sz w:val="21"/>
              </w:rPr>
              <w:t>1000 </w:t>
            </w:r>
            <w:r>
              <w:rPr>
                <w:sz w:val="21"/>
              </w:rPr>
              <w:t>赫兹</w:t>
            </w:r>
            <w:r>
              <w:rPr>
                <w:spacing w:val="-21"/>
                <w:sz w:val="21"/>
              </w:rPr>
              <w:t>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分贝，且经纯音听力测试、声导抗检测或者听觉诱发电位检测等证实。</w:t>
            </w:r>
          </w:p>
          <w:p>
            <w:pPr>
              <w:pStyle w:val="TableParagraph"/>
              <w:spacing w:line="261" w:lineRule="auto" w:before="18"/>
              <w:ind w:left="155" w:right="310"/>
              <w:jc w:val="both"/>
              <w:rPr>
                <w:rFonts w:ascii="黑体" w:eastAsia="黑体" w:hint="eastAsia"/>
                <w:sz w:val="21"/>
              </w:rPr>
            </w:pPr>
            <w:r>
              <w:rPr>
                <w:rFonts w:ascii="黑体" w:eastAsia="黑体" w:hint="eastAsia"/>
                <w:sz w:val="21"/>
              </w:rPr>
              <w:t>被保险人申请理赔时年龄必须在三周岁以上，并且需提供理赔当时的听力丧失诊断及检查证据。</w:t>
            </w:r>
          </w:p>
        </w:tc>
      </w:tr>
      <w:tr>
        <w:trPr>
          <w:trHeight w:val="1620" w:hRule="atLeast"/>
        </w:trPr>
        <w:tc>
          <w:tcPr>
            <w:tcW w:w="692" w:type="dxa"/>
          </w:tcPr>
          <w:p>
            <w:pPr>
              <w:pStyle w:val="TableParagraph"/>
              <w:spacing w:before="89"/>
              <w:ind w:left="200"/>
              <w:rPr>
                <w:rFonts w:ascii="Times New Roman"/>
                <w:b/>
                <w:sz w:val="21"/>
              </w:rPr>
            </w:pPr>
            <w:r>
              <w:rPr>
                <w:rFonts w:ascii="Times New Roman"/>
                <w:b/>
                <w:sz w:val="21"/>
              </w:rPr>
              <w:t>28.</w:t>
            </w:r>
          </w:p>
        </w:tc>
        <w:tc>
          <w:tcPr>
            <w:tcW w:w="1227" w:type="dxa"/>
          </w:tcPr>
          <w:p>
            <w:pPr>
              <w:pStyle w:val="TableParagraph"/>
              <w:spacing w:line="261" w:lineRule="auto" w:before="40"/>
              <w:ind w:left="228" w:right="152"/>
              <w:jc w:val="both"/>
              <w:rPr>
                <w:b/>
                <w:sz w:val="21"/>
              </w:rPr>
            </w:pPr>
            <w:r>
              <w:rPr>
                <w:b/>
                <w:sz w:val="21"/>
              </w:rPr>
              <w:t>轻型再生障碍性贫血：</w:t>
            </w:r>
          </w:p>
        </w:tc>
        <w:tc>
          <w:tcPr>
            <w:tcW w:w="7824" w:type="dxa"/>
          </w:tcPr>
          <w:p>
            <w:pPr>
              <w:pStyle w:val="TableParagraph"/>
              <w:spacing w:line="261" w:lineRule="auto" w:before="40"/>
              <w:ind w:left="155" w:right="309"/>
              <w:rPr>
                <w:sz w:val="21"/>
              </w:rPr>
            </w:pPr>
            <w:r>
              <w:rPr>
                <w:sz w:val="21"/>
              </w:rPr>
              <w:t>指因骨髓造血功能衰竭而导致的贫血、中性粒细胞减少和血小板减少，须由血液科医生诊断，且至少接受了下列一项治疗：</w:t>
            </w:r>
          </w:p>
          <w:p>
            <w:pPr>
              <w:pStyle w:val="TableParagraph"/>
              <w:spacing w:before="5"/>
              <w:ind w:left="155"/>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8"/>
              <w:ind w:left="155"/>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before="8"/>
              <w:ind w:left="155"/>
              <w:rPr>
                <w:sz w:val="21"/>
              </w:rPr>
            </w:pPr>
            <w:r>
              <w:rPr>
                <w:sz w:val="21"/>
              </w:rPr>
              <w:t>（</w:t>
            </w:r>
            <w:r>
              <w:rPr>
                <w:rFonts w:ascii="Times New Roman" w:eastAsia="Times New Roman"/>
                <w:sz w:val="21"/>
              </w:rPr>
              <w:t>3</w:t>
            </w:r>
            <w:r>
              <w:rPr>
                <w:sz w:val="21"/>
              </w:rPr>
              <w:t>）接受了骨髓移植。</w:t>
            </w:r>
          </w:p>
        </w:tc>
      </w:tr>
      <w:tr>
        <w:trPr>
          <w:trHeight w:val="1612" w:hRule="atLeast"/>
        </w:trPr>
        <w:tc>
          <w:tcPr>
            <w:tcW w:w="692" w:type="dxa"/>
          </w:tcPr>
          <w:p>
            <w:pPr>
              <w:pStyle w:val="TableParagraph"/>
              <w:spacing w:before="81"/>
              <w:ind w:left="200"/>
              <w:rPr>
                <w:rFonts w:ascii="Times New Roman"/>
                <w:b/>
                <w:sz w:val="21"/>
              </w:rPr>
            </w:pPr>
            <w:r>
              <w:rPr>
                <w:rFonts w:ascii="Times New Roman"/>
                <w:b/>
                <w:sz w:val="21"/>
              </w:rPr>
              <w:t>29.</w:t>
            </w:r>
          </w:p>
        </w:tc>
        <w:tc>
          <w:tcPr>
            <w:tcW w:w="1227" w:type="dxa"/>
          </w:tcPr>
          <w:p>
            <w:pPr>
              <w:pStyle w:val="TableParagraph"/>
              <w:spacing w:line="261" w:lineRule="auto" w:before="32"/>
              <w:ind w:left="228" w:right="152"/>
              <w:rPr>
                <w:b/>
                <w:sz w:val="21"/>
              </w:rPr>
            </w:pPr>
            <w:r>
              <w:rPr>
                <w:b/>
                <w:sz w:val="21"/>
              </w:rPr>
              <w:t>Ⅲ度房室传导阻 滞：</w:t>
            </w:r>
          </w:p>
        </w:tc>
        <w:tc>
          <w:tcPr>
            <w:tcW w:w="7824" w:type="dxa"/>
          </w:tcPr>
          <w:p>
            <w:pPr>
              <w:pStyle w:val="TableParagraph"/>
              <w:spacing w:line="261" w:lineRule="auto" w:before="32"/>
              <w:ind w:left="155" w:right="302"/>
              <w:rPr>
                <w:sz w:val="21"/>
              </w:rPr>
            </w:pPr>
            <w:r>
              <w:rPr>
                <w:sz w:val="21"/>
              </w:rPr>
              <w:t>指心房激动在房室交界区、房室束及其分支内发生阻滞，不能正常地传到心室的心脏传导性疾病须满足下列所有条件：</w:t>
            </w:r>
          </w:p>
          <w:p>
            <w:pPr>
              <w:pStyle w:val="TableParagraph"/>
              <w:spacing w:before="5"/>
              <w:ind w:left="155"/>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8"/>
              <w:ind w:left="155"/>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斯综合征或者心力衰竭的表现；</w:t>
            </w:r>
          </w:p>
          <w:p>
            <w:pPr>
              <w:pStyle w:val="TableParagraph"/>
              <w:spacing w:before="9"/>
              <w:ind w:left="155"/>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907" w:hRule="atLeast"/>
        </w:trPr>
        <w:tc>
          <w:tcPr>
            <w:tcW w:w="692" w:type="dxa"/>
          </w:tcPr>
          <w:p>
            <w:pPr>
              <w:pStyle w:val="TableParagraph"/>
              <w:spacing w:before="81"/>
              <w:ind w:left="200"/>
              <w:rPr>
                <w:rFonts w:ascii="Times New Roman"/>
                <w:b/>
                <w:sz w:val="21"/>
              </w:rPr>
            </w:pPr>
            <w:r>
              <w:rPr>
                <w:rFonts w:ascii="Times New Roman"/>
                <w:b/>
                <w:sz w:val="21"/>
              </w:rPr>
              <w:t>30.</w:t>
            </w:r>
          </w:p>
        </w:tc>
        <w:tc>
          <w:tcPr>
            <w:tcW w:w="1227" w:type="dxa"/>
          </w:tcPr>
          <w:p>
            <w:pPr>
              <w:pStyle w:val="TableParagraph"/>
              <w:spacing w:line="261" w:lineRule="auto" w:before="32"/>
              <w:ind w:left="228" w:right="363"/>
              <w:rPr>
                <w:b/>
                <w:sz w:val="21"/>
              </w:rPr>
            </w:pPr>
            <w:r>
              <w:rPr>
                <w:b/>
                <w:sz w:val="21"/>
              </w:rPr>
              <w:t>轻度瘫痪：</w:t>
            </w:r>
          </w:p>
        </w:tc>
        <w:tc>
          <w:tcPr>
            <w:tcW w:w="7824" w:type="dxa"/>
          </w:tcPr>
          <w:p>
            <w:pPr>
              <w:pStyle w:val="TableParagraph"/>
              <w:spacing w:line="300" w:lineRule="exact" w:before="37"/>
              <w:ind w:left="155" w:right="196"/>
              <w:rPr>
                <w:sz w:val="21"/>
              </w:rPr>
            </w:pPr>
            <w:r>
              <w:rPr>
                <w:spacing w:val="-7"/>
                <w:sz w:val="21"/>
              </w:rPr>
              <w:t>指因疾病或者意外伤害导致一肢肢体机能永久完全丧失。肢体机能永久完全丧失， </w:t>
            </w:r>
            <w:r>
              <w:rPr>
                <w:spacing w:val="-10"/>
                <w:sz w:val="21"/>
              </w:rPr>
              <w:t>指疾病确诊 </w:t>
            </w:r>
            <w:r>
              <w:rPr>
                <w:rFonts w:ascii="Times New Roman" w:eastAsia="Times New Roman"/>
                <w:sz w:val="21"/>
              </w:rPr>
              <w:t>180 </w:t>
            </w:r>
            <w:r>
              <w:rPr>
                <w:spacing w:val="-7"/>
                <w:sz w:val="21"/>
              </w:rPr>
              <w:t>日后或者意外伤害发生 </w:t>
            </w:r>
            <w:r>
              <w:rPr>
                <w:rFonts w:ascii="Times New Roman" w:eastAsia="Times New Roman"/>
                <w:sz w:val="21"/>
              </w:rPr>
              <w:t>180 </w:t>
            </w:r>
            <w:r>
              <w:rPr>
                <w:spacing w:val="-3"/>
                <w:sz w:val="21"/>
              </w:rPr>
              <w:t>日后，每肢三大关节中的两大关节仍然完全僵硬，或者不能随意识活动。</w:t>
            </w:r>
          </w:p>
        </w:tc>
      </w:tr>
    </w:tbl>
    <w:p>
      <w:pPr>
        <w:pStyle w:val="BodyText"/>
        <w:rPr>
          <w:sz w:val="20"/>
        </w:rPr>
      </w:pPr>
    </w:p>
    <w:p>
      <w:pPr>
        <w:pStyle w:val="BodyText"/>
        <w:spacing w:before="176"/>
        <w:ind w:left="4036" w:right="4213"/>
        <w:jc w:val="center"/>
      </w:pPr>
      <w:r>
        <w:rPr/>
        <w:t>（条款全文结束）</w:t>
      </w:r>
    </w:p>
    <w:sectPr>
      <w:pgSz w:w="11910" w:h="16840"/>
      <w:pgMar w:top="1480" w:bottom="280" w:left="10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19" w:right="2802"/>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lulan</dc:creator>
  <dc:title>人保寿险附加安祥意外伤害医疗保险条款目录</dc:title>
  <dcterms:created xsi:type="dcterms:W3CDTF">2018-10-20T08:15:31Z</dcterms:created>
  <dcterms:modified xsi:type="dcterms:W3CDTF">2018-10-20T08:15:31Z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Creator">
    <vt:lpwstr>Acrobat PDFMaker 9.0 Word 版</vt:lpwstr>
  </property>
  <property fmtid="{D5CDD505-2E9C-101B-9397-08002B2CF9AE}" pid="4" name="LastSaved">
    <vt:filetime>2018-10-20T00:00:00Z</vt:filetime>
  </property>
</Properties>
</file>