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drawing>
          <wp:anchor distT="0" distB="0" distL="0" distR="0" allowOverlap="1" layoutInCell="1" locked="0" behindDoc="1" simplePos="0" relativeHeight="268414799">
            <wp:simplePos x="0" y="0"/>
            <wp:positionH relativeFrom="page">
              <wp:posOffset>5642609</wp:posOffset>
            </wp:positionH>
            <wp:positionV relativeFrom="page">
              <wp:posOffset>1580514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8"/>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78" w:hRule="atLeast"/>
        </w:trPr>
        <w:tc>
          <w:tcPr>
            <w:tcW w:w="4659" w:type="dxa"/>
          </w:tcPr>
          <w:p>
            <w:pPr>
              <w:pStyle w:val="TableParagraph"/>
              <w:spacing w:before="0"/>
              <w:ind w:left="0"/>
              <w:rPr>
                <w:rFonts w:ascii="Times New Roman"/>
                <w:sz w:val="20"/>
              </w:rPr>
            </w:pPr>
          </w:p>
        </w:tc>
        <w:tc>
          <w:tcPr>
            <w:tcW w:w="4662" w:type="dxa"/>
          </w:tcPr>
          <w:p>
            <w:pPr>
              <w:pStyle w:val="TableParagraph"/>
              <w:spacing w:line="234" w:lineRule="exact" w:before="0"/>
              <w:ind w:left="1262"/>
              <w:rPr>
                <w:rFonts w:ascii="仿宋" w:eastAsia="仿宋" w:hint="eastAsia"/>
                <w:sz w:val="21"/>
              </w:rPr>
            </w:pPr>
            <w:r>
              <w:rPr>
                <w:rFonts w:ascii="仿宋" w:eastAsia="仿宋" w:hint="eastAsia"/>
                <w:sz w:val="21"/>
              </w:rPr>
              <w:t>中银三星人寿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023 </w:t>
            </w:r>
            <w:r>
              <w:rPr>
                <w:rFonts w:ascii="仿宋" w:eastAsia="仿宋" w:hint="eastAsia"/>
                <w:sz w:val="21"/>
              </w:rPr>
              <w:t>号</w:t>
            </w:r>
          </w:p>
        </w:tc>
      </w:tr>
      <w:tr>
        <w:trPr>
          <w:trHeight w:val="2005" w:hRule="atLeast"/>
        </w:trPr>
        <w:tc>
          <w:tcPr>
            <w:tcW w:w="9321" w:type="dxa"/>
            <w:gridSpan w:val="2"/>
          </w:tcPr>
          <w:p>
            <w:pPr>
              <w:pStyle w:val="TableParagraph"/>
              <w:spacing w:before="45"/>
              <w:ind w:left="2349" w:right="2352"/>
              <w:jc w:val="center"/>
              <w:rPr>
                <w:b/>
                <w:sz w:val="32"/>
              </w:rPr>
            </w:pPr>
            <w:r>
              <w:rPr>
                <w:b/>
                <w:w w:val="95"/>
                <w:sz w:val="32"/>
              </w:rPr>
              <w:t>中银三星人寿保险有限公司</w:t>
            </w:r>
          </w:p>
          <w:p>
            <w:pPr>
              <w:pStyle w:val="TableParagraph"/>
              <w:spacing w:before="130"/>
              <w:ind w:left="2351" w:right="2352"/>
              <w:jc w:val="center"/>
              <w:rPr>
                <w:b/>
                <w:sz w:val="24"/>
              </w:rPr>
            </w:pPr>
            <w:r>
              <w:rPr>
                <w:b/>
                <w:w w:val="95"/>
                <w:sz w:val="24"/>
              </w:rPr>
              <w:t>中银三星附加家诺少儿定期重大疾病保险条款</w:t>
            </w:r>
          </w:p>
          <w:p>
            <w:pPr>
              <w:pStyle w:val="TableParagraph"/>
              <w:spacing w:before="54"/>
              <w:ind w:left="2351" w:right="2351"/>
              <w:jc w:val="center"/>
              <w:rPr>
                <w:b/>
                <w:sz w:val="21"/>
              </w:rPr>
            </w:pPr>
            <w:r>
              <w:rPr>
                <w:b/>
                <w:sz w:val="21"/>
              </w:rPr>
              <w:t>（2015 年 9 月）</w:t>
            </w:r>
          </w:p>
          <w:p>
            <w:pPr>
              <w:pStyle w:val="TableParagraph"/>
              <w:spacing w:before="68"/>
              <w:ind w:left="0" w:right="104"/>
              <w:jc w:val="right"/>
              <w:rPr>
                <w:rFonts w:ascii="仿宋" w:eastAsia="仿宋" w:hint="eastAsia"/>
                <w:sz w:val="21"/>
              </w:rPr>
            </w:pPr>
            <w:r>
              <w:rPr>
                <w:rFonts w:ascii="仿宋" w:eastAsia="仿宋" w:hint="eastAsia"/>
                <w:sz w:val="21"/>
              </w:rPr>
              <w:t>请扫描以查询验证条款</w:t>
            </w:r>
          </w:p>
        </w:tc>
      </w:tr>
      <w:tr>
        <w:trPr>
          <w:trHeight w:val="1087" w:hRule="atLeast"/>
        </w:trPr>
        <w:tc>
          <w:tcPr>
            <w:tcW w:w="9321" w:type="dxa"/>
            <w:gridSpan w:val="2"/>
          </w:tcPr>
          <w:p>
            <w:pPr>
              <w:pStyle w:val="TableParagraph"/>
              <w:spacing w:before="0"/>
              <w:ind w:left="0"/>
              <w:rPr>
                <w:rFonts w:ascii="Times New Roman"/>
                <w:sz w:val="20"/>
              </w:rPr>
            </w:pPr>
          </w:p>
          <w:p>
            <w:pPr>
              <w:pStyle w:val="TableParagraph"/>
              <w:spacing w:before="130"/>
              <w:ind w:left="1075"/>
              <w:rPr>
                <w:b/>
                <w:sz w:val="21"/>
              </w:rPr>
            </w:pPr>
            <w:r>
              <w:rPr>
                <w:b/>
                <w:sz w:val="21"/>
              </w:rPr>
              <w:t>在阅读条款正文之前，浏览一下条款目录有助于对条款结构有一个大致了解。</w:t>
            </w:r>
          </w:p>
        </w:tc>
      </w:tr>
      <w:tr>
        <w:trPr>
          <w:trHeight w:val="434" w:hRule="atLeast"/>
        </w:trPr>
        <w:tc>
          <w:tcPr>
            <w:tcW w:w="9321" w:type="dxa"/>
            <w:gridSpan w:val="2"/>
            <w:shd w:val="clear" w:color="auto" w:fill="CCCCCC"/>
          </w:tcPr>
          <w:p>
            <w:pPr>
              <w:pStyle w:val="TableParagraph"/>
              <w:spacing w:before="48"/>
              <w:ind w:left="2351" w:right="2350"/>
              <w:jc w:val="center"/>
              <w:rPr>
                <w:b/>
                <w:sz w:val="21"/>
              </w:rPr>
            </w:pPr>
            <w:r>
              <w:rPr>
                <w:b/>
                <w:sz w:val="21"/>
              </w:rPr>
              <w:t>条款目录</w:t>
            </w:r>
          </w:p>
        </w:tc>
      </w:tr>
      <w:tr>
        <w:trPr>
          <w:trHeight w:val="6955" w:hRule="atLeast"/>
        </w:trPr>
        <w:tc>
          <w:tcPr>
            <w:tcW w:w="4659" w:type="dxa"/>
            <w:tcBorders>
              <w:right w:val="single" w:sz="4" w:space="0" w:color="000000"/>
            </w:tcBorders>
          </w:tcPr>
          <w:p>
            <w:pPr>
              <w:pStyle w:val="TableParagraph"/>
              <w:tabs>
                <w:tab w:pos="1579" w:val="left" w:leader="none"/>
              </w:tabs>
              <w:spacing w:line="300" w:lineRule="auto" w:before="47"/>
              <w:ind w:left="530" w:right="1380" w:hanging="423"/>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pacing w:val="-3"/>
                <w:sz w:val="21"/>
              </w:rPr>
              <w:t>第</w:t>
            </w:r>
            <w:r>
              <w:rPr>
                <w:sz w:val="21"/>
              </w:rPr>
              <w:t>一条</w:t>
              <w:tab/>
              <w:t>附</w:t>
            </w:r>
            <w:r>
              <w:rPr>
                <w:spacing w:val="-3"/>
                <w:sz w:val="21"/>
              </w:rPr>
              <w:t>加</w:t>
            </w:r>
            <w:r>
              <w:rPr>
                <w:sz w:val="21"/>
              </w:rPr>
              <w:t>保</w:t>
            </w:r>
            <w:r>
              <w:rPr>
                <w:spacing w:val="-3"/>
                <w:sz w:val="21"/>
              </w:rPr>
              <w:t>险</w:t>
            </w:r>
            <w:r>
              <w:rPr>
                <w:sz w:val="21"/>
              </w:rPr>
              <w:t>合同</w:t>
            </w:r>
            <w:r>
              <w:rPr>
                <w:spacing w:val="-3"/>
                <w:sz w:val="21"/>
              </w:rPr>
              <w:t>订</w:t>
            </w:r>
            <w:r>
              <w:rPr>
                <w:sz w:val="21"/>
              </w:rPr>
              <w:t>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8"/>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line="300" w:lineRule="auto" w:before="15"/>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8"/>
              <w:ind w:left="108" w:right="1810"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6"/>
              <w:ind w:left="528" w:right="2021"/>
              <w:rPr>
                <w:sz w:val="21"/>
              </w:rPr>
            </w:pPr>
            <w:r>
              <w:rPr>
                <w:sz w:val="21"/>
              </w:rPr>
              <w:t>第十</w:t>
            </w:r>
            <w:r>
              <w:rPr>
                <w:spacing w:val="-3"/>
                <w:sz w:val="21"/>
              </w:rPr>
              <w:t>一</w:t>
            </w:r>
            <w:r>
              <w:rPr>
                <w:sz w:val="21"/>
              </w:rPr>
              <w:t>条</w:t>
              <w:tab/>
              <w:t>保</w:t>
            </w:r>
            <w:r>
              <w:rPr>
                <w:spacing w:val="-3"/>
                <w:sz w:val="21"/>
              </w:rPr>
              <w:t>险</w:t>
            </w:r>
            <w:r>
              <w:rPr>
                <w:sz w:val="21"/>
              </w:rPr>
              <w:t>金</w:t>
            </w:r>
            <w:r>
              <w:rPr>
                <w:spacing w:val="-3"/>
                <w:sz w:val="21"/>
              </w:rPr>
              <w:t>申</w:t>
            </w:r>
            <w:r>
              <w:rPr>
                <w:sz w:val="21"/>
              </w:rPr>
              <w:t>请 第十</w:t>
            </w:r>
            <w:r>
              <w:rPr>
                <w:spacing w:val="-3"/>
                <w:sz w:val="21"/>
              </w:rPr>
              <w:t>二</w:t>
            </w:r>
            <w:r>
              <w:rPr>
                <w:sz w:val="21"/>
              </w:rPr>
              <w:t>条</w:t>
              <w:tab/>
              <w:t>保</w:t>
            </w:r>
            <w:r>
              <w:rPr>
                <w:spacing w:val="-3"/>
                <w:sz w:val="21"/>
              </w:rPr>
              <w:t>险</w:t>
            </w:r>
            <w:r>
              <w:rPr>
                <w:sz w:val="21"/>
              </w:rPr>
              <w:t>金</w:t>
            </w:r>
            <w:r>
              <w:rPr>
                <w:spacing w:val="-3"/>
                <w:sz w:val="21"/>
              </w:rPr>
              <w:t>给</w:t>
            </w:r>
            <w:r>
              <w:rPr>
                <w:sz w:val="21"/>
              </w:rPr>
              <w:t>付 第十</w:t>
            </w:r>
            <w:r>
              <w:rPr>
                <w:spacing w:val="-3"/>
                <w:sz w:val="21"/>
              </w:rPr>
              <w:t>三</w:t>
            </w:r>
            <w:r>
              <w:rPr>
                <w:sz w:val="21"/>
              </w:rPr>
              <w:t>条</w:t>
              <w:tab/>
              <w:t>诉</w:t>
            </w:r>
            <w:r>
              <w:rPr>
                <w:spacing w:val="-3"/>
                <w:sz w:val="21"/>
              </w:rPr>
              <w:t>讼</w:t>
            </w:r>
            <w:r>
              <w:rPr>
                <w:sz w:val="21"/>
              </w:rPr>
              <w:t>时效 第十</w:t>
            </w:r>
            <w:r>
              <w:rPr>
                <w:spacing w:val="-3"/>
                <w:sz w:val="21"/>
              </w:rPr>
              <w:t>四</w:t>
            </w:r>
            <w:r>
              <w:rPr>
                <w:sz w:val="21"/>
              </w:rPr>
              <w:t>条</w:t>
              <w:tab/>
              <w:t>犹</w:t>
            </w:r>
            <w:r>
              <w:rPr>
                <w:spacing w:val="-3"/>
                <w:sz w:val="21"/>
              </w:rPr>
              <w:t>豫</w:t>
            </w:r>
            <w:r>
              <w:rPr>
                <w:sz w:val="21"/>
              </w:rPr>
              <w:t>期</w:t>
            </w:r>
          </w:p>
          <w:p>
            <w:pPr>
              <w:pStyle w:val="TableParagraph"/>
              <w:tabs>
                <w:tab w:pos="1579" w:val="left" w:leader="none"/>
              </w:tabs>
              <w:spacing w:before="16"/>
              <w:ind w:left="528"/>
              <w:rPr>
                <w:sz w:val="21"/>
              </w:rPr>
            </w:pPr>
            <w:r>
              <w:rPr>
                <w:sz w:val="21"/>
              </w:rPr>
              <w:t>第十</w:t>
            </w:r>
            <w:r>
              <w:rPr>
                <w:spacing w:val="-3"/>
                <w:sz w:val="21"/>
              </w:rPr>
              <w:t>五</w:t>
            </w:r>
            <w:r>
              <w:rPr>
                <w:sz w:val="21"/>
              </w:rPr>
              <w:t>条</w:t>
              <w:tab/>
              <w:t>受</w:t>
            </w:r>
            <w:r>
              <w:rPr>
                <w:spacing w:val="-3"/>
                <w:sz w:val="21"/>
              </w:rPr>
              <w:t>益</w:t>
            </w:r>
            <w:r>
              <w:rPr>
                <w:sz w:val="21"/>
              </w:rPr>
              <w:t>人</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8"/>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7"/>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7"/>
              <w:ind w:left="523"/>
              <w:rPr>
                <w:sz w:val="21"/>
              </w:rPr>
            </w:pPr>
            <w:r>
              <w:rPr>
                <w:sz w:val="21"/>
              </w:rPr>
              <w:t>十</w:t>
              <w:tab/>
              <w:t>现</w:t>
            </w:r>
            <w:r>
              <w:rPr>
                <w:spacing w:val="-3"/>
                <w:sz w:val="21"/>
              </w:rPr>
              <w:t>金</w:t>
            </w:r>
            <w:r>
              <w:rPr>
                <w:sz w:val="21"/>
              </w:rPr>
              <w:t>价值</w:t>
            </w:r>
          </w:p>
          <w:p>
            <w:pPr>
              <w:pStyle w:val="TableParagraph"/>
              <w:tabs>
                <w:tab w:pos="1574" w:val="left" w:leader="none"/>
              </w:tabs>
              <w:spacing w:before="67"/>
              <w:ind w:left="523"/>
              <w:rPr>
                <w:sz w:val="21"/>
              </w:rPr>
            </w:pPr>
            <w:r>
              <w:rPr>
                <w:sz w:val="21"/>
              </w:rPr>
              <w:t>十一</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67"/>
              <w:ind w:left="523"/>
              <w:rPr>
                <w:sz w:val="21"/>
              </w:rPr>
            </w:pPr>
            <w:r>
              <w:rPr>
                <w:sz w:val="21"/>
              </w:rPr>
              <w:t>十二</w:t>
              <w:tab/>
              <w:t>周岁</w:t>
            </w:r>
          </w:p>
          <w:p>
            <w:pPr>
              <w:pStyle w:val="TableParagraph"/>
              <w:tabs>
                <w:tab w:pos="1574" w:val="left" w:leader="none"/>
              </w:tabs>
              <w:spacing w:before="67"/>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7"/>
              <w:ind w:left="1574" w:right="105" w:hanging="1052"/>
              <w:rPr>
                <w:sz w:val="21"/>
              </w:rPr>
            </w:pPr>
            <w:r>
              <w:rPr>
                <w:sz w:val="21"/>
              </w:rPr>
              <w:t>十四</w:t>
              <w:tab/>
              <w:tab/>
              <w:t>语言能力或咀嚼吞咽能力完全丧 失</w:t>
            </w:r>
          </w:p>
          <w:p>
            <w:pPr>
              <w:pStyle w:val="TableParagraph"/>
              <w:tabs>
                <w:tab w:pos="1574" w:val="left" w:leader="none"/>
              </w:tabs>
              <w:spacing w:line="300" w:lineRule="auto" w:before="15"/>
              <w:ind w:left="523" w:right="977"/>
              <w:rPr>
                <w:sz w:val="21"/>
              </w:rPr>
            </w:pPr>
            <w:r>
              <w:rPr>
                <w:sz w:val="21"/>
              </w:rPr>
              <w:t>十五</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十六</w:t>
              <w:tab/>
              <w:t>专</w:t>
            </w:r>
            <w:r>
              <w:rPr>
                <w:spacing w:val="-3"/>
                <w:sz w:val="21"/>
              </w:rPr>
              <w:t>科</w:t>
            </w:r>
            <w:r>
              <w:rPr>
                <w:sz w:val="21"/>
              </w:rPr>
              <w:t>医生</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477"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73" w:hRule="atLeast"/>
        </w:trPr>
        <w:tc>
          <w:tcPr>
            <w:tcW w:w="9372" w:type="dxa"/>
            <w:gridSpan w:val="3"/>
          </w:tcPr>
          <w:p>
            <w:pPr>
              <w:pStyle w:val="TableParagraph"/>
              <w:spacing w:before="133"/>
              <w:ind w:left="1574"/>
              <w:rPr>
                <w:b/>
                <w:sz w:val="21"/>
              </w:rPr>
            </w:pPr>
            <w:r>
              <w:rPr>
                <w:b/>
                <w:sz w:val="21"/>
              </w:rPr>
              <w:t>条款是保险合同的重要组成部分，请投保人、被保险人、受益人仔细阅读。</w:t>
            </w:r>
          </w:p>
        </w:tc>
      </w:tr>
      <w:tr>
        <w:trPr>
          <w:trHeight w:val="343" w:hRule="atLeast"/>
        </w:trPr>
        <w:tc>
          <w:tcPr>
            <w:tcW w:w="1070" w:type="dxa"/>
            <w:shd w:val="clear" w:color="auto" w:fill="CCCCCC"/>
          </w:tcPr>
          <w:p>
            <w:pPr>
              <w:pStyle w:val="TableParagraph"/>
              <w:spacing w:before="2"/>
              <w:ind w:left="108"/>
              <w:rPr>
                <w:b/>
                <w:sz w:val="21"/>
              </w:rPr>
            </w:pPr>
            <w:r>
              <w:rPr>
                <w:b/>
                <w:sz w:val="21"/>
              </w:rPr>
              <w:t>第一章</w:t>
            </w:r>
          </w:p>
        </w:tc>
        <w:tc>
          <w:tcPr>
            <w:tcW w:w="8302" w:type="dxa"/>
            <w:gridSpan w:val="2"/>
            <w:shd w:val="clear" w:color="auto" w:fill="CCCCCC"/>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right="-15"/>
              <w:rPr>
                <w:sz w:val="21"/>
              </w:rPr>
            </w:pPr>
            <w:r>
              <w:rPr>
                <w:spacing w:val="-3"/>
                <w:sz w:val="21"/>
              </w:rPr>
              <w:t>《中银三星附加家诺少儿定期重大疾病保险》合同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343" w:hRule="atLeast"/>
        </w:trPr>
        <w:tc>
          <w:tcPr>
            <w:tcW w:w="1070" w:type="dxa"/>
            <w:shd w:val="clear" w:color="auto" w:fill="CCCCCC"/>
          </w:tcPr>
          <w:p>
            <w:pPr>
              <w:pStyle w:val="TableParagraph"/>
              <w:spacing w:before="2"/>
              <w:ind w:left="108"/>
              <w:rPr>
                <w:b/>
                <w:sz w:val="21"/>
              </w:rPr>
            </w:pPr>
            <w:r>
              <w:rPr>
                <w:b/>
                <w:sz w:val="21"/>
              </w:rPr>
              <w:t>第二章</w:t>
            </w:r>
          </w:p>
        </w:tc>
        <w:tc>
          <w:tcPr>
            <w:tcW w:w="8302" w:type="dxa"/>
            <w:gridSpan w:val="2"/>
            <w:shd w:val="clear" w:color="auto" w:fill="CCCCCC"/>
          </w:tcPr>
          <w:p>
            <w:pPr>
              <w:pStyle w:val="TableParagraph"/>
              <w:spacing w:before="2"/>
              <w:ind w:left="329"/>
              <w:rPr>
                <w:b/>
                <w:sz w:val="21"/>
              </w:rPr>
            </w:pPr>
            <w:r>
              <w:rPr>
                <w:b/>
                <w:sz w:val="21"/>
              </w:rPr>
              <w:t>保险责任及责任免除</w:t>
            </w:r>
          </w:p>
        </w:tc>
      </w:tr>
      <w:tr>
        <w:trPr>
          <w:trHeight w:val="6349"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right="1575"/>
              <w:rPr>
                <w:sz w:val="21"/>
              </w:rPr>
            </w:pPr>
            <w:r>
              <w:rPr>
                <w:sz w:val="21"/>
              </w:rPr>
              <w:t>在本附加合同有效期内，本公司承担下列保险责任： 一、重大疾病保险金</w:t>
            </w:r>
          </w:p>
          <w:p>
            <w:pPr>
              <w:pStyle w:val="TableParagraph"/>
              <w:spacing w:line="300" w:lineRule="auto" w:before="16"/>
              <w:ind w:right="99"/>
              <w:jc w:val="both"/>
              <w:rPr>
                <w:b/>
                <w:sz w:val="21"/>
              </w:rPr>
            </w:pPr>
            <w:r>
              <w:rPr>
                <w:spacing w:val="-3"/>
                <w:sz w:val="21"/>
              </w:rPr>
              <w:t>若被保险人于本附加合同生效日</w:t>
            </w:r>
            <w:r>
              <w:rPr>
                <w:sz w:val="21"/>
              </w:rPr>
              <w:t>（</w:t>
            </w:r>
            <w:r>
              <w:rPr>
                <w:spacing w:val="-3"/>
                <w:sz w:val="21"/>
              </w:rPr>
              <w:t>对于恢复效力的合同，则为最后一次效力恢复日</w:t>
            </w:r>
            <w:r>
              <w:rPr>
                <w:spacing w:val="-29"/>
                <w:sz w:val="21"/>
              </w:rPr>
              <w:t>）</w:t>
            </w:r>
            <w:r>
              <w:rPr>
                <w:spacing w:val="-19"/>
                <w:sz w:val="21"/>
              </w:rPr>
              <w:t>起 </w:t>
            </w:r>
            <w:r>
              <w:rPr>
                <w:sz w:val="21"/>
              </w:rPr>
              <w:t>90</w:t>
            </w:r>
            <w:r>
              <w:rPr>
                <w:spacing w:val="-10"/>
                <w:sz w:val="21"/>
              </w:rPr>
              <w:t> 日后初次发病，并经</w:t>
            </w:r>
            <w:r>
              <w:rPr>
                <w:b/>
                <w:spacing w:val="-12"/>
                <w:sz w:val="21"/>
              </w:rPr>
              <w:t>医院</w:t>
            </w:r>
            <w:r>
              <w:rPr>
                <w:spacing w:val="-3"/>
                <w:sz w:val="21"/>
              </w:rPr>
              <w:t>（见释义二</w:t>
            </w:r>
            <w:r>
              <w:rPr>
                <w:spacing w:val="-27"/>
                <w:sz w:val="21"/>
              </w:rPr>
              <w:t>）</w:t>
            </w:r>
            <w:r>
              <w:rPr>
                <w:spacing w:val="-3"/>
                <w:sz w:val="21"/>
              </w:rPr>
              <w:t>确诊患本附加合同所定义的</w:t>
            </w:r>
            <w:r>
              <w:rPr>
                <w:b/>
                <w:sz w:val="21"/>
              </w:rPr>
              <w:t>重大疾病</w:t>
            </w:r>
            <w:r>
              <w:rPr>
                <w:sz w:val="21"/>
              </w:rPr>
              <w:t>（</w:t>
            </w:r>
            <w:r>
              <w:rPr>
                <w:spacing w:val="-3"/>
                <w:sz w:val="21"/>
              </w:rPr>
              <w:t>见释义三</w:t>
            </w:r>
            <w:r>
              <w:rPr>
                <w:sz w:val="21"/>
              </w:rPr>
              <w:t>）（</w:t>
            </w:r>
            <w:r>
              <w:rPr>
                <w:spacing w:val="-3"/>
                <w:sz w:val="21"/>
              </w:rPr>
              <w:t>无论一种或多种</w:t>
            </w:r>
            <w:r>
              <w:rPr>
                <w:sz w:val="21"/>
              </w:rPr>
              <w:t>）</w:t>
            </w:r>
            <w:r>
              <w:rPr>
                <w:spacing w:val="-2"/>
                <w:sz w:val="21"/>
              </w:rPr>
              <w:t>，且确</w:t>
            </w:r>
            <w:r>
              <w:rPr>
                <w:spacing w:val="-20"/>
                <w:sz w:val="21"/>
              </w:rPr>
              <w:t>诊 </w:t>
            </w:r>
            <w:r>
              <w:rPr>
                <w:sz w:val="21"/>
              </w:rPr>
              <w:t>30</w:t>
            </w:r>
            <w:r>
              <w:rPr>
                <w:spacing w:val="-14"/>
                <w:sz w:val="21"/>
              </w:rPr>
              <w:t> 日后仍生存，本公司按本附加合同的基本保险金额给付重大疾病</w:t>
            </w:r>
            <w:r>
              <w:rPr>
                <w:spacing w:val="-7"/>
                <w:sz w:val="21"/>
              </w:rPr>
              <w:t>保险金，本附加合同终止。但因本附加合同有效期内发生的</w:t>
            </w:r>
            <w:r>
              <w:rPr>
                <w:b/>
                <w:sz w:val="21"/>
              </w:rPr>
              <w:t>意外伤害</w:t>
            </w:r>
          </w:p>
          <w:p>
            <w:pPr>
              <w:pStyle w:val="TableParagraph"/>
              <w:spacing w:before="16"/>
              <w:rPr>
                <w:sz w:val="21"/>
              </w:rPr>
            </w:pPr>
            <w:r>
              <w:rPr>
                <w:sz w:val="21"/>
              </w:rPr>
              <w:t>（见释义四）导致重大疾病不受上述 90 日的限制。</w:t>
            </w:r>
          </w:p>
          <w:p>
            <w:pPr>
              <w:pStyle w:val="TableParagraph"/>
              <w:spacing w:line="300" w:lineRule="auto" w:before="68"/>
              <w:ind w:right="99"/>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3"/>
                <w:sz w:val="21"/>
              </w:rPr>
              <w:t>本附加合同的累计已交保险费，本附加合同终止。</w:t>
            </w:r>
          </w:p>
          <w:p>
            <w:pPr>
              <w:pStyle w:val="TableParagraph"/>
              <w:spacing w:line="300" w:lineRule="auto" w:before="16"/>
              <w:ind w:right="104"/>
              <w:jc w:val="both"/>
              <w:rPr>
                <w:sz w:val="21"/>
              </w:rPr>
            </w:pPr>
            <w:r>
              <w:rPr>
                <w:sz w:val="21"/>
              </w:rPr>
              <w:t>本附加合同的累计已交保险费按照确诊患重大疾病时的基本保险金额对应的保险费确定。</w:t>
            </w:r>
          </w:p>
          <w:p>
            <w:pPr>
              <w:pStyle w:val="TableParagraph"/>
              <w:spacing w:before="16"/>
              <w:rPr>
                <w:sz w:val="21"/>
              </w:rPr>
            </w:pPr>
            <w:r>
              <w:rPr>
                <w:sz w:val="21"/>
              </w:rPr>
              <w:t>二、身故保险金</w:t>
            </w:r>
          </w:p>
          <w:p>
            <w:pPr>
              <w:pStyle w:val="TableParagraph"/>
              <w:spacing w:line="300" w:lineRule="auto" w:before="68"/>
              <w:ind w:right="104"/>
              <w:jc w:val="both"/>
              <w:rPr>
                <w:sz w:val="21"/>
              </w:rPr>
            </w:pPr>
            <w:r>
              <w:rPr>
                <w:sz w:val="21"/>
              </w:rPr>
              <w:t>若被保险人身故，本公司按本附加合同的累计已交保险费给付身故保险金，本附加合同终止。</w:t>
            </w:r>
          </w:p>
          <w:p>
            <w:pPr>
              <w:pStyle w:val="TableParagraph"/>
              <w:spacing w:line="300" w:lineRule="auto" w:before="15"/>
              <w:ind w:right="104"/>
              <w:jc w:val="both"/>
              <w:rPr>
                <w:sz w:val="21"/>
              </w:rPr>
            </w:pPr>
            <w:r>
              <w:rPr>
                <w:sz w:val="21"/>
              </w:rPr>
              <w:t>本附加合同的累计已交保险费按照身故时的基本保险金额对应的保险费确定。</w:t>
            </w:r>
          </w:p>
        </w:tc>
      </w:tr>
      <w:tr>
        <w:trPr>
          <w:trHeight w:val="1821" w:hRule="atLeast"/>
        </w:trPr>
        <w:tc>
          <w:tcPr>
            <w:tcW w:w="1070" w:type="dxa"/>
          </w:tcPr>
          <w:p>
            <w:pPr>
              <w:pStyle w:val="TableParagraph"/>
              <w:ind w:left="108"/>
              <w:rPr>
                <w:sz w:val="21"/>
              </w:rPr>
            </w:pPr>
            <w:r>
              <w:rPr>
                <w:sz w:val="21"/>
              </w:rPr>
              <w:t>第三条</w:t>
            </w:r>
          </w:p>
        </w:tc>
        <w:tc>
          <w:tcPr>
            <w:tcW w:w="1740" w:type="dxa"/>
          </w:tcPr>
          <w:p>
            <w:pPr>
              <w:pStyle w:val="TableParagraph"/>
              <w:ind w:left="329"/>
              <w:rPr>
                <w:sz w:val="21"/>
              </w:rPr>
            </w:pPr>
            <w:r>
              <w:rPr>
                <w:sz w:val="21"/>
              </w:rPr>
              <w:t>责任免除</w:t>
            </w:r>
          </w:p>
        </w:tc>
        <w:tc>
          <w:tcPr>
            <w:tcW w:w="6562" w:type="dxa"/>
          </w:tcPr>
          <w:p>
            <w:pPr>
              <w:pStyle w:val="TableParagraph"/>
              <w:spacing w:line="300" w:lineRule="auto"/>
              <w:ind w:right="101"/>
              <w:rPr>
                <w:sz w:val="21"/>
              </w:rPr>
            </w:pPr>
            <w:r>
              <w:rPr>
                <w:sz w:val="21"/>
              </w:rPr>
              <w:t>因下列情形之一或在效力中止期间被保险人身故、患重大疾病、达到疾病状态或进行手术的，本公司不承担保险责任：</w:t>
            </w:r>
          </w:p>
          <w:p>
            <w:pPr>
              <w:pStyle w:val="TableParagraph"/>
              <w:spacing w:before="15"/>
              <w:rPr>
                <w:sz w:val="21"/>
              </w:rPr>
            </w:pPr>
            <w:r>
              <w:rPr>
                <w:sz w:val="21"/>
              </w:rPr>
              <w:t>一、投保人对被保险人的故意杀害、故意伤害；</w:t>
            </w:r>
          </w:p>
          <w:p>
            <w:pPr>
              <w:pStyle w:val="TableParagraph"/>
              <w:spacing w:line="340" w:lineRule="atLeast" w:before="2"/>
              <w:ind w:left="608" w:right="105" w:hanging="459"/>
              <w:rPr>
                <w:sz w:val="21"/>
              </w:rPr>
            </w:pPr>
            <w:r>
              <w:rPr>
                <w:sz w:val="21"/>
              </w:rPr>
              <w:t>二、被保险人故意自伤、故意犯罪或者抗拒依法采取的刑事强制措施；</w:t>
            </w:r>
          </w:p>
        </w:tc>
      </w:tr>
    </w:tbl>
    <w:p>
      <w:pPr>
        <w:spacing w:after="0" w:line="340" w:lineRule="atLeast"/>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473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三、被保险人自本附加合同成立或者本附加合同最后效力恢复之日</w:t>
            </w:r>
          </w:p>
          <w:p>
            <w:pPr>
              <w:pStyle w:val="TableParagraph"/>
              <w:spacing w:line="300" w:lineRule="auto" w:before="68"/>
              <w:ind w:right="68" w:firstLine="458"/>
              <w:rPr>
                <w:sz w:val="21"/>
              </w:rPr>
            </w:pPr>
            <w:r>
              <w:rPr>
                <w:spacing w:val="-20"/>
                <w:sz w:val="21"/>
              </w:rPr>
              <w:t>起 </w:t>
            </w:r>
            <w:r>
              <w:rPr>
                <w:sz w:val="21"/>
              </w:rPr>
              <w:t>2</w:t>
            </w:r>
            <w:r>
              <w:rPr>
                <w:spacing w:val="-8"/>
                <w:sz w:val="21"/>
              </w:rPr>
              <w:t> 年内自杀，但被保险人自杀时为无民事行为能力人的除外； </w:t>
            </w:r>
            <w:r>
              <w:rPr>
                <w:spacing w:val="-3"/>
                <w:sz w:val="21"/>
              </w:rPr>
              <w:t>四、被保险人主动吸食或注射</w:t>
            </w:r>
            <w:r>
              <w:rPr>
                <w:b/>
                <w:sz w:val="21"/>
              </w:rPr>
              <w:t>毒品</w:t>
            </w:r>
            <w:r>
              <w:rPr>
                <w:sz w:val="21"/>
              </w:rPr>
              <w:t>（</w:t>
            </w:r>
            <w:r>
              <w:rPr>
                <w:spacing w:val="-3"/>
                <w:sz w:val="21"/>
              </w:rPr>
              <w:t>见释义五）；</w:t>
            </w:r>
          </w:p>
          <w:p>
            <w:pPr>
              <w:pStyle w:val="TableParagraph"/>
              <w:spacing w:line="300" w:lineRule="auto" w:before="15"/>
              <w:ind w:left="608" w:right="59" w:hanging="459"/>
              <w:rPr>
                <w:sz w:val="21"/>
              </w:rPr>
            </w:pPr>
            <w:r>
              <w:rPr>
                <w:sz w:val="21"/>
              </w:rPr>
              <w:t>五、被保险人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300" w:lineRule="auto" w:before="15"/>
              <w:ind w:right="68"/>
              <w:jc w:val="both"/>
              <w:rPr>
                <w:sz w:val="21"/>
              </w:rPr>
            </w:pPr>
            <w:r>
              <w:rPr>
                <w:sz w:val="21"/>
              </w:rPr>
              <w:t>六、战争、军事冲突、暴乱或武装叛乱；核爆炸、核辐射或核污染； 七、</w:t>
            </w:r>
            <w:r>
              <w:rPr>
                <w:b/>
                <w:sz w:val="21"/>
              </w:rPr>
              <w:t>先天性畸形、变形或染色体异常</w:t>
            </w:r>
            <w:r>
              <w:rPr>
                <w:sz w:val="21"/>
              </w:rPr>
              <w:t>(见释义九)。</w:t>
            </w:r>
          </w:p>
          <w:p>
            <w:pPr>
              <w:pStyle w:val="TableParagraph"/>
              <w:spacing w:line="300" w:lineRule="auto" w:before="15"/>
              <w:ind w:right="102"/>
              <w:jc w:val="both"/>
              <w:rPr>
                <w:sz w:val="21"/>
              </w:rPr>
            </w:pPr>
            <w:r>
              <w:rPr>
                <w:sz w:val="21"/>
              </w:rPr>
              <w:t>发生上述第一项情形导致被保险人身故、患重大疾病、达到疾病状态或进行手术的，本附加合同终止，本公司向其他权利人退还本附加合同的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6"/>
              <w:ind w:right="102"/>
              <w:jc w:val="both"/>
              <w:rPr>
                <w:sz w:val="21"/>
              </w:rPr>
            </w:pPr>
            <w:r>
              <w:rPr>
                <w:sz w:val="21"/>
              </w:rPr>
              <w:t>发生上述其他情形导致被保险人身故、患重大疾病、达到疾病状态或进行手术的，本附加合同终止，本公司向投保人退还本附加合同的现金价值。</w:t>
            </w:r>
          </w:p>
        </w:tc>
      </w:tr>
      <w:tr>
        <w:trPr>
          <w:trHeight w:val="343" w:hRule="atLeast"/>
        </w:trPr>
        <w:tc>
          <w:tcPr>
            <w:tcW w:w="1070" w:type="dxa"/>
            <w:shd w:val="clear" w:color="auto" w:fill="CCCCCC"/>
          </w:tcPr>
          <w:p>
            <w:pPr>
              <w:pStyle w:val="TableParagraph"/>
              <w:spacing w:before="2"/>
              <w:ind w:left="108"/>
              <w:rPr>
                <w:b/>
                <w:sz w:val="21"/>
              </w:rPr>
            </w:pPr>
            <w:r>
              <w:rPr>
                <w:b/>
                <w:sz w:val="21"/>
              </w:rPr>
              <w:t>第三章</w:t>
            </w:r>
          </w:p>
        </w:tc>
        <w:tc>
          <w:tcPr>
            <w:tcW w:w="8302" w:type="dxa"/>
            <w:gridSpan w:val="2"/>
            <w:shd w:val="clear" w:color="auto" w:fill="CCCCCC"/>
          </w:tcPr>
          <w:p>
            <w:pPr>
              <w:pStyle w:val="TableParagraph"/>
              <w:spacing w:before="2"/>
              <w:ind w:left="329"/>
              <w:rPr>
                <w:b/>
                <w:sz w:val="21"/>
              </w:rPr>
            </w:pPr>
            <w:r>
              <w:rPr>
                <w:b/>
                <w:sz w:val="21"/>
              </w:rPr>
              <w:t>保险金额及保险费</w:t>
            </w:r>
          </w:p>
        </w:tc>
      </w:tr>
      <w:tr>
        <w:trPr>
          <w:trHeight w:val="857"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0" w:type="dxa"/>
          </w:tcPr>
          <w:p>
            <w:pPr>
              <w:pStyle w:val="TableParagraph"/>
              <w:ind w:left="108"/>
              <w:rPr>
                <w:sz w:val="21"/>
              </w:rPr>
            </w:pPr>
            <w:r>
              <w:rPr>
                <w:sz w:val="21"/>
              </w:rPr>
              <w:t>第五条</w:t>
            </w:r>
          </w:p>
        </w:tc>
        <w:tc>
          <w:tcPr>
            <w:tcW w:w="1740" w:type="dxa"/>
          </w:tcPr>
          <w:p>
            <w:pPr>
              <w:pStyle w:val="TableParagraph"/>
              <w:ind w:left="329"/>
              <w:rPr>
                <w:sz w:val="21"/>
              </w:rPr>
            </w:pPr>
            <w:r>
              <w:rPr>
                <w:sz w:val="21"/>
              </w:rPr>
              <w:t>保险金额</w:t>
            </w:r>
          </w:p>
        </w:tc>
        <w:tc>
          <w:tcPr>
            <w:tcW w:w="6562" w:type="dxa"/>
          </w:tcPr>
          <w:p>
            <w:pPr>
              <w:pStyle w:val="TableParagraph"/>
              <w:spacing w:line="300" w:lineRule="auto"/>
              <w:ind w:right="104"/>
              <w:rPr>
                <w:sz w:val="21"/>
              </w:rPr>
            </w:pPr>
            <w:r>
              <w:rPr>
                <w:sz w:val="21"/>
              </w:rPr>
              <w:t>本附加合同的保险金额是指本公司承担赔偿或者给付保险金责任的最高限额。</w:t>
            </w:r>
          </w:p>
        </w:tc>
      </w:tr>
      <w:tr>
        <w:trPr>
          <w:trHeight w:val="2402" w:hRule="atLeast"/>
        </w:trPr>
        <w:tc>
          <w:tcPr>
            <w:tcW w:w="1070" w:type="dxa"/>
          </w:tcPr>
          <w:p>
            <w:pPr>
              <w:pStyle w:val="TableParagraph"/>
              <w:ind w:left="108"/>
              <w:rPr>
                <w:sz w:val="21"/>
              </w:rPr>
            </w:pPr>
            <w:r>
              <w:rPr>
                <w:sz w:val="21"/>
              </w:rPr>
              <w:t>第六条</w:t>
            </w:r>
          </w:p>
        </w:tc>
        <w:tc>
          <w:tcPr>
            <w:tcW w:w="1740" w:type="dxa"/>
          </w:tcPr>
          <w:p>
            <w:pPr>
              <w:pStyle w:val="TableParagraph"/>
              <w:spacing w:line="300" w:lineRule="auto"/>
              <w:ind w:left="329" w:right="146"/>
              <w:rPr>
                <w:sz w:val="21"/>
              </w:rPr>
            </w:pPr>
            <w:r>
              <w:rPr>
                <w:sz w:val="21"/>
              </w:rPr>
              <w:t>基本保险金额变更</w:t>
            </w:r>
          </w:p>
        </w:tc>
        <w:tc>
          <w:tcPr>
            <w:tcW w:w="6562" w:type="dxa"/>
          </w:tcPr>
          <w:p>
            <w:pPr>
              <w:pStyle w:val="TableParagraph"/>
              <w:spacing w:line="300" w:lineRule="auto"/>
              <w:ind w:right="104"/>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line="300" w:lineRule="auto" w:before="16"/>
              <w:ind w:right="104"/>
              <w:jc w:val="both"/>
              <w:rPr>
                <w:sz w:val="21"/>
              </w:rPr>
            </w:pPr>
            <w:r>
              <w:rPr>
                <w:sz w:val="21"/>
              </w:rPr>
              <w:t>基本保险金额变更后，本附加合同第二条“保险责任”中所指的基本保险金额均以变更后的基本保险金额为准。</w:t>
            </w:r>
          </w:p>
        </w:tc>
      </w:tr>
      <w:tr>
        <w:trPr>
          <w:trHeight w:val="1544" w:hRule="atLeast"/>
        </w:trPr>
        <w:tc>
          <w:tcPr>
            <w:tcW w:w="1070" w:type="dxa"/>
          </w:tcPr>
          <w:p>
            <w:pPr>
              <w:pStyle w:val="TableParagraph"/>
              <w:ind w:left="108"/>
              <w:rPr>
                <w:sz w:val="21"/>
              </w:rPr>
            </w:pPr>
            <w:r>
              <w:rPr>
                <w:sz w:val="21"/>
              </w:rPr>
              <w:t>第七条</w:t>
            </w:r>
          </w:p>
        </w:tc>
        <w:tc>
          <w:tcPr>
            <w:tcW w:w="1740" w:type="dxa"/>
          </w:tcPr>
          <w:p>
            <w:pPr>
              <w:pStyle w:val="TableParagraph"/>
              <w:ind w:left="329"/>
              <w:rPr>
                <w:sz w:val="21"/>
              </w:rPr>
            </w:pPr>
            <w:r>
              <w:rPr>
                <w:sz w:val="21"/>
              </w:rPr>
              <w:t>保险费</w:t>
            </w:r>
          </w:p>
        </w:tc>
        <w:tc>
          <w:tcPr>
            <w:tcW w:w="6562" w:type="dxa"/>
          </w:tcPr>
          <w:p>
            <w:pPr>
              <w:pStyle w:val="TableParagraph"/>
              <w:rPr>
                <w:sz w:val="21"/>
              </w:rPr>
            </w:pPr>
            <w:r>
              <w:rPr>
                <w:sz w:val="21"/>
              </w:rPr>
              <w:t>本附加合同的保险费按照基本保险金额和约定的费率标准确定。</w:t>
            </w:r>
          </w:p>
          <w:p>
            <w:pPr>
              <w:pStyle w:val="TableParagraph"/>
              <w:spacing w:line="300" w:lineRule="auto" w:before="68"/>
              <w:ind w:right="104"/>
              <w:rPr>
                <w:sz w:val="21"/>
              </w:rPr>
            </w:pPr>
            <w:r>
              <w:rPr>
                <w:sz w:val="21"/>
              </w:rPr>
              <w:t>本附加合同的保险费交付方式、交费日期与主合同一致，本附加合同的保险费应与主合同一并交付。</w:t>
            </w:r>
          </w:p>
        </w:tc>
      </w:tr>
      <w:tr>
        <w:trPr>
          <w:trHeight w:val="343" w:hRule="atLeast"/>
        </w:trPr>
        <w:tc>
          <w:tcPr>
            <w:tcW w:w="1070" w:type="dxa"/>
            <w:shd w:val="clear" w:color="auto" w:fill="CCCCCC"/>
          </w:tcPr>
          <w:p>
            <w:pPr>
              <w:pStyle w:val="TableParagraph"/>
              <w:spacing w:before="2"/>
              <w:ind w:left="108"/>
              <w:rPr>
                <w:b/>
                <w:sz w:val="21"/>
              </w:rPr>
            </w:pPr>
            <w:r>
              <w:rPr>
                <w:b/>
                <w:sz w:val="21"/>
              </w:rPr>
              <w:t>第四章</w:t>
            </w:r>
          </w:p>
        </w:tc>
        <w:tc>
          <w:tcPr>
            <w:tcW w:w="8302" w:type="dxa"/>
            <w:gridSpan w:val="2"/>
            <w:shd w:val="clear" w:color="auto" w:fill="CCCCCC"/>
          </w:tcPr>
          <w:p>
            <w:pPr>
              <w:pStyle w:val="TableParagraph"/>
              <w:spacing w:before="2"/>
              <w:ind w:left="329"/>
              <w:rPr>
                <w:b/>
                <w:sz w:val="21"/>
              </w:rPr>
            </w:pPr>
            <w:r>
              <w:rPr>
                <w:b/>
                <w:sz w:val="21"/>
              </w:rPr>
              <w:t>保险合同成立与生效、合同终止</w:t>
            </w:r>
          </w:p>
        </w:tc>
      </w:tr>
      <w:tr>
        <w:trPr>
          <w:trHeight w:val="1306" w:hRule="atLeast"/>
        </w:trPr>
        <w:tc>
          <w:tcPr>
            <w:tcW w:w="1070"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right="104"/>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w:t>
            </w:r>
          </w:p>
          <w:p>
            <w:pPr>
              <w:pStyle w:val="TableParagraph"/>
              <w:spacing w:line="255" w:lineRule="exact" w:before="16"/>
              <w:jc w:val="both"/>
              <w:rPr>
                <w:sz w:val="21"/>
              </w:rPr>
            </w:pPr>
            <w:r>
              <w:rPr>
                <w:sz w:val="21"/>
              </w:rPr>
              <w:t>且投保人交付第一期保险费后，本附加合同自生效日零时开始生效。</w:t>
            </w:r>
          </w:p>
        </w:tc>
      </w:tr>
    </w:tbl>
    <w:p>
      <w:pPr>
        <w:spacing w:after="0" w:line="255" w:lineRule="exact"/>
        <w:jc w:val="both"/>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791"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ind w:left="148"/>
              <w:rPr>
                <w:sz w:val="21"/>
              </w:rPr>
            </w:pPr>
            <w:r>
              <w:rPr>
                <w:sz w:val="21"/>
              </w:rPr>
              <w:t>本公司签发保险单作为同意承保的凭证。本附加合同的生效日载明于</w:t>
            </w:r>
          </w:p>
          <w:p>
            <w:pPr>
              <w:pStyle w:val="TableParagraph"/>
              <w:spacing w:before="68"/>
              <w:ind w:left="148"/>
              <w:rPr>
                <w:sz w:val="21"/>
              </w:rPr>
            </w:pPr>
            <w:r>
              <w:rPr>
                <w:sz w:val="21"/>
              </w:rPr>
              <w:t>保险单上。</w:t>
            </w:r>
          </w:p>
        </w:tc>
      </w:tr>
      <w:tr>
        <w:trPr>
          <w:trHeight w:val="1029" w:hRule="atLeast"/>
        </w:trPr>
        <w:tc>
          <w:tcPr>
            <w:tcW w:w="1175" w:type="dxa"/>
          </w:tcPr>
          <w:p>
            <w:pPr>
              <w:pStyle w:val="TableParagraph"/>
              <w:ind w:left="108"/>
              <w:rPr>
                <w:sz w:val="21"/>
              </w:rPr>
            </w:pPr>
            <w:r>
              <w:rPr>
                <w:sz w:val="21"/>
              </w:rPr>
              <w:t>第九条</w:t>
            </w:r>
          </w:p>
        </w:tc>
        <w:tc>
          <w:tcPr>
            <w:tcW w:w="1636" w:type="dxa"/>
          </w:tcPr>
          <w:p>
            <w:pPr>
              <w:pStyle w:val="TableParagraph"/>
              <w:ind w:left="224"/>
              <w:rPr>
                <w:sz w:val="21"/>
              </w:rPr>
            </w:pPr>
            <w:r>
              <w:rPr>
                <w:sz w:val="21"/>
              </w:rPr>
              <w:t>保险期间</w:t>
            </w:r>
          </w:p>
        </w:tc>
        <w:tc>
          <w:tcPr>
            <w:tcW w:w="6563" w:type="dxa"/>
          </w:tcPr>
          <w:p>
            <w:pPr>
              <w:pStyle w:val="TableParagraph"/>
              <w:spacing w:line="300" w:lineRule="auto"/>
              <w:ind w:left="148" w:right="106"/>
              <w:rPr>
                <w:sz w:val="21"/>
              </w:rPr>
            </w:pPr>
            <w:r>
              <w:rPr>
                <w:sz w:val="21"/>
              </w:rPr>
              <w:t>本附加合同的保险期间载明于保险单上，保险期间自本附加合同生效时起算。</w:t>
            </w:r>
          </w:p>
        </w:tc>
      </w:tr>
      <w:tr>
        <w:trPr>
          <w:trHeight w:val="2231" w:hRule="atLeast"/>
        </w:trPr>
        <w:tc>
          <w:tcPr>
            <w:tcW w:w="1175" w:type="dxa"/>
          </w:tcPr>
          <w:p>
            <w:pPr>
              <w:pStyle w:val="TableParagraph"/>
              <w:ind w:left="108"/>
              <w:rPr>
                <w:sz w:val="21"/>
              </w:rPr>
            </w:pPr>
            <w:r>
              <w:rPr>
                <w:sz w:val="21"/>
              </w:rPr>
              <w:t>第十条</w:t>
            </w:r>
          </w:p>
        </w:tc>
        <w:tc>
          <w:tcPr>
            <w:tcW w:w="1636" w:type="dxa"/>
          </w:tcPr>
          <w:p>
            <w:pPr>
              <w:pStyle w:val="TableParagraph"/>
              <w:ind w:left="224"/>
              <w:rPr>
                <w:sz w:val="21"/>
              </w:rPr>
            </w:pPr>
            <w:r>
              <w:rPr>
                <w:sz w:val="21"/>
              </w:rPr>
              <w:t>附加合同终止</w:t>
            </w:r>
          </w:p>
        </w:tc>
        <w:tc>
          <w:tcPr>
            <w:tcW w:w="6563" w:type="dxa"/>
          </w:tcPr>
          <w:p>
            <w:pPr>
              <w:pStyle w:val="TableParagraph"/>
              <w:ind w:left="148"/>
              <w:rPr>
                <w:sz w:val="21"/>
              </w:rPr>
            </w:pPr>
            <w:r>
              <w:rPr>
                <w:sz w:val="21"/>
              </w:rPr>
              <w:t>发生下列情形之一时，本附加合同终止：</w:t>
            </w:r>
          </w:p>
          <w:p>
            <w:pPr>
              <w:pStyle w:val="TableParagraph"/>
              <w:spacing w:line="300" w:lineRule="auto" w:before="68"/>
              <w:ind w:left="148" w:right="1119"/>
              <w:rPr>
                <w:sz w:val="21"/>
              </w:rPr>
            </w:pPr>
            <w:r>
              <w:rPr>
                <w:sz w:val="21"/>
              </w:rPr>
              <w:t>一、主合同保险期间届满、终止或变更为减额交清保险； 二、投保人申请解除本附加合同；</w:t>
            </w:r>
          </w:p>
          <w:p>
            <w:pPr>
              <w:pStyle w:val="TableParagraph"/>
              <w:spacing w:before="15"/>
              <w:ind w:left="148"/>
              <w:rPr>
                <w:sz w:val="21"/>
              </w:rPr>
            </w:pPr>
            <w:r>
              <w:rPr>
                <w:sz w:val="21"/>
              </w:rPr>
              <w:t>三、本附加合同保险期间届满；</w:t>
            </w:r>
          </w:p>
          <w:p>
            <w:pPr>
              <w:pStyle w:val="TableParagraph"/>
              <w:spacing w:before="68"/>
              <w:ind w:left="148"/>
              <w:rPr>
                <w:sz w:val="21"/>
              </w:rPr>
            </w:pPr>
            <w:r>
              <w:rPr>
                <w:sz w:val="21"/>
              </w:rPr>
              <w:t>四、主合同或本附加合同约定的其他终止情形。</w:t>
            </w:r>
          </w:p>
        </w:tc>
      </w:tr>
      <w:tr>
        <w:trPr>
          <w:trHeight w:val="343" w:hRule="atLeast"/>
        </w:trPr>
        <w:tc>
          <w:tcPr>
            <w:tcW w:w="1175" w:type="dxa"/>
            <w:shd w:val="clear" w:color="auto" w:fill="CCCCCC"/>
          </w:tcPr>
          <w:p>
            <w:pPr>
              <w:pStyle w:val="TableParagraph"/>
              <w:spacing w:before="2"/>
              <w:ind w:left="108"/>
              <w:rPr>
                <w:b/>
                <w:sz w:val="21"/>
              </w:rPr>
            </w:pPr>
            <w:r>
              <w:rPr>
                <w:b/>
                <w:sz w:val="21"/>
              </w:rPr>
              <w:t>第五章</w:t>
            </w:r>
          </w:p>
        </w:tc>
        <w:tc>
          <w:tcPr>
            <w:tcW w:w="1636" w:type="dxa"/>
            <w:shd w:val="clear" w:color="auto" w:fill="CCCCCC"/>
          </w:tcPr>
          <w:p>
            <w:pPr>
              <w:pStyle w:val="TableParagraph"/>
              <w:spacing w:before="2"/>
              <w:ind w:left="224"/>
              <w:rPr>
                <w:b/>
                <w:sz w:val="21"/>
              </w:rPr>
            </w:pPr>
            <w:r>
              <w:rPr>
                <w:b/>
                <w:sz w:val="21"/>
              </w:rPr>
              <w:t>保险金申请</w:t>
            </w:r>
          </w:p>
        </w:tc>
        <w:tc>
          <w:tcPr>
            <w:tcW w:w="6563" w:type="dxa"/>
            <w:shd w:val="clear" w:color="auto" w:fill="CCCCCC"/>
          </w:tcPr>
          <w:p>
            <w:pPr>
              <w:pStyle w:val="TableParagraph"/>
              <w:spacing w:before="0"/>
              <w:ind w:left="0"/>
              <w:rPr>
                <w:rFonts w:ascii="Times New Roman"/>
                <w:sz w:val="20"/>
              </w:rPr>
            </w:pPr>
          </w:p>
        </w:tc>
      </w:tr>
      <w:tr>
        <w:trPr>
          <w:trHeight w:val="8171"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before="2"/>
              <w:ind w:left="148"/>
              <w:rPr>
                <w:sz w:val="21"/>
              </w:rPr>
            </w:pPr>
            <w:r>
              <w:rPr>
                <w:sz w:val="21"/>
              </w:rPr>
              <w:t>一、重大疾病保险金</w:t>
            </w:r>
          </w:p>
          <w:p>
            <w:pPr>
              <w:pStyle w:val="TableParagraph"/>
              <w:spacing w:line="300" w:lineRule="auto" w:before="68"/>
              <w:ind w:left="148" w:right="106"/>
              <w:rPr>
                <w:sz w:val="21"/>
              </w:rPr>
            </w:pPr>
            <w:r>
              <w:rPr>
                <w:sz w:val="21"/>
              </w:rPr>
              <w:t>在申请重大疾病保险金时，重大疾病保险金受益人须填写保险金给付申请书，并提供下列证明和资料：</w:t>
            </w:r>
          </w:p>
          <w:p>
            <w:pPr>
              <w:pStyle w:val="TableParagraph"/>
              <w:numPr>
                <w:ilvl w:val="0"/>
                <w:numId w:val="1"/>
              </w:numPr>
              <w:tabs>
                <w:tab w:pos="568" w:val="left" w:leader="none"/>
                <w:tab w:pos="569" w:val="left" w:leader="none"/>
              </w:tabs>
              <w:spacing w:line="240" w:lineRule="auto" w:before="15" w:after="0"/>
              <w:ind w:left="568" w:right="0" w:hanging="420"/>
              <w:jc w:val="left"/>
              <w:rPr>
                <w:sz w:val="21"/>
              </w:rPr>
            </w:pPr>
            <w:r>
              <w:rPr>
                <w:spacing w:val="-1"/>
                <w:sz w:val="21"/>
              </w:rPr>
              <w:t>保险合同；</w:t>
            </w:r>
          </w:p>
          <w:p>
            <w:pPr>
              <w:pStyle w:val="TableParagraph"/>
              <w:numPr>
                <w:ilvl w:val="0"/>
                <w:numId w:val="1"/>
              </w:numPr>
              <w:tabs>
                <w:tab w:pos="568" w:val="left" w:leader="none"/>
                <w:tab w:pos="569" w:val="left" w:leader="none"/>
              </w:tabs>
              <w:spacing w:line="240" w:lineRule="auto" w:before="68" w:after="0"/>
              <w:ind w:left="568" w:right="0" w:hanging="420"/>
              <w:jc w:val="left"/>
              <w:rPr>
                <w:sz w:val="21"/>
              </w:rPr>
            </w:pPr>
            <w:r>
              <w:rPr>
                <w:spacing w:val="-3"/>
                <w:sz w:val="21"/>
              </w:rPr>
              <w:t>重大疾病保险金受益人的有效身份证件；</w:t>
            </w:r>
          </w:p>
          <w:p>
            <w:pPr>
              <w:pStyle w:val="TableParagraph"/>
              <w:numPr>
                <w:ilvl w:val="0"/>
                <w:numId w:val="1"/>
              </w:numPr>
              <w:tabs>
                <w:tab w:pos="568" w:val="left" w:leader="none"/>
                <w:tab w:pos="569" w:val="left" w:leader="none"/>
              </w:tabs>
              <w:spacing w:line="300" w:lineRule="auto" w:before="68" w:after="0"/>
              <w:ind w:left="568" w:right="106" w:hanging="420"/>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568" w:val="left" w:leader="none"/>
                <w:tab w:pos="569" w:val="left" w:leader="none"/>
              </w:tabs>
              <w:spacing w:line="300" w:lineRule="auto" w:before="15" w:after="0"/>
              <w:ind w:left="568" w:right="-15" w:hanging="420"/>
              <w:jc w:val="left"/>
              <w:rPr>
                <w:sz w:val="21"/>
              </w:rPr>
            </w:pPr>
            <w:r>
              <w:rPr>
                <w:spacing w:val="-7"/>
                <w:sz w:val="21"/>
              </w:rPr>
              <w:t>重大疾病保险金受益人所能提供的与确认保险事故的时间、性质、</w:t>
            </w:r>
            <w:r>
              <w:rPr>
                <w:spacing w:val="-5"/>
                <w:sz w:val="21"/>
              </w:rPr>
              <w:t>原因、损失程度等相关的其他证明和资料。</w:t>
            </w:r>
          </w:p>
          <w:p>
            <w:pPr>
              <w:pStyle w:val="TableParagraph"/>
              <w:spacing w:before="15"/>
              <w:ind w:left="148"/>
              <w:rPr>
                <w:sz w:val="21"/>
              </w:rPr>
            </w:pPr>
            <w:r>
              <w:rPr>
                <w:sz w:val="21"/>
              </w:rPr>
              <w:t>二、身故保险金</w:t>
            </w:r>
          </w:p>
          <w:p>
            <w:pPr>
              <w:pStyle w:val="TableParagraph"/>
              <w:spacing w:line="300" w:lineRule="auto" w:before="68"/>
              <w:ind w:left="148" w:right="106"/>
              <w:rPr>
                <w:sz w:val="21"/>
              </w:rPr>
            </w:pPr>
            <w:r>
              <w:rPr>
                <w:sz w:val="21"/>
              </w:rPr>
              <w:t>在申请身故保险金时，身故保险金受益人须填写保险金给付申请书， 并提供下列证明和资料：</w:t>
            </w:r>
          </w:p>
          <w:p>
            <w:pPr>
              <w:pStyle w:val="TableParagraph"/>
              <w:numPr>
                <w:ilvl w:val="0"/>
                <w:numId w:val="2"/>
              </w:numPr>
              <w:tabs>
                <w:tab w:pos="509" w:val="left" w:leader="none"/>
              </w:tabs>
              <w:spacing w:line="240" w:lineRule="auto" w:before="16" w:after="0"/>
              <w:ind w:left="508" w:right="0" w:hanging="360"/>
              <w:jc w:val="left"/>
              <w:rPr>
                <w:sz w:val="21"/>
              </w:rPr>
            </w:pPr>
            <w:r>
              <w:rPr>
                <w:spacing w:val="-1"/>
                <w:sz w:val="21"/>
              </w:rPr>
              <w:t>保险合同；</w:t>
            </w:r>
          </w:p>
          <w:p>
            <w:pPr>
              <w:pStyle w:val="TableParagraph"/>
              <w:numPr>
                <w:ilvl w:val="0"/>
                <w:numId w:val="2"/>
              </w:numPr>
              <w:tabs>
                <w:tab w:pos="509" w:val="left" w:leader="none"/>
              </w:tabs>
              <w:spacing w:line="300" w:lineRule="auto" w:before="68" w:after="0"/>
              <w:ind w:left="508" w:right="104" w:hanging="360"/>
              <w:jc w:val="left"/>
              <w:rPr>
                <w:sz w:val="21"/>
              </w:rPr>
            </w:pPr>
            <w:r>
              <w:rPr>
                <w:sz w:val="21"/>
              </w:rPr>
              <w:t>身故保险金受益人的有效身份证件，以及与被保险人身份关系证明；</w:t>
            </w:r>
          </w:p>
          <w:p>
            <w:pPr>
              <w:pStyle w:val="TableParagraph"/>
              <w:numPr>
                <w:ilvl w:val="0"/>
                <w:numId w:val="2"/>
              </w:numPr>
              <w:tabs>
                <w:tab w:pos="509" w:val="left" w:leader="none"/>
              </w:tabs>
              <w:spacing w:line="300" w:lineRule="auto" w:before="15" w:after="0"/>
              <w:ind w:left="508" w:right="108" w:hanging="360"/>
              <w:jc w:val="left"/>
              <w:rPr>
                <w:sz w:val="21"/>
              </w:rPr>
            </w:pPr>
            <w:r>
              <w:rPr>
                <w:sz w:val="21"/>
              </w:rPr>
              <w:t>国家卫生行政部门认定的医疗机构、公安部门或其他相关机构出</w:t>
            </w:r>
            <w:r>
              <w:rPr>
                <w:spacing w:val="-3"/>
                <w:sz w:val="21"/>
              </w:rPr>
              <w:t>具的被保险人的死亡证明及户口注销证明；</w:t>
            </w:r>
          </w:p>
          <w:p>
            <w:pPr>
              <w:pStyle w:val="TableParagraph"/>
              <w:numPr>
                <w:ilvl w:val="0"/>
                <w:numId w:val="2"/>
              </w:numPr>
              <w:tabs>
                <w:tab w:pos="509" w:val="left" w:leader="none"/>
              </w:tabs>
              <w:spacing w:line="300" w:lineRule="auto" w:before="15" w:after="0"/>
              <w:ind w:left="508" w:right="108" w:hanging="360"/>
              <w:jc w:val="left"/>
              <w:rPr>
                <w:sz w:val="21"/>
              </w:rPr>
            </w:pPr>
            <w:r>
              <w:rPr>
                <w:sz w:val="21"/>
              </w:rPr>
              <w:t>如被保险人为宣告死亡，身故保险金受益人须提供人民法院出具</w:t>
            </w:r>
            <w:r>
              <w:rPr>
                <w:spacing w:val="-3"/>
                <w:sz w:val="21"/>
              </w:rPr>
              <w:t>的宣告死亡证明文件；</w:t>
            </w:r>
          </w:p>
          <w:p>
            <w:pPr>
              <w:pStyle w:val="TableParagraph"/>
              <w:numPr>
                <w:ilvl w:val="0"/>
                <w:numId w:val="2"/>
              </w:numPr>
              <w:tabs>
                <w:tab w:pos="509" w:val="left" w:leader="none"/>
              </w:tabs>
              <w:spacing w:line="300" w:lineRule="auto" w:before="16" w:after="0"/>
              <w:ind w:left="508" w:right="108" w:hanging="360"/>
              <w:jc w:val="left"/>
              <w:rPr>
                <w:sz w:val="21"/>
              </w:rPr>
            </w:pPr>
            <w:r>
              <w:rPr>
                <w:sz w:val="21"/>
              </w:rPr>
              <w:t>身故保险金受益人所能提供的与确认保险事故的时间、性质、原</w:t>
            </w:r>
            <w:r>
              <w:rPr>
                <w:spacing w:val="-3"/>
                <w:sz w:val="21"/>
              </w:rPr>
              <w:t>因等相关的其他证明和资料。</w:t>
            </w:r>
          </w:p>
          <w:p>
            <w:pPr>
              <w:pStyle w:val="TableParagraph"/>
              <w:spacing w:line="300" w:lineRule="auto" w:before="16"/>
              <w:ind w:left="148" w:right="102"/>
              <w:rPr>
                <w:sz w:val="21"/>
              </w:rPr>
            </w:pPr>
            <w:r>
              <w:rPr>
                <w:sz w:val="21"/>
              </w:rPr>
              <w:t>保险金作为被保险人遗产时,必须提供可证明合法继承权的相关权利文件。</w:t>
            </w:r>
          </w:p>
          <w:p>
            <w:pPr>
              <w:pStyle w:val="TableParagraph"/>
              <w:spacing w:line="255" w:lineRule="exact" w:before="16"/>
              <w:ind w:left="148"/>
              <w:rPr>
                <w:sz w:val="21"/>
              </w:rPr>
            </w:pPr>
            <w:r>
              <w:rPr>
                <w:sz w:val="21"/>
              </w:rPr>
              <w:t>以上证明和资料不完整的，本公司将及时一次性通知申请人补充提供</w:t>
            </w:r>
          </w:p>
        </w:tc>
      </w:tr>
    </w:tbl>
    <w:p>
      <w:pPr>
        <w:spacing w:after="0" w:line="255" w:lineRule="exact"/>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448" w:hRule="atLeast"/>
        </w:trPr>
        <w:tc>
          <w:tcPr>
            <w:tcW w:w="1267" w:type="dxa"/>
          </w:tcPr>
          <w:p>
            <w:pPr>
              <w:pStyle w:val="TableParagraph"/>
              <w:spacing w:before="0"/>
              <w:ind w:left="0"/>
              <w:rPr>
                <w:rFonts w:ascii="Times New Roman"/>
                <w:sz w:val="20"/>
              </w:rPr>
            </w:pPr>
          </w:p>
        </w:tc>
        <w:tc>
          <w:tcPr>
            <w:tcW w:w="1532" w:type="dxa"/>
          </w:tcPr>
          <w:p>
            <w:pPr>
              <w:pStyle w:val="TableParagraph"/>
              <w:spacing w:before="0"/>
              <w:ind w:left="0"/>
              <w:rPr>
                <w:rFonts w:ascii="Times New Roman"/>
                <w:sz w:val="20"/>
              </w:rPr>
            </w:pPr>
          </w:p>
        </w:tc>
        <w:tc>
          <w:tcPr>
            <w:tcW w:w="6870" w:type="dxa"/>
          </w:tcPr>
          <w:p>
            <w:pPr>
              <w:pStyle w:val="TableParagraph"/>
              <w:spacing w:line="211" w:lineRule="exact" w:before="0"/>
              <w:ind w:left="252"/>
              <w:rPr>
                <w:sz w:val="21"/>
              </w:rPr>
            </w:pPr>
            <w:r>
              <w:rPr>
                <w:sz w:val="21"/>
              </w:rPr>
              <w:t>有关证明和资料。</w:t>
            </w:r>
          </w:p>
        </w:tc>
      </w:tr>
      <w:tr>
        <w:trPr>
          <w:trHeight w:val="4118" w:hRule="atLeast"/>
        </w:trPr>
        <w:tc>
          <w:tcPr>
            <w:tcW w:w="1267" w:type="dxa"/>
          </w:tcPr>
          <w:p>
            <w:pPr>
              <w:pStyle w:val="TableParagraph"/>
              <w:ind w:left="200"/>
              <w:rPr>
                <w:sz w:val="21"/>
              </w:rPr>
            </w:pPr>
            <w:r>
              <w:rPr>
                <w:sz w:val="21"/>
              </w:rPr>
              <w:t>第十二条</w:t>
            </w:r>
          </w:p>
        </w:tc>
        <w:tc>
          <w:tcPr>
            <w:tcW w:w="1532" w:type="dxa"/>
          </w:tcPr>
          <w:p>
            <w:pPr>
              <w:pStyle w:val="TableParagraph"/>
              <w:ind w:left="224"/>
              <w:rPr>
                <w:sz w:val="21"/>
              </w:rPr>
            </w:pPr>
            <w:r>
              <w:rPr>
                <w:sz w:val="21"/>
              </w:rPr>
              <w:t>保险金给付</w:t>
            </w:r>
          </w:p>
        </w:tc>
        <w:tc>
          <w:tcPr>
            <w:tcW w:w="6870" w:type="dxa"/>
          </w:tcPr>
          <w:p>
            <w:pPr>
              <w:pStyle w:val="TableParagraph"/>
              <w:spacing w:line="300" w:lineRule="auto"/>
              <w:ind w:left="252" w:right="309"/>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406"/>
              <w:rPr>
                <w:sz w:val="21"/>
              </w:rPr>
            </w:pPr>
            <w:r>
              <w:rPr>
                <w:sz w:val="21"/>
              </w:rPr>
              <w:t>对属于保险责任的，本公司在与受益人达成给付保险金的协议后 10 日内，履行给付保险金义务。</w:t>
            </w:r>
          </w:p>
          <w:p>
            <w:pPr>
              <w:pStyle w:val="TableParagraph"/>
              <w:spacing w:line="300" w:lineRule="auto" w:before="16"/>
              <w:ind w:left="252" w:right="309"/>
              <w:jc w:val="both"/>
              <w:rPr>
                <w:sz w:val="21"/>
              </w:rPr>
            </w:pPr>
            <w:r>
              <w:rPr>
                <w:sz w:val="21"/>
              </w:rPr>
              <w:t>本公司未及时履行前款规定义务的，除支付保险金外，应当赔偿受益人因此受到的损失。</w:t>
            </w:r>
          </w:p>
          <w:p>
            <w:pPr>
              <w:pStyle w:val="TableParagraph"/>
              <w:spacing w:line="300" w:lineRule="auto" w:before="16"/>
              <w:ind w:left="252" w:right="309"/>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left="252" w:right="305"/>
              <w:jc w:val="both"/>
              <w:rPr>
                <w:sz w:val="21"/>
              </w:rPr>
            </w:pPr>
            <w:r>
              <w:rPr>
                <w:spacing w:val="-5"/>
                <w:sz w:val="21"/>
              </w:rPr>
              <w:t>本公司在收到有关证明和资料之日起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716" w:hRule="atLeast"/>
        </w:trPr>
        <w:tc>
          <w:tcPr>
            <w:tcW w:w="1267" w:type="dxa"/>
          </w:tcPr>
          <w:p>
            <w:pPr>
              <w:pStyle w:val="TableParagraph"/>
              <w:ind w:left="200"/>
              <w:rPr>
                <w:sz w:val="21"/>
              </w:rPr>
            </w:pPr>
            <w:r>
              <w:rPr>
                <w:sz w:val="21"/>
              </w:rPr>
              <w:t>第十三条</w:t>
            </w:r>
          </w:p>
        </w:tc>
        <w:tc>
          <w:tcPr>
            <w:tcW w:w="1532" w:type="dxa"/>
          </w:tcPr>
          <w:p>
            <w:pPr>
              <w:pStyle w:val="TableParagraph"/>
              <w:ind w:left="224"/>
              <w:rPr>
                <w:sz w:val="21"/>
              </w:rPr>
            </w:pPr>
            <w:r>
              <w:rPr>
                <w:sz w:val="21"/>
              </w:rPr>
              <w:t>诉讼时效</w:t>
            </w:r>
          </w:p>
        </w:tc>
        <w:tc>
          <w:tcPr>
            <w:tcW w:w="6870" w:type="dxa"/>
          </w:tcPr>
          <w:p>
            <w:pPr>
              <w:pStyle w:val="TableParagraph"/>
              <w:spacing w:line="300" w:lineRule="auto"/>
              <w:ind w:left="252" w:right="309"/>
              <w:jc w:val="both"/>
              <w:rPr>
                <w:sz w:val="21"/>
              </w:rPr>
            </w:pPr>
            <w:r>
              <w:rPr>
                <w:spacing w:val="-5"/>
                <w:sz w:val="21"/>
              </w:rPr>
              <w:t>被保险人或受益人向本公司请求给付身故保险金的诉讼时效期间为 </w:t>
            </w:r>
            <w:r>
              <w:rPr>
                <w:sz w:val="21"/>
              </w:rPr>
              <w:t>5 </w:t>
            </w:r>
            <w:r>
              <w:rPr>
                <w:spacing w:val="-3"/>
                <w:sz w:val="21"/>
              </w:rPr>
              <w:t>年，自其知道或者应当知道保险事故发生之日起计算。被保险人或受</w:t>
            </w:r>
            <w:r>
              <w:rPr>
                <w:spacing w:val="-5"/>
                <w:sz w:val="21"/>
              </w:rPr>
              <w:t>益人向本公司请求给付重大疾病保险金的诉讼时效期间为 </w:t>
            </w:r>
            <w:r>
              <w:rPr>
                <w:sz w:val="21"/>
              </w:rPr>
              <w:t>2</w:t>
            </w:r>
            <w:r>
              <w:rPr>
                <w:spacing w:val="-10"/>
                <w:sz w:val="21"/>
              </w:rPr>
              <w:t> 年，自其</w:t>
            </w:r>
            <w:r>
              <w:rPr>
                <w:spacing w:val="-5"/>
                <w:sz w:val="21"/>
              </w:rPr>
              <w:t>知道或者应当知道保险事故发生之日起计算。</w:t>
            </w:r>
          </w:p>
        </w:tc>
      </w:tr>
      <w:tr>
        <w:trPr>
          <w:trHeight w:val="1716" w:hRule="atLeast"/>
        </w:trPr>
        <w:tc>
          <w:tcPr>
            <w:tcW w:w="1267" w:type="dxa"/>
          </w:tcPr>
          <w:p>
            <w:pPr>
              <w:pStyle w:val="TableParagraph"/>
              <w:ind w:left="200"/>
              <w:rPr>
                <w:sz w:val="21"/>
              </w:rPr>
            </w:pPr>
            <w:r>
              <w:rPr>
                <w:sz w:val="21"/>
              </w:rPr>
              <w:t>第十四条</w:t>
            </w:r>
          </w:p>
        </w:tc>
        <w:tc>
          <w:tcPr>
            <w:tcW w:w="1532" w:type="dxa"/>
          </w:tcPr>
          <w:p>
            <w:pPr>
              <w:pStyle w:val="TableParagraph"/>
              <w:ind w:left="224"/>
              <w:rPr>
                <w:sz w:val="21"/>
              </w:rPr>
            </w:pPr>
            <w:r>
              <w:rPr>
                <w:sz w:val="21"/>
              </w:rPr>
              <w:t>犹豫期</w:t>
            </w:r>
          </w:p>
        </w:tc>
        <w:tc>
          <w:tcPr>
            <w:tcW w:w="6870" w:type="dxa"/>
          </w:tcPr>
          <w:p>
            <w:pPr>
              <w:pStyle w:val="TableParagraph"/>
              <w:spacing w:line="300" w:lineRule="auto"/>
              <w:ind w:left="252" w:right="198"/>
              <w:rPr>
                <w:sz w:val="21"/>
              </w:rPr>
            </w:pPr>
            <w:r>
              <w:rPr>
                <w:spacing w:val="-14"/>
                <w:sz w:val="21"/>
              </w:rPr>
              <w:t>若未发生保险金给付，投保人自本附加合同签收日起 </w:t>
            </w:r>
            <w:r>
              <w:rPr>
                <w:sz w:val="21"/>
              </w:rPr>
              <w:t>10</w:t>
            </w:r>
            <w:r>
              <w:rPr>
                <w:spacing w:val="-9"/>
                <w:sz w:val="21"/>
              </w:rPr>
              <w:t> 日内可以申请</w:t>
            </w:r>
            <w:r>
              <w:rPr>
                <w:spacing w:val="-12"/>
                <w:sz w:val="21"/>
              </w:rPr>
              <w:t>解除本附加合同。自本公司收到解除申请时起，本附加合同自始无效。</w:t>
            </w:r>
            <w:r>
              <w:rPr>
                <w:spacing w:val="-6"/>
                <w:sz w:val="21"/>
              </w:rPr>
              <w:t>投保人向本公司退回保险合同，本公司无息向投保人退还已收到的保险费。</w:t>
            </w:r>
          </w:p>
        </w:tc>
      </w:tr>
      <w:tr>
        <w:trPr>
          <w:trHeight w:val="4567" w:hRule="atLeast"/>
        </w:trPr>
        <w:tc>
          <w:tcPr>
            <w:tcW w:w="1267" w:type="dxa"/>
          </w:tcPr>
          <w:p>
            <w:pPr>
              <w:pStyle w:val="TableParagraph"/>
              <w:ind w:left="200"/>
              <w:rPr>
                <w:sz w:val="21"/>
              </w:rPr>
            </w:pPr>
            <w:r>
              <w:rPr>
                <w:sz w:val="21"/>
              </w:rPr>
              <w:t>第十五条</w:t>
            </w:r>
          </w:p>
        </w:tc>
        <w:tc>
          <w:tcPr>
            <w:tcW w:w="1532" w:type="dxa"/>
          </w:tcPr>
          <w:p>
            <w:pPr>
              <w:pStyle w:val="TableParagraph"/>
              <w:ind w:left="224"/>
              <w:rPr>
                <w:sz w:val="21"/>
              </w:rPr>
            </w:pPr>
            <w:r>
              <w:rPr>
                <w:sz w:val="21"/>
              </w:rPr>
              <w:t>受益人</w:t>
            </w:r>
          </w:p>
        </w:tc>
        <w:tc>
          <w:tcPr>
            <w:tcW w:w="6870" w:type="dxa"/>
          </w:tcPr>
          <w:p>
            <w:pPr>
              <w:pStyle w:val="TableParagraph"/>
              <w:spacing w:line="300" w:lineRule="auto"/>
              <w:ind w:left="252" w:right="309"/>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252" w:right="198"/>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252" w:right="309"/>
              <w:rPr>
                <w:sz w:val="21"/>
              </w:rPr>
            </w:pPr>
            <w:r>
              <w:rPr>
                <w:sz w:val="21"/>
              </w:rPr>
              <w:t>被保险人为无民事行为能力人或限制民事行为能力人的，可以由其监护人指定受益人。</w:t>
            </w:r>
          </w:p>
          <w:p>
            <w:pPr>
              <w:pStyle w:val="TableParagraph"/>
              <w:spacing w:line="300" w:lineRule="auto" w:before="16"/>
              <w:ind w:left="252" w:right="309"/>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252" w:right="309"/>
              <w:jc w:val="both"/>
              <w:rPr>
                <w:sz w:val="21"/>
              </w:rPr>
            </w:pPr>
            <w:r>
              <w:rPr>
                <w:sz w:val="21"/>
              </w:rPr>
              <w:t>被保险人身故后，有下列情形之一的，保险金作为被保险人的遗产， 由本公司依照《中华人民共和国继承法》的规定履行给付保险金的义务：</w:t>
            </w:r>
          </w:p>
          <w:p>
            <w:pPr>
              <w:pStyle w:val="TableParagraph"/>
              <w:spacing w:line="255" w:lineRule="exact" w:before="16"/>
              <w:ind w:left="286"/>
              <w:rPr>
                <w:sz w:val="21"/>
              </w:rPr>
            </w:pPr>
            <w:r>
              <w:rPr>
                <w:sz w:val="21"/>
              </w:rPr>
              <w:t>一、没有指定受益人，或者受益人指定不明无法确定的；</w:t>
            </w:r>
          </w:p>
        </w:tc>
      </w:tr>
    </w:tbl>
    <w:p>
      <w:pPr>
        <w:spacing w:after="0" w:line="255" w:lineRule="exact"/>
        <w:rPr>
          <w:sz w:val="21"/>
        </w:rPr>
        <w:sectPr>
          <w:pgSz w:w="11910" w:h="16840"/>
          <w:pgMar w:header="0" w:footer="919" w:top="1580" w:bottom="1100" w:left="108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2336" w:hRule="atLeast"/>
        </w:trPr>
        <w:tc>
          <w:tcPr>
            <w:tcW w:w="1175"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773" w:type="dxa"/>
          </w:tcPr>
          <w:p>
            <w:pPr>
              <w:pStyle w:val="TableParagraph"/>
              <w:spacing w:line="211" w:lineRule="exact" w:before="0"/>
              <w:ind w:left="392"/>
              <w:rPr>
                <w:sz w:val="21"/>
              </w:rPr>
            </w:pPr>
            <w:r>
              <w:rPr>
                <w:sz w:val="21"/>
              </w:rPr>
              <w:t>二、受益人先于被保险人死亡，没有其他受益人的；</w:t>
            </w:r>
          </w:p>
          <w:p>
            <w:pPr>
              <w:pStyle w:val="TableParagraph"/>
              <w:spacing w:line="300" w:lineRule="auto" w:before="68"/>
              <w:ind w:left="358" w:right="106" w:firstLine="33"/>
              <w:rPr>
                <w:sz w:val="21"/>
              </w:rPr>
            </w:pPr>
            <w:r>
              <w:rPr>
                <w:spacing w:val="-3"/>
                <w:sz w:val="21"/>
              </w:rPr>
              <w:t>三、受益人依法丧失受益权或者放弃受益权，没有其他受益人的。 受益人与被保险人在同一事件中身故，且不能确定身故顺序的，推定受益人身故在先。</w:t>
            </w:r>
          </w:p>
          <w:p>
            <w:pPr>
              <w:pStyle w:val="TableParagraph"/>
              <w:spacing w:line="300" w:lineRule="auto" w:before="15"/>
              <w:ind w:left="358"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CCCCCC"/>
          </w:tcPr>
          <w:p>
            <w:pPr>
              <w:pStyle w:val="TableParagraph"/>
              <w:spacing w:before="2"/>
              <w:ind w:left="108"/>
              <w:rPr>
                <w:b/>
                <w:sz w:val="21"/>
              </w:rPr>
            </w:pPr>
            <w:r>
              <w:rPr>
                <w:b/>
                <w:sz w:val="21"/>
              </w:rPr>
              <w:t>第六章</w:t>
            </w:r>
          </w:p>
        </w:tc>
        <w:tc>
          <w:tcPr>
            <w:tcW w:w="1426" w:type="dxa"/>
            <w:shd w:val="clear" w:color="auto" w:fill="CCCCCC"/>
          </w:tcPr>
          <w:p>
            <w:pPr>
              <w:pStyle w:val="TableParagraph"/>
              <w:spacing w:before="2"/>
              <w:ind w:left="224"/>
              <w:rPr>
                <w:b/>
                <w:sz w:val="21"/>
              </w:rPr>
            </w:pPr>
            <w:r>
              <w:rPr>
                <w:b/>
                <w:sz w:val="21"/>
              </w:rPr>
              <w:t>释义</w:t>
            </w:r>
          </w:p>
        </w:tc>
        <w:tc>
          <w:tcPr>
            <w:tcW w:w="6773" w:type="dxa"/>
            <w:shd w:val="clear" w:color="auto" w:fill="CCCCCC"/>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5"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指中银三星人寿保险有限公司。</w:t>
            </w:r>
          </w:p>
        </w:tc>
      </w:tr>
      <w:tr>
        <w:trPr>
          <w:trHeight w:val="1373" w:hRule="atLeast"/>
        </w:trPr>
        <w:tc>
          <w:tcPr>
            <w:tcW w:w="1175" w:type="dxa"/>
          </w:tcPr>
          <w:p>
            <w:pPr>
              <w:pStyle w:val="TableParagraph"/>
              <w:ind w:left="116"/>
              <w:jc w:val="center"/>
              <w:rPr>
                <w:sz w:val="21"/>
              </w:rPr>
            </w:pPr>
            <w:r>
              <w:rPr>
                <w:w w:val="100"/>
                <w:sz w:val="21"/>
              </w:rPr>
              <w:t>二</w:t>
            </w:r>
          </w:p>
        </w:tc>
        <w:tc>
          <w:tcPr>
            <w:tcW w:w="1426" w:type="dxa"/>
          </w:tcPr>
          <w:p>
            <w:pPr>
              <w:pStyle w:val="TableParagraph"/>
              <w:ind w:left="224"/>
              <w:rPr>
                <w:sz w:val="21"/>
              </w:rPr>
            </w:pPr>
            <w:r>
              <w:rPr>
                <w:sz w:val="21"/>
              </w:rPr>
              <w:t>医院</w:t>
            </w:r>
          </w:p>
        </w:tc>
        <w:tc>
          <w:tcPr>
            <w:tcW w:w="6773" w:type="dxa"/>
          </w:tcPr>
          <w:p>
            <w:pPr>
              <w:pStyle w:val="TableParagraph"/>
              <w:spacing w:line="300" w:lineRule="auto"/>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7657" w:hRule="atLeast"/>
        </w:trPr>
        <w:tc>
          <w:tcPr>
            <w:tcW w:w="1175" w:type="dxa"/>
          </w:tcPr>
          <w:p>
            <w:pPr>
              <w:pStyle w:val="TableParagraph"/>
              <w:ind w:left="116"/>
              <w:jc w:val="center"/>
              <w:rPr>
                <w:sz w:val="21"/>
              </w:rPr>
            </w:pPr>
            <w:r>
              <w:rPr>
                <w:w w:val="100"/>
                <w:sz w:val="21"/>
              </w:rPr>
              <w:t>三</w:t>
            </w:r>
          </w:p>
        </w:tc>
        <w:tc>
          <w:tcPr>
            <w:tcW w:w="1426" w:type="dxa"/>
          </w:tcPr>
          <w:p>
            <w:pPr>
              <w:pStyle w:val="TableParagraph"/>
              <w:ind w:left="224"/>
              <w:rPr>
                <w:sz w:val="21"/>
              </w:rPr>
            </w:pPr>
            <w:r>
              <w:rPr>
                <w:sz w:val="21"/>
              </w:rPr>
              <w:t>重大疾病</w:t>
            </w:r>
          </w:p>
        </w:tc>
        <w:tc>
          <w:tcPr>
            <w:tcW w:w="6773" w:type="dxa"/>
          </w:tcPr>
          <w:p>
            <w:pPr>
              <w:pStyle w:val="TableParagraph"/>
              <w:spacing w:line="300" w:lineRule="auto"/>
              <w:ind w:left="358" w:right="101"/>
              <w:jc w:val="both"/>
              <w:rPr>
                <w:sz w:val="21"/>
              </w:rPr>
            </w:pPr>
            <w:r>
              <w:rPr>
                <w:spacing w:val="-6"/>
                <w:sz w:val="21"/>
              </w:rPr>
              <w:t>本附加合同所称的重大疾病共包含 </w:t>
            </w:r>
            <w:r>
              <w:rPr>
                <w:sz w:val="21"/>
              </w:rPr>
              <w:t>32</w:t>
            </w:r>
            <w:r>
              <w:rPr>
                <w:spacing w:val="-12"/>
                <w:sz w:val="21"/>
              </w:rPr>
              <w:t> 种重大疾病，其中 </w:t>
            </w:r>
            <w:r>
              <w:rPr>
                <w:sz w:val="21"/>
              </w:rPr>
              <w:t>21</w:t>
            </w:r>
            <w:r>
              <w:rPr>
                <w:spacing w:val="-12"/>
                <w:sz w:val="21"/>
              </w:rPr>
              <w:t> 种为中国</w:t>
            </w:r>
            <w:r>
              <w:rPr>
                <w:spacing w:val="-7"/>
                <w:sz w:val="21"/>
              </w:rPr>
              <w:t>保险行业协会推荐的疾病，</w:t>
            </w:r>
            <w:r>
              <w:rPr>
                <w:spacing w:val="-16"/>
                <w:sz w:val="21"/>
              </w:rPr>
              <w:t>11</w:t>
            </w:r>
            <w:r>
              <w:rPr>
                <w:spacing w:val="-7"/>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8" w:val="left" w:leader="none"/>
              </w:tabs>
              <w:spacing w:before="16"/>
              <w:ind w:left="358"/>
              <w:rPr>
                <w:sz w:val="21"/>
              </w:rPr>
            </w:pPr>
            <w:r>
              <w:rPr>
                <w:sz w:val="21"/>
              </w:rPr>
              <w:t>1.</w:t>
              <w:tab/>
              <w:t>21</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3"/>
              </w:numPr>
              <w:tabs>
                <w:tab w:pos="779" w:val="left" w:leader="none"/>
              </w:tabs>
              <w:spacing w:line="240" w:lineRule="auto" w:before="0" w:after="0"/>
              <w:ind w:left="778" w:right="0" w:hanging="420"/>
              <w:jc w:val="left"/>
              <w:rPr>
                <w:sz w:val="21"/>
              </w:rPr>
            </w:pPr>
            <w:r>
              <w:rPr>
                <w:spacing w:val="-1"/>
                <w:sz w:val="21"/>
              </w:rPr>
              <w:t>恶性肿瘤</w:t>
            </w:r>
          </w:p>
          <w:p>
            <w:pPr>
              <w:pStyle w:val="TableParagraph"/>
              <w:spacing w:line="300" w:lineRule="auto" w:before="68"/>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8"/>
              <w:rPr>
                <w:sz w:val="21"/>
              </w:rPr>
            </w:pPr>
            <w:r>
              <w:rPr>
                <w:sz w:val="21"/>
              </w:rPr>
              <w:t>下列疾病不在保障范围内：</w:t>
            </w:r>
          </w:p>
          <w:p>
            <w:pPr>
              <w:pStyle w:val="TableParagraph"/>
              <w:spacing w:before="68"/>
              <w:ind w:left="358"/>
              <w:rPr>
                <w:sz w:val="21"/>
              </w:rPr>
            </w:pPr>
            <w:r>
              <w:rPr>
                <w:sz w:val="21"/>
              </w:rPr>
              <w:t>① 原位癌；</w:t>
            </w:r>
          </w:p>
          <w:p>
            <w:pPr>
              <w:pStyle w:val="TableParagraph"/>
              <w:spacing w:before="68"/>
              <w:ind w:left="358"/>
              <w:rPr>
                <w:sz w:val="21"/>
              </w:rPr>
            </w:pPr>
            <w:r>
              <w:rPr>
                <w:sz w:val="21"/>
              </w:rPr>
              <w:t>② 相当于 Binet 分期方案 A 期程度的慢性淋巴细胞白血病；</w:t>
            </w:r>
          </w:p>
          <w:p>
            <w:pPr>
              <w:pStyle w:val="TableParagraph"/>
              <w:spacing w:before="68"/>
              <w:ind w:left="358"/>
              <w:rPr>
                <w:sz w:val="21"/>
              </w:rPr>
            </w:pPr>
            <w:r>
              <w:rPr>
                <w:sz w:val="21"/>
              </w:rPr>
              <w:t>③ 相当于 Ann Arbor 分期方案 I 期程度的何杰金氏病；</w:t>
            </w:r>
          </w:p>
          <w:p>
            <w:pPr>
              <w:pStyle w:val="TableParagraph"/>
              <w:spacing w:before="68"/>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8"/>
              <w:ind w:left="358"/>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3"/>
              </w:numPr>
              <w:tabs>
                <w:tab w:pos="779" w:val="left" w:leader="none"/>
              </w:tabs>
              <w:spacing w:line="240" w:lineRule="auto" w:before="0" w:after="0"/>
              <w:ind w:left="778" w:right="0" w:hanging="420"/>
              <w:jc w:val="left"/>
              <w:rPr>
                <w:sz w:val="21"/>
              </w:rPr>
            </w:pPr>
            <w:r>
              <w:rPr>
                <w:spacing w:val="-2"/>
                <w:sz w:val="21"/>
              </w:rPr>
              <w:t>急性心肌梗塞</w:t>
            </w:r>
          </w:p>
          <w:p>
            <w:pPr>
              <w:pStyle w:val="TableParagraph"/>
              <w:spacing w:line="340" w:lineRule="atLeast" w:before="2"/>
              <w:ind w:left="358" w:right="106"/>
              <w:rPr>
                <w:sz w:val="21"/>
              </w:rPr>
            </w:pPr>
            <w:r>
              <w:rPr>
                <w:sz w:val="21"/>
              </w:rPr>
              <w:t>指因冠状动脉阻塞导致的相应区域供血不足造成部分心肌坏死。须满足下列至少三项条件：</w:t>
            </w:r>
          </w:p>
        </w:tc>
      </w:tr>
    </w:tbl>
    <w:p>
      <w:pPr>
        <w:spacing w:after="0" w:line="340" w:lineRule="atLeast"/>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158"/>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269" w:hanging="360"/>
      </w:pPr>
      <w:r>
        <w:rPr/>
        <w:t>③ 心肌酶或肌钙蛋白有诊断意义的升高，或呈符合急性心肌梗塞的动态性变化；</w:t>
      </w:r>
    </w:p>
    <w:p>
      <w:pPr>
        <w:pStyle w:val="BodyText"/>
        <w:spacing w:line="300" w:lineRule="auto" w:before="15"/>
        <w:ind w:left="3409" w:right="2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209"/>
      </w:pPr>
      <w:r>
        <w:rPr/>
        <w:t>重大器官移植术，指因相应器官功能衰竭，已经实施了肾脏、肝脏、心脏或肺脏的异体移植手术。</w:t>
      </w:r>
    </w:p>
    <w:p>
      <w:pPr>
        <w:pStyle w:val="BodyText"/>
        <w:spacing w:line="300" w:lineRule="auto" w:before="15"/>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8"/>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多个肢体缺失</w:t>
      </w:r>
    </w:p>
    <w:p>
      <w:pPr>
        <w:pStyle w:val="BodyText"/>
        <w:spacing w:before="68"/>
      </w:pPr>
      <w:r>
        <w:rPr/>
        <w:t>指因疾病或意外伤害导致两个或两个以上肢体自腕关节或踝关节近端</w:t>
      </w:r>
    </w:p>
    <w:p>
      <w:pPr>
        <w:pStyle w:val="BodyText"/>
        <w:spacing w:before="68"/>
      </w:pPr>
      <w:r>
        <w:rPr/>
        <w:t>（靠近躯干端）以上完全性断离。</w:t>
      </w:r>
    </w:p>
    <w:p>
      <w:pPr>
        <w:pStyle w:val="BodyText"/>
        <w:ind w:left="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before="68"/>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spacing w:before="68"/>
      </w:pPr>
      <w:r>
        <w:rPr/>
        <w:t>② 肝性脑病；</w:t>
      </w:r>
    </w:p>
    <w:p>
      <w:pPr>
        <w:pStyle w:val="BodyText"/>
        <w:spacing w:before="68"/>
      </w:pPr>
      <w:r>
        <w:rPr/>
        <w:t>③ B 超或其它影像学检查显示肝脏体积急速萎缩；</w:t>
      </w:r>
    </w:p>
    <w:p>
      <w:pPr>
        <w:pStyle w:val="BodyText"/>
        <w:spacing w:before="68"/>
      </w:pPr>
      <w:r>
        <w:rPr/>
        <w:t>④ 肝功能指标进行性恶化。</w:t>
      </w:r>
    </w:p>
    <w:p>
      <w:pPr>
        <w:pStyle w:val="BodyText"/>
        <w:ind w:left="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before="68"/>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spacing w:before="68"/>
      </w:pPr>
      <w:r>
        <w:rPr/>
        <w:t>② 实际实施了对脑肿瘤进行的放射治疗。</w:t>
      </w:r>
    </w:p>
    <w:p>
      <w:pPr>
        <w:spacing w:after="0"/>
        <w:sectPr>
          <w:pgSz w:w="11910" w:h="16840"/>
          <w:pgMar w:header="0" w:footer="919" w:top="1580" w:bottom="1100" w:left="1200" w:right="1140"/>
        </w:sectPr>
      </w:pPr>
    </w:p>
    <w:p>
      <w:pPr>
        <w:pStyle w:val="BodyText"/>
        <w:spacing w:before="12"/>
        <w:ind w:left="0"/>
        <w:rPr>
          <w:sz w:val="26"/>
        </w:rPr>
      </w:pPr>
    </w:p>
    <w:p>
      <w:pPr>
        <w:pStyle w:val="BodyText"/>
        <w:spacing w:before="36"/>
      </w:pPr>
      <w:r>
        <w:rPr/>
        <w:t>脑垂体瘤、脑囊肿、脑血管性疾病不在保障范围内。</w:t>
      </w:r>
    </w:p>
    <w:p>
      <w:pPr>
        <w:pStyle w:val="BodyText"/>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3"/>
          <w:sz w:val="21"/>
        </w:rPr>
        <w:t>慢性肝功能衰竭失代偿期</w:t>
      </w:r>
    </w:p>
    <w:p>
      <w:pPr>
        <w:pStyle w:val="Heading1"/>
        <w:spacing w:before="58"/>
      </w:pPr>
      <w:r>
        <w:rPr/>
        <w:t>指因慢性肝脏疾病导致肝功能衰竭。须满足下列全部条件：</w:t>
      </w:r>
    </w:p>
    <w:p>
      <w:pPr>
        <w:spacing w:before="54"/>
        <w:ind w:left="3049" w:right="0" w:firstLine="0"/>
        <w:jc w:val="left"/>
        <w:rPr>
          <w:sz w:val="22"/>
        </w:rPr>
      </w:pPr>
      <w:r>
        <w:rPr>
          <w:sz w:val="22"/>
        </w:rPr>
        <w:t>① 持续性黄疸；</w:t>
      </w:r>
    </w:p>
    <w:p>
      <w:pPr>
        <w:spacing w:before="54"/>
        <w:ind w:left="3049" w:right="0" w:firstLine="0"/>
        <w:jc w:val="left"/>
        <w:rPr>
          <w:sz w:val="22"/>
        </w:rPr>
      </w:pPr>
      <w:r>
        <w:rPr>
          <w:sz w:val="22"/>
        </w:rPr>
        <w:t>② 腹水；</w:t>
      </w:r>
    </w:p>
    <w:p>
      <w:pPr>
        <w:spacing w:before="54"/>
        <w:ind w:left="3049" w:right="0" w:firstLine="0"/>
        <w:jc w:val="left"/>
        <w:rPr>
          <w:sz w:val="22"/>
        </w:rPr>
      </w:pPr>
      <w:r>
        <w:rPr>
          <w:sz w:val="22"/>
        </w:rPr>
        <w:t>③ 肝性脑病；</w:t>
      </w:r>
    </w:p>
    <w:p>
      <w:pPr>
        <w:spacing w:line="285" w:lineRule="auto" w:before="54"/>
        <w:ind w:left="3049" w:right="1235" w:firstLine="0"/>
        <w:jc w:val="left"/>
        <w:rPr>
          <w:sz w:val="22"/>
        </w:rPr>
      </w:pPr>
      <w:r>
        <w:rPr>
          <w:sz w:val="22"/>
        </w:rPr>
        <w:t>④ 充血性脾肿大伴脾功能亢进或食管胃底静脉曲张。因酗酒或药物滥用导致的肝功能衰竭不在保障范围内。</w:t>
      </w:r>
    </w:p>
    <w:p>
      <w:pPr>
        <w:pStyle w:val="BodyText"/>
        <w:spacing w:before="12"/>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3"/>
          <w:sz w:val="21"/>
        </w:rPr>
        <w:t>脑炎后遗症或脑膜炎后遗症</w:t>
      </w:r>
    </w:p>
    <w:p>
      <w:pPr>
        <w:pStyle w:val="BodyText"/>
        <w:spacing w:line="300" w:lineRule="auto" w:before="68"/>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spacing w:before="68"/>
      </w:pPr>
      <w:r>
        <w:rPr/>
        <w:t>② 语言能力或咀嚼吞咽能力完全丧失；</w:t>
      </w:r>
    </w:p>
    <w:p>
      <w:pPr>
        <w:pStyle w:val="BodyText"/>
        <w:spacing w:line="300" w:lineRule="auto" w:before="68"/>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before="67"/>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3"/>
        </w:rPr>
        <w:t>因酗酒或药物滥用导致的深度昏迷不在保障范围内。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spacing w:before="68"/>
      </w:pPr>
      <w:r>
        <w:rPr/>
        <w:t>指因疾病或意外伤害导致双耳听力永久不可逆性丧失，在 500 赫兹、</w:t>
      </w:r>
    </w:p>
    <w:p>
      <w:pPr>
        <w:pStyle w:val="BodyText"/>
        <w:spacing w:line="300" w:lineRule="auto" w:before="68"/>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8"/>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before="68"/>
      </w:pPr>
      <w:r>
        <w:rPr/>
        <w:t>② 矫正视力低于 0.02（采用国际标准视力表，如果使用其它视力表</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ind w:left="3394" w:right="4772"/>
        <w:jc w:val="center"/>
      </w:pPr>
      <w:r>
        <w:rPr>
          <w:spacing w:val="-2"/>
          <w:w w:val="100"/>
        </w:rPr>
        <w:t>应进行换算</w:t>
      </w:r>
      <w:r>
        <w:rPr>
          <w:spacing w:val="-106"/>
          <w:w w:val="100"/>
        </w:rPr>
        <w:t>）</w:t>
      </w:r>
      <w:r>
        <w:rPr>
          <w:w w:val="100"/>
        </w:rPr>
        <w:t>；</w:t>
      </w:r>
    </w:p>
    <w:p>
      <w:pPr>
        <w:pStyle w:val="BodyText"/>
        <w:spacing w:before="68"/>
      </w:pPr>
      <w:r>
        <w:rPr/>
        <w:t>③ 视野半径小于 5 度。</w:t>
      </w:r>
    </w:p>
    <w:p>
      <w:pPr>
        <w:pStyle w:val="BodyText"/>
        <w:spacing w:line="300" w:lineRule="auto" w:before="68"/>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before="68"/>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before="68"/>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严重脑损伤</w:t>
      </w:r>
    </w:p>
    <w:p>
      <w:pPr>
        <w:pStyle w:val="BodyText"/>
        <w:spacing w:line="300" w:lineRule="auto" w:before="67"/>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8"/>
      </w:pPr>
      <w:r>
        <w:rPr/>
        <w:t>② 语言能力或咀嚼吞咽能力完全丧失；</w:t>
      </w:r>
    </w:p>
    <w:p>
      <w:pPr>
        <w:pStyle w:val="BodyText"/>
        <w:spacing w:line="300" w:lineRule="auto" w:before="68"/>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严重Ⅲ度烧伤</w:t>
      </w:r>
    </w:p>
    <w:p>
      <w:pPr>
        <w:pStyle w:val="BodyText"/>
        <w:spacing w:before="68"/>
      </w:pPr>
      <w:r>
        <w:rPr/>
        <w:t>指烧伤程度为Ⅲ度，且Ⅲ度烧伤的面积达到全身体表面积的 20％或</w:t>
      </w:r>
    </w:p>
    <w:p>
      <w:pPr>
        <w:pStyle w:val="BodyText"/>
        <w:spacing w:before="68"/>
      </w:pPr>
      <w:r>
        <w:rPr/>
        <w:t>20％以上。体表面积根据《中国新九分法》计算。</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活动中的三项或三项以上的条件。</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2"/>
          <w:sz w:val="21"/>
        </w:rPr>
        <w:t>语言能力丧失</w:t>
      </w:r>
    </w:p>
    <w:p>
      <w:pPr>
        <w:pStyle w:val="BodyText"/>
        <w:spacing w:line="300" w:lineRule="auto" w:before="68"/>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3"/>
          <w:sz w:val="21"/>
        </w:rPr>
        <w:t>重型再生障碍性贫血</w:t>
      </w:r>
    </w:p>
    <w:p>
      <w:pPr>
        <w:pStyle w:val="BodyText"/>
        <w:spacing w:line="300" w:lineRule="auto" w:before="69"/>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spacing w:before="67"/>
      </w:pPr>
      <w:r>
        <w:rPr/>
        <w:t>② 外周血象须具备以下三项条件：</w:t>
      </w:r>
    </w:p>
    <w:p>
      <w:pPr>
        <w:pStyle w:val="ListParagraph"/>
        <w:numPr>
          <w:ilvl w:val="0"/>
          <w:numId w:val="5"/>
        </w:numPr>
        <w:tabs>
          <w:tab w:pos="3468" w:val="left" w:leader="none"/>
          <w:tab w:pos="3469" w:val="left" w:leader="none"/>
        </w:tabs>
        <w:spacing w:line="240" w:lineRule="auto" w:before="67"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468" w:val="left" w:leader="none"/>
          <w:tab w:pos="3469" w:val="left" w:leader="none"/>
        </w:tabs>
        <w:spacing w:line="240" w:lineRule="auto" w:before="67" w:after="0"/>
        <w:ind w:left="3469" w:right="0" w:hanging="420"/>
        <w:jc w:val="left"/>
        <w:rPr>
          <w:sz w:val="21"/>
        </w:rPr>
      </w:pPr>
      <w:r>
        <w:rPr>
          <w:spacing w:val="-3"/>
          <w:sz w:val="21"/>
        </w:rPr>
        <w:t>网织红细胞＜</w:t>
      </w:r>
      <w:r>
        <w:rPr>
          <w:spacing w:val="-1"/>
          <w:sz w:val="21"/>
        </w:rPr>
        <w:t>1%；</w:t>
      </w:r>
    </w:p>
    <w:p>
      <w:pPr>
        <w:pStyle w:val="ListParagraph"/>
        <w:numPr>
          <w:ilvl w:val="0"/>
          <w:numId w:val="5"/>
        </w:numPr>
        <w:tabs>
          <w:tab w:pos="3468" w:val="left" w:leader="none"/>
          <w:tab w:pos="3469" w:val="left" w:leader="none"/>
        </w:tabs>
        <w:spacing w:line="240" w:lineRule="auto" w:before="67"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before="68"/>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ind w:left="0"/>
        <w:rPr>
          <w:sz w:val="20"/>
        </w:rPr>
      </w:pPr>
    </w:p>
    <w:p>
      <w:pPr>
        <w:pStyle w:val="BodyText"/>
        <w:tabs>
          <w:tab w:pos="3468" w:val="left" w:leader="none"/>
        </w:tabs>
        <w:spacing w:line="300" w:lineRule="auto" w:before="149"/>
        <w:ind w:left="3469" w:right="368" w:hanging="420"/>
      </w:pPr>
      <w:r>
        <w:rPr/>
        <w:t>2.</w:t>
        <w:tab/>
        <w:t>11</w:t>
      </w:r>
      <w:r>
        <w:rPr>
          <w:spacing w:val="-6"/>
        </w:rPr>
        <w:t> 种中国保险行业协会推荐范围以外的疾病是指符合下列条件</w:t>
      </w:r>
      <w:r>
        <w:rPr>
          <w:spacing w:val="-4"/>
        </w:rPr>
        <w:t>的疾病：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before="68"/>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全身型幼年类风湿性关节炎</w:t>
      </w:r>
      <w:r>
        <w:rPr>
          <w:sz w:val="21"/>
        </w:rPr>
        <w:t>（</w:t>
      </w:r>
      <w:r>
        <w:rPr>
          <w:spacing w:val="-3"/>
          <w:sz w:val="21"/>
        </w:rPr>
        <w:t>斯蒂尔病</w:t>
      </w:r>
      <w:r>
        <w:rPr>
          <w:sz w:val="21"/>
        </w:rPr>
        <w:t>）</w:t>
      </w:r>
    </w:p>
    <w:p>
      <w:pPr>
        <w:pStyle w:val="BodyText"/>
        <w:spacing w:line="300" w:lineRule="auto" w:before="68"/>
        <w:ind w:right="99"/>
      </w:pPr>
      <w:r>
        <w:rPr>
          <w:spacing w:val="-8"/>
        </w:rPr>
        <w:t>指儿童及青少年时期的一种全身结缔组织病，可表现为弛张热、皮疹、</w:t>
      </w:r>
      <w:r>
        <w:rPr>
          <w:spacing w:val="-5"/>
        </w:rPr>
        <w:t>关节炎、脾肿大、淋巴结肿大、浆膜炎、体重减轻、中性粒细胞增多</w:t>
      </w:r>
      <w:r>
        <w:rPr>
          <w:spacing w:val="-4"/>
        </w:rPr>
        <w:t>等，全身症状可以先于关节炎出现。本病须经医院的儿科类风湿病专</w:t>
      </w:r>
      <w:r>
        <w:rPr>
          <w:spacing w:val="-3"/>
        </w:rPr>
        <w:t>科医生确诊，并且因病情严重在医生的建议下已经接受以治疗为目的</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的膝或髋关节的置换手术后才符合理赔条件。</w:t>
      </w:r>
    </w:p>
    <w:p>
      <w:pPr>
        <w:pStyle w:val="BodyText"/>
        <w:spacing w:before="68"/>
      </w:pPr>
      <w:r>
        <w:rPr/>
        <w:t>其他类型的儿童类风湿性关节炎，不在保险责任范围内。</w:t>
      </w:r>
    </w:p>
    <w:p>
      <w:pPr>
        <w:pStyle w:val="BodyText"/>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1"/>
          <w:sz w:val="21"/>
        </w:rPr>
        <w:t>严重心肌炎</w:t>
      </w:r>
    </w:p>
    <w:p>
      <w:pPr>
        <w:pStyle w:val="BodyText"/>
        <w:spacing w:line="300" w:lineRule="auto" w:before="68"/>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left="3469" w:right="262" w:hanging="420"/>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left="3469" w:right="209" w:hanging="420"/>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6"/>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z w:val="21"/>
        </w:rPr>
        <w:t>I</w:t>
      </w:r>
      <w:r>
        <w:rPr>
          <w:spacing w:val="-11"/>
          <w:sz w:val="21"/>
        </w:rPr>
        <w:t> 型糖尿病</w:t>
      </w:r>
    </w:p>
    <w:p>
      <w:pPr>
        <w:pStyle w:val="BodyText"/>
        <w:spacing w:line="300" w:lineRule="auto" w:before="67"/>
        <w:ind w:right="106"/>
      </w:pPr>
      <w:r>
        <w:rPr>
          <w:spacing w:val="-11"/>
        </w:rPr>
        <w:t>指未满 </w:t>
      </w:r>
      <w:r>
        <w:rPr/>
        <w:t>19</w:t>
      </w:r>
      <w:r>
        <w:rPr>
          <w:spacing w:val="-8"/>
        </w:rPr>
        <w:t> 周岁的被保险人由于胰岛素分泌不足引起的慢性血糖升高。</w:t>
      </w:r>
      <w:r>
        <w:rPr>
          <w:spacing w:val="-5"/>
        </w:rPr>
        <w:t>本病须经医院的内分泌专科医生确诊并满足以下所有条件：</w:t>
      </w:r>
    </w:p>
    <w:p>
      <w:pPr>
        <w:pStyle w:val="BodyText"/>
        <w:tabs>
          <w:tab w:pos="3468" w:val="left" w:leader="none"/>
        </w:tabs>
        <w:spacing w:before="15"/>
      </w:pPr>
      <w:r>
        <w:rPr/>
        <w:t>①</w:t>
        <w:tab/>
      </w:r>
      <w:r>
        <w:rPr>
          <w:spacing w:val="-7"/>
        </w:rPr>
        <w:t>血胰岛素测定或血 </w:t>
      </w:r>
      <w:r>
        <w:rPr/>
        <w:t>C</w:t>
      </w:r>
      <w:r>
        <w:rPr>
          <w:spacing w:val="-8"/>
        </w:rPr>
        <w:t> 肽测定证实存在胰岛素分泌绝对不足；</w:t>
      </w:r>
    </w:p>
    <w:p>
      <w:pPr>
        <w:pStyle w:val="BodyText"/>
        <w:tabs>
          <w:tab w:pos="3468" w:val="left" w:leader="none"/>
        </w:tabs>
        <w:spacing w:before="68"/>
      </w:pPr>
      <w:r>
        <w:rPr/>
        <w:t>②</w:t>
        <w:tab/>
      </w:r>
      <w:r>
        <w:rPr>
          <w:spacing w:val="-3"/>
        </w:rPr>
        <w:t>持续性地依赖外源性胰岛素治疗６个月以上。</w:t>
      </w:r>
    </w:p>
    <w:p>
      <w:pPr>
        <w:pStyle w:val="BodyText"/>
        <w:spacing w:line="300" w:lineRule="auto" w:before="68"/>
        <w:ind w:right="212"/>
      </w:pPr>
      <w:r>
        <w:rPr/>
        <w:t>II</w:t>
      </w:r>
      <w:r>
        <w:rPr>
          <w:spacing w:val="-10"/>
        </w:rPr>
        <w:t> 型糖尿病(非胰岛素依赖性糖尿病 </w:t>
      </w:r>
      <w:r>
        <w:rPr/>
        <w:t>NIDDM</w:t>
      </w:r>
      <w:r>
        <w:rPr>
          <w:spacing w:val="-3"/>
        </w:rPr>
        <w:t>)或继发性糖尿病，不在保险责任范围内。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before="68"/>
        <w:ind w:right="2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before="68"/>
        <w:ind w:right="2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6"/>
        </w:numPr>
        <w:tabs>
          <w:tab w:pos="3261" w:val="left" w:leader="none"/>
        </w:tabs>
        <w:spacing w:line="240" w:lineRule="auto" w:before="68" w:after="0"/>
        <w:ind w:left="3260" w:right="0" w:hanging="211"/>
        <w:jc w:val="left"/>
        <w:rPr>
          <w:sz w:val="21"/>
        </w:rPr>
      </w:pPr>
      <w:r>
        <w:rPr>
          <w:spacing w:val="-3"/>
          <w:sz w:val="21"/>
        </w:rPr>
        <w:t>型–正常肾小球型；</w:t>
      </w:r>
    </w:p>
    <w:p>
      <w:pPr>
        <w:spacing w:after="0" w:line="240" w:lineRule="auto"/>
        <w:jc w:val="left"/>
        <w:rPr>
          <w:sz w:val="21"/>
        </w:rPr>
        <w:sectPr>
          <w:pgSz w:w="11910" w:h="16840"/>
          <w:pgMar w:header="0" w:footer="919" w:top="1580" w:bottom="1180" w:left="1200" w:right="1140"/>
        </w:sectPr>
      </w:pPr>
    </w:p>
    <w:p>
      <w:pPr>
        <w:pStyle w:val="BodyText"/>
        <w:spacing w:before="12"/>
        <w:ind w:left="0"/>
        <w:rPr>
          <w:sz w:val="26"/>
        </w:rPr>
      </w:pPr>
    </w:p>
    <w:p>
      <w:pPr>
        <w:pStyle w:val="ListParagraph"/>
        <w:numPr>
          <w:ilvl w:val="0"/>
          <w:numId w:val="6"/>
        </w:numPr>
        <w:tabs>
          <w:tab w:pos="3313" w:val="left" w:leader="none"/>
        </w:tabs>
        <w:spacing w:line="240" w:lineRule="auto" w:before="36" w:after="0"/>
        <w:ind w:left="3313" w:right="0" w:hanging="264"/>
        <w:jc w:val="both"/>
        <w:rPr>
          <w:sz w:val="21"/>
        </w:rPr>
      </w:pPr>
      <w:r>
        <w:rPr>
          <w:spacing w:val="-3"/>
          <w:sz w:val="21"/>
        </w:rPr>
        <w:t>型–系膜增生型；</w:t>
      </w:r>
    </w:p>
    <w:p>
      <w:pPr>
        <w:pStyle w:val="ListParagraph"/>
        <w:numPr>
          <w:ilvl w:val="0"/>
          <w:numId w:val="6"/>
        </w:numPr>
        <w:tabs>
          <w:tab w:pos="3419" w:val="left" w:leader="none"/>
        </w:tabs>
        <w:spacing w:line="240" w:lineRule="auto" w:before="68" w:after="0"/>
        <w:ind w:left="3418" w:right="0" w:hanging="369"/>
        <w:jc w:val="both"/>
        <w:rPr>
          <w:sz w:val="21"/>
        </w:rPr>
      </w:pPr>
      <w:r>
        <w:rPr>
          <w:spacing w:val="-3"/>
          <w:sz w:val="21"/>
        </w:rPr>
        <w:t>型–局灶节段增生型；</w:t>
      </w:r>
    </w:p>
    <w:p>
      <w:pPr>
        <w:pStyle w:val="ListParagraph"/>
        <w:numPr>
          <w:ilvl w:val="0"/>
          <w:numId w:val="6"/>
        </w:numPr>
        <w:tabs>
          <w:tab w:pos="3313" w:val="left" w:leader="none"/>
        </w:tabs>
        <w:spacing w:line="240" w:lineRule="auto" w:before="68" w:after="0"/>
        <w:ind w:left="3313" w:right="0" w:hanging="264"/>
        <w:jc w:val="both"/>
        <w:rPr>
          <w:sz w:val="21"/>
        </w:rPr>
      </w:pPr>
      <w:r>
        <w:rPr>
          <w:spacing w:val="-3"/>
          <w:sz w:val="21"/>
        </w:rPr>
        <w:t>型–弥漫增生型；</w:t>
      </w:r>
    </w:p>
    <w:p>
      <w:pPr>
        <w:pStyle w:val="ListParagraph"/>
        <w:numPr>
          <w:ilvl w:val="0"/>
          <w:numId w:val="6"/>
        </w:numPr>
        <w:tabs>
          <w:tab w:pos="3208" w:val="left" w:leader="none"/>
        </w:tabs>
        <w:spacing w:line="240" w:lineRule="auto" w:before="68" w:after="0"/>
        <w:ind w:left="3207" w:right="0" w:hanging="158"/>
        <w:jc w:val="both"/>
        <w:rPr>
          <w:sz w:val="21"/>
        </w:rPr>
      </w:pPr>
      <w:r>
        <w:rPr>
          <w:spacing w:val="-3"/>
          <w:sz w:val="21"/>
        </w:rPr>
        <w:t>型–膜型；</w:t>
      </w:r>
    </w:p>
    <w:p>
      <w:pPr>
        <w:pStyle w:val="ListParagraph"/>
        <w:numPr>
          <w:ilvl w:val="0"/>
          <w:numId w:val="6"/>
        </w:numPr>
        <w:tabs>
          <w:tab w:pos="3313" w:val="left" w:leader="none"/>
        </w:tabs>
        <w:spacing w:line="240" w:lineRule="auto" w:before="68" w:after="0"/>
        <w:ind w:left="3313" w:right="0" w:hanging="264"/>
        <w:jc w:val="both"/>
        <w:rPr>
          <w:sz w:val="21"/>
        </w:rPr>
      </w:pPr>
      <w:r>
        <w:rPr>
          <w:spacing w:val="-3"/>
          <w:sz w:val="21"/>
        </w:rPr>
        <w:t>型–肾小球硬化型。</w:t>
      </w:r>
    </w:p>
    <w:p>
      <w:pPr>
        <w:pStyle w:val="BodyText"/>
        <w:ind w:left="0"/>
        <w:rPr>
          <w:sz w:val="20"/>
        </w:rPr>
      </w:pPr>
    </w:p>
    <w:p>
      <w:pPr>
        <w:pStyle w:val="ListParagraph"/>
        <w:numPr>
          <w:ilvl w:val="0"/>
          <w:numId w:val="4"/>
        </w:numPr>
        <w:tabs>
          <w:tab w:pos="3889" w:val="left" w:leader="none"/>
        </w:tabs>
        <w:spacing w:line="240" w:lineRule="auto" w:before="149" w:after="0"/>
        <w:ind w:left="3889" w:right="0" w:hanging="840"/>
        <w:jc w:val="both"/>
        <w:rPr>
          <w:sz w:val="21"/>
        </w:rPr>
      </w:pPr>
      <w:r>
        <w:rPr>
          <w:spacing w:val="-2"/>
          <w:sz w:val="21"/>
        </w:rPr>
        <w:t>急性脊髓灰质炎</w:t>
      </w:r>
    </w:p>
    <w:p>
      <w:pPr>
        <w:pStyle w:val="BodyText"/>
        <w:spacing w:line="300" w:lineRule="auto" w:before="68"/>
        <w:ind w:right="1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巴利综合症(急性感染性多神经炎)则不在此保障范围以内。肢体瘫痪指两肢或两肢以上肢体机能永久完全丧失。肢体机能永久完全丧失，指</w:t>
      </w:r>
      <w:r>
        <w:rPr>
          <w:spacing w:val="-11"/>
        </w:rPr>
        <w:t>疾病确诊 </w:t>
      </w:r>
      <w:r>
        <w:rPr/>
        <w:t>180</w:t>
      </w:r>
      <w:r>
        <w:rPr>
          <w:spacing w:val="-7"/>
        </w:rPr>
        <w:t> 天后，每肢三大关节中的两大关节仍然完全僵硬，或不</w:t>
      </w:r>
      <w:r>
        <w:rPr>
          <w:spacing w:val="-5"/>
        </w:rPr>
        <w:t>能随意识活动。</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before="67"/>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经输血导致的人类免疫缺陷病毒感染</w:t>
      </w:r>
    </w:p>
    <w:p>
      <w:pPr>
        <w:pStyle w:val="BodyText"/>
        <w:spacing w:before="84"/>
      </w:pPr>
      <w:r>
        <w:rPr/>
        <w:t>被保险人感染上人类免疫缺陷病毒（HIV）并且符合下列所有条件：</w:t>
      </w:r>
    </w:p>
    <w:p>
      <w:pPr>
        <w:pStyle w:val="BodyText"/>
        <w:tabs>
          <w:tab w:pos="3468" w:val="left" w:leader="none"/>
        </w:tabs>
        <w:spacing w:line="326" w:lineRule="auto" w:before="99"/>
        <w:ind w:left="3469" w:right="10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26" w:lineRule="auto" w:before="24"/>
        <w:ind w:left="3469" w:right="109" w:hanging="420"/>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24"/>
      </w:pPr>
      <w:r>
        <w:rPr/>
        <w:t>③</w:t>
        <w:tab/>
      </w:r>
      <w:r>
        <w:rPr>
          <w:spacing w:val="-3"/>
        </w:rPr>
        <w:t>提供输血治疗的输血中心或医院必须拥有合法经营执照；</w:t>
      </w:r>
    </w:p>
    <w:p>
      <w:pPr>
        <w:pStyle w:val="BodyText"/>
        <w:tabs>
          <w:tab w:pos="3468" w:val="left" w:leader="none"/>
        </w:tabs>
        <w:spacing w:before="99"/>
      </w:pPr>
      <w:r>
        <w:rPr/>
        <w:t>④</w:t>
        <w:tab/>
      </w:r>
      <w:r>
        <w:rPr>
          <w:spacing w:val="-3"/>
        </w:rPr>
        <w:t>受感染的被保险人不是血友病患者；</w:t>
      </w:r>
    </w:p>
    <w:p>
      <w:pPr>
        <w:pStyle w:val="BodyText"/>
        <w:spacing w:line="326" w:lineRule="auto" w:before="99"/>
        <w:ind w:right="104"/>
        <w:jc w:val="both"/>
      </w:pPr>
      <w:r>
        <w:rPr>
          <w:spacing w:val="-3"/>
        </w:rPr>
        <w:t>在任何治愈爱滋病</w:t>
      </w:r>
      <w:r>
        <w:rPr/>
        <w:t>（AIDS）</w:t>
      </w:r>
      <w:r>
        <w:rPr>
          <w:spacing w:val="-11"/>
        </w:rPr>
        <w:t>或阻止 </w:t>
      </w:r>
      <w:r>
        <w:rPr/>
        <w:t>HIV</w:t>
      </w:r>
      <w:r>
        <w:rPr>
          <w:spacing w:val="-7"/>
        </w:rPr>
        <w:t> 病毒作用的疗法被发现以后， </w:t>
      </w:r>
      <w:r>
        <w:rPr>
          <w:spacing w:val="-12"/>
        </w:rPr>
        <w:t>或能防止 </w:t>
      </w:r>
      <w:r>
        <w:rPr/>
        <w:t>AIDS</w:t>
      </w:r>
      <w:r>
        <w:rPr>
          <w:spacing w:val="-14"/>
        </w:rPr>
        <w:t> 发生的医疗方法被研究出来以后，本保障将不再予以赔付。</w:t>
      </w:r>
    </w:p>
    <w:p>
      <w:pPr>
        <w:pStyle w:val="BodyText"/>
        <w:spacing w:line="326" w:lineRule="auto" w:before="24"/>
        <w:ind w:right="104"/>
      </w:pPr>
      <w:r>
        <w:rPr>
          <w:spacing w:val="-3"/>
        </w:rPr>
        <w:t>任何因其他传播方式</w:t>
      </w:r>
      <w:r>
        <w:rPr/>
        <w:t>（</w:t>
      </w:r>
      <w:r>
        <w:rPr>
          <w:spacing w:val="-3"/>
        </w:rPr>
        <w:t>包括：性传播或静脉注射毒品</w:t>
      </w:r>
      <w:r>
        <w:rPr/>
        <w:t>）</w:t>
      </w:r>
      <w:r>
        <w:rPr>
          <w:spacing w:val="-11"/>
        </w:rPr>
        <w:t>导致的 </w:t>
      </w:r>
      <w:r>
        <w:rPr/>
        <w:t>HIV</w:t>
      </w:r>
      <w:r>
        <w:rPr>
          <w:spacing w:val="-19"/>
        </w:rPr>
        <w:t> 感</w:t>
      </w:r>
      <w:r>
        <w:rPr>
          <w:spacing w:val="-8"/>
        </w:rPr>
        <w:t>染不在本保单保障范围内。</w:t>
      </w:r>
    </w:p>
    <w:p>
      <w:pPr>
        <w:pStyle w:val="BodyText"/>
        <w:spacing w:line="300" w:lineRule="auto" w:before="7"/>
        <w:ind w:right="109"/>
      </w:pPr>
      <w:r>
        <w:rPr/>
        <w:t>保险公司必须拥有获得使用被保险人的血液样本的权利和能够对这些样本进行独立检验的权利。</w:t>
      </w:r>
    </w:p>
    <w:p>
      <w:pPr>
        <w:spacing w:after="0" w:line="300" w:lineRule="auto"/>
        <w:sectPr>
          <w:pgSz w:w="11910" w:h="16840"/>
          <w:pgMar w:header="0" w:footer="919" w:top="1580" w:bottom="1180" w:left="1200" w:right="1240"/>
        </w:sectPr>
      </w:pPr>
    </w:p>
    <w:p>
      <w:pPr>
        <w:pStyle w:val="BodyText"/>
        <w:ind w:left="0"/>
        <w:rPr>
          <w:rFonts w:ascii="Times New Roman"/>
          <w:sz w:val="20"/>
        </w:rPr>
      </w:pPr>
    </w:p>
    <w:p>
      <w:pPr>
        <w:pStyle w:val="BodyText"/>
        <w:ind w:left="0"/>
        <w:rPr>
          <w:rFonts w:ascii="Times New Roman"/>
          <w:sz w:val="20"/>
        </w:rPr>
      </w:pPr>
    </w:p>
    <w:p>
      <w:pPr>
        <w:pStyle w:val="BodyText"/>
        <w:spacing w:before="2"/>
        <w:ind w:left="0"/>
        <w:rPr>
          <w:rFonts w:ascii="Times New Roman"/>
          <w:sz w:val="2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4529"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numPr>
                <w:ilvl w:val="0"/>
                <w:numId w:val="7"/>
              </w:numPr>
              <w:tabs>
                <w:tab w:pos="989" w:val="left" w:leader="none"/>
                <w:tab w:pos="990" w:val="left" w:leader="none"/>
              </w:tabs>
              <w:spacing w:line="211" w:lineRule="exact" w:before="0" w:after="0"/>
              <w:ind w:left="989" w:right="0" w:hanging="840"/>
              <w:jc w:val="left"/>
              <w:rPr>
                <w:sz w:val="21"/>
              </w:rPr>
            </w:pPr>
            <w:r>
              <w:rPr>
                <w:spacing w:val="-1"/>
                <w:sz w:val="21"/>
              </w:rPr>
              <w:t>严重胃肠炎</w:t>
            </w:r>
          </w:p>
          <w:p>
            <w:pPr>
              <w:pStyle w:val="TableParagraph"/>
              <w:spacing w:line="326" w:lineRule="auto" w:before="85"/>
              <w:ind w:right="302"/>
              <w:jc w:val="both"/>
              <w:rPr>
                <w:sz w:val="21"/>
              </w:rPr>
            </w:pPr>
            <w:r>
              <w:rPr>
                <w:sz w:val="21"/>
              </w:rPr>
              <w:t>是指以严重的腹泻、便血和肠段坏死为特征的胃肠道严重感染疾病， 并已经实施大肠或小肠的一处或多处经手术切除。需经本公司认可的儿科专科医生确诊且经病理检查证实存在严重感染和坏死。</w:t>
            </w:r>
          </w:p>
          <w:p>
            <w:pPr>
              <w:pStyle w:val="TableParagraph"/>
              <w:spacing w:before="0"/>
              <w:ind w:left="0"/>
              <w:rPr>
                <w:rFonts w:ascii="Times New Roman"/>
                <w:sz w:val="20"/>
              </w:rPr>
            </w:pPr>
          </w:p>
          <w:p>
            <w:pPr>
              <w:pStyle w:val="TableParagraph"/>
              <w:numPr>
                <w:ilvl w:val="0"/>
                <w:numId w:val="7"/>
              </w:numPr>
              <w:tabs>
                <w:tab w:pos="989" w:val="left" w:leader="none"/>
                <w:tab w:pos="990" w:val="left" w:leader="none"/>
              </w:tabs>
              <w:spacing w:line="240" w:lineRule="auto" w:before="151" w:after="0"/>
              <w:ind w:left="989" w:right="0" w:hanging="840"/>
              <w:jc w:val="left"/>
              <w:rPr>
                <w:sz w:val="21"/>
              </w:rPr>
            </w:pPr>
            <w:r>
              <w:rPr>
                <w:spacing w:val="-1"/>
                <w:sz w:val="21"/>
              </w:rPr>
              <w:t>终末期肺病</w:t>
            </w:r>
          </w:p>
          <w:p>
            <w:pPr>
              <w:pStyle w:val="TableParagraph"/>
              <w:spacing w:line="326" w:lineRule="auto" w:before="84"/>
              <w:ind w:right="302"/>
              <w:rPr>
                <w:sz w:val="21"/>
              </w:rPr>
            </w:pPr>
            <w:r>
              <w:rPr>
                <w:sz w:val="21"/>
              </w:rPr>
              <w:t>是指因慢性肺部疾病导致永久不可逆性的慢性呼吸衰竭。该病必须由医院的呼吸科专科医生确诊并符合以下各项：</w:t>
            </w:r>
          </w:p>
          <w:p>
            <w:pPr>
              <w:pStyle w:val="TableParagraph"/>
              <w:spacing w:before="23"/>
              <w:jc w:val="both"/>
              <w:rPr>
                <w:sz w:val="21"/>
              </w:rPr>
            </w:pPr>
            <w:r>
              <w:rPr>
                <w:sz w:val="21"/>
              </w:rPr>
              <w:t>① 动脉血氧分压 （PaO2 ）&lt; 50mmHg；；</w:t>
            </w:r>
          </w:p>
          <w:p>
            <w:pPr>
              <w:pStyle w:val="TableParagraph"/>
              <w:spacing w:before="100"/>
              <w:jc w:val="both"/>
              <w:rPr>
                <w:sz w:val="21"/>
              </w:rPr>
            </w:pPr>
            <w:r>
              <w:rPr>
                <w:sz w:val="21"/>
              </w:rPr>
              <w:t>②  动脉血氧饱和度 （SaO2 ）&lt; 80％；</w:t>
            </w:r>
          </w:p>
          <w:p>
            <w:pPr>
              <w:pStyle w:val="TableParagraph"/>
              <w:spacing w:before="99"/>
              <w:jc w:val="both"/>
              <w:rPr>
                <w:sz w:val="21"/>
              </w:rPr>
            </w:pPr>
            <w:r>
              <w:rPr>
                <w:sz w:val="21"/>
              </w:rPr>
              <w:t>③  休息时出现呼吸困难；</w:t>
            </w:r>
          </w:p>
          <w:p>
            <w:pPr>
              <w:pStyle w:val="TableParagraph"/>
              <w:spacing w:before="99"/>
              <w:jc w:val="both"/>
              <w:rPr>
                <w:sz w:val="21"/>
              </w:rPr>
            </w:pPr>
            <w:r>
              <w:rPr>
                <w:sz w:val="21"/>
              </w:rPr>
              <w:t>④  必须接受持续的输氧治疗。</w:t>
            </w:r>
          </w:p>
        </w:tc>
      </w:tr>
      <w:tr>
        <w:trPr>
          <w:trHeight w:val="693" w:hRule="atLeast"/>
        </w:trPr>
        <w:tc>
          <w:tcPr>
            <w:tcW w:w="735" w:type="dxa"/>
          </w:tcPr>
          <w:p>
            <w:pPr>
              <w:pStyle w:val="TableParagraph"/>
              <w:spacing w:before="8"/>
              <w:ind w:left="0"/>
              <w:rPr>
                <w:rFonts w:ascii="Times New Roman"/>
                <w:sz w:val="15"/>
              </w:rPr>
            </w:pPr>
          </w:p>
          <w:p>
            <w:pPr>
              <w:pStyle w:val="TableParagraph"/>
              <w:spacing w:before="0"/>
              <w:ind w:left="200"/>
              <w:rPr>
                <w:sz w:val="21"/>
              </w:rPr>
            </w:pPr>
            <w:r>
              <w:rPr>
                <w:w w:val="100"/>
                <w:sz w:val="21"/>
              </w:rPr>
              <w:t>四</w:t>
            </w:r>
          </w:p>
        </w:tc>
        <w:tc>
          <w:tcPr>
            <w:tcW w:w="1735" w:type="dxa"/>
          </w:tcPr>
          <w:p>
            <w:pPr>
              <w:pStyle w:val="TableParagraph"/>
              <w:spacing w:before="8"/>
              <w:ind w:left="0"/>
              <w:rPr>
                <w:rFonts w:ascii="Times New Roman"/>
                <w:sz w:val="15"/>
              </w:rPr>
            </w:pPr>
          </w:p>
          <w:p>
            <w:pPr>
              <w:pStyle w:val="TableParagraph"/>
              <w:spacing w:before="0"/>
              <w:ind w:left="324"/>
              <w:rPr>
                <w:sz w:val="21"/>
              </w:rPr>
            </w:pPr>
            <w:r>
              <w:rPr>
                <w:sz w:val="21"/>
              </w:rPr>
              <w:t>意外伤害</w:t>
            </w:r>
          </w:p>
        </w:tc>
        <w:tc>
          <w:tcPr>
            <w:tcW w:w="6762" w:type="dxa"/>
          </w:tcPr>
          <w:p>
            <w:pPr>
              <w:pStyle w:val="TableParagraph"/>
              <w:spacing w:before="8"/>
              <w:ind w:left="0"/>
              <w:rPr>
                <w:rFonts w:ascii="Times New Roman"/>
                <w:sz w:val="15"/>
              </w:rPr>
            </w:pPr>
          </w:p>
          <w:p>
            <w:pPr>
              <w:pStyle w:val="TableParagraph"/>
              <w:spacing w:before="0"/>
              <w:rPr>
                <w:sz w:val="21"/>
              </w:rPr>
            </w:pPr>
            <w:r>
              <w:rPr>
                <w:sz w:val="21"/>
              </w:rPr>
              <w:t>指外来的、突然的、非本意的、非疾病的使身体受到伤害的客观事件。</w:t>
            </w:r>
          </w:p>
        </w:tc>
      </w:tr>
      <w:tr>
        <w:trPr>
          <w:trHeight w:val="1716"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毒品</w:t>
            </w:r>
          </w:p>
        </w:tc>
        <w:tc>
          <w:tcPr>
            <w:tcW w:w="6762" w:type="dxa"/>
          </w:tcPr>
          <w:p>
            <w:pPr>
              <w:pStyle w:val="TableParagraph"/>
              <w:spacing w:line="300" w:lineRule="auto"/>
              <w:ind w:right="304"/>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2"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酒后驾驶</w:t>
            </w:r>
          </w:p>
        </w:tc>
        <w:tc>
          <w:tcPr>
            <w:tcW w:w="6762" w:type="dxa"/>
          </w:tcPr>
          <w:p>
            <w:pPr>
              <w:pStyle w:val="TableParagraph"/>
              <w:spacing w:line="300" w:lineRule="auto"/>
              <w:ind w:right="304"/>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735" w:type="dxa"/>
          </w:tcPr>
          <w:p>
            <w:pPr>
              <w:pStyle w:val="TableParagraph"/>
              <w:ind w:left="200"/>
              <w:rPr>
                <w:sz w:val="21"/>
              </w:rPr>
            </w:pPr>
            <w:r>
              <w:rPr>
                <w:w w:val="100"/>
                <w:sz w:val="21"/>
              </w:rPr>
              <w:t>七</w:t>
            </w:r>
          </w:p>
        </w:tc>
        <w:tc>
          <w:tcPr>
            <w:tcW w:w="1735" w:type="dxa"/>
          </w:tcPr>
          <w:p>
            <w:pPr>
              <w:pStyle w:val="TableParagraph"/>
              <w:spacing w:line="300" w:lineRule="auto"/>
              <w:ind w:left="324" w:right="146"/>
              <w:rPr>
                <w:sz w:val="21"/>
              </w:rPr>
            </w:pPr>
            <w:r>
              <w:rPr>
                <w:sz w:val="21"/>
              </w:rPr>
              <w:t>无合法有效驾驶证驾驶</w:t>
            </w:r>
          </w:p>
        </w:tc>
        <w:tc>
          <w:tcPr>
            <w:tcW w:w="6762" w:type="dxa"/>
          </w:tcPr>
          <w:p>
            <w:pPr>
              <w:pStyle w:val="TableParagraph"/>
              <w:rPr>
                <w:sz w:val="21"/>
              </w:rPr>
            </w:pPr>
            <w:r>
              <w:rPr>
                <w:sz w:val="21"/>
              </w:rPr>
              <w:t>指下列情形之一：</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没有取得驾驶资格；</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驾驶与驾驶证准驾车型不相符合的车辆；</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持审验不合格的驾驶证驾驶；</w:t>
            </w:r>
          </w:p>
          <w:p>
            <w:pPr>
              <w:pStyle w:val="TableParagraph"/>
              <w:numPr>
                <w:ilvl w:val="0"/>
                <w:numId w:val="8"/>
              </w:numPr>
              <w:tabs>
                <w:tab w:pos="569" w:val="left" w:leader="none"/>
                <w:tab w:pos="570" w:val="left" w:leader="none"/>
              </w:tabs>
              <w:spacing w:line="300" w:lineRule="auto" w:before="68" w:after="0"/>
              <w:ind w:left="569" w:right="196" w:hanging="420"/>
              <w:jc w:val="left"/>
              <w:rPr>
                <w:sz w:val="21"/>
              </w:rPr>
            </w:pPr>
            <w:r>
              <w:rPr>
                <w:spacing w:val="-10"/>
                <w:sz w:val="21"/>
              </w:rPr>
              <w:t>持学习驾驶证学习驾车时，无教练员随车指导，或不按指定时间、</w:t>
            </w:r>
            <w:r>
              <w:rPr>
                <w:spacing w:val="-5"/>
                <w:sz w:val="21"/>
              </w:rPr>
              <w:t>路线学习驾车。</w:t>
            </w:r>
          </w:p>
        </w:tc>
      </w:tr>
      <w:tr>
        <w:trPr>
          <w:trHeight w:val="1135" w:hRule="atLeast"/>
        </w:trPr>
        <w:tc>
          <w:tcPr>
            <w:tcW w:w="735" w:type="dxa"/>
          </w:tcPr>
          <w:p>
            <w:pPr>
              <w:pStyle w:val="TableParagraph"/>
              <w:ind w:left="200"/>
              <w:rPr>
                <w:sz w:val="21"/>
              </w:rPr>
            </w:pPr>
            <w:r>
              <w:rPr>
                <w:w w:val="100"/>
                <w:sz w:val="21"/>
              </w:rPr>
              <w:t>八</w:t>
            </w:r>
          </w:p>
        </w:tc>
        <w:tc>
          <w:tcPr>
            <w:tcW w:w="1735" w:type="dxa"/>
          </w:tcPr>
          <w:p>
            <w:pPr>
              <w:pStyle w:val="TableParagraph"/>
              <w:ind w:left="324"/>
              <w:rPr>
                <w:sz w:val="21"/>
              </w:rPr>
            </w:pPr>
            <w:r>
              <w:rPr>
                <w:sz w:val="21"/>
              </w:rPr>
              <w:t>无有效行驶证</w:t>
            </w:r>
          </w:p>
        </w:tc>
        <w:tc>
          <w:tcPr>
            <w:tcW w:w="6762" w:type="dxa"/>
          </w:tcPr>
          <w:p>
            <w:pPr>
              <w:pStyle w:val="TableParagraph"/>
              <w:rPr>
                <w:sz w:val="21"/>
              </w:rPr>
            </w:pPr>
            <w:r>
              <w:rPr>
                <w:sz w:val="21"/>
              </w:rPr>
              <w:t>指下列情形之一：</w:t>
            </w:r>
          </w:p>
          <w:p>
            <w:pPr>
              <w:pStyle w:val="TableParagraph"/>
              <w:numPr>
                <w:ilvl w:val="0"/>
                <w:numId w:val="9"/>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9"/>
              </w:numPr>
              <w:tabs>
                <w:tab w:pos="510" w:val="left" w:leader="none"/>
              </w:tabs>
              <w:spacing w:line="255" w:lineRule="exact" w:before="68" w:after="0"/>
              <w:ind w:left="509" w:right="0" w:hanging="360"/>
              <w:jc w:val="left"/>
              <w:rPr>
                <w:sz w:val="21"/>
              </w:rPr>
            </w:pPr>
            <w:r>
              <w:rPr>
                <w:spacing w:val="-3"/>
                <w:sz w:val="21"/>
              </w:rPr>
              <w:t>未依法按时进行或通过机动车安全技术检验。</w:t>
            </w:r>
          </w:p>
        </w:tc>
      </w:tr>
    </w:tbl>
    <w:p>
      <w:pPr>
        <w:spacing w:after="0" w:line="255" w:lineRule="exact"/>
        <w:jc w:val="left"/>
        <w:rPr>
          <w:sz w:val="21"/>
        </w:rPr>
        <w:sectPr>
          <w:pgSz w:w="11910" w:h="16840"/>
          <w:pgMar w:header="0" w:footer="919" w:top="1580" w:bottom="1100" w:left="120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135" w:hRule="atLeast"/>
        </w:trPr>
        <w:tc>
          <w:tcPr>
            <w:tcW w:w="894" w:type="dxa"/>
          </w:tcPr>
          <w:p>
            <w:pPr>
              <w:pStyle w:val="TableParagraph"/>
              <w:spacing w:line="211" w:lineRule="exact" w:before="0"/>
              <w:ind w:left="0" w:right="88"/>
              <w:jc w:val="center"/>
              <w:rPr>
                <w:sz w:val="21"/>
              </w:rPr>
            </w:pPr>
            <w:r>
              <w:rPr>
                <w:w w:val="100"/>
                <w:sz w:val="21"/>
              </w:rPr>
              <w:t>九</w:t>
            </w:r>
          </w:p>
        </w:tc>
        <w:tc>
          <w:tcPr>
            <w:tcW w:w="1683" w:type="dxa"/>
          </w:tcPr>
          <w:p>
            <w:pPr>
              <w:pStyle w:val="TableParagraph"/>
              <w:spacing w:line="211" w:lineRule="exact" w:before="0"/>
              <w:ind w:left="270"/>
              <w:rPr>
                <w:sz w:val="21"/>
              </w:rPr>
            </w:pPr>
            <w:r>
              <w:rPr>
                <w:sz w:val="21"/>
              </w:rPr>
              <w:t>先天性畸形、</w:t>
            </w:r>
          </w:p>
          <w:p>
            <w:pPr>
              <w:pStyle w:val="TableParagraph"/>
              <w:spacing w:line="300" w:lineRule="auto" w:before="68"/>
              <w:ind w:left="270" w:right="147"/>
              <w:rPr>
                <w:sz w:val="21"/>
              </w:rPr>
            </w:pPr>
            <w:r>
              <w:rPr>
                <w:sz w:val="21"/>
              </w:rPr>
              <w:t>变形或染色体异常</w:t>
            </w:r>
          </w:p>
        </w:tc>
        <w:tc>
          <w:tcPr>
            <w:tcW w:w="6763" w:type="dxa"/>
          </w:tcPr>
          <w:p>
            <w:pPr>
              <w:pStyle w:val="TableParagraph"/>
              <w:spacing w:line="211" w:lineRule="exact" w:before="0"/>
              <w:ind w:left="148"/>
              <w:rPr>
                <w:sz w:val="21"/>
              </w:rPr>
            </w:pPr>
            <w:r>
              <w:rPr>
                <w:sz w:val="21"/>
              </w:rPr>
              <w:t>指被保险人出生时就具有的畸形、变形或染色体异常。先天性畸形、</w:t>
            </w:r>
          </w:p>
          <w:p>
            <w:pPr>
              <w:pStyle w:val="TableParagraph"/>
              <w:spacing w:line="300" w:lineRule="auto" w:before="68"/>
              <w:ind w:left="148" w:right="306"/>
              <w:rPr>
                <w:sz w:val="21"/>
              </w:rPr>
            </w:pPr>
            <w:r>
              <w:rPr>
                <w:sz w:val="21"/>
              </w:rPr>
              <w:t>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3" w:type="dxa"/>
          </w:tcPr>
          <w:p>
            <w:pPr>
              <w:pStyle w:val="TableParagraph"/>
              <w:spacing w:line="300" w:lineRule="auto"/>
              <w:ind w:left="148" w:right="198"/>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1029"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ind w:left="270"/>
              <w:rPr>
                <w:sz w:val="21"/>
              </w:rPr>
            </w:pPr>
            <w:r>
              <w:rPr>
                <w:sz w:val="21"/>
              </w:rPr>
              <w:t>周岁</w:t>
            </w:r>
          </w:p>
        </w:tc>
        <w:tc>
          <w:tcPr>
            <w:tcW w:w="6763" w:type="dxa"/>
          </w:tcPr>
          <w:p>
            <w:pPr>
              <w:pStyle w:val="TableParagraph"/>
              <w:spacing w:line="300" w:lineRule="auto"/>
              <w:ind w:left="148" w:right="306"/>
              <w:rPr>
                <w:sz w:val="21"/>
              </w:rPr>
            </w:pPr>
            <w:r>
              <w:rPr>
                <w:sz w:val="21"/>
              </w:rPr>
              <w:t>按照公历的年、月、日计算，从周岁生日的第二天起，为年满××周岁。</w:t>
            </w:r>
          </w:p>
        </w:tc>
      </w:tr>
      <w:tr>
        <w:trPr>
          <w:trHeight w:val="102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ind w:left="182" w:right="251"/>
              <w:jc w:val="center"/>
              <w:rPr>
                <w:sz w:val="21"/>
              </w:rPr>
            </w:pPr>
            <w:r>
              <w:rPr>
                <w:sz w:val="21"/>
              </w:rPr>
              <w:t>十五</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2508"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专科医生</w:t>
            </w:r>
          </w:p>
        </w:tc>
        <w:tc>
          <w:tcPr>
            <w:tcW w:w="6763" w:type="dxa"/>
          </w:tcPr>
          <w:p>
            <w:pPr>
              <w:pStyle w:val="TableParagraph"/>
              <w:ind w:left="148"/>
              <w:rPr>
                <w:sz w:val="21"/>
              </w:rPr>
            </w:pPr>
            <w:r>
              <w:rPr>
                <w:sz w:val="21"/>
              </w:rPr>
              <w:t>专科医生应当同时满足以下四项资格条件：</w:t>
            </w:r>
          </w:p>
          <w:p>
            <w:pPr>
              <w:pStyle w:val="TableParagraph"/>
              <w:numPr>
                <w:ilvl w:val="0"/>
                <w:numId w:val="11"/>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1"/>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1"/>
              </w:numPr>
              <w:tabs>
                <w:tab w:pos="509" w:val="left" w:leader="none"/>
              </w:tabs>
              <w:spacing w:line="300" w:lineRule="auto" w:before="15"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1"/>
              </w:numPr>
              <w:tabs>
                <w:tab w:pos="509" w:val="left" w:leader="none"/>
              </w:tabs>
              <w:spacing w:line="255" w:lineRule="exact" w:before="15" w:after="0"/>
              <w:ind w:left="508" w:right="0" w:hanging="360"/>
              <w:jc w:val="left"/>
              <w:rPr>
                <w:sz w:val="21"/>
              </w:rPr>
            </w:pPr>
            <w:r>
              <w:rPr>
                <w:spacing w:val="-3"/>
                <w:sz w:val="21"/>
              </w:rPr>
              <w:t>在二级或二级以上医院的相应科室从事临床工作三年以上。</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64pt;height:11pt;mso-position-horizontal-relative:page;mso-position-vertical-relative:page;z-index:-20656" type="#_x0000_t202" filled="false" stroked="false">
          <v:textbox inset="0,0,0,0">
            <w:txbxContent>
              <w:p>
                <w:pPr>
                  <w:spacing w:line="200" w:lineRule="exact" w:before="0"/>
                  <w:ind w:left="20" w:right="0" w:firstLine="0"/>
                  <w:jc w:val="left"/>
                  <w:rPr>
                    <w:sz w:val="18"/>
                  </w:rPr>
                </w:pPr>
                <w:r>
                  <w:rPr>
                    <w:sz w:val="18"/>
                  </w:rPr>
                  <w:t>中银三星附加家诺少儿定期重大疾病保险</w:t>
                </w:r>
              </w:p>
            </w:txbxContent>
          </v:textbox>
          <w10:wrap type="none"/>
        </v:shape>
      </w:pict>
    </w:r>
    <w:r>
      <w:rPr/>
      <w:pict>
        <v:shape style="position:absolute;margin-left:307.329987pt;margin-top:780.961609pt;width:20pt;height:11pt;mso-position-horizontal-relative:page;mso-position-vertical-relative:page;z-index:-2063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5pt;margin-top:780.961609pt;width:83pt;height:11pt;mso-position-horizontal-relative:page;mso-position-vertical-relative:page;z-index:-2060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14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9">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8">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4"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3" w:hanging="360"/>
      </w:pPr>
      <w:rPr>
        <w:rFonts w:hint="default"/>
      </w:rPr>
    </w:lvl>
    <w:lvl w:ilvl="8">
      <w:start w:val="0"/>
      <w:numFmt w:val="bullet"/>
      <w:lvlText w:val="•"/>
      <w:lvlJc w:val="left"/>
      <w:pPr>
        <w:ind w:left="5509" w:hanging="360"/>
      </w:pPr>
      <w:rPr>
        <w:rFonts w:hint="default"/>
      </w:rPr>
    </w:lvl>
  </w:abstractNum>
  <w:abstractNum w:abstractNumId="7">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6">
    <w:multiLevelType w:val="hybridMultilevel"/>
    <w:lvl w:ilvl="0">
      <w:start w:val="31"/>
      <w:numFmt w:val="decimal"/>
      <w:lvlText w:val="(%1)"/>
      <w:lvlJc w:val="left"/>
      <w:pPr>
        <w:ind w:left="989"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6" w:hanging="840"/>
      </w:pPr>
      <w:rPr>
        <w:rFonts w:hint="default"/>
      </w:rPr>
    </w:lvl>
    <w:lvl w:ilvl="3">
      <w:start w:val="0"/>
      <w:numFmt w:val="bullet"/>
      <w:lvlText w:val="•"/>
      <w:lvlJc w:val="left"/>
      <w:pPr>
        <w:ind w:left="2714" w:hanging="840"/>
      </w:pPr>
      <w:rPr>
        <w:rFonts w:hint="default"/>
      </w:rPr>
    </w:lvl>
    <w:lvl w:ilvl="4">
      <w:start w:val="0"/>
      <w:numFmt w:val="bullet"/>
      <w:lvlText w:val="•"/>
      <w:lvlJc w:val="left"/>
      <w:pPr>
        <w:ind w:left="3292" w:hanging="840"/>
      </w:pPr>
      <w:rPr>
        <w:rFonts w:hint="default"/>
      </w:rPr>
    </w:lvl>
    <w:lvl w:ilvl="5">
      <w:start w:val="0"/>
      <w:numFmt w:val="bullet"/>
      <w:lvlText w:val="•"/>
      <w:lvlJc w:val="left"/>
      <w:pPr>
        <w:ind w:left="3871" w:hanging="840"/>
      </w:pPr>
      <w:rPr>
        <w:rFonts w:hint="default"/>
      </w:rPr>
    </w:lvl>
    <w:lvl w:ilvl="6">
      <w:start w:val="0"/>
      <w:numFmt w:val="bullet"/>
      <w:lvlText w:val="•"/>
      <w:lvlJc w:val="left"/>
      <w:pPr>
        <w:ind w:left="4449" w:hanging="840"/>
      </w:pPr>
      <w:rPr>
        <w:rFonts w:hint="default"/>
      </w:rPr>
    </w:lvl>
    <w:lvl w:ilvl="7">
      <w:start w:val="0"/>
      <w:numFmt w:val="bullet"/>
      <w:lvlText w:val="•"/>
      <w:lvlJc w:val="left"/>
      <w:pPr>
        <w:ind w:left="5027" w:hanging="840"/>
      </w:pPr>
      <w:rPr>
        <w:rFonts w:hint="default"/>
      </w:rPr>
    </w:lvl>
    <w:lvl w:ilvl="8">
      <w:start w:val="0"/>
      <w:numFmt w:val="bullet"/>
      <w:lvlText w:val="•"/>
      <w:lvlJc w:val="left"/>
      <w:pPr>
        <w:ind w:left="5605" w:hanging="840"/>
      </w:pPr>
      <w:rPr>
        <w:rFonts w:hint="default"/>
      </w:rPr>
    </w:lvl>
  </w:abstractNum>
  <w:abstractNum w:abstractNumId="5">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90" w:hanging="212"/>
      </w:pPr>
      <w:rPr>
        <w:rFonts w:hint="default"/>
      </w:rPr>
    </w:lvl>
    <w:lvl w:ilvl="2">
      <w:start w:val="0"/>
      <w:numFmt w:val="bullet"/>
      <w:lvlText w:val="•"/>
      <w:lvlJc w:val="left"/>
      <w:pPr>
        <w:ind w:left="4521" w:hanging="212"/>
      </w:pPr>
      <w:rPr>
        <w:rFonts w:hint="default"/>
      </w:rPr>
    </w:lvl>
    <w:lvl w:ilvl="3">
      <w:start w:val="0"/>
      <w:numFmt w:val="bullet"/>
      <w:lvlText w:val="•"/>
      <w:lvlJc w:val="left"/>
      <w:pPr>
        <w:ind w:left="5151" w:hanging="212"/>
      </w:pPr>
      <w:rPr>
        <w:rFonts w:hint="default"/>
      </w:rPr>
    </w:lvl>
    <w:lvl w:ilvl="4">
      <w:start w:val="0"/>
      <w:numFmt w:val="bullet"/>
      <w:lvlText w:val="•"/>
      <w:lvlJc w:val="left"/>
      <w:pPr>
        <w:ind w:left="5782" w:hanging="212"/>
      </w:pPr>
      <w:rPr>
        <w:rFonts w:hint="default"/>
      </w:rPr>
    </w:lvl>
    <w:lvl w:ilvl="5">
      <w:start w:val="0"/>
      <w:numFmt w:val="bullet"/>
      <w:lvlText w:val="•"/>
      <w:lvlJc w:val="left"/>
      <w:pPr>
        <w:ind w:left="6413" w:hanging="212"/>
      </w:pPr>
      <w:rPr>
        <w:rFonts w:hint="default"/>
      </w:rPr>
    </w:lvl>
    <w:lvl w:ilvl="6">
      <w:start w:val="0"/>
      <w:numFmt w:val="bullet"/>
      <w:lvlText w:val="•"/>
      <w:lvlJc w:val="left"/>
      <w:pPr>
        <w:ind w:left="7043" w:hanging="212"/>
      </w:pPr>
      <w:rPr>
        <w:rFonts w:hint="default"/>
      </w:rPr>
    </w:lvl>
    <w:lvl w:ilvl="7">
      <w:start w:val="0"/>
      <w:numFmt w:val="bullet"/>
      <w:lvlText w:val="•"/>
      <w:lvlJc w:val="left"/>
      <w:pPr>
        <w:ind w:left="7674" w:hanging="212"/>
      </w:pPr>
      <w:rPr>
        <w:rFonts w:hint="default"/>
      </w:rPr>
    </w:lvl>
    <w:lvl w:ilvl="8">
      <w:start w:val="0"/>
      <w:numFmt w:val="bullet"/>
      <w:lvlText w:val="•"/>
      <w:lvlJc w:val="left"/>
      <w:pPr>
        <w:ind w:left="8305" w:hanging="212"/>
      </w:pPr>
      <w:rPr>
        <w:rFonts w:hint="default"/>
      </w:rPr>
    </w:lvl>
  </w:abstractNum>
  <w:abstractNum w:abstractNumId="4">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3"/>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2">
    <w:multiLevelType w:val="hybridMultilevel"/>
    <w:lvl w:ilvl="0">
      <w:start w:val="1"/>
      <w:numFmt w:val="decimal"/>
      <w:lvlText w:val="(%1)"/>
      <w:lvlJc w:val="left"/>
      <w:pPr>
        <w:ind w:left="778" w:hanging="420"/>
        <w:jc w:val="left"/>
      </w:pPr>
      <w:rPr>
        <w:rFonts w:hint="default" w:ascii="宋体" w:hAnsi="宋体" w:eastAsia="宋体" w:cs="宋体"/>
        <w:w w:val="100"/>
        <w:sz w:val="21"/>
        <w:szCs w:val="21"/>
      </w:rPr>
    </w:lvl>
    <w:lvl w:ilvl="1">
      <w:start w:val="0"/>
      <w:numFmt w:val="bullet"/>
      <w:lvlText w:val="•"/>
      <w:lvlJc w:val="left"/>
      <w:pPr>
        <w:ind w:left="1379" w:hanging="420"/>
      </w:pPr>
      <w:rPr>
        <w:rFonts w:hint="default"/>
      </w:rPr>
    </w:lvl>
    <w:lvl w:ilvl="2">
      <w:start w:val="0"/>
      <w:numFmt w:val="bullet"/>
      <w:lvlText w:val="•"/>
      <w:lvlJc w:val="left"/>
      <w:pPr>
        <w:ind w:left="1978" w:hanging="420"/>
      </w:pPr>
      <w:rPr>
        <w:rFonts w:hint="default"/>
      </w:rPr>
    </w:lvl>
    <w:lvl w:ilvl="3">
      <w:start w:val="0"/>
      <w:numFmt w:val="bullet"/>
      <w:lvlText w:val="•"/>
      <w:lvlJc w:val="left"/>
      <w:pPr>
        <w:ind w:left="2577" w:hanging="420"/>
      </w:pPr>
      <w:rPr>
        <w:rFonts w:hint="default"/>
      </w:rPr>
    </w:lvl>
    <w:lvl w:ilvl="4">
      <w:start w:val="0"/>
      <w:numFmt w:val="bullet"/>
      <w:lvlText w:val="•"/>
      <w:lvlJc w:val="left"/>
      <w:pPr>
        <w:ind w:left="3177" w:hanging="420"/>
      </w:pPr>
      <w:rPr>
        <w:rFonts w:hint="default"/>
      </w:rPr>
    </w:lvl>
    <w:lvl w:ilvl="5">
      <w:start w:val="0"/>
      <w:numFmt w:val="bullet"/>
      <w:lvlText w:val="•"/>
      <w:lvlJc w:val="left"/>
      <w:pPr>
        <w:ind w:left="3776" w:hanging="420"/>
      </w:pPr>
      <w:rPr>
        <w:rFonts w:hint="default"/>
      </w:rPr>
    </w:lvl>
    <w:lvl w:ilvl="6">
      <w:start w:val="0"/>
      <w:numFmt w:val="bullet"/>
      <w:lvlText w:val="•"/>
      <w:lvlJc w:val="left"/>
      <w:pPr>
        <w:ind w:left="4375" w:hanging="420"/>
      </w:pPr>
      <w:rPr>
        <w:rFonts w:hint="default"/>
      </w:rPr>
    </w:lvl>
    <w:lvl w:ilvl="7">
      <w:start w:val="0"/>
      <w:numFmt w:val="bullet"/>
      <w:lvlText w:val="•"/>
      <w:lvlJc w:val="left"/>
      <w:pPr>
        <w:ind w:left="4975" w:hanging="420"/>
      </w:pPr>
      <w:rPr>
        <w:rFonts w:hint="default"/>
      </w:rPr>
    </w:lvl>
    <w:lvl w:ilvl="8">
      <w:start w:val="0"/>
      <w:numFmt w:val="bullet"/>
      <w:lvlText w:val="•"/>
      <w:lvlJc w:val="left"/>
      <w:pPr>
        <w:ind w:left="5574" w:hanging="420"/>
      </w:pPr>
      <w:rPr>
        <w:rFonts w:hint="default"/>
      </w:rPr>
    </w:lvl>
  </w:abstractNum>
  <w:abstractNum w:abstractNumId="1">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06" w:hanging="360"/>
      </w:pPr>
      <w:rPr>
        <w:rFonts w:hint="default"/>
      </w:rPr>
    </w:lvl>
    <w:lvl w:ilvl="2">
      <w:start w:val="0"/>
      <w:numFmt w:val="bullet"/>
      <w:lvlText w:val="•"/>
      <w:lvlJc w:val="left"/>
      <w:pPr>
        <w:ind w:left="1712" w:hanging="360"/>
      </w:pPr>
      <w:rPr>
        <w:rFonts w:hint="default"/>
      </w:rPr>
    </w:lvl>
    <w:lvl w:ilvl="3">
      <w:start w:val="0"/>
      <w:numFmt w:val="bullet"/>
      <w:lvlText w:val="•"/>
      <w:lvlJc w:val="left"/>
      <w:pPr>
        <w:ind w:left="2318" w:hanging="360"/>
      </w:pPr>
      <w:rPr>
        <w:rFonts w:hint="default"/>
      </w:rPr>
    </w:lvl>
    <w:lvl w:ilvl="4">
      <w:start w:val="0"/>
      <w:numFmt w:val="bullet"/>
      <w:lvlText w:val="•"/>
      <w:lvlJc w:val="left"/>
      <w:pPr>
        <w:ind w:left="2925" w:hanging="360"/>
      </w:pPr>
      <w:rPr>
        <w:rFonts w:hint="default"/>
      </w:rPr>
    </w:lvl>
    <w:lvl w:ilvl="5">
      <w:start w:val="0"/>
      <w:numFmt w:val="bullet"/>
      <w:lvlText w:val="•"/>
      <w:lvlJc w:val="left"/>
      <w:pPr>
        <w:ind w:left="3531" w:hanging="360"/>
      </w:pPr>
      <w:rPr>
        <w:rFonts w:hint="default"/>
      </w:rPr>
    </w:lvl>
    <w:lvl w:ilvl="6">
      <w:start w:val="0"/>
      <w:numFmt w:val="bullet"/>
      <w:lvlText w:val="•"/>
      <w:lvlJc w:val="left"/>
      <w:pPr>
        <w:ind w:left="4137" w:hanging="360"/>
      </w:pPr>
      <w:rPr>
        <w:rFonts w:hint="default"/>
      </w:rPr>
    </w:lvl>
    <w:lvl w:ilvl="7">
      <w:start w:val="0"/>
      <w:numFmt w:val="bullet"/>
      <w:lvlText w:val="•"/>
      <w:lvlJc w:val="left"/>
      <w:pPr>
        <w:ind w:left="4744" w:hanging="360"/>
      </w:pPr>
      <w:rPr>
        <w:rFonts w:hint="default"/>
      </w:rPr>
    </w:lvl>
    <w:lvl w:ilvl="8">
      <w:start w:val="0"/>
      <w:numFmt w:val="bullet"/>
      <w:lvlText w:val="•"/>
      <w:lvlJc w:val="left"/>
      <w:pPr>
        <w:ind w:left="5350" w:hanging="360"/>
      </w:pPr>
      <w:rPr>
        <w:rFonts w:hint="default"/>
      </w:rPr>
    </w:lvl>
  </w:abstractNum>
  <w:abstractNum w:abstractNumId="0">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60" w:hanging="420"/>
      </w:pPr>
      <w:rPr>
        <w:rFonts w:hint="default"/>
      </w:rPr>
    </w:lvl>
    <w:lvl w:ilvl="3">
      <w:start w:val="0"/>
      <w:numFmt w:val="bullet"/>
      <w:lvlText w:val="•"/>
      <w:lvlJc w:val="left"/>
      <w:pPr>
        <w:ind w:left="2360" w:hanging="420"/>
      </w:pPr>
      <w:rPr>
        <w:rFonts w:hint="default"/>
      </w:rPr>
    </w:lvl>
    <w:lvl w:ilvl="4">
      <w:start w:val="0"/>
      <w:numFmt w:val="bullet"/>
      <w:lvlText w:val="•"/>
      <w:lvlJc w:val="left"/>
      <w:pPr>
        <w:ind w:left="2961" w:hanging="420"/>
      </w:pPr>
      <w:rPr>
        <w:rFonts w:hint="default"/>
      </w:rPr>
    </w:lvl>
    <w:lvl w:ilvl="5">
      <w:start w:val="0"/>
      <w:numFmt w:val="bullet"/>
      <w:lvlText w:val="•"/>
      <w:lvlJc w:val="left"/>
      <w:pPr>
        <w:ind w:left="3561" w:hanging="420"/>
      </w:pPr>
      <w:rPr>
        <w:rFonts w:hint="default"/>
      </w:rPr>
    </w:lvl>
    <w:lvl w:ilvl="6">
      <w:start w:val="0"/>
      <w:numFmt w:val="bullet"/>
      <w:lvlText w:val="•"/>
      <w:lvlJc w:val="left"/>
      <w:pPr>
        <w:ind w:left="4161" w:hanging="420"/>
      </w:pPr>
      <w:rPr>
        <w:rFonts w:hint="default"/>
      </w:rPr>
    </w:lvl>
    <w:lvl w:ilvl="7">
      <w:start w:val="0"/>
      <w:numFmt w:val="bullet"/>
      <w:lvlText w:val="•"/>
      <w:lvlJc w:val="left"/>
      <w:pPr>
        <w:ind w:left="4762" w:hanging="420"/>
      </w:pPr>
      <w:rPr>
        <w:rFonts w:hint="default"/>
      </w:rPr>
    </w:lvl>
    <w:lvl w:ilvl="8">
      <w:start w:val="0"/>
      <w:numFmt w:val="bullet"/>
      <w:lvlText w:val="•"/>
      <w:lvlJc w:val="left"/>
      <w:pPr>
        <w:ind w:left="5362"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3049"/>
    </w:pPr>
    <w:rPr>
      <w:rFonts w:ascii="宋体" w:hAnsi="宋体" w:eastAsia="宋体" w:cs="宋体"/>
      <w:sz w:val="21"/>
      <w:szCs w:val="21"/>
    </w:rPr>
  </w:style>
  <w:style w:styleId="Heading1" w:type="paragraph">
    <w:name w:val="Heading 1"/>
    <w:basedOn w:val="Normal"/>
    <w:uiPriority w:val="1"/>
    <w:qFormat/>
    <w:pPr>
      <w:spacing w:before="54"/>
      <w:ind w:left="3049"/>
      <w:outlineLvl w:val="1"/>
    </w:pPr>
    <w:rPr>
      <w:rFonts w:ascii="宋体" w:hAnsi="宋体" w:eastAsia="宋体" w:cs="宋体"/>
      <w:sz w:val="22"/>
      <w:szCs w:val="22"/>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中航三星人寿保险有限公司</dc:title>
  <dcterms:created xsi:type="dcterms:W3CDTF">2018-10-20T08:20:48Z</dcterms:created>
  <dcterms:modified xsi:type="dcterms:W3CDTF">2018-10-20T08:20:48Z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2018-10-20T00:00:00Z</vt:filetime>
  </property>
</Properties>
</file>