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14" w:lineRule="exact" w:before="0"/>
        <w:ind w:left="7153" w:right="0" w:firstLine="0"/>
        <w:jc w:val="left"/>
        <w:rPr>
          <w:rFonts w:ascii="Microsoft JhengHei" w:eastAsia="Microsoft JhengHei" w:hint="eastAsia"/>
          <w:b/>
          <w:sz w:val="20"/>
        </w:rPr>
      </w:pPr>
      <w:r>
        <w:rPr/>
        <w:drawing>
          <wp:anchor distT="0" distB="0" distL="0" distR="0" allowOverlap="1" layoutInCell="1" locked="0" behindDoc="0" simplePos="0" relativeHeight="0">
            <wp:simplePos x="0" y="0"/>
            <wp:positionH relativeFrom="page">
              <wp:posOffset>5829300</wp:posOffset>
            </wp:positionH>
            <wp:positionV relativeFrom="paragraph">
              <wp:posOffset>279654</wp:posOffset>
            </wp:positionV>
            <wp:extent cx="720231" cy="673226"/>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0231" cy="673226"/>
                    </a:xfrm>
                    <a:prstGeom prst="rect">
                      <a:avLst/>
                    </a:prstGeom>
                  </pic:spPr>
                </pic:pic>
              </a:graphicData>
            </a:graphic>
          </wp:anchor>
        </w:drawing>
      </w:r>
      <w:r>
        <w:rPr>
          <w:rFonts w:ascii="Microsoft JhengHei" w:eastAsia="Microsoft JhengHei" w:hint="eastAsia"/>
          <w:b/>
          <w:w w:val="95"/>
          <w:sz w:val="20"/>
        </w:rPr>
        <w:t>请扫描以查询验证条款</w:t>
      </w:r>
    </w:p>
    <w:p>
      <w:pPr>
        <w:spacing w:line="276" w:lineRule="auto" w:before="74"/>
        <w:ind w:left="7347" w:right="314" w:firstLine="0"/>
        <w:jc w:val="center"/>
        <w:rPr>
          <w:sz w:val="20"/>
        </w:rPr>
      </w:pPr>
      <w:r>
        <w:rPr>
          <w:w w:val="95"/>
          <w:sz w:val="20"/>
        </w:rPr>
        <w:t>中新大东方[2012] </w:t>
      </w:r>
      <w:r>
        <w:rPr>
          <w:sz w:val="20"/>
        </w:rPr>
        <w:t>疾病保险 005 号</w:t>
      </w:r>
    </w:p>
    <w:p>
      <w:pPr>
        <w:pStyle w:val="BodyText"/>
        <w:rPr>
          <w:sz w:val="20"/>
        </w:rPr>
      </w:pPr>
    </w:p>
    <w:p>
      <w:pPr>
        <w:pStyle w:val="BodyText"/>
        <w:rPr>
          <w:sz w:val="20"/>
        </w:rPr>
      </w:pPr>
    </w:p>
    <w:p>
      <w:pPr>
        <w:pStyle w:val="BodyText"/>
        <w:rPr>
          <w:sz w:val="20"/>
        </w:rPr>
      </w:pPr>
    </w:p>
    <w:p>
      <w:pPr>
        <w:pStyle w:val="BodyText"/>
        <w:spacing w:before="11"/>
        <w:rPr>
          <w:sz w:val="17"/>
        </w:rPr>
      </w:pPr>
    </w:p>
    <w:p>
      <w:pPr>
        <w:spacing w:line="413" w:lineRule="exact" w:before="0"/>
        <w:ind w:left="1394" w:right="1956" w:firstLine="0"/>
        <w:jc w:val="center"/>
        <w:rPr>
          <w:rFonts w:ascii="Microsoft JhengHei" w:eastAsia="Microsoft JhengHei" w:hint="eastAsia"/>
          <w:b/>
          <w:sz w:val="28"/>
        </w:rPr>
      </w:pPr>
      <w:r>
        <w:rPr>
          <w:rFonts w:ascii="Microsoft JhengHei" w:eastAsia="Microsoft JhengHei" w:hint="eastAsia"/>
          <w:b/>
          <w:sz w:val="28"/>
        </w:rPr>
        <w:t>中新大东方附加宝宝顺乐重大疾病保险合同条款</w:t>
      </w:r>
    </w:p>
    <w:p>
      <w:pPr>
        <w:pStyle w:val="BodyText"/>
        <w:spacing w:before="4"/>
        <w:rPr>
          <w:rFonts w:ascii="Microsoft JhengHei"/>
          <w:b/>
          <w:sz w:val="25"/>
        </w:rPr>
      </w:pPr>
    </w:p>
    <w:p>
      <w:pPr>
        <w:pStyle w:val="BodyText"/>
        <w:ind w:left="1394" w:right="1951"/>
        <w:jc w:val="center"/>
      </w:pPr>
      <w:r>
        <w:rPr/>
        <w:t>感谢您选择了本公司 </w:t>
      </w:r>
      <w:r>
        <w:rPr>
          <w:rFonts w:ascii="Calibri" w:eastAsia="Calibri"/>
          <w:b/>
        </w:rPr>
        <w:t>-  </w:t>
      </w:r>
      <w:r>
        <w:rPr/>
        <w:t>中新大东方人寿保险有限公司</w:t>
      </w:r>
    </w:p>
    <w:p>
      <w:pPr>
        <w:pStyle w:val="BodyText"/>
        <w:rPr>
          <w:sz w:val="20"/>
        </w:rPr>
      </w:pPr>
    </w:p>
    <w:p>
      <w:pPr>
        <w:pStyle w:val="BodyText"/>
        <w:rPr>
          <w:sz w:val="20"/>
        </w:rPr>
      </w:pPr>
    </w:p>
    <w:p>
      <w:pPr>
        <w:pStyle w:val="BodyText"/>
        <w:spacing w:before="6"/>
        <w:rPr>
          <w:sz w:val="29"/>
        </w:rPr>
      </w:pPr>
    </w:p>
    <w:p>
      <w:pPr>
        <w:spacing w:line="333" w:lineRule="exact" w:before="0"/>
        <w:ind w:left="101" w:right="0" w:firstLine="0"/>
        <w:jc w:val="left"/>
        <w:rPr>
          <w:rFonts w:ascii="Microsoft JhengHei" w:eastAsia="Microsoft JhengHei" w:hint="eastAsia"/>
          <w:b/>
          <w:sz w:val="21"/>
        </w:rPr>
      </w:pPr>
      <w:r>
        <w:rPr>
          <w:rFonts w:ascii="Microsoft JhengHei" w:eastAsia="Microsoft JhengHei" w:hint="eastAsia"/>
          <w:b/>
          <w:sz w:val="21"/>
        </w:rPr>
        <w:t>阅  读  指  引</w:t>
      </w:r>
    </w:p>
    <w:p>
      <w:pPr>
        <w:pStyle w:val="BodyText"/>
        <w:spacing w:before="12"/>
        <w:rPr>
          <w:rFonts w:ascii="Microsoft JhengHei"/>
          <w:b/>
          <w:sz w:val="18"/>
        </w:rPr>
      </w:pPr>
    </w:p>
    <w:p>
      <w:pPr>
        <w:pStyle w:val="BodyText"/>
        <w:spacing w:line="487" w:lineRule="auto"/>
        <w:ind w:left="101" w:right="973"/>
        <w:rPr>
          <w:rFonts w:ascii="Microsoft JhengHei" w:eastAsia="Microsoft JhengHei" w:hint="eastAsia"/>
          <w:b/>
        </w:rPr>
      </w:pPr>
      <w:r>
        <w:rPr/>
        <w:t>本阅读指引旨在提示您本条款中的重要事项，对本条款内容的解释以相应合同条款为准。</w:t>
      </w:r>
      <w:r>
        <w:rPr>
          <w:rFonts w:ascii="Microsoft JhengHei" w:eastAsia="Microsoft JhengHei" w:hint="eastAsia"/>
          <w:b/>
          <w:w w:val="95"/>
        </w:rPr>
        <w:t>您的权益</w:t>
      </w:r>
    </w:p>
    <w:p>
      <w:pPr>
        <w:pStyle w:val="ListParagraph"/>
        <w:numPr>
          <w:ilvl w:val="0"/>
          <w:numId w:val="1"/>
        </w:numPr>
        <w:tabs>
          <w:tab w:pos="828" w:val="left" w:leader="none"/>
          <w:tab w:pos="829" w:val="left" w:leader="none"/>
        </w:tabs>
        <w:spacing w:line="240" w:lineRule="auto" w:before="40" w:after="0"/>
        <w:ind w:left="101" w:right="0" w:firstLine="307"/>
        <w:jc w:val="left"/>
        <w:rPr>
          <w:sz w:val="21"/>
        </w:rPr>
      </w:pPr>
      <w:r>
        <w:rPr>
          <w:w w:val="95"/>
          <w:sz w:val="21"/>
        </w:rPr>
        <w:t>被保险人享有本公司提供的重大疾病保障（4）</w:t>
      </w:r>
    </w:p>
    <w:p>
      <w:pPr>
        <w:pStyle w:val="BodyText"/>
        <w:spacing w:before="7"/>
        <w:rPr>
          <w:sz w:val="25"/>
        </w:rPr>
      </w:pPr>
    </w:p>
    <w:p>
      <w:pPr>
        <w:pStyle w:val="ListParagraph"/>
        <w:numPr>
          <w:ilvl w:val="0"/>
          <w:numId w:val="1"/>
        </w:numPr>
        <w:tabs>
          <w:tab w:pos="828" w:val="left" w:leader="none"/>
          <w:tab w:pos="829" w:val="left" w:leader="none"/>
        </w:tabs>
        <w:spacing w:line="240" w:lineRule="auto" w:before="0" w:after="0"/>
        <w:ind w:left="101" w:right="0" w:firstLine="307"/>
        <w:jc w:val="left"/>
        <w:rPr>
          <w:sz w:val="21"/>
        </w:rPr>
      </w:pPr>
      <w:r>
        <w:rPr>
          <w:spacing w:val="-6"/>
          <w:sz w:val="21"/>
        </w:rPr>
        <w:t>签收本附加合同之日起 </w:t>
      </w:r>
      <w:r>
        <w:rPr>
          <w:sz w:val="21"/>
        </w:rPr>
        <w:t>10</w:t>
      </w:r>
      <w:r>
        <w:rPr>
          <w:spacing w:val="-29"/>
          <w:sz w:val="21"/>
        </w:rPr>
        <w:t> 日</w:t>
      </w:r>
      <w:r>
        <w:rPr>
          <w:sz w:val="21"/>
        </w:rPr>
        <w:t>（即犹豫期）内您可以要求退还全部保险费（9.3.1）</w:t>
      </w:r>
    </w:p>
    <w:p>
      <w:pPr>
        <w:pStyle w:val="BodyText"/>
        <w:spacing w:before="7"/>
        <w:rPr>
          <w:sz w:val="25"/>
        </w:rPr>
      </w:pPr>
    </w:p>
    <w:p>
      <w:pPr>
        <w:pStyle w:val="ListParagraph"/>
        <w:numPr>
          <w:ilvl w:val="0"/>
          <w:numId w:val="1"/>
        </w:numPr>
        <w:tabs>
          <w:tab w:pos="828" w:val="left" w:leader="none"/>
          <w:tab w:pos="829" w:val="left" w:leader="none"/>
        </w:tabs>
        <w:spacing w:line="460" w:lineRule="auto" w:before="0" w:after="0"/>
        <w:ind w:left="101" w:right="6229" w:firstLine="307"/>
        <w:jc w:val="left"/>
        <w:rPr>
          <w:rFonts w:ascii="Microsoft JhengHei" w:eastAsia="Microsoft JhengHei" w:hint="eastAsia"/>
          <w:b/>
          <w:sz w:val="21"/>
        </w:rPr>
      </w:pPr>
      <w:r>
        <w:rPr>
          <w:sz w:val="21"/>
        </w:rPr>
        <w:t>您有退保的权利（9.3） </w:t>
      </w:r>
      <w:r>
        <w:rPr>
          <w:rFonts w:ascii="Microsoft JhengHei" w:eastAsia="Microsoft JhengHei" w:hint="eastAsia"/>
          <w:b/>
          <w:w w:val="95"/>
          <w:sz w:val="21"/>
        </w:rPr>
        <w:t>注意事项</w:t>
      </w:r>
    </w:p>
    <w:p>
      <w:pPr>
        <w:pStyle w:val="ListParagraph"/>
        <w:numPr>
          <w:ilvl w:val="0"/>
          <w:numId w:val="1"/>
        </w:numPr>
        <w:tabs>
          <w:tab w:pos="828" w:val="left" w:leader="none"/>
          <w:tab w:pos="829" w:val="left" w:leader="none"/>
        </w:tabs>
        <w:spacing w:line="240" w:lineRule="auto" w:before="4" w:after="0"/>
        <w:ind w:left="828" w:right="0" w:hanging="413"/>
        <w:jc w:val="left"/>
        <w:rPr>
          <w:rFonts w:ascii="Microsoft JhengHei" w:eastAsia="Microsoft JhengHei" w:hint="eastAsia"/>
          <w:b/>
          <w:sz w:val="21"/>
        </w:rPr>
      </w:pPr>
      <w:r>
        <w:rPr>
          <w:rFonts w:ascii="Microsoft JhengHei" w:eastAsia="Microsoft JhengHei" w:hint="eastAsia"/>
          <w:b/>
          <w:w w:val="99"/>
          <w:sz w:val="21"/>
        </w:rPr>
        <w:t>责任免除条款中列明了本公司在某些情况下不承担保险责任的情形（</w:t>
      </w:r>
      <w:r>
        <w:rPr>
          <w:rFonts w:ascii="Microsoft JhengHei" w:eastAsia="Microsoft JhengHei" w:hint="eastAsia"/>
          <w:b/>
          <w:spacing w:val="-29"/>
          <w:sz w:val="21"/>
        </w:rPr>
        <w:t> </w:t>
      </w:r>
      <w:r>
        <w:rPr>
          <w:rFonts w:ascii="Microsoft JhengHei" w:eastAsia="Microsoft JhengHei" w:hint="eastAsia"/>
          <w:b/>
          <w:spacing w:val="2"/>
          <w:w w:val="83"/>
          <w:sz w:val="21"/>
        </w:rPr>
        <w:t>4</w:t>
      </w:r>
      <w:r>
        <w:rPr>
          <w:rFonts w:ascii="Microsoft JhengHei" w:eastAsia="Microsoft JhengHei" w:hint="eastAsia"/>
          <w:b/>
          <w:spacing w:val="0"/>
          <w:w w:val="195"/>
          <w:sz w:val="21"/>
        </w:rPr>
        <w:t>.</w:t>
      </w:r>
      <w:r>
        <w:rPr>
          <w:rFonts w:ascii="Microsoft JhengHei" w:eastAsia="Microsoft JhengHei" w:hint="eastAsia"/>
          <w:b/>
          <w:spacing w:val="0"/>
          <w:w w:val="83"/>
          <w:sz w:val="21"/>
        </w:rPr>
        <w:t>5</w:t>
      </w:r>
      <w:r>
        <w:rPr>
          <w:rFonts w:ascii="Microsoft JhengHei" w:eastAsia="Microsoft JhengHei" w:hint="eastAsia"/>
          <w:b/>
          <w:w w:val="99"/>
          <w:sz w:val="21"/>
        </w:rPr>
        <w:t>）</w:t>
      </w:r>
    </w:p>
    <w:p>
      <w:pPr>
        <w:pStyle w:val="BodyText"/>
        <w:spacing w:before="12"/>
        <w:rPr>
          <w:rFonts w:ascii="Microsoft JhengHei"/>
          <w:b/>
          <w:sz w:val="18"/>
        </w:rPr>
      </w:pPr>
    </w:p>
    <w:p>
      <w:pPr>
        <w:pStyle w:val="ListParagraph"/>
        <w:numPr>
          <w:ilvl w:val="0"/>
          <w:numId w:val="1"/>
        </w:numPr>
        <w:tabs>
          <w:tab w:pos="828" w:val="left" w:leader="none"/>
          <w:tab w:pos="829" w:val="left" w:leader="none"/>
        </w:tabs>
        <w:spacing w:line="256" w:lineRule="auto" w:before="0" w:after="0"/>
        <w:ind w:left="828" w:right="657" w:hanging="420"/>
        <w:jc w:val="left"/>
        <w:rPr>
          <w:sz w:val="21"/>
        </w:rPr>
      </w:pPr>
      <w:r>
        <w:rPr>
          <w:w w:val="95"/>
          <w:sz w:val="21"/>
        </w:rPr>
        <w:t>在等待期（90</w:t>
      </w:r>
      <w:r>
        <w:rPr>
          <w:spacing w:val="2"/>
          <w:w w:val="95"/>
          <w:sz w:val="21"/>
        </w:rPr>
        <w:t>  天</w:t>
      </w:r>
      <w:r>
        <w:rPr>
          <w:w w:val="95"/>
          <w:sz w:val="21"/>
        </w:rPr>
        <w:t>）内被保险人经医院诊断初次发生本附加险合同所界定的重大疾病， 本公司无息退还本附加险合同已交纳的保险费，同时本附加险合同终止（4.1）</w:t>
      </w:r>
    </w:p>
    <w:p>
      <w:pPr>
        <w:pStyle w:val="BodyText"/>
        <w:spacing w:before="9"/>
        <w:rPr>
          <w:sz w:val="25"/>
        </w:rPr>
      </w:pPr>
    </w:p>
    <w:p>
      <w:pPr>
        <w:pStyle w:val="ListParagraph"/>
        <w:numPr>
          <w:ilvl w:val="0"/>
          <w:numId w:val="1"/>
        </w:numPr>
        <w:tabs>
          <w:tab w:pos="828" w:val="left" w:leader="none"/>
          <w:tab w:pos="829" w:val="left" w:leader="none"/>
        </w:tabs>
        <w:spacing w:line="240" w:lineRule="auto" w:before="0" w:after="0"/>
        <w:ind w:left="101" w:right="0" w:firstLine="307"/>
        <w:jc w:val="left"/>
        <w:rPr>
          <w:sz w:val="21"/>
        </w:rPr>
      </w:pPr>
      <w:r>
        <w:rPr>
          <w:w w:val="95"/>
          <w:sz w:val="21"/>
        </w:rPr>
        <w:t>在保险期间内本公司可能会调整保险费率（5.2）</w:t>
      </w:r>
    </w:p>
    <w:p>
      <w:pPr>
        <w:pStyle w:val="BodyText"/>
        <w:spacing w:before="6"/>
        <w:rPr>
          <w:sz w:val="25"/>
        </w:rPr>
      </w:pPr>
    </w:p>
    <w:p>
      <w:pPr>
        <w:pStyle w:val="ListParagraph"/>
        <w:numPr>
          <w:ilvl w:val="0"/>
          <w:numId w:val="1"/>
        </w:numPr>
        <w:tabs>
          <w:tab w:pos="828" w:val="left" w:leader="none"/>
          <w:tab w:pos="829" w:val="left" w:leader="none"/>
        </w:tabs>
        <w:spacing w:line="240" w:lineRule="auto" w:before="1" w:after="0"/>
        <w:ind w:left="101" w:right="0" w:firstLine="307"/>
        <w:jc w:val="left"/>
        <w:rPr>
          <w:sz w:val="21"/>
        </w:rPr>
      </w:pPr>
      <w:r>
        <w:rPr>
          <w:w w:val="95"/>
          <w:sz w:val="21"/>
        </w:rPr>
        <w:t>没有按时交纳保险费将会导致合同中止（9.1）</w:t>
      </w:r>
    </w:p>
    <w:p>
      <w:pPr>
        <w:pStyle w:val="BodyText"/>
        <w:spacing w:before="7"/>
        <w:rPr>
          <w:sz w:val="25"/>
        </w:rPr>
      </w:pPr>
    </w:p>
    <w:p>
      <w:pPr>
        <w:pStyle w:val="ListParagraph"/>
        <w:numPr>
          <w:ilvl w:val="0"/>
          <w:numId w:val="1"/>
        </w:numPr>
        <w:tabs>
          <w:tab w:pos="828" w:val="left" w:leader="none"/>
          <w:tab w:pos="829" w:val="left" w:leader="none"/>
        </w:tabs>
        <w:spacing w:line="240" w:lineRule="auto" w:before="0" w:after="0"/>
        <w:ind w:left="101" w:right="0" w:firstLine="307"/>
        <w:jc w:val="left"/>
        <w:rPr>
          <w:sz w:val="21"/>
        </w:rPr>
      </w:pPr>
      <w:r>
        <w:rPr>
          <w:sz w:val="21"/>
        </w:rPr>
        <w:t>10</w:t>
      </w:r>
      <w:r>
        <w:rPr>
          <w:spacing w:val="-8"/>
          <w:sz w:val="21"/>
        </w:rPr>
        <w:t> 天犹豫期后退保会给您带来一定损失，请慎重决策</w:t>
      </w:r>
      <w:r>
        <w:rPr>
          <w:sz w:val="21"/>
        </w:rPr>
        <w:t>（9.3.2）</w:t>
      </w:r>
    </w:p>
    <w:p>
      <w:pPr>
        <w:pStyle w:val="BodyText"/>
        <w:spacing w:before="6"/>
        <w:rPr>
          <w:sz w:val="25"/>
        </w:rPr>
      </w:pPr>
    </w:p>
    <w:p>
      <w:pPr>
        <w:pStyle w:val="ListParagraph"/>
        <w:numPr>
          <w:ilvl w:val="0"/>
          <w:numId w:val="1"/>
        </w:numPr>
        <w:tabs>
          <w:tab w:pos="828" w:val="left" w:leader="none"/>
          <w:tab w:pos="829" w:val="left" w:leader="none"/>
        </w:tabs>
        <w:spacing w:line="240" w:lineRule="auto" w:before="1" w:after="0"/>
        <w:ind w:left="101" w:right="0" w:firstLine="307"/>
        <w:jc w:val="left"/>
        <w:rPr>
          <w:sz w:val="21"/>
        </w:rPr>
      </w:pPr>
      <w:r>
        <w:rPr>
          <w:w w:val="95"/>
          <w:sz w:val="21"/>
        </w:rPr>
        <w:t>您有如实告知的义务（10）</w:t>
      </w:r>
    </w:p>
    <w:p>
      <w:pPr>
        <w:pStyle w:val="BodyText"/>
        <w:spacing w:before="7"/>
        <w:rPr>
          <w:sz w:val="25"/>
        </w:rPr>
      </w:pPr>
    </w:p>
    <w:p>
      <w:pPr>
        <w:pStyle w:val="ListParagraph"/>
        <w:numPr>
          <w:ilvl w:val="0"/>
          <w:numId w:val="1"/>
        </w:numPr>
        <w:tabs>
          <w:tab w:pos="828" w:val="left" w:leader="none"/>
          <w:tab w:pos="829" w:val="left" w:leader="none"/>
        </w:tabs>
        <w:spacing w:line="240" w:lineRule="auto" w:before="0" w:after="0"/>
        <w:ind w:left="101" w:right="0" w:firstLine="307"/>
        <w:jc w:val="left"/>
        <w:rPr>
          <w:sz w:val="21"/>
        </w:rPr>
      </w:pPr>
      <w:r>
        <w:rPr>
          <w:w w:val="95"/>
          <w:sz w:val="21"/>
        </w:rPr>
        <w:t>本公司对一些重要术语作了显著标记，并进行了解释（11）</w:t>
      </w:r>
    </w:p>
    <w:p>
      <w:pPr>
        <w:spacing w:after="0" w:line="240" w:lineRule="auto"/>
        <w:jc w:val="left"/>
        <w:rPr>
          <w:sz w:val="21"/>
        </w:rPr>
        <w:sectPr>
          <w:footerReference w:type="default" r:id="rId5"/>
          <w:type w:val="continuous"/>
          <w:pgSz w:w="11910" w:h="16840"/>
          <w:pgMar w:footer="1197" w:top="720" w:bottom="1380" w:left="1600" w:right="1040"/>
          <w:pgNumType w:start="1"/>
        </w:sectPr>
      </w:pPr>
    </w:p>
    <w:p>
      <w:pPr>
        <w:pStyle w:val="ListParagraph"/>
        <w:numPr>
          <w:ilvl w:val="0"/>
          <w:numId w:val="1"/>
        </w:numPr>
        <w:tabs>
          <w:tab w:pos="828" w:val="left" w:leader="none"/>
          <w:tab w:pos="829" w:val="left" w:leader="none"/>
        </w:tabs>
        <w:spacing w:line="240" w:lineRule="auto" w:before="25" w:after="0"/>
        <w:ind w:left="101" w:right="0" w:firstLine="307"/>
        <w:jc w:val="left"/>
        <w:rPr>
          <w:sz w:val="21"/>
        </w:rPr>
      </w:pPr>
      <w:r>
        <w:rPr>
          <w:w w:val="95"/>
          <w:sz w:val="21"/>
        </w:rPr>
        <w:t>请仔细阅读本条款中关于重大疾病的释义(11.3)</w:t>
      </w:r>
    </w:p>
    <w:p>
      <w:pPr>
        <w:pStyle w:val="BodyText"/>
        <w:spacing w:before="8"/>
        <w:rPr>
          <w:sz w:val="24"/>
        </w:rPr>
      </w:pPr>
    </w:p>
    <w:p>
      <w:pPr>
        <w:spacing w:line="204" w:lineRule="auto" w:before="0"/>
        <w:ind w:left="101" w:right="107" w:firstLine="0"/>
        <w:jc w:val="both"/>
        <w:rPr>
          <w:rFonts w:ascii="Microsoft JhengHei" w:eastAsia="Microsoft JhengHei" w:hint="eastAsia"/>
          <w:b/>
          <w:sz w:val="21"/>
        </w:rPr>
      </w:pPr>
      <w:r>
        <w:rPr>
          <w:rFonts w:ascii="Microsoft JhengHei" w:eastAsia="Microsoft JhengHei" w:hint="eastAsia"/>
          <w:b/>
          <w:sz w:val="21"/>
        </w:rPr>
        <w:t>条款是保险合同的重要组成部分，条款特别是保险责任、责任免除关系到您及被保险人的切</w:t>
      </w:r>
      <w:r>
        <w:rPr>
          <w:rFonts w:ascii="Microsoft JhengHei" w:eastAsia="Microsoft JhengHei" w:hint="eastAsia"/>
          <w:b/>
          <w:spacing w:val="-2"/>
          <w:w w:val="99"/>
          <w:sz w:val="21"/>
        </w:rPr>
        <w:t>身利益，请详细阅读产品条款中有关您权利义务的内容</w:t>
      </w:r>
      <w:r>
        <w:rPr>
          <w:rFonts w:ascii="Microsoft JhengHei" w:eastAsia="Microsoft JhengHei" w:hint="eastAsia"/>
          <w:b/>
          <w:spacing w:val="1"/>
          <w:w w:val="99"/>
          <w:sz w:val="21"/>
        </w:rPr>
        <w:t>（特别是以黑体字标识的内容</w:t>
      </w:r>
      <w:r>
        <w:rPr>
          <w:rFonts w:ascii="Microsoft JhengHei" w:eastAsia="Microsoft JhengHei" w:hint="eastAsia"/>
          <w:b/>
          <w:spacing w:val="-104"/>
          <w:w w:val="99"/>
          <w:sz w:val="21"/>
        </w:rPr>
        <w:t>）</w:t>
      </w:r>
      <w:r>
        <w:rPr>
          <w:rFonts w:ascii="Microsoft JhengHei" w:eastAsia="Microsoft JhengHei" w:hint="eastAsia"/>
          <w:b/>
          <w:spacing w:val="-4"/>
          <w:w w:val="99"/>
          <w:sz w:val="21"/>
        </w:rPr>
        <w:t>，同时</w:t>
      </w:r>
      <w:r>
        <w:rPr>
          <w:rFonts w:ascii="Microsoft JhengHei" w:eastAsia="Microsoft JhengHei" w:hint="eastAsia"/>
          <w:b/>
          <w:spacing w:val="-4"/>
          <w:w w:val="95"/>
          <w:sz w:val="21"/>
        </w:rPr>
        <w:t>您也可以要求本公司及销售人员向您进行解释说明。</w:t>
      </w:r>
    </w:p>
    <w:p>
      <w:pPr>
        <w:pStyle w:val="BodyText"/>
        <w:spacing w:before="15"/>
        <w:rPr>
          <w:rFonts w:ascii="Microsoft JhengHei"/>
          <w:b/>
          <w:sz w:val="28"/>
        </w:rPr>
      </w:pPr>
    </w:p>
    <w:p>
      <w:pPr>
        <w:spacing w:before="0"/>
        <w:ind w:left="1054" w:right="1095" w:firstLine="0"/>
        <w:jc w:val="center"/>
        <w:rPr>
          <w:rFonts w:ascii="Microsoft JhengHei" w:eastAsia="Microsoft JhengHei" w:hint="eastAsia"/>
          <w:b/>
          <w:sz w:val="28"/>
        </w:rPr>
      </w:pPr>
      <w:r>
        <w:rPr>
          <w:rFonts w:ascii="Microsoft JhengHei" w:eastAsia="Microsoft JhengHei" w:hint="eastAsia"/>
          <w:b/>
          <w:sz w:val="28"/>
        </w:rPr>
        <w:t>目录</w:t>
      </w:r>
    </w:p>
    <w:sdt>
      <w:sdtPr>
        <w:docPartObj>
          <w:docPartGallery w:val="Table of Contents"/>
          <w:docPartUnique/>
        </w:docPartObj>
      </w:sdtPr>
      <w:sdtEndPr/>
      <w:sdtContent>
        <w:p>
          <w:pPr>
            <w:pStyle w:val="TOC1"/>
            <w:numPr>
              <w:ilvl w:val="1"/>
              <w:numId w:val="1"/>
            </w:numPr>
            <w:tabs>
              <w:tab w:pos="1095" w:val="left" w:leader="none"/>
              <w:tab w:pos="1096" w:val="left" w:leader="none"/>
              <w:tab w:pos="8595" w:val="right" w:leader="dot"/>
            </w:tabs>
            <w:spacing w:line="240" w:lineRule="auto" w:before="127" w:after="0"/>
            <w:ind w:left="1095" w:right="0" w:hanging="574"/>
            <w:jc w:val="left"/>
            <w:rPr>
              <w:rFonts w:ascii="Calibri" w:eastAsia="Calibri"/>
            </w:rPr>
          </w:pPr>
          <w:hyperlink w:history="true" w:anchor="_bookmark0">
            <w:r>
              <w:rPr/>
              <w:t>合同成立</w:t>
              <w:tab/>
            </w:r>
            <w:r>
              <w:rPr>
                <w:rFonts w:ascii="Calibri" w:eastAsia="Calibri"/>
              </w:rPr>
              <w:t>4</w:t>
            </w:r>
          </w:hyperlink>
        </w:p>
        <w:p>
          <w:pPr>
            <w:pStyle w:val="TOC1"/>
            <w:numPr>
              <w:ilvl w:val="1"/>
              <w:numId w:val="1"/>
            </w:numPr>
            <w:tabs>
              <w:tab w:pos="1095" w:val="left" w:leader="none"/>
              <w:tab w:pos="1096" w:val="left" w:leader="none"/>
              <w:tab w:pos="8595" w:val="right" w:leader="dot"/>
            </w:tabs>
            <w:spacing w:line="240" w:lineRule="auto" w:before="10" w:after="0"/>
            <w:ind w:left="1095" w:right="0" w:hanging="574"/>
            <w:jc w:val="left"/>
            <w:rPr>
              <w:rFonts w:ascii="Calibri" w:eastAsia="Calibri"/>
            </w:rPr>
          </w:pPr>
          <w:hyperlink w:history="true" w:anchor="_bookmark0">
            <w:r>
              <w:rPr/>
              <w:t>投保年龄</w:t>
              <w:tab/>
            </w:r>
            <w:r>
              <w:rPr>
                <w:rFonts w:ascii="Calibri" w:eastAsia="Calibri"/>
              </w:rPr>
              <w:t>4</w:t>
            </w:r>
          </w:hyperlink>
        </w:p>
        <w:p>
          <w:pPr>
            <w:pStyle w:val="TOC1"/>
            <w:numPr>
              <w:ilvl w:val="1"/>
              <w:numId w:val="1"/>
            </w:numPr>
            <w:tabs>
              <w:tab w:pos="1095" w:val="left" w:leader="none"/>
              <w:tab w:pos="1096" w:val="left" w:leader="none"/>
              <w:tab w:pos="8595" w:val="right" w:leader="dot"/>
            </w:tabs>
            <w:spacing w:line="240" w:lineRule="auto" w:before="10" w:after="0"/>
            <w:ind w:left="1095" w:right="0" w:hanging="574"/>
            <w:jc w:val="left"/>
            <w:rPr>
              <w:rFonts w:ascii="Calibri" w:eastAsia="Calibri"/>
            </w:rPr>
          </w:pPr>
          <w:hyperlink w:history="true" w:anchor="_bookmark0">
            <w:r>
              <w:rPr/>
              <w:t>合同生效</w:t>
              <w:tab/>
            </w:r>
            <w:r>
              <w:rPr>
                <w:rFonts w:ascii="Calibri" w:eastAsia="Calibri"/>
              </w:rPr>
              <w:t>4</w:t>
            </w:r>
          </w:hyperlink>
        </w:p>
        <w:p>
          <w:pPr>
            <w:pStyle w:val="TOC1"/>
            <w:numPr>
              <w:ilvl w:val="1"/>
              <w:numId w:val="1"/>
            </w:numPr>
            <w:tabs>
              <w:tab w:pos="1095" w:val="left" w:leader="none"/>
              <w:tab w:pos="1096" w:val="left" w:leader="none"/>
              <w:tab w:pos="8595" w:val="right" w:leader="dot"/>
            </w:tabs>
            <w:spacing w:line="240" w:lineRule="auto" w:before="10" w:after="0"/>
            <w:ind w:left="1095" w:right="0" w:hanging="574"/>
            <w:jc w:val="left"/>
            <w:rPr>
              <w:rFonts w:ascii="Calibri" w:eastAsia="Calibri"/>
            </w:rPr>
          </w:pPr>
          <w:hyperlink w:history="true" w:anchor="_bookmark0">
            <w:r>
              <w:rPr/>
              <w:t>保险责任</w:t>
              <w:tab/>
            </w:r>
            <w:r>
              <w:rPr>
                <w:rFonts w:ascii="Calibri" w:eastAsia="Calibri"/>
              </w:rPr>
              <w:t>4</w:t>
            </w:r>
          </w:hyperlink>
        </w:p>
        <w:p>
          <w:pPr>
            <w:pStyle w:val="TOC1"/>
            <w:numPr>
              <w:ilvl w:val="2"/>
              <w:numId w:val="1"/>
            </w:numPr>
            <w:tabs>
              <w:tab w:pos="1095" w:val="left" w:leader="none"/>
              <w:tab w:pos="1096" w:val="left" w:leader="none"/>
              <w:tab w:pos="8595" w:val="right" w:leader="dot"/>
            </w:tabs>
            <w:spacing w:line="240" w:lineRule="auto" w:before="10" w:after="0"/>
            <w:ind w:left="1095" w:right="0" w:hanging="574"/>
            <w:jc w:val="left"/>
            <w:rPr>
              <w:rFonts w:ascii="Calibri" w:eastAsia="Calibri"/>
            </w:rPr>
          </w:pPr>
          <w:hyperlink w:history="true" w:anchor="_bookmark0">
            <w:r>
              <w:rPr/>
              <w:t>保险责任的开始</w:t>
              <w:tab/>
            </w:r>
            <w:r>
              <w:rPr>
                <w:rFonts w:ascii="Calibri" w:eastAsia="Calibri"/>
              </w:rPr>
              <w:t>4</w:t>
            </w:r>
          </w:hyperlink>
        </w:p>
        <w:p>
          <w:pPr>
            <w:pStyle w:val="TOC1"/>
            <w:numPr>
              <w:ilvl w:val="2"/>
              <w:numId w:val="1"/>
            </w:numPr>
            <w:tabs>
              <w:tab w:pos="1095" w:val="left" w:leader="none"/>
              <w:tab w:pos="1096" w:val="left" w:leader="none"/>
              <w:tab w:pos="8595" w:val="right" w:leader="dot"/>
            </w:tabs>
            <w:spacing w:line="240" w:lineRule="auto" w:before="10" w:after="0"/>
            <w:ind w:left="1095" w:right="0" w:hanging="574"/>
            <w:jc w:val="left"/>
            <w:rPr>
              <w:rFonts w:ascii="Calibri" w:eastAsia="Calibri"/>
            </w:rPr>
          </w:pPr>
          <w:hyperlink w:history="true" w:anchor="_bookmark1">
            <w:r>
              <w:rPr/>
              <w:t>保险期间</w:t>
              <w:tab/>
            </w:r>
            <w:r>
              <w:rPr>
                <w:rFonts w:ascii="Calibri" w:eastAsia="Calibri"/>
              </w:rPr>
              <w:t>5</w:t>
            </w:r>
          </w:hyperlink>
        </w:p>
        <w:p>
          <w:pPr>
            <w:pStyle w:val="TOC1"/>
            <w:numPr>
              <w:ilvl w:val="2"/>
              <w:numId w:val="1"/>
            </w:numPr>
            <w:tabs>
              <w:tab w:pos="1095" w:val="left" w:leader="none"/>
              <w:tab w:pos="1096" w:val="left" w:leader="none"/>
              <w:tab w:pos="8595" w:val="right" w:leader="dot"/>
            </w:tabs>
            <w:spacing w:line="240" w:lineRule="auto" w:before="10" w:after="0"/>
            <w:ind w:left="1095" w:right="0" w:hanging="574"/>
            <w:jc w:val="left"/>
            <w:rPr>
              <w:rFonts w:ascii="Calibri" w:eastAsia="Calibri"/>
            </w:rPr>
          </w:pPr>
          <w:hyperlink w:history="true" w:anchor="_bookmark1">
            <w:r>
              <w:rPr/>
              <w:t>保险金额</w:t>
              <w:tab/>
            </w:r>
            <w:r>
              <w:rPr>
                <w:rFonts w:ascii="Calibri" w:eastAsia="Calibri"/>
              </w:rPr>
              <w:t>5</w:t>
            </w:r>
          </w:hyperlink>
        </w:p>
        <w:p>
          <w:pPr>
            <w:pStyle w:val="TOC1"/>
            <w:numPr>
              <w:ilvl w:val="2"/>
              <w:numId w:val="1"/>
            </w:numPr>
            <w:tabs>
              <w:tab w:pos="1095" w:val="left" w:leader="none"/>
              <w:tab w:pos="1096" w:val="left" w:leader="none"/>
              <w:tab w:pos="8595" w:val="right" w:leader="dot"/>
            </w:tabs>
            <w:spacing w:line="240" w:lineRule="auto" w:before="10" w:after="0"/>
            <w:ind w:left="1095" w:right="0" w:hanging="574"/>
            <w:jc w:val="left"/>
            <w:rPr>
              <w:rFonts w:ascii="Calibri" w:eastAsia="Calibri"/>
            </w:rPr>
          </w:pPr>
          <w:hyperlink w:history="true" w:anchor="_bookmark1">
            <w:r>
              <w:rPr/>
              <w:t>本公司承担的保险责任</w:t>
              <w:tab/>
            </w:r>
            <w:r>
              <w:rPr>
                <w:rFonts w:ascii="Calibri" w:eastAsia="Calibri"/>
              </w:rPr>
              <w:t>5</w:t>
            </w:r>
          </w:hyperlink>
        </w:p>
        <w:p>
          <w:pPr>
            <w:pStyle w:val="TOC1"/>
            <w:numPr>
              <w:ilvl w:val="2"/>
              <w:numId w:val="1"/>
            </w:numPr>
            <w:tabs>
              <w:tab w:pos="1095" w:val="left" w:leader="none"/>
              <w:tab w:pos="1096" w:val="left" w:leader="none"/>
              <w:tab w:pos="8595" w:val="right" w:leader="dot"/>
            </w:tabs>
            <w:spacing w:line="240" w:lineRule="auto" w:before="10" w:after="0"/>
            <w:ind w:left="1095" w:right="0" w:hanging="574"/>
            <w:jc w:val="left"/>
            <w:rPr>
              <w:rFonts w:ascii="Calibri" w:eastAsia="Calibri"/>
            </w:rPr>
          </w:pPr>
          <w:hyperlink w:history="true" w:anchor="_bookmark2">
            <w:r>
              <w:rPr/>
              <w:t>责任免除</w:t>
              <w:tab/>
            </w:r>
            <w:r>
              <w:rPr>
                <w:rFonts w:ascii="Calibri" w:eastAsia="Calibri"/>
              </w:rPr>
              <w:t>6</w:t>
            </w:r>
          </w:hyperlink>
        </w:p>
        <w:p>
          <w:pPr>
            <w:pStyle w:val="TOC1"/>
            <w:numPr>
              <w:ilvl w:val="1"/>
              <w:numId w:val="1"/>
            </w:numPr>
            <w:tabs>
              <w:tab w:pos="1095" w:val="left" w:leader="none"/>
              <w:tab w:pos="1096" w:val="left" w:leader="none"/>
              <w:tab w:pos="8595" w:val="right" w:leader="dot"/>
            </w:tabs>
            <w:spacing w:line="240" w:lineRule="auto" w:before="10" w:after="0"/>
            <w:ind w:left="1095" w:right="0" w:hanging="574"/>
            <w:jc w:val="left"/>
            <w:rPr>
              <w:rFonts w:ascii="Calibri" w:eastAsia="Calibri"/>
            </w:rPr>
          </w:pPr>
          <w:hyperlink w:history="true" w:anchor="_bookmark3">
            <w:r>
              <w:rPr/>
              <w:t>保险费</w:t>
              <w:tab/>
            </w:r>
            <w:r>
              <w:rPr>
                <w:rFonts w:ascii="Calibri" w:eastAsia="Calibri"/>
              </w:rPr>
              <w:t>7</w:t>
            </w:r>
          </w:hyperlink>
        </w:p>
        <w:p>
          <w:pPr>
            <w:pStyle w:val="TOC1"/>
            <w:numPr>
              <w:ilvl w:val="2"/>
              <w:numId w:val="1"/>
            </w:numPr>
            <w:tabs>
              <w:tab w:pos="1095" w:val="left" w:leader="none"/>
              <w:tab w:pos="1096" w:val="left" w:leader="none"/>
              <w:tab w:pos="8595" w:val="right" w:leader="dot"/>
            </w:tabs>
            <w:spacing w:line="240" w:lineRule="auto" w:before="10" w:after="0"/>
            <w:ind w:left="1095" w:right="0" w:hanging="574"/>
            <w:jc w:val="left"/>
            <w:rPr>
              <w:rFonts w:ascii="Calibri" w:eastAsia="Calibri"/>
            </w:rPr>
          </w:pPr>
          <w:hyperlink w:history="true" w:anchor="_bookmark3">
            <w:r>
              <w:rPr/>
              <w:t>保险费的交纳</w:t>
              <w:tab/>
            </w:r>
            <w:r>
              <w:rPr>
                <w:rFonts w:ascii="Calibri" w:eastAsia="Calibri"/>
              </w:rPr>
              <w:t>7</w:t>
            </w:r>
          </w:hyperlink>
        </w:p>
        <w:p>
          <w:pPr>
            <w:pStyle w:val="TOC1"/>
            <w:numPr>
              <w:ilvl w:val="2"/>
              <w:numId w:val="1"/>
            </w:numPr>
            <w:tabs>
              <w:tab w:pos="1095" w:val="left" w:leader="none"/>
              <w:tab w:pos="1096" w:val="left" w:leader="none"/>
              <w:tab w:pos="8595" w:val="right" w:leader="dot"/>
            </w:tabs>
            <w:spacing w:line="240" w:lineRule="auto" w:before="10" w:after="0"/>
            <w:ind w:left="1095" w:right="0" w:hanging="574"/>
            <w:jc w:val="left"/>
            <w:rPr>
              <w:rFonts w:ascii="Calibri" w:eastAsia="Calibri"/>
            </w:rPr>
          </w:pPr>
          <w:hyperlink w:history="true" w:anchor="_bookmark3">
            <w:r>
              <w:rPr/>
              <w:t>保险费率调整</w:t>
              <w:tab/>
            </w:r>
            <w:r>
              <w:rPr>
                <w:rFonts w:ascii="Calibri" w:eastAsia="Calibri"/>
              </w:rPr>
              <w:t>7</w:t>
            </w:r>
          </w:hyperlink>
        </w:p>
        <w:p>
          <w:pPr>
            <w:pStyle w:val="TOC1"/>
            <w:numPr>
              <w:ilvl w:val="1"/>
              <w:numId w:val="1"/>
            </w:numPr>
            <w:tabs>
              <w:tab w:pos="1095" w:val="left" w:leader="none"/>
              <w:tab w:pos="1096" w:val="left" w:leader="none"/>
              <w:tab w:pos="8595" w:val="right" w:leader="dot"/>
            </w:tabs>
            <w:spacing w:line="240" w:lineRule="auto" w:before="10" w:after="0"/>
            <w:ind w:left="1095" w:right="0" w:hanging="574"/>
            <w:jc w:val="left"/>
            <w:rPr>
              <w:rFonts w:ascii="Calibri" w:eastAsia="Calibri"/>
            </w:rPr>
          </w:pPr>
          <w:hyperlink w:history="true" w:anchor="_bookmark3">
            <w:r>
              <w:rPr/>
              <w:t>保险金的领取</w:t>
              <w:tab/>
            </w:r>
            <w:r>
              <w:rPr>
                <w:rFonts w:ascii="Calibri" w:eastAsia="Calibri"/>
              </w:rPr>
              <w:t>7</w:t>
            </w:r>
          </w:hyperlink>
        </w:p>
        <w:p>
          <w:pPr>
            <w:pStyle w:val="TOC1"/>
            <w:numPr>
              <w:ilvl w:val="2"/>
              <w:numId w:val="1"/>
            </w:numPr>
            <w:tabs>
              <w:tab w:pos="1095" w:val="left" w:leader="none"/>
              <w:tab w:pos="1096" w:val="left" w:leader="none"/>
              <w:tab w:pos="8595" w:val="right" w:leader="dot"/>
            </w:tabs>
            <w:spacing w:line="240" w:lineRule="auto" w:before="10" w:after="0"/>
            <w:ind w:left="1095" w:right="0" w:hanging="574"/>
            <w:jc w:val="left"/>
            <w:rPr>
              <w:rFonts w:ascii="Calibri" w:eastAsia="Calibri"/>
            </w:rPr>
          </w:pPr>
          <w:hyperlink w:history="true" w:anchor="_bookmark3">
            <w:r>
              <w:rPr/>
              <w:t>受益人的指定和变更</w:t>
              <w:tab/>
            </w:r>
            <w:r>
              <w:rPr>
                <w:rFonts w:ascii="Calibri" w:eastAsia="Calibri"/>
              </w:rPr>
              <w:t>7</w:t>
            </w:r>
          </w:hyperlink>
        </w:p>
        <w:p>
          <w:pPr>
            <w:pStyle w:val="TOC1"/>
            <w:numPr>
              <w:ilvl w:val="2"/>
              <w:numId w:val="1"/>
            </w:numPr>
            <w:tabs>
              <w:tab w:pos="1095" w:val="left" w:leader="none"/>
              <w:tab w:pos="1096" w:val="left" w:leader="none"/>
              <w:tab w:pos="8595" w:val="right" w:leader="dot"/>
            </w:tabs>
            <w:spacing w:line="240" w:lineRule="auto" w:before="10" w:after="0"/>
            <w:ind w:left="1095" w:right="0" w:hanging="574"/>
            <w:jc w:val="left"/>
            <w:rPr>
              <w:rFonts w:ascii="Calibri" w:eastAsia="Calibri"/>
            </w:rPr>
          </w:pPr>
          <w:hyperlink w:history="true" w:anchor="_bookmark4">
            <w:r>
              <w:rPr/>
              <w:t>保险金的申请</w:t>
              <w:tab/>
            </w:r>
            <w:r>
              <w:rPr>
                <w:rFonts w:ascii="Calibri" w:eastAsia="Calibri"/>
              </w:rPr>
              <w:t>8</w:t>
            </w:r>
          </w:hyperlink>
        </w:p>
        <w:p>
          <w:pPr>
            <w:pStyle w:val="TOC1"/>
            <w:numPr>
              <w:ilvl w:val="2"/>
              <w:numId w:val="1"/>
            </w:numPr>
            <w:tabs>
              <w:tab w:pos="1095" w:val="left" w:leader="none"/>
              <w:tab w:pos="1096" w:val="left" w:leader="none"/>
              <w:tab w:pos="8595" w:val="right" w:leader="dot"/>
            </w:tabs>
            <w:spacing w:line="240" w:lineRule="auto" w:before="10" w:after="0"/>
            <w:ind w:left="1095" w:right="0" w:hanging="574"/>
            <w:jc w:val="left"/>
            <w:rPr>
              <w:rFonts w:ascii="Calibri" w:eastAsia="Calibri"/>
            </w:rPr>
          </w:pPr>
          <w:hyperlink w:history="true" w:anchor="_bookmark5">
            <w:r>
              <w:rPr/>
              <w:t>特别注意事项</w:t>
              <w:tab/>
            </w:r>
            <w:r>
              <w:rPr>
                <w:rFonts w:ascii="Calibri" w:eastAsia="Calibri"/>
              </w:rPr>
              <w:t>9</w:t>
            </w:r>
          </w:hyperlink>
        </w:p>
        <w:p>
          <w:pPr>
            <w:pStyle w:val="TOC1"/>
            <w:numPr>
              <w:ilvl w:val="2"/>
              <w:numId w:val="1"/>
            </w:numPr>
            <w:tabs>
              <w:tab w:pos="1095" w:val="left" w:leader="none"/>
              <w:tab w:pos="1096" w:val="left" w:leader="none"/>
              <w:tab w:pos="8595" w:val="right" w:leader="dot"/>
            </w:tabs>
            <w:spacing w:line="240" w:lineRule="auto" w:before="10" w:after="0"/>
            <w:ind w:left="1095" w:right="0" w:hanging="574"/>
            <w:jc w:val="left"/>
            <w:rPr>
              <w:rFonts w:ascii="Calibri" w:eastAsia="Calibri"/>
            </w:rPr>
          </w:pPr>
          <w:hyperlink w:history="true" w:anchor="_bookmark6">
            <w:r>
              <w:rPr/>
              <w:t>保险金的给付</w:t>
              <w:tab/>
            </w:r>
            <w:r>
              <w:rPr>
                <w:rFonts w:ascii="Calibri" w:eastAsia="Calibri"/>
              </w:rPr>
              <w:t>10</w:t>
            </w:r>
          </w:hyperlink>
        </w:p>
        <w:p>
          <w:pPr>
            <w:pStyle w:val="TOC1"/>
            <w:numPr>
              <w:ilvl w:val="2"/>
              <w:numId w:val="1"/>
            </w:numPr>
            <w:tabs>
              <w:tab w:pos="1095" w:val="left" w:leader="none"/>
              <w:tab w:pos="1096" w:val="left" w:leader="none"/>
              <w:tab w:pos="8595" w:val="right" w:leader="dot"/>
            </w:tabs>
            <w:spacing w:line="240" w:lineRule="auto" w:before="10" w:after="0"/>
            <w:ind w:left="1095" w:right="0" w:hanging="574"/>
            <w:jc w:val="left"/>
            <w:rPr>
              <w:rFonts w:ascii="Calibri" w:eastAsia="Calibri"/>
            </w:rPr>
          </w:pPr>
          <w:hyperlink w:history="true" w:anchor="_bookmark6">
            <w:r>
              <w:rPr/>
              <w:t>保险金诉讼时效</w:t>
              <w:tab/>
            </w:r>
            <w:r>
              <w:rPr>
                <w:rFonts w:ascii="Calibri" w:eastAsia="Calibri"/>
              </w:rPr>
              <w:t>10</w:t>
            </w:r>
          </w:hyperlink>
        </w:p>
        <w:p>
          <w:pPr>
            <w:pStyle w:val="TOC1"/>
            <w:numPr>
              <w:ilvl w:val="1"/>
              <w:numId w:val="1"/>
            </w:numPr>
            <w:tabs>
              <w:tab w:pos="1095" w:val="left" w:leader="none"/>
              <w:tab w:pos="1096" w:val="left" w:leader="none"/>
              <w:tab w:pos="8595" w:val="right" w:leader="dot"/>
            </w:tabs>
            <w:spacing w:line="240" w:lineRule="auto" w:before="10" w:after="0"/>
            <w:ind w:left="1095" w:right="0" w:hanging="574"/>
            <w:jc w:val="left"/>
            <w:rPr>
              <w:rFonts w:ascii="Calibri" w:eastAsia="Calibri"/>
            </w:rPr>
          </w:pPr>
          <w:hyperlink w:history="true" w:anchor="_bookmark6">
            <w:r>
              <w:rPr/>
              <w:t>现金价值权益</w:t>
              <w:tab/>
            </w:r>
            <w:r>
              <w:rPr>
                <w:rFonts w:ascii="Calibri" w:eastAsia="Calibri"/>
              </w:rPr>
              <w:t>10</w:t>
            </w:r>
          </w:hyperlink>
        </w:p>
        <w:p>
          <w:pPr>
            <w:pStyle w:val="TOC1"/>
            <w:numPr>
              <w:ilvl w:val="2"/>
              <w:numId w:val="1"/>
            </w:numPr>
            <w:tabs>
              <w:tab w:pos="1095" w:val="left" w:leader="none"/>
              <w:tab w:pos="1096" w:val="left" w:leader="none"/>
              <w:tab w:pos="8595" w:val="right" w:leader="dot"/>
            </w:tabs>
            <w:spacing w:line="240" w:lineRule="auto" w:before="10" w:after="0"/>
            <w:ind w:left="1095" w:right="0" w:hanging="574"/>
            <w:jc w:val="left"/>
            <w:rPr>
              <w:rFonts w:ascii="Calibri" w:eastAsia="Calibri"/>
            </w:rPr>
          </w:pPr>
          <w:hyperlink w:history="true" w:anchor="_bookmark6">
            <w:r>
              <w:rPr/>
              <w:t>现金价值</w:t>
              <w:tab/>
            </w:r>
            <w:r>
              <w:rPr>
                <w:rFonts w:ascii="Calibri" w:eastAsia="Calibri"/>
              </w:rPr>
              <w:t>10</w:t>
            </w:r>
          </w:hyperlink>
        </w:p>
        <w:p>
          <w:pPr>
            <w:pStyle w:val="TOC1"/>
            <w:numPr>
              <w:ilvl w:val="2"/>
              <w:numId w:val="1"/>
            </w:numPr>
            <w:tabs>
              <w:tab w:pos="1095" w:val="left" w:leader="none"/>
              <w:tab w:pos="1096" w:val="left" w:leader="none"/>
              <w:tab w:pos="8595" w:val="right" w:leader="dot"/>
            </w:tabs>
            <w:spacing w:line="240" w:lineRule="auto" w:before="10" w:after="0"/>
            <w:ind w:left="1095" w:right="0" w:hanging="574"/>
            <w:jc w:val="left"/>
            <w:rPr>
              <w:rFonts w:ascii="Calibri" w:eastAsia="Calibri"/>
            </w:rPr>
          </w:pPr>
          <w:hyperlink w:history="true" w:anchor="_bookmark6">
            <w:r>
              <w:rPr/>
              <w:t>保单贷款</w:t>
              <w:tab/>
            </w:r>
            <w:r>
              <w:rPr>
                <w:rFonts w:ascii="Calibri" w:eastAsia="Calibri"/>
              </w:rPr>
              <w:t>10</w:t>
            </w:r>
          </w:hyperlink>
        </w:p>
        <w:p>
          <w:pPr>
            <w:pStyle w:val="TOC1"/>
            <w:numPr>
              <w:ilvl w:val="1"/>
              <w:numId w:val="1"/>
            </w:numPr>
            <w:tabs>
              <w:tab w:pos="1095" w:val="left" w:leader="none"/>
              <w:tab w:pos="1096" w:val="left" w:leader="none"/>
              <w:tab w:pos="8595" w:val="right" w:leader="dot"/>
            </w:tabs>
            <w:spacing w:line="240" w:lineRule="auto" w:before="10" w:after="0"/>
            <w:ind w:left="1095" w:right="0" w:hanging="574"/>
            <w:jc w:val="left"/>
            <w:rPr>
              <w:rFonts w:ascii="Calibri" w:eastAsia="Calibri"/>
            </w:rPr>
          </w:pPr>
          <w:hyperlink w:history="true" w:anchor="_bookmark7">
            <w:r>
              <w:rPr/>
              <w:t>未还款项</w:t>
              <w:tab/>
            </w:r>
            <w:r>
              <w:rPr>
                <w:rFonts w:ascii="Calibri" w:eastAsia="Calibri"/>
              </w:rPr>
              <w:t>11</w:t>
            </w:r>
          </w:hyperlink>
        </w:p>
        <w:p>
          <w:pPr>
            <w:pStyle w:val="TOC1"/>
            <w:numPr>
              <w:ilvl w:val="1"/>
              <w:numId w:val="1"/>
            </w:numPr>
            <w:tabs>
              <w:tab w:pos="1095" w:val="left" w:leader="none"/>
              <w:tab w:pos="1096" w:val="left" w:leader="none"/>
              <w:tab w:pos="8595" w:val="right" w:leader="dot"/>
            </w:tabs>
            <w:spacing w:line="240" w:lineRule="auto" w:before="10" w:after="0"/>
            <w:ind w:left="1095" w:right="0" w:hanging="574"/>
            <w:jc w:val="left"/>
            <w:rPr>
              <w:rFonts w:ascii="Calibri" w:eastAsia="Calibri"/>
            </w:rPr>
          </w:pPr>
          <w:hyperlink w:history="true" w:anchor="_bookmark7">
            <w:r>
              <w:rPr/>
              <w:t>合同效力的变动</w:t>
              <w:tab/>
            </w:r>
            <w:r>
              <w:rPr>
                <w:rFonts w:ascii="Calibri" w:eastAsia="Calibri"/>
              </w:rPr>
              <w:t>11</w:t>
            </w:r>
          </w:hyperlink>
        </w:p>
        <w:p>
          <w:pPr>
            <w:pStyle w:val="TOC1"/>
            <w:numPr>
              <w:ilvl w:val="2"/>
              <w:numId w:val="1"/>
            </w:numPr>
            <w:tabs>
              <w:tab w:pos="1095" w:val="left" w:leader="none"/>
              <w:tab w:pos="1096" w:val="left" w:leader="none"/>
              <w:tab w:pos="8595" w:val="right" w:leader="dot"/>
            </w:tabs>
            <w:spacing w:line="240" w:lineRule="auto" w:before="10" w:after="0"/>
            <w:ind w:left="1095" w:right="0" w:hanging="574"/>
            <w:jc w:val="left"/>
            <w:rPr>
              <w:rFonts w:ascii="Calibri" w:eastAsia="Calibri"/>
            </w:rPr>
          </w:pPr>
          <w:hyperlink w:history="true" w:anchor="_bookmark7">
            <w:r>
              <w:rPr/>
              <w:t>合同效力的中止</w:t>
              <w:tab/>
            </w:r>
            <w:r>
              <w:rPr>
                <w:rFonts w:ascii="Calibri" w:eastAsia="Calibri"/>
              </w:rPr>
              <w:t>11</w:t>
            </w:r>
          </w:hyperlink>
        </w:p>
        <w:p>
          <w:pPr>
            <w:pStyle w:val="TOC1"/>
            <w:numPr>
              <w:ilvl w:val="2"/>
              <w:numId w:val="1"/>
            </w:numPr>
            <w:tabs>
              <w:tab w:pos="1095" w:val="left" w:leader="none"/>
              <w:tab w:pos="1096" w:val="left" w:leader="none"/>
              <w:tab w:pos="8595" w:val="right" w:leader="dot"/>
            </w:tabs>
            <w:spacing w:line="240" w:lineRule="auto" w:before="10" w:after="0"/>
            <w:ind w:left="1095" w:right="0" w:hanging="574"/>
            <w:jc w:val="left"/>
            <w:rPr>
              <w:rFonts w:ascii="Calibri" w:eastAsia="Calibri"/>
            </w:rPr>
          </w:pPr>
          <w:hyperlink w:history="true" w:anchor="_bookmark7">
            <w:r>
              <w:rPr/>
              <w:t>合同效力的恢复</w:t>
              <w:tab/>
            </w:r>
            <w:r>
              <w:rPr>
                <w:rFonts w:ascii="Calibri" w:eastAsia="Calibri"/>
              </w:rPr>
              <w:t>11</w:t>
            </w:r>
          </w:hyperlink>
        </w:p>
        <w:p>
          <w:pPr>
            <w:pStyle w:val="TOC1"/>
            <w:numPr>
              <w:ilvl w:val="2"/>
              <w:numId w:val="1"/>
            </w:numPr>
            <w:tabs>
              <w:tab w:pos="1095" w:val="left" w:leader="none"/>
              <w:tab w:pos="1096" w:val="left" w:leader="none"/>
              <w:tab w:pos="8595" w:val="right" w:leader="dot"/>
            </w:tabs>
            <w:spacing w:line="240" w:lineRule="auto" w:before="10" w:after="0"/>
            <w:ind w:left="1095" w:right="0" w:hanging="574"/>
            <w:jc w:val="left"/>
            <w:rPr>
              <w:rFonts w:ascii="Calibri" w:hAnsi="Calibri" w:eastAsia="Calibri"/>
            </w:rPr>
          </w:pPr>
          <w:hyperlink w:history="true" w:anchor="_bookmark7">
            <w:r>
              <w:rPr/>
              <w:t>合同的解除——退保</w:t>
              <w:tab/>
            </w:r>
            <w:r>
              <w:rPr>
                <w:rFonts w:ascii="Calibri" w:hAnsi="Calibri" w:eastAsia="Calibri"/>
              </w:rPr>
              <w:t>11</w:t>
            </w:r>
          </w:hyperlink>
        </w:p>
        <w:p>
          <w:pPr>
            <w:pStyle w:val="TOC1"/>
            <w:numPr>
              <w:ilvl w:val="2"/>
              <w:numId w:val="1"/>
            </w:numPr>
            <w:tabs>
              <w:tab w:pos="1095" w:val="left" w:leader="none"/>
              <w:tab w:pos="1096" w:val="left" w:leader="none"/>
              <w:tab w:pos="8595" w:val="right" w:leader="dot"/>
            </w:tabs>
            <w:spacing w:line="240" w:lineRule="auto" w:before="10" w:after="0"/>
            <w:ind w:left="1095" w:right="0" w:hanging="574"/>
            <w:jc w:val="left"/>
            <w:rPr>
              <w:rFonts w:ascii="Calibri" w:eastAsia="Calibri"/>
            </w:rPr>
          </w:pPr>
          <w:hyperlink w:history="true" w:anchor="_bookmark8">
            <w:r>
              <w:rPr/>
              <w:t>合同效力的终止</w:t>
              <w:tab/>
            </w:r>
            <w:r>
              <w:rPr>
                <w:rFonts w:ascii="Calibri" w:eastAsia="Calibri"/>
              </w:rPr>
              <w:t>12</w:t>
            </w:r>
          </w:hyperlink>
        </w:p>
        <w:p>
          <w:pPr>
            <w:pStyle w:val="TOC1"/>
            <w:numPr>
              <w:ilvl w:val="1"/>
              <w:numId w:val="1"/>
            </w:numPr>
            <w:tabs>
              <w:tab w:pos="1095" w:val="left" w:leader="none"/>
              <w:tab w:pos="1096" w:val="left" w:leader="none"/>
              <w:tab w:pos="8595" w:val="right" w:leader="dot"/>
            </w:tabs>
            <w:spacing w:line="240" w:lineRule="auto" w:before="10" w:after="0"/>
            <w:ind w:left="1095" w:right="0" w:hanging="574"/>
            <w:jc w:val="left"/>
            <w:rPr>
              <w:rFonts w:ascii="Calibri" w:eastAsia="Calibri"/>
            </w:rPr>
          </w:pPr>
          <w:hyperlink w:history="true" w:anchor="_bookmark8">
            <w:r>
              <w:rPr/>
              <w:t>适用主险条款</w:t>
              <w:tab/>
            </w:r>
            <w:r>
              <w:rPr>
                <w:rFonts w:ascii="Calibri" w:eastAsia="Calibri"/>
              </w:rPr>
              <w:t>12</w:t>
            </w:r>
          </w:hyperlink>
        </w:p>
        <w:p>
          <w:pPr>
            <w:pStyle w:val="TOC1"/>
            <w:tabs>
              <w:tab w:pos="1095" w:val="left" w:leader="none"/>
              <w:tab w:pos="8595" w:val="right" w:leader="dot"/>
            </w:tabs>
            <w:ind w:left="521" w:firstLine="0"/>
            <w:rPr>
              <w:rFonts w:ascii="Calibri" w:eastAsia="Calibri"/>
            </w:rPr>
          </w:pPr>
          <w:hyperlink w:history="true" w:anchor="_bookmark9">
            <w:r>
              <w:rPr>
                <w:rFonts w:ascii="Calibri" w:eastAsia="Calibri"/>
              </w:rPr>
              <w:t>11.</w:t>
              <w:tab/>
            </w:r>
            <w:r>
              <w:rPr/>
              <w:t>释义</w:t>
              <w:tab/>
            </w:r>
            <w:r>
              <w:rPr>
                <w:rFonts w:ascii="Calibri" w:eastAsia="Calibri"/>
              </w:rPr>
              <w:t>13</w:t>
            </w:r>
          </w:hyperlink>
        </w:p>
        <w:p>
          <w:pPr>
            <w:pStyle w:val="TOC1"/>
            <w:tabs>
              <w:tab w:pos="1095" w:val="left" w:leader="none"/>
              <w:tab w:pos="8595" w:val="right" w:leader="dot"/>
            </w:tabs>
            <w:ind w:left="521" w:firstLine="0"/>
            <w:rPr>
              <w:rFonts w:ascii="Calibri" w:eastAsia="Calibri"/>
            </w:rPr>
          </w:pPr>
          <w:hyperlink w:history="true" w:anchor="_bookmark9">
            <w:r>
              <w:rPr>
                <w:rFonts w:ascii="Calibri" w:eastAsia="Calibri"/>
              </w:rPr>
              <w:t>11.1</w:t>
              <w:tab/>
            </w:r>
            <w:r>
              <w:rPr/>
              <w:t>周岁</w:t>
              <w:tab/>
            </w:r>
            <w:r>
              <w:rPr>
                <w:rFonts w:ascii="Calibri" w:eastAsia="Calibri"/>
              </w:rPr>
              <w:t>13</w:t>
            </w:r>
          </w:hyperlink>
        </w:p>
        <w:p>
          <w:pPr>
            <w:pStyle w:val="TOC1"/>
            <w:tabs>
              <w:tab w:pos="1095" w:val="left" w:leader="none"/>
              <w:tab w:pos="8595" w:val="right" w:leader="dot"/>
            </w:tabs>
            <w:ind w:left="521" w:firstLine="0"/>
            <w:rPr>
              <w:rFonts w:ascii="Calibri" w:eastAsia="Calibri"/>
            </w:rPr>
          </w:pPr>
          <w:hyperlink w:history="true" w:anchor="_bookmark9">
            <w:r>
              <w:rPr>
                <w:rFonts w:ascii="Calibri" w:eastAsia="Calibri"/>
              </w:rPr>
              <w:t>11.2</w:t>
              <w:tab/>
            </w:r>
            <w:r>
              <w:rPr/>
              <w:t>医院</w:t>
              <w:tab/>
            </w:r>
            <w:r>
              <w:rPr>
                <w:rFonts w:ascii="Calibri" w:eastAsia="Calibri"/>
              </w:rPr>
              <w:t>13</w:t>
            </w:r>
          </w:hyperlink>
        </w:p>
        <w:p>
          <w:pPr>
            <w:pStyle w:val="TOC1"/>
            <w:numPr>
              <w:ilvl w:val="1"/>
              <w:numId w:val="2"/>
            </w:numPr>
            <w:tabs>
              <w:tab w:pos="1095" w:val="left" w:leader="none"/>
              <w:tab w:pos="1096" w:val="left" w:leader="none"/>
              <w:tab w:pos="8595" w:val="right" w:leader="dot"/>
            </w:tabs>
            <w:spacing w:line="240" w:lineRule="auto" w:before="10" w:after="0"/>
            <w:ind w:left="1095" w:right="0" w:hanging="574"/>
            <w:jc w:val="left"/>
            <w:rPr>
              <w:rFonts w:ascii="Calibri" w:eastAsia="Calibri"/>
            </w:rPr>
          </w:pPr>
          <w:hyperlink w:history="true" w:anchor="_bookmark9">
            <w:r>
              <w:rPr/>
              <w:t>重大疾病</w:t>
              <w:tab/>
            </w:r>
            <w:r>
              <w:rPr>
                <w:rFonts w:ascii="Calibri" w:eastAsia="Calibri"/>
              </w:rPr>
              <w:t>13</w:t>
            </w:r>
          </w:hyperlink>
        </w:p>
        <w:p>
          <w:pPr>
            <w:pStyle w:val="TOC1"/>
            <w:numPr>
              <w:ilvl w:val="1"/>
              <w:numId w:val="2"/>
            </w:numPr>
            <w:tabs>
              <w:tab w:pos="1095" w:val="left" w:leader="none"/>
              <w:tab w:pos="1096" w:val="left" w:leader="none"/>
              <w:tab w:pos="8595" w:val="right" w:leader="dot"/>
            </w:tabs>
            <w:spacing w:line="240" w:lineRule="auto" w:before="10" w:after="0"/>
            <w:ind w:left="1095" w:right="0" w:hanging="574"/>
            <w:jc w:val="left"/>
            <w:rPr>
              <w:rFonts w:ascii="Calibri" w:eastAsia="Calibri"/>
            </w:rPr>
          </w:pPr>
          <w:hyperlink w:history="true" w:anchor="_bookmark10">
            <w:r>
              <w:rPr/>
              <w:t>专科医生</w:t>
              <w:tab/>
            </w:r>
            <w:r>
              <w:rPr>
                <w:rFonts w:ascii="Calibri" w:eastAsia="Calibri"/>
              </w:rPr>
              <w:t>21</w:t>
            </w:r>
          </w:hyperlink>
        </w:p>
        <w:p>
          <w:pPr>
            <w:pStyle w:val="TOC1"/>
            <w:numPr>
              <w:ilvl w:val="1"/>
              <w:numId w:val="2"/>
            </w:numPr>
            <w:tabs>
              <w:tab w:pos="1095" w:val="left" w:leader="none"/>
              <w:tab w:pos="1096" w:val="left" w:leader="none"/>
              <w:tab w:pos="8595" w:val="right" w:leader="dot"/>
            </w:tabs>
            <w:spacing w:line="240" w:lineRule="auto" w:before="10" w:after="0"/>
            <w:ind w:left="1095" w:right="0" w:hanging="574"/>
            <w:jc w:val="left"/>
            <w:rPr>
              <w:rFonts w:ascii="Calibri" w:eastAsia="Calibri"/>
            </w:rPr>
          </w:pPr>
          <w:hyperlink w:history="true" w:anchor="_bookmark10">
            <w:r>
              <w:rPr/>
              <w:t>肢体机能完全丧失</w:t>
              <w:tab/>
            </w:r>
            <w:r>
              <w:rPr>
                <w:rFonts w:ascii="Calibri" w:eastAsia="Calibri"/>
              </w:rPr>
              <w:t>21</w:t>
            </w:r>
          </w:hyperlink>
        </w:p>
        <w:p>
          <w:pPr>
            <w:pStyle w:val="TOC1"/>
            <w:numPr>
              <w:ilvl w:val="1"/>
              <w:numId w:val="2"/>
            </w:numPr>
            <w:tabs>
              <w:tab w:pos="1095" w:val="left" w:leader="none"/>
              <w:tab w:pos="1096" w:val="left" w:leader="none"/>
              <w:tab w:pos="8595" w:val="right" w:leader="dot"/>
            </w:tabs>
            <w:spacing w:line="240" w:lineRule="auto" w:before="10" w:after="0"/>
            <w:ind w:left="1095" w:right="0" w:hanging="574"/>
            <w:jc w:val="left"/>
            <w:rPr>
              <w:rFonts w:ascii="Calibri" w:eastAsia="Calibri"/>
            </w:rPr>
          </w:pPr>
          <w:hyperlink w:history="true" w:anchor="_bookmark10">
            <w:r>
              <w:rPr/>
              <w:t>语言能力或咀嚼吞咽能力完全丧失</w:t>
              <w:tab/>
            </w:r>
            <w:r>
              <w:rPr>
                <w:rFonts w:ascii="Calibri" w:eastAsia="Calibri"/>
              </w:rPr>
              <w:t>21</w:t>
            </w:r>
          </w:hyperlink>
        </w:p>
      </w:sdtContent>
    </w:sdt>
    <w:p>
      <w:pPr>
        <w:spacing w:after="0" w:line="240" w:lineRule="auto"/>
        <w:jc w:val="left"/>
        <w:rPr>
          <w:rFonts w:ascii="Calibri" w:eastAsia="Calibri"/>
        </w:rPr>
        <w:sectPr>
          <w:pgSz w:w="11910" w:h="16840"/>
          <w:pgMar w:header="0" w:footer="1197" w:top="1360" w:bottom="1380" w:left="1600" w:right="1560"/>
        </w:sectPr>
      </w:pPr>
    </w:p>
    <w:p>
      <w:pPr>
        <w:pStyle w:val="ListParagraph"/>
        <w:numPr>
          <w:ilvl w:val="1"/>
          <w:numId w:val="2"/>
        </w:numPr>
        <w:tabs>
          <w:tab w:pos="1015" w:val="left" w:leader="none"/>
          <w:tab w:pos="1016" w:val="left" w:leader="none"/>
          <w:tab w:pos="8515" w:val="right" w:leader="dot"/>
        </w:tabs>
        <w:spacing w:line="240" w:lineRule="auto" w:before="25" w:after="0"/>
        <w:ind w:left="1015" w:right="0" w:hanging="574"/>
        <w:jc w:val="left"/>
        <w:rPr>
          <w:rFonts w:ascii="Calibri" w:eastAsia="Calibri"/>
          <w:sz w:val="21"/>
        </w:rPr>
      </w:pPr>
      <w:hyperlink w:history="true" w:anchor="_bookmark10">
        <w:r>
          <w:rPr>
            <w:sz w:val="21"/>
          </w:rPr>
          <w:t>六项基本日常生活活动</w:t>
          <w:tab/>
        </w:r>
        <w:r>
          <w:rPr>
            <w:rFonts w:ascii="Calibri" w:eastAsia="Calibri"/>
            <w:sz w:val="21"/>
          </w:rPr>
          <w:t>21</w:t>
        </w:r>
      </w:hyperlink>
    </w:p>
    <w:p>
      <w:pPr>
        <w:pStyle w:val="ListParagraph"/>
        <w:numPr>
          <w:ilvl w:val="1"/>
          <w:numId w:val="2"/>
        </w:numPr>
        <w:tabs>
          <w:tab w:pos="1015" w:val="left" w:leader="none"/>
          <w:tab w:pos="1016" w:val="left" w:leader="none"/>
          <w:tab w:pos="8515" w:val="right" w:leader="dot"/>
        </w:tabs>
        <w:spacing w:line="240" w:lineRule="auto" w:before="10" w:after="0"/>
        <w:ind w:left="1015" w:right="0" w:hanging="574"/>
        <w:jc w:val="left"/>
        <w:rPr>
          <w:rFonts w:ascii="Calibri" w:eastAsia="Calibri"/>
          <w:sz w:val="21"/>
        </w:rPr>
      </w:pPr>
      <w:hyperlink w:history="true" w:anchor="_bookmark10">
        <w:r>
          <w:rPr>
            <w:sz w:val="21"/>
          </w:rPr>
          <w:t>永久不可逆</w:t>
          <w:tab/>
        </w:r>
        <w:r>
          <w:rPr>
            <w:rFonts w:ascii="Calibri" w:eastAsia="Calibri"/>
            <w:sz w:val="21"/>
          </w:rPr>
          <w:t>21</w:t>
        </w:r>
      </w:hyperlink>
    </w:p>
    <w:p>
      <w:pPr>
        <w:pStyle w:val="ListParagraph"/>
        <w:numPr>
          <w:ilvl w:val="1"/>
          <w:numId w:val="2"/>
        </w:numPr>
        <w:tabs>
          <w:tab w:pos="1015" w:val="left" w:leader="none"/>
          <w:tab w:pos="1016" w:val="left" w:leader="none"/>
          <w:tab w:pos="8515" w:val="right" w:leader="dot"/>
        </w:tabs>
        <w:spacing w:line="240" w:lineRule="auto" w:before="10" w:after="0"/>
        <w:ind w:left="1015" w:right="0" w:hanging="574"/>
        <w:jc w:val="left"/>
        <w:rPr>
          <w:rFonts w:ascii="Calibri" w:eastAsia="Calibri"/>
          <w:sz w:val="21"/>
        </w:rPr>
      </w:pPr>
      <w:hyperlink w:history="true" w:anchor="_bookmark10">
        <w:r>
          <w:rPr>
            <w:sz w:val="21"/>
          </w:rPr>
          <w:t>本条款约定确诊日</w:t>
          <w:tab/>
        </w:r>
        <w:r>
          <w:rPr>
            <w:rFonts w:ascii="Calibri" w:eastAsia="Calibri"/>
            <w:sz w:val="21"/>
          </w:rPr>
          <w:t>21</w:t>
        </w:r>
      </w:hyperlink>
    </w:p>
    <w:p>
      <w:pPr>
        <w:pStyle w:val="ListParagraph"/>
        <w:numPr>
          <w:ilvl w:val="1"/>
          <w:numId w:val="2"/>
        </w:numPr>
        <w:tabs>
          <w:tab w:pos="1016" w:val="left" w:leader="none"/>
          <w:tab w:pos="8515" w:val="right" w:leader="dot"/>
        </w:tabs>
        <w:spacing w:line="240" w:lineRule="auto" w:before="10" w:after="0"/>
        <w:ind w:left="1015" w:right="0" w:hanging="574"/>
        <w:jc w:val="left"/>
        <w:rPr>
          <w:rFonts w:ascii="Calibri" w:eastAsia="Calibri"/>
          <w:sz w:val="21"/>
        </w:rPr>
      </w:pPr>
      <w:hyperlink w:history="true" w:anchor="_bookmark10">
        <w:r>
          <w:rPr>
            <w:sz w:val="21"/>
          </w:rPr>
          <w:t>意外伤害</w:t>
          <w:tab/>
        </w:r>
        <w:r>
          <w:rPr>
            <w:rFonts w:ascii="Calibri" w:eastAsia="Calibri"/>
            <w:sz w:val="21"/>
          </w:rPr>
          <w:t>21</w:t>
        </w:r>
      </w:hyperlink>
    </w:p>
    <w:p>
      <w:pPr>
        <w:pStyle w:val="ListParagraph"/>
        <w:numPr>
          <w:ilvl w:val="1"/>
          <w:numId w:val="2"/>
        </w:numPr>
        <w:tabs>
          <w:tab w:pos="1016" w:val="left" w:leader="none"/>
          <w:tab w:pos="8515" w:val="right" w:leader="dot"/>
        </w:tabs>
        <w:spacing w:line="240" w:lineRule="auto" w:before="10" w:after="0"/>
        <w:ind w:left="1015" w:right="0" w:hanging="574"/>
        <w:jc w:val="left"/>
        <w:rPr>
          <w:rFonts w:ascii="Calibri" w:eastAsia="Calibri"/>
          <w:sz w:val="21"/>
        </w:rPr>
      </w:pPr>
      <w:hyperlink w:history="true" w:anchor="_bookmark11">
        <w:r>
          <w:rPr>
            <w:sz w:val="21"/>
          </w:rPr>
          <w:t>永久完全残疾</w:t>
          <w:tab/>
        </w:r>
        <w:r>
          <w:rPr>
            <w:rFonts w:ascii="Calibri" w:eastAsia="Calibri"/>
            <w:sz w:val="21"/>
          </w:rPr>
          <w:t>22</w:t>
        </w:r>
      </w:hyperlink>
    </w:p>
    <w:p>
      <w:pPr>
        <w:pStyle w:val="BodyText"/>
        <w:tabs>
          <w:tab w:pos="8515" w:val="right" w:leader="dot"/>
        </w:tabs>
        <w:spacing w:before="10"/>
        <w:ind w:left="441"/>
        <w:rPr>
          <w:rFonts w:ascii="Calibri" w:eastAsia="Calibri"/>
        </w:rPr>
      </w:pPr>
      <w:hyperlink w:history="true" w:anchor="_bookmark12">
        <w:r>
          <w:rPr>
            <w:rFonts w:ascii="Calibri" w:eastAsia="Calibri"/>
          </w:rPr>
          <w:t>11.12 </w:t>
        </w:r>
        <w:r>
          <w:rPr>
            <w:rFonts w:ascii="Calibri" w:eastAsia="Calibri"/>
            <w:spacing w:val="1"/>
          </w:rPr>
          <w:t> </w:t>
        </w:r>
        <w:r>
          <w:rPr/>
          <w:t>毒品</w:t>
          <w:tab/>
        </w:r>
        <w:r>
          <w:rPr>
            <w:rFonts w:ascii="Calibri" w:eastAsia="Calibri"/>
          </w:rPr>
          <w:t>23</w:t>
        </w:r>
      </w:hyperlink>
    </w:p>
    <w:p>
      <w:pPr>
        <w:pStyle w:val="ListParagraph"/>
        <w:numPr>
          <w:ilvl w:val="1"/>
          <w:numId w:val="3"/>
        </w:numPr>
        <w:tabs>
          <w:tab w:pos="1016" w:val="left" w:leader="none"/>
          <w:tab w:pos="8515" w:val="right" w:leader="dot"/>
        </w:tabs>
        <w:spacing w:line="240" w:lineRule="auto" w:before="10" w:after="0"/>
        <w:ind w:left="1015" w:right="0" w:hanging="574"/>
        <w:jc w:val="left"/>
        <w:rPr>
          <w:rFonts w:ascii="Calibri" w:eastAsia="Calibri"/>
          <w:sz w:val="21"/>
        </w:rPr>
      </w:pPr>
      <w:hyperlink w:history="true" w:anchor="_bookmark12">
        <w:r>
          <w:rPr>
            <w:sz w:val="21"/>
          </w:rPr>
          <w:t>酒后驾驶</w:t>
          <w:tab/>
        </w:r>
        <w:r>
          <w:rPr>
            <w:rFonts w:ascii="Calibri" w:eastAsia="Calibri"/>
            <w:sz w:val="21"/>
          </w:rPr>
          <w:t>23</w:t>
        </w:r>
      </w:hyperlink>
    </w:p>
    <w:p>
      <w:pPr>
        <w:pStyle w:val="ListParagraph"/>
        <w:numPr>
          <w:ilvl w:val="1"/>
          <w:numId w:val="3"/>
        </w:numPr>
        <w:tabs>
          <w:tab w:pos="1016" w:val="left" w:leader="none"/>
          <w:tab w:pos="8515" w:val="right" w:leader="dot"/>
        </w:tabs>
        <w:spacing w:line="240" w:lineRule="auto" w:before="10" w:after="0"/>
        <w:ind w:left="1015" w:right="0" w:hanging="574"/>
        <w:jc w:val="left"/>
        <w:rPr>
          <w:rFonts w:ascii="Calibri" w:eastAsia="Calibri"/>
          <w:sz w:val="21"/>
        </w:rPr>
      </w:pPr>
      <w:hyperlink w:history="true" w:anchor="_bookmark12">
        <w:r>
          <w:rPr>
            <w:sz w:val="21"/>
          </w:rPr>
          <w:t>无合法有效驾驶证驾驶</w:t>
          <w:tab/>
        </w:r>
        <w:r>
          <w:rPr>
            <w:rFonts w:ascii="Calibri" w:eastAsia="Calibri"/>
            <w:sz w:val="21"/>
          </w:rPr>
          <w:t>23</w:t>
        </w:r>
      </w:hyperlink>
    </w:p>
    <w:p>
      <w:pPr>
        <w:pStyle w:val="ListParagraph"/>
        <w:numPr>
          <w:ilvl w:val="1"/>
          <w:numId w:val="3"/>
        </w:numPr>
        <w:tabs>
          <w:tab w:pos="1016" w:val="left" w:leader="none"/>
          <w:tab w:pos="8515" w:val="right" w:leader="dot"/>
        </w:tabs>
        <w:spacing w:line="240" w:lineRule="auto" w:before="10" w:after="0"/>
        <w:ind w:left="1015" w:right="0" w:hanging="574"/>
        <w:jc w:val="left"/>
        <w:rPr>
          <w:rFonts w:ascii="Calibri" w:eastAsia="Calibri"/>
          <w:sz w:val="21"/>
        </w:rPr>
      </w:pPr>
      <w:hyperlink w:history="true" w:anchor="_bookmark12">
        <w:r>
          <w:rPr>
            <w:sz w:val="21"/>
          </w:rPr>
          <w:t>无有效行驶证</w:t>
          <w:tab/>
        </w:r>
        <w:r>
          <w:rPr>
            <w:rFonts w:ascii="Calibri" w:eastAsia="Calibri"/>
            <w:sz w:val="21"/>
          </w:rPr>
          <w:t>23</w:t>
        </w:r>
      </w:hyperlink>
    </w:p>
    <w:p>
      <w:pPr>
        <w:pStyle w:val="ListParagraph"/>
        <w:numPr>
          <w:ilvl w:val="1"/>
          <w:numId w:val="3"/>
        </w:numPr>
        <w:tabs>
          <w:tab w:pos="1016" w:val="left" w:leader="none"/>
          <w:tab w:pos="8515" w:val="right" w:leader="dot"/>
        </w:tabs>
        <w:spacing w:line="240" w:lineRule="auto" w:before="10" w:after="0"/>
        <w:ind w:left="1015" w:right="0" w:hanging="574"/>
        <w:jc w:val="left"/>
        <w:rPr>
          <w:rFonts w:ascii="Calibri" w:eastAsia="Calibri"/>
          <w:sz w:val="21"/>
        </w:rPr>
      </w:pPr>
      <w:hyperlink w:history="true" w:anchor="_bookmark12">
        <w:r>
          <w:rPr>
            <w:sz w:val="21"/>
          </w:rPr>
          <w:t>感染艾滋病病毒或患艾滋病</w:t>
          <w:tab/>
        </w:r>
        <w:r>
          <w:rPr>
            <w:rFonts w:ascii="Calibri" w:eastAsia="Calibri"/>
            <w:sz w:val="21"/>
          </w:rPr>
          <w:t>23</w:t>
        </w:r>
      </w:hyperlink>
    </w:p>
    <w:p>
      <w:pPr>
        <w:pStyle w:val="ListParagraph"/>
        <w:numPr>
          <w:ilvl w:val="1"/>
          <w:numId w:val="3"/>
        </w:numPr>
        <w:tabs>
          <w:tab w:pos="1016" w:val="left" w:leader="none"/>
          <w:tab w:pos="8515" w:val="right" w:leader="dot"/>
        </w:tabs>
        <w:spacing w:line="240" w:lineRule="auto" w:before="10" w:after="0"/>
        <w:ind w:left="1015" w:right="0" w:hanging="574"/>
        <w:jc w:val="left"/>
        <w:rPr>
          <w:rFonts w:ascii="Calibri" w:eastAsia="Calibri"/>
          <w:sz w:val="21"/>
        </w:rPr>
      </w:pPr>
      <w:hyperlink w:history="true" w:anchor="_bookmark13">
        <w:r>
          <w:rPr>
            <w:sz w:val="21"/>
          </w:rPr>
          <w:t>遗传性疾病</w:t>
          <w:tab/>
        </w:r>
        <w:r>
          <w:rPr>
            <w:rFonts w:ascii="Calibri" w:eastAsia="Calibri"/>
            <w:sz w:val="21"/>
          </w:rPr>
          <w:t>24</w:t>
        </w:r>
      </w:hyperlink>
    </w:p>
    <w:p>
      <w:pPr>
        <w:pStyle w:val="ListParagraph"/>
        <w:numPr>
          <w:ilvl w:val="1"/>
          <w:numId w:val="3"/>
        </w:numPr>
        <w:tabs>
          <w:tab w:pos="1016" w:val="left" w:leader="none"/>
          <w:tab w:pos="8515" w:val="right" w:leader="dot"/>
        </w:tabs>
        <w:spacing w:line="240" w:lineRule="auto" w:before="10" w:after="0"/>
        <w:ind w:left="1015" w:right="0" w:hanging="574"/>
        <w:jc w:val="left"/>
        <w:rPr>
          <w:rFonts w:ascii="Calibri" w:eastAsia="Calibri"/>
          <w:sz w:val="21"/>
        </w:rPr>
      </w:pPr>
      <w:hyperlink w:history="true" w:anchor="_bookmark13">
        <w:r>
          <w:rPr>
            <w:sz w:val="21"/>
          </w:rPr>
          <w:t>先天性畸形、变形或染色体异常</w:t>
          <w:tab/>
        </w:r>
        <w:r>
          <w:rPr>
            <w:rFonts w:ascii="Calibri" w:eastAsia="Calibri"/>
            <w:sz w:val="21"/>
          </w:rPr>
          <w:t>24</w:t>
        </w:r>
      </w:hyperlink>
    </w:p>
    <w:p>
      <w:pPr>
        <w:pStyle w:val="ListParagraph"/>
        <w:numPr>
          <w:ilvl w:val="1"/>
          <w:numId w:val="3"/>
        </w:numPr>
        <w:tabs>
          <w:tab w:pos="1016" w:val="left" w:leader="none"/>
          <w:tab w:pos="8515" w:val="right" w:leader="dot"/>
        </w:tabs>
        <w:spacing w:line="240" w:lineRule="auto" w:before="10" w:after="0"/>
        <w:ind w:left="1015" w:right="0" w:hanging="574"/>
        <w:jc w:val="left"/>
        <w:rPr>
          <w:rFonts w:ascii="Calibri" w:eastAsia="Calibri"/>
          <w:sz w:val="21"/>
        </w:rPr>
      </w:pPr>
      <w:hyperlink w:history="true" w:anchor="_bookmark13">
        <w:r>
          <w:rPr>
            <w:sz w:val="21"/>
          </w:rPr>
          <w:t>拒保职业</w:t>
          <w:tab/>
        </w:r>
        <w:r>
          <w:rPr>
            <w:rFonts w:ascii="Calibri" w:eastAsia="Calibri"/>
            <w:sz w:val="21"/>
          </w:rPr>
          <w:t>24</w:t>
        </w:r>
      </w:hyperlink>
    </w:p>
    <w:p>
      <w:pPr>
        <w:pStyle w:val="ListParagraph"/>
        <w:numPr>
          <w:ilvl w:val="1"/>
          <w:numId w:val="3"/>
        </w:numPr>
        <w:tabs>
          <w:tab w:pos="1016" w:val="left" w:leader="none"/>
          <w:tab w:pos="8515" w:val="right" w:leader="dot"/>
        </w:tabs>
        <w:spacing w:line="240" w:lineRule="auto" w:before="10" w:after="0"/>
        <w:ind w:left="1015" w:right="0" w:hanging="574"/>
        <w:jc w:val="left"/>
        <w:rPr>
          <w:rFonts w:ascii="Calibri" w:eastAsia="Calibri"/>
          <w:sz w:val="21"/>
        </w:rPr>
      </w:pPr>
      <w:hyperlink w:history="true" w:anchor="_bookmark13">
        <w:r>
          <w:rPr>
            <w:sz w:val="21"/>
          </w:rPr>
          <w:t>现金价值</w:t>
          <w:tab/>
        </w:r>
        <w:r>
          <w:rPr>
            <w:rFonts w:ascii="Calibri" w:eastAsia="Calibri"/>
            <w:sz w:val="21"/>
          </w:rPr>
          <w:t>24</w:t>
        </w:r>
      </w:hyperlink>
    </w:p>
    <w:p>
      <w:pPr>
        <w:pStyle w:val="ListParagraph"/>
        <w:numPr>
          <w:ilvl w:val="1"/>
          <w:numId w:val="3"/>
        </w:numPr>
        <w:tabs>
          <w:tab w:pos="1016" w:val="left" w:leader="none"/>
          <w:tab w:pos="8515" w:val="right" w:leader="dot"/>
        </w:tabs>
        <w:spacing w:line="240" w:lineRule="auto" w:before="10" w:after="0"/>
        <w:ind w:left="1015" w:right="0" w:hanging="574"/>
        <w:jc w:val="left"/>
        <w:rPr>
          <w:rFonts w:ascii="Calibri" w:eastAsia="Calibri"/>
          <w:sz w:val="21"/>
        </w:rPr>
      </w:pPr>
      <w:hyperlink w:history="true" w:anchor="_bookmark13">
        <w:r>
          <w:rPr>
            <w:sz w:val="21"/>
          </w:rPr>
          <w:t>银行转账交费</w:t>
          <w:tab/>
        </w:r>
        <w:r>
          <w:rPr>
            <w:rFonts w:ascii="Calibri" w:eastAsia="Calibri"/>
            <w:sz w:val="21"/>
          </w:rPr>
          <w:t>24</w:t>
        </w:r>
      </w:hyperlink>
    </w:p>
    <w:p>
      <w:pPr>
        <w:pStyle w:val="ListParagraph"/>
        <w:numPr>
          <w:ilvl w:val="1"/>
          <w:numId w:val="3"/>
        </w:numPr>
        <w:tabs>
          <w:tab w:pos="1016" w:val="left" w:leader="none"/>
          <w:tab w:pos="8515" w:val="right" w:leader="dot"/>
        </w:tabs>
        <w:spacing w:line="240" w:lineRule="auto" w:before="10" w:after="0"/>
        <w:ind w:left="1015" w:right="0" w:hanging="574"/>
        <w:jc w:val="left"/>
        <w:rPr>
          <w:rFonts w:ascii="Calibri" w:eastAsia="Calibri"/>
          <w:sz w:val="21"/>
        </w:rPr>
      </w:pPr>
      <w:hyperlink w:history="true" w:anchor="_bookmark13">
        <w:r>
          <w:rPr>
            <w:sz w:val="21"/>
          </w:rPr>
          <w:t>本条款约定利率</w:t>
          <w:tab/>
        </w:r>
        <w:r>
          <w:rPr>
            <w:rFonts w:ascii="Calibri" w:eastAsia="Calibri"/>
            <w:sz w:val="21"/>
          </w:rPr>
          <w:t>24</w:t>
        </w:r>
      </w:hyperlink>
    </w:p>
    <w:p>
      <w:pPr>
        <w:spacing w:after="0" w:line="240" w:lineRule="auto"/>
        <w:jc w:val="left"/>
        <w:rPr>
          <w:rFonts w:ascii="Calibri" w:eastAsia="Calibri"/>
          <w:sz w:val="21"/>
        </w:rPr>
        <w:sectPr>
          <w:pgSz w:w="11910" w:h="16840"/>
          <w:pgMar w:header="0" w:footer="1197" w:top="1360" w:bottom="1380" w:left="1680" w:right="1600"/>
        </w:sectPr>
      </w:pPr>
    </w:p>
    <w:p>
      <w:pPr>
        <w:spacing w:before="126"/>
        <w:ind w:left="1053" w:right="1095" w:firstLine="0"/>
        <w:jc w:val="center"/>
        <w:rPr>
          <w:rFonts w:ascii="Microsoft JhengHei" w:eastAsia="Microsoft JhengHei" w:hint="eastAsia"/>
          <w:b/>
          <w:sz w:val="28"/>
        </w:rPr>
      </w:pPr>
      <w:bookmarkStart w:name="_bookmark0" w:id="1"/>
      <w:bookmarkEnd w:id="1"/>
      <w:r>
        <w:rPr/>
      </w:r>
      <w:r>
        <w:rPr>
          <w:rFonts w:ascii="Microsoft JhengHei" w:eastAsia="Microsoft JhengHei" w:hint="eastAsia"/>
          <w:b/>
          <w:sz w:val="28"/>
        </w:rPr>
        <w:t>中新大东方附加宝宝顺乐重大疾病保险合同条款</w:t>
      </w:r>
    </w:p>
    <w:p>
      <w:pPr>
        <w:pStyle w:val="BodyText"/>
        <w:spacing w:before="3"/>
        <w:rPr>
          <w:rFonts w:ascii="Microsoft JhengHei"/>
          <w:b/>
          <w:sz w:val="25"/>
        </w:rPr>
      </w:pPr>
    </w:p>
    <w:p>
      <w:pPr>
        <w:pStyle w:val="BodyText"/>
        <w:ind w:left="1056" w:right="1095"/>
        <w:jc w:val="center"/>
      </w:pPr>
      <w:r>
        <w:rPr/>
        <w:t>（中新大东方[2012]128 号呈报中国保险监督管理委员会备案）</w:t>
      </w:r>
    </w:p>
    <w:p>
      <w:pPr>
        <w:pStyle w:val="BodyText"/>
        <w:spacing w:before="8"/>
        <w:rPr>
          <w:sz w:val="26"/>
        </w:rPr>
      </w:pPr>
    </w:p>
    <w:p>
      <w:pPr>
        <w:pStyle w:val="BodyText"/>
        <w:ind w:left="1058" w:right="1095"/>
        <w:jc w:val="center"/>
      </w:pPr>
      <w:r>
        <w:rPr>
          <w:spacing w:val="-16"/>
          <w:w w:val="99"/>
        </w:rPr>
        <w:t>在本条款中，“您”指投保人，“本公司”指中新大东方人寿保险有限公司。</w:t>
      </w:r>
    </w:p>
    <w:p>
      <w:pPr>
        <w:pStyle w:val="BodyText"/>
        <w:spacing w:before="8"/>
        <w:rPr>
          <w:sz w:val="26"/>
        </w:rPr>
      </w:pPr>
    </w:p>
    <w:p>
      <w:pPr>
        <w:pStyle w:val="BodyText"/>
        <w:ind w:left="101"/>
      </w:pPr>
      <w:r>
        <w:rPr>
          <w:w w:val="95"/>
        </w:rPr>
        <w:t>“中新大东方附加宝宝顺乐重大疾病保险合同”在以下条款中简称为“本附加险合同”。</w:t>
      </w:r>
    </w:p>
    <w:p>
      <w:pPr>
        <w:pStyle w:val="BodyText"/>
        <w:spacing w:before="12"/>
        <w:rPr>
          <w:sz w:val="29"/>
        </w:rPr>
      </w:pPr>
    </w:p>
    <w:p>
      <w:pPr>
        <w:pStyle w:val="Heading1"/>
        <w:numPr>
          <w:ilvl w:val="0"/>
          <w:numId w:val="4"/>
        </w:numPr>
        <w:tabs>
          <w:tab w:pos="667" w:val="left" w:leader="none"/>
          <w:tab w:pos="668" w:val="left" w:leader="none"/>
        </w:tabs>
        <w:spacing w:line="240" w:lineRule="auto" w:before="0" w:after="0"/>
        <w:ind w:left="668" w:right="0" w:hanging="567"/>
        <w:jc w:val="left"/>
      </w:pPr>
      <w:r>
        <w:rPr>
          <w:w w:val="95"/>
        </w:rPr>
        <w:t>合同成立</w:t>
      </w:r>
    </w:p>
    <w:p>
      <w:pPr>
        <w:pStyle w:val="BodyText"/>
        <w:spacing w:before="2"/>
        <w:rPr>
          <w:rFonts w:ascii="Microsoft JhengHei"/>
          <w:b/>
          <w:sz w:val="25"/>
        </w:rPr>
      </w:pPr>
    </w:p>
    <w:p>
      <w:pPr>
        <w:pStyle w:val="BodyText"/>
        <w:spacing w:line="273" w:lineRule="auto"/>
        <w:ind w:left="101" w:right="139"/>
      </w:pPr>
      <w:r>
        <w:rPr>
          <w:spacing w:val="-3"/>
          <w:w w:val="95"/>
        </w:rPr>
        <w:t>本附加险合同由主保险合同</w:t>
      </w:r>
      <w:r>
        <w:rPr>
          <w:w w:val="95"/>
        </w:rPr>
        <w:t>（</w:t>
      </w:r>
      <w:r>
        <w:rPr>
          <w:spacing w:val="-12"/>
          <w:w w:val="95"/>
        </w:rPr>
        <w:t>以下简称“主险合同”</w:t>
      </w:r>
      <w:r>
        <w:rPr>
          <w:spacing w:val="-66"/>
          <w:w w:val="95"/>
        </w:rPr>
        <w:t>）</w:t>
      </w:r>
      <w:r>
        <w:rPr>
          <w:spacing w:val="-3"/>
          <w:w w:val="95"/>
        </w:rPr>
        <w:t>投保人提出保险申请、本公司同意承保</w:t>
      </w:r>
      <w:r>
        <w:rPr>
          <w:w w:val="80"/>
        </w:rPr>
        <w:t>，   </w:t>
      </w:r>
      <w:r>
        <w:rPr>
          <w:w w:val="95"/>
        </w:rPr>
        <w:t>本附加险合同成立。</w:t>
      </w:r>
    </w:p>
    <w:p>
      <w:pPr>
        <w:pStyle w:val="BodyText"/>
        <w:spacing w:before="5"/>
        <w:rPr>
          <w:sz w:val="24"/>
        </w:rPr>
      </w:pPr>
    </w:p>
    <w:p>
      <w:pPr>
        <w:pStyle w:val="BodyText"/>
        <w:ind w:left="101"/>
      </w:pPr>
      <w:r>
        <w:rPr>
          <w:spacing w:val="-1"/>
          <w:w w:val="99"/>
        </w:rPr>
        <w:t>本附加险只可附加于“中新大东方宝宝顺乐两全保险</w:t>
      </w:r>
      <w:r>
        <w:rPr>
          <w:w w:val="99"/>
        </w:rPr>
        <w:t>（</w:t>
      </w:r>
      <w:r>
        <w:rPr>
          <w:spacing w:val="-1"/>
          <w:w w:val="99"/>
        </w:rPr>
        <w:t>分红型</w:t>
      </w:r>
      <w:r>
        <w:rPr>
          <w:spacing w:val="-104"/>
          <w:w w:val="99"/>
        </w:rPr>
        <w:t>）</w:t>
      </w:r>
      <w:r>
        <w:rPr>
          <w:w w:val="99"/>
        </w:rPr>
        <w:t>”产品。</w:t>
      </w:r>
    </w:p>
    <w:p>
      <w:pPr>
        <w:pStyle w:val="BodyText"/>
        <w:rPr>
          <w:sz w:val="20"/>
        </w:rPr>
      </w:pPr>
    </w:p>
    <w:p>
      <w:pPr>
        <w:pStyle w:val="Heading1"/>
        <w:numPr>
          <w:ilvl w:val="0"/>
          <w:numId w:val="4"/>
        </w:numPr>
        <w:tabs>
          <w:tab w:pos="667" w:val="left" w:leader="none"/>
          <w:tab w:pos="668" w:val="left" w:leader="none"/>
        </w:tabs>
        <w:spacing w:line="240" w:lineRule="auto" w:before="133" w:after="0"/>
        <w:ind w:left="668" w:right="0" w:hanging="567"/>
        <w:jc w:val="left"/>
      </w:pPr>
      <w:r>
        <w:rPr>
          <w:w w:val="95"/>
        </w:rPr>
        <w:t>投保年龄</w:t>
      </w:r>
    </w:p>
    <w:p>
      <w:pPr>
        <w:pStyle w:val="BodyText"/>
        <w:spacing w:before="5"/>
        <w:rPr>
          <w:rFonts w:ascii="Microsoft JhengHei"/>
          <w:b/>
        </w:rPr>
      </w:pPr>
    </w:p>
    <w:p>
      <w:pPr>
        <w:pStyle w:val="BodyText"/>
        <w:ind w:left="101"/>
      </w:pPr>
      <w:r>
        <w:rPr/>
        <w:t>被保险人的投保年龄以</w:t>
      </w:r>
      <w:r>
        <w:rPr>
          <w:rFonts w:ascii="Microsoft JhengHei" w:eastAsia="Microsoft JhengHei" w:hint="eastAsia"/>
          <w:b/>
        </w:rPr>
        <w:t>周岁</w:t>
      </w:r>
      <w:r>
        <w:rPr/>
        <w:t>(见释义 11.1)计算。</w:t>
      </w:r>
    </w:p>
    <w:p>
      <w:pPr>
        <w:pStyle w:val="BodyText"/>
        <w:spacing w:before="10"/>
        <w:rPr>
          <w:sz w:val="24"/>
        </w:rPr>
      </w:pPr>
    </w:p>
    <w:p>
      <w:pPr>
        <w:pStyle w:val="BodyText"/>
        <w:ind w:left="101"/>
      </w:pPr>
      <w:r>
        <w:rPr/>
        <w:t>本附加险合同接受的被保险人投保年龄范围为：出院且出生满 30 天至 17 周岁。</w:t>
      </w:r>
    </w:p>
    <w:p>
      <w:pPr>
        <w:pStyle w:val="BodyText"/>
        <w:spacing w:before="12"/>
        <w:rPr>
          <w:sz w:val="29"/>
        </w:rPr>
      </w:pPr>
    </w:p>
    <w:p>
      <w:pPr>
        <w:pStyle w:val="Heading1"/>
        <w:numPr>
          <w:ilvl w:val="0"/>
          <w:numId w:val="4"/>
        </w:numPr>
        <w:tabs>
          <w:tab w:pos="667" w:val="left" w:leader="none"/>
          <w:tab w:pos="668" w:val="left" w:leader="none"/>
        </w:tabs>
        <w:spacing w:line="240" w:lineRule="auto" w:before="0" w:after="0"/>
        <w:ind w:left="668" w:right="0" w:hanging="567"/>
        <w:jc w:val="left"/>
      </w:pPr>
      <w:r>
        <w:rPr>
          <w:w w:val="95"/>
        </w:rPr>
        <w:t>合同生效</w:t>
      </w:r>
    </w:p>
    <w:p>
      <w:pPr>
        <w:pStyle w:val="BodyText"/>
        <w:spacing w:before="2"/>
        <w:rPr>
          <w:rFonts w:ascii="Microsoft JhengHei"/>
          <w:b/>
          <w:sz w:val="25"/>
        </w:rPr>
      </w:pPr>
    </w:p>
    <w:p>
      <w:pPr>
        <w:pStyle w:val="BodyText"/>
        <w:spacing w:line="273" w:lineRule="auto"/>
        <w:ind w:left="101" w:right="242"/>
      </w:pPr>
      <w:r>
        <w:rPr/>
        <w:t>本附加险合同自本公司同意承保、签发保险单并收取首期保险费后开始生效，具体生效日以</w:t>
      </w:r>
      <w:r>
        <w:rPr>
          <w:w w:val="95"/>
        </w:rPr>
        <w:t>保险单所载日期为准。</w:t>
      </w:r>
    </w:p>
    <w:p>
      <w:pPr>
        <w:pStyle w:val="BodyText"/>
        <w:spacing w:before="5"/>
        <w:rPr>
          <w:sz w:val="24"/>
        </w:rPr>
      </w:pPr>
    </w:p>
    <w:p>
      <w:pPr>
        <w:pStyle w:val="BodyText"/>
        <w:spacing w:line="273" w:lineRule="auto"/>
        <w:ind w:left="101" w:right="194"/>
      </w:pPr>
      <w:r>
        <w:rPr/>
        <w:t>保险单周年日、保险单年度、保险费约定支付日和保险单满期日均与本附加险合同的生效日</w:t>
      </w:r>
      <w:r>
        <w:rPr>
          <w:w w:val="95"/>
        </w:rPr>
        <w:t>相对应。如果当月无对应的同一日，则以该月最后一日作为对应日。</w:t>
      </w:r>
    </w:p>
    <w:p>
      <w:pPr>
        <w:pStyle w:val="BodyText"/>
        <w:spacing w:before="11"/>
        <w:rPr>
          <w:sz w:val="27"/>
        </w:rPr>
      </w:pPr>
    </w:p>
    <w:p>
      <w:pPr>
        <w:pStyle w:val="Heading1"/>
        <w:numPr>
          <w:ilvl w:val="0"/>
          <w:numId w:val="4"/>
        </w:numPr>
        <w:tabs>
          <w:tab w:pos="667" w:val="left" w:leader="none"/>
          <w:tab w:pos="668" w:val="left" w:leader="none"/>
        </w:tabs>
        <w:spacing w:line="240" w:lineRule="auto" w:before="1" w:after="0"/>
        <w:ind w:left="668" w:right="0" w:hanging="567"/>
        <w:jc w:val="left"/>
      </w:pPr>
      <w:r>
        <w:rPr>
          <w:w w:val="95"/>
        </w:rPr>
        <w:t>保险责任</w:t>
      </w:r>
    </w:p>
    <w:p>
      <w:pPr>
        <w:pStyle w:val="BodyText"/>
        <w:spacing w:before="14"/>
        <w:rPr>
          <w:rFonts w:ascii="Microsoft JhengHei"/>
          <w:b/>
          <w:sz w:val="27"/>
        </w:rPr>
      </w:pPr>
    </w:p>
    <w:p>
      <w:pPr>
        <w:pStyle w:val="Heading1"/>
        <w:numPr>
          <w:ilvl w:val="1"/>
          <w:numId w:val="4"/>
        </w:numPr>
        <w:tabs>
          <w:tab w:pos="670" w:val="left" w:leader="none"/>
          <w:tab w:pos="671" w:val="left" w:leader="none"/>
        </w:tabs>
        <w:spacing w:line="240" w:lineRule="auto" w:before="0" w:after="0"/>
        <w:ind w:left="670" w:right="0" w:hanging="569"/>
        <w:jc w:val="left"/>
      </w:pPr>
      <w:r>
        <w:rPr>
          <w:w w:val="95"/>
        </w:rPr>
        <w:t>保险责任的开始</w:t>
      </w:r>
    </w:p>
    <w:p>
      <w:pPr>
        <w:pStyle w:val="BodyText"/>
        <w:rPr>
          <w:rFonts w:ascii="Microsoft JhengHei"/>
          <w:b/>
          <w:sz w:val="25"/>
        </w:rPr>
      </w:pPr>
    </w:p>
    <w:p>
      <w:pPr>
        <w:pStyle w:val="BodyText"/>
        <w:ind w:left="101"/>
      </w:pPr>
      <w:r>
        <w:rPr>
          <w:w w:val="95"/>
        </w:rPr>
        <w:t>本公司承担的保险责任自本附加险合同约定的等待期后开始。</w:t>
      </w:r>
    </w:p>
    <w:p>
      <w:pPr>
        <w:pStyle w:val="BodyText"/>
        <w:spacing w:before="7"/>
      </w:pPr>
    </w:p>
    <w:p>
      <w:pPr>
        <w:pStyle w:val="BodyText"/>
        <w:spacing w:line="339" w:lineRule="exact"/>
        <w:ind w:left="101"/>
        <w:rPr>
          <w:rFonts w:ascii="Microsoft JhengHei" w:eastAsia="Microsoft JhengHei" w:hint="eastAsia"/>
          <w:b/>
        </w:rPr>
      </w:pPr>
      <w:r>
        <w:rPr/>
        <w:t>等待期：从本附加险合同生效日起 90 天内或最后一次复效之日起 90 天内，被保险人经</w:t>
      </w:r>
      <w:r>
        <w:rPr>
          <w:rFonts w:ascii="Microsoft JhengHei" w:eastAsia="Microsoft JhengHei" w:hint="eastAsia"/>
          <w:b/>
        </w:rPr>
        <w:t>医院</w:t>
      </w:r>
    </w:p>
    <w:p>
      <w:pPr>
        <w:pStyle w:val="BodyText"/>
        <w:spacing w:line="312" w:lineRule="exact" w:before="35"/>
        <w:ind w:left="101" w:right="134"/>
      </w:pPr>
      <w:r>
        <w:rPr/>
        <w:t>（</w:t>
      </w:r>
      <w:r>
        <w:rPr>
          <w:spacing w:val="-15"/>
        </w:rPr>
        <w:t>见释义 </w:t>
      </w:r>
      <w:r>
        <w:rPr/>
        <w:t>11.2）</w:t>
      </w:r>
      <w:r>
        <w:rPr>
          <w:spacing w:val="-1"/>
        </w:rPr>
        <w:t>诊断初次发生本附加险合同所界定的</w:t>
      </w:r>
      <w:r>
        <w:rPr>
          <w:rFonts w:ascii="Microsoft JhengHei" w:eastAsia="Microsoft JhengHei" w:hint="eastAsia"/>
          <w:b/>
          <w:spacing w:val="-30"/>
        </w:rPr>
        <w:t>重大疾病</w:t>
      </w:r>
      <w:r>
        <w:rPr/>
        <w:t>（</w:t>
      </w:r>
      <w:r>
        <w:rPr>
          <w:spacing w:val="-14"/>
        </w:rPr>
        <w:t>见释义 </w:t>
      </w:r>
      <w:r>
        <w:rPr/>
        <w:t>11.3）中的一项或多</w:t>
      </w:r>
      <w:r>
        <w:rPr>
          <w:spacing w:val="-3"/>
        </w:rPr>
        <w:t>项，本公司不承担保险责任，并无息退还保险费。这 </w:t>
      </w:r>
      <w:r>
        <w:rPr/>
        <w:t>90</w:t>
      </w:r>
      <w:r>
        <w:rPr>
          <w:spacing w:val="-9"/>
        </w:rPr>
        <w:t> 天为等待期。</w:t>
      </w:r>
    </w:p>
    <w:p>
      <w:pPr>
        <w:spacing w:after="0" w:line="312" w:lineRule="exact"/>
        <w:sectPr>
          <w:pgSz w:w="11910" w:h="16840"/>
          <w:pgMar w:header="0" w:footer="1197" w:top="1580" w:bottom="1380" w:left="1600" w:right="1560"/>
        </w:sectPr>
      </w:pPr>
    </w:p>
    <w:p>
      <w:pPr>
        <w:pStyle w:val="Heading1"/>
        <w:numPr>
          <w:ilvl w:val="1"/>
          <w:numId w:val="4"/>
        </w:numPr>
        <w:tabs>
          <w:tab w:pos="670" w:val="left" w:leader="none"/>
          <w:tab w:pos="671" w:val="left" w:leader="none"/>
        </w:tabs>
        <w:spacing w:line="315" w:lineRule="exact" w:before="0" w:after="0"/>
        <w:ind w:left="670" w:right="0" w:hanging="569"/>
        <w:jc w:val="left"/>
      </w:pPr>
      <w:bookmarkStart w:name="_bookmark1" w:id="2"/>
      <w:bookmarkEnd w:id="2"/>
      <w:r>
        <w:rPr>
          <w:b w:val="0"/>
        </w:rPr>
      </w:r>
      <w:bookmarkStart w:name="_bookmark1" w:id="3"/>
      <w:bookmarkEnd w:id="3"/>
      <w:r>
        <w:rPr>
          <w:w w:val="95"/>
        </w:rPr>
        <w:t>保险期间</w:t>
      </w:r>
    </w:p>
    <w:p>
      <w:pPr>
        <w:pStyle w:val="BodyText"/>
        <w:spacing w:before="2"/>
        <w:rPr>
          <w:rFonts w:ascii="Microsoft JhengHei"/>
          <w:b/>
          <w:sz w:val="25"/>
        </w:rPr>
      </w:pPr>
    </w:p>
    <w:p>
      <w:pPr>
        <w:pStyle w:val="BodyText"/>
        <w:spacing w:line="273" w:lineRule="auto" w:before="1"/>
        <w:ind w:left="101" w:right="146"/>
      </w:pPr>
      <w:r>
        <w:rPr/>
        <w:t>本附加险合同的保险期间由您在投保时与本公司约定，并在保险单上载明，自本附加险合同</w:t>
      </w:r>
      <w:r>
        <w:rPr>
          <w:w w:val="95"/>
        </w:rPr>
        <w:t>的生效日开始起算。</w:t>
      </w:r>
    </w:p>
    <w:p>
      <w:pPr>
        <w:pStyle w:val="BodyText"/>
        <w:spacing w:before="12"/>
        <w:rPr>
          <w:sz w:val="27"/>
        </w:rPr>
      </w:pPr>
    </w:p>
    <w:p>
      <w:pPr>
        <w:pStyle w:val="Heading1"/>
        <w:numPr>
          <w:ilvl w:val="1"/>
          <w:numId w:val="4"/>
        </w:numPr>
        <w:tabs>
          <w:tab w:pos="670" w:val="left" w:leader="none"/>
          <w:tab w:pos="671" w:val="left" w:leader="none"/>
        </w:tabs>
        <w:spacing w:line="240" w:lineRule="auto" w:before="0" w:after="0"/>
        <w:ind w:left="670" w:right="0" w:hanging="569"/>
        <w:jc w:val="left"/>
      </w:pPr>
      <w:r>
        <w:rPr>
          <w:w w:val="95"/>
        </w:rPr>
        <w:t>保险金额</w:t>
      </w:r>
    </w:p>
    <w:p>
      <w:pPr>
        <w:pStyle w:val="BodyText"/>
        <w:spacing w:before="2"/>
        <w:rPr>
          <w:rFonts w:ascii="Microsoft JhengHei"/>
          <w:b/>
          <w:sz w:val="25"/>
        </w:rPr>
      </w:pPr>
    </w:p>
    <w:p>
      <w:pPr>
        <w:pStyle w:val="BodyText"/>
        <w:spacing w:line="273" w:lineRule="auto"/>
        <w:ind w:left="101" w:right="194"/>
      </w:pPr>
      <w:r>
        <w:rPr/>
        <w:t>本附加险合同的基本保险金额是由您在投保时与本公司约定并在保险单或批注上载明的保险</w:t>
      </w:r>
      <w:r>
        <w:rPr>
          <w:w w:val="95"/>
        </w:rPr>
        <w:t>金额。如该保险金额有所变更，则以变更后的保险金额为基本保险金额。</w:t>
      </w:r>
    </w:p>
    <w:p>
      <w:pPr>
        <w:pStyle w:val="BodyText"/>
        <w:spacing w:before="9"/>
        <w:rPr>
          <w:sz w:val="27"/>
        </w:rPr>
      </w:pPr>
    </w:p>
    <w:p>
      <w:pPr>
        <w:pStyle w:val="Heading1"/>
        <w:numPr>
          <w:ilvl w:val="1"/>
          <w:numId w:val="4"/>
        </w:numPr>
        <w:tabs>
          <w:tab w:pos="670" w:val="left" w:leader="none"/>
          <w:tab w:pos="671" w:val="left" w:leader="none"/>
        </w:tabs>
        <w:spacing w:line="240" w:lineRule="auto" w:before="0" w:after="0"/>
        <w:ind w:left="670" w:right="0" w:hanging="569"/>
        <w:jc w:val="left"/>
      </w:pPr>
      <w:r>
        <w:rPr>
          <w:w w:val="95"/>
        </w:rPr>
        <w:t>本公司承担的保险责任</w:t>
      </w:r>
    </w:p>
    <w:p>
      <w:pPr>
        <w:pStyle w:val="BodyText"/>
        <w:spacing w:before="2"/>
        <w:rPr>
          <w:rFonts w:ascii="Microsoft JhengHei"/>
          <w:b/>
          <w:sz w:val="25"/>
        </w:rPr>
      </w:pPr>
    </w:p>
    <w:p>
      <w:pPr>
        <w:pStyle w:val="BodyText"/>
        <w:ind w:left="101"/>
      </w:pPr>
      <w:r>
        <w:rPr>
          <w:w w:val="95"/>
        </w:rPr>
        <w:t>在本附加险合同责任有效期内，本公司承担如下保险责任：</w:t>
      </w:r>
    </w:p>
    <w:p>
      <w:pPr>
        <w:pStyle w:val="BodyText"/>
        <w:spacing w:before="7"/>
      </w:pPr>
    </w:p>
    <w:p>
      <w:pPr>
        <w:pStyle w:val="ListParagraph"/>
        <w:numPr>
          <w:ilvl w:val="2"/>
          <w:numId w:val="4"/>
        </w:numPr>
        <w:tabs>
          <w:tab w:pos="632" w:val="left" w:leader="none"/>
        </w:tabs>
        <w:spacing w:line="240" w:lineRule="auto" w:before="0" w:after="0"/>
        <w:ind w:left="631" w:right="0" w:hanging="530"/>
        <w:jc w:val="left"/>
        <w:rPr>
          <w:rFonts w:ascii="Microsoft JhengHei" w:eastAsia="Microsoft JhengHei" w:hint="eastAsia"/>
          <w:b/>
          <w:sz w:val="21"/>
        </w:rPr>
      </w:pPr>
      <w:r>
        <w:rPr>
          <w:rFonts w:ascii="Microsoft JhengHei" w:eastAsia="Microsoft JhengHei" w:hint="eastAsia"/>
          <w:b/>
          <w:spacing w:val="2"/>
          <w:sz w:val="21"/>
        </w:rPr>
        <w:t>． 重大疾病保险金</w:t>
      </w:r>
    </w:p>
    <w:p>
      <w:pPr>
        <w:pStyle w:val="BodyText"/>
        <w:spacing w:before="2"/>
        <w:rPr>
          <w:rFonts w:ascii="Microsoft JhengHei"/>
          <w:b/>
          <w:sz w:val="19"/>
        </w:rPr>
      </w:pPr>
    </w:p>
    <w:p>
      <w:pPr>
        <w:pStyle w:val="BodyText"/>
        <w:spacing w:line="232" w:lineRule="auto"/>
        <w:ind w:left="101" w:right="136"/>
        <w:jc w:val="both"/>
      </w:pPr>
      <w:r>
        <w:rPr/>
        <w:t>在等待期后如果被保险人经医院确诊初次发生本附加险合同所界定的重大疾病中的一项或多</w:t>
      </w:r>
      <w:r>
        <w:rPr>
          <w:spacing w:val="-2"/>
        </w:rPr>
        <w:t>项，在</w:t>
      </w:r>
      <w:r>
        <w:rPr>
          <w:rFonts w:ascii="Microsoft JhengHei" w:eastAsia="Microsoft JhengHei" w:hint="eastAsia"/>
          <w:b/>
          <w:spacing w:val="-41"/>
        </w:rPr>
        <w:t>本条款约定确诊日</w:t>
      </w:r>
      <w:r>
        <w:rPr/>
        <w:t>（</w:t>
      </w:r>
      <w:r>
        <w:rPr>
          <w:spacing w:val="5"/>
        </w:rPr>
        <w:t>见释义  </w:t>
      </w:r>
      <w:r>
        <w:rPr/>
        <w:t>11.9）后本公司将按基本保险金额给付重大疾病保险金， </w:t>
      </w:r>
      <w:r>
        <w:rPr>
          <w:w w:val="95"/>
        </w:rPr>
        <w:t>同时本附加险合同终止。</w:t>
      </w:r>
    </w:p>
    <w:p>
      <w:pPr>
        <w:pStyle w:val="BodyText"/>
        <w:spacing w:before="6"/>
      </w:pPr>
    </w:p>
    <w:p>
      <w:pPr>
        <w:pStyle w:val="BodyText"/>
        <w:spacing w:before="1"/>
        <w:ind w:left="101"/>
      </w:pPr>
      <w:r>
        <w:rPr/>
        <w:t>被保险人因</w:t>
      </w:r>
      <w:r>
        <w:rPr>
          <w:rFonts w:ascii="Microsoft JhengHei" w:eastAsia="Microsoft JhengHei" w:hint="eastAsia"/>
          <w:b/>
        </w:rPr>
        <w:t>意外伤害</w:t>
      </w:r>
      <w:r>
        <w:rPr/>
        <w:t>（见释义 11.10）发生的重大疾病保险金给付责任无等待期。</w:t>
      </w:r>
    </w:p>
    <w:p>
      <w:pPr>
        <w:pStyle w:val="BodyText"/>
        <w:spacing w:before="9"/>
        <w:rPr>
          <w:sz w:val="19"/>
        </w:rPr>
      </w:pPr>
    </w:p>
    <w:p>
      <w:pPr>
        <w:pStyle w:val="ListParagraph"/>
        <w:numPr>
          <w:ilvl w:val="2"/>
          <w:numId w:val="4"/>
        </w:numPr>
        <w:tabs>
          <w:tab w:pos="632" w:val="left" w:leader="none"/>
        </w:tabs>
        <w:spacing w:line="240" w:lineRule="auto" w:before="1" w:after="0"/>
        <w:ind w:left="631" w:right="0" w:hanging="530"/>
        <w:jc w:val="left"/>
        <w:rPr>
          <w:rFonts w:ascii="Microsoft JhengHei" w:eastAsia="Microsoft JhengHei" w:hint="eastAsia"/>
          <w:b/>
          <w:sz w:val="21"/>
        </w:rPr>
      </w:pPr>
      <w:r>
        <w:rPr>
          <w:rFonts w:ascii="Microsoft JhengHei" w:eastAsia="Microsoft JhengHei" w:hint="eastAsia"/>
          <w:b/>
          <w:spacing w:val="5"/>
          <w:sz w:val="21"/>
        </w:rPr>
        <w:t>． 身故保险金</w:t>
      </w:r>
    </w:p>
    <w:p>
      <w:pPr>
        <w:pStyle w:val="BodyText"/>
        <w:spacing w:before="12"/>
        <w:rPr>
          <w:rFonts w:ascii="Microsoft JhengHei"/>
          <w:b/>
          <w:sz w:val="18"/>
        </w:rPr>
      </w:pPr>
    </w:p>
    <w:p>
      <w:pPr>
        <w:pStyle w:val="BodyText"/>
        <w:spacing w:line="273" w:lineRule="auto"/>
        <w:ind w:left="101" w:right="139"/>
      </w:pPr>
      <w:r>
        <w:rPr/>
        <w:t>如果被保险人于本附加险合同生效</w:t>
      </w:r>
      <w:r>
        <w:rPr>
          <w:sz w:val="20"/>
        </w:rPr>
        <w:t>或最后一次复效之</w:t>
      </w:r>
      <w:r>
        <w:rPr>
          <w:spacing w:val="-21"/>
        </w:rPr>
        <w:t>日起 </w:t>
      </w:r>
      <w:r>
        <w:rPr/>
        <w:t>1</w:t>
      </w:r>
      <w:r>
        <w:rPr>
          <w:spacing w:val="-10"/>
        </w:rPr>
        <w:t> 年内身故，本公司无息返还已交保</w:t>
      </w:r>
      <w:r>
        <w:rPr>
          <w:spacing w:val="-10"/>
          <w:w w:val="95"/>
        </w:rPr>
        <w:t>险费，同时本附加险合同终止。</w:t>
      </w:r>
    </w:p>
    <w:p>
      <w:pPr>
        <w:pStyle w:val="BodyText"/>
        <w:spacing w:before="8"/>
        <w:rPr>
          <w:sz w:val="24"/>
        </w:rPr>
      </w:pPr>
    </w:p>
    <w:p>
      <w:pPr>
        <w:pStyle w:val="BodyText"/>
        <w:spacing w:line="271" w:lineRule="auto"/>
        <w:ind w:left="101" w:right="139"/>
        <w:jc w:val="both"/>
      </w:pPr>
      <w:r>
        <w:rPr/>
        <w:t>如果被保险人于本附加险合同生效</w:t>
      </w:r>
      <w:r>
        <w:rPr>
          <w:sz w:val="20"/>
        </w:rPr>
        <w:t>或最后一次复效之</w:t>
      </w:r>
      <w:r>
        <w:rPr>
          <w:spacing w:val="-21"/>
        </w:rPr>
        <w:t>日起 </w:t>
      </w:r>
      <w:r>
        <w:rPr/>
        <w:t>1</w:t>
      </w:r>
      <w:r>
        <w:rPr>
          <w:spacing w:val="-10"/>
        </w:rPr>
        <w:t> 年后身故，本公司将按身故时保险</w:t>
      </w:r>
      <w:r>
        <w:rPr>
          <w:spacing w:val="-11"/>
        </w:rPr>
        <w:t>费应付期数乘以本附加险合同每期应交保险费的 </w:t>
      </w:r>
      <w:r>
        <w:rPr/>
        <w:t>115%给付身故保险金，同时本附加险合同终</w:t>
      </w:r>
      <w:r>
        <w:rPr>
          <w:w w:val="95"/>
        </w:rPr>
        <w:t>止。</w:t>
      </w:r>
    </w:p>
    <w:p>
      <w:pPr>
        <w:pStyle w:val="BodyText"/>
        <w:spacing w:before="8"/>
        <w:rPr>
          <w:sz w:val="23"/>
        </w:rPr>
      </w:pPr>
    </w:p>
    <w:p>
      <w:pPr>
        <w:spacing w:line="204" w:lineRule="auto" w:before="1"/>
        <w:ind w:left="101" w:right="103" w:firstLine="0"/>
        <w:jc w:val="left"/>
        <w:rPr>
          <w:rFonts w:ascii="Microsoft JhengHei" w:eastAsia="Microsoft JhengHei" w:hint="eastAsia"/>
          <w:b/>
          <w:sz w:val="21"/>
        </w:rPr>
      </w:pPr>
      <w:r>
        <w:rPr>
          <w:rFonts w:ascii="Microsoft JhengHei" w:eastAsia="Microsoft JhengHei" w:hint="eastAsia"/>
          <w:b/>
          <w:sz w:val="21"/>
        </w:rPr>
        <w:t>为未成年子女投保的人身保险，因被保险人身故给付的保险金总和不得超过国务院保险监督</w:t>
      </w:r>
      <w:r>
        <w:rPr>
          <w:rFonts w:ascii="Microsoft JhengHei" w:eastAsia="Microsoft JhengHei" w:hint="eastAsia"/>
          <w:b/>
          <w:w w:val="95"/>
          <w:sz w:val="21"/>
        </w:rPr>
        <w:t>管理机构规定的限额，身故给付的保险金额总和约定也不得超过前述限额。</w:t>
      </w:r>
    </w:p>
    <w:p>
      <w:pPr>
        <w:pStyle w:val="BodyText"/>
        <w:spacing w:before="14"/>
        <w:rPr>
          <w:rFonts w:ascii="Microsoft JhengHei"/>
          <w:b/>
          <w:sz w:val="14"/>
        </w:rPr>
      </w:pPr>
    </w:p>
    <w:p>
      <w:pPr>
        <w:pStyle w:val="ListParagraph"/>
        <w:numPr>
          <w:ilvl w:val="2"/>
          <w:numId w:val="4"/>
        </w:numPr>
        <w:tabs>
          <w:tab w:pos="632" w:val="left" w:leader="none"/>
        </w:tabs>
        <w:spacing w:line="240" w:lineRule="auto" w:before="1" w:after="0"/>
        <w:ind w:left="631" w:right="0" w:hanging="530"/>
        <w:jc w:val="left"/>
        <w:rPr>
          <w:rFonts w:ascii="Microsoft JhengHei" w:eastAsia="Microsoft JhengHei" w:hint="eastAsia"/>
          <w:b/>
          <w:sz w:val="21"/>
        </w:rPr>
      </w:pPr>
      <w:r>
        <w:rPr>
          <w:rFonts w:ascii="Microsoft JhengHei" w:eastAsia="Microsoft JhengHei" w:hint="eastAsia"/>
          <w:b/>
          <w:spacing w:val="0"/>
          <w:sz w:val="21"/>
        </w:rPr>
        <w:t>． 永久完全残疾保险金</w:t>
      </w:r>
    </w:p>
    <w:p>
      <w:pPr>
        <w:pStyle w:val="BodyText"/>
        <w:spacing w:before="17"/>
        <w:rPr>
          <w:rFonts w:ascii="Microsoft JhengHei"/>
          <w:b/>
          <w:sz w:val="14"/>
        </w:rPr>
      </w:pPr>
    </w:p>
    <w:p>
      <w:pPr>
        <w:spacing w:before="0"/>
        <w:ind w:left="101" w:right="0" w:firstLine="0"/>
        <w:jc w:val="left"/>
        <w:rPr>
          <w:sz w:val="21"/>
        </w:rPr>
      </w:pPr>
      <w:r>
        <w:rPr>
          <w:sz w:val="21"/>
        </w:rPr>
        <w:t>如果被保险人于本附加险合同生效</w:t>
      </w:r>
      <w:r>
        <w:rPr>
          <w:sz w:val="20"/>
        </w:rPr>
        <w:t>或最后一次复效之</w:t>
      </w:r>
      <w:r>
        <w:rPr>
          <w:sz w:val="21"/>
        </w:rPr>
        <w:t>日起 1 年内</w:t>
      </w:r>
      <w:r>
        <w:rPr>
          <w:rFonts w:ascii="Microsoft JhengHei" w:eastAsia="Microsoft JhengHei" w:hint="eastAsia"/>
          <w:b/>
          <w:sz w:val="21"/>
        </w:rPr>
        <w:t>永久完全残疾</w:t>
      </w:r>
      <w:r>
        <w:rPr>
          <w:sz w:val="21"/>
        </w:rPr>
        <w:t>(见释义</w:t>
      </w:r>
    </w:p>
    <w:p>
      <w:pPr>
        <w:pStyle w:val="BodyText"/>
        <w:spacing w:before="10"/>
        <w:ind w:left="101"/>
      </w:pPr>
      <w:r>
        <w:rPr>
          <w:w w:val="95"/>
        </w:rPr>
        <w:t>11.11)，本公司无息返还已交保险费，同时本附加险合同终止。</w:t>
      </w:r>
    </w:p>
    <w:p>
      <w:pPr>
        <w:pStyle w:val="BodyText"/>
        <w:spacing w:before="10"/>
        <w:rPr>
          <w:sz w:val="26"/>
        </w:rPr>
      </w:pPr>
    </w:p>
    <w:p>
      <w:pPr>
        <w:pStyle w:val="BodyText"/>
        <w:spacing w:line="271" w:lineRule="auto"/>
        <w:ind w:left="101" w:right="139"/>
      </w:pPr>
      <w:r>
        <w:rPr/>
        <w:t>如果被保险人于本附加险合同生效</w:t>
      </w:r>
      <w:r>
        <w:rPr>
          <w:sz w:val="20"/>
        </w:rPr>
        <w:t>或最后一次复效之</w:t>
      </w:r>
      <w:r>
        <w:rPr>
          <w:spacing w:val="-21"/>
        </w:rPr>
        <w:t>日起 </w:t>
      </w:r>
      <w:r>
        <w:rPr/>
        <w:t>1</w:t>
      </w:r>
      <w:r>
        <w:rPr>
          <w:spacing w:val="-10"/>
        </w:rPr>
        <w:t> 年后永久完全残疾，本公司将按永</w:t>
      </w:r>
      <w:r>
        <w:rPr>
          <w:spacing w:val="-11"/>
        </w:rPr>
        <w:t>久完全残疾时保险费应付期数乘以本附加险合同每期应交保险费的 </w:t>
      </w:r>
      <w:r>
        <w:rPr/>
        <w:t>115%给付永久完全残疾保</w:t>
      </w:r>
    </w:p>
    <w:p>
      <w:pPr>
        <w:spacing w:after="0" w:line="271" w:lineRule="auto"/>
        <w:sectPr>
          <w:pgSz w:w="11910" w:h="16840"/>
          <w:pgMar w:header="0" w:footer="1197" w:top="1480" w:bottom="1380" w:left="1600" w:right="1560"/>
        </w:sectPr>
      </w:pPr>
    </w:p>
    <w:p>
      <w:pPr>
        <w:pStyle w:val="BodyText"/>
        <w:spacing w:before="5"/>
        <w:ind w:left="121"/>
      </w:pPr>
      <w:bookmarkStart w:name="_bookmark2" w:id="4"/>
      <w:bookmarkEnd w:id="4"/>
      <w:r>
        <w:rPr/>
      </w:r>
      <w:r>
        <w:rPr>
          <w:w w:val="95"/>
        </w:rPr>
        <w:t>险金，同时本附加险合同终止。</w:t>
      </w:r>
    </w:p>
    <w:p>
      <w:pPr>
        <w:pStyle w:val="BodyText"/>
        <w:spacing w:before="12"/>
        <w:rPr>
          <w:sz w:val="29"/>
        </w:rPr>
      </w:pPr>
    </w:p>
    <w:p>
      <w:pPr>
        <w:pStyle w:val="Heading1"/>
        <w:tabs>
          <w:tab w:pos="690" w:val="left" w:leader="none"/>
        </w:tabs>
        <w:ind w:left="121" w:firstLine="0"/>
      </w:pPr>
      <w:r>
        <w:rPr>
          <w:spacing w:val="0"/>
          <w:w w:val="83"/>
        </w:rPr>
        <w:t>4</w:t>
      </w:r>
      <w:r>
        <w:rPr>
          <w:spacing w:val="0"/>
          <w:w w:val="195"/>
        </w:rPr>
        <w:t>.</w:t>
      </w:r>
      <w:r>
        <w:rPr>
          <w:w w:val="83"/>
        </w:rPr>
        <w:t>5</w:t>
      </w:r>
      <w:r>
        <w:rPr/>
        <w:tab/>
      </w:r>
      <w:r>
        <w:rPr>
          <w:w w:val="99"/>
        </w:rPr>
        <w:t>责任免除</w:t>
      </w:r>
    </w:p>
    <w:p>
      <w:pPr>
        <w:pStyle w:val="BodyText"/>
        <w:spacing w:before="2"/>
        <w:rPr>
          <w:rFonts w:ascii="Microsoft JhengHei"/>
          <w:b/>
          <w:sz w:val="25"/>
        </w:rPr>
      </w:pPr>
    </w:p>
    <w:p>
      <w:pPr>
        <w:pStyle w:val="BodyText"/>
        <w:spacing w:line="273" w:lineRule="auto"/>
        <w:ind w:left="121" w:right="214"/>
      </w:pPr>
      <w:r>
        <w:rPr/>
        <w:t>因下列情形之一，导致被保险人身故或永久完全残疾，或者发生本附加险合同所约定的重大</w:t>
      </w:r>
      <w:r>
        <w:rPr>
          <w:w w:val="95"/>
        </w:rPr>
        <w:t>疾病的，本公司不承担保险责任：</w:t>
      </w:r>
    </w:p>
    <w:p>
      <w:pPr>
        <w:pStyle w:val="BodyText"/>
        <w:spacing w:before="4"/>
        <w:rPr>
          <w:sz w:val="19"/>
        </w:rPr>
      </w:pPr>
    </w:p>
    <w:p>
      <w:pPr>
        <w:pStyle w:val="ListParagraph"/>
        <w:numPr>
          <w:ilvl w:val="0"/>
          <w:numId w:val="5"/>
        </w:numPr>
        <w:tabs>
          <w:tab w:pos="541" w:val="left" w:leader="none"/>
          <w:tab w:pos="542" w:val="left" w:leader="none"/>
        </w:tabs>
        <w:spacing w:line="240" w:lineRule="auto" w:before="0" w:after="0"/>
        <w:ind w:left="541" w:right="0" w:hanging="420"/>
        <w:jc w:val="left"/>
        <w:rPr>
          <w:rFonts w:ascii="Microsoft JhengHei" w:eastAsia="Microsoft JhengHei" w:hint="eastAsia"/>
          <w:b/>
          <w:sz w:val="21"/>
        </w:rPr>
      </w:pPr>
      <w:r>
        <w:rPr>
          <w:rFonts w:ascii="Microsoft JhengHei" w:eastAsia="Microsoft JhengHei" w:hint="eastAsia"/>
          <w:b/>
          <w:w w:val="95"/>
          <w:sz w:val="21"/>
        </w:rPr>
        <w:t>投保人对被保险人的故意杀害、故意伤害；</w:t>
      </w:r>
    </w:p>
    <w:p>
      <w:pPr>
        <w:pStyle w:val="BodyText"/>
        <w:spacing w:before="17"/>
        <w:rPr>
          <w:rFonts w:ascii="Microsoft JhengHei"/>
          <w:b/>
          <w:sz w:val="17"/>
        </w:rPr>
      </w:pPr>
    </w:p>
    <w:p>
      <w:pPr>
        <w:pStyle w:val="ListParagraph"/>
        <w:numPr>
          <w:ilvl w:val="0"/>
          <w:numId w:val="5"/>
        </w:numPr>
        <w:tabs>
          <w:tab w:pos="541" w:val="left" w:leader="none"/>
          <w:tab w:pos="542" w:val="left" w:leader="none"/>
        </w:tabs>
        <w:spacing w:line="204" w:lineRule="auto" w:before="0" w:after="0"/>
        <w:ind w:left="541" w:right="130" w:hanging="420"/>
        <w:jc w:val="left"/>
        <w:rPr>
          <w:rFonts w:ascii="Microsoft JhengHei" w:eastAsia="Microsoft JhengHei" w:hint="eastAsia"/>
          <w:b/>
          <w:sz w:val="21"/>
        </w:rPr>
      </w:pPr>
      <w:r>
        <w:rPr>
          <w:rFonts w:ascii="Microsoft JhengHei" w:eastAsia="Microsoft JhengHei" w:hint="eastAsia"/>
          <w:b/>
          <w:spacing w:val="2"/>
          <w:sz w:val="21"/>
        </w:rPr>
        <w:t>被保险人自本附加险合同成立或本附加险合同效力最后一次恢复之日起两年内（</w:t>
      </w:r>
      <w:r>
        <w:rPr>
          <w:rFonts w:ascii="Microsoft JhengHei" w:eastAsia="Microsoft JhengHei" w:hint="eastAsia"/>
          <w:b/>
          <w:spacing w:val="0"/>
          <w:sz w:val="21"/>
        </w:rPr>
        <w:t>以较迟</w:t>
      </w:r>
      <w:r>
        <w:rPr>
          <w:rFonts w:ascii="Microsoft JhengHei" w:eastAsia="Microsoft JhengHei" w:hint="eastAsia"/>
          <w:b/>
          <w:spacing w:val="0"/>
          <w:w w:val="95"/>
          <w:sz w:val="21"/>
        </w:rPr>
        <w:t>者为准）自杀，但被保险人自杀时为无民事行为能力人的除外；</w:t>
      </w:r>
    </w:p>
    <w:p>
      <w:pPr>
        <w:pStyle w:val="BodyText"/>
        <w:spacing w:before="14"/>
        <w:rPr>
          <w:rFonts w:ascii="Microsoft JhengHei"/>
          <w:b/>
          <w:sz w:val="14"/>
        </w:rPr>
      </w:pPr>
    </w:p>
    <w:p>
      <w:pPr>
        <w:pStyle w:val="ListParagraph"/>
        <w:numPr>
          <w:ilvl w:val="0"/>
          <w:numId w:val="5"/>
        </w:numPr>
        <w:tabs>
          <w:tab w:pos="541" w:val="left" w:leader="none"/>
          <w:tab w:pos="542" w:val="left" w:leader="none"/>
        </w:tabs>
        <w:spacing w:line="240" w:lineRule="auto" w:before="0" w:after="0"/>
        <w:ind w:left="541" w:right="0" w:hanging="420"/>
        <w:jc w:val="left"/>
        <w:rPr>
          <w:rFonts w:ascii="Microsoft JhengHei" w:eastAsia="Microsoft JhengHei" w:hint="eastAsia"/>
          <w:b/>
          <w:sz w:val="21"/>
        </w:rPr>
      </w:pPr>
      <w:r>
        <w:rPr>
          <w:rFonts w:ascii="Microsoft JhengHei" w:eastAsia="Microsoft JhengHei" w:hint="eastAsia"/>
          <w:b/>
          <w:w w:val="95"/>
          <w:sz w:val="21"/>
        </w:rPr>
        <w:t>被保险人故意自伤、故意犯罪或抗拒依法采取的刑事强制措施；</w:t>
      </w:r>
    </w:p>
    <w:p>
      <w:pPr>
        <w:pStyle w:val="BodyText"/>
        <w:spacing w:before="14"/>
        <w:rPr>
          <w:rFonts w:ascii="Microsoft JhengHei"/>
          <w:b/>
          <w:sz w:val="14"/>
        </w:rPr>
      </w:pPr>
    </w:p>
    <w:p>
      <w:pPr>
        <w:pStyle w:val="ListParagraph"/>
        <w:numPr>
          <w:ilvl w:val="0"/>
          <w:numId w:val="5"/>
        </w:numPr>
        <w:tabs>
          <w:tab w:pos="541" w:val="left" w:leader="none"/>
          <w:tab w:pos="542" w:val="left" w:leader="none"/>
        </w:tabs>
        <w:spacing w:line="240" w:lineRule="auto" w:before="0" w:after="0"/>
        <w:ind w:left="541" w:right="0" w:hanging="420"/>
        <w:jc w:val="left"/>
        <w:rPr>
          <w:rFonts w:ascii="Microsoft JhengHei" w:eastAsia="Microsoft JhengHei" w:hint="eastAsia"/>
          <w:b/>
          <w:sz w:val="21"/>
        </w:rPr>
      </w:pPr>
      <w:r>
        <w:rPr>
          <w:rFonts w:ascii="Microsoft JhengHei" w:eastAsia="Microsoft JhengHei" w:hint="eastAsia"/>
          <w:b/>
          <w:spacing w:val="-7"/>
          <w:sz w:val="21"/>
        </w:rPr>
        <w:t>被保险人主动吸食或注射毒品</w:t>
      </w:r>
      <w:r>
        <w:rPr>
          <w:spacing w:val="-12"/>
          <w:sz w:val="21"/>
        </w:rPr>
        <w:t>(见释义 </w:t>
      </w:r>
      <w:r>
        <w:rPr>
          <w:sz w:val="21"/>
        </w:rPr>
        <w:t>11.12)</w:t>
      </w:r>
      <w:r>
        <w:rPr>
          <w:rFonts w:ascii="Microsoft JhengHei" w:eastAsia="Microsoft JhengHei" w:hint="eastAsia"/>
          <w:b/>
          <w:sz w:val="21"/>
        </w:rPr>
        <w:t>；</w:t>
      </w:r>
    </w:p>
    <w:p>
      <w:pPr>
        <w:pStyle w:val="BodyText"/>
        <w:spacing w:before="17"/>
        <w:rPr>
          <w:rFonts w:ascii="Microsoft JhengHei"/>
          <w:b/>
          <w:sz w:val="17"/>
        </w:rPr>
      </w:pPr>
    </w:p>
    <w:p>
      <w:pPr>
        <w:pStyle w:val="ListParagraph"/>
        <w:numPr>
          <w:ilvl w:val="0"/>
          <w:numId w:val="5"/>
        </w:numPr>
        <w:tabs>
          <w:tab w:pos="541" w:val="left" w:leader="none"/>
          <w:tab w:pos="542" w:val="left" w:leader="none"/>
        </w:tabs>
        <w:spacing w:line="204" w:lineRule="auto" w:before="0" w:after="0"/>
        <w:ind w:left="535" w:right="101" w:hanging="414"/>
        <w:jc w:val="left"/>
        <w:rPr>
          <w:rFonts w:ascii="Microsoft JhengHei" w:eastAsia="Microsoft JhengHei" w:hint="eastAsia"/>
          <w:b/>
          <w:sz w:val="21"/>
        </w:rPr>
      </w:pPr>
      <w:r>
        <w:rPr>
          <w:rFonts w:ascii="Microsoft JhengHei" w:eastAsia="Microsoft JhengHei" w:hint="eastAsia"/>
          <w:b/>
          <w:spacing w:val="-22"/>
          <w:sz w:val="21"/>
        </w:rPr>
        <w:t>被保险人酒后驾驶</w:t>
      </w:r>
      <w:r>
        <w:rPr>
          <w:spacing w:val="-11"/>
          <w:sz w:val="21"/>
        </w:rPr>
        <w:t>(见释义 </w:t>
      </w:r>
      <w:r>
        <w:rPr>
          <w:sz w:val="21"/>
        </w:rPr>
        <w:t>11.13)</w:t>
      </w:r>
      <w:r>
        <w:rPr>
          <w:rFonts w:ascii="Microsoft JhengHei" w:eastAsia="Microsoft JhengHei" w:hint="eastAsia"/>
          <w:b/>
          <w:spacing w:val="-42"/>
          <w:sz w:val="21"/>
        </w:rPr>
        <w:t>、无合法有效驾驶证驾驶</w:t>
      </w:r>
      <w:r>
        <w:rPr>
          <w:spacing w:val="-11"/>
          <w:sz w:val="21"/>
        </w:rPr>
        <w:t>(见释义 </w:t>
      </w:r>
      <w:r>
        <w:rPr>
          <w:sz w:val="21"/>
        </w:rPr>
        <w:t>11.14)</w:t>
      </w:r>
      <w:r>
        <w:rPr>
          <w:rFonts w:ascii="Microsoft JhengHei" w:eastAsia="Microsoft JhengHei" w:hint="eastAsia"/>
          <w:b/>
          <w:spacing w:val="-8"/>
          <w:sz w:val="21"/>
        </w:rPr>
        <w:t>，及驾驶无有       效</w:t>
      </w:r>
      <w:r>
        <w:rPr>
          <w:rFonts w:ascii="Microsoft JhengHei" w:eastAsia="Microsoft JhengHei" w:hint="eastAsia"/>
          <w:b/>
          <w:spacing w:val="-26"/>
          <w:sz w:val="21"/>
        </w:rPr>
        <w:t>行驶证</w:t>
      </w:r>
      <w:r>
        <w:rPr>
          <w:spacing w:val="-13"/>
          <w:sz w:val="21"/>
        </w:rPr>
        <w:t>(见释义 </w:t>
      </w:r>
      <w:r>
        <w:rPr>
          <w:sz w:val="21"/>
        </w:rPr>
        <w:t>11.15)</w:t>
      </w:r>
      <w:r>
        <w:rPr>
          <w:rFonts w:ascii="Microsoft JhengHei" w:eastAsia="Microsoft JhengHei" w:hint="eastAsia"/>
          <w:b/>
          <w:sz w:val="21"/>
        </w:rPr>
        <w:t>的机动车；</w:t>
      </w:r>
    </w:p>
    <w:p>
      <w:pPr>
        <w:pStyle w:val="BodyText"/>
        <w:spacing w:before="14"/>
        <w:rPr>
          <w:rFonts w:ascii="Microsoft JhengHei"/>
          <w:b/>
          <w:sz w:val="14"/>
        </w:rPr>
      </w:pPr>
    </w:p>
    <w:p>
      <w:pPr>
        <w:pStyle w:val="ListParagraph"/>
        <w:numPr>
          <w:ilvl w:val="0"/>
          <w:numId w:val="5"/>
        </w:numPr>
        <w:tabs>
          <w:tab w:pos="541" w:val="left" w:leader="none"/>
          <w:tab w:pos="542" w:val="left" w:leader="none"/>
        </w:tabs>
        <w:spacing w:line="240" w:lineRule="auto" w:before="0" w:after="0"/>
        <w:ind w:left="541" w:right="0" w:hanging="420"/>
        <w:jc w:val="left"/>
        <w:rPr>
          <w:rFonts w:ascii="Microsoft JhengHei" w:eastAsia="Microsoft JhengHei" w:hint="eastAsia"/>
          <w:b/>
          <w:sz w:val="21"/>
        </w:rPr>
      </w:pPr>
      <w:r>
        <w:rPr>
          <w:rFonts w:ascii="Microsoft JhengHei" w:eastAsia="Microsoft JhengHei" w:hint="eastAsia"/>
          <w:b/>
          <w:spacing w:val="-22"/>
          <w:sz w:val="21"/>
        </w:rPr>
        <w:t>被保险人感染艾滋病病毒或患艾滋病</w:t>
      </w:r>
      <w:r>
        <w:rPr>
          <w:spacing w:val="-15"/>
          <w:sz w:val="21"/>
        </w:rPr>
        <w:t>(见释义 </w:t>
      </w:r>
      <w:r>
        <w:rPr>
          <w:sz w:val="21"/>
        </w:rPr>
        <w:t>11.16)</w:t>
      </w:r>
      <w:r>
        <w:rPr>
          <w:rFonts w:ascii="Microsoft JhengHei" w:eastAsia="Microsoft JhengHei" w:hint="eastAsia"/>
          <w:b/>
          <w:sz w:val="21"/>
        </w:rPr>
        <w:t>；</w:t>
      </w:r>
    </w:p>
    <w:p>
      <w:pPr>
        <w:pStyle w:val="BodyText"/>
        <w:spacing w:before="14"/>
        <w:rPr>
          <w:rFonts w:ascii="Microsoft JhengHei"/>
          <w:b/>
          <w:sz w:val="14"/>
        </w:rPr>
      </w:pPr>
    </w:p>
    <w:p>
      <w:pPr>
        <w:pStyle w:val="ListParagraph"/>
        <w:numPr>
          <w:ilvl w:val="0"/>
          <w:numId w:val="5"/>
        </w:numPr>
        <w:tabs>
          <w:tab w:pos="541" w:val="left" w:leader="none"/>
          <w:tab w:pos="542" w:val="left" w:leader="none"/>
        </w:tabs>
        <w:spacing w:line="240" w:lineRule="auto" w:before="0" w:after="0"/>
        <w:ind w:left="541" w:right="0" w:hanging="420"/>
        <w:jc w:val="left"/>
        <w:rPr>
          <w:rFonts w:ascii="Microsoft JhengHei" w:eastAsia="Microsoft JhengHei" w:hint="eastAsia"/>
          <w:b/>
          <w:sz w:val="21"/>
        </w:rPr>
      </w:pPr>
      <w:r>
        <w:rPr>
          <w:rFonts w:ascii="Microsoft JhengHei" w:eastAsia="Microsoft JhengHei" w:hint="eastAsia"/>
          <w:b/>
          <w:w w:val="95"/>
          <w:sz w:val="21"/>
        </w:rPr>
        <w:t>战争、军事冲突、暴乱或武装叛乱；</w:t>
      </w:r>
    </w:p>
    <w:p>
      <w:pPr>
        <w:pStyle w:val="BodyText"/>
        <w:spacing w:before="14"/>
        <w:rPr>
          <w:rFonts w:ascii="Microsoft JhengHei"/>
          <w:b/>
          <w:sz w:val="14"/>
        </w:rPr>
      </w:pPr>
    </w:p>
    <w:p>
      <w:pPr>
        <w:pStyle w:val="ListParagraph"/>
        <w:numPr>
          <w:ilvl w:val="0"/>
          <w:numId w:val="5"/>
        </w:numPr>
        <w:tabs>
          <w:tab w:pos="541" w:val="left" w:leader="none"/>
          <w:tab w:pos="542" w:val="left" w:leader="none"/>
        </w:tabs>
        <w:spacing w:line="240" w:lineRule="auto" w:before="0" w:after="0"/>
        <w:ind w:left="541" w:right="0" w:hanging="420"/>
        <w:jc w:val="left"/>
        <w:rPr>
          <w:rFonts w:ascii="Microsoft JhengHei" w:eastAsia="Microsoft JhengHei" w:hint="eastAsia"/>
          <w:b/>
          <w:sz w:val="21"/>
        </w:rPr>
      </w:pPr>
      <w:r>
        <w:rPr>
          <w:rFonts w:ascii="Microsoft JhengHei" w:eastAsia="Microsoft JhengHei" w:hint="eastAsia"/>
          <w:b/>
          <w:w w:val="95"/>
          <w:sz w:val="21"/>
        </w:rPr>
        <w:t>核爆炸、核辐射或核污染；</w:t>
      </w:r>
    </w:p>
    <w:p>
      <w:pPr>
        <w:pStyle w:val="BodyText"/>
        <w:spacing w:before="14"/>
        <w:rPr>
          <w:rFonts w:ascii="Microsoft JhengHei"/>
          <w:b/>
          <w:sz w:val="14"/>
        </w:rPr>
      </w:pPr>
    </w:p>
    <w:p>
      <w:pPr>
        <w:pStyle w:val="ListParagraph"/>
        <w:numPr>
          <w:ilvl w:val="0"/>
          <w:numId w:val="5"/>
        </w:numPr>
        <w:tabs>
          <w:tab w:pos="535" w:val="left" w:leader="none"/>
          <w:tab w:pos="536" w:val="left" w:leader="none"/>
        </w:tabs>
        <w:spacing w:line="240" w:lineRule="auto" w:before="0" w:after="0"/>
        <w:ind w:left="535" w:right="0" w:hanging="414"/>
        <w:jc w:val="left"/>
        <w:rPr>
          <w:rFonts w:ascii="Microsoft JhengHei" w:eastAsia="Microsoft JhengHei" w:hint="eastAsia"/>
          <w:sz w:val="21"/>
        </w:rPr>
      </w:pPr>
      <w:r>
        <w:rPr>
          <w:rFonts w:ascii="Microsoft JhengHei" w:eastAsia="Microsoft JhengHei" w:hint="eastAsia"/>
          <w:b/>
          <w:spacing w:val="-24"/>
          <w:sz w:val="21"/>
        </w:rPr>
        <w:t>遗传性疾病</w:t>
      </w:r>
      <w:r>
        <w:rPr>
          <w:spacing w:val="-15"/>
          <w:sz w:val="21"/>
        </w:rPr>
        <w:t>(见释义 </w:t>
      </w:r>
      <w:r>
        <w:rPr>
          <w:sz w:val="21"/>
        </w:rPr>
        <w:t>11.17</w:t>
      </w:r>
      <w:r>
        <w:rPr>
          <w:spacing w:val="-2"/>
          <w:sz w:val="21"/>
        </w:rPr>
        <w:t>)、</w:t>
      </w:r>
      <w:r>
        <w:rPr>
          <w:rFonts w:ascii="Microsoft JhengHei" w:eastAsia="Microsoft JhengHei" w:hint="eastAsia"/>
          <w:b/>
          <w:spacing w:val="-26"/>
          <w:sz w:val="21"/>
        </w:rPr>
        <w:t>先天性畸形、变形或染色体异常</w:t>
      </w:r>
      <w:r>
        <w:rPr>
          <w:spacing w:val="-15"/>
          <w:sz w:val="21"/>
        </w:rPr>
        <w:t>(见释义 </w:t>
      </w:r>
      <w:r>
        <w:rPr>
          <w:sz w:val="21"/>
        </w:rPr>
        <w:t>11.18)；</w:t>
      </w:r>
    </w:p>
    <w:p>
      <w:pPr>
        <w:pStyle w:val="BodyText"/>
        <w:spacing w:before="12"/>
        <w:rPr>
          <w:sz w:val="23"/>
        </w:rPr>
      </w:pPr>
    </w:p>
    <w:p>
      <w:pPr>
        <w:pStyle w:val="ListParagraph"/>
        <w:numPr>
          <w:ilvl w:val="0"/>
          <w:numId w:val="5"/>
        </w:numPr>
        <w:tabs>
          <w:tab w:pos="542" w:val="left" w:leader="none"/>
        </w:tabs>
        <w:spacing w:line="204" w:lineRule="auto" w:before="0" w:after="0"/>
        <w:ind w:left="541" w:right="159" w:hanging="414"/>
        <w:jc w:val="left"/>
        <w:rPr>
          <w:rFonts w:ascii="Calibri" w:eastAsia="Calibri"/>
          <w:b/>
          <w:sz w:val="21"/>
        </w:rPr>
      </w:pPr>
      <w:r>
        <w:rPr>
          <w:rFonts w:ascii="Microsoft JhengHei" w:eastAsia="Microsoft JhengHei" w:hint="eastAsia"/>
          <w:b/>
          <w:w w:val="95"/>
          <w:sz w:val="21"/>
        </w:rPr>
        <w:t>被保险人参加空中运动（</w:t>
      </w:r>
      <w:r>
        <w:rPr>
          <w:rFonts w:ascii="Microsoft JhengHei" w:eastAsia="Microsoft JhengHei" w:hint="eastAsia"/>
          <w:b/>
          <w:spacing w:val="0"/>
          <w:w w:val="95"/>
          <w:sz w:val="21"/>
        </w:rPr>
        <w:t>包括乘坐或驾驶私人飞机</w:t>
      </w:r>
      <w:r>
        <w:rPr>
          <w:rFonts w:ascii="Microsoft JhengHei" w:eastAsia="Microsoft JhengHei" w:hint="eastAsia"/>
          <w:b/>
          <w:spacing w:val="-104"/>
          <w:w w:val="95"/>
          <w:sz w:val="21"/>
        </w:rPr>
        <w:t>）</w:t>
      </w:r>
      <w:r>
        <w:rPr>
          <w:rFonts w:ascii="Microsoft JhengHei" w:eastAsia="Microsoft JhengHei" w:hint="eastAsia"/>
          <w:b/>
          <w:w w:val="95"/>
          <w:sz w:val="21"/>
        </w:rPr>
        <w:t>、潜水、赛车、赛马、攀岩、滑雪、    探险或其它类似的危险活动；</w:t>
      </w:r>
    </w:p>
    <w:p>
      <w:pPr>
        <w:pStyle w:val="BodyText"/>
        <w:spacing w:before="14"/>
        <w:rPr>
          <w:rFonts w:ascii="Microsoft JhengHei"/>
          <w:b/>
          <w:sz w:val="14"/>
        </w:rPr>
      </w:pPr>
    </w:p>
    <w:p>
      <w:pPr>
        <w:pStyle w:val="ListParagraph"/>
        <w:numPr>
          <w:ilvl w:val="0"/>
          <w:numId w:val="5"/>
        </w:numPr>
        <w:tabs>
          <w:tab w:pos="542" w:val="left" w:leader="none"/>
        </w:tabs>
        <w:spacing w:line="240" w:lineRule="auto" w:before="0" w:after="0"/>
        <w:ind w:left="541" w:right="0" w:hanging="414"/>
        <w:jc w:val="left"/>
        <w:rPr>
          <w:rFonts w:ascii="Calibri" w:eastAsia="Calibri"/>
          <w:b/>
          <w:sz w:val="21"/>
        </w:rPr>
      </w:pPr>
      <w:r>
        <w:rPr>
          <w:rFonts w:ascii="Microsoft JhengHei" w:eastAsia="Microsoft JhengHei" w:hint="eastAsia"/>
          <w:b/>
          <w:spacing w:val="-8"/>
          <w:w w:val="99"/>
          <w:sz w:val="21"/>
        </w:rPr>
        <w:t>被保险人实际从事的职业为本公司拒保职业</w:t>
      </w:r>
      <w:r>
        <w:rPr>
          <w:spacing w:val="1"/>
          <w:w w:val="99"/>
          <w:sz w:val="21"/>
        </w:rPr>
        <w:t>（</w:t>
      </w:r>
      <w:r>
        <w:rPr>
          <w:w w:val="99"/>
          <w:sz w:val="21"/>
        </w:rPr>
        <w:t>见释义</w:t>
      </w:r>
      <w:r>
        <w:rPr>
          <w:spacing w:val="-53"/>
          <w:sz w:val="21"/>
        </w:rPr>
        <w:t> </w:t>
      </w:r>
      <w:r>
        <w:rPr>
          <w:spacing w:val="0"/>
          <w:w w:val="99"/>
          <w:sz w:val="21"/>
        </w:rPr>
        <w:t>11</w:t>
      </w:r>
      <w:r>
        <w:rPr>
          <w:spacing w:val="-2"/>
          <w:w w:val="99"/>
          <w:sz w:val="21"/>
        </w:rPr>
        <w:t>.</w:t>
      </w:r>
      <w:r>
        <w:rPr>
          <w:spacing w:val="0"/>
          <w:w w:val="99"/>
          <w:sz w:val="21"/>
        </w:rPr>
        <w:t>1</w:t>
      </w:r>
      <w:r>
        <w:rPr>
          <w:spacing w:val="-2"/>
          <w:w w:val="99"/>
          <w:sz w:val="21"/>
        </w:rPr>
        <w:t>9</w:t>
      </w:r>
      <w:r>
        <w:rPr>
          <w:spacing w:val="-104"/>
          <w:w w:val="99"/>
          <w:sz w:val="21"/>
        </w:rPr>
        <w:t>）</w:t>
      </w:r>
      <w:r>
        <w:rPr>
          <w:rFonts w:ascii="Microsoft JhengHei" w:eastAsia="Microsoft JhengHei" w:hint="eastAsia"/>
          <w:b/>
          <w:w w:val="99"/>
          <w:sz w:val="21"/>
        </w:rPr>
        <w:t>。</w:t>
      </w:r>
    </w:p>
    <w:p>
      <w:pPr>
        <w:pStyle w:val="BodyText"/>
        <w:spacing w:before="4"/>
        <w:rPr>
          <w:rFonts w:ascii="Microsoft JhengHei"/>
          <w:b/>
          <w:sz w:val="18"/>
        </w:rPr>
      </w:pPr>
    </w:p>
    <w:p>
      <w:pPr>
        <w:pStyle w:val="BodyText"/>
        <w:spacing w:line="312" w:lineRule="exact"/>
        <w:ind w:left="115" w:right="171" w:firstLine="6"/>
        <w:jc w:val="both"/>
      </w:pPr>
      <w:r>
        <w:rPr>
          <w:spacing w:val="-7"/>
        </w:rPr>
        <w:t>发生上述第 </w:t>
      </w:r>
      <w:r>
        <w:rPr/>
        <w:t>1</w:t>
      </w:r>
      <w:r>
        <w:rPr>
          <w:spacing w:val="-5"/>
        </w:rPr>
        <w:t> 项情形导致被保险人身故或永久完全残疾，或者发生本附加险合同所约定的重</w:t>
      </w:r>
      <w:r>
        <w:rPr/>
        <w:t>大疾病的，本附加险合同终止，本公司将向身故保险金受益人退还本附加险合同终止之日的</w:t>
      </w:r>
      <w:r>
        <w:rPr>
          <w:rFonts w:ascii="Microsoft JhengHei" w:eastAsia="Microsoft JhengHei" w:hint="eastAsia"/>
          <w:b/>
          <w:spacing w:val="-30"/>
        </w:rPr>
        <w:t>现金价值</w:t>
      </w:r>
      <w:r>
        <w:rPr/>
        <w:t>（</w:t>
      </w:r>
      <w:r>
        <w:rPr>
          <w:spacing w:val="-17"/>
        </w:rPr>
        <w:t>见释义 </w:t>
      </w:r>
      <w:r>
        <w:rPr/>
        <w:t>11.20）扣除欠交保险费及利息后的余额。</w:t>
      </w:r>
    </w:p>
    <w:p>
      <w:pPr>
        <w:pStyle w:val="BodyText"/>
        <w:spacing w:before="8"/>
        <w:rPr>
          <w:sz w:val="18"/>
        </w:rPr>
      </w:pPr>
    </w:p>
    <w:p>
      <w:pPr>
        <w:pStyle w:val="BodyText"/>
        <w:spacing w:line="273" w:lineRule="auto"/>
        <w:ind w:left="121" w:right="262"/>
        <w:jc w:val="both"/>
      </w:pPr>
      <w:r>
        <w:rPr/>
        <w:t>发生上述其他情形导致被保险人身故或永久完全残疾，或者发生本附加险合同所约定的重大疾病的，本附加险合同终止，本公司向您退还本附加险合同终止之日的现金价值扣除欠交保</w:t>
      </w:r>
      <w:r>
        <w:rPr>
          <w:w w:val="95"/>
        </w:rPr>
        <w:t>险费及利息后的余额。</w:t>
      </w:r>
    </w:p>
    <w:p>
      <w:pPr>
        <w:spacing w:after="0" w:line="273" w:lineRule="auto"/>
        <w:jc w:val="both"/>
        <w:sectPr>
          <w:pgSz w:w="11910" w:h="16840"/>
          <w:pgMar w:header="0" w:footer="1197" w:top="1380" w:bottom="1380" w:left="1580" w:right="1540"/>
        </w:sectPr>
      </w:pPr>
    </w:p>
    <w:p>
      <w:pPr>
        <w:pStyle w:val="Heading1"/>
        <w:numPr>
          <w:ilvl w:val="0"/>
          <w:numId w:val="6"/>
        </w:numPr>
        <w:tabs>
          <w:tab w:pos="667" w:val="left" w:leader="none"/>
          <w:tab w:pos="668" w:val="left" w:leader="none"/>
        </w:tabs>
        <w:spacing w:line="315" w:lineRule="exact" w:before="0" w:after="0"/>
        <w:ind w:left="668" w:right="0" w:hanging="567"/>
        <w:jc w:val="left"/>
      </w:pPr>
      <w:bookmarkStart w:name="_bookmark3" w:id="5"/>
      <w:bookmarkEnd w:id="5"/>
      <w:r>
        <w:rPr>
          <w:b w:val="0"/>
        </w:rPr>
      </w:r>
      <w:bookmarkStart w:name="_bookmark3" w:id="6"/>
      <w:bookmarkEnd w:id="6"/>
      <w:r>
        <w:rPr>
          <w:w w:val="95"/>
        </w:rPr>
        <w:t>保险费</w:t>
      </w:r>
    </w:p>
    <w:p>
      <w:pPr>
        <w:pStyle w:val="BodyText"/>
        <w:spacing w:before="14"/>
        <w:rPr>
          <w:rFonts w:ascii="Microsoft JhengHei"/>
          <w:b/>
          <w:sz w:val="27"/>
        </w:rPr>
      </w:pPr>
    </w:p>
    <w:p>
      <w:pPr>
        <w:pStyle w:val="Heading1"/>
        <w:numPr>
          <w:ilvl w:val="1"/>
          <w:numId w:val="6"/>
        </w:numPr>
        <w:tabs>
          <w:tab w:pos="667" w:val="left" w:leader="none"/>
          <w:tab w:pos="668" w:val="left" w:leader="none"/>
        </w:tabs>
        <w:spacing w:line="240" w:lineRule="auto" w:before="0" w:after="0"/>
        <w:ind w:left="668" w:right="0" w:hanging="567"/>
        <w:jc w:val="left"/>
      </w:pPr>
      <w:r>
        <w:rPr>
          <w:w w:val="95"/>
        </w:rPr>
        <w:t>保险费的交纳</w:t>
      </w:r>
    </w:p>
    <w:p>
      <w:pPr>
        <w:pStyle w:val="BodyText"/>
        <w:rPr>
          <w:rFonts w:ascii="Microsoft JhengHei"/>
          <w:b/>
          <w:sz w:val="25"/>
        </w:rPr>
      </w:pPr>
    </w:p>
    <w:p>
      <w:pPr>
        <w:pStyle w:val="BodyText"/>
        <w:spacing w:line="273" w:lineRule="auto"/>
        <w:ind w:left="101" w:right="202"/>
      </w:pPr>
      <w:r>
        <w:rPr/>
        <w:t>本附加险合同的交费方式和交费期间由您和本公司约定并在保险单上载明。您应当按照本附</w:t>
      </w:r>
      <w:r>
        <w:rPr>
          <w:w w:val="95"/>
        </w:rPr>
        <w:t>加险合同约定的方式和日期交纳保险费。</w:t>
      </w:r>
    </w:p>
    <w:p>
      <w:pPr>
        <w:pStyle w:val="BodyText"/>
        <w:spacing w:before="3"/>
        <w:rPr>
          <w:sz w:val="19"/>
        </w:rPr>
      </w:pPr>
    </w:p>
    <w:p>
      <w:pPr>
        <w:pStyle w:val="BodyText"/>
        <w:spacing w:line="259" w:lineRule="auto" w:before="1"/>
        <w:ind w:left="101" w:right="99"/>
      </w:pPr>
      <w:r>
        <w:rPr>
          <w:spacing w:val="-1"/>
        </w:rPr>
        <w:t>首期保险费的交纳方式为</w:t>
      </w:r>
      <w:r>
        <w:rPr>
          <w:rFonts w:ascii="Microsoft JhengHei" w:eastAsia="Microsoft JhengHei" w:hint="eastAsia"/>
          <w:b/>
          <w:spacing w:val="-31"/>
        </w:rPr>
        <w:t>银行转账交费</w:t>
      </w:r>
      <w:r>
        <w:rPr/>
        <w:t>（</w:t>
      </w:r>
      <w:r>
        <w:rPr>
          <w:spacing w:val="-15"/>
        </w:rPr>
        <w:t>见释义 </w:t>
      </w:r>
      <w:r>
        <w:rPr>
          <w:spacing w:val="-4"/>
        </w:rPr>
        <w:t>11.21）</w:t>
      </w:r>
      <w:r>
        <w:rPr>
          <w:spacing w:val="-3"/>
        </w:rPr>
        <w:t>或银行代收交费；除首期保险费以外的其余各期保险费的交纳方式为银行转账交费。请您确保账号准确以及交费期间内账户余额</w:t>
      </w:r>
      <w:r>
        <w:rPr>
          <w:spacing w:val="-3"/>
          <w:w w:val="95"/>
        </w:rPr>
        <w:t>充足。</w:t>
      </w:r>
    </w:p>
    <w:p>
      <w:pPr>
        <w:pStyle w:val="BodyText"/>
        <w:spacing w:before="12"/>
        <w:rPr>
          <w:sz w:val="28"/>
        </w:rPr>
      </w:pPr>
    </w:p>
    <w:p>
      <w:pPr>
        <w:pStyle w:val="Heading1"/>
        <w:numPr>
          <w:ilvl w:val="1"/>
          <w:numId w:val="6"/>
        </w:numPr>
        <w:tabs>
          <w:tab w:pos="667" w:val="left" w:leader="none"/>
          <w:tab w:pos="668" w:val="left" w:leader="none"/>
        </w:tabs>
        <w:spacing w:line="240" w:lineRule="auto" w:before="0" w:after="0"/>
        <w:ind w:left="668" w:right="0" w:hanging="567"/>
        <w:jc w:val="left"/>
      </w:pPr>
      <w:r>
        <w:rPr>
          <w:w w:val="95"/>
        </w:rPr>
        <w:t>保险费率调整</w:t>
      </w:r>
    </w:p>
    <w:p>
      <w:pPr>
        <w:pStyle w:val="BodyText"/>
        <w:spacing w:before="5"/>
        <w:rPr>
          <w:rFonts w:ascii="Microsoft JhengHei"/>
          <w:b/>
        </w:rPr>
      </w:pPr>
    </w:p>
    <w:p>
      <w:pPr>
        <w:spacing w:line="259" w:lineRule="auto" w:before="0"/>
        <w:ind w:left="101" w:right="180" w:firstLine="0"/>
        <w:jc w:val="both"/>
        <w:rPr>
          <w:sz w:val="21"/>
        </w:rPr>
      </w:pPr>
      <w:r>
        <w:rPr>
          <w:rFonts w:ascii="Microsoft JhengHei" w:eastAsia="Microsoft JhengHei" w:hint="eastAsia"/>
          <w:b/>
          <w:sz w:val="21"/>
        </w:rPr>
        <w:t>本公司保留于每个保单周年日审核调整本附加险保险费率的权利。</w:t>
      </w:r>
      <w:r>
        <w:rPr>
          <w:sz w:val="21"/>
        </w:rPr>
        <w:t>调整保险费率是对所有被保险人或同一投保年龄的所有被保险人适用的保险费率进行调整。本公司调整保险费率后， </w:t>
      </w:r>
      <w:r>
        <w:rPr>
          <w:w w:val="95"/>
          <w:sz w:val="21"/>
        </w:rPr>
        <w:t>您应交纳的到期应交保险费将按调整后的保险费率计算。</w:t>
      </w:r>
    </w:p>
    <w:p>
      <w:pPr>
        <w:pStyle w:val="BodyText"/>
        <w:spacing w:before="11"/>
        <w:rPr>
          <w:sz w:val="28"/>
        </w:rPr>
      </w:pPr>
    </w:p>
    <w:p>
      <w:pPr>
        <w:pStyle w:val="Heading1"/>
        <w:numPr>
          <w:ilvl w:val="0"/>
          <w:numId w:val="6"/>
        </w:numPr>
        <w:tabs>
          <w:tab w:pos="667" w:val="left" w:leader="none"/>
          <w:tab w:pos="668" w:val="left" w:leader="none"/>
        </w:tabs>
        <w:spacing w:line="240" w:lineRule="auto" w:before="0" w:after="0"/>
        <w:ind w:left="668" w:right="0" w:hanging="567"/>
        <w:jc w:val="left"/>
      </w:pPr>
      <w:r>
        <w:rPr>
          <w:w w:val="95"/>
        </w:rPr>
        <w:t>保险金的领取</w:t>
      </w:r>
    </w:p>
    <w:p>
      <w:pPr>
        <w:pStyle w:val="BodyText"/>
        <w:spacing w:before="11"/>
        <w:rPr>
          <w:rFonts w:ascii="Microsoft JhengHei"/>
          <w:b/>
          <w:sz w:val="27"/>
        </w:rPr>
      </w:pPr>
    </w:p>
    <w:p>
      <w:pPr>
        <w:pStyle w:val="Heading1"/>
        <w:numPr>
          <w:ilvl w:val="1"/>
          <w:numId w:val="6"/>
        </w:numPr>
        <w:tabs>
          <w:tab w:pos="667" w:val="left" w:leader="none"/>
          <w:tab w:pos="668" w:val="left" w:leader="none"/>
        </w:tabs>
        <w:spacing w:line="240" w:lineRule="auto" w:before="0" w:after="0"/>
        <w:ind w:left="668" w:right="0" w:hanging="567"/>
        <w:jc w:val="left"/>
      </w:pPr>
      <w:r>
        <w:rPr>
          <w:w w:val="95"/>
        </w:rPr>
        <w:t>受益人的指定和变更</w:t>
      </w:r>
    </w:p>
    <w:p>
      <w:pPr>
        <w:pStyle w:val="BodyText"/>
        <w:spacing w:before="5"/>
        <w:rPr>
          <w:rFonts w:ascii="Microsoft JhengHei"/>
          <w:b/>
        </w:rPr>
      </w:pPr>
    </w:p>
    <w:p>
      <w:pPr>
        <w:pStyle w:val="ListParagraph"/>
        <w:numPr>
          <w:ilvl w:val="2"/>
          <w:numId w:val="6"/>
        </w:numPr>
        <w:tabs>
          <w:tab w:pos="822" w:val="left" w:leader="none"/>
        </w:tabs>
        <w:spacing w:line="240" w:lineRule="auto" w:before="0" w:after="0"/>
        <w:ind w:left="821" w:right="0" w:hanging="720"/>
        <w:jc w:val="left"/>
        <w:rPr>
          <w:rFonts w:ascii="Microsoft JhengHei" w:eastAsia="Microsoft JhengHei" w:hint="eastAsia"/>
          <w:b/>
          <w:sz w:val="21"/>
        </w:rPr>
      </w:pPr>
      <w:r>
        <w:rPr>
          <w:rFonts w:ascii="Microsoft JhengHei" w:eastAsia="Microsoft JhengHei" w:hint="eastAsia"/>
          <w:b/>
          <w:w w:val="95"/>
          <w:sz w:val="21"/>
        </w:rPr>
        <w:t>重大疾病保险金受益人</w:t>
      </w:r>
    </w:p>
    <w:p>
      <w:pPr>
        <w:pStyle w:val="BodyText"/>
        <w:spacing w:before="11"/>
        <w:rPr>
          <w:rFonts w:ascii="Microsoft JhengHei"/>
          <w:b/>
          <w:sz w:val="18"/>
        </w:rPr>
      </w:pPr>
    </w:p>
    <w:p>
      <w:pPr>
        <w:pStyle w:val="BodyText"/>
        <w:ind w:left="101"/>
      </w:pPr>
      <w:r>
        <w:rPr>
          <w:w w:val="95"/>
        </w:rPr>
        <w:t>重大疾病保险金的受益人为被保险人本人，您或被保险人可依法指定或变更受益人。</w:t>
      </w:r>
    </w:p>
    <w:p>
      <w:pPr>
        <w:pStyle w:val="BodyText"/>
        <w:spacing w:before="6"/>
      </w:pPr>
    </w:p>
    <w:p>
      <w:pPr>
        <w:pStyle w:val="ListParagraph"/>
        <w:numPr>
          <w:ilvl w:val="2"/>
          <w:numId w:val="6"/>
        </w:numPr>
        <w:tabs>
          <w:tab w:pos="822" w:val="left" w:leader="none"/>
        </w:tabs>
        <w:spacing w:line="240" w:lineRule="auto" w:before="1" w:after="0"/>
        <w:ind w:left="821" w:right="0" w:hanging="720"/>
        <w:jc w:val="left"/>
        <w:rPr>
          <w:rFonts w:ascii="Microsoft JhengHei" w:eastAsia="Microsoft JhengHei" w:hint="eastAsia"/>
          <w:b/>
          <w:sz w:val="21"/>
        </w:rPr>
      </w:pPr>
      <w:r>
        <w:rPr>
          <w:rFonts w:ascii="Microsoft JhengHei" w:eastAsia="Microsoft JhengHei" w:hint="eastAsia"/>
          <w:b/>
          <w:w w:val="95"/>
          <w:sz w:val="21"/>
        </w:rPr>
        <w:t>身故保险金受益人</w:t>
      </w:r>
    </w:p>
    <w:p>
      <w:pPr>
        <w:pStyle w:val="BodyText"/>
        <w:spacing w:before="12"/>
        <w:rPr>
          <w:rFonts w:ascii="Microsoft JhengHei"/>
          <w:b/>
          <w:sz w:val="18"/>
        </w:rPr>
      </w:pPr>
    </w:p>
    <w:p>
      <w:pPr>
        <w:pStyle w:val="BodyText"/>
        <w:ind w:left="101"/>
      </w:pPr>
      <w:r>
        <w:rPr>
          <w:w w:val="95"/>
        </w:rPr>
        <w:t>您或者被保险人可指定一人或多人为身故保险金受益人。</w:t>
      </w:r>
    </w:p>
    <w:p>
      <w:pPr>
        <w:pStyle w:val="BodyText"/>
        <w:spacing w:before="8"/>
        <w:rPr>
          <w:sz w:val="26"/>
        </w:rPr>
      </w:pPr>
    </w:p>
    <w:p>
      <w:pPr>
        <w:pStyle w:val="BodyText"/>
        <w:spacing w:line="273" w:lineRule="auto" w:before="1"/>
        <w:ind w:left="101" w:right="202"/>
      </w:pPr>
      <w:r>
        <w:rPr/>
        <w:t>身故保险金受益人为多人时，可以确定受益顺序和受益份额，未确定受益顺序的，各受益人</w:t>
      </w:r>
      <w:r>
        <w:rPr>
          <w:w w:val="95"/>
        </w:rPr>
        <w:t>按同一受益顺序享有受益权；未确定份额的，各受益人按照相等份额享有受益权。</w:t>
      </w:r>
    </w:p>
    <w:p>
      <w:pPr>
        <w:pStyle w:val="BodyText"/>
        <w:spacing w:before="5"/>
        <w:rPr>
          <w:sz w:val="24"/>
        </w:rPr>
      </w:pPr>
    </w:p>
    <w:p>
      <w:pPr>
        <w:pStyle w:val="BodyText"/>
        <w:spacing w:before="1"/>
        <w:ind w:left="101"/>
      </w:pPr>
      <w:r>
        <w:rPr>
          <w:w w:val="95"/>
        </w:rPr>
        <w:t>被保险人为无民事行为能力人或限制民事行为能力人的，由其监护人指定受益人。</w:t>
      </w:r>
    </w:p>
    <w:p>
      <w:pPr>
        <w:pStyle w:val="BodyText"/>
        <w:spacing w:before="9"/>
        <w:rPr>
          <w:sz w:val="26"/>
        </w:rPr>
      </w:pPr>
    </w:p>
    <w:p>
      <w:pPr>
        <w:pStyle w:val="BodyText"/>
        <w:spacing w:line="273" w:lineRule="auto"/>
        <w:ind w:left="101" w:right="202"/>
        <w:jc w:val="both"/>
      </w:pPr>
      <w:r>
        <w:rPr/>
        <w:t>保险合同有效期内，您或者被保险人在被保险人身故前可以变更身故保险金受益人，但需书面通知本公司，在本公司收到变更受益人的书面通知并在保险单或其他保险凭证上批注或附</w:t>
      </w:r>
      <w:r>
        <w:rPr>
          <w:w w:val="95"/>
        </w:rPr>
        <w:t>贴批单后生效。</w:t>
      </w:r>
    </w:p>
    <w:p>
      <w:pPr>
        <w:pStyle w:val="BodyText"/>
        <w:spacing w:before="5"/>
        <w:rPr>
          <w:sz w:val="24"/>
        </w:rPr>
      </w:pPr>
    </w:p>
    <w:p>
      <w:pPr>
        <w:pStyle w:val="BodyText"/>
        <w:spacing w:line="273" w:lineRule="auto"/>
        <w:ind w:left="101" w:right="202"/>
      </w:pPr>
      <w:r>
        <w:rPr/>
        <w:t>您在指定和变更身故保险金受益人、受益顺序、受益份额时，须经被保险人或被保险人的监</w:t>
      </w:r>
      <w:r>
        <w:rPr>
          <w:w w:val="95"/>
        </w:rPr>
        <w:t>护人书面同意。</w:t>
      </w:r>
    </w:p>
    <w:p>
      <w:pPr>
        <w:spacing w:after="0" w:line="273" w:lineRule="auto"/>
        <w:sectPr>
          <w:pgSz w:w="11910" w:h="16840"/>
          <w:pgMar w:header="0" w:footer="1197" w:top="1480" w:bottom="1380" w:left="1600" w:right="1600"/>
        </w:sectPr>
      </w:pPr>
    </w:p>
    <w:p>
      <w:pPr>
        <w:spacing w:line="304" w:lineRule="exact" w:before="0"/>
        <w:ind w:left="101" w:right="0" w:firstLine="0"/>
        <w:jc w:val="left"/>
        <w:rPr>
          <w:rFonts w:ascii="Microsoft JhengHei" w:eastAsia="Microsoft JhengHei" w:hint="eastAsia"/>
          <w:b/>
          <w:sz w:val="21"/>
        </w:rPr>
      </w:pPr>
      <w:bookmarkStart w:name="_bookmark4" w:id="7"/>
      <w:bookmarkEnd w:id="7"/>
      <w:r>
        <w:rPr/>
      </w:r>
      <w:r>
        <w:rPr>
          <w:rFonts w:ascii="Microsoft JhengHei" w:eastAsia="Microsoft JhengHei" w:hint="eastAsia"/>
          <w:b/>
          <w:w w:val="95"/>
          <w:sz w:val="21"/>
        </w:rPr>
        <w:t>本公司对因变更受益人所引起的法律纠纷不负任何责任。</w:t>
      </w:r>
    </w:p>
    <w:p>
      <w:pPr>
        <w:pStyle w:val="BodyText"/>
        <w:spacing w:before="12"/>
        <w:rPr>
          <w:rFonts w:ascii="Microsoft JhengHei"/>
          <w:b/>
          <w:sz w:val="18"/>
        </w:rPr>
      </w:pPr>
    </w:p>
    <w:p>
      <w:pPr>
        <w:pStyle w:val="BodyText"/>
        <w:spacing w:line="273" w:lineRule="auto"/>
        <w:ind w:left="101" w:right="202"/>
      </w:pPr>
      <w:r>
        <w:rPr/>
        <w:t>被保险人身故后，有下列情形之一的，保险金作为被保险人的遗产，由本公司依照《中华人</w:t>
      </w:r>
      <w:r>
        <w:rPr>
          <w:w w:val="95"/>
        </w:rPr>
        <w:t>民共和国继承法》的规定履行给付保险金的义务：</w:t>
      </w:r>
    </w:p>
    <w:p>
      <w:pPr>
        <w:pStyle w:val="BodyText"/>
        <w:spacing w:before="5"/>
        <w:rPr>
          <w:sz w:val="24"/>
        </w:rPr>
      </w:pPr>
    </w:p>
    <w:p>
      <w:pPr>
        <w:pStyle w:val="ListParagraph"/>
        <w:numPr>
          <w:ilvl w:val="3"/>
          <w:numId w:val="6"/>
        </w:numPr>
        <w:tabs>
          <w:tab w:pos="941" w:val="left" w:leader="none"/>
          <w:tab w:pos="942" w:val="left" w:leader="none"/>
        </w:tabs>
        <w:spacing w:line="240" w:lineRule="auto" w:before="0" w:after="0"/>
        <w:ind w:left="941" w:right="0" w:hanging="420"/>
        <w:jc w:val="left"/>
        <w:rPr>
          <w:sz w:val="21"/>
        </w:rPr>
      </w:pPr>
      <w:r>
        <w:rPr>
          <w:w w:val="95"/>
          <w:sz w:val="21"/>
        </w:rPr>
        <w:t>没有指定受益人，或者受益人指定不明无法确定的；</w:t>
      </w:r>
    </w:p>
    <w:p>
      <w:pPr>
        <w:pStyle w:val="BodyText"/>
        <w:spacing w:before="8"/>
        <w:rPr>
          <w:sz w:val="26"/>
        </w:rPr>
      </w:pPr>
    </w:p>
    <w:p>
      <w:pPr>
        <w:pStyle w:val="ListParagraph"/>
        <w:numPr>
          <w:ilvl w:val="3"/>
          <w:numId w:val="6"/>
        </w:numPr>
        <w:tabs>
          <w:tab w:pos="941" w:val="left" w:leader="none"/>
          <w:tab w:pos="942" w:val="left" w:leader="none"/>
        </w:tabs>
        <w:spacing w:line="240" w:lineRule="auto" w:before="0" w:after="0"/>
        <w:ind w:left="941" w:right="0" w:hanging="420"/>
        <w:jc w:val="left"/>
        <w:rPr>
          <w:sz w:val="21"/>
        </w:rPr>
      </w:pPr>
      <w:r>
        <w:rPr>
          <w:w w:val="95"/>
          <w:sz w:val="21"/>
        </w:rPr>
        <w:t>受益人先于被保险人身故，没有其他受益人的；</w:t>
      </w:r>
    </w:p>
    <w:p>
      <w:pPr>
        <w:pStyle w:val="BodyText"/>
        <w:spacing w:before="8"/>
        <w:rPr>
          <w:sz w:val="26"/>
        </w:rPr>
      </w:pPr>
    </w:p>
    <w:p>
      <w:pPr>
        <w:pStyle w:val="ListParagraph"/>
        <w:numPr>
          <w:ilvl w:val="3"/>
          <w:numId w:val="6"/>
        </w:numPr>
        <w:tabs>
          <w:tab w:pos="941" w:val="left" w:leader="none"/>
          <w:tab w:pos="942" w:val="left" w:leader="none"/>
        </w:tabs>
        <w:spacing w:line="240" w:lineRule="auto" w:before="0" w:after="0"/>
        <w:ind w:left="941" w:right="0" w:hanging="420"/>
        <w:jc w:val="left"/>
        <w:rPr>
          <w:sz w:val="21"/>
        </w:rPr>
      </w:pPr>
      <w:r>
        <w:rPr>
          <w:w w:val="95"/>
          <w:sz w:val="21"/>
        </w:rPr>
        <w:t>受益人依法丧失受益权或者放弃受益权，没有其他受益人的。</w:t>
      </w:r>
    </w:p>
    <w:p>
      <w:pPr>
        <w:pStyle w:val="BodyText"/>
        <w:spacing w:before="8"/>
        <w:rPr>
          <w:sz w:val="26"/>
        </w:rPr>
      </w:pPr>
    </w:p>
    <w:p>
      <w:pPr>
        <w:pStyle w:val="BodyText"/>
        <w:ind w:left="101"/>
      </w:pPr>
      <w:r>
        <w:rPr>
          <w:w w:val="95"/>
        </w:rPr>
        <w:t>受益人与被保险人在同一事故中身故，且不能确定身故先后顺序的，推定受益人身故在先。</w:t>
      </w:r>
    </w:p>
    <w:p>
      <w:pPr>
        <w:pStyle w:val="BodyText"/>
        <w:spacing w:before="8"/>
        <w:rPr>
          <w:sz w:val="26"/>
        </w:rPr>
      </w:pPr>
    </w:p>
    <w:p>
      <w:pPr>
        <w:pStyle w:val="BodyText"/>
        <w:spacing w:line="273" w:lineRule="auto"/>
        <w:ind w:left="101" w:right="154"/>
      </w:pPr>
      <w:r>
        <w:rPr/>
        <w:t>受益人故意造成被保险人身故、伤残、疾病的，或者故意杀害被保险人未遂的，该受益人丧</w:t>
      </w:r>
      <w:r>
        <w:rPr>
          <w:w w:val="95"/>
        </w:rPr>
        <w:t>失受益权。</w:t>
      </w:r>
    </w:p>
    <w:p>
      <w:pPr>
        <w:pStyle w:val="BodyText"/>
        <w:spacing w:before="3"/>
        <w:rPr>
          <w:sz w:val="19"/>
        </w:rPr>
      </w:pPr>
    </w:p>
    <w:p>
      <w:pPr>
        <w:pStyle w:val="ListParagraph"/>
        <w:numPr>
          <w:ilvl w:val="2"/>
          <w:numId w:val="6"/>
        </w:numPr>
        <w:tabs>
          <w:tab w:pos="822" w:val="left" w:leader="none"/>
        </w:tabs>
        <w:spacing w:line="240" w:lineRule="auto" w:before="0" w:after="0"/>
        <w:ind w:left="821" w:right="0" w:hanging="720"/>
        <w:jc w:val="left"/>
        <w:rPr>
          <w:rFonts w:ascii="Microsoft JhengHei" w:eastAsia="Microsoft JhengHei" w:hint="eastAsia"/>
          <w:b/>
          <w:sz w:val="21"/>
        </w:rPr>
      </w:pPr>
      <w:r>
        <w:rPr>
          <w:rFonts w:ascii="Microsoft JhengHei" w:eastAsia="Microsoft JhengHei" w:hint="eastAsia"/>
          <w:b/>
          <w:w w:val="95"/>
          <w:sz w:val="21"/>
        </w:rPr>
        <w:t>永久完全残疾保险金受益人</w:t>
      </w:r>
    </w:p>
    <w:p>
      <w:pPr>
        <w:pStyle w:val="BodyText"/>
        <w:spacing w:before="11"/>
        <w:rPr>
          <w:rFonts w:ascii="Microsoft JhengHei"/>
          <w:b/>
          <w:sz w:val="18"/>
        </w:rPr>
      </w:pPr>
    </w:p>
    <w:p>
      <w:pPr>
        <w:pStyle w:val="BodyText"/>
        <w:spacing w:line="273" w:lineRule="auto"/>
        <w:ind w:left="101" w:right="202" w:firstLine="420"/>
      </w:pPr>
      <w:r>
        <w:rPr/>
        <w:t>本附加险合同的永久完全残疾保险金受益人为被保险人本人，您或者被保险人可以依法</w:t>
      </w:r>
      <w:r>
        <w:rPr>
          <w:w w:val="95"/>
        </w:rPr>
        <w:t>指定或变更受益人。</w:t>
      </w:r>
    </w:p>
    <w:p>
      <w:pPr>
        <w:pStyle w:val="BodyText"/>
        <w:spacing w:before="9"/>
        <w:rPr>
          <w:sz w:val="27"/>
        </w:rPr>
      </w:pPr>
    </w:p>
    <w:p>
      <w:pPr>
        <w:pStyle w:val="Heading1"/>
        <w:numPr>
          <w:ilvl w:val="1"/>
          <w:numId w:val="7"/>
        </w:numPr>
        <w:tabs>
          <w:tab w:pos="667" w:val="left" w:leader="none"/>
          <w:tab w:pos="668" w:val="left" w:leader="none"/>
        </w:tabs>
        <w:spacing w:line="240" w:lineRule="auto" w:before="0" w:after="0"/>
        <w:ind w:left="668" w:right="0" w:hanging="567"/>
        <w:jc w:val="left"/>
      </w:pPr>
      <w:r>
        <w:rPr>
          <w:w w:val="95"/>
        </w:rPr>
        <w:t>保险金的申请</w:t>
      </w:r>
    </w:p>
    <w:p>
      <w:pPr>
        <w:pStyle w:val="BodyText"/>
        <w:spacing w:before="5"/>
        <w:rPr>
          <w:rFonts w:ascii="Microsoft JhengHei"/>
          <w:b/>
        </w:rPr>
      </w:pPr>
    </w:p>
    <w:p>
      <w:pPr>
        <w:pStyle w:val="ListParagraph"/>
        <w:numPr>
          <w:ilvl w:val="2"/>
          <w:numId w:val="7"/>
        </w:numPr>
        <w:tabs>
          <w:tab w:pos="822" w:val="left" w:leader="none"/>
        </w:tabs>
        <w:spacing w:line="240" w:lineRule="auto" w:before="0" w:after="0"/>
        <w:ind w:left="821" w:right="0" w:hanging="720"/>
        <w:jc w:val="left"/>
        <w:rPr>
          <w:rFonts w:ascii="Microsoft JhengHei" w:eastAsia="Microsoft JhengHei" w:hint="eastAsia"/>
          <w:b/>
          <w:sz w:val="21"/>
        </w:rPr>
      </w:pPr>
      <w:r>
        <w:rPr>
          <w:rFonts w:ascii="Microsoft JhengHei" w:eastAsia="Microsoft JhengHei" w:hint="eastAsia"/>
          <w:b/>
          <w:w w:val="95"/>
          <w:sz w:val="21"/>
        </w:rPr>
        <w:t>重大疾病保险金的申请</w:t>
      </w:r>
    </w:p>
    <w:p>
      <w:pPr>
        <w:pStyle w:val="BodyText"/>
        <w:spacing w:before="11"/>
        <w:rPr>
          <w:rFonts w:ascii="Microsoft JhengHei"/>
          <w:b/>
          <w:sz w:val="18"/>
        </w:rPr>
      </w:pPr>
    </w:p>
    <w:p>
      <w:pPr>
        <w:pStyle w:val="BodyText"/>
        <w:spacing w:before="1"/>
        <w:ind w:left="101"/>
      </w:pPr>
      <w:r>
        <w:rPr>
          <w:w w:val="95"/>
        </w:rPr>
        <w:t>在申请重大疾病保险金时，申请人须填写理赔申请书，并提供下列证明和资料：</w:t>
      </w:r>
    </w:p>
    <w:p>
      <w:pPr>
        <w:pStyle w:val="BodyText"/>
        <w:spacing w:before="9"/>
        <w:rPr>
          <w:sz w:val="26"/>
        </w:rPr>
      </w:pPr>
    </w:p>
    <w:p>
      <w:pPr>
        <w:pStyle w:val="ListParagraph"/>
        <w:numPr>
          <w:ilvl w:val="3"/>
          <w:numId w:val="7"/>
        </w:numPr>
        <w:tabs>
          <w:tab w:pos="941" w:val="left" w:leader="none"/>
          <w:tab w:pos="942" w:val="left" w:leader="none"/>
        </w:tabs>
        <w:spacing w:line="240" w:lineRule="auto" w:before="0" w:after="0"/>
        <w:ind w:left="941" w:right="0" w:hanging="420"/>
        <w:jc w:val="left"/>
        <w:rPr>
          <w:sz w:val="21"/>
        </w:rPr>
      </w:pPr>
      <w:r>
        <w:rPr>
          <w:w w:val="95"/>
          <w:sz w:val="21"/>
        </w:rPr>
        <w:t>保险合同原件；</w:t>
      </w:r>
    </w:p>
    <w:p>
      <w:pPr>
        <w:pStyle w:val="BodyText"/>
        <w:spacing w:before="8"/>
        <w:rPr>
          <w:sz w:val="26"/>
        </w:rPr>
      </w:pPr>
    </w:p>
    <w:p>
      <w:pPr>
        <w:pStyle w:val="ListParagraph"/>
        <w:numPr>
          <w:ilvl w:val="3"/>
          <w:numId w:val="7"/>
        </w:numPr>
        <w:tabs>
          <w:tab w:pos="941" w:val="left" w:leader="none"/>
          <w:tab w:pos="942" w:val="left" w:leader="none"/>
        </w:tabs>
        <w:spacing w:line="240" w:lineRule="auto" w:before="1" w:after="0"/>
        <w:ind w:left="941" w:right="0" w:hanging="420"/>
        <w:jc w:val="left"/>
        <w:rPr>
          <w:sz w:val="21"/>
        </w:rPr>
      </w:pPr>
      <w:r>
        <w:rPr>
          <w:w w:val="95"/>
          <w:sz w:val="21"/>
        </w:rPr>
        <w:t>被保险人户籍证明或其他身份证明文件；</w:t>
      </w:r>
    </w:p>
    <w:p>
      <w:pPr>
        <w:pStyle w:val="BodyText"/>
        <w:spacing w:before="9"/>
        <w:rPr>
          <w:sz w:val="26"/>
        </w:rPr>
      </w:pPr>
    </w:p>
    <w:p>
      <w:pPr>
        <w:pStyle w:val="ListParagraph"/>
        <w:numPr>
          <w:ilvl w:val="3"/>
          <w:numId w:val="7"/>
        </w:numPr>
        <w:tabs>
          <w:tab w:pos="941" w:val="left" w:leader="none"/>
          <w:tab w:pos="942" w:val="left" w:leader="none"/>
        </w:tabs>
        <w:spacing w:line="240" w:lineRule="auto" w:before="0" w:after="0"/>
        <w:ind w:left="941" w:right="0" w:hanging="420"/>
        <w:jc w:val="left"/>
        <w:rPr>
          <w:sz w:val="21"/>
        </w:rPr>
      </w:pPr>
      <w:r>
        <w:rPr>
          <w:w w:val="99"/>
          <w:sz w:val="21"/>
        </w:rPr>
        <w:t>重疾诊断证明书（</w:t>
      </w:r>
      <w:r>
        <w:rPr>
          <w:spacing w:val="-1"/>
          <w:w w:val="99"/>
          <w:sz w:val="21"/>
        </w:rPr>
        <w:t>病理报告</w:t>
      </w:r>
      <w:r>
        <w:rPr>
          <w:spacing w:val="-104"/>
          <w:w w:val="99"/>
          <w:sz w:val="21"/>
        </w:rPr>
        <w:t>）</w:t>
      </w:r>
      <w:r>
        <w:rPr>
          <w:w w:val="99"/>
          <w:sz w:val="21"/>
        </w:rPr>
        <w:t>；</w:t>
      </w:r>
    </w:p>
    <w:p>
      <w:pPr>
        <w:pStyle w:val="BodyText"/>
        <w:spacing w:before="8"/>
        <w:rPr>
          <w:sz w:val="26"/>
        </w:rPr>
      </w:pPr>
    </w:p>
    <w:p>
      <w:pPr>
        <w:pStyle w:val="ListParagraph"/>
        <w:numPr>
          <w:ilvl w:val="3"/>
          <w:numId w:val="7"/>
        </w:numPr>
        <w:tabs>
          <w:tab w:pos="941" w:val="left" w:leader="none"/>
          <w:tab w:pos="942" w:val="left" w:leader="none"/>
        </w:tabs>
        <w:spacing w:line="240" w:lineRule="auto" w:before="1" w:after="0"/>
        <w:ind w:left="941" w:right="0" w:hanging="420"/>
        <w:jc w:val="left"/>
        <w:rPr>
          <w:sz w:val="21"/>
        </w:rPr>
      </w:pPr>
      <w:r>
        <w:rPr>
          <w:w w:val="95"/>
          <w:sz w:val="21"/>
        </w:rPr>
        <w:t>其他能够确认保险事故性质、原因的证明材料。</w:t>
      </w:r>
    </w:p>
    <w:p>
      <w:pPr>
        <w:pStyle w:val="BodyText"/>
        <w:spacing w:before="7"/>
      </w:pPr>
    </w:p>
    <w:p>
      <w:pPr>
        <w:pStyle w:val="ListParagraph"/>
        <w:numPr>
          <w:ilvl w:val="2"/>
          <w:numId w:val="7"/>
        </w:numPr>
        <w:tabs>
          <w:tab w:pos="822" w:val="left" w:leader="none"/>
        </w:tabs>
        <w:spacing w:line="240" w:lineRule="auto" w:before="0" w:after="0"/>
        <w:ind w:left="821" w:right="0" w:hanging="720"/>
        <w:jc w:val="left"/>
        <w:rPr>
          <w:rFonts w:ascii="Microsoft JhengHei" w:eastAsia="Microsoft JhengHei" w:hint="eastAsia"/>
          <w:b/>
          <w:sz w:val="21"/>
        </w:rPr>
      </w:pPr>
      <w:r>
        <w:rPr>
          <w:rFonts w:ascii="Microsoft JhengHei" w:eastAsia="Microsoft JhengHei" w:hint="eastAsia"/>
          <w:b/>
          <w:w w:val="95"/>
          <w:sz w:val="21"/>
        </w:rPr>
        <w:t>身故保险金的申请</w:t>
      </w:r>
    </w:p>
    <w:p>
      <w:pPr>
        <w:pStyle w:val="BodyText"/>
        <w:spacing w:before="11"/>
        <w:rPr>
          <w:rFonts w:ascii="Microsoft JhengHei"/>
          <w:b/>
          <w:sz w:val="18"/>
        </w:rPr>
      </w:pPr>
    </w:p>
    <w:p>
      <w:pPr>
        <w:pStyle w:val="BodyText"/>
        <w:ind w:left="101"/>
      </w:pPr>
      <w:r>
        <w:rPr>
          <w:w w:val="95"/>
        </w:rPr>
        <w:t>在申请身故保险金时，申请人须填写理赔申请书，并提供下列证明和资料：</w:t>
      </w:r>
    </w:p>
    <w:p>
      <w:pPr>
        <w:pStyle w:val="BodyText"/>
        <w:spacing w:before="8"/>
        <w:rPr>
          <w:sz w:val="26"/>
        </w:rPr>
      </w:pPr>
    </w:p>
    <w:p>
      <w:pPr>
        <w:pStyle w:val="ListParagraph"/>
        <w:numPr>
          <w:ilvl w:val="3"/>
          <w:numId w:val="7"/>
        </w:numPr>
        <w:tabs>
          <w:tab w:pos="941" w:val="left" w:leader="none"/>
          <w:tab w:pos="942" w:val="left" w:leader="none"/>
        </w:tabs>
        <w:spacing w:line="240" w:lineRule="auto" w:before="0" w:after="0"/>
        <w:ind w:left="941" w:right="0" w:hanging="420"/>
        <w:jc w:val="left"/>
        <w:rPr>
          <w:sz w:val="21"/>
        </w:rPr>
      </w:pPr>
      <w:r>
        <w:rPr>
          <w:w w:val="95"/>
          <w:sz w:val="21"/>
        </w:rPr>
        <w:t>保险合同原件；</w:t>
      </w:r>
    </w:p>
    <w:p>
      <w:pPr>
        <w:pStyle w:val="BodyText"/>
        <w:spacing w:before="8"/>
        <w:rPr>
          <w:sz w:val="26"/>
        </w:rPr>
      </w:pPr>
    </w:p>
    <w:p>
      <w:pPr>
        <w:pStyle w:val="ListParagraph"/>
        <w:numPr>
          <w:ilvl w:val="3"/>
          <w:numId w:val="7"/>
        </w:numPr>
        <w:tabs>
          <w:tab w:pos="941" w:val="left" w:leader="none"/>
          <w:tab w:pos="942" w:val="left" w:leader="none"/>
        </w:tabs>
        <w:spacing w:line="240" w:lineRule="auto" w:before="0" w:after="0"/>
        <w:ind w:left="941" w:right="0" w:hanging="420"/>
        <w:jc w:val="left"/>
        <w:rPr>
          <w:sz w:val="21"/>
        </w:rPr>
      </w:pPr>
      <w:r>
        <w:rPr>
          <w:w w:val="95"/>
          <w:sz w:val="21"/>
        </w:rPr>
        <w:t>受益人户籍证明或其他身份证明文件；</w:t>
      </w:r>
    </w:p>
    <w:p>
      <w:pPr>
        <w:spacing w:after="0" w:line="240" w:lineRule="auto"/>
        <w:jc w:val="left"/>
        <w:rPr>
          <w:sz w:val="21"/>
        </w:rPr>
        <w:sectPr>
          <w:pgSz w:w="11910" w:h="16840"/>
          <w:pgMar w:header="0" w:footer="1197" w:top="1380" w:bottom="1380" w:left="1600" w:right="1600"/>
        </w:sectPr>
      </w:pPr>
    </w:p>
    <w:p>
      <w:pPr>
        <w:pStyle w:val="ListParagraph"/>
        <w:numPr>
          <w:ilvl w:val="3"/>
          <w:numId w:val="7"/>
        </w:numPr>
        <w:tabs>
          <w:tab w:pos="941" w:val="left" w:leader="none"/>
          <w:tab w:pos="942" w:val="left" w:leader="none"/>
        </w:tabs>
        <w:spacing w:line="273" w:lineRule="auto" w:before="5" w:after="0"/>
        <w:ind w:left="941" w:right="322" w:hanging="420"/>
        <w:jc w:val="left"/>
        <w:rPr>
          <w:sz w:val="21"/>
        </w:rPr>
      </w:pPr>
      <w:bookmarkStart w:name="_bookmark5" w:id="8"/>
      <w:bookmarkEnd w:id="8"/>
      <w:r>
        <w:rPr/>
      </w:r>
      <w:bookmarkStart w:name="_bookmark5" w:id="9"/>
      <w:bookmarkEnd w:id="9"/>
      <w:r>
        <w:rPr>
          <w:sz w:val="21"/>
        </w:rPr>
        <w:t>公安部门或本公司认可的医疗机构出具的被保险人死亡证明书。如被保险人宣告死</w:t>
      </w:r>
      <w:r>
        <w:rPr>
          <w:w w:val="95"/>
          <w:sz w:val="21"/>
        </w:rPr>
        <w:t>亡，受益人须提供法院出具的宣告死亡判决书；</w:t>
      </w:r>
    </w:p>
    <w:p>
      <w:pPr>
        <w:pStyle w:val="BodyText"/>
        <w:spacing w:before="5"/>
        <w:rPr>
          <w:sz w:val="24"/>
        </w:rPr>
      </w:pPr>
    </w:p>
    <w:p>
      <w:pPr>
        <w:pStyle w:val="ListParagraph"/>
        <w:numPr>
          <w:ilvl w:val="3"/>
          <w:numId w:val="7"/>
        </w:numPr>
        <w:tabs>
          <w:tab w:pos="941" w:val="left" w:leader="none"/>
          <w:tab w:pos="942" w:val="left" w:leader="none"/>
        </w:tabs>
        <w:spacing w:line="240" w:lineRule="auto" w:before="0" w:after="0"/>
        <w:ind w:left="941" w:right="0" w:hanging="420"/>
        <w:jc w:val="left"/>
        <w:rPr>
          <w:sz w:val="21"/>
        </w:rPr>
      </w:pPr>
      <w:r>
        <w:rPr>
          <w:w w:val="95"/>
          <w:sz w:val="21"/>
        </w:rPr>
        <w:t>意外事故需提供意外事故证明；</w:t>
      </w:r>
    </w:p>
    <w:p>
      <w:pPr>
        <w:pStyle w:val="BodyText"/>
        <w:spacing w:before="8"/>
        <w:rPr>
          <w:sz w:val="26"/>
        </w:rPr>
      </w:pPr>
    </w:p>
    <w:p>
      <w:pPr>
        <w:pStyle w:val="ListParagraph"/>
        <w:numPr>
          <w:ilvl w:val="3"/>
          <w:numId w:val="7"/>
        </w:numPr>
        <w:tabs>
          <w:tab w:pos="941" w:val="left" w:leader="none"/>
          <w:tab w:pos="942" w:val="left" w:leader="none"/>
        </w:tabs>
        <w:spacing w:line="240" w:lineRule="auto" w:before="0" w:after="0"/>
        <w:ind w:left="941" w:right="0" w:hanging="420"/>
        <w:jc w:val="left"/>
        <w:rPr>
          <w:sz w:val="21"/>
        </w:rPr>
      </w:pPr>
      <w:r>
        <w:rPr>
          <w:w w:val="95"/>
          <w:sz w:val="21"/>
        </w:rPr>
        <w:t>被保险人户籍注销证明；</w:t>
      </w:r>
    </w:p>
    <w:p>
      <w:pPr>
        <w:pStyle w:val="BodyText"/>
        <w:spacing w:before="8"/>
        <w:rPr>
          <w:sz w:val="26"/>
        </w:rPr>
      </w:pPr>
    </w:p>
    <w:p>
      <w:pPr>
        <w:pStyle w:val="ListParagraph"/>
        <w:numPr>
          <w:ilvl w:val="3"/>
          <w:numId w:val="7"/>
        </w:numPr>
        <w:tabs>
          <w:tab w:pos="941" w:val="left" w:leader="none"/>
          <w:tab w:pos="942" w:val="left" w:leader="none"/>
        </w:tabs>
        <w:spacing w:line="240" w:lineRule="auto" w:before="0" w:after="0"/>
        <w:ind w:left="941" w:right="0" w:hanging="420"/>
        <w:jc w:val="left"/>
        <w:rPr>
          <w:sz w:val="21"/>
        </w:rPr>
      </w:pPr>
      <w:r>
        <w:rPr>
          <w:w w:val="95"/>
          <w:sz w:val="21"/>
        </w:rPr>
        <w:t>丧葬证明；</w:t>
      </w:r>
    </w:p>
    <w:p>
      <w:pPr>
        <w:pStyle w:val="BodyText"/>
        <w:spacing w:before="8"/>
        <w:rPr>
          <w:sz w:val="26"/>
        </w:rPr>
      </w:pPr>
    </w:p>
    <w:p>
      <w:pPr>
        <w:pStyle w:val="ListParagraph"/>
        <w:numPr>
          <w:ilvl w:val="3"/>
          <w:numId w:val="7"/>
        </w:numPr>
        <w:tabs>
          <w:tab w:pos="941" w:val="left" w:leader="none"/>
          <w:tab w:pos="942" w:val="left" w:leader="none"/>
        </w:tabs>
        <w:spacing w:line="240" w:lineRule="auto" w:before="0" w:after="0"/>
        <w:ind w:left="941" w:right="0" w:hanging="420"/>
        <w:jc w:val="left"/>
        <w:rPr>
          <w:sz w:val="21"/>
        </w:rPr>
      </w:pPr>
      <w:r>
        <w:rPr>
          <w:w w:val="95"/>
          <w:sz w:val="21"/>
        </w:rPr>
        <w:t>其他能够确认保险事故性质、原因等有关的证明材料；</w:t>
      </w:r>
    </w:p>
    <w:p>
      <w:pPr>
        <w:pStyle w:val="BodyText"/>
        <w:spacing w:before="8"/>
        <w:rPr>
          <w:sz w:val="26"/>
        </w:rPr>
      </w:pPr>
    </w:p>
    <w:p>
      <w:pPr>
        <w:pStyle w:val="ListParagraph"/>
        <w:numPr>
          <w:ilvl w:val="3"/>
          <w:numId w:val="7"/>
        </w:numPr>
        <w:tabs>
          <w:tab w:pos="941" w:val="left" w:leader="none"/>
          <w:tab w:pos="942" w:val="left" w:leader="none"/>
        </w:tabs>
        <w:spacing w:line="240" w:lineRule="auto" w:before="0" w:after="0"/>
        <w:ind w:left="941" w:right="0" w:hanging="420"/>
        <w:jc w:val="left"/>
        <w:rPr>
          <w:sz w:val="21"/>
        </w:rPr>
      </w:pPr>
      <w:r>
        <w:rPr>
          <w:w w:val="95"/>
          <w:sz w:val="21"/>
        </w:rPr>
        <w:t>保险金作为被保险人遗产时，必须提供可证明合法继承权的相关权利文件。</w:t>
      </w:r>
    </w:p>
    <w:p>
      <w:pPr>
        <w:pStyle w:val="BodyText"/>
        <w:spacing w:before="8"/>
        <w:rPr>
          <w:sz w:val="26"/>
        </w:rPr>
      </w:pPr>
    </w:p>
    <w:p>
      <w:pPr>
        <w:pStyle w:val="BodyText"/>
        <w:spacing w:line="273" w:lineRule="auto"/>
        <w:ind w:left="101" w:right="322"/>
      </w:pPr>
      <w:r>
        <w:rPr/>
        <w:t>被保险人因失踪而被宣告死亡的，以宣告死亡判决书确定的死亡日期为被保险人死亡日期； </w:t>
      </w:r>
      <w:r>
        <w:rPr>
          <w:w w:val="95"/>
        </w:rPr>
        <w:t>宣告死亡判决书中未明确确定死亡日期的，以判决宣告之日为被保险人死亡日期。</w:t>
      </w:r>
    </w:p>
    <w:p>
      <w:pPr>
        <w:pStyle w:val="BodyText"/>
        <w:spacing w:before="4"/>
        <w:rPr>
          <w:sz w:val="24"/>
        </w:rPr>
      </w:pPr>
    </w:p>
    <w:p>
      <w:pPr>
        <w:pStyle w:val="BodyText"/>
        <w:spacing w:line="273" w:lineRule="auto" w:before="1"/>
        <w:ind w:left="101" w:right="117"/>
      </w:pPr>
      <w:r>
        <w:rPr/>
        <w:t>如果被保险人在宣告死亡后重新出现或身故保险金受益人确知被保险人未死亡的，身故保险 </w:t>
      </w:r>
      <w:r>
        <w:rPr>
          <w:spacing w:val="-6"/>
        </w:rPr>
        <w:t>金受益人应于知道后 </w:t>
      </w:r>
      <w:r>
        <w:rPr/>
        <w:t>30</w:t>
      </w:r>
      <w:r>
        <w:rPr>
          <w:spacing w:val="-14"/>
        </w:rPr>
        <w:t> 日内向本公司退还已给付的身故保险金，本附加险合同效力依法确定。</w:t>
      </w:r>
    </w:p>
    <w:p>
      <w:pPr>
        <w:pStyle w:val="BodyText"/>
        <w:spacing w:before="4"/>
        <w:rPr>
          <w:sz w:val="19"/>
        </w:rPr>
      </w:pPr>
    </w:p>
    <w:p>
      <w:pPr>
        <w:pStyle w:val="ListParagraph"/>
        <w:numPr>
          <w:ilvl w:val="2"/>
          <w:numId w:val="7"/>
        </w:numPr>
        <w:tabs>
          <w:tab w:pos="822" w:val="left" w:leader="none"/>
        </w:tabs>
        <w:spacing w:line="240" w:lineRule="auto" w:before="0" w:after="0"/>
        <w:ind w:left="821" w:right="0" w:hanging="720"/>
        <w:jc w:val="both"/>
        <w:rPr>
          <w:rFonts w:ascii="Microsoft JhengHei" w:eastAsia="Microsoft JhengHei" w:hint="eastAsia"/>
          <w:b/>
          <w:sz w:val="21"/>
        </w:rPr>
      </w:pPr>
      <w:r>
        <w:rPr>
          <w:rFonts w:ascii="Microsoft JhengHei" w:eastAsia="Microsoft JhengHei" w:hint="eastAsia"/>
          <w:b/>
          <w:w w:val="95"/>
          <w:sz w:val="21"/>
        </w:rPr>
        <w:t>永久完全残疾保险金的申请</w:t>
      </w:r>
    </w:p>
    <w:p>
      <w:pPr>
        <w:pStyle w:val="BodyText"/>
        <w:spacing w:before="11"/>
        <w:rPr>
          <w:rFonts w:ascii="Microsoft JhengHei"/>
          <w:b/>
          <w:sz w:val="18"/>
        </w:rPr>
      </w:pPr>
    </w:p>
    <w:p>
      <w:pPr>
        <w:pStyle w:val="BodyText"/>
        <w:ind w:left="101"/>
        <w:jc w:val="both"/>
      </w:pPr>
      <w:r>
        <w:rPr>
          <w:w w:val="95"/>
        </w:rPr>
        <w:t>在申请永久完全残疾保险金时，申请人须填写理赔申请书，并提供下列证明和资料：</w:t>
      </w:r>
    </w:p>
    <w:p>
      <w:pPr>
        <w:pStyle w:val="BodyText"/>
        <w:spacing w:before="6"/>
      </w:pPr>
    </w:p>
    <w:p>
      <w:pPr>
        <w:pStyle w:val="ListParagraph"/>
        <w:numPr>
          <w:ilvl w:val="3"/>
          <w:numId w:val="7"/>
        </w:numPr>
        <w:tabs>
          <w:tab w:pos="941" w:val="left" w:leader="none"/>
          <w:tab w:pos="942" w:val="left" w:leader="none"/>
        </w:tabs>
        <w:spacing w:line="240" w:lineRule="auto" w:before="1" w:after="0"/>
        <w:ind w:left="941" w:right="0" w:hanging="420"/>
        <w:jc w:val="left"/>
        <w:rPr>
          <w:rFonts w:ascii="Microsoft JhengHei" w:eastAsia="Microsoft JhengHei" w:hint="eastAsia"/>
          <w:sz w:val="21"/>
        </w:rPr>
      </w:pPr>
      <w:r>
        <w:rPr>
          <w:w w:val="95"/>
          <w:sz w:val="21"/>
        </w:rPr>
        <w:t>保险合同原件；</w:t>
      </w:r>
    </w:p>
    <w:p>
      <w:pPr>
        <w:pStyle w:val="BodyText"/>
        <w:spacing w:before="9"/>
        <w:rPr>
          <w:sz w:val="19"/>
        </w:rPr>
      </w:pPr>
    </w:p>
    <w:p>
      <w:pPr>
        <w:pStyle w:val="ListParagraph"/>
        <w:numPr>
          <w:ilvl w:val="3"/>
          <w:numId w:val="7"/>
        </w:numPr>
        <w:tabs>
          <w:tab w:pos="941" w:val="left" w:leader="none"/>
          <w:tab w:pos="942" w:val="left" w:leader="none"/>
        </w:tabs>
        <w:spacing w:line="240" w:lineRule="auto" w:before="1" w:after="0"/>
        <w:ind w:left="941" w:right="0" w:hanging="420"/>
        <w:jc w:val="left"/>
        <w:rPr>
          <w:rFonts w:ascii="Microsoft JhengHei" w:eastAsia="Microsoft JhengHei" w:hint="eastAsia"/>
          <w:sz w:val="21"/>
        </w:rPr>
      </w:pPr>
      <w:r>
        <w:rPr>
          <w:w w:val="95"/>
          <w:sz w:val="21"/>
        </w:rPr>
        <w:t>被保险人户籍证明或其他身份证明文件；</w:t>
      </w:r>
    </w:p>
    <w:p>
      <w:pPr>
        <w:pStyle w:val="BodyText"/>
        <w:spacing w:before="9"/>
        <w:rPr>
          <w:sz w:val="19"/>
        </w:rPr>
      </w:pPr>
    </w:p>
    <w:p>
      <w:pPr>
        <w:pStyle w:val="ListParagraph"/>
        <w:numPr>
          <w:ilvl w:val="3"/>
          <w:numId w:val="7"/>
        </w:numPr>
        <w:tabs>
          <w:tab w:pos="941" w:val="left" w:leader="none"/>
          <w:tab w:pos="942" w:val="left" w:leader="none"/>
        </w:tabs>
        <w:spacing w:line="240" w:lineRule="auto" w:before="1" w:after="0"/>
        <w:ind w:left="941" w:right="0" w:hanging="420"/>
        <w:jc w:val="left"/>
        <w:rPr>
          <w:rFonts w:ascii="Microsoft JhengHei" w:eastAsia="Microsoft JhengHei" w:hint="eastAsia"/>
          <w:sz w:val="21"/>
        </w:rPr>
      </w:pPr>
      <w:r>
        <w:rPr>
          <w:w w:val="95"/>
          <w:sz w:val="21"/>
        </w:rPr>
        <w:t>法医鉴定书或医学鉴定诊断书；</w:t>
      </w:r>
    </w:p>
    <w:p>
      <w:pPr>
        <w:pStyle w:val="BodyText"/>
        <w:spacing w:before="9"/>
        <w:rPr>
          <w:sz w:val="19"/>
        </w:rPr>
      </w:pPr>
    </w:p>
    <w:p>
      <w:pPr>
        <w:pStyle w:val="ListParagraph"/>
        <w:numPr>
          <w:ilvl w:val="3"/>
          <w:numId w:val="7"/>
        </w:numPr>
        <w:tabs>
          <w:tab w:pos="941" w:val="left" w:leader="none"/>
          <w:tab w:pos="942" w:val="left" w:leader="none"/>
        </w:tabs>
        <w:spacing w:line="240" w:lineRule="auto" w:before="1" w:after="0"/>
        <w:ind w:left="941" w:right="0" w:hanging="420"/>
        <w:jc w:val="left"/>
        <w:rPr>
          <w:rFonts w:ascii="Microsoft JhengHei" w:eastAsia="Microsoft JhengHei" w:hint="eastAsia"/>
          <w:sz w:val="21"/>
        </w:rPr>
      </w:pPr>
      <w:r>
        <w:rPr>
          <w:w w:val="95"/>
          <w:sz w:val="21"/>
        </w:rPr>
        <w:t>意外事故需提供意外事故证明；</w:t>
      </w:r>
    </w:p>
    <w:p>
      <w:pPr>
        <w:pStyle w:val="BodyText"/>
        <w:spacing w:before="9"/>
        <w:rPr>
          <w:sz w:val="19"/>
        </w:rPr>
      </w:pPr>
    </w:p>
    <w:p>
      <w:pPr>
        <w:pStyle w:val="ListParagraph"/>
        <w:numPr>
          <w:ilvl w:val="3"/>
          <w:numId w:val="7"/>
        </w:numPr>
        <w:tabs>
          <w:tab w:pos="941" w:val="left" w:leader="none"/>
          <w:tab w:pos="942" w:val="left" w:leader="none"/>
        </w:tabs>
        <w:spacing w:line="240" w:lineRule="auto" w:before="1" w:after="0"/>
        <w:ind w:left="941" w:right="0" w:hanging="420"/>
        <w:jc w:val="left"/>
        <w:rPr>
          <w:rFonts w:ascii="Microsoft JhengHei" w:eastAsia="Microsoft JhengHei" w:hint="eastAsia"/>
          <w:sz w:val="21"/>
        </w:rPr>
      </w:pPr>
      <w:r>
        <w:rPr>
          <w:w w:val="95"/>
          <w:sz w:val="21"/>
        </w:rPr>
        <w:t>其他能够确认保险事故性质、原因的证明材料。</w:t>
      </w:r>
    </w:p>
    <w:p>
      <w:pPr>
        <w:pStyle w:val="BodyText"/>
        <w:spacing w:before="9"/>
        <w:rPr>
          <w:sz w:val="19"/>
        </w:rPr>
      </w:pPr>
    </w:p>
    <w:p>
      <w:pPr>
        <w:pStyle w:val="ListParagraph"/>
        <w:numPr>
          <w:ilvl w:val="2"/>
          <w:numId w:val="7"/>
        </w:numPr>
        <w:tabs>
          <w:tab w:pos="822" w:val="left" w:leader="none"/>
        </w:tabs>
        <w:spacing w:line="240" w:lineRule="auto" w:before="1" w:after="0"/>
        <w:ind w:left="821" w:right="0" w:hanging="720"/>
        <w:jc w:val="both"/>
        <w:rPr>
          <w:rFonts w:ascii="Microsoft JhengHei" w:eastAsia="Microsoft JhengHei" w:hint="eastAsia"/>
          <w:b/>
          <w:sz w:val="21"/>
        </w:rPr>
      </w:pPr>
      <w:r>
        <w:rPr>
          <w:rFonts w:ascii="Microsoft JhengHei" w:eastAsia="Microsoft JhengHei" w:hint="eastAsia"/>
          <w:b/>
          <w:w w:val="95"/>
          <w:sz w:val="21"/>
        </w:rPr>
        <w:t>证明和资料的补充</w:t>
      </w:r>
    </w:p>
    <w:p>
      <w:pPr>
        <w:pStyle w:val="BodyText"/>
        <w:spacing w:before="12"/>
        <w:rPr>
          <w:rFonts w:ascii="Microsoft JhengHei"/>
          <w:b/>
          <w:sz w:val="18"/>
        </w:rPr>
      </w:pPr>
    </w:p>
    <w:p>
      <w:pPr>
        <w:pStyle w:val="BodyText"/>
        <w:spacing w:line="273" w:lineRule="auto"/>
        <w:ind w:left="101" w:right="219"/>
      </w:pPr>
      <w:r>
        <w:rPr/>
        <w:t>6.2.1</w:t>
      </w:r>
      <w:r>
        <w:rPr>
          <w:spacing w:val="-17"/>
        </w:rPr>
        <w:t>、</w:t>
      </w:r>
      <w:r>
        <w:rPr/>
        <w:t>6.2.2</w:t>
      </w:r>
      <w:r>
        <w:rPr>
          <w:spacing w:val="-17"/>
        </w:rPr>
        <w:t>、</w:t>
      </w:r>
      <w:r>
        <w:rPr/>
        <w:t>6.2.3</w:t>
      </w:r>
      <w:r>
        <w:rPr>
          <w:spacing w:val="-10"/>
        </w:rPr>
        <w:t> 所列示的证明和资料不完整的，本公司将及时一次性通知申请人补充提</w:t>
      </w:r>
      <w:r>
        <w:rPr>
          <w:spacing w:val="-10"/>
          <w:w w:val="95"/>
        </w:rPr>
        <w:t>供有关证明和资料。</w:t>
      </w:r>
    </w:p>
    <w:p>
      <w:pPr>
        <w:pStyle w:val="BodyText"/>
        <w:spacing w:before="9"/>
        <w:rPr>
          <w:sz w:val="27"/>
        </w:rPr>
      </w:pPr>
    </w:p>
    <w:p>
      <w:pPr>
        <w:pStyle w:val="Heading1"/>
        <w:numPr>
          <w:ilvl w:val="1"/>
          <w:numId w:val="8"/>
        </w:numPr>
        <w:tabs>
          <w:tab w:pos="667" w:val="left" w:leader="none"/>
          <w:tab w:pos="668" w:val="left" w:leader="none"/>
        </w:tabs>
        <w:spacing w:line="240" w:lineRule="auto" w:before="1" w:after="0"/>
        <w:ind w:left="668" w:right="0" w:hanging="567"/>
        <w:jc w:val="left"/>
      </w:pPr>
      <w:r>
        <w:rPr>
          <w:w w:val="95"/>
        </w:rPr>
        <w:t>特别注意事项</w:t>
      </w:r>
    </w:p>
    <w:p>
      <w:pPr>
        <w:pStyle w:val="BodyText"/>
        <w:spacing w:before="2"/>
        <w:rPr>
          <w:rFonts w:ascii="Microsoft JhengHei"/>
          <w:b/>
          <w:sz w:val="25"/>
        </w:rPr>
      </w:pPr>
    </w:p>
    <w:p>
      <w:pPr>
        <w:pStyle w:val="BodyText"/>
        <w:spacing w:line="273" w:lineRule="auto" w:before="1"/>
        <w:ind w:left="101" w:right="274"/>
        <w:jc w:val="both"/>
      </w:pPr>
      <w:r>
        <w:rPr/>
        <w:t>受益人或者继承人为未成年人或者无民事行为能力人时，由其合法监护人代其申请领取保险金，其合法监护人还必须提供受益人或者继承人为未成年人或者无民事行为能力人的证明和</w:t>
      </w:r>
      <w:r>
        <w:rPr>
          <w:w w:val="95"/>
        </w:rPr>
        <w:t>监护人具有合法监护权的证明。</w:t>
      </w:r>
    </w:p>
    <w:p>
      <w:pPr>
        <w:spacing w:after="0" w:line="273" w:lineRule="auto"/>
        <w:jc w:val="both"/>
        <w:sectPr>
          <w:pgSz w:w="11910" w:h="16840"/>
          <w:pgMar w:header="0" w:footer="1197" w:top="1380" w:bottom="1380" w:left="1600" w:right="1480"/>
        </w:sectPr>
      </w:pPr>
    </w:p>
    <w:p>
      <w:pPr>
        <w:pStyle w:val="Heading1"/>
        <w:numPr>
          <w:ilvl w:val="1"/>
          <w:numId w:val="8"/>
        </w:numPr>
        <w:tabs>
          <w:tab w:pos="667" w:val="left" w:leader="none"/>
          <w:tab w:pos="668" w:val="left" w:leader="none"/>
        </w:tabs>
        <w:spacing w:line="315" w:lineRule="exact" w:before="0" w:after="0"/>
        <w:ind w:left="668" w:right="0" w:hanging="567"/>
        <w:jc w:val="left"/>
      </w:pPr>
      <w:bookmarkStart w:name="_bookmark6" w:id="10"/>
      <w:bookmarkEnd w:id="10"/>
      <w:r>
        <w:rPr>
          <w:b w:val="0"/>
        </w:rPr>
      </w:r>
      <w:bookmarkStart w:name="_bookmark6" w:id="11"/>
      <w:bookmarkEnd w:id="11"/>
      <w:r>
        <w:rPr>
          <w:w w:val="95"/>
        </w:rPr>
        <w:t>保险金的给付</w:t>
      </w:r>
    </w:p>
    <w:p>
      <w:pPr>
        <w:pStyle w:val="BodyText"/>
        <w:spacing w:before="2"/>
        <w:rPr>
          <w:rFonts w:ascii="Microsoft JhengHei"/>
          <w:b/>
          <w:sz w:val="25"/>
        </w:rPr>
      </w:pPr>
    </w:p>
    <w:p>
      <w:pPr>
        <w:pStyle w:val="BodyText"/>
        <w:spacing w:before="1"/>
        <w:ind w:left="101"/>
        <w:rPr>
          <w:rFonts w:ascii="Calibri" w:eastAsia="Calibri"/>
        </w:rPr>
      </w:pPr>
      <w:r>
        <w:rPr/>
        <w:t>本公司在收到理赔申请书及合同约定的证明和资料后，将及时作出核定；情形复杂的，在 </w:t>
      </w:r>
      <w:r>
        <w:rPr>
          <w:rFonts w:ascii="Calibri" w:eastAsia="Calibri"/>
        </w:rPr>
        <w:t>30</w:t>
      </w:r>
    </w:p>
    <w:p>
      <w:pPr>
        <w:pStyle w:val="BodyText"/>
        <w:spacing w:before="10"/>
        <w:ind w:left="101"/>
      </w:pPr>
      <w:r>
        <w:rPr>
          <w:w w:val="95"/>
        </w:rPr>
        <w:t>日内作出核定，另有约定的除外。</w:t>
      </w:r>
    </w:p>
    <w:p>
      <w:pPr>
        <w:pStyle w:val="BodyText"/>
        <w:spacing w:before="8"/>
        <w:rPr>
          <w:sz w:val="26"/>
        </w:rPr>
      </w:pPr>
    </w:p>
    <w:p>
      <w:pPr>
        <w:pStyle w:val="BodyText"/>
        <w:spacing w:line="273" w:lineRule="auto"/>
        <w:ind w:left="101" w:right="99"/>
      </w:pPr>
      <w:r>
        <w:rPr>
          <w:spacing w:val="-3"/>
        </w:rPr>
        <w:t>对属于保险责任的，本公司在与受益人达成给付保险金的协议后 </w:t>
      </w:r>
      <w:r>
        <w:rPr/>
        <w:t>10</w:t>
      </w:r>
      <w:r>
        <w:rPr>
          <w:spacing w:val="-8"/>
        </w:rPr>
        <w:t> 日内，履行给付保险金的</w:t>
      </w:r>
      <w:r>
        <w:rPr>
          <w:spacing w:val="-8"/>
          <w:w w:val="95"/>
        </w:rPr>
        <w:t>义务。</w:t>
      </w:r>
    </w:p>
    <w:p>
      <w:pPr>
        <w:pStyle w:val="BodyText"/>
        <w:spacing w:before="5"/>
        <w:rPr>
          <w:sz w:val="24"/>
        </w:rPr>
      </w:pPr>
    </w:p>
    <w:p>
      <w:pPr>
        <w:pStyle w:val="BodyText"/>
        <w:ind w:left="101"/>
      </w:pPr>
      <w:r>
        <w:rPr>
          <w:w w:val="95"/>
        </w:rPr>
        <w:t>本公司未及时履行前款规定义务的，除支付保险金外，应当赔偿受益人因此受到的损失。</w:t>
      </w:r>
    </w:p>
    <w:p>
      <w:pPr>
        <w:pStyle w:val="BodyText"/>
        <w:spacing w:before="8"/>
        <w:rPr>
          <w:sz w:val="26"/>
        </w:rPr>
      </w:pPr>
    </w:p>
    <w:p>
      <w:pPr>
        <w:pStyle w:val="BodyText"/>
        <w:spacing w:line="247" w:lineRule="auto" w:before="1"/>
        <w:ind w:left="101" w:right="120"/>
      </w:pPr>
      <w:r>
        <w:rPr/>
        <w:t>对不属于保险责任的，本公司自作出核定之日起 </w:t>
      </w:r>
      <w:r>
        <w:rPr>
          <w:rFonts w:ascii="Calibri" w:eastAsia="Calibri"/>
        </w:rPr>
        <w:t>3 </w:t>
      </w:r>
      <w:r>
        <w:rPr/>
        <w:t>日内向受益人发出拒绝给付保险金通知书</w:t>
      </w:r>
      <w:r>
        <w:rPr>
          <w:w w:val="95"/>
        </w:rPr>
        <w:t>并说明理由。</w:t>
      </w:r>
    </w:p>
    <w:p>
      <w:pPr>
        <w:pStyle w:val="BodyText"/>
        <w:spacing w:before="9"/>
        <w:rPr>
          <w:sz w:val="29"/>
        </w:rPr>
      </w:pPr>
    </w:p>
    <w:p>
      <w:pPr>
        <w:pStyle w:val="Heading1"/>
        <w:numPr>
          <w:ilvl w:val="1"/>
          <w:numId w:val="8"/>
        </w:numPr>
        <w:tabs>
          <w:tab w:pos="667" w:val="left" w:leader="none"/>
          <w:tab w:pos="668" w:val="left" w:leader="none"/>
        </w:tabs>
        <w:spacing w:line="240" w:lineRule="auto" w:before="0" w:after="0"/>
        <w:ind w:left="668" w:right="0" w:hanging="567"/>
        <w:jc w:val="left"/>
      </w:pPr>
      <w:r>
        <w:rPr>
          <w:w w:val="95"/>
        </w:rPr>
        <w:t>保险金诉讼时效</w:t>
      </w:r>
    </w:p>
    <w:p>
      <w:pPr>
        <w:pStyle w:val="BodyText"/>
        <w:spacing w:before="2"/>
        <w:rPr>
          <w:rFonts w:ascii="Microsoft JhengHei"/>
          <w:b/>
          <w:sz w:val="25"/>
        </w:rPr>
      </w:pPr>
    </w:p>
    <w:p>
      <w:pPr>
        <w:pStyle w:val="BodyText"/>
        <w:spacing w:line="273" w:lineRule="auto"/>
        <w:ind w:left="101" w:right="81"/>
      </w:pPr>
      <w:r>
        <w:rPr/>
        <w:t>受益人向本公司请求给付保险金的诉讼时效期间为 2 年，自其知道或者应当知道保险事故发</w:t>
      </w:r>
      <w:r>
        <w:rPr>
          <w:w w:val="95"/>
        </w:rPr>
        <w:t>生之日起计算。</w:t>
      </w:r>
    </w:p>
    <w:p>
      <w:pPr>
        <w:pStyle w:val="BodyText"/>
        <w:spacing w:before="9"/>
        <w:rPr>
          <w:sz w:val="27"/>
        </w:rPr>
      </w:pPr>
    </w:p>
    <w:p>
      <w:pPr>
        <w:pStyle w:val="Heading1"/>
        <w:numPr>
          <w:ilvl w:val="0"/>
          <w:numId w:val="6"/>
        </w:numPr>
        <w:tabs>
          <w:tab w:pos="667" w:val="left" w:leader="none"/>
          <w:tab w:pos="668" w:val="left" w:leader="none"/>
        </w:tabs>
        <w:spacing w:line="240" w:lineRule="auto" w:before="0" w:after="0"/>
        <w:ind w:left="668" w:right="0" w:hanging="567"/>
        <w:jc w:val="left"/>
      </w:pPr>
      <w:r>
        <w:rPr>
          <w:w w:val="95"/>
        </w:rPr>
        <w:t>现金价值权益</w:t>
      </w:r>
    </w:p>
    <w:p>
      <w:pPr>
        <w:pStyle w:val="BodyText"/>
        <w:spacing w:before="13"/>
        <w:rPr>
          <w:rFonts w:ascii="Microsoft JhengHei"/>
          <w:b/>
          <w:sz w:val="27"/>
        </w:rPr>
      </w:pPr>
    </w:p>
    <w:p>
      <w:pPr>
        <w:pStyle w:val="Heading1"/>
        <w:numPr>
          <w:ilvl w:val="1"/>
          <w:numId w:val="6"/>
        </w:numPr>
        <w:tabs>
          <w:tab w:pos="565" w:val="left" w:leader="none"/>
        </w:tabs>
        <w:spacing w:line="240" w:lineRule="auto" w:before="0" w:after="0"/>
        <w:ind w:left="564" w:right="0" w:hanging="463"/>
        <w:jc w:val="left"/>
      </w:pPr>
      <w:r>
        <w:rPr>
          <w:w w:val="95"/>
        </w:rPr>
        <w:t>现金价值</w:t>
      </w:r>
    </w:p>
    <w:p>
      <w:pPr>
        <w:pStyle w:val="BodyText"/>
        <w:spacing w:before="1"/>
        <w:rPr>
          <w:rFonts w:ascii="Microsoft JhengHei"/>
          <w:b/>
          <w:sz w:val="22"/>
        </w:rPr>
      </w:pPr>
    </w:p>
    <w:p>
      <w:pPr>
        <w:pStyle w:val="BodyText"/>
        <w:spacing w:line="273" w:lineRule="auto" w:before="1"/>
        <w:ind w:left="101" w:right="132"/>
      </w:pPr>
      <w:r>
        <w:rPr/>
        <w:t>本附加险合同保单年度末的现金价值在保险单上载明。您可以向本公司咨询保单年度内的现</w:t>
      </w:r>
      <w:r>
        <w:rPr>
          <w:w w:val="95"/>
        </w:rPr>
        <w:t>金价值。</w:t>
      </w:r>
    </w:p>
    <w:p>
      <w:pPr>
        <w:pStyle w:val="BodyText"/>
        <w:spacing w:before="10"/>
        <w:rPr>
          <w:sz w:val="27"/>
        </w:rPr>
      </w:pPr>
    </w:p>
    <w:p>
      <w:pPr>
        <w:pStyle w:val="Heading1"/>
        <w:numPr>
          <w:ilvl w:val="1"/>
          <w:numId w:val="6"/>
        </w:numPr>
        <w:tabs>
          <w:tab w:pos="670" w:val="left" w:leader="none"/>
          <w:tab w:pos="671" w:val="left" w:leader="none"/>
        </w:tabs>
        <w:spacing w:line="240" w:lineRule="auto" w:before="0" w:after="0"/>
        <w:ind w:left="670" w:right="0" w:hanging="569"/>
        <w:jc w:val="left"/>
      </w:pPr>
      <w:r>
        <w:rPr>
          <w:w w:val="95"/>
        </w:rPr>
        <w:t>保单贷款</w:t>
      </w:r>
    </w:p>
    <w:p>
      <w:pPr>
        <w:pStyle w:val="BodyText"/>
        <w:spacing w:before="5"/>
        <w:rPr>
          <w:rFonts w:ascii="Microsoft JhengHei"/>
          <w:b/>
          <w:sz w:val="25"/>
        </w:rPr>
      </w:pPr>
    </w:p>
    <w:p>
      <w:pPr>
        <w:pStyle w:val="BodyText"/>
        <w:spacing w:line="247" w:lineRule="auto"/>
        <w:ind w:left="101" w:right="140"/>
      </w:pPr>
      <w:r>
        <w:rPr/>
        <w:t>在本附加险合同有效期内，缴费期满 </w:t>
      </w:r>
      <w:r>
        <w:rPr>
          <w:rFonts w:ascii="Calibri" w:eastAsia="Calibri"/>
        </w:rPr>
        <w:t>2 </w:t>
      </w:r>
      <w:r>
        <w:rPr/>
        <w:t>年以后，您可以书面形式凭保单向本公司申请并经本</w:t>
      </w:r>
      <w:r>
        <w:rPr>
          <w:w w:val="95"/>
        </w:rPr>
        <w:t>公司审核同意后办理保单贷款，但须事先经被保险人书面同意。</w:t>
      </w:r>
    </w:p>
    <w:p>
      <w:pPr>
        <w:pStyle w:val="BodyText"/>
        <w:spacing w:before="1"/>
      </w:pPr>
    </w:p>
    <w:p>
      <w:pPr>
        <w:pStyle w:val="BodyText"/>
        <w:spacing w:line="249" w:lineRule="auto"/>
        <w:ind w:left="101" w:right="199"/>
      </w:pPr>
      <w:r>
        <w:rPr>
          <w:rFonts w:ascii="Microsoft JhengHei" w:eastAsia="Microsoft JhengHei" w:hint="eastAsia"/>
          <w:b/>
        </w:rPr>
        <w:t>贷款金额</w:t>
      </w:r>
      <w:r>
        <w:rPr/>
        <w:t>：贷款金额不得超过本公司作出同意贷款之日本附加险合同所具有的现金价值的百</w:t>
      </w:r>
      <w:r>
        <w:rPr>
          <w:w w:val="95"/>
        </w:rPr>
        <w:t>分之八十。</w:t>
      </w:r>
    </w:p>
    <w:p>
      <w:pPr>
        <w:pStyle w:val="BodyText"/>
        <w:spacing w:before="12"/>
        <w:rPr>
          <w:sz w:val="20"/>
        </w:rPr>
      </w:pPr>
    </w:p>
    <w:p>
      <w:pPr>
        <w:pStyle w:val="BodyText"/>
        <w:spacing w:line="249" w:lineRule="auto"/>
        <w:ind w:left="101" w:right="199"/>
      </w:pPr>
      <w:r>
        <w:rPr>
          <w:rFonts w:ascii="Microsoft JhengHei" w:eastAsia="Microsoft JhengHei" w:hint="eastAsia"/>
          <w:b/>
        </w:rPr>
        <w:t>贷款比例</w:t>
      </w:r>
      <w:r>
        <w:rPr/>
        <w:t>：贷款比例为贷款金额与本公司作出同意贷款之日本附加险合同所具有的现金价值</w:t>
      </w:r>
      <w:r>
        <w:rPr>
          <w:w w:val="95"/>
        </w:rPr>
        <w:t>之比。</w:t>
      </w:r>
    </w:p>
    <w:p>
      <w:pPr>
        <w:pStyle w:val="BodyText"/>
        <w:spacing w:before="12"/>
        <w:rPr>
          <w:sz w:val="20"/>
        </w:rPr>
      </w:pPr>
    </w:p>
    <w:p>
      <w:pPr>
        <w:spacing w:before="0"/>
        <w:ind w:left="101" w:right="0" w:firstLine="0"/>
        <w:jc w:val="left"/>
        <w:rPr>
          <w:sz w:val="21"/>
        </w:rPr>
      </w:pPr>
      <w:r>
        <w:rPr>
          <w:rFonts w:ascii="Microsoft JhengHei" w:eastAsia="Microsoft JhengHei" w:hint="eastAsia"/>
          <w:b/>
          <w:w w:val="95"/>
          <w:sz w:val="21"/>
        </w:rPr>
        <w:t>贷款期限</w:t>
      </w:r>
      <w:r>
        <w:rPr>
          <w:w w:val="95"/>
          <w:sz w:val="21"/>
        </w:rPr>
        <w:t>：每次贷款的最长期限为六个月。</w:t>
      </w:r>
    </w:p>
    <w:p>
      <w:pPr>
        <w:pStyle w:val="BodyText"/>
        <w:spacing w:before="9"/>
        <w:rPr>
          <w:sz w:val="19"/>
        </w:rPr>
      </w:pPr>
    </w:p>
    <w:p>
      <w:pPr>
        <w:spacing w:before="0"/>
        <w:ind w:left="101" w:right="0" w:firstLine="0"/>
        <w:jc w:val="left"/>
        <w:rPr>
          <w:sz w:val="21"/>
        </w:rPr>
      </w:pPr>
      <w:r>
        <w:rPr>
          <w:rFonts w:ascii="Microsoft JhengHei" w:eastAsia="Microsoft JhengHei" w:hint="eastAsia"/>
          <w:b/>
          <w:sz w:val="21"/>
        </w:rPr>
        <w:t>贷款利率：</w:t>
      </w:r>
      <w:r>
        <w:rPr>
          <w:sz w:val="21"/>
        </w:rPr>
        <w:t>保单贷款利率按照</w:t>
      </w:r>
      <w:r>
        <w:rPr>
          <w:rFonts w:ascii="Microsoft JhengHei" w:eastAsia="Microsoft JhengHei" w:hint="eastAsia"/>
          <w:b/>
          <w:sz w:val="21"/>
        </w:rPr>
        <w:t>本条款约定利率</w:t>
      </w:r>
      <w:r>
        <w:rPr>
          <w:sz w:val="21"/>
        </w:rPr>
        <w:t>（见释义 11.22）执行。</w:t>
      </w:r>
    </w:p>
    <w:p>
      <w:pPr>
        <w:spacing w:after="0"/>
        <w:jc w:val="left"/>
        <w:rPr>
          <w:sz w:val="21"/>
        </w:rPr>
        <w:sectPr>
          <w:footerReference w:type="default" r:id="rId7"/>
          <w:pgSz w:w="11910" w:h="16840"/>
          <w:pgMar w:footer="1197" w:header="0" w:top="1480" w:bottom="1380" w:left="1600" w:right="1600"/>
          <w:pgNumType w:start="10"/>
        </w:sectPr>
      </w:pPr>
    </w:p>
    <w:p>
      <w:pPr>
        <w:spacing w:line="304" w:lineRule="exact" w:before="0"/>
        <w:ind w:left="101" w:right="0" w:firstLine="0"/>
        <w:jc w:val="left"/>
        <w:rPr>
          <w:sz w:val="21"/>
        </w:rPr>
      </w:pPr>
      <w:bookmarkStart w:name="_bookmark7" w:id="12"/>
      <w:bookmarkEnd w:id="12"/>
      <w:r>
        <w:rPr/>
      </w:r>
      <w:r>
        <w:rPr>
          <w:rFonts w:ascii="Microsoft JhengHei" w:eastAsia="Microsoft JhengHei" w:hint="eastAsia"/>
          <w:b/>
          <w:sz w:val="21"/>
        </w:rPr>
        <w:t>贷款利息计算:  </w:t>
      </w:r>
      <w:r>
        <w:rPr>
          <w:sz w:val="21"/>
        </w:rPr>
        <w:t>在贷款期限内，按照本条款约定利率以单利计算利息。</w:t>
      </w:r>
    </w:p>
    <w:p>
      <w:pPr>
        <w:pStyle w:val="BodyText"/>
        <w:spacing w:before="9"/>
        <w:rPr>
          <w:sz w:val="19"/>
        </w:rPr>
      </w:pPr>
    </w:p>
    <w:p>
      <w:pPr>
        <w:pStyle w:val="BodyText"/>
        <w:spacing w:line="249" w:lineRule="auto" w:before="1"/>
        <w:ind w:left="101" w:right="199"/>
      </w:pPr>
      <w:r>
        <w:rPr>
          <w:rFonts w:ascii="Microsoft JhengHei" w:eastAsia="Microsoft JhengHei" w:hint="eastAsia"/>
          <w:b/>
        </w:rPr>
        <w:t>贷款偿还</w:t>
      </w:r>
      <w:r>
        <w:rPr/>
        <w:t>：贷款本息在贷款到期时一并归还。如果您到期未能足额偿还贷款本息，则您所欠</w:t>
      </w:r>
      <w:r>
        <w:rPr>
          <w:w w:val="95"/>
        </w:rPr>
        <w:t>的贷款本息将作为新的贷款本金按照本条款约定利率计息。</w:t>
      </w:r>
    </w:p>
    <w:p>
      <w:pPr>
        <w:pStyle w:val="BodyText"/>
        <w:rPr>
          <w:sz w:val="26"/>
        </w:rPr>
      </w:pPr>
    </w:p>
    <w:p>
      <w:pPr>
        <w:pStyle w:val="BodyText"/>
        <w:spacing w:line="273" w:lineRule="auto"/>
        <w:ind w:left="101" w:right="202"/>
      </w:pPr>
      <w:r>
        <w:rPr/>
        <w:t>您对主险合同申请保单贷款时，本附加险合同应同时进行保单贷款，贷款比例和利息计算方</w:t>
      </w:r>
      <w:r>
        <w:rPr>
          <w:w w:val="95"/>
        </w:rPr>
        <w:t>式与主险合同一致。您不能单独对本附加险合同进行保单借款。</w:t>
      </w:r>
    </w:p>
    <w:p>
      <w:pPr>
        <w:pStyle w:val="BodyText"/>
        <w:spacing w:before="6"/>
        <w:rPr>
          <w:sz w:val="23"/>
        </w:rPr>
      </w:pPr>
    </w:p>
    <w:p>
      <w:pPr>
        <w:spacing w:line="204" w:lineRule="auto" w:before="0"/>
        <w:ind w:left="101" w:right="204" w:firstLine="0"/>
        <w:jc w:val="left"/>
        <w:rPr>
          <w:rFonts w:ascii="Microsoft JhengHei" w:eastAsia="Microsoft JhengHei" w:hint="eastAsia"/>
          <w:b/>
          <w:sz w:val="21"/>
        </w:rPr>
      </w:pPr>
      <w:r>
        <w:rPr>
          <w:w w:val="95"/>
          <w:sz w:val="21"/>
        </w:rPr>
        <w:t>当未还保单贷款本息的总金额与保险单的现金价值相等时，本附加险合同效力即行中止。</w:t>
      </w:r>
      <w:r>
        <w:rPr>
          <w:rFonts w:ascii="Microsoft JhengHei" w:eastAsia="Microsoft JhengHei" w:hint="eastAsia"/>
          <w:b/>
          <w:w w:val="95"/>
          <w:sz w:val="21"/>
        </w:rPr>
        <w:t>效     力中止期间本公司不承担保险责任。</w:t>
      </w:r>
    </w:p>
    <w:p>
      <w:pPr>
        <w:pStyle w:val="BodyText"/>
        <w:spacing w:before="3"/>
        <w:rPr>
          <w:rFonts w:ascii="Microsoft JhengHei"/>
          <w:b/>
        </w:rPr>
      </w:pPr>
    </w:p>
    <w:p>
      <w:pPr>
        <w:pStyle w:val="Heading1"/>
        <w:numPr>
          <w:ilvl w:val="0"/>
          <w:numId w:val="6"/>
        </w:numPr>
        <w:tabs>
          <w:tab w:pos="667" w:val="left" w:leader="none"/>
          <w:tab w:pos="668" w:val="left" w:leader="none"/>
        </w:tabs>
        <w:spacing w:line="240" w:lineRule="auto" w:before="0" w:after="0"/>
        <w:ind w:left="668" w:right="0" w:hanging="567"/>
        <w:jc w:val="left"/>
      </w:pPr>
      <w:r>
        <w:rPr>
          <w:w w:val="95"/>
        </w:rPr>
        <w:t>未还款项</w:t>
      </w:r>
    </w:p>
    <w:p>
      <w:pPr>
        <w:pStyle w:val="BodyText"/>
        <w:spacing w:before="2"/>
        <w:rPr>
          <w:rFonts w:ascii="Microsoft JhengHei"/>
          <w:b/>
          <w:sz w:val="25"/>
        </w:rPr>
      </w:pPr>
    </w:p>
    <w:p>
      <w:pPr>
        <w:pStyle w:val="BodyText"/>
        <w:spacing w:line="273" w:lineRule="auto"/>
        <w:ind w:left="101" w:right="202"/>
      </w:pPr>
      <w:r>
        <w:rPr/>
        <w:t>如果本合同有未偿清的保单贷款本息，本公司在向您给付各项保险金、退还现金价值和保险</w:t>
      </w:r>
      <w:r>
        <w:rPr>
          <w:w w:val="95"/>
        </w:rPr>
        <w:t>费时，将先扣除这些未还款项。</w:t>
      </w:r>
    </w:p>
    <w:p>
      <w:pPr>
        <w:pStyle w:val="BodyText"/>
        <w:spacing w:before="11"/>
        <w:rPr>
          <w:sz w:val="27"/>
        </w:rPr>
      </w:pPr>
    </w:p>
    <w:p>
      <w:pPr>
        <w:pStyle w:val="Heading1"/>
        <w:numPr>
          <w:ilvl w:val="0"/>
          <w:numId w:val="6"/>
        </w:numPr>
        <w:tabs>
          <w:tab w:pos="667" w:val="left" w:leader="none"/>
          <w:tab w:pos="668" w:val="left" w:leader="none"/>
        </w:tabs>
        <w:spacing w:line="240" w:lineRule="auto" w:before="0" w:after="0"/>
        <w:ind w:left="668" w:right="0" w:hanging="567"/>
        <w:jc w:val="left"/>
      </w:pPr>
      <w:r>
        <w:rPr>
          <w:w w:val="95"/>
        </w:rPr>
        <w:t>合同效力的变动</w:t>
      </w:r>
    </w:p>
    <w:p>
      <w:pPr>
        <w:pStyle w:val="BodyText"/>
        <w:spacing w:before="11"/>
        <w:rPr>
          <w:rFonts w:ascii="Microsoft JhengHei"/>
          <w:b/>
          <w:sz w:val="27"/>
        </w:rPr>
      </w:pPr>
    </w:p>
    <w:p>
      <w:pPr>
        <w:pStyle w:val="Heading1"/>
        <w:numPr>
          <w:ilvl w:val="1"/>
          <w:numId w:val="6"/>
        </w:numPr>
        <w:tabs>
          <w:tab w:pos="670" w:val="left" w:leader="none"/>
          <w:tab w:pos="671" w:val="left" w:leader="none"/>
        </w:tabs>
        <w:spacing w:line="240" w:lineRule="auto" w:before="0" w:after="0"/>
        <w:ind w:left="670" w:right="0" w:hanging="569"/>
        <w:jc w:val="left"/>
      </w:pPr>
      <w:r>
        <w:rPr>
          <w:w w:val="95"/>
        </w:rPr>
        <w:t>合同效力的中止</w:t>
      </w:r>
    </w:p>
    <w:p>
      <w:pPr>
        <w:pStyle w:val="BodyText"/>
        <w:spacing w:before="2"/>
        <w:rPr>
          <w:rFonts w:ascii="Microsoft JhengHei"/>
          <w:b/>
          <w:sz w:val="25"/>
        </w:rPr>
      </w:pPr>
    </w:p>
    <w:p>
      <w:pPr>
        <w:pStyle w:val="BodyText"/>
        <w:spacing w:line="273" w:lineRule="auto" w:before="1"/>
        <w:ind w:left="101" w:right="154"/>
      </w:pPr>
      <w:r>
        <w:rPr/>
        <w:t>如果您在保险费交纳宽限期结束后未交纳到期应交的保险费，除另有约定外，本附加险合同</w:t>
      </w:r>
      <w:r>
        <w:rPr>
          <w:w w:val="95"/>
        </w:rPr>
        <w:t>自宽限期满次日零时起效力中止。</w:t>
      </w:r>
    </w:p>
    <w:p>
      <w:pPr>
        <w:pStyle w:val="BodyText"/>
        <w:spacing w:before="4"/>
        <w:rPr>
          <w:sz w:val="19"/>
        </w:rPr>
      </w:pPr>
    </w:p>
    <w:p>
      <w:pPr>
        <w:spacing w:before="0"/>
        <w:ind w:left="101" w:right="0" w:firstLine="0"/>
        <w:jc w:val="left"/>
        <w:rPr>
          <w:rFonts w:ascii="Microsoft JhengHei" w:eastAsia="Microsoft JhengHei" w:hint="eastAsia"/>
          <w:b/>
          <w:sz w:val="21"/>
        </w:rPr>
      </w:pPr>
      <w:r>
        <w:rPr>
          <w:rFonts w:ascii="Microsoft JhengHei" w:eastAsia="Microsoft JhengHei" w:hint="eastAsia"/>
          <w:b/>
          <w:w w:val="95"/>
          <w:sz w:val="21"/>
        </w:rPr>
        <w:t>在本附加险合同效力中止期间，本公司不承担保险责任。</w:t>
      </w:r>
    </w:p>
    <w:p>
      <w:pPr>
        <w:pStyle w:val="BodyText"/>
        <w:spacing w:before="5"/>
        <w:rPr>
          <w:rFonts w:ascii="Microsoft JhengHei"/>
          <w:b/>
        </w:rPr>
      </w:pPr>
    </w:p>
    <w:p>
      <w:pPr>
        <w:pStyle w:val="Heading1"/>
        <w:numPr>
          <w:ilvl w:val="1"/>
          <w:numId w:val="6"/>
        </w:numPr>
        <w:tabs>
          <w:tab w:pos="670" w:val="left" w:leader="none"/>
          <w:tab w:pos="671" w:val="left" w:leader="none"/>
        </w:tabs>
        <w:spacing w:line="240" w:lineRule="auto" w:before="0" w:after="0"/>
        <w:ind w:left="670" w:right="0" w:hanging="569"/>
        <w:jc w:val="left"/>
      </w:pPr>
      <w:r>
        <w:rPr>
          <w:w w:val="95"/>
        </w:rPr>
        <w:t>合同效力的恢复</w:t>
      </w:r>
    </w:p>
    <w:p>
      <w:pPr>
        <w:pStyle w:val="BodyText"/>
        <w:spacing w:before="2"/>
        <w:rPr>
          <w:rFonts w:ascii="Microsoft JhengHei"/>
          <w:b/>
          <w:sz w:val="25"/>
        </w:rPr>
      </w:pPr>
    </w:p>
    <w:p>
      <w:pPr>
        <w:pStyle w:val="BodyText"/>
        <w:spacing w:line="259" w:lineRule="auto"/>
        <w:ind w:left="101" w:right="202"/>
        <w:jc w:val="both"/>
      </w:pPr>
      <w:r>
        <w:rPr>
          <w:spacing w:val="-5"/>
        </w:rPr>
        <w:t>本附加险合同效力中止后 </w:t>
      </w:r>
      <w:r>
        <w:rPr>
          <w:rFonts w:ascii="Calibri" w:eastAsia="Calibri"/>
        </w:rPr>
        <w:t>2 </w:t>
      </w:r>
      <w:r>
        <w:rPr/>
        <w:t>年内，您申请恢复合同效力的，应填写复效申请书，并按本公司的规定提供被保险人健康声明书或本公司指定的医院出具的体检报告书。经本公司与您协商</w:t>
      </w:r>
      <w:r>
        <w:rPr>
          <w:w w:val="95"/>
        </w:rPr>
        <w:t>并达成协议，自您补交保险费及利息后的次日零时起，本附加险合同效力恢复。</w:t>
      </w:r>
    </w:p>
    <w:p>
      <w:pPr>
        <w:pStyle w:val="BodyText"/>
        <w:spacing w:before="4"/>
        <w:rPr>
          <w:sz w:val="25"/>
        </w:rPr>
      </w:pPr>
    </w:p>
    <w:p>
      <w:pPr>
        <w:pStyle w:val="BodyText"/>
        <w:spacing w:line="259" w:lineRule="auto"/>
        <w:ind w:left="101" w:right="202"/>
        <w:jc w:val="both"/>
      </w:pPr>
      <w:r>
        <w:rPr>
          <w:spacing w:val="-4"/>
        </w:rPr>
        <w:t>自本附加险合同效力中止之日起满 </w:t>
      </w:r>
      <w:r>
        <w:rPr>
          <w:rFonts w:ascii="Calibri" w:eastAsia="Calibri"/>
        </w:rPr>
        <w:t>2 </w:t>
      </w:r>
      <w:r>
        <w:rPr/>
        <w:t>年您和本公司未达成协议的，本公司有权解除合同。本公司解除合同的，向您退还合同效力中止时保险单的现金价值扣除所欠保险费及利息后的余</w:t>
      </w:r>
      <w:r>
        <w:rPr>
          <w:w w:val="95"/>
        </w:rPr>
        <w:t>额。</w:t>
      </w:r>
    </w:p>
    <w:p>
      <w:pPr>
        <w:pStyle w:val="BodyText"/>
        <w:spacing w:before="3"/>
        <w:rPr>
          <w:sz w:val="20"/>
        </w:rPr>
      </w:pPr>
    </w:p>
    <w:p>
      <w:pPr>
        <w:spacing w:before="0"/>
        <w:ind w:left="101" w:right="0" w:firstLine="0"/>
        <w:jc w:val="left"/>
        <w:rPr>
          <w:rFonts w:ascii="Microsoft JhengHei" w:eastAsia="Microsoft JhengHei" w:hint="eastAsia"/>
          <w:b/>
          <w:sz w:val="21"/>
        </w:rPr>
      </w:pPr>
      <w:r>
        <w:rPr>
          <w:rFonts w:ascii="Microsoft JhengHei" w:eastAsia="Microsoft JhengHei" w:hint="eastAsia"/>
          <w:b/>
          <w:w w:val="95"/>
          <w:sz w:val="21"/>
        </w:rPr>
        <w:t>主险合同效力中止期间，本附加险合同不得单独申请恢复效力。</w:t>
      </w:r>
    </w:p>
    <w:p>
      <w:pPr>
        <w:pStyle w:val="BodyText"/>
        <w:spacing w:before="5"/>
        <w:rPr>
          <w:rFonts w:ascii="Microsoft JhengHei"/>
          <w:b/>
        </w:rPr>
      </w:pPr>
    </w:p>
    <w:p>
      <w:pPr>
        <w:pStyle w:val="Heading1"/>
        <w:numPr>
          <w:ilvl w:val="1"/>
          <w:numId w:val="6"/>
        </w:numPr>
        <w:tabs>
          <w:tab w:pos="670" w:val="left" w:leader="none"/>
          <w:tab w:pos="671" w:val="left" w:leader="none"/>
        </w:tabs>
        <w:spacing w:line="240" w:lineRule="auto" w:before="0" w:after="0"/>
        <w:ind w:left="670" w:right="0" w:hanging="569"/>
        <w:jc w:val="left"/>
      </w:pPr>
      <w:r>
        <w:rPr>
          <w:w w:val="95"/>
        </w:rPr>
        <w:t>合同的解除——退保</w:t>
      </w:r>
    </w:p>
    <w:p>
      <w:pPr>
        <w:pStyle w:val="BodyText"/>
        <w:spacing w:before="2"/>
        <w:rPr>
          <w:rFonts w:ascii="Microsoft JhengHei"/>
          <w:b/>
        </w:rPr>
      </w:pPr>
    </w:p>
    <w:p>
      <w:pPr>
        <w:pStyle w:val="ListParagraph"/>
        <w:numPr>
          <w:ilvl w:val="2"/>
          <w:numId w:val="6"/>
        </w:numPr>
        <w:tabs>
          <w:tab w:pos="822" w:val="left" w:leader="none"/>
        </w:tabs>
        <w:spacing w:line="240" w:lineRule="auto" w:before="0" w:after="0"/>
        <w:ind w:left="821" w:right="0" w:hanging="720"/>
        <w:jc w:val="left"/>
        <w:rPr>
          <w:rFonts w:ascii="Microsoft JhengHei" w:eastAsia="Microsoft JhengHei" w:hint="eastAsia"/>
          <w:b/>
          <w:sz w:val="21"/>
        </w:rPr>
      </w:pPr>
      <w:r>
        <w:rPr>
          <w:rFonts w:ascii="Microsoft JhengHei" w:eastAsia="Microsoft JhengHei" w:hint="eastAsia"/>
          <w:b/>
          <w:w w:val="95"/>
          <w:sz w:val="21"/>
        </w:rPr>
        <w:t>犹豫期</w:t>
      </w:r>
    </w:p>
    <w:p>
      <w:pPr>
        <w:spacing w:after="0" w:line="240" w:lineRule="auto"/>
        <w:jc w:val="left"/>
        <w:rPr>
          <w:rFonts w:ascii="Microsoft JhengHei" w:eastAsia="Microsoft JhengHei" w:hint="eastAsia"/>
          <w:sz w:val="21"/>
        </w:rPr>
        <w:sectPr>
          <w:pgSz w:w="11910" w:h="16840"/>
          <w:pgMar w:header="0" w:footer="1197" w:top="1380" w:bottom="1380" w:left="1600" w:right="1600"/>
        </w:sectPr>
      </w:pPr>
    </w:p>
    <w:p>
      <w:pPr>
        <w:pStyle w:val="BodyText"/>
        <w:spacing w:line="273" w:lineRule="auto" w:before="5"/>
        <w:ind w:left="101" w:right="99"/>
        <w:jc w:val="both"/>
      </w:pPr>
      <w:bookmarkStart w:name="_bookmark8" w:id="13"/>
      <w:bookmarkEnd w:id="13"/>
      <w:r>
        <w:rPr/>
      </w:r>
      <w:r>
        <w:rPr>
          <w:spacing w:val="-3"/>
        </w:rPr>
        <w:t>自您签收到本附加险合同之日起，本公司给予您 </w:t>
      </w:r>
      <w:r>
        <w:rPr/>
        <w:t>10</w:t>
      </w:r>
      <w:r>
        <w:rPr>
          <w:spacing w:val="-8"/>
        </w:rPr>
        <w:t> 天的犹豫期。犹豫期内您可以申请退保， </w:t>
      </w:r>
      <w:r>
        <w:rPr/>
        <w:t>本附加险合同自本公司收到您的退保申请次日零时起解除，本公司自始不承担保险责任，并</w:t>
      </w:r>
      <w:r>
        <w:rPr>
          <w:w w:val="95"/>
        </w:rPr>
        <w:t>无息向您退还已收保险费。</w:t>
      </w:r>
    </w:p>
    <w:p>
      <w:pPr>
        <w:pStyle w:val="BodyText"/>
        <w:spacing w:before="3"/>
        <w:rPr>
          <w:sz w:val="19"/>
        </w:rPr>
      </w:pPr>
    </w:p>
    <w:p>
      <w:pPr>
        <w:pStyle w:val="ListParagraph"/>
        <w:numPr>
          <w:ilvl w:val="2"/>
          <w:numId w:val="6"/>
        </w:numPr>
        <w:tabs>
          <w:tab w:pos="822" w:val="left" w:leader="none"/>
        </w:tabs>
        <w:spacing w:line="240" w:lineRule="auto" w:before="1" w:after="0"/>
        <w:ind w:left="821" w:right="0" w:hanging="720"/>
        <w:jc w:val="left"/>
        <w:rPr>
          <w:rFonts w:ascii="Microsoft JhengHei" w:eastAsia="Microsoft JhengHei" w:hint="eastAsia"/>
          <w:b/>
          <w:sz w:val="21"/>
        </w:rPr>
      </w:pPr>
      <w:r>
        <w:rPr>
          <w:rFonts w:ascii="Microsoft JhengHei" w:eastAsia="Microsoft JhengHei" w:hint="eastAsia"/>
          <w:b/>
          <w:w w:val="95"/>
          <w:sz w:val="21"/>
        </w:rPr>
        <w:t>犹豫期后退保</w:t>
      </w:r>
    </w:p>
    <w:p>
      <w:pPr>
        <w:pStyle w:val="BodyText"/>
        <w:spacing w:before="12"/>
        <w:rPr>
          <w:rFonts w:ascii="Microsoft JhengHei"/>
          <w:b/>
          <w:sz w:val="18"/>
        </w:rPr>
      </w:pPr>
    </w:p>
    <w:p>
      <w:pPr>
        <w:pStyle w:val="BodyText"/>
        <w:spacing w:line="247" w:lineRule="auto"/>
        <w:ind w:left="101" w:right="36"/>
      </w:pPr>
      <w:r>
        <w:rPr/>
        <w:t>自本公司收到退保申请时起，本附加险合同终止。本公司自收到退保申请之日起 </w:t>
      </w:r>
      <w:r>
        <w:rPr>
          <w:rFonts w:ascii="Calibri" w:eastAsia="Calibri"/>
        </w:rPr>
        <w:t>30 </w:t>
      </w:r>
      <w:r>
        <w:rPr/>
        <w:t>日内向您</w:t>
      </w:r>
      <w:r>
        <w:rPr>
          <w:w w:val="95"/>
        </w:rPr>
        <w:t>退还保险单的现金价值扣除欠交保险费及利息后的余额。</w:t>
      </w:r>
    </w:p>
    <w:p>
      <w:pPr>
        <w:pStyle w:val="BodyText"/>
        <w:spacing w:before="1"/>
      </w:pPr>
    </w:p>
    <w:p>
      <w:pPr>
        <w:spacing w:before="0"/>
        <w:ind w:left="101" w:right="0" w:firstLine="0"/>
        <w:jc w:val="both"/>
        <w:rPr>
          <w:sz w:val="21"/>
        </w:rPr>
      </w:pPr>
      <w:r>
        <w:rPr>
          <w:rFonts w:ascii="Microsoft JhengHei" w:eastAsia="Microsoft JhengHei" w:hint="eastAsia"/>
          <w:b/>
          <w:w w:val="95"/>
          <w:sz w:val="21"/>
        </w:rPr>
        <w:t>您在犹豫期后解除合同会遭受一定损失</w:t>
      </w:r>
      <w:r>
        <w:rPr>
          <w:w w:val="95"/>
          <w:sz w:val="21"/>
        </w:rPr>
        <w:t>。</w:t>
      </w:r>
    </w:p>
    <w:p>
      <w:pPr>
        <w:pStyle w:val="BodyText"/>
        <w:spacing w:before="9"/>
        <w:rPr>
          <w:sz w:val="19"/>
        </w:rPr>
      </w:pPr>
    </w:p>
    <w:p>
      <w:pPr>
        <w:pStyle w:val="ListParagraph"/>
        <w:numPr>
          <w:ilvl w:val="2"/>
          <w:numId w:val="6"/>
        </w:numPr>
        <w:tabs>
          <w:tab w:pos="822" w:val="left" w:leader="none"/>
        </w:tabs>
        <w:spacing w:line="240" w:lineRule="auto" w:before="0" w:after="0"/>
        <w:ind w:left="821" w:right="0" w:hanging="720"/>
        <w:jc w:val="both"/>
        <w:rPr>
          <w:rFonts w:ascii="Microsoft JhengHei" w:eastAsia="Microsoft JhengHei" w:hint="eastAsia"/>
          <w:b/>
          <w:sz w:val="21"/>
        </w:rPr>
      </w:pPr>
      <w:r>
        <w:rPr>
          <w:rFonts w:ascii="Microsoft JhengHei" w:eastAsia="Microsoft JhengHei" w:hint="eastAsia"/>
          <w:b/>
          <w:w w:val="95"/>
          <w:sz w:val="21"/>
        </w:rPr>
        <w:t>申请退保</w:t>
      </w:r>
    </w:p>
    <w:p>
      <w:pPr>
        <w:pStyle w:val="BodyText"/>
        <w:spacing w:before="11"/>
        <w:rPr>
          <w:rFonts w:ascii="Microsoft JhengHei"/>
          <w:b/>
          <w:sz w:val="18"/>
        </w:rPr>
      </w:pPr>
    </w:p>
    <w:p>
      <w:pPr>
        <w:pStyle w:val="BodyText"/>
        <w:ind w:left="101"/>
        <w:jc w:val="both"/>
      </w:pPr>
      <w:r>
        <w:rPr>
          <w:w w:val="95"/>
        </w:rPr>
        <w:t>如您申请退保，请填写保全业务申请书并向本公司提供下列资料：</w:t>
      </w:r>
    </w:p>
    <w:p>
      <w:pPr>
        <w:pStyle w:val="BodyText"/>
        <w:spacing w:before="8"/>
        <w:rPr>
          <w:sz w:val="26"/>
        </w:rPr>
      </w:pPr>
    </w:p>
    <w:p>
      <w:pPr>
        <w:pStyle w:val="ListParagraph"/>
        <w:numPr>
          <w:ilvl w:val="3"/>
          <w:numId w:val="6"/>
        </w:numPr>
        <w:tabs>
          <w:tab w:pos="941" w:val="left" w:leader="none"/>
          <w:tab w:pos="942" w:val="left" w:leader="none"/>
        </w:tabs>
        <w:spacing w:line="240" w:lineRule="auto" w:before="0" w:after="0"/>
        <w:ind w:left="941" w:right="0" w:hanging="420"/>
        <w:jc w:val="left"/>
        <w:rPr>
          <w:sz w:val="21"/>
        </w:rPr>
      </w:pPr>
      <w:r>
        <w:rPr>
          <w:w w:val="95"/>
          <w:sz w:val="21"/>
        </w:rPr>
        <w:t>投保人的身份证明文件原件；</w:t>
      </w:r>
    </w:p>
    <w:p>
      <w:pPr>
        <w:pStyle w:val="BodyText"/>
        <w:spacing w:before="8"/>
        <w:rPr>
          <w:sz w:val="26"/>
        </w:rPr>
      </w:pPr>
    </w:p>
    <w:p>
      <w:pPr>
        <w:pStyle w:val="ListParagraph"/>
        <w:numPr>
          <w:ilvl w:val="3"/>
          <w:numId w:val="6"/>
        </w:numPr>
        <w:tabs>
          <w:tab w:pos="941" w:val="left" w:leader="none"/>
          <w:tab w:pos="942" w:val="left" w:leader="none"/>
        </w:tabs>
        <w:spacing w:line="240" w:lineRule="auto" w:before="0" w:after="0"/>
        <w:ind w:left="941" w:right="0" w:hanging="420"/>
        <w:jc w:val="left"/>
        <w:rPr>
          <w:sz w:val="21"/>
        </w:rPr>
      </w:pPr>
      <w:r>
        <w:rPr>
          <w:w w:val="95"/>
          <w:sz w:val="21"/>
        </w:rPr>
        <w:t>保险合同原件。</w:t>
      </w:r>
    </w:p>
    <w:p>
      <w:pPr>
        <w:pStyle w:val="BodyText"/>
        <w:spacing w:before="13"/>
        <w:rPr>
          <w:sz w:val="29"/>
        </w:rPr>
      </w:pPr>
    </w:p>
    <w:p>
      <w:pPr>
        <w:pStyle w:val="Heading1"/>
        <w:numPr>
          <w:ilvl w:val="1"/>
          <w:numId w:val="6"/>
        </w:numPr>
        <w:tabs>
          <w:tab w:pos="671" w:val="left" w:leader="none"/>
        </w:tabs>
        <w:spacing w:line="240" w:lineRule="auto" w:before="0" w:after="0"/>
        <w:ind w:left="670" w:right="0" w:hanging="569"/>
        <w:jc w:val="both"/>
      </w:pPr>
      <w:r>
        <w:rPr>
          <w:w w:val="95"/>
        </w:rPr>
        <w:t>合同效力的终止</w:t>
      </w:r>
    </w:p>
    <w:p>
      <w:pPr>
        <w:pStyle w:val="BodyText"/>
        <w:spacing w:before="2"/>
        <w:rPr>
          <w:rFonts w:ascii="Microsoft JhengHei"/>
          <w:b/>
          <w:sz w:val="25"/>
        </w:rPr>
      </w:pPr>
    </w:p>
    <w:p>
      <w:pPr>
        <w:pStyle w:val="BodyText"/>
        <w:spacing w:before="1"/>
        <w:ind w:left="101"/>
        <w:jc w:val="both"/>
      </w:pPr>
      <w:r>
        <w:rPr>
          <w:w w:val="95"/>
        </w:rPr>
        <w:t>本附加险合同将于下述情况之一出现自动终止：</w:t>
      </w:r>
    </w:p>
    <w:p>
      <w:pPr>
        <w:pStyle w:val="BodyText"/>
        <w:spacing w:before="9"/>
        <w:rPr>
          <w:sz w:val="26"/>
        </w:rPr>
      </w:pPr>
    </w:p>
    <w:p>
      <w:pPr>
        <w:pStyle w:val="ListParagraph"/>
        <w:numPr>
          <w:ilvl w:val="0"/>
          <w:numId w:val="9"/>
        </w:numPr>
        <w:tabs>
          <w:tab w:pos="941" w:val="left" w:leader="none"/>
          <w:tab w:pos="942" w:val="left" w:leader="none"/>
        </w:tabs>
        <w:spacing w:line="240" w:lineRule="auto" w:before="0" w:after="0"/>
        <w:ind w:left="941" w:right="0" w:hanging="420"/>
        <w:jc w:val="left"/>
        <w:rPr>
          <w:sz w:val="21"/>
        </w:rPr>
      </w:pPr>
      <w:r>
        <w:rPr>
          <w:w w:val="95"/>
          <w:sz w:val="21"/>
        </w:rPr>
        <w:t>主险合同终止；</w:t>
      </w:r>
    </w:p>
    <w:p>
      <w:pPr>
        <w:pStyle w:val="BodyText"/>
        <w:spacing w:before="8"/>
        <w:rPr>
          <w:sz w:val="26"/>
        </w:rPr>
      </w:pPr>
    </w:p>
    <w:p>
      <w:pPr>
        <w:pStyle w:val="ListParagraph"/>
        <w:numPr>
          <w:ilvl w:val="0"/>
          <w:numId w:val="9"/>
        </w:numPr>
        <w:tabs>
          <w:tab w:pos="941" w:val="left" w:leader="none"/>
          <w:tab w:pos="942" w:val="left" w:leader="none"/>
        </w:tabs>
        <w:spacing w:line="240" w:lineRule="auto" w:before="1" w:after="0"/>
        <w:ind w:left="941" w:right="0" w:hanging="420"/>
        <w:jc w:val="left"/>
        <w:rPr>
          <w:sz w:val="21"/>
        </w:rPr>
      </w:pPr>
      <w:r>
        <w:rPr>
          <w:w w:val="95"/>
          <w:sz w:val="21"/>
        </w:rPr>
        <w:t>本附加险合同满期；</w:t>
      </w:r>
    </w:p>
    <w:p>
      <w:pPr>
        <w:pStyle w:val="BodyText"/>
        <w:spacing w:before="9"/>
        <w:rPr>
          <w:sz w:val="26"/>
        </w:rPr>
      </w:pPr>
    </w:p>
    <w:p>
      <w:pPr>
        <w:pStyle w:val="ListParagraph"/>
        <w:numPr>
          <w:ilvl w:val="0"/>
          <w:numId w:val="9"/>
        </w:numPr>
        <w:tabs>
          <w:tab w:pos="941" w:val="left" w:leader="none"/>
          <w:tab w:pos="942" w:val="left" w:leader="none"/>
        </w:tabs>
        <w:spacing w:line="240" w:lineRule="auto" w:before="0" w:after="0"/>
        <w:ind w:left="941" w:right="0" w:hanging="420"/>
        <w:jc w:val="left"/>
        <w:rPr>
          <w:sz w:val="21"/>
        </w:rPr>
      </w:pPr>
      <w:r>
        <w:rPr>
          <w:w w:val="95"/>
          <w:sz w:val="21"/>
        </w:rPr>
        <w:t>本附加险合同其他条款所列合同终止情形。</w:t>
      </w:r>
    </w:p>
    <w:p>
      <w:pPr>
        <w:pStyle w:val="BodyText"/>
        <w:rPr>
          <w:sz w:val="20"/>
        </w:rPr>
      </w:pPr>
    </w:p>
    <w:p>
      <w:pPr>
        <w:pStyle w:val="Heading1"/>
        <w:numPr>
          <w:ilvl w:val="0"/>
          <w:numId w:val="6"/>
        </w:numPr>
        <w:tabs>
          <w:tab w:pos="668" w:val="left" w:leader="none"/>
        </w:tabs>
        <w:spacing w:line="240" w:lineRule="auto" w:before="133" w:after="0"/>
        <w:ind w:left="668" w:right="0" w:hanging="567"/>
        <w:jc w:val="both"/>
      </w:pPr>
      <w:r>
        <w:rPr>
          <w:w w:val="95"/>
        </w:rPr>
        <w:t>适用主险条款</w:t>
      </w:r>
    </w:p>
    <w:p>
      <w:pPr>
        <w:pStyle w:val="BodyText"/>
        <w:spacing w:before="2"/>
        <w:rPr>
          <w:rFonts w:ascii="Microsoft JhengHei"/>
          <w:b/>
          <w:sz w:val="25"/>
        </w:rPr>
      </w:pPr>
    </w:p>
    <w:p>
      <w:pPr>
        <w:pStyle w:val="BodyText"/>
        <w:ind w:left="101"/>
        <w:jc w:val="both"/>
      </w:pPr>
      <w:r>
        <w:rPr>
          <w:w w:val="95"/>
        </w:rPr>
        <w:t>下列各项条款，适用主险合同条款：</w:t>
      </w:r>
    </w:p>
    <w:p>
      <w:pPr>
        <w:pStyle w:val="BodyText"/>
        <w:spacing w:before="8"/>
        <w:rPr>
          <w:sz w:val="26"/>
        </w:rPr>
      </w:pPr>
    </w:p>
    <w:p>
      <w:pPr>
        <w:pStyle w:val="ListParagraph"/>
        <w:numPr>
          <w:ilvl w:val="0"/>
          <w:numId w:val="10"/>
        </w:numPr>
        <w:tabs>
          <w:tab w:pos="941" w:val="left" w:leader="none"/>
          <w:tab w:pos="942" w:val="left" w:leader="none"/>
        </w:tabs>
        <w:spacing w:line="240" w:lineRule="auto" w:before="0" w:after="0"/>
        <w:ind w:left="941" w:right="0" w:hanging="420"/>
        <w:jc w:val="left"/>
        <w:rPr>
          <w:sz w:val="21"/>
        </w:rPr>
      </w:pPr>
      <w:r>
        <w:rPr>
          <w:w w:val="95"/>
          <w:sz w:val="21"/>
        </w:rPr>
        <w:t>宽限期；</w:t>
      </w:r>
    </w:p>
    <w:p>
      <w:pPr>
        <w:pStyle w:val="BodyText"/>
        <w:spacing w:before="8"/>
        <w:rPr>
          <w:sz w:val="26"/>
        </w:rPr>
      </w:pPr>
    </w:p>
    <w:p>
      <w:pPr>
        <w:pStyle w:val="ListParagraph"/>
        <w:numPr>
          <w:ilvl w:val="0"/>
          <w:numId w:val="10"/>
        </w:numPr>
        <w:tabs>
          <w:tab w:pos="941" w:val="left" w:leader="none"/>
          <w:tab w:pos="942" w:val="left" w:leader="none"/>
        </w:tabs>
        <w:spacing w:line="240" w:lineRule="auto" w:before="0" w:after="0"/>
        <w:ind w:left="941" w:right="0" w:hanging="420"/>
        <w:jc w:val="left"/>
        <w:rPr>
          <w:sz w:val="21"/>
        </w:rPr>
      </w:pPr>
      <w:r>
        <w:rPr>
          <w:w w:val="95"/>
          <w:sz w:val="21"/>
        </w:rPr>
        <w:t>保险事故的通知；</w:t>
      </w:r>
    </w:p>
    <w:p>
      <w:pPr>
        <w:pStyle w:val="BodyText"/>
        <w:spacing w:before="8"/>
        <w:rPr>
          <w:sz w:val="26"/>
        </w:rPr>
      </w:pPr>
    </w:p>
    <w:p>
      <w:pPr>
        <w:pStyle w:val="ListParagraph"/>
        <w:numPr>
          <w:ilvl w:val="0"/>
          <w:numId w:val="10"/>
        </w:numPr>
        <w:tabs>
          <w:tab w:pos="941" w:val="left" w:leader="none"/>
          <w:tab w:pos="942" w:val="left" w:leader="none"/>
        </w:tabs>
        <w:spacing w:line="240" w:lineRule="auto" w:before="0" w:after="0"/>
        <w:ind w:left="941" w:right="0" w:hanging="420"/>
        <w:jc w:val="left"/>
        <w:rPr>
          <w:sz w:val="21"/>
        </w:rPr>
      </w:pPr>
      <w:r>
        <w:rPr>
          <w:w w:val="95"/>
          <w:sz w:val="21"/>
        </w:rPr>
        <w:t>合同的变更；</w:t>
      </w:r>
    </w:p>
    <w:p>
      <w:pPr>
        <w:pStyle w:val="BodyText"/>
        <w:spacing w:before="8"/>
        <w:rPr>
          <w:sz w:val="26"/>
        </w:rPr>
      </w:pPr>
    </w:p>
    <w:p>
      <w:pPr>
        <w:pStyle w:val="ListParagraph"/>
        <w:numPr>
          <w:ilvl w:val="0"/>
          <w:numId w:val="10"/>
        </w:numPr>
        <w:tabs>
          <w:tab w:pos="941" w:val="left" w:leader="none"/>
          <w:tab w:pos="942" w:val="left" w:leader="none"/>
        </w:tabs>
        <w:spacing w:line="240" w:lineRule="auto" w:before="0" w:after="0"/>
        <w:ind w:left="941" w:right="0" w:hanging="420"/>
        <w:jc w:val="left"/>
        <w:rPr>
          <w:sz w:val="21"/>
        </w:rPr>
      </w:pPr>
      <w:r>
        <w:rPr>
          <w:w w:val="95"/>
          <w:sz w:val="21"/>
        </w:rPr>
        <w:t>委托代办保险业务；</w:t>
      </w:r>
    </w:p>
    <w:p>
      <w:pPr>
        <w:pStyle w:val="BodyText"/>
        <w:spacing w:before="8"/>
        <w:rPr>
          <w:sz w:val="26"/>
        </w:rPr>
      </w:pPr>
    </w:p>
    <w:p>
      <w:pPr>
        <w:pStyle w:val="ListParagraph"/>
        <w:numPr>
          <w:ilvl w:val="0"/>
          <w:numId w:val="10"/>
        </w:numPr>
        <w:tabs>
          <w:tab w:pos="941" w:val="left" w:leader="none"/>
          <w:tab w:pos="942" w:val="left" w:leader="none"/>
        </w:tabs>
        <w:spacing w:line="240" w:lineRule="auto" w:before="0" w:after="0"/>
        <w:ind w:left="941" w:right="0" w:hanging="420"/>
        <w:jc w:val="left"/>
        <w:rPr>
          <w:sz w:val="21"/>
        </w:rPr>
      </w:pPr>
      <w:r>
        <w:rPr>
          <w:w w:val="95"/>
          <w:sz w:val="21"/>
        </w:rPr>
        <w:t>如实告知义务；</w:t>
      </w:r>
    </w:p>
    <w:p>
      <w:pPr>
        <w:spacing w:after="0" w:line="240" w:lineRule="auto"/>
        <w:jc w:val="left"/>
        <w:rPr>
          <w:sz w:val="21"/>
        </w:rPr>
        <w:sectPr>
          <w:pgSz w:w="11910" w:h="16840"/>
          <w:pgMar w:header="0" w:footer="1197" w:top="1380" w:bottom="1380" w:left="1600" w:right="1600"/>
        </w:sectPr>
      </w:pPr>
    </w:p>
    <w:p>
      <w:pPr>
        <w:pStyle w:val="ListParagraph"/>
        <w:numPr>
          <w:ilvl w:val="0"/>
          <w:numId w:val="10"/>
        </w:numPr>
        <w:tabs>
          <w:tab w:pos="941" w:val="left" w:leader="none"/>
          <w:tab w:pos="942" w:val="left" w:leader="none"/>
        </w:tabs>
        <w:spacing w:line="240" w:lineRule="auto" w:before="5" w:after="0"/>
        <w:ind w:left="941" w:right="0" w:hanging="420"/>
        <w:jc w:val="left"/>
        <w:rPr>
          <w:sz w:val="21"/>
        </w:rPr>
      </w:pPr>
      <w:bookmarkStart w:name="_bookmark9" w:id="14"/>
      <w:bookmarkEnd w:id="14"/>
      <w:r>
        <w:rPr/>
      </w:r>
      <w:bookmarkStart w:name="_bookmark9" w:id="15"/>
      <w:bookmarkEnd w:id="15"/>
      <w:r>
        <w:rPr>
          <w:w w:val="95"/>
          <w:sz w:val="21"/>
        </w:rPr>
        <w:t>现金价值；</w:t>
      </w:r>
    </w:p>
    <w:p>
      <w:pPr>
        <w:pStyle w:val="BodyText"/>
        <w:spacing w:before="8"/>
        <w:rPr>
          <w:sz w:val="26"/>
        </w:rPr>
      </w:pPr>
    </w:p>
    <w:p>
      <w:pPr>
        <w:pStyle w:val="ListParagraph"/>
        <w:numPr>
          <w:ilvl w:val="0"/>
          <w:numId w:val="10"/>
        </w:numPr>
        <w:tabs>
          <w:tab w:pos="941" w:val="left" w:leader="none"/>
          <w:tab w:pos="942" w:val="left" w:leader="none"/>
        </w:tabs>
        <w:spacing w:line="240" w:lineRule="auto" w:before="0" w:after="0"/>
        <w:ind w:left="941" w:right="0" w:hanging="420"/>
        <w:jc w:val="left"/>
        <w:rPr>
          <w:sz w:val="21"/>
        </w:rPr>
      </w:pPr>
      <w:r>
        <w:rPr>
          <w:w w:val="95"/>
          <w:sz w:val="21"/>
        </w:rPr>
        <w:t>被保险人年龄确定错误处理；</w:t>
      </w:r>
    </w:p>
    <w:p>
      <w:pPr>
        <w:pStyle w:val="BodyText"/>
        <w:spacing w:before="8"/>
        <w:rPr>
          <w:sz w:val="26"/>
        </w:rPr>
      </w:pPr>
    </w:p>
    <w:p>
      <w:pPr>
        <w:pStyle w:val="ListParagraph"/>
        <w:numPr>
          <w:ilvl w:val="0"/>
          <w:numId w:val="10"/>
        </w:numPr>
        <w:tabs>
          <w:tab w:pos="941" w:val="left" w:leader="none"/>
          <w:tab w:pos="942" w:val="left" w:leader="none"/>
        </w:tabs>
        <w:spacing w:line="240" w:lineRule="auto" w:before="0" w:after="0"/>
        <w:ind w:left="941" w:right="0" w:hanging="420"/>
        <w:jc w:val="left"/>
        <w:rPr>
          <w:sz w:val="21"/>
        </w:rPr>
      </w:pPr>
      <w:r>
        <w:rPr>
          <w:w w:val="95"/>
          <w:sz w:val="21"/>
        </w:rPr>
        <w:t>争议处理。</w:t>
      </w:r>
    </w:p>
    <w:p>
      <w:pPr>
        <w:pStyle w:val="BodyText"/>
        <w:spacing w:before="12"/>
        <w:rPr>
          <w:sz w:val="29"/>
        </w:rPr>
      </w:pPr>
    </w:p>
    <w:p>
      <w:pPr>
        <w:pStyle w:val="Heading1"/>
        <w:numPr>
          <w:ilvl w:val="0"/>
          <w:numId w:val="6"/>
        </w:numPr>
        <w:tabs>
          <w:tab w:pos="668" w:val="left" w:leader="none"/>
        </w:tabs>
        <w:spacing w:line="240" w:lineRule="auto" w:before="0" w:after="0"/>
        <w:ind w:left="668" w:right="0" w:hanging="567"/>
        <w:jc w:val="both"/>
      </w:pPr>
      <w:r>
        <w:rPr>
          <w:w w:val="95"/>
        </w:rPr>
        <w:t>释义</w:t>
      </w:r>
    </w:p>
    <w:p>
      <w:pPr>
        <w:pStyle w:val="BodyText"/>
        <w:spacing w:before="13"/>
        <w:rPr>
          <w:rFonts w:ascii="Microsoft JhengHei"/>
          <w:b/>
          <w:sz w:val="27"/>
        </w:rPr>
      </w:pPr>
    </w:p>
    <w:p>
      <w:pPr>
        <w:pStyle w:val="Heading1"/>
        <w:numPr>
          <w:ilvl w:val="1"/>
          <w:numId w:val="6"/>
        </w:numPr>
        <w:tabs>
          <w:tab w:pos="882" w:val="left" w:leader="none"/>
        </w:tabs>
        <w:spacing w:line="240" w:lineRule="auto" w:before="0" w:after="0"/>
        <w:ind w:left="101" w:right="0" w:firstLine="0"/>
        <w:jc w:val="both"/>
      </w:pPr>
      <w:r>
        <w:rPr>
          <w:w w:val="95"/>
        </w:rPr>
        <w:t>周岁</w:t>
      </w:r>
    </w:p>
    <w:p>
      <w:pPr>
        <w:pStyle w:val="BodyText"/>
        <w:rPr>
          <w:rFonts w:ascii="Microsoft JhengHei"/>
          <w:b/>
          <w:sz w:val="25"/>
        </w:rPr>
      </w:pPr>
    </w:p>
    <w:p>
      <w:pPr>
        <w:pStyle w:val="BodyText"/>
        <w:spacing w:line="273" w:lineRule="auto"/>
        <w:ind w:left="101" w:right="123"/>
      </w:pPr>
      <w:r>
        <w:rPr/>
        <w:t>指以法定身份证明文件中记载的出生日期为基础, 按照公历的年、月、日，从周岁生日的第</w:t>
      </w:r>
      <w:r>
        <w:rPr>
          <w:w w:val="95"/>
        </w:rPr>
        <w:t>二天起计算的年龄。</w:t>
      </w:r>
    </w:p>
    <w:p>
      <w:pPr>
        <w:pStyle w:val="BodyText"/>
        <w:spacing w:before="12"/>
        <w:rPr>
          <w:sz w:val="27"/>
        </w:rPr>
      </w:pPr>
    </w:p>
    <w:p>
      <w:pPr>
        <w:pStyle w:val="Heading1"/>
        <w:numPr>
          <w:ilvl w:val="1"/>
          <w:numId w:val="6"/>
        </w:numPr>
        <w:tabs>
          <w:tab w:pos="941" w:val="left" w:leader="none"/>
          <w:tab w:pos="942" w:val="left" w:leader="none"/>
        </w:tabs>
        <w:spacing w:line="240" w:lineRule="auto" w:before="0" w:after="0"/>
        <w:ind w:left="941" w:right="0" w:hanging="840"/>
        <w:jc w:val="left"/>
      </w:pPr>
      <w:r>
        <w:rPr>
          <w:w w:val="95"/>
        </w:rPr>
        <w:t>医院</w:t>
      </w:r>
    </w:p>
    <w:p>
      <w:pPr>
        <w:pStyle w:val="BodyText"/>
        <w:spacing w:before="2"/>
        <w:rPr>
          <w:rFonts w:ascii="Microsoft JhengHei"/>
          <w:b/>
          <w:sz w:val="25"/>
        </w:rPr>
      </w:pPr>
    </w:p>
    <w:p>
      <w:pPr>
        <w:pStyle w:val="BodyText"/>
        <w:ind w:left="101"/>
      </w:pPr>
      <w:r>
        <w:rPr>
          <w:w w:val="95"/>
        </w:rPr>
        <w:t>指国家卫生机构认可的公立二级甲等（含）以上的医院。</w:t>
      </w:r>
    </w:p>
    <w:p>
      <w:pPr>
        <w:pStyle w:val="BodyText"/>
        <w:rPr>
          <w:sz w:val="20"/>
        </w:rPr>
      </w:pPr>
    </w:p>
    <w:p>
      <w:pPr>
        <w:pStyle w:val="Heading1"/>
        <w:numPr>
          <w:ilvl w:val="1"/>
          <w:numId w:val="6"/>
        </w:numPr>
        <w:tabs>
          <w:tab w:pos="987" w:val="left" w:leader="none"/>
          <w:tab w:pos="988" w:val="left" w:leader="none"/>
        </w:tabs>
        <w:spacing w:line="240" w:lineRule="auto" w:before="132" w:after="0"/>
        <w:ind w:left="987" w:right="0" w:hanging="886"/>
        <w:jc w:val="left"/>
      </w:pPr>
      <w:r>
        <w:rPr>
          <w:w w:val="95"/>
        </w:rPr>
        <w:t>重大疾病</w:t>
      </w:r>
    </w:p>
    <w:p>
      <w:pPr>
        <w:pStyle w:val="BodyText"/>
        <w:spacing w:before="17"/>
        <w:rPr>
          <w:rFonts w:ascii="Microsoft JhengHei"/>
          <w:b/>
          <w:sz w:val="24"/>
        </w:rPr>
      </w:pPr>
    </w:p>
    <w:p>
      <w:pPr>
        <w:pStyle w:val="BodyText"/>
        <w:spacing w:line="273" w:lineRule="auto"/>
        <w:ind w:left="101" w:right="99"/>
        <w:jc w:val="both"/>
      </w:pPr>
      <w:r>
        <w:rPr>
          <w:spacing w:val="-10"/>
        </w:rPr>
        <w:t>本产品提供 </w:t>
      </w:r>
      <w:r>
        <w:rPr/>
        <w:t>33</w:t>
      </w:r>
      <w:r>
        <w:rPr>
          <w:spacing w:val="-13"/>
        </w:rPr>
        <w:t> 种重大疾病保障。前 </w:t>
      </w:r>
      <w:r>
        <w:rPr/>
        <w:t>23</w:t>
      </w:r>
      <w:r>
        <w:rPr>
          <w:spacing w:val="-8"/>
        </w:rPr>
        <w:t> 种重大疾病为中国保险行业协会制定的《重大疾病保险的疾病定义使用规范》中所定义的疾病。Ⅰ型糖尿病、严重胃肠炎、脊髓灰质炎（或称小</w:t>
      </w:r>
      <w:r>
        <w:rPr>
          <w:spacing w:val="-8"/>
          <w:w w:val="95"/>
        </w:rPr>
        <w:t>儿麻痹症)、严重幼年型类风湿关节炎、细菌性脑脊髓膜炎、经输血导致的人类免疫缺陷病毒</w:t>
      </w:r>
    </w:p>
    <w:p>
      <w:pPr>
        <w:pStyle w:val="BodyText"/>
        <w:spacing w:before="7"/>
        <w:ind w:left="101"/>
      </w:pPr>
      <w:r>
        <w:rPr/>
        <w:t>（HIV）感染等后 10 种重大疾病为本公司根据产品设计需求选用。</w:t>
      </w:r>
    </w:p>
    <w:p>
      <w:pPr>
        <w:pStyle w:val="BodyText"/>
        <w:spacing w:before="3"/>
        <w:rPr>
          <w:sz w:val="27"/>
        </w:rPr>
      </w:pPr>
    </w:p>
    <w:p>
      <w:pPr>
        <w:pStyle w:val="BodyText"/>
        <w:spacing w:line="232" w:lineRule="auto"/>
        <w:ind w:left="101" w:right="149"/>
        <w:jc w:val="both"/>
      </w:pPr>
      <w:r>
        <w:rPr/>
        <w:t>本附加险合同所保障的重大疾病，是指被保险人在主险合同有效且等待期后本附加险合同的</w:t>
      </w:r>
      <w:r>
        <w:rPr>
          <w:spacing w:val="-1"/>
        </w:rPr>
        <w:t>责任有效期间内经</w:t>
      </w:r>
      <w:r>
        <w:rPr>
          <w:rFonts w:ascii="Microsoft JhengHei" w:eastAsia="Microsoft JhengHei" w:hint="eastAsia"/>
          <w:b/>
          <w:spacing w:val="-30"/>
        </w:rPr>
        <w:t>专科医生</w:t>
      </w:r>
      <w:r>
        <w:rPr/>
        <w:t>（</w:t>
      </w:r>
      <w:r>
        <w:rPr>
          <w:spacing w:val="-15"/>
        </w:rPr>
        <w:t>见释义 </w:t>
      </w:r>
      <w:r>
        <w:rPr/>
        <w:t>11.4）明确诊断初次患下列疾病或初次达到下列疾病状</w:t>
      </w:r>
      <w:r>
        <w:rPr>
          <w:w w:val="95"/>
        </w:rPr>
        <w:t>态或在医院初次接受下列手术：</w:t>
      </w:r>
    </w:p>
    <w:p>
      <w:pPr>
        <w:pStyle w:val="BodyText"/>
        <w:spacing w:before="7"/>
      </w:pPr>
    </w:p>
    <w:p>
      <w:pPr>
        <w:pStyle w:val="ListParagraph"/>
        <w:numPr>
          <w:ilvl w:val="2"/>
          <w:numId w:val="6"/>
        </w:numPr>
        <w:tabs>
          <w:tab w:pos="822" w:val="left" w:leader="none"/>
        </w:tabs>
        <w:spacing w:line="240" w:lineRule="auto" w:before="0" w:after="0"/>
        <w:ind w:left="821" w:right="0" w:hanging="720"/>
        <w:jc w:val="left"/>
        <w:rPr>
          <w:rFonts w:ascii="Microsoft JhengHei" w:eastAsia="Microsoft JhengHei" w:hint="eastAsia"/>
          <w:b/>
          <w:sz w:val="21"/>
        </w:rPr>
      </w:pPr>
      <w:r>
        <w:rPr>
          <w:rFonts w:ascii="Microsoft JhengHei" w:eastAsia="Microsoft JhengHei" w:hint="eastAsia"/>
          <w:b/>
          <w:w w:val="95"/>
          <w:sz w:val="21"/>
        </w:rPr>
        <w:t>恶性肿瘤</w:t>
      </w:r>
    </w:p>
    <w:p>
      <w:pPr>
        <w:pStyle w:val="BodyText"/>
        <w:spacing w:before="11"/>
        <w:rPr>
          <w:rFonts w:ascii="Microsoft JhengHei"/>
          <w:b/>
          <w:sz w:val="18"/>
        </w:rPr>
      </w:pPr>
    </w:p>
    <w:p>
      <w:pPr>
        <w:pStyle w:val="BodyText"/>
        <w:spacing w:line="273" w:lineRule="auto" w:before="1"/>
        <w:ind w:left="101" w:right="202"/>
        <w:jc w:val="both"/>
      </w:pPr>
      <w:r>
        <w:rPr/>
        <w:t>指恶性细胞不受控制的进行性增长和扩散，浸润和破坏周围正常组织，可以经血管、淋巴管和体腔扩散转移到身体其它部位的疾病。经病理学检查结果明确诊断，临床诊断属于世界卫</w:t>
      </w:r>
      <w:r>
        <w:rPr>
          <w:w w:val="95"/>
        </w:rPr>
        <w:t>生组织《疾病和有关健康问题的国际统计分类》（ICD-10）的恶性肿瘤范畴。</w:t>
      </w:r>
    </w:p>
    <w:p>
      <w:pPr>
        <w:pStyle w:val="BodyText"/>
        <w:spacing w:before="5"/>
        <w:rPr>
          <w:sz w:val="24"/>
        </w:rPr>
      </w:pPr>
    </w:p>
    <w:p>
      <w:pPr>
        <w:pStyle w:val="BodyText"/>
        <w:ind w:left="101"/>
        <w:jc w:val="both"/>
      </w:pPr>
      <w:r>
        <w:rPr>
          <w:w w:val="95"/>
        </w:rPr>
        <w:t>下列疾病不在保障范围内：</w:t>
      </w:r>
    </w:p>
    <w:p>
      <w:pPr>
        <w:pStyle w:val="BodyText"/>
        <w:spacing w:before="8"/>
        <w:rPr>
          <w:sz w:val="26"/>
        </w:rPr>
      </w:pPr>
    </w:p>
    <w:p>
      <w:pPr>
        <w:pStyle w:val="BodyText"/>
        <w:ind w:left="101"/>
        <w:jc w:val="both"/>
      </w:pPr>
      <w:r>
        <w:rPr>
          <w:w w:val="95"/>
        </w:rPr>
        <w:t>（1）原位癌；</w:t>
      </w:r>
    </w:p>
    <w:p>
      <w:pPr>
        <w:pStyle w:val="BodyText"/>
        <w:spacing w:before="8"/>
        <w:rPr>
          <w:sz w:val="26"/>
        </w:rPr>
      </w:pPr>
    </w:p>
    <w:p>
      <w:pPr>
        <w:pStyle w:val="BodyText"/>
        <w:ind w:left="101"/>
        <w:jc w:val="both"/>
      </w:pPr>
      <w:r>
        <w:rPr/>
        <w:t>（2）相当于 Binet 分期方案 A 期程度的慢性淋巴细胞白血病；</w:t>
      </w:r>
    </w:p>
    <w:p>
      <w:pPr>
        <w:pStyle w:val="BodyText"/>
        <w:spacing w:before="8"/>
        <w:rPr>
          <w:sz w:val="26"/>
        </w:rPr>
      </w:pPr>
    </w:p>
    <w:p>
      <w:pPr>
        <w:pStyle w:val="BodyText"/>
        <w:ind w:left="101"/>
        <w:jc w:val="both"/>
      </w:pPr>
      <w:r>
        <w:rPr/>
        <w:t>（3）相当于 Ann Arbor 分期方案 I 期程度的何杰金氏病；</w:t>
      </w:r>
    </w:p>
    <w:p>
      <w:pPr>
        <w:spacing w:after="0"/>
        <w:jc w:val="both"/>
        <w:sectPr>
          <w:pgSz w:w="11910" w:h="16840"/>
          <w:pgMar w:header="0" w:footer="1197" w:top="1380" w:bottom="1380" w:left="1600" w:right="1600"/>
        </w:sectPr>
      </w:pPr>
    </w:p>
    <w:p>
      <w:pPr>
        <w:pStyle w:val="BodyText"/>
        <w:spacing w:before="5"/>
        <w:ind w:left="101"/>
      </w:pPr>
      <w:r>
        <w:rPr>
          <w:w w:val="99"/>
        </w:rPr>
        <w:t>（</w:t>
      </w:r>
      <w:r>
        <w:rPr>
          <w:spacing w:val="0"/>
          <w:w w:val="99"/>
        </w:rPr>
        <w:t>4</w:t>
      </w:r>
      <w:r>
        <w:rPr>
          <w:spacing w:val="1"/>
          <w:w w:val="99"/>
        </w:rPr>
        <w:t>）</w:t>
      </w:r>
      <w:r>
        <w:rPr>
          <w:w w:val="99"/>
        </w:rPr>
        <w:t>皮肤癌</w:t>
      </w:r>
      <w:r>
        <w:rPr>
          <w:spacing w:val="1"/>
          <w:w w:val="99"/>
        </w:rPr>
        <w:t>（</w:t>
      </w:r>
      <w:r>
        <w:rPr>
          <w:spacing w:val="-1"/>
          <w:w w:val="99"/>
        </w:rPr>
        <w:t>不包括恶性黑色素瘤及已发生转移的皮肤癌</w:t>
      </w:r>
      <w:r>
        <w:rPr>
          <w:spacing w:val="-104"/>
          <w:w w:val="99"/>
        </w:rPr>
        <w:t>）</w:t>
      </w:r>
      <w:r>
        <w:rPr>
          <w:w w:val="99"/>
        </w:rPr>
        <w:t>；</w:t>
      </w:r>
    </w:p>
    <w:p>
      <w:pPr>
        <w:pStyle w:val="BodyText"/>
        <w:rPr>
          <w:sz w:val="20"/>
        </w:rPr>
      </w:pPr>
    </w:p>
    <w:p>
      <w:pPr>
        <w:pStyle w:val="BodyText"/>
        <w:spacing w:before="9"/>
        <w:rPr>
          <w:sz w:val="16"/>
        </w:rPr>
      </w:pPr>
    </w:p>
    <w:p>
      <w:pPr>
        <w:spacing w:before="0"/>
        <w:ind w:left="101" w:right="0" w:firstLine="0"/>
        <w:jc w:val="left"/>
        <w:rPr>
          <w:sz w:val="21"/>
        </w:rPr>
      </w:pPr>
      <w:r>
        <w:rPr>
          <w:w w:val="99"/>
          <w:sz w:val="21"/>
        </w:rPr>
        <w:t>（</w:t>
      </w:r>
      <w:r>
        <w:rPr>
          <w:spacing w:val="0"/>
          <w:w w:val="99"/>
          <w:sz w:val="21"/>
        </w:rPr>
        <w:t>5</w:t>
      </w:r>
      <w:r>
        <w:rPr>
          <w:w w:val="99"/>
          <w:sz w:val="21"/>
        </w:rPr>
        <w:t>）</w:t>
      </w:r>
      <w:r>
        <w:rPr>
          <w:spacing w:val="12"/>
          <w:sz w:val="21"/>
        </w:rPr>
        <w:t> </w:t>
      </w:r>
      <w:r>
        <w:rPr>
          <w:rFonts w:ascii="Times New Roman" w:eastAsia="Times New Roman"/>
          <w:i/>
          <w:spacing w:val="-57"/>
          <w:w w:val="99"/>
          <w:position w:val="6"/>
          <w:sz w:val="24"/>
        </w:rPr>
        <w:t>TN</w:t>
      </w:r>
      <w:r>
        <w:rPr>
          <w:rFonts w:ascii="Times New Roman" w:eastAsia="Times New Roman"/>
          <w:i/>
          <w:w w:val="99"/>
          <w:position w:val="6"/>
          <w:sz w:val="24"/>
        </w:rPr>
        <w:t>M</w:t>
      </w:r>
      <w:r>
        <w:rPr>
          <w:rFonts w:ascii="Times New Roman" w:eastAsia="Times New Roman"/>
          <w:i/>
          <w:spacing w:val="-18"/>
          <w:position w:val="6"/>
          <w:sz w:val="24"/>
        </w:rPr>
        <w:t> </w:t>
      </w:r>
      <w:r>
        <w:rPr>
          <w:spacing w:val="2"/>
          <w:w w:val="99"/>
          <w:sz w:val="21"/>
        </w:rPr>
        <w:t>分期为</w:t>
      </w:r>
      <w:r>
        <w:rPr>
          <w:rFonts w:ascii="Times New Roman" w:eastAsia="Times New Roman"/>
          <w:i/>
          <w:spacing w:val="-64"/>
          <w:position w:val="12"/>
          <w:sz w:val="24"/>
        </w:rPr>
        <w:t>T</w:t>
      </w:r>
      <w:r>
        <w:rPr>
          <w:rFonts w:ascii="Times New Roman" w:eastAsia="Times New Roman"/>
          <w:spacing w:val="10"/>
          <w:w w:val="99"/>
          <w:position w:val="6"/>
          <w:sz w:val="14"/>
        </w:rPr>
        <w:t>1</w:t>
      </w:r>
      <w:r>
        <w:rPr>
          <w:rFonts w:ascii="Times New Roman" w:eastAsia="Times New Roman"/>
          <w:i/>
          <w:spacing w:val="-26"/>
          <w:position w:val="12"/>
          <w:sz w:val="24"/>
        </w:rPr>
        <w:t>N</w:t>
      </w:r>
      <w:r>
        <w:rPr>
          <w:rFonts w:ascii="Times New Roman" w:eastAsia="Times New Roman"/>
          <w:w w:val="99"/>
          <w:position w:val="6"/>
          <w:sz w:val="14"/>
        </w:rPr>
        <w:t>0</w:t>
      </w:r>
      <w:r>
        <w:rPr>
          <w:rFonts w:ascii="Times New Roman" w:eastAsia="Times New Roman"/>
          <w:spacing w:val="-23"/>
          <w:position w:val="6"/>
          <w:sz w:val="14"/>
        </w:rPr>
        <w:t> </w:t>
      </w:r>
      <w:r>
        <w:rPr>
          <w:rFonts w:ascii="Times New Roman" w:eastAsia="Times New Roman"/>
          <w:i/>
          <w:spacing w:val="-13"/>
          <w:position w:val="12"/>
          <w:sz w:val="24"/>
        </w:rPr>
        <w:t>M</w:t>
      </w:r>
      <w:r>
        <w:rPr>
          <w:rFonts w:ascii="Times New Roman" w:eastAsia="Times New Roman"/>
          <w:w w:val="99"/>
          <w:position w:val="6"/>
          <w:sz w:val="14"/>
        </w:rPr>
        <w:t>0</w:t>
      </w:r>
      <w:r>
        <w:rPr>
          <w:rFonts w:ascii="Times New Roman" w:eastAsia="Times New Roman"/>
          <w:spacing w:val="0"/>
          <w:position w:val="6"/>
          <w:sz w:val="14"/>
        </w:rPr>
        <w:t> </w:t>
      </w:r>
      <w:r>
        <w:rPr>
          <w:w w:val="99"/>
          <w:sz w:val="21"/>
        </w:rPr>
        <w:t>期或更轻分期的前列腺癌（</w:t>
      </w:r>
      <w:r>
        <w:rPr>
          <w:spacing w:val="-1"/>
          <w:w w:val="99"/>
          <w:sz w:val="21"/>
        </w:rPr>
        <w:t>注</w:t>
      </w:r>
      <w:r>
        <w:rPr>
          <w:spacing w:val="-104"/>
          <w:w w:val="99"/>
          <w:sz w:val="21"/>
        </w:rPr>
        <w:t>）</w:t>
      </w:r>
      <w:r>
        <w:rPr>
          <w:w w:val="99"/>
          <w:sz w:val="21"/>
        </w:rPr>
        <w:t>；</w:t>
      </w:r>
    </w:p>
    <w:p>
      <w:pPr>
        <w:pStyle w:val="BodyText"/>
        <w:spacing w:before="11"/>
        <w:rPr>
          <w:sz w:val="32"/>
        </w:rPr>
      </w:pPr>
    </w:p>
    <w:p>
      <w:pPr>
        <w:pStyle w:val="BodyText"/>
        <w:spacing w:before="1"/>
        <w:ind w:left="101"/>
      </w:pPr>
      <w:r>
        <w:rPr>
          <w:w w:val="95"/>
        </w:rPr>
        <w:t>（6）感染艾滋病病毒或患艾滋病期间所患恶性肿瘤。</w:t>
      </w:r>
    </w:p>
    <w:p>
      <w:pPr>
        <w:pStyle w:val="BodyText"/>
        <w:spacing w:before="7"/>
      </w:pPr>
    </w:p>
    <w:p>
      <w:pPr>
        <w:pStyle w:val="ListParagraph"/>
        <w:numPr>
          <w:ilvl w:val="2"/>
          <w:numId w:val="6"/>
        </w:numPr>
        <w:tabs>
          <w:tab w:pos="928" w:val="left" w:leader="none"/>
        </w:tabs>
        <w:spacing w:line="240" w:lineRule="auto" w:before="0" w:after="0"/>
        <w:ind w:left="927" w:right="0" w:hanging="826"/>
        <w:jc w:val="left"/>
        <w:rPr>
          <w:rFonts w:ascii="Microsoft JhengHei" w:eastAsia="Microsoft JhengHei" w:hint="eastAsia"/>
          <w:b/>
          <w:sz w:val="21"/>
        </w:rPr>
      </w:pPr>
      <w:r>
        <w:rPr>
          <w:rFonts w:ascii="Microsoft JhengHei" w:eastAsia="Microsoft JhengHei" w:hint="eastAsia"/>
          <w:b/>
          <w:w w:val="95"/>
          <w:sz w:val="21"/>
        </w:rPr>
        <w:t>急性心肌梗塞</w:t>
      </w:r>
    </w:p>
    <w:p>
      <w:pPr>
        <w:pStyle w:val="BodyText"/>
        <w:spacing w:before="11"/>
        <w:rPr>
          <w:rFonts w:ascii="Microsoft JhengHei"/>
          <w:b/>
          <w:sz w:val="18"/>
        </w:rPr>
      </w:pPr>
    </w:p>
    <w:p>
      <w:pPr>
        <w:pStyle w:val="BodyText"/>
        <w:ind w:left="101"/>
      </w:pPr>
      <w:r>
        <w:rPr>
          <w:w w:val="95"/>
        </w:rPr>
        <w:t>指因冠状动脉阻塞导致的相应区域供血不足造成部分心肌坏死。须满足下列至少三项条件：</w:t>
      </w:r>
    </w:p>
    <w:p>
      <w:pPr>
        <w:pStyle w:val="BodyText"/>
        <w:spacing w:before="8"/>
        <w:rPr>
          <w:sz w:val="26"/>
        </w:rPr>
      </w:pPr>
    </w:p>
    <w:p>
      <w:pPr>
        <w:pStyle w:val="BodyText"/>
        <w:ind w:left="101"/>
      </w:pPr>
      <w:r>
        <w:rPr>
          <w:w w:val="95"/>
        </w:rPr>
        <w:t>（1）典型临床表现，例如急性胸痛等；</w:t>
      </w:r>
    </w:p>
    <w:p>
      <w:pPr>
        <w:pStyle w:val="BodyText"/>
        <w:spacing w:before="8"/>
        <w:rPr>
          <w:sz w:val="26"/>
        </w:rPr>
      </w:pPr>
    </w:p>
    <w:p>
      <w:pPr>
        <w:pStyle w:val="BodyText"/>
        <w:ind w:left="101"/>
      </w:pPr>
      <w:r>
        <w:rPr>
          <w:w w:val="95"/>
        </w:rPr>
        <w:t>（2）新近的心电图改变提示急性心肌梗塞；</w:t>
      </w:r>
    </w:p>
    <w:p>
      <w:pPr>
        <w:pStyle w:val="BodyText"/>
        <w:spacing w:before="8"/>
        <w:rPr>
          <w:sz w:val="26"/>
        </w:rPr>
      </w:pPr>
    </w:p>
    <w:p>
      <w:pPr>
        <w:pStyle w:val="BodyText"/>
        <w:ind w:left="101"/>
      </w:pPr>
      <w:r>
        <w:rPr>
          <w:w w:val="95"/>
        </w:rPr>
        <w:t>（3）心肌酶或肌钙蛋白有诊断意义的升高，或呈符合急性心肌梗塞的动态性变化；</w:t>
      </w:r>
    </w:p>
    <w:p>
      <w:pPr>
        <w:pStyle w:val="BodyText"/>
        <w:spacing w:before="8"/>
        <w:rPr>
          <w:sz w:val="26"/>
        </w:rPr>
      </w:pPr>
    </w:p>
    <w:p>
      <w:pPr>
        <w:pStyle w:val="BodyText"/>
        <w:ind w:left="101"/>
      </w:pPr>
      <w:r>
        <w:rPr/>
        <w:t>（4）发病 90 天后，经检查证实左心室功能降低，如左心室射血分数低于 50%。</w:t>
      </w:r>
    </w:p>
    <w:p>
      <w:pPr>
        <w:pStyle w:val="BodyText"/>
        <w:spacing w:before="7"/>
      </w:pPr>
    </w:p>
    <w:p>
      <w:pPr>
        <w:pStyle w:val="ListParagraph"/>
        <w:numPr>
          <w:ilvl w:val="2"/>
          <w:numId w:val="6"/>
        </w:numPr>
        <w:tabs>
          <w:tab w:pos="928" w:val="left" w:leader="none"/>
        </w:tabs>
        <w:spacing w:line="240" w:lineRule="auto" w:before="0" w:after="0"/>
        <w:ind w:left="927" w:right="0" w:hanging="826"/>
        <w:jc w:val="left"/>
        <w:rPr>
          <w:rFonts w:ascii="Microsoft JhengHei" w:eastAsia="Microsoft JhengHei" w:hint="eastAsia"/>
          <w:b/>
          <w:sz w:val="21"/>
        </w:rPr>
      </w:pPr>
      <w:r>
        <w:rPr>
          <w:rFonts w:ascii="Microsoft JhengHei" w:eastAsia="Microsoft JhengHei" w:hint="eastAsia"/>
          <w:b/>
          <w:w w:val="95"/>
          <w:sz w:val="21"/>
        </w:rPr>
        <w:t>脑中风后遗症</w:t>
      </w:r>
    </w:p>
    <w:p>
      <w:pPr>
        <w:pStyle w:val="BodyText"/>
        <w:spacing w:before="11"/>
        <w:rPr>
          <w:rFonts w:ascii="Microsoft JhengHei"/>
          <w:b/>
          <w:sz w:val="18"/>
        </w:rPr>
      </w:pPr>
    </w:p>
    <w:p>
      <w:pPr>
        <w:pStyle w:val="BodyText"/>
        <w:spacing w:line="273" w:lineRule="auto"/>
        <w:ind w:left="101" w:right="202"/>
      </w:pPr>
      <w:r>
        <w:rPr/>
        <w:t>指因脑血管的突发病变引起脑血管出血、栓塞或梗塞，并导致神经系统永久性的功能障碍。神经系统永久性的功能障碍，指疾病确诊 180 天后，仍遗留下列一种或一种以上障碍：</w:t>
      </w:r>
    </w:p>
    <w:p>
      <w:pPr>
        <w:pStyle w:val="BodyText"/>
        <w:spacing w:before="3"/>
        <w:rPr>
          <w:sz w:val="19"/>
        </w:rPr>
      </w:pPr>
    </w:p>
    <w:p>
      <w:pPr>
        <w:spacing w:before="0"/>
        <w:ind w:left="101" w:right="0" w:firstLine="0"/>
        <w:jc w:val="left"/>
        <w:rPr>
          <w:sz w:val="21"/>
        </w:rPr>
      </w:pPr>
      <w:r>
        <w:rPr>
          <w:w w:val="99"/>
          <w:sz w:val="21"/>
        </w:rPr>
        <w:t>（</w:t>
      </w:r>
      <w:r>
        <w:rPr>
          <w:spacing w:val="0"/>
          <w:w w:val="99"/>
          <w:sz w:val="21"/>
        </w:rPr>
        <w:t>1</w:t>
      </w:r>
      <w:r>
        <w:rPr>
          <w:spacing w:val="1"/>
          <w:w w:val="99"/>
          <w:sz w:val="21"/>
        </w:rPr>
        <w:t>）</w:t>
      </w:r>
      <w:r>
        <w:rPr>
          <w:spacing w:val="-1"/>
          <w:w w:val="99"/>
          <w:sz w:val="21"/>
        </w:rPr>
        <w:t>一肢或一肢以上</w:t>
      </w:r>
      <w:r>
        <w:rPr>
          <w:rFonts w:ascii="Microsoft JhengHei" w:eastAsia="Microsoft JhengHei" w:hint="eastAsia"/>
          <w:b/>
          <w:spacing w:val="-26"/>
          <w:w w:val="99"/>
          <w:sz w:val="21"/>
        </w:rPr>
        <w:t>肢体机能完全丧失</w:t>
      </w:r>
      <w:r>
        <w:rPr>
          <w:spacing w:val="1"/>
          <w:w w:val="99"/>
          <w:sz w:val="21"/>
        </w:rPr>
        <w:t>（</w:t>
      </w:r>
      <w:r>
        <w:rPr>
          <w:w w:val="99"/>
          <w:sz w:val="21"/>
        </w:rPr>
        <w:t>见释义</w:t>
      </w:r>
      <w:r>
        <w:rPr>
          <w:spacing w:val="-53"/>
          <w:sz w:val="21"/>
        </w:rPr>
        <w:t> </w:t>
      </w:r>
      <w:r>
        <w:rPr>
          <w:spacing w:val="0"/>
          <w:w w:val="99"/>
          <w:sz w:val="21"/>
        </w:rPr>
        <w:t>11</w:t>
      </w:r>
      <w:r>
        <w:rPr>
          <w:spacing w:val="-2"/>
          <w:w w:val="99"/>
          <w:sz w:val="21"/>
        </w:rPr>
        <w:t>.</w:t>
      </w:r>
      <w:r>
        <w:rPr>
          <w:spacing w:val="0"/>
          <w:w w:val="99"/>
          <w:sz w:val="21"/>
        </w:rPr>
        <w:t>5</w:t>
      </w:r>
      <w:r>
        <w:rPr>
          <w:spacing w:val="-106"/>
          <w:w w:val="99"/>
          <w:sz w:val="21"/>
        </w:rPr>
        <w:t>）</w:t>
      </w:r>
      <w:r>
        <w:rPr>
          <w:w w:val="99"/>
          <w:sz w:val="21"/>
        </w:rPr>
        <w:t>；</w:t>
      </w:r>
    </w:p>
    <w:p>
      <w:pPr>
        <w:pStyle w:val="BodyText"/>
        <w:spacing w:before="9"/>
        <w:rPr>
          <w:sz w:val="19"/>
        </w:rPr>
      </w:pPr>
    </w:p>
    <w:p>
      <w:pPr>
        <w:spacing w:before="0"/>
        <w:ind w:left="101" w:right="0" w:firstLine="0"/>
        <w:jc w:val="left"/>
        <w:rPr>
          <w:sz w:val="21"/>
        </w:rPr>
      </w:pPr>
      <w:r>
        <w:rPr>
          <w:w w:val="99"/>
          <w:sz w:val="21"/>
        </w:rPr>
        <w:t>（</w:t>
      </w:r>
      <w:r>
        <w:rPr>
          <w:spacing w:val="0"/>
          <w:w w:val="99"/>
          <w:sz w:val="21"/>
        </w:rPr>
        <w:t>2</w:t>
      </w:r>
      <w:r>
        <w:rPr>
          <w:spacing w:val="-7"/>
          <w:w w:val="99"/>
          <w:sz w:val="21"/>
        </w:rPr>
        <w:t>）</w:t>
      </w:r>
      <w:r>
        <w:rPr>
          <w:rFonts w:ascii="Microsoft JhengHei" w:eastAsia="Microsoft JhengHei" w:hint="eastAsia"/>
          <w:b/>
          <w:spacing w:val="-24"/>
          <w:w w:val="99"/>
          <w:sz w:val="21"/>
        </w:rPr>
        <w:t>语言能力或咀嚼吞咽能力完全丧失</w:t>
      </w:r>
      <w:r>
        <w:rPr>
          <w:spacing w:val="1"/>
          <w:w w:val="99"/>
          <w:sz w:val="21"/>
        </w:rPr>
        <w:t>（</w:t>
      </w:r>
      <w:r>
        <w:rPr>
          <w:w w:val="99"/>
          <w:sz w:val="21"/>
        </w:rPr>
        <w:t>见释义</w:t>
      </w:r>
      <w:r>
        <w:rPr>
          <w:spacing w:val="-53"/>
          <w:sz w:val="21"/>
        </w:rPr>
        <w:t> </w:t>
      </w:r>
      <w:r>
        <w:rPr>
          <w:spacing w:val="0"/>
          <w:w w:val="99"/>
          <w:sz w:val="21"/>
        </w:rPr>
        <w:t>11</w:t>
      </w:r>
      <w:r>
        <w:rPr>
          <w:spacing w:val="-2"/>
          <w:w w:val="99"/>
          <w:sz w:val="21"/>
        </w:rPr>
        <w:t>.</w:t>
      </w:r>
      <w:r>
        <w:rPr>
          <w:spacing w:val="0"/>
          <w:w w:val="99"/>
          <w:sz w:val="21"/>
        </w:rPr>
        <w:t>6</w:t>
      </w:r>
      <w:r>
        <w:rPr>
          <w:spacing w:val="-106"/>
          <w:w w:val="99"/>
          <w:sz w:val="21"/>
        </w:rPr>
        <w:t>）</w:t>
      </w:r>
      <w:r>
        <w:rPr>
          <w:w w:val="99"/>
          <w:sz w:val="21"/>
        </w:rPr>
        <w:t>；</w:t>
      </w:r>
    </w:p>
    <w:p>
      <w:pPr>
        <w:pStyle w:val="BodyText"/>
        <w:spacing w:before="9"/>
        <w:rPr>
          <w:sz w:val="19"/>
        </w:rPr>
      </w:pPr>
    </w:p>
    <w:p>
      <w:pPr>
        <w:pStyle w:val="BodyText"/>
        <w:spacing w:line="249" w:lineRule="auto"/>
        <w:ind w:left="101" w:right="99"/>
      </w:pPr>
      <w:r>
        <w:rPr>
          <w:spacing w:val="-5"/>
        </w:rPr>
        <w:t>（3）</w:t>
      </w:r>
      <w:r>
        <w:rPr>
          <w:spacing w:val="-3"/>
        </w:rPr>
        <w:t>自主生活能力完全丧失，无法独立完成</w:t>
      </w:r>
      <w:r>
        <w:rPr>
          <w:rFonts w:ascii="Microsoft JhengHei" w:eastAsia="Microsoft JhengHei" w:hint="eastAsia"/>
          <w:b/>
          <w:spacing w:val="-28"/>
        </w:rPr>
        <w:t>六项基本日常生活</w:t>
      </w:r>
      <w:r>
        <w:rPr/>
        <w:t>（</w:t>
      </w:r>
      <w:r>
        <w:rPr>
          <w:spacing w:val="-8"/>
        </w:rPr>
        <w:t>见释义 </w:t>
      </w:r>
      <w:r>
        <w:rPr>
          <w:spacing w:val="-4"/>
        </w:rPr>
        <w:t>11.7）</w:t>
      </w:r>
      <w:r>
        <w:rPr/>
        <w:t>活动中的三项</w:t>
      </w:r>
      <w:r>
        <w:rPr>
          <w:w w:val="95"/>
        </w:rPr>
        <w:t>或三项以上。</w:t>
      </w:r>
    </w:p>
    <w:p>
      <w:pPr>
        <w:pStyle w:val="BodyText"/>
        <w:spacing w:before="11"/>
        <w:rPr>
          <w:sz w:val="20"/>
        </w:rPr>
      </w:pPr>
    </w:p>
    <w:p>
      <w:pPr>
        <w:pStyle w:val="ListParagraph"/>
        <w:numPr>
          <w:ilvl w:val="2"/>
          <w:numId w:val="6"/>
        </w:numPr>
        <w:tabs>
          <w:tab w:pos="822" w:val="left" w:leader="none"/>
        </w:tabs>
        <w:spacing w:line="240" w:lineRule="auto" w:before="0" w:after="0"/>
        <w:ind w:left="821" w:right="0" w:hanging="720"/>
        <w:jc w:val="left"/>
        <w:rPr>
          <w:rFonts w:ascii="Microsoft JhengHei" w:eastAsia="Microsoft JhengHei" w:hint="eastAsia"/>
          <w:b/>
          <w:sz w:val="21"/>
        </w:rPr>
      </w:pPr>
      <w:r>
        <w:rPr>
          <w:rFonts w:ascii="Microsoft JhengHei" w:eastAsia="Microsoft JhengHei" w:hint="eastAsia"/>
          <w:b/>
          <w:w w:val="95"/>
          <w:sz w:val="21"/>
        </w:rPr>
        <w:t>重大器官移植术或造血干细胞移植术</w:t>
      </w:r>
    </w:p>
    <w:p>
      <w:pPr>
        <w:pStyle w:val="BodyText"/>
        <w:spacing w:before="11"/>
        <w:rPr>
          <w:rFonts w:ascii="Microsoft JhengHei"/>
          <w:b/>
          <w:sz w:val="18"/>
        </w:rPr>
      </w:pPr>
    </w:p>
    <w:p>
      <w:pPr>
        <w:pStyle w:val="BodyText"/>
        <w:spacing w:line="273" w:lineRule="auto"/>
        <w:ind w:left="101" w:right="202"/>
      </w:pPr>
      <w:r>
        <w:rPr/>
        <w:t>重大器官移植术，指因相应器官功能衰竭，已经实施了肾脏、肝脏、心脏或肺脏的异体移植</w:t>
      </w:r>
      <w:r>
        <w:rPr>
          <w:w w:val="95"/>
        </w:rPr>
        <w:t>手术。</w:t>
      </w:r>
    </w:p>
    <w:p>
      <w:pPr>
        <w:pStyle w:val="BodyText"/>
        <w:spacing w:before="5"/>
        <w:rPr>
          <w:sz w:val="24"/>
        </w:rPr>
      </w:pPr>
    </w:p>
    <w:p>
      <w:pPr>
        <w:pStyle w:val="BodyText"/>
        <w:spacing w:line="273" w:lineRule="auto"/>
        <w:ind w:left="101" w:right="202"/>
      </w:pPr>
      <w:r>
        <w:rPr/>
        <w:t>造血干细胞移植术，指因造血功能损害或造血系统恶性肿瘤，已经实施了造血干细胞（包括</w:t>
      </w:r>
      <w:r>
        <w:rPr>
          <w:w w:val="95"/>
        </w:rPr>
        <w:t>骨髓造血干细胞、外周血造血干细胞和脐血造血干细胞）的异体移植手术。</w:t>
      </w:r>
    </w:p>
    <w:p>
      <w:pPr>
        <w:pStyle w:val="BodyText"/>
        <w:spacing w:before="3"/>
        <w:rPr>
          <w:sz w:val="19"/>
        </w:rPr>
      </w:pPr>
    </w:p>
    <w:p>
      <w:pPr>
        <w:pStyle w:val="ListParagraph"/>
        <w:numPr>
          <w:ilvl w:val="2"/>
          <w:numId w:val="6"/>
        </w:numPr>
        <w:tabs>
          <w:tab w:pos="822" w:val="left" w:leader="none"/>
        </w:tabs>
        <w:spacing w:line="240" w:lineRule="auto" w:before="1" w:after="0"/>
        <w:ind w:left="821" w:right="0" w:hanging="720"/>
        <w:jc w:val="left"/>
        <w:rPr>
          <w:rFonts w:ascii="Microsoft JhengHei" w:eastAsia="Microsoft JhengHei" w:hint="eastAsia"/>
          <w:b/>
          <w:sz w:val="21"/>
        </w:rPr>
      </w:pPr>
      <w:r>
        <w:rPr>
          <w:rFonts w:ascii="Microsoft JhengHei" w:eastAsia="Microsoft JhengHei" w:hint="eastAsia"/>
          <w:b/>
          <w:w w:val="95"/>
          <w:sz w:val="21"/>
        </w:rPr>
        <w:t>冠状动脉搭桥术（或称冠状动脉旁路移植术）</w:t>
      </w:r>
    </w:p>
    <w:p>
      <w:pPr>
        <w:pStyle w:val="BodyText"/>
        <w:spacing w:before="12"/>
        <w:rPr>
          <w:rFonts w:ascii="Microsoft JhengHei"/>
          <w:b/>
          <w:sz w:val="18"/>
        </w:rPr>
      </w:pPr>
    </w:p>
    <w:p>
      <w:pPr>
        <w:pStyle w:val="BodyText"/>
        <w:ind w:left="101"/>
      </w:pPr>
      <w:r>
        <w:rPr>
          <w:w w:val="95"/>
        </w:rPr>
        <w:t>指为治疗严重的冠心病，实际实施了开胸进行的冠状动脉血管旁路移植的手术。</w:t>
      </w:r>
    </w:p>
    <w:p>
      <w:pPr>
        <w:pStyle w:val="BodyText"/>
        <w:spacing w:before="8"/>
        <w:rPr>
          <w:sz w:val="26"/>
        </w:rPr>
      </w:pPr>
    </w:p>
    <w:p>
      <w:pPr>
        <w:pStyle w:val="BodyText"/>
        <w:spacing w:before="1"/>
        <w:ind w:left="101"/>
      </w:pPr>
      <w:r>
        <w:rPr>
          <w:w w:val="95"/>
        </w:rPr>
        <w:t>冠状动脉支架植入术、心导管球囊扩张术、激光射频技术及其他非开胸的介入手术、腔镜手</w:t>
      </w:r>
    </w:p>
    <w:p>
      <w:pPr>
        <w:spacing w:after="0"/>
        <w:sectPr>
          <w:pgSz w:w="11910" w:h="16840"/>
          <w:pgMar w:header="0" w:footer="1197" w:top="1380" w:bottom="1380" w:left="1600" w:right="1600"/>
        </w:sectPr>
      </w:pPr>
    </w:p>
    <w:p>
      <w:pPr>
        <w:pStyle w:val="BodyText"/>
        <w:spacing w:before="5"/>
        <w:ind w:left="101"/>
      </w:pPr>
      <w:r>
        <w:rPr>
          <w:w w:val="95"/>
        </w:rPr>
        <w:t>术不在保障范围内。</w:t>
      </w:r>
    </w:p>
    <w:p>
      <w:pPr>
        <w:pStyle w:val="BodyText"/>
        <w:spacing w:before="7"/>
      </w:pPr>
    </w:p>
    <w:p>
      <w:pPr>
        <w:pStyle w:val="ListParagraph"/>
        <w:numPr>
          <w:ilvl w:val="2"/>
          <w:numId w:val="6"/>
        </w:numPr>
        <w:tabs>
          <w:tab w:pos="822" w:val="left" w:leader="none"/>
        </w:tabs>
        <w:spacing w:line="240" w:lineRule="auto" w:before="0" w:after="0"/>
        <w:ind w:left="821" w:right="0" w:hanging="720"/>
        <w:jc w:val="left"/>
        <w:rPr>
          <w:rFonts w:ascii="Microsoft JhengHei" w:eastAsia="Microsoft JhengHei" w:hint="eastAsia"/>
          <w:b/>
          <w:sz w:val="21"/>
        </w:rPr>
      </w:pPr>
      <w:r>
        <w:rPr>
          <w:rFonts w:ascii="Microsoft JhengHei" w:eastAsia="Microsoft JhengHei" w:hint="eastAsia"/>
          <w:b/>
          <w:w w:val="95"/>
          <w:sz w:val="21"/>
        </w:rPr>
        <w:t>终末期肾病（或称慢性肾功能衰竭尿毒症期）</w:t>
      </w:r>
    </w:p>
    <w:p>
      <w:pPr>
        <w:pStyle w:val="BodyText"/>
        <w:spacing w:before="11"/>
        <w:rPr>
          <w:rFonts w:ascii="Microsoft JhengHei"/>
          <w:b/>
          <w:sz w:val="18"/>
        </w:rPr>
      </w:pPr>
    </w:p>
    <w:p>
      <w:pPr>
        <w:pStyle w:val="BodyText"/>
        <w:spacing w:line="273" w:lineRule="auto" w:before="1"/>
        <w:ind w:left="101" w:right="99"/>
      </w:pPr>
      <w:r>
        <w:rPr>
          <w:spacing w:val="-2"/>
        </w:rPr>
        <w:t>指双肾功能慢性不可逆性衰竭，达到尿毒症期，经诊断后已经进行了至少 </w:t>
      </w:r>
      <w:r>
        <w:rPr/>
        <w:t>90</w:t>
      </w:r>
      <w:r>
        <w:rPr>
          <w:spacing w:val="-8"/>
        </w:rPr>
        <w:t> 天的规律性透析</w:t>
      </w:r>
      <w:r>
        <w:rPr>
          <w:spacing w:val="-8"/>
          <w:w w:val="95"/>
        </w:rPr>
        <w:t>治疗或实施了肾脏移植手术。</w:t>
      </w:r>
    </w:p>
    <w:p>
      <w:pPr>
        <w:pStyle w:val="BodyText"/>
        <w:spacing w:before="4"/>
        <w:rPr>
          <w:sz w:val="19"/>
        </w:rPr>
      </w:pPr>
    </w:p>
    <w:p>
      <w:pPr>
        <w:pStyle w:val="ListParagraph"/>
        <w:numPr>
          <w:ilvl w:val="2"/>
          <w:numId w:val="6"/>
        </w:numPr>
        <w:tabs>
          <w:tab w:pos="822" w:val="left" w:leader="none"/>
        </w:tabs>
        <w:spacing w:line="240" w:lineRule="auto" w:before="0" w:after="0"/>
        <w:ind w:left="821" w:right="0" w:hanging="720"/>
        <w:jc w:val="left"/>
        <w:rPr>
          <w:rFonts w:ascii="Microsoft JhengHei" w:eastAsia="Microsoft JhengHei" w:hint="eastAsia"/>
          <w:b/>
          <w:sz w:val="21"/>
        </w:rPr>
      </w:pPr>
      <w:r>
        <w:rPr>
          <w:rFonts w:ascii="Microsoft JhengHei" w:eastAsia="Microsoft JhengHei" w:hint="eastAsia"/>
          <w:b/>
          <w:w w:val="95"/>
          <w:sz w:val="21"/>
        </w:rPr>
        <w:t>多个肢体缺失</w:t>
      </w:r>
    </w:p>
    <w:p>
      <w:pPr>
        <w:pStyle w:val="BodyText"/>
        <w:spacing w:before="11"/>
        <w:rPr>
          <w:rFonts w:ascii="Microsoft JhengHei"/>
          <w:b/>
          <w:sz w:val="18"/>
        </w:rPr>
      </w:pPr>
    </w:p>
    <w:p>
      <w:pPr>
        <w:pStyle w:val="BodyText"/>
        <w:spacing w:line="273" w:lineRule="auto"/>
        <w:ind w:left="101" w:right="202"/>
      </w:pPr>
      <w:r>
        <w:rPr/>
        <w:t>指因疾病或意外伤害导致两个或两个以上肢体自腕关节或踝关节近端（靠近躯干端）以上完</w:t>
      </w:r>
      <w:r>
        <w:rPr>
          <w:w w:val="95"/>
        </w:rPr>
        <w:t>全性断离。</w:t>
      </w:r>
    </w:p>
    <w:p>
      <w:pPr>
        <w:pStyle w:val="BodyText"/>
        <w:spacing w:before="3"/>
        <w:rPr>
          <w:sz w:val="19"/>
        </w:rPr>
      </w:pPr>
    </w:p>
    <w:p>
      <w:pPr>
        <w:pStyle w:val="ListParagraph"/>
        <w:numPr>
          <w:ilvl w:val="2"/>
          <w:numId w:val="6"/>
        </w:numPr>
        <w:tabs>
          <w:tab w:pos="822" w:val="left" w:leader="none"/>
        </w:tabs>
        <w:spacing w:line="240" w:lineRule="auto" w:before="0" w:after="0"/>
        <w:ind w:left="821" w:right="0" w:hanging="720"/>
        <w:jc w:val="left"/>
        <w:rPr>
          <w:rFonts w:ascii="Microsoft JhengHei" w:eastAsia="Microsoft JhengHei" w:hint="eastAsia"/>
          <w:b/>
          <w:sz w:val="21"/>
        </w:rPr>
      </w:pPr>
      <w:r>
        <w:rPr>
          <w:rFonts w:ascii="Microsoft JhengHei" w:eastAsia="Microsoft JhengHei" w:hint="eastAsia"/>
          <w:b/>
          <w:w w:val="95"/>
          <w:sz w:val="21"/>
        </w:rPr>
        <w:t>急性或亚急性重症肝炎</w:t>
      </w:r>
    </w:p>
    <w:p>
      <w:pPr>
        <w:pStyle w:val="BodyText"/>
        <w:spacing w:before="11"/>
        <w:rPr>
          <w:rFonts w:ascii="Microsoft JhengHei"/>
          <w:b/>
          <w:sz w:val="18"/>
        </w:rPr>
      </w:pPr>
    </w:p>
    <w:p>
      <w:pPr>
        <w:pStyle w:val="BodyText"/>
        <w:spacing w:line="273" w:lineRule="auto"/>
        <w:ind w:left="101" w:right="202"/>
      </w:pPr>
      <w:r>
        <w:rPr/>
        <w:t>指因肝炎病毒感染引起肝脏组织弥漫性坏死，导致急性肝功能衰竭，且经血清学或病毒学检</w:t>
      </w:r>
      <w:r>
        <w:rPr>
          <w:w w:val="95"/>
        </w:rPr>
        <w:t>查证实，并须满足下列全部条件：</w:t>
      </w:r>
    </w:p>
    <w:p>
      <w:pPr>
        <w:pStyle w:val="BodyText"/>
        <w:spacing w:before="5"/>
        <w:rPr>
          <w:sz w:val="24"/>
        </w:rPr>
      </w:pPr>
    </w:p>
    <w:p>
      <w:pPr>
        <w:pStyle w:val="BodyText"/>
        <w:ind w:left="101"/>
      </w:pPr>
      <w:r>
        <w:rPr>
          <w:w w:val="95"/>
        </w:rPr>
        <w:t>（1）重度黄疸或黄疸迅速加重；</w:t>
      </w:r>
    </w:p>
    <w:p>
      <w:pPr>
        <w:pStyle w:val="BodyText"/>
        <w:spacing w:before="8"/>
        <w:rPr>
          <w:sz w:val="26"/>
        </w:rPr>
      </w:pPr>
    </w:p>
    <w:p>
      <w:pPr>
        <w:pStyle w:val="BodyText"/>
        <w:ind w:left="101"/>
      </w:pPr>
      <w:r>
        <w:rPr>
          <w:w w:val="95"/>
        </w:rPr>
        <w:t>（2）肝性脑病；</w:t>
      </w:r>
    </w:p>
    <w:p>
      <w:pPr>
        <w:pStyle w:val="BodyText"/>
        <w:spacing w:before="8"/>
        <w:rPr>
          <w:sz w:val="26"/>
        </w:rPr>
      </w:pPr>
    </w:p>
    <w:p>
      <w:pPr>
        <w:pStyle w:val="BodyText"/>
        <w:ind w:left="101"/>
      </w:pPr>
      <w:r>
        <w:rPr/>
        <w:t>（3）B 超或其他影像学检查显示肝脏体积急速萎缩；</w:t>
      </w:r>
    </w:p>
    <w:p>
      <w:pPr>
        <w:pStyle w:val="BodyText"/>
        <w:spacing w:before="8"/>
        <w:rPr>
          <w:sz w:val="26"/>
        </w:rPr>
      </w:pPr>
    </w:p>
    <w:p>
      <w:pPr>
        <w:pStyle w:val="BodyText"/>
        <w:ind w:left="101"/>
      </w:pPr>
      <w:r>
        <w:rPr>
          <w:w w:val="95"/>
        </w:rPr>
        <w:t>（4）肝功能指标进行性恶化。</w:t>
      </w:r>
    </w:p>
    <w:p>
      <w:pPr>
        <w:pStyle w:val="BodyText"/>
        <w:spacing w:before="7"/>
      </w:pPr>
    </w:p>
    <w:p>
      <w:pPr>
        <w:pStyle w:val="ListParagraph"/>
        <w:numPr>
          <w:ilvl w:val="2"/>
          <w:numId w:val="6"/>
        </w:numPr>
        <w:tabs>
          <w:tab w:pos="822" w:val="left" w:leader="none"/>
        </w:tabs>
        <w:spacing w:line="240" w:lineRule="auto" w:before="0" w:after="0"/>
        <w:ind w:left="821" w:right="0" w:hanging="720"/>
        <w:jc w:val="left"/>
        <w:rPr>
          <w:rFonts w:ascii="Microsoft JhengHei" w:eastAsia="Microsoft JhengHei" w:hint="eastAsia"/>
          <w:b/>
          <w:sz w:val="21"/>
        </w:rPr>
      </w:pPr>
      <w:r>
        <w:rPr>
          <w:rFonts w:ascii="Microsoft JhengHei" w:eastAsia="Microsoft JhengHei" w:hint="eastAsia"/>
          <w:b/>
          <w:w w:val="95"/>
          <w:sz w:val="21"/>
        </w:rPr>
        <w:t>良性脑肿瘤</w:t>
      </w:r>
    </w:p>
    <w:p>
      <w:pPr>
        <w:pStyle w:val="BodyText"/>
        <w:spacing w:before="11"/>
        <w:rPr>
          <w:rFonts w:ascii="Microsoft JhengHei"/>
          <w:b/>
          <w:sz w:val="18"/>
        </w:rPr>
      </w:pPr>
    </w:p>
    <w:p>
      <w:pPr>
        <w:pStyle w:val="BodyText"/>
        <w:spacing w:line="273" w:lineRule="auto" w:before="1"/>
        <w:ind w:left="101" w:right="202"/>
        <w:jc w:val="both"/>
      </w:pPr>
      <w:r>
        <w:rPr/>
        <w:t>指脑的良性肿瘤，已经引起颅内压增高，临床表现为视神经乳头水肿、精神症状、癫痫及运</w:t>
      </w:r>
      <w:r>
        <w:rPr>
          <w:w w:val="99"/>
        </w:rPr>
        <w:t>动感觉障碍等，并危及生命。须由头颅断层扫描</w:t>
      </w:r>
      <w:r>
        <w:rPr>
          <w:spacing w:val="-1"/>
          <w:w w:val="99"/>
        </w:rPr>
        <w:t>（</w:t>
      </w:r>
      <w:r>
        <w:rPr>
          <w:spacing w:val="0"/>
          <w:w w:val="99"/>
        </w:rPr>
        <w:t>C</w:t>
      </w:r>
      <w:r>
        <w:rPr>
          <w:spacing w:val="-2"/>
          <w:w w:val="99"/>
        </w:rPr>
        <w:t>T</w:t>
      </w:r>
      <w:r>
        <w:rPr>
          <w:spacing w:val="-104"/>
          <w:w w:val="99"/>
        </w:rPr>
        <w:t>）</w:t>
      </w:r>
      <w:r>
        <w:rPr>
          <w:w w:val="99"/>
        </w:rPr>
        <w:t>、核磁共振检查</w:t>
      </w:r>
      <w:r>
        <w:rPr>
          <w:spacing w:val="-1"/>
          <w:w w:val="99"/>
        </w:rPr>
        <w:t>（</w:t>
      </w:r>
      <w:r>
        <w:rPr>
          <w:spacing w:val="0"/>
          <w:w w:val="99"/>
        </w:rPr>
        <w:t>MR</w:t>
      </w:r>
      <w:r>
        <w:rPr>
          <w:spacing w:val="-2"/>
          <w:w w:val="99"/>
        </w:rPr>
        <w:t>I</w:t>
      </w:r>
      <w:r>
        <w:rPr>
          <w:spacing w:val="1"/>
          <w:w w:val="99"/>
        </w:rPr>
        <w:t>）</w:t>
      </w:r>
      <w:r>
        <w:rPr>
          <w:w w:val="99"/>
        </w:rPr>
        <w:t>或正电子发射</w:t>
      </w:r>
      <w:r>
        <w:rPr>
          <w:w w:val="95"/>
        </w:rPr>
        <w:t>断层扫描（PET）等影像学检查证实，并须满足下列至少一项条件：</w:t>
      </w:r>
    </w:p>
    <w:p>
      <w:pPr>
        <w:pStyle w:val="BodyText"/>
        <w:spacing w:before="5"/>
        <w:rPr>
          <w:sz w:val="24"/>
        </w:rPr>
      </w:pPr>
    </w:p>
    <w:p>
      <w:pPr>
        <w:pStyle w:val="BodyText"/>
        <w:ind w:left="101"/>
      </w:pPr>
      <w:r>
        <w:rPr>
          <w:w w:val="95"/>
        </w:rPr>
        <w:t>（1）实际实施了开颅进行的脑肿瘤完全切除或部分切除的手术；</w:t>
      </w:r>
    </w:p>
    <w:p>
      <w:pPr>
        <w:pStyle w:val="BodyText"/>
        <w:spacing w:before="8"/>
        <w:rPr>
          <w:sz w:val="26"/>
        </w:rPr>
      </w:pPr>
    </w:p>
    <w:p>
      <w:pPr>
        <w:pStyle w:val="BodyText"/>
        <w:ind w:left="101"/>
      </w:pPr>
      <w:r>
        <w:rPr>
          <w:w w:val="95"/>
        </w:rPr>
        <w:t>（2）实际实施了对脑肿瘤进行的放射治疗。</w:t>
      </w:r>
    </w:p>
    <w:p>
      <w:pPr>
        <w:pStyle w:val="BodyText"/>
        <w:spacing w:before="8"/>
        <w:rPr>
          <w:sz w:val="26"/>
        </w:rPr>
      </w:pPr>
    </w:p>
    <w:p>
      <w:pPr>
        <w:pStyle w:val="BodyText"/>
        <w:ind w:left="101"/>
      </w:pPr>
      <w:r>
        <w:rPr>
          <w:w w:val="95"/>
        </w:rPr>
        <w:t>脑垂体瘤、脑囊肿、脑血管性疾病不在保障范围内。</w:t>
      </w:r>
    </w:p>
    <w:p>
      <w:pPr>
        <w:pStyle w:val="BodyText"/>
        <w:spacing w:before="6"/>
      </w:pPr>
    </w:p>
    <w:p>
      <w:pPr>
        <w:pStyle w:val="ListParagraph"/>
        <w:numPr>
          <w:ilvl w:val="2"/>
          <w:numId w:val="6"/>
        </w:numPr>
        <w:tabs>
          <w:tab w:pos="942" w:val="left" w:leader="none"/>
        </w:tabs>
        <w:spacing w:line="240" w:lineRule="auto" w:before="0" w:after="0"/>
        <w:ind w:left="941" w:right="0" w:hanging="840"/>
        <w:jc w:val="left"/>
        <w:rPr>
          <w:rFonts w:ascii="Microsoft JhengHei" w:eastAsia="Microsoft JhengHei" w:hint="eastAsia"/>
          <w:b/>
          <w:sz w:val="21"/>
        </w:rPr>
      </w:pPr>
      <w:r>
        <w:rPr>
          <w:rFonts w:ascii="Microsoft JhengHei" w:eastAsia="Microsoft JhengHei" w:hint="eastAsia"/>
          <w:b/>
          <w:w w:val="95"/>
          <w:sz w:val="21"/>
        </w:rPr>
        <w:t>慢性肝功能衰竭失代偿期</w:t>
      </w:r>
    </w:p>
    <w:p>
      <w:pPr>
        <w:pStyle w:val="BodyText"/>
        <w:spacing w:before="11"/>
        <w:rPr>
          <w:rFonts w:ascii="Microsoft JhengHei"/>
          <w:b/>
          <w:sz w:val="18"/>
        </w:rPr>
      </w:pPr>
    </w:p>
    <w:p>
      <w:pPr>
        <w:pStyle w:val="BodyText"/>
        <w:ind w:left="101"/>
      </w:pPr>
      <w:r>
        <w:rPr>
          <w:w w:val="95"/>
        </w:rPr>
        <w:t>指因慢性肝脏疾病导致肝功能衰竭。须满足下列全部条件：</w:t>
      </w:r>
    </w:p>
    <w:p>
      <w:pPr>
        <w:pStyle w:val="BodyText"/>
        <w:spacing w:before="8"/>
        <w:rPr>
          <w:sz w:val="26"/>
        </w:rPr>
      </w:pPr>
    </w:p>
    <w:p>
      <w:pPr>
        <w:pStyle w:val="BodyText"/>
        <w:ind w:left="101"/>
      </w:pPr>
      <w:r>
        <w:rPr>
          <w:w w:val="95"/>
        </w:rPr>
        <w:t>（1）持续性黄疸；</w:t>
      </w:r>
    </w:p>
    <w:p>
      <w:pPr>
        <w:pStyle w:val="BodyText"/>
        <w:spacing w:before="8"/>
        <w:rPr>
          <w:sz w:val="26"/>
        </w:rPr>
      </w:pPr>
    </w:p>
    <w:p>
      <w:pPr>
        <w:pStyle w:val="BodyText"/>
        <w:ind w:left="101"/>
      </w:pPr>
      <w:r>
        <w:rPr>
          <w:w w:val="95"/>
        </w:rPr>
        <w:t>（2）腹水；</w:t>
      </w:r>
    </w:p>
    <w:p>
      <w:pPr>
        <w:spacing w:after="0"/>
        <w:sectPr>
          <w:pgSz w:w="11910" w:h="16840"/>
          <w:pgMar w:header="0" w:footer="1197" w:top="1380" w:bottom="1380" w:left="1600" w:right="1600"/>
        </w:sectPr>
      </w:pPr>
    </w:p>
    <w:p>
      <w:pPr>
        <w:pStyle w:val="BodyText"/>
        <w:spacing w:before="5"/>
        <w:ind w:left="101"/>
      </w:pPr>
      <w:r>
        <w:rPr>
          <w:w w:val="95"/>
        </w:rPr>
        <w:t>（3）肝性脑病；</w:t>
      </w:r>
    </w:p>
    <w:p>
      <w:pPr>
        <w:pStyle w:val="BodyText"/>
        <w:spacing w:before="8"/>
        <w:rPr>
          <w:sz w:val="26"/>
        </w:rPr>
      </w:pPr>
    </w:p>
    <w:p>
      <w:pPr>
        <w:pStyle w:val="BodyText"/>
        <w:spacing w:line="544" w:lineRule="auto"/>
        <w:ind w:left="101" w:right="3459"/>
      </w:pPr>
      <w:r>
        <w:rPr/>
        <w:t>（4）充血性脾肿大伴脾功能亢进或食管胃底静脉曲张。</w:t>
      </w:r>
      <w:r>
        <w:rPr>
          <w:w w:val="95"/>
        </w:rPr>
        <w:t>因酗酒或药物滥用导致的肝功能衰竭不在保障范围内。</w:t>
      </w:r>
    </w:p>
    <w:p>
      <w:pPr>
        <w:pStyle w:val="ListParagraph"/>
        <w:numPr>
          <w:ilvl w:val="2"/>
          <w:numId w:val="6"/>
        </w:numPr>
        <w:tabs>
          <w:tab w:pos="942" w:val="left" w:leader="none"/>
        </w:tabs>
        <w:spacing w:line="240" w:lineRule="auto" w:before="15" w:after="0"/>
        <w:ind w:left="941" w:right="0" w:hanging="840"/>
        <w:jc w:val="left"/>
        <w:rPr>
          <w:rFonts w:ascii="Microsoft JhengHei" w:eastAsia="Microsoft JhengHei" w:hint="eastAsia"/>
          <w:b/>
          <w:sz w:val="21"/>
        </w:rPr>
      </w:pPr>
      <w:r>
        <w:rPr>
          <w:rFonts w:ascii="Microsoft JhengHei" w:eastAsia="Microsoft JhengHei" w:hint="eastAsia"/>
          <w:b/>
          <w:w w:val="95"/>
          <w:sz w:val="21"/>
        </w:rPr>
        <w:t>脑炎后遗症或脑膜炎后遗症</w:t>
      </w:r>
    </w:p>
    <w:p>
      <w:pPr>
        <w:pStyle w:val="BodyText"/>
        <w:spacing w:before="11"/>
        <w:rPr>
          <w:rFonts w:ascii="Microsoft JhengHei"/>
          <w:b/>
          <w:sz w:val="18"/>
        </w:rPr>
      </w:pPr>
    </w:p>
    <w:p>
      <w:pPr>
        <w:pStyle w:val="BodyText"/>
        <w:spacing w:line="273" w:lineRule="auto"/>
        <w:ind w:left="101" w:right="202"/>
      </w:pPr>
      <w:r>
        <w:rPr/>
        <w:t>指因患脑炎或脑膜炎导致的神经系统永久性的功能障碍。神经系统永久性的功能障碍，指疾病确诊 180 天后，仍遗留下列一种或一种以上障碍：</w:t>
      </w:r>
    </w:p>
    <w:p>
      <w:pPr>
        <w:pStyle w:val="BodyText"/>
        <w:spacing w:before="4"/>
        <w:rPr>
          <w:sz w:val="24"/>
        </w:rPr>
      </w:pPr>
    </w:p>
    <w:p>
      <w:pPr>
        <w:pStyle w:val="BodyText"/>
        <w:spacing w:before="1"/>
        <w:ind w:left="101"/>
      </w:pPr>
      <w:r>
        <w:rPr>
          <w:w w:val="95"/>
        </w:rPr>
        <w:t>（1）一肢或一肢以上肢体机能完全丧失；</w:t>
      </w:r>
    </w:p>
    <w:p>
      <w:pPr>
        <w:pStyle w:val="BodyText"/>
        <w:spacing w:before="8"/>
        <w:rPr>
          <w:sz w:val="26"/>
        </w:rPr>
      </w:pPr>
    </w:p>
    <w:p>
      <w:pPr>
        <w:pStyle w:val="BodyText"/>
        <w:spacing w:before="1"/>
        <w:ind w:left="101"/>
      </w:pPr>
      <w:r>
        <w:rPr>
          <w:w w:val="95"/>
        </w:rPr>
        <w:t>（2）语言能力或咀嚼吞咽能力完全丧失；</w:t>
      </w:r>
    </w:p>
    <w:p>
      <w:pPr>
        <w:pStyle w:val="BodyText"/>
        <w:spacing w:before="7"/>
      </w:pPr>
    </w:p>
    <w:p>
      <w:pPr>
        <w:pStyle w:val="BodyText"/>
        <w:spacing w:line="249" w:lineRule="auto"/>
        <w:ind w:left="101" w:right="99"/>
      </w:pPr>
      <w:r>
        <w:rPr>
          <w:spacing w:val="-10"/>
        </w:rPr>
        <w:t>（3）</w:t>
      </w:r>
      <w:r>
        <w:rPr>
          <w:spacing w:val="-4"/>
        </w:rPr>
        <w:t>自主生活能力完全丧失，无法独立完成</w:t>
      </w:r>
      <w:r>
        <w:rPr>
          <w:rFonts w:ascii="Microsoft JhengHei" w:eastAsia="Microsoft JhengHei" w:hint="eastAsia"/>
          <w:b/>
          <w:spacing w:val="-26"/>
        </w:rPr>
        <w:t>六项基本日常生活活动</w:t>
      </w:r>
      <w:r>
        <w:rPr>
          <w:spacing w:val="1"/>
        </w:rPr>
        <w:t>(见释义 </w:t>
      </w:r>
      <w:r>
        <w:rPr/>
        <w:t>11.7)中的三项或</w:t>
      </w:r>
      <w:r>
        <w:rPr>
          <w:w w:val="95"/>
        </w:rPr>
        <w:t>三项以上。</w:t>
      </w:r>
    </w:p>
    <w:p>
      <w:pPr>
        <w:pStyle w:val="BodyText"/>
        <w:spacing w:before="11"/>
        <w:rPr>
          <w:sz w:val="20"/>
        </w:rPr>
      </w:pPr>
    </w:p>
    <w:p>
      <w:pPr>
        <w:pStyle w:val="ListParagraph"/>
        <w:numPr>
          <w:ilvl w:val="2"/>
          <w:numId w:val="6"/>
        </w:numPr>
        <w:tabs>
          <w:tab w:pos="942" w:val="left" w:leader="none"/>
        </w:tabs>
        <w:spacing w:line="240" w:lineRule="auto" w:before="0" w:after="0"/>
        <w:ind w:left="941" w:right="0" w:hanging="840"/>
        <w:jc w:val="left"/>
        <w:rPr>
          <w:rFonts w:ascii="Microsoft JhengHei" w:eastAsia="Microsoft JhengHei" w:hint="eastAsia"/>
          <w:b/>
          <w:sz w:val="21"/>
        </w:rPr>
      </w:pPr>
      <w:r>
        <w:rPr>
          <w:rFonts w:ascii="Microsoft JhengHei" w:eastAsia="Microsoft JhengHei" w:hint="eastAsia"/>
          <w:b/>
          <w:w w:val="95"/>
          <w:sz w:val="21"/>
        </w:rPr>
        <w:t>深度昏迷</w:t>
      </w:r>
    </w:p>
    <w:p>
      <w:pPr>
        <w:pStyle w:val="BodyText"/>
        <w:spacing w:before="11"/>
        <w:rPr>
          <w:rFonts w:ascii="Microsoft JhengHei"/>
          <w:b/>
          <w:sz w:val="18"/>
        </w:rPr>
      </w:pPr>
    </w:p>
    <w:p>
      <w:pPr>
        <w:pStyle w:val="BodyText"/>
        <w:spacing w:line="273" w:lineRule="auto"/>
        <w:ind w:left="101" w:right="202"/>
        <w:jc w:val="both"/>
      </w:pPr>
      <w:r>
        <w:rPr/>
        <w:t>指因疾病或意外伤害导致意识丧失，对外界刺激和体内需求均无反应，昏迷程度按照格拉斯哥昏迷分级（Glasgow coma scale）</w:t>
      </w:r>
      <w:r>
        <w:rPr>
          <w:spacing w:val="-14"/>
        </w:rPr>
        <w:t>结果为 </w:t>
      </w:r>
      <w:r>
        <w:rPr/>
        <w:t>5</w:t>
      </w:r>
      <w:r>
        <w:rPr>
          <w:spacing w:val="-28"/>
        </w:rPr>
        <w:t> 分或 </w:t>
      </w:r>
      <w:r>
        <w:rPr/>
        <w:t>5</w:t>
      </w:r>
      <w:r>
        <w:rPr>
          <w:spacing w:val="-8"/>
        </w:rPr>
        <w:t> 分以下，且已经持续使用呼吸机及其他</w:t>
      </w:r>
      <w:r>
        <w:rPr>
          <w:spacing w:val="-15"/>
        </w:rPr>
        <w:t>生命维持系统 </w:t>
      </w:r>
      <w:r>
        <w:rPr/>
        <w:t>96</w:t>
      </w:r>
      <w:r>
        <w:rPr>
          <w:spacing w:val="-10"/>
        </w:rPr>
        <w:t> 小时以上。</w:t>
      </w:r>
    </w:p>
    <w:p>
      <w:pPr>
        <w:pStyle w:val="BodyText"/>
        <w:spacing w:before="5"/>
        <w:rPr>
          <w:sz w:val="24"/>
        </w:rPr>
      </w:pPr>
    </w:p>
    <w:p>
      <w:pPr>
        <w:pStyle w:val="BodyText"/>
        <w:ind w:left="101"/>
      </w:pPr>
      <w:r>
        <w:rPr>
          <w:w w:val="95"/>
        </w:rPr>
        <w:t>因酗酒或药物滥用导致的深度昏迷不在保障范围内。</w:t>
      </w:r>
    </w:p>
    <w:p>
      <w:pPr>
        <w:pStyle w:val="BodyText"/>
        <w:spacing w:before="7"/>
      </w:pPr>
    </w:p>
    <w:p>
      <w:pPr>
        <w:pStyle w:val="ListParagraph"/>
        <w:numPr>
          <w:ilvl w:val="2"/>
          <w:numId w:val="6"/>
        </w:numPr>
        <w:tabs>
          <w:tab w:pos="942" w:val="left" w:leader="none"/>
        </w:tabs>
        <w:spacing w:line="240" w:lineRule="auto" w:before="0" w:after="0"/>
        <w:ind w:left="941" w:right="0" w:hanging="840"/>
        <w:jc w:val="left"/>
        <w:rPr>
          <w:rFonts w:ascii="Microsoft JhengHei" w:eastAsia="Microsoft JhengHei" w:hint="eastAsia"/>
          <w:b/>
          <w:sz w:val="21"/>
        </w:rPr>
      </w:pPr>
      <w:r>
        <w:rPr>
          <w:rFonts w:ascii="Microsoft JhengHei" w:eastAsia="Microsoft JhengHei" w:hint="eastAsia"/>
          <w:b/>
          <w:sz w:val="21"/>
        </w:rPr>
        <w:t>双耳失聪-三岁始理赔</w:t>
      </w:r>
    </w:p>
    <w:p>
      <w:pPr>
        <w:pStyle w:val="BodyText"/>
        <w:spacing w:before="11"/>
        <w:rPr>
          <w:rFonts w:ascii="Microsoft JhengHei"/>
          <w:b/>
          <w:sz w:val="18"/>
        </w:rPr>
      </w:pPr>
    </w:p>
    <w:p>
      <w:pPr>
        <w:pStyle w:val="BodyText"/>
        <w:spacing w:before="1"/>
        <w:ind w:left="101"/>
      </w:pPr>
      <w:r>
        <w:rPr>
          <w:spacing w:val="-4"/>
        </w:rPr>
        <w:t>指因疾病或意外伤害导致双耳听力性丧失，在 </w:t>
      </w:r>
      <w:r>
        <w:rPr/>
        <w:t>500</w:t>
      </w:r>
      <w:r>
        <w:rPr>
          <w:spacing w:val="-17"/>
        </w:rPr>
        <w:t> 赫兹、</w:t>
      </w:r>
      <w:r>
        <w:rPr/>
        <w:t>1000</w:t>
      </w:r>
      <w:r>
        <w:rPr>
          <w:spacing w:val="-28"/>
        </w:rPr>
        <w:t> 赫兹和 </w:t>
      </w:r>
      <w:r>
        <w:rPr/>
        <w:t>2000</w:t>
      </w:r>
      <w:r>
        <w:rPr>
          <w:spacing w:val="-10"/>
        </w:rPr>
        <w:t> 赫兹语音频率下，</w:t>
      </w:r>
    </w:p>
    <w:p>
      <w:pPr>
        <w:pStyle w:val="BodyText"/>
        <w:spacing w:before="37"/>
        <w:ind w:left="101"/>
      </w:pPr>
      <w:r>
        <w:rPr/>
        <w:t>平均听阈大于 90 分贝，且经纯音听力测试、声导抗检测或听觉诱发电位检测等证实。</w:t>
      </w:r>
    </w:p>
    <w:p>
      <w:pPr>
        <w:pStyle w:val="BodyText"/>
        <w:spacing w:before="8"/>
        <w:rPr>
          <w:sz w:val="26"/>
        </w:rPr>
      </w:pPr>
    </w:p>
    <w:p>
      <w:pPr>
        <w:pStyle w:val="BodyText"/>
        <w:spacing w:line="273" w:lineRule="auto"/>
        <w:ind w:left="101" w:right="202"/>
      </w:pPr>
      <w:r>
        <w:rPr/>
        <w:t>本附加险合同仅对三周岁以上的被保险人予以理赔。先天性疾病所致的听力丧失不在本附加</w:t>
      </w:r>
      <w:r>
        <w:rPr>
          <w:w w:val="95"/>
        </w:rPr>
        <w:t>险合同的保障范围内。</w:t>
      </w:r>
    </w:p>
    <w:p>
      <w:pPr>
        <w:pStyle w:val="BodyText"/>
        <w:spacing w:before="3"/>
        <w:rPr>
          <w:sz w:val="19"/>
        </w:rPr>
      </w:pPr>
    </w:p>
    <w:p>
      <w:pPr>
        <w:pStyle w:val="ListParagraph"/>
        <w:numPr>
          <w:ilvl w:val="2"/>
          <w:numId w:val="6"/>
        </w:numPr>
        <w:tabs>
          <w:tab w:pos="942" w:val="left" w:leader="none"/>
        </w:tabs>
        <w:spacing w:line="240" w:lineRule="auto" w:before="0" w:after="0"/>
        <w:ind w:left="941" w:right="0" w:hanging="840"/>
        <w:jc w:val="left"/>
        <w:rPr>
          <w:rFonts w:ascii="Microsoft JhengHei" w:eastAsia="Microsoft JhengHei" w:hint="eastAsia"/>
          <w:b/>
          <w:sz w:val="21"/>
        </w:rPr>
      </w:pPr>
      <w:r>
        <w:rPr>
          <w:rFonts w:ascii="Microsoft JhengHei" w:eastAsia="Microsoft JhengHei" w:hint="eastAsia"/>
          <w:b/>
          <w:sz w:val="21"/>
        </w:rPr>
        <w:t>双目失明-三岁始理赔</w:t>
      </w:r>
    </w:p>
    <w:p>
      <w:pPr>
        <w:pStyle w:val="BodyText"/>
        <w:spacing w:before="14"/>
        <w:rPr>
          <w:rFonts w:ascii="Microsoft JhengHei"/>
          <w:b/>
          <w:sz w:val="14"/>
        </w:rPr>
      </w:pPr>
    </w:p>
    <w:p>
      <w:pPr>
        <w:pStyle w:val="BodyText"/>
        <w:spacing w:line="249" w:lineRule="auto"/>
        <w:ind w:left="101" w:right="101"/>
      </w:pPr>
      <w:r>
        <w:rPr/>
        <w:t>指因疾病或意外伤害导致双眼视力</w:t>
      </w:r>
      <w:r>
        <w:rPr>
          <w:rFonts w:ascii="Microsoft JhengHei" w:eastAsia="Microsoft JhengHei" w:hint="eastAsia"/>
          <w:b/>
        </w:rPr>
        <w:t>永久不可逆</w:t>
      </w:r>
      <w:r>
        <w:rPr/>
        <w:t>(见释义 11.8)性丧失，双眼中较好眼须满足下</w:t>
      </w:r>
      <w:r>
        <w:rPr>
          <w:w w:val="95"/>
        </w:rPr>
        <w:t>列至少一项条件：</w:t>
      </w:r>
    </w:p>
    <w:p>
      <w:pPr>
        <w:pStyle w:val="BodyText"/>
        <w:rPr>
          <w:sz w:val="26"/>
        </w:rPr>
      </w:pPr>
    </w:p>
    <w:p>
      <w:pPr>
        <w:pStyle w:val="BodyText"/>
        <w:ind w:left="101"/>
      </w:pPr>
      <w:r>
        <w:rPr>
          <w:w w:val="95"/>
        </w:rPr>
        <w:t>（1）眼球缺失或摘除；</w:t>
      </w:r>
    </w:p>
    <w:p>
      <w:pPr>
        <w:pStyle w:val="BodyText"/>
        <w:spacing w:before="8"/>
        <w:rPr>
          <w:sz w:val="26"/>
        </w:rPr>
      </w:pPr>
    </w:p>
    <w:p>
      <w:pPr>
        <w:pStyle w:val="BodyText"/>
        <w:ind w:left="101"/>
      </w:pPr>
      <w:r>
        <w:rPr>
          <w:w w:val="99"/>
        </w:rPr>
        <w:t>（</w:t>
      </w:r>
      <w:r>
        <w:rPr>
          <w:spacing w:val="0"/>
          <w:w w:val="99"/>
        </w:rPr>
        <w:t>2</w:t>
      </w:r>
      <w:r>
        <w:rPr>
          <w:spacing w:val="1"/>
          <w:w w:val="99"/>
        </w:rPr>
        <w:t>）</w:t>
      </w:r>
      <w:r>
        <w:rPr>
          <w:w w:val="99"/>
        </w:rPr>
        <w:t>矫正视力低于</w:t>
      </w:r>
      <w:r>
        <w:rPr>
          <w:spacing w:val="-53"/>
        </w:rPr>
        <w:t> </w:t>
      </w:r>
      <w:r>
        <w:rPr>
          <w:spacing w:val="0"/>
          <w:w w:val="99"/>
        </w:rPr>
        <w:t>0.0</w:t>
      </w:r>
      <w:r>
        <w:rPr>
          <w:spacing w:val="-2"/>
          <w:w w:val="99"/>
        </w:rPr>
        <w:t>2</w:t>
      </w:r>
      <w:r>
        <w:rPr>
          <w:spacing w:val="1"/>
          <w:w w:val="99"/>
        </w:rPr>
        <w:t>（</w:t>
      </w:r>
      <w:r>
        <w:rPr>
          <w:w w:val="99"/>
        </w:rPr>
        <w:t>采用国际标准视力表，如果使用其他视力表应进行换算</w:t>
      </w:r>
      <w:r>
        <w:rPr>
          <w:spacing w:val="-106"/>
          <w:w w:val="99"/>
        </w:rPr>
        <w:t>）</w:t>
      </w:r>
      <w:r>
        <w:rPr>
          <w:w w:val="99"/>
        </w:rPr>
        <w:t>；</w:t>
      </w:r>
    </w:p>
    <w:p>
      <w:pPr>
        <w:pStyle w:val="BodyText"/>
        <w:spacing w:before="8"/>
        <w:rPr>
          <w:sz w:val="26"/>
        </w:rPr>
      </w:pPr>
    </w:p>
    <w:p>
      <w:pPr>
        <w:pStyle w:val="BodyText"/>
        <w:ind w:left="101"/>
      </w:pPr>
      <w:r>
        <w:rPr/>
        <w:t>（3）视野半径小于 5 度。</w:t>
      </w:r>
    </w:p>
    <w:p>
      <w:pPr>
        <w:spacing w:after="0"/>
        <w:sectPr>
          <w:footerReference w:type="default" r:id="rId8"/>
          <w:pgSz w:w="11910" w:h="16840"/>
          <w:pgMar w:footer="1197" w:header="0" w:top="1380" w:bottom="1380" w:left="1600" w:right="1600"/>
          <w:pgNumType w:start="16"/>
        </w:sectPr>
      </w:pPr>
    </w:p>
    <w:p>
      <w:pPr>
        <w:pStyle w:val="BodyText"/>
        <w:spacing w:line="273" w:lineRule="auto" w:before="5"/>
        <w:ind w:left="101" w:right="202"/>
      </w:pPr>
      <w:r>
        <w:rPr/>
        <w:t>本附加险合同仅对三周岁以上的被保险人予以理赔。先天性疾病所致的视力丧失不在本附加</w:t>
      </w:r>
      <w:r>
        <w:rPr>
          <w:w w:val="95"/>
        </w:rPr>
        <w:t>险合同的保障范围内。</w:t>
      </w:r>
    </w:p>
    <w:p>
      <w:pPr>
        <w:pStyle w:val="BodyText"/>
        <w:spacing w:before="3"/>
        <w:rPr>
          <w:sz w:val="19"/>
        </w:rPr>
      </w:pPr>
    </w:p>
    <w:p>
      <w:pPr>
        <w:pStyle w:val="ListParagraph"/>
        <w:numPr>
          <w:ilvl w:val="2"/>
          <w:numId w:val="6"/>
        </w:numPr>
        <w:tabs>
          <w:tab w:pos="942" w:val="left" w:leader="none"/>
        </w:tabs>
        <w:spacing w:line="240" w:lineRule="auto" w:before="1" w:after="0"/>
        <w:ind w:left="941" w:right="0" w:hanging="840"/>
        <w:jc w:val="left"/>
        <w:rPr>
          <w:rFonts w:ascii="Microsoft JhengHei" w:eastAsia="Microsoft JhengHei" w:hint="eastAsia"/>
          <w:b/>
          <w:sz w:val="21"/>
        </w:rPr>
      </w:pPr>
      <w:r>
        <w:rPr>
          <w:rFonts w:ascii="Microsoft JhengHei" w:eastAsia="Microsoft JhengHei" w:hint="eastAsia"/>
          <w:b/>
          <w:w w:val="95"/>
          <w:sz w:val="21"/>
        </w:rPr>
        <w:t>瘫痪</w:t>
      </w:r>
    </w:p>
    <w:p>
      <w:pPr>
        <w:pStyle w:val="BodyText"/>
        <w:spacing w:before="12"/>
        <w:rPr>
          <w:rFonts w:ascii="Microsoft JhengHei"/>
          <w:b/>
          <w:sz w:val="18"/>
        </w:rPr>
      </w:pPr>
    </w:p>
    <w:p>
      <w:pPr>
        <w:pStyle w:val="BodyText"/>
        <w:spacing w:line="273" w:lineRule="auto"/>
        <w:ind w:left="101" w:right="202"/>
        <w:jc w:val="both"/>
      </w:pPr>
      <w:r>
        <w:rPr/>
        <w:t>指因疾病或意外伤害导致两肢或两肢以上肢体机能永久完全丧失。肢体机能永久完全丧失， </w:t>
      </w:r>
      <w:r>
        <w:rPr>
          <w:spacing w:val="-10"/>
        </w:rPr>
        <w:t>指疾病确诊 </w:t>
      </w:r>
      <w:r>
        <w:rPr/>
        <w:t>180</w:t>
      </w:r>
      <w:r>
        <w:rPr>
          <w:spacing w:val="-13"/>
        </w:rPr>
        <w:t> 天后或意外伤害发生 </w:t>
      </w:r>
      <w:r>
        <w:rPr/>
        <w:t>180</w:t>
      </w:r>
      <w:r>
        <w:rPr>
          <w:spacing w:val="-8"/>
        </w:rPr>
        <w:t> 天后，每肢三大关节中的两大关节仍然完全僵硬， </w:t>
      </w:r>
      <w:r>
        <w:rPr>
          <w:spacing w:val="-8"/>
          <w:w w:val="95"/>
        </w:rPr>
        <w:t>或不能随意识活动。</w:t>
      </w:r>
    </w:p>
    <w:p>
      <w:pPr>
        <w:pStyle w:val="BodyText"/>
        <w:spacing w:before="4"/>
        <w:rPr>
          <w:sz w:val="19"/>
        </w:rPr>
      </w:pPr>
    </w:p>
    <w:p>
      <w:pPr>
        <w:pStyle w:val="ListParagraph"/>
        <w:numPr>
          <w:ilvl w:val="2"/>
          <w:numId w:val="6"/>
        </w:numPr>
        <w:tabs>
          <w:tab w:pos="942" w:val="left" w:leader="none"/>
        </w:tabs>
        <w:spacing w:line="240" w:lineRule="auto" w:before="0" w:after="0"/>
        <w:ind w:left="941" w:right="0" w:hanging="840"/>
        <w:jc w:val="left"/>
        <w:rPr>
          <w:rFonts w:ascii="Microsoft JhengHei" w:eastAsia="Microsoft JhengHei" w:hint="eastAsia"/>
          <w:b/>
          <w:sz w:val="21"/>
        </w:rPr>
      </w:pPr>
      <w:r>
        <w:rPr>
          <w:rFonts w:ascii="Microsoft JhengHei" w:eastAsia="Microsoft JhengHei" w:hint="eastAsia"/>
          <w:b/>
          <w:w w:val="95"/>
          <w:sz w:val="21"/>
        </w:rPr>
        <w:t>心脏瓣膜手术</w:t>
      </w:r>
    </w:p>
    <w:p>
      <w:pPr>
        <w:pStyle w:val="BodyText"/>
        <w:spacing w:before="11"/>
        <w:rPr>
          <w:rFonts w:ascii="Microsoft JhengHei"/>
          <w:b/>
          <w:sz w:val="18"/>
        </w:rPr>
      </w:pPr>
    </w:p>
    <w:p>
      <w:pPr>
        <w:pStyle w:val="BodyText"/>
        <w:spacing w:before="1"/>
        <w:ind w:left="101"/>
      </w:pPr>
      <w:r>
        <w:rPr>
          <w:w w:val="95"/>
        </w:rPr>
        <w:t>指为治疗心脏瓣膜疾病，实际实施了开胸进行的心脏瓣膜置换或修复的手术。</w:t>
      </w:r>
    </w:p>
    <w:p>
      <w:pPr>
        <w:pStyle w:val="BodyText"/>
        <w:spacing w:before="7"/>
      </w:pPr>
    </w:p>
    <w:p>
      <w:pPr>
        <w:pStyle w:val="ListParagraph"/>
        <w:numPr>
          <w:ilvl w:val="2"/>
          <w:numId w:val="6"/>
        </w:numPr>
        <w:tabs>
          <w:tab w:pos="942" w:val="left" w:leader="none"/>
        </w:tabs>
        <w:spacing w:line="240" w:lineRule="auto" w:before="0" w:after="0"/>
        <w:ind w:left="941" w:right="0" w:hanging="840"/>
        <w:jc w:val="left"/>
        <w:rPr>
          <w:rFonts w:ascii="Microsoft JhengHei" w:eastAsia="Microsoft JhengHei" w:hint="eastAsia"/>
          <w:b/>
          <w:sz w:val="21"/>
        </w:rPr>
      </w:pPr>
      <w:r>
        <w:rPr>
          <w:rFonts w:ascii="Microsoft JhengHei" w:eastAsia="Microsoft JhengHei" w:hint="eastAsia"/>
          <w:b/>
          <w:w w:val="95"/>
          <w:sz w:val="21"/>
        </w:rPr>
        <w:t>严重脑损伤</w:t>
      </w:r>
    </w:p>
    <w:p>
      <w:pPr>
        <w:pStyle w:val="BodyText"/>
        <w:spacing w:before="11"/>
        <w:rPr>
          <w:rFonts w:ascii="Microsoft JhengHei"/>
          <w:b/>
          <w:sz w:val="18"/>
        </w:rPr>
      </w:pPr>
    </w:p>
    <w:p>
      <w:pPr>
        <w:pStyle w:val="BodyText"/>
        <w:spacing w:line="273" w:lineRule="auto"/>
        <w:ind w:left="101" w:right="99"/>
      </w:pPr>
      <w:r>
        <w:rPr/>
        <w:t>指因头部遭受机械性外力，引起脑重要部位损伤，导致神经系统永久性的功能障碍。须由头</w:t>
      </w:r>
      <w:r>
        <w:rPr>
          <w:w w:val="99"/>
        </w:rPr>
        <w:t>颅断层扫描</w:t>
      </w:r>
      <w:r>
        <w:rPr>
          <w:spacing w:val="-1"/>
          <w:w w:val="99"/>
        </w:rPr>
        <w:t>（</w:t>
      </w:r>
      <w:r>
        <w:rPr>
          <w:spacing w:val="0"/>
          <w:w w:val="99"/>
        </w:rPr>
        <w:t>C</w:t>
      </w:r>
      <w:r>
        <w:rPr>
          <w:spacing w:val="-2"/>
          <w:w w:val="99"/>
        </w:rPr>
        <w:t>T</w:t>
      </w:r>
      <w:r>
        <w:rPr>
          <w:spacing w:val="-104"/>
          <w:w w:val="99"/>
        </w:rPr>
        <w:t>）</w:t>
      </w:r>
      <w:r>
        <w:rPr>
          <w:w w:val="99"/>
        </w:rPr>
        <w:t>、核磁共振检查</w:t>
      </w:r>
      <w:r>
        <w:rPr>
          <w:spacing w:val="-1"/>
          <w:w w:val="99"/>
        </w:rPr>
        <w:t>（</w:t>
      </w:r>
      <w:r>
        <w:rPr>
          <w:spacing w:val="0"/>
          <w:w w:val="99"/>
        </w:rPr>
        <w:t>MR</w:t>
      </w:r>
      <w:r>
        <w:rPr>
          <w:spacing w:val="-2"/>
          <w:w w:val="99"/>
        </w:rPr>
        <w:t>I</w:t>
      </w:r>
      <w:r>
        <w:rPr>
          <w:spacing w:val="1"/>
          <w:w w:val="99"/>
        </w:rPr>
        <w:t>）</w:t>
      </w:r>
      <w:r>
        <w:rPr>
          <w:w w:val="99"/>
        </w:rPr>
        <w:t>或正电子发射断层扫描</w:t>
      </w:r>
      <w:r>
        <w:rPr>
          <w:spacing w:val="-1"/>
          <w:w w:val="99"/>
        </w:rPr>
        <w:t>（</w:t>
      </w:r>
      <w:r>
        <w:rPr>
          <w:spacing w:val="0"/>
          <w:w w:val="99"/>
        </w:rPr>
        <w:t>PE</w:t>
      </w:r>
      <w:r>
        <w:rPr>
          <w:spacing w:val="-2"/>
          <w:w w:val="99"/>
        </w:rPr>
        <w:t>T</w:t>
      </w:r>
      <w:r>
        <w:rPr>
          <w:spacing w:val="1"/>
          <w:w w:val="99"/>
        </w:rPr>
        <w:t>）</w:t>
      </w:r>
      <w:r>
        <w:rPr>
          <w:w w:val="99"/>
        </w:rPr>
        <w:t>等影像学检查证实。</w:t>
      </w:r>
      <w:r>
        <w:rPr>
          <w:spacing w:val="-4"/>
        </w:rPr>
        <w:t>神经性系统永久性的功能障碍，指脑损伤 </w:t>
      </w:r>
      <w:r>
        <w:rPr/>
        <w:t>180</w:t>
      </w:r>
      <w:r>
        <w:rPr>
          <w:spacing w:val="-8"/>
        </w:rPr>
        <w:t> 天后，仍遗留下列一种或一种以上障碍：</w:t>
      </w:r>
    </w:p>
    <w:p>
      <w:pPr>
        <w:pStyle w:val="BodyText"/>
        <w:spacing w:before="5"/>
        <w:rPr>
          <w:sz w:val="24"/>
        </w:rPr>
      </w:pPr>
    </w:p>
    <w:p>
      <w:pPr>
        <w:pStyle w:val="BodyText"/>
        <w:ind w:left="101"/>
      </w:pPr>
      <w:r>
        <w:rPr>
          <w:w w:val="95"/>
        </w:rPr>
        <w:t>（1）一肢或一肢以上肢体机能完全丧失；</w:t>
      </w:r>
    </w:p>
    <w:p>
      <w:pPr>
        <w:pStyle w:val="BodyText"/>
        <w:spacing w:before="8"/>
        <w:rPr>
          <w:sz w:val="26"/>
        </w:rPr>
      </w:pPr>
    </w:p>
    <w:p>
      <w:pPr>
        <w:pStyle w:val="BodyText"/>
        <w:ind w:left="101"/>
      </w:pPr>
      <w:r>
        <w:rPr>
          <w:w w:val="95"/>
        </w:rPr>
        <w:t>（2）语言能力或咀嚼吞咽能力完全丧失；</w:t>
      </w:r>
    </w:p>
    <w:p>
      <w:pPr>
        <w:pStyle w:val="BodyText"/>
        <w:spacing w:before="8"/>
        <w:rPr>
          <w:sz w:val="26"/>
        </w:rPr>
      </w:pPr>
    </w:p>
    <w:p>
      <w:pPr>
        <w:pStyle w:val="BodyText"/>
        <w:ind w:left="101"/>
      </w:pPr>
      <w:r>
        <w:rPr>
          <w:w w:val="95"/>
        </w:rPr>
        <w:t>（3）自主生活能力完全丧失，无法独立完成六项基本日常生活活动中的三项或三项以上。</w:t>
      </w:r>
    </w:p>
    <w:p>
      <w:pPr>
        <w:pStyle w:val="BodyText"/>
        <w:spacing w:before="7"/>
      </w:pPr>
    </w:p>
    <w:p>
      <w:pPr>
        <w:pStyle w:val="ListParagraph"/>
        <w:numPr>
          <w:ilvl w:val="2"/>
          <w:numId w:val="6"/>
        </w:numPr>
        <w:tabs>
          <w:tab w:pos="942" w:val="left" w:leader="none"/>
        </w:tabs>
        <w:spacing w:line="240" w:lineRule="auto" w:before="0" w:after="0"/>
        <w:ind w:left="941" w:right="0" w:hanging="840"/>
        <w:jc w:val="left"/>
        <w:rPr>
          <w:rFonts w:ascii="Microsoft JhengHei" w:eastAsia="Microsoft JhengHei" w:hint="eastAsia"/>
          <w:b/>
          <w:sz w:val="21"/>
        </w:rPr>
      </w:pPr>
      <w:r>
        <w:rPr>
          <w:rFonts w:ascii="Microsoft JhengHei" w:eastAsia="Microsoft JhengHei" w:hint="eastAsia"/>
          <w:b/>
          <w:spacing w:val="-14"/>
          <w:w w:val="115"/>
          <w:sz w:val="21"/>
        </w:rPr>
        <w:t>严重 </w:t>
      </w:r>
      <w:r>
        <w:rPr>
          <w:rFonts w:ascii="Microsoft JhengHei" w:eastAsia="Microsoft JhengHei" w:hint="eastAsia"/>
          <w:b/>
          <w:w w:val="115"/>
          <w:sz w:val="21"/>
        </w:rPr>
        <w:t>III</w:t>
      </w:r>
      <w:r>
        <w:rPr>
          <w:rFonts w:ascii="Microsoft JhengHei" w:eastAsia="Microsoft JhengHei" w:hint="eastAsia"/>
          <w:b/>
          <w:spacing w:val="-11"/>
          <w:w w:val="115"/>
          <w:sz w:val="21"/>
        </w:rPr>
        <w:t> 度烧伤</w:t>
      </w:r>
    </w:p>
    <w:p>
      <w:pPr>
        <w:pStyle w:val="BodyText"/>
        <w:spacing w:before="11"/>
        <w:rPr>
          <w:rFonts w:ascii="Microsoft JhengHei"/>
          <w:b/>
          <w:sz w:val="18"/>
        </w:rPr>
      </w:pPr>
    </w:p>
    <w:p>
      <w:pPr>
        <w:pStyle w:val="BodyText"/>
        <w:spacing w:line="273" w:lineRule="auto" w:before="1"/>
        <w:ind w:left="101" w:right="99"/>
      </w:pPr>
      <w:r>
        <w:rPr>
          <w:spacing w:val="-9"/>
        </w:rPr>
        <w:t>指烧伤程度为 </w:t>
      </w:r>
      <w:r>
        <w:rPr/>
        <w:t>III</w:t>
      </w:r>
      <w:r>
        <w:rPr>
          <w:spacing w:val="-22"/>
        </w:rPr>
        <w:t> 度，且 </w:t>
      </w:r>
      <w:r>
        <w:rPr/>
        <w:t>III</w:t>
      </w:r>
      <w:r>
        <w:rPr>
          <w:spacing w:val="-11"/>
        </w:rPr>
        <w:t> 度烧伤的面积达到全身体表面积的 </w:t>
      </w:r>
      <w:r>
        <w:rPr/>
        <w:t>20%</w:t>
      </w:r>
      <w:r>
        <w:rPr>
          <w:spacing w:val="-28"/>
        </w:rPr>
        <w:t>或 </w:t>
      </w:r>
      <w:r>
        <w:rPr/>
        <w:t>20%以上。体表面积根</w:t>
      </w:r>
      <w:r>
        <w:rPr>
          <w:w w:val="95"/>
        </w:rPr>
        <w:t>据《中国新九分法》计算。</w:t>
      </w:r>
    </w:p>
    <w:p>
      <w:pPr>
        <w:pStyle w:val="BodyText"/>
        <w:spacing w:before="4"/>
        <w:rPr>
          <w:sz w:val="19"/>
        </w:rPr>
      </w:pPr>
    </w:p>
    <w:p>
      <w:pPr>
        <w:pStyle w:val="ListParagraph"/>
        <w:numPr>
          <w:ilvl w:val="2"/>
          <w:numId w:val="6"/>
        </w:numPr>
        <w:tabs>
          <w:tab w:pos="942" w:val="left" w:leader="none"/>
        </w:tabs>
        <w:spacing w:line="240" w:lineRule="auto" w:before="0" w:after="0"/>
        <w:ind w:left="941" w:right="0" w:hanging="840"/>
        <w:jc w:val="left"/>
        <w:rPr>
          <w:rFonts w:ascii="Microsoft JhengHei" w:eastAsia="Microsoft JhengHei" w:hint="eastAsia"/>
          <w:b/>
          <w:sz w:val="21"/>
        </w:rPr>
      </w:pPr>
      <w:r>
        <w:rPr>
          <w:rFonts w:ascii="Microsoft JhengHei" w:eastAsia="Microsoft JhengHei" w:hint="eastAsia"/>
          <w:b/>
          <w:w w:val="95"/>
          <w:sz w:val="21"/>
        </w:rPr>
        <w:t>严重原发性肺动脉高压</w:t>
      </w:r>
    </w:p>
    <w:p>
      <w:pPr>
        <w:pStyle w:val="BodyText"/>
        <w:spacing w:before="11"/>
        <w:rPr>
          <w:rFonts w:ascii="Microsoft JhengHei"/>
          <w:b/>
          <w:sz w:val="18"/>
        </w:rPr>
      </w:pPr>
    </w:p>
    <w:p>
      <w:pPr>
        <w:pStyle w:val="BodyText"/>
        <w:spacing w:line="273" w:lineRule="auto"/>
        <w:ind w:left="101" w:right="99"/>
      </w:pPr>
      <w:r>
        <w:rPr/>
        <w:t>指不明原因的肺动脉压力持续性增高，进行性发展而导致的慢性疾病，已经造成永久不可逆</w:t>
      </w:r>
      <w:r>
        <w:rPr>
          <w:spacing w:val="-2"/>
        </w:rPr>
        <w:t>性的体力活动能力受限，达到美国纽约心脏病学会心功能状态分级 </w:t>
      </w:r>
      <w:r>
        <w:rPr/>
        <w:t>IV</w:t>
      </w:r>
      <w:r>
        <w:rPr>
          <w:spacing w:val="-8"/>
        </w:rPr>
        <w:t> 级，且静息状态下肺动</w:t>
      </w:r>
      <w:r>
        <w:rPr>
          <w:spacing w:val="-16"/>
        </w:rPr>
        <w:t>脉平均压超过 </w:t>
      </w:r>
      <w:r>
        <w:rPr/>
        <w:t>30mmHg。</w:t>
      </w:r>
    </w:p>
    <w:p>
      <w:pPr>
        <w:pStyle w:val="BodyText"/>
        <w:spacing w:before="3"/>
        <w:rPr>
          <w:sz w:val="19"/>
        </w:rPr>
      </w:pPr>
    </w:p>
    <w:p>
      <w:pPr>
        <w:pStyle w:val="ListParagraph"/>
        <w:numPr>
          <w:ilvl w:val="2"/>
          <w:numId w:val="6"/>
        </w:numPr>
        <w:tabs>
          <w:tab w:pos="942" w:val="left" w:leader="none"/>
        </w:tabs>
        <w:spacing w:line="240" w:lineRule="auto" w:before="1" w:after="0"/>
        <w:ind w:left="941" w:right="0" w:hanging="840"/>
        <w:jc w:val="left"/>
        <w:rPr>
          <w:rFonts w:ascii="Microsoft JhengHei" w:eastAsia="Microsoft JhengHei" w:hint="eastAsia"/>
          <w:b/>
          <w:sz w:val="21"/>
        </w:rPr>
      </w:pPr>
      <w:r>
        <w:rPr>
          <w:rFonts w:ascii="Microsoft JhengHei" w:eastAsia="Microsoft JhengHei" w:hint="eastAsia"/>
          <w:b/>
          <w:w w:val="95"/>
          <w:sz w:val="21"/>
        </w:rPr>
        <w:t>严重运动神经元病</w:t>
      </w:r>
    </w:p>
    <w:p>
      <w:pPr>
        <w:pStyle w:val="BodyText"/>
        <w:spacing w:before="12"/>
        <w:rPr>
          <w:rFonts w:ascii="Microsoft JhengHei"/>
          <w:b/>
          <w:sz w:val="18"/>
        </w:rPr>
      </w:pPr>
    </w:p>
    <w:p>
      <w:pPr>
        <w:pStyle w:val="BodyText"/>
        <w:spacing w:line="273" w:lineRule="auto"/>
        <w:ind w:left="101" w:right="100"/>
      </w:pPr>
      <w:r>
        <w:rPr>
          <w:w w:val="95"/>
        </w:rPr>
        <w:t>是一组中枢神经系统神经元的进行性变性疾病，包括进行性脊肌萎缩症、进行性延髓麻痹症</w:t>
      </w:r>
      <w:r>
        <w:rPr>
          <w:w w:val="80"/>
        </w:rPr>
        <w:t>、  </w:t>
      </w:r>
      <w:r>
        <w:rPr/>
        <w:t>原发性侧索硬化症、肌萎缩性侧索硬化症。须满足自主生活能力完全丧失，无法独立完成六</w:t>
      </w:r>
      <w:r>
        <w:rPr>
          <w:w w:val="95"/>
        </w:rPr>
        <w:t>项基本日常生活活动中的三项或三项以上的条件。</w:t>
      </w:r>
    </w:p>
    <w:p>
      <w:pPr>
        <w:pStyle w:val="BodyText"/>
        <w:spacing w:before="4"/>
        <w:rPr>
          <w:sz w:val="19"/>
        </w:rPr>
      </w:pPr>
    </w:p>
    <w:p>
      <w:pPr>
        <w:pStyle w:val="ListParagraph"/>
        <w:numPr>
          <w:ilvl w:val="2"/>
          <w:numId w:val="6"/>
        </w:numPr>
        <w:tabs>
          <w:tab w:pos="942" w:val="left" w:leader="none"/>
        </w:tabs>
        <w:spacing w:line="240" w:lineRule="auto" w:before="0" w:after="0"/>
        <w:ind w:left="941" w:right="0" w:hanging="840"/>
        <w:jc w:val="left"/>
        <w:rPr>
          <w:rFonts w:ascii="Microsoft JhengHei" w:eastAsia="Microsoft JhengHei" w:hint="eastAsia"/>
          <w:b/>
          <w:sz w:val="21"/>
        </w:rPr>
      </w:pPr>
      <w:r>
        <w:rPr>
          <w:rFonts w:ascii="Microsoft JhengHei" w:eastAsia="Microsoft JhengHei" w:hint="eastAsia"/>
          <w:b/>
          <w:sz w:val="21"/>
        </w:rPr>
        <w:t>语言能力丧失-三岁始理赔</w:t>
      </w:r>
    </w:p>
    <w:p>
      <w:pPr>
        <w:spacing w:after="0" w:line="240" w:lineRule="auto"/>
        <w:jc w:val="left"/>
        <w:rPr>
          <w:rFonts w:ascii="Microsoft JhengHei" w:eastAsia="Microsoft JhengHei" w:hint="eastAsia"/>
          <w:sz w:val="21"/>
        </w:rPr>
        <w:sectPr>
          <w:pgSz w:w="11910" w:h="16840"/>
          <w:pgMar w:header="0" w:footer="1197" w:top="1380" w:bottom="1380" w:left="1600" w:right="1600"/>
        </w:sectPr>
      </w:pPr>
    </w:p>
    <w:p>
      <w:pPr>
        <w:pStyle w:val="BodyText"/>
        <w:spacing w:line="273" w:lineRule="auto" w:before="5"/>
        <w:ind w:left="101" w:right="99"/>
      </w:pPr>
      <w:r>
        <w:rPr>
          <w:spacing w:val="-3"/>
        </w:rPr>
        <w:t>指因疾病或意外伤害导致完全丧失语言能力，经过积极治疗至少 </w:t>
      </w:r>
      <w:r>
        <w:rPr/>
        <w:t>12</w:t>
      </w:r>
      <w:r>
        <w:rPr>
          <w:spacing w:val="-20"/>
        </w:rPr>
        <w:t> 个月</w:t>
      </w:r>
      <w:r>
        <w:rPr/>
        <w:t>（声带完全切除不受</w:t>
      </w:r>
      <w:r>
        <w:rPr>
          <w:spacing w:val="-1"/>
          <w:w w:val="99"/>
        </w:rPr>
        <w:t>此时间限制</w:t>
      </w:r>
      <w:r>
        <w:rPr>
          <w:spacing w:val="-104"/>
          <w:w w:val="99"/>
        </w:rPr>
        <w:t>）</w:t>
      </w:r>
      <w:r>
        <w:rPr>
          <w:w w:val="99"/>
        </w:rPr>
        <w:t>，仍无法通过现有医疗手段恢复。</w:t>
      </w:r>
    </w:p>
    <w:p>
      <w:pPr>
        <w:pStyle w:val="BodyText"/>
        <w:spacing w:before="5"/>
        <w:rPr>
          <w:sz w:val="24"/>
        </w:rPr>
      </w:pPr>
    </w:p>
    <w:p>
      <w:pPr>
        <w:pStyle w:val="BodyText"/>
        <w:ind w:left="101"/>
      </w:pPr>
      <w:r>
        <w:rPr>
          <w:w w:val="95"/>
        </w:rPr>
        <w:t>精神心理因素所致的语言能力丧失不在保障范围内。</w:t>
      </w:r>
    </w:p>
    <w:p>
      <w:pPr>
        <w:pStyle w:val="BodyText"/>
        <w:spacing w:before="8"/>
        <w:rPr>
          <w:sz w:val="26"/>
        </w:rPr>
      </w:pPr>
    </w:p>
    <w:p>
      <w:pPr>
        <w:pStyle w:val="BodyText"/>
        <w:spacing w:line="273" w:lineRule="auto"/>
        <w:ind w:left="101" w:right="202"/>
      </w:pPr>
      <w:r>
        <w:rPr/>
        <w:t>本附加险合同仅对三周岁以上的被保险人予以理赔。先天性失聪导致的语言能力丧失不在本</w:t>
      </w:r>
      <w:r>
        <w:rPr>
          <w:w w:val="95"/>
        </w:rPr>
        <w:t>附加险合同的保障范围内。</w:t>
      </w:r>
    </w:p>
    <w:p>
      <w:pPr>
        <w:pStyle w:val="BodyText"/>
        <w:spacing w:before="3"/>
        <w:rPr>
          <w:sz w:val="19"/>
        </w:rPr>
      </w:pPr>
    </w:p>
    <w:p>
      <w:pPr>
        <w:pStyle w:val="ListParagraph"/>
        <w:numPr>
          <w:ilvl w:val="2"/>
          <w:numId w:val="6"/>
        </w:numPr>
        <w:tabs>
          <w:tab w:pos="942" w:val="left" w:leader="none"/>
        </w:tabs>
        <w:spacing w:line="240" w:lineRule="auto" w:before="0" w:after="0"/>
        <w:ind w:left="941" w:right="0" w:hanging="840"/>
        <w:jc w:val="left"/>
        <w:rPr>
          <w:rFonts w:ascii="Microsoft JhengHei" w:eastAsia="Microsoft JhengHei" w:hint="eastAsia"/>
          <w:b/>
          <w:sz w:val="21"/>
        </w:rPr>
      </w:pPr>
      <w:r>
        <w:rPr>
          <w:rFonts w:ascii="Microsoft JhengHei" w:eastAsia="Microsoft JhengHei" w:hint="eastAsia"/>
          <w:b/>
          <w:w w:val="95"/>
          <w:sz w:val="21"/>
        </w:rPr>
        <w:t>重型再生障碍性贫血</w:t>
      </w:r>
    </w:p>
    <w:p>
      <w:pPr>
        <w:pStyle w:val="BodyText"/>
        <w:spacing w:before="11"/>
        <w:rPr>
          <w:rFonts w:ascii="Microsoft JhengHei"/>
          <w:b/>
          <w:sz w:val="18"/>
        </w:rPr>
      </w:pPr>
    </w:p>
    <w:p>
      <w:pPr>
        <w:pStyle w:val="BodyText"/>
        <w:spacing w:line="273" w:lineRule="auto"/>
        <w:ind w:left="101" w:right="202"/>
      </w:pPr>
      <w:r>
        <w:rPr/>
        <w:t>指因骨髓造血功能慢性持续性衰竭导致的贫血、中性粒细胞减少及血小板减少。须满足下列</w:t>
      </w:r>
      <w:r>
        <w:rPr>
          <w:w w:val="95"/>
        </w:rPr>
        <w:t>全部条件：</w:t>
      </w:r>
    </w:p>
    <w:p>
      <w:pPr>
        <w:pStyle w:val="BodyText"/>
        <w:spacing w:before="5"/>
        <w:rPr>
          <w:sz w:val="24"/>
        </w:rPr>
      </w:pPr>
    </w:p>
    <w:p>
      <w:pPr>
        <w:pStyle w:val="BodyText"/>
        <w:ind w:left="101"/>
      </w:pPr>
      <w:r>
        <w:rPr>
          <w:w w:val="95"/>
        </w:rPr>
        <w:t>（1）骨髓穿刺检查或骨髓活检结果支持诊断；</w:t>
      </w:r>
    </w:p>
    <w:p>
      <w:pPr>
        <w:pStyle w:val="BodyText"/>
        <w:spacing w:before="8"/>
        <w:rPr>
          <w:sz w:val="26"/>
        </w:rPr>
      </w:pPr>
    </w:p>
    <w:p>
      <w:pPr>
        <w:pStyle w:val="BodyText"/>
        <w:ind w:left="101"/>
      </w:pPr>
      <w:r>
        <w:rPr>
          <w:w w:val="95"/>
        </w:rPr>
        <w:t>（2）外周血象须具备以下三项条件：</w:t>
      </w:r>
    </w:p>
    <w:p>
      <w:pPr>
        <w:pStyle w:val="BodyText"/>
        <w:rPr>
          <w:sz w:val="20"/>
        </w:rPr>
      </w:pPr>
    </w:p>
    <w:p>
      <w:pPr>
        <w:spacing w:after="0"/>
        <w:rPr>
          <w:sz w:val="20"/>
        </w:rPr>
        <w:sectPr>
          <w:pgSz w:w="11910" w:h="16840"/>
          <w:pgMar w:header="0" w:footer="1197" w:top="1380" w:bottom="1380" w:left="1600" w:right="1600"/>
        </w:sectPr>
      </w:pPr>
    </w:p>
    <w:p>
      <w:pPr>
        <w:pStyle w:val="BodyText"/>
        <w:spacing w:before="5"/>
        <w:rPr>
          <w:sz w:val="20"/>
        </w:rPr>
      </w:pPr>
    </w:p>
    <w:p>
      <w:pPr>
        <w:pStyle w:val="BodyText"/>
        <w:ind w:left="521"/>
      </w:pPr>
      <w:r>
        <w:rPr>
          <w:w w:val="95"/>
        </w:rPr>
        <w:t>中性粒细胞绝对值</w:t>
      </w:r>
    </w:p>
    <w:p>
      <w:pPr>
        <w:spacing w:before="269"/>
        <w:ind w:left="99" w:right="0" w:firstLine="0"/>
        <w:jc w:val="left"/>
        <w:rPr>
          <w:sz w:val="21"/>
        </w:rPr>
      </w:pPr>
      <w:r>
        <w:rPr/>
        <w:br w:type="column"/>
      </w:r>
      <w:r>
        <w:rPr>
          <w:rFonts w:ascii="Trebuchet MS" w:hAnsi="Trebuchet MS" w:eastAsia="Trebuchet MS"/>
          <w:sz w:val="24"/>
        </w:rPr>
        <w:t>≤ </w:t>
      </w:r>
      <w:r>
        <w:rPr>
          <w:rFonts w:ascii="Times New Roman" w:hAnsi="Times New Roman" w:eastAsia="Times New Roman"/>
          <w:sz w:val="24"/>
        </w:rPr>
        <w:t>0.5 </w:t>
      </w:r>
      <w:r>
        <w:rPr>
          <w:rFonts w:ascii="Trebuchet MS" w:hAnsi="Trebuchet MS" w:eastAsia="Trebuchet MS"/>
          <w:sz w:val="24"/>
        </w:rPr>
        <w:t>×</w:t>
      </w:r>
      <w:r>
        <w:rPr>
          <w:rFonts w:ascii="Times New Roman" w:hAnsi="Times New Roman" w:eastAsia="Times New Roman"/>
          <w:sz w:val="24"/>
        </w:rPr>
        <w:t>10</w:t>
      </w:r>
      <w:r>
        <w:rPr>
          <w:rFonts w:ascii="Times New Roman" w:hAnsi="Times New Roman" w:eastAsia="Times New Roman"/>
          <w:position w:val="11"/>
          <w:sz w:val="14"/>
        </w:rPr>
        <w:t>9 </w:t>
      </w:r>
      <w:r>
        <w:rPr>
          <w:rFonts w:ascii="Times New Roman" w:hAnsi="Times New Roman" w:eastAsia="Times New Roman"/>
          <w:sz w:val="24"/>
        </w:rPr>
        <w:t>/ </w:t>
      </w:r>
      <w:r>
        <w:rPr>
          <w:rFonts w:ascii="Times New Roman" w:hAnsi="Times New Roman" w:eastAsia="Times New Roman"/>
          <w:i/>
          <w:sz w:val="24"/>
        </w:rPr>
        <w:t>L</w:t>
      </w:r>
      <w:r>
        <w:rPr>
          <w:sz w:val="21"/>
        </w:rPr>
        <w:t>；</w:t>
      </w:r>
    </w:p>
    <w:p>
      <w:pPr>
        <w:spacing w:after="0"/>
        <w:jc w:val="left"/>
        <w:rPr>
          <w:sz w:val="21"/>
        </w:rPr>
        <w:sectPr>
          <w:type w:val="continuous"/>
          <w:pgSz w:w="11910" w:h="16840"/>
          <w:pgMar w:top="720" w:bottom="1380" w:left="1600" w:right="1600"/>
          <w:cols w:num="2" w:equalWidth="0">
            <w:col w:w="2202" w:space="40"/>
            <w:col w:w="6468"/>
          </w:cols>
        </w:sectPr>
      </w:pPr>
    </w:p>
    <w:p>
      <w:pPr>
        <w:pStyle w:val="BodyText"/>
        <w:spacing w:before="12"/>
        <w:rPr>
          <w:sz w:val="27"/>
        </w:rPr>
      </w:pPr>
    </w:p>
    <w:p>
      <w:pPr>
        <w:spacing w:after="0"/>
        <w:rPr>
          <w:sz w:val="27"/>
        </w:rPr>
        <w:sectPr>
          <w:type w:val="continuous"/>
          <w:pgSz w:w="11910" w:h="16840"/>
          <w:pgMar w:top="720" w:bottom="1380" w:left="1600" w:right="1600"/>
        </w:sectPr>
      </w:pPr>
    </w:p>
    <w:p>
      <w:pPr>
        <w:pStyle w:val="BodyText"/>
        <w:spacing w:before="92"/>
        <w:ind w:left="521"/>
      </w:pPr>
      <w:r>
        <w:rPr>
          <w:w w:val="95"/>
        </w:rPr>
        <w:t>网织红细胞</w:t>
      </w:r>
    </w:p>
    <w:p>
      <w:pPr>
        <w:spacing w:before="94"/>
        <w:ind w:left="99" w:right="0" w:firstLine="0"/>
        <w:jc w:val="left"/>
        <w:rPr>
          <w:sz w:val="21"/>
        </w:rPr>
      </w:pPr>
      <w:r>
        <w:rPr/>
        <w:br w:type="column"/>
      </w:r>
      <w:r>
        <w:rPr>
          <w:rFonts w:ascii="Trebuchet MS" w:eastAsia="Trebuchet MS"/>
          <w:w w:val="105"/>
          <w:sz w:val="23"/>
        </w:rPr>
        <w:t>&lt; </w:t>
      </w:r>
      <w:r>
        <w:rPr>
          <w:rFonts w:ascii="Times New Roman" w:eastAsia="Times New Roman"/>
          <w:w w:val="105"/>
          <w:sz w:val="23"/>
        </w:rPr>
        <w:t>1% </w:t>
      </w:r>
      <w:r>
        <w:rPr>
          <w:w w:val="105"/>
          <w:sz w:val="21"/>
        </w:rPr>
        <w:t>；</w:t>
      </w:r>
    </w:p>
    <w:p>
      <w:pPr>
        <w:spacing w:after="0"/>
        <w:jc w:val="left"/>
        <w:rPr>
          <w:sz w:val="21"/>
        </w:rPr>
        <w:sectPr>
          <w:type w:val="continuous"/>
          <w:pgSz w:w="11910" w:h="16840"/>
          <w:pgMar w:top="720" w:bottom="1380" w:left="1600" w:right="1600"/>
          <w:cols w:num="2" w:equalWidth="0">
            <w:col w:w="1571" w:space="40"/>
            <w:col w:w="7099"/>
          </w:cols>
        </w:sectPr>
      </w:pPr>
    </w:p>
    <w:p>
      <w:pPr>
        <w:pStyle w:val="BodyText"/>
        <w:spacing w:before="12"/>
        <w:rPr>
          <w:sz w:val="29"/>
        </w:rPr>
      </w:pPr>
    </w:p>
    <w:p>
      <w:pPr>
        <w:spacing w:after="0"/>
        <w:rPr>
          <w:sz w:val="29"/>
        </w:rPr>
        <w:sectPr>
          <w:type w:val="continuous"/>
          <w:pgSz w:w="11910" w:h="16840"/>
          <w:pgMar w:top="720" w:bottom="1380" w:left="1600" w:right="1600"/>
        </w:sectPr>
      </w:pPr>
    </w:p>
    <w:p>
      <w:pPr>
        <w:pStyle w:val="BodyText"/>
        <w:spacing w:before="96"/>
        <w:ind w:left="521"/>
      </w:pPr>
      <w:r>
        <w:rPr>
          <w:w w:val="95"/>
        </w:rPr>
        <w:t>血小板绝对值</w:t>
      </w:r>
    </w:p>
    <w:p>
      <w:pPr>
        <w:spacing w:before="99"/>
        <w:ind w:left="99" w:right="0" w:firstLine="0"/>
        <w:jc w:val="left"/>
        <w:rPr>
          <w:sz w:val="21"/>
        </w:rPr>
      </w:pPr>
      <w:r>
        <w:rPr/>
        <w:br w:type="column"/>
      </w:r>
      <w:r>
        <w:rPr>
          <w:rFonts w:ascii="Trebuchet MS" w:hAnsi="Trebuchet MS" w:eastAsia="Trebuchet MS"/>
          <w:sz w:val="24"/>
        </w:rPr>
        <w:t>≤ </w:t>
      </w:r>
      <w:r>
        <w:rPr>
          <w:rFonts w:ascii="Times New Roman" w:hAnsi="Times New Roman" w:eastAsia="Times New Roman"/>
          <w:sz w:val="24"/>
        </w:rPr>
        <w:t>20 </w:t>
      </w:r>
      <w:r>
        <w:rPr>
          <w:rFonts w:ascii="Trebuchet MS" w:hAnsi="Trebuchet MS" w:eastAsia="Trebuchet MS"/>
          <w:sz w:val="24"/>
        </w:rPr>
        <w:t>×</w:t>
      </w:r>
      <w:r>
        <w:rPr>
          <w:rFonts w:ascii="Times New Roman" w:hAnsi="Times New Roman" w:eastAsia="Times New Roman"/>
          <w:sz w:val="24"/>
        </w:rPr>
        <w:t>10</w:t>
      </w:r>
      <w:r>
        <w:rPr>
          <w:rFonts w:ascii="Times New Roman" w:hAnsi="Times New Roman" w:eastAsia="Times New Roman"/>
          <w:position w:val="11"/>
          <w:sz w:val="14"/>
        </w:rPr>
        <w:t>9 </w:t>
      </w:r>
      <w:r>
        <w:rPr>
          <w:rFonts w:ascii="Times New Roman" w:hAnsi="Times New Roman" w:eastAsia="Times New Roman"/>
          <w:sz w:val="24"/>
        </w:rPr>
        <w:t>/ </w:t>
      </w:r>
      <w:r>
        <w:rPr>
          <w:rFonts w:ascii="Times New Roman" w:hAnsi="Times New Roman" w:eastAsia="Times New Roman"/>
          <w:i/>
          <w:sz w:val="24"/>
        </w:rPr>
        <w:t>L</w:t>
      </w:r>
      <w:r>
        <w:rPr>
          <w:sz w:val="21"/>
        </w:rPr>
        <w:t>。</w:t>
      </w:r>
    </w:p>
    <w:p>
      <w:pPr>
        <w:spacing w:after="0"/>
        <w:jc w:val="left"/>
        <w:rPr>
          <w:sz w:val="21"/>
        </w:rPr>
        <w:sectPr>
          <w:type w:val="continuous"/>
          <w:pgSz w:w="11910" w:h="16840"/>
          <w:pgMar w:top="720" w:bottom="1380" w:left="1600" w:right="1600"/>
          <w:cols w:num="2" w:equalWidth="0">
            <w:col w:w="1782" w:space="40"/>
            <w:col w:w="6888"/>
          </w:cols>
        </w:sectPr>
      </w:pPr>
    </w:p>
    <w:p>
      <w:pPr>
        <w:pStyle w:val="BodyText"/>
        <w:rPr>
          <w:sz w:val="20"/>
        </w:rPr>
      </w:pPr>
    </w:p>
    <w:p>
      <w:pPr>
        <w:pStyle w:val="ListParagraph"/>
        <w:numPr>
          <w:ilvl w:val="2"/>
          <w:numId w:val="6"/>
        </w:numPr>
        <w:tabs>
          <w:tab w:pos="942" w:val="left" w:leader="none"/>
        </w:tabs>
        <w:spacing w:line="240" w:lineRule="auto" w:before="140" w:after="0"/>
        <w:ind w:left="941" w:right="0" w:hanging="840"/>
        <w:jc w:val="left"/>
        <w:rPr>
          <w:rFonts w:ascii="Microsoft JhengHei" w:eastAsia="Microsoft JhengHei" w:hint="eastAsia"/>
          <w:b/>
          <w:sz w:val="21"/>
        </w:rPr>
      </w:pPr>
      <w:r>
        <w:rPr>
          <w:rFonts w:ascii="Microsoft JhengHei" w:eastAsia="Microsoft JhengHei" w:hint="eastAsia"/>
          <w:b/>
          <w:w w:val="95"/>
          <w:sz w:val="21"/>
        </w:rPr>
        <w:t>主动脉手术</w:t>
      </w:r>
    </w:p>
    <w:p>
      <w:pPr>
        <w:pStyle w:val="BodyText"/>
        <w:spacing w:before="11"/>
        <w:rPr>
          <w:rFonts w:ascii="Microsoft JhengHei"/>
          <w:b/>
          <w:sz w:val="18"/>
        </w:rPr>
      </w:pPr>
    </w:p>
    <w:p>
      <w:pPr>
        <w:pStyle w:val="BodyText"/>
        <w:spacing w:line="273" w:lineRule="auto"/>
        <w:ind w:left="101" w:right="202"/>
      </w:pPr>
      <w:r>
        <w:rPr/>
        <w:t>指为治疗主动脉疾病，实际实施了开胸或开腹进行的切除、置换、修补病损主动脉血管的手</w:t>
      </w:r>
      <w:r>
        <w:rPr>
          <w:w w:val="95"/>
        </w:rPr>
        <w:t>术。主动脉指胸主动脉和腹主动脉，不包括胸主动脉和腹主动脉的分支血管。</w:t>
      </w:r>
    </w:p>
    <w:p>
      <w:pPr>
        <w:pStyle w:val="BodyText"/>
        <w:spacing w:before="5"/>
        <w:rPr>
          <w:sz w:val="24"/>
        </w:rPr>
      </w:pPr>
    </w:p>
    <w:p>
      <w:pPr>
        <w:pStyle w:val="BodyText"/>
        <w:ind w:left="101"/>
      </w:pPr>
      <w:r>
        <w:rPr>
          <w:w w:val="95"/>
        </w:rPr>
        <w:t>动脉内血管成形术不在保障范围内。</w:t>
      </w:r>
    </w:p>
    <w:p>
      <w:pPr>
        <w:pStyle w:val="BodyText"/>
        <w:spacing w:before="7"/>
      </w:pPr>
    </w:p>
    <w:p>
      <w:pPr>
        <w:pStyle w:val="ListParagraph"/>
        <w:numPr>
          <w:ilvl w:val="2"/>
          <w:numId w:val="6"/>
        </w:numPr>
        <w:tabs>
          <w:tab w:pos="942" w:val="left" w:leader="none"/>
        </w:tabs>
        <w:spacing w:line="240" w:lineRule="auto" w:before="0" w:after="0"/>
        <w:ind w:left="941" w:right="0" w:hanging="840"/>
        <w:jc w:val="left"/>
        <w:rPr>
          <w:rFonts w:ascii="Microsoft JhengHei" w:eastAsia="Microsoft JhengHei" w:hint="eastAsia"/>
          <w:b/>
          <w:sz w:val="21"/>
        </w:rPr>
      </w:pPr>
      <w:r>
        <w:rPr>
          <w:rFonts w:ascii="Microsoft JhengHei" w:eastAsia="Microsoft JhengHei" w:hint="eastAsia"/>
          <w:b/>
          <w:sz w:val="21"/>
        </w:rPr>
        <w:t>1</w:t>
      </w:r>
      <w:r>
        <w:rPr>
          <w:rFonts w:ascii="Microsoft JhengHei" w:eastAsia="Microsoft JhengHei" w:hint="eastAsia"/>
          <w:b/>
          <w:spacing w:val="-5"/>
          <w:sz w:val="21"/>
        </w:rPr>
        <w:t> 型糖尿病</w:t>
      </w:r>
    </w:p>
    <w:p>
      <w:pPr>
        <w:pStyle w:val="BodyText"/>
        <w:spacing w:before="11"/>
        <w:rPr>
          <w:rFonts w:ascii="Microsoft JhengHei"/>
          <w:b/>
          <w:sz w:val="18"/>
        </w:rPr>
      </w:pPr>
    </w:p>
    <w:p>
      <w:pPr>
        <w:pStyle w:val="BodyText"/>
        <w:spacing w:before="1"/>
        <w:ind w:left="101"/>
      </w:pPr>
      <w:r>
        <w:rPr/>
        <w:t>1</w:t>
      </w:r>
      <w:r>
        <w:rPr>
          <w:spacing w:val="-11"/>
        </w:rPr>
        <w:t> 型糖尿病的特征为由于胰岛素分泌绝对不足引起严重胰岛素缺乏导致慢性血糖升高，需要依</w:t>
      </w:r>
    </w:p>
    <w:p>
      <w:pPr>
        <w:pStyle w:val="BodyText"/>
        <w:spacing w:line="273" w:lineRule="auto" w:before="37"/>
        <w:ind w:left="101" w:right="204"/>
      </w:pPr>
      <w:r>
        <w:rPr>
          <w:spacing w:val="-3"/>
        </w:rPr>
        <w:t>赖外源性胰岛素进行机体的葡萄糖代谢和维持生命。被保险人的 </w:t>
      </w:r>
      <w:r>
        <w:rPr/>
        <w:t>1</w:t>
      </w:r>
      <w:r>
        <w:rPr>
          <w:spacing w:val="-8"/>
        </w:rPr>
        <w:t> 型糖尿病必须明确诊断， </w:t>
      </w:r>
      <w:r>
        <w:rPr>
          <w:spacing w:val="-12"/>
        </w:rPr>
        <w:t>而且有血胰岛素测定及血 </w:t>
      </w:r>
      <w:r>
        <w:rPr/>
        <w:t>C</w:t>
      </w:r>
      <w:r>
        <w:rPr>
          <w:spacing w:val="-23"/>
        </w:rPr>
        <w:t> 肽或尿 </w:t>
      </w:r>
      <w:r>
        <w:rPr/>
        <w:t>C</w:t>
      </w:r>
      <w:r>
        <w:rPr>
          <w:spacing w:val="-8"/>
        </w:rPr>
        <w:t> 肽测定结果支持诊断，并且满足下列全部条件：</w:t>
      </w:r>
    </w:p>
    <w:p>
      <w:pPr>
        <w:pStyle w:val="BodyText"/>
        <w:spacing w:before="5"/>
        <w:rPr>
          <w:sz w:val="24"/>
        </w:rPr>
      </w:pPr>
    </w:p>
    <w:p>
      <w:pPr>
        <w:pStyle w:val="BodyText"/>
        <w:ind w:left="101"/>
      </w:pPr>
      <w:r>
        <w:rPr/>
        <w:t>（1）已经持续性地接受外源性胰岛素注射治疗连续 180 天以上；</w:t>
      </w:r>
    </w:p>
    <w:p>
      <w:pPr>
        <w:pStyle w:val="BodyText"/>
        <w:spacing w:before="8"/>
        <w:rPr>
          <w:sz w:val="26"/>
        </w:rPr>
      </w:pPr>
    </w:p>
    <w:p>
      <w:pPr>
        <w:pStyle w:val="BodyText"/>
        <w:ind w:left="101"/>
      </w:pPr>
      <w:r>
        <w:rPr>
          <w:w w:val="95"/>
        </w:rPr>
        <w:t>（2）因需要已经接受了下列治疗：</w:t>
      </w:r>
    </w:p>
    <w:p>
      <w:pPr>
        <w:pStyle w:val="BodyText"/>
        <w:spacing w:before="8"/>
        <w:rPr>
          <w:sz w:val="26"/>
        </w:rPr>
      </w:pPr>
    </w:p>
    <w:p>
      <w:pPr>
        <w:pStyle w:val="BodyText"/>
        <w:tabs>
          <w:tab w:pos="521" w:val="left" w:leader="none"/>
        </w:tabs>
        <w:ind w:left="101"/>
      </w:pPr>
      <w:r>
        <w:rPr/>
        <w:t>n</w:t>
        <w:tab/>
      </w:r>
      <w:r>
        <w:rPr>
          <w:w w:val="95"/>
        </w:rPr>
        <w:t>因严重心律失常植入了心脏起搏器；或</w:t>
      </w:r>
    </w:p>
    <w:p>
      <w:pPr>
        <w:spacing w:after="0"/>
        <w:sectPr>
          <w:type w:val="continuous"/>
          <w:pgSz w:w="11910" w:h="16840"/>
          <w:pgMar w:top="720" w:bottom="1380" w:left="1600" w:right="1600"/>
        </w:sectPr>
      </w:pPr>
    </w:p>
    <w:p>
      <w:pPr>
        <w:pStyle w:val="BodyText"/>
        <w:tabs>
          <w:tab w:pos="521" w:val="left" w:leader="none"/>
        </w:tabs>
        <w:spacing w:before="5"/>
        <w:ind w:left="101"/>
      </w:pPr>
      <w:r>
        <w:rPr/>
        <w:t>n</w:t>
        <w:tab/>
      </w:r>
      <w:r>
        <w:rPr>
          <w:w w:val="95"/>
        </w:rPr>
        <w:t>因坏疽自跖趾关节或以上切除了一趾或多趾。</w:t>
      </w:r>
    </w:p>
    <w:p>
      <w:pPr>
        <w:pStyle w:val="BodyText"/>
        <w:spacing w:before="7"/>
      </w:pPr>
    </w:p>
    <w:p>
      <w:pPr>
        <w:pStyle w:val="ListParagraph"/>
        <w:numPr>
          <w:ilvl w:val="2"/>
          <w:numId w:val="6"/>
        </w:numPr>
        <w:tabs>
          <w:tab w:pos="942" w:val="left" w:leader="none"/>
        </w:tabs>
        <w:spacing w:line="240" w:lineRule="auto" w:before="0" w:after="0"/>
        <w:ind w:left="941" w:right="0" w:hanging="840"/>
        <w:jc w:val="left"/>
        <w:rPr>
          <w:rFonts w:ascii="Microsoft JhengHei" w:eastAsia="Microsoft JhengHei" w:hint="eastAsia"/>
          <w:b/>
          <w:sz w:val="21"/>
        </w:rPr>
      </w:pPr>
      <w:r>
        <w:rPr>
          <w:rFonts w:ascii="Microsoft JhengHei" w:eastAsia="Microsoft JhengHei" w:hint="eastAsia"/>
          <w:b/>
          <w:w w:val="95"/>
          <w:sz w:val="21"/>
        </w:rPr>
        <w:t>严重胃肠炎</w:t>
      </w:r>
    </w:p>
    <w:p>
      <w:pPr>
        <w:pStyle w:val="BodyText"/>
        <w:spacing w:before="11"/>
        <w:rPr>
          <w:rFonts w:ascii="Microsoft JhengHei"/>
          <w:b/>
          <w:sz w:val="18"/>
        </w:rPr>
      </w:pPr>
    </w:p>
    <w:p>
      <w:pPr>
        <w:pStyle w:val="BodyText"/>
        <w:spacing w:line="273" w:lineRule="auto" w:before="1"/>
        <w:ind w:left="101" w:right="202"/>
      </w:pPr>
      <w:r>
        <w:rPr/>
        <w:t>以严重的腹泻、便血和肠段坏死为特征的胃肠道严重感染，被保险人已实施了大肠或小肠的</w:t>
      </w:r>
      <w:r>
        <w:rPr>
          <w:w w:val="95"/>
        </w:rPr>
        <w:t>一处或多处手术切除，且经病理检查证实存在严重感染和坏死。</w:t>
      </w:r>
    </w:p>
    <w:p>
      <w:pPr>
        <w:pStyle w:val="BodyText"/>
        <w:spacing w:before="4"/>
        <w:rPr>
          <w:sz w:val="19"/>
        </w:rPr>
      </w:pPr>
    </w:p>
    <w:p>
      <w:pPr>
        <w:pStyle w:val="ListParagraph"/>
        <w:numPr>
          <w:ilvl w:val="2"/>
          <w:numId w:val="6"/>
        </w:numPr>
        <w:tabs>
          <w:tab w:pos="942" w:val="left" w:leader="none"/>
        </w:tabs>
        <w:spacing w:line="240" w:lineRule="auto" w:before="0" w:after="0"/>
        <w:ind w:left="941" w:right="0" w:hanging="840"/>
        <w:jc w:val="left"/>
        <w:rPr>
          <w:rFonts w:ascii="Microsoft JhengHei" w:eastAsia="Microsoft JhengHei" w:hint="eastAsia"/>
          <w:b/>
          <w:sz w:val="21"/>
        </w:rPr>
      </w:pPr>
      <w:r>
        <w:rPr>
          <w:rFonts w:ascii="Microsoft JhengHei" w:eastAsia="Microsoft JhengHei" w:hint="eastAsia"/>
          <w:b/>
          <w:w w:val="95"/>
          <w:sz w:val="21"/>
        </w:rPr>
        <w:t>严重川崎病</w:t>
      </w:r>
    </w:p>
    <w:p>
      <w:pPr>
        <w:pStyle w:val="BodyText"/>
        <w:spacing w:before="11"/>
        <w:rPr>
          <w:rFonts w:ascii="Microsoft JhengHei"/>
          <w:b/>
          <w:sz w:val="18"/>
        </w:rPr>
      </w:pPr>
    </w:p>
    <w:p>
      <w:pPr>
        <w:pStyle w:val="BodyText"/>
        <w:ind w:left="101"/>
      </w:pPr>
      <w:r>
        <w:rPr>
          <w:w w:val="95"/>
        </w:rPr>
        <w:t>川崎病为一种病因不明的系统性血管炎。</w:t>
      </w:r>
    </w:p>
    <w:p>
      <w:pPr>
        <w:pStyle w:val="BodyText"/>
        <w:spacing w:before="8"/>
        <w:rPr>
          <w:sz w:val="26"/>
        </w:rPr>
      </w:pPr>
    </w:p>
    <w:p>
      <w:pPr>
        <w:pStyle w:val="BodyText"/>
        <w:spacing w:line="273" w:lineRule="auto"/>
        <w:ind w:left="101" w:right="202"/>
      </w:pPr>
      <w:r>
        <w:rPr/>
        <w:t>本保障仅对诊断性检查证实川崎病并发动脉瘤或其他心血管异常并且实际接受了手术治疗的</w:t>
      </w:r>
      <w:r>
        <w:rPr>
          <w:w w:val="95"/>
        </w:rPr>
        <w:t>情况予以理赔。</w:t>
      </w:r>
    </w:p>
    <w:p>
      <w:pPr>
        <w:pStyle w:val="BodyText"/>
        <w:spacing w:before="4"/>
        <w:rPr>
          <w:sz w:val="19"/>
        </w:rPr>
      </w:pPr>
    </w:p>
    <w:p>
      <w:pPr>
        <w:pStyle w:val="ListParagraph"/>
        <w:numPr>
          <w:ilvl w:val="2"/>
          <w:numId w:val="6"/>
        </w:numPr>
        <w:tabs>
          <w:tab w:pos="942" w:val="left" w:leader="none"/>
        </w:tabs>
        <w:spacing w:line="240" w:lineRule="auto" w:before="0" w:after="0"/>
        <w:ind w:left="941" w:right="0" w:hanging="840"/>
        <w:jc w:val="left"/>
        <w:rPr>
          <w:rFonts w:ascii="Microsoft JhengHei" w:eastAsia="Microsoft JhengHei" w:hint="eastAsia"/>
          <w:b/>
          <w:sz w:val="21"/>
        </w:rPr>
      </w:pPr>
      <w:r>
        <w:rPr>
          <w:rFonts w:ascii="Microsoft JhengHei" w:eastAsia="Microsoft JhengHei" w:hint="eastAsia"/>
          <w:b/>
          <w:sz w:val="21"/>
        </w:rPr>
        <w:t>脊髓灰质炎（或称小儿麻痹症)</w:t>
      </w:r>
    </w:p>
    <w:p>
      <w:pPr>
        <w:pStyle w:val="BodyText"/>
        <w:spacing w:before="12"/>
        <w:rPr>
          <w:rFonts w:ascii="Microsoft JhengHei"/>
          <w:b/>
          <w:sz w:val="18"/>
        </w:rPr>
      </w:pPr>
    </w:p>
    <w:p>
      <w:pPr>
        <w:pStyle w:val="BodyText"/>
        <w:spacing w:line="273" w:lineRule="auto"/>
        <w:ind w:left="101" w:right="202"/>
        <w:jc w:val="both"/>
      </w:pPr>
      <w:r>
        <w:rPr/>
        <w:t>脊髓灰质炎是由于脊髓灰质炎病毒感染所致的瘫痪性疾病，临床表现为运动功能损害或呼吸无力。脊髓灰质炎必须明确诊断。本保单仅对脊髓灰质炎造成的神经系统功能损害导致被保险人一肢或一肢以上肢体机能永久完全丧失的情况予以理赔。肢体机能永久完全丧失，指疾病确诊 180 天后，每肢三大关节中的两大关节仍然完全僵硬，或不能随意识活动。</w:t>
      </w:r>
    </w:p>
    <w:p>
      <w:pPr>
        <w:pStyle w:val="BodyText"/>
        <w:spacing w:before="4"/>
        <w:rPr>
          <w:sz w:val="19"/>
        </w:rPr>
      </w:pPr>
    </w:p>
    <w:p>
      <w:pPr>
        <w:pStyle w:val="ListParagraph"/>
        <w:numPr>
          <w:ilvl w:val="2"/>
          <w:numId w:val="6"/>
        </w:numPr>
        <w:tabs>
          <w:tab w:pos="942" w:val="left" w:leader="none"/>
        </w:tabs>
        <w:spacing w:line="240" w:lineRule="auto" w:before="0" w:after="0"/>
        <w:ind w:left="941" w:right="0" w:hanging="840"/>
        <w:jc w:val="left"/>
        <w:rPr>
          <w:rFonts w:ascii="Microsoft JhengHei" w:eastAsia="Microsoft JhengHei" w:hint="eastAsia"/>
          <w:b/>
          <w:sz w:val="21"/>
        </w:rPr>
      </w:pPr>
      <w:r>
        <w:rPr>
          <w:rFonts w:ascii="Microsoft JhengHei" w:eastAsia="Microsoft JhengHei" w:hint="eastAsia"/>
          <w:b/>
          <w:w w:val="95"/>
          <w:sz w:val="21"/>
        </w:rPr>
        <w:t>严重幼年型类风湿关节炎</w:t>
      </w:r>
    </w:p>
    <w:p>
      <w:pPr>
        <w:pStyle w:val="BodyText"/>
        <w:spacing w:before="11"/>
        <w:rPr>
          <w:rFonts w:ascii="Microsoft JhengHei"/>
          <w:b/>
          <w:sz w:val="18"/>
        </w:rPr>
      </w:pPr>
    </w:p>
    <w:p>
      <w:pPr>
        <w:pStyle w:val="BodyText"/>
        <w:spacing w:line="273" w:lineRule="auto"/>
        <w:ind w:left="101" w:right="202"/>
      </w:pPr>
      <w:r>
        <w:rPr/>
        <w:t>幼年型类风湿关节炎是一种儿童期发病的慢性关节炎，其特点为在高热和系统性病征出现数</w:t>
      </w:r>
      <w:r>
        <w:rPr>
          <w:w w:val="95"/>
        </w:rPr>
        <w:t>月后发生关节炎。</w:t>
      </w:r>
    </w:p>
    <w:p>
      <w:pPr>
        <w:pStyle w:val="BodyText"/>
        <w:spacing w:before="5"/>
        <w:rPr>
          <w:sz w:val="24"/>
        </w:rPr>
      </w:pPr>
    </w:p>
    <w:p>
      <w:pPr>
        <w:pStyle w:val="BodyText"/>
        <w:spacing w:line="273" w:lineRule="auto"/>
        <w:ind w:left="101" w:right="413"/>
      </w:pPr>
      <w:r>
        <w:rPr/>
        <w:t>本保障仅对实际接受了膝关节或髋关节置换手术治疗的严重的幼年型类风湿关节炎予以理</w:t>
      </w:r>
      <w:r>
        <w:rPr>
          <w:w w:val="95"/>
        </w:rPr>
        <w:t>赔。</w:t>
      </w:r>
    </w:p>
    <w:p>
      <w:pPr>
        <w:pStyle w:val="BodyText"/>
        <w:spacing w:before="4"/>
        <w:rPr>
          <w:sz w:val="19"/>
        </w:rPr>
      </w:pPr>
    </w:p>
    <w:p>
      <w:pPr>
        <w:pStyle w:val="ListParagraph"/>
        <w:numPr>
          <w:ilvl w:val="2"/>
          <w:numId w:val="6"/>
        </w:numPr>
        <w:tabs>
          <w:tab w:pos="942" w:val="left" w:leader="none"/>
        </w:tabs>
        <w:spacing w:line="240" w:lineRule="auto" w:before="0" w:after="0"/>
        <w:ind w:left="941" w:right="0" w:hanging="840"/>
        <w:jc w:val="left"/>
        <w:rPr>
          <w:rFonts w:ascii="Microsoft JhengHei" w:eastAsia="Microsoft JhengHei" w:hint="eastAsia"/>
          <w:b/>
          <w:sz w:val="21"/>
        </w:rPr>
      </w:pPr>
      <w:r>
        <w:rPr>
          <w:rFonts w:ascii="Microsoft JhengHei" w:eastAsia="Microsoft JhengHei" w:hint="eastAsia"/>
          <w:b/>
          <w:w w:val="99"/>
          <w:sz w:val="21"/>
        </w:rPr>
        <w:t>经输血导致的人类免疫缺陷病毒</w:t>
      </w:r>
      <w:r>
        <w:rPr>
          <w:rFonts w:ascii="Microsoft JhengHei" w:eastAsia="Microsoft JhengHei" w:hint="eastAsia"/>
          <w:b/>
          <w:spacing w:val="10"/>
          <w:w w:val="99"/>
          <w:sz w:val="21"/>
        </w:rPr>
        <w:t>（</w:t>
      </w:r>
      <w:r>
        <w:rPr>
          <w:rFonts w:ascii="Microsoft JhengHei" w:eastAsia="Microsoft JhengHei" w:hint="eastAsia"/>
          <w:b/>
          <w:spacing w:val="2"/>
          <w:w w:val="63"/>
          <w:sz w:val="21"/>
        </w:rPr>
        <w:t>H</w:t>
      </w:r>
      <w:r>
        <w:rPr>
          <w:rFonts w:ascii="Microsoft JhengHei" w:eastAsia="Microsoft JhengHei" w:hint="eastAsia"/>
          <w:b/>
          <w:spacing w:val="0"/>
          <w:w w:val="162"/>
          <w:sz w:val="21"/>
        </w:rPr>
        <w:t>I</w:t>
      </w:r>
      <w:r>
        <w:rPr>
          <w:rFonts w:ascii="Microsoft JhengHei" w:eastAsia="Microsoft JhengHei" w:hint="eastAsia"/>
          <w:b/>
          <w:spacing w:val="-2"/>
          <w:w w:val="72"/>
          <w:sz w:val="21"/>
        </w:rPr>
        <w:t>V</w:t>
      </w:r>
      <w:r>
        <w:rPr>
          <w:rFonts w:ascii="Microsoft JhengHei" w:eastAsia="Microsoft JhengHei" w:hint="eastAsia"/>
          <w:b/>
          <w:spacing w:val="1"/>
          <w:w w:val="99"/>
          <w:sz w:val="21"/>
        </w:rPr>
        <w:t>）</w:t>
      </w:r>
      <w:r>
        <w:rPr>
          <w:rFonts w:ascii="Microsoft JhengHei" w:eastAsia="Microsoft JhengHei" w:hint="eastAsia"/>
          <w:b/>
          <w:w w:val="99"/>
          <w:sz w:val="21"/>
        </w:rPr>
        <w:t>感染</w:t>
      </w:r>
    </w:p>
    <w:p>
      <w:pPr>
        <w:pStyle w:val="BodyText"/>
        <w:spacing w:before="11"/>
        <w:rPr>
          <w:rFonts w:ascii="Microsoft JhengHei"/>
          <w:b/>
          <w:sz w:val="18"/>
        </w:rPr>
      </w:pPr>
    </w:p>
    <w:p>
      <w:pPr>
        <w:pStyle w:val="BodyText"/>
        <w:ind w:left="101"/>
      </w:pPr>
      <w:r>
        <w:rPr>
          <w:w w:val="95"/>
        </w:rPr>
        <w:t>被保险人感染上人类免疫缺陷病毒（HIV）并且满足下列全部条件：</w:t>
      </w:r>
    </w:p>
    <w:p>
      <w:pPr>
        <w:pStyle w:val="BodyText"/>
        <w:spacing w:before="8"/>
        <w:rPr>
          <w:sz w:val="26"/>
        </w:rPr>
      </w:pPr>
    </w:p>
    <w:p>
      <w:pPr>
        <w:pStyle w:val="BodyText"/>
        <w:ind w:left="101"/>
      </w:pPr>
      <w:r>
        <w:rPr/>
        <w:t>(1)在本附加险合同生效日或最后复效日（以较迟者为准）后因输血而感染 HIV；</w:t>
      </w:r>
    </w:p>
    <w:p>
      <w:pPr>
        <w:pStyle w:val="BodyText"/>
        <w:spacing w:before="8"/>
        <w:rPr>
          <w:sz w:val="26"/>
        </w:rPr>
      </w:pPr>
    </w:p>
    <w:p>
      <w:pPr>
        <w:pStyle w:val="BodyText"/>
        <w:spacing w:line="273" w:lineRule="auto"/>
        <w:ind w:left="101" w:right="99"/>
      </w:pPr>
      <w:r>
        <w:rPr>
          <w:w w:val="95"/>
        </w:rPr>
        <w:t>(2)提供输血治疗的输血中心或医院出具该项输血感染属医疗责任事故的报告，或者法院终审   裁判为医疗责任；</w:t>
      </w:r>
    </w:p>
    <w:p>
      <w:pPr>
        <w:pStyle w:val="BodyText"/>
        <w:spacing w:before="5"/>
        <w:rPr>
          <w:sz w:val="24"/>
        </w:rPr>
      </w:pPr>
    </w:p>
    <w:p>
      <w:pPr>
        <w:pStyle w:val="BodyText"/>
        <w:ind w:left="101"/>
      </w:pPr>
      <w:r>
        <w:rPr>
          <w:w w:val="95"/>
        </w:rPr>
        <w:t>(3)受感染的被保险人不是血友病患者。</w:t>
      </w:r>
    </w:p>
    <w:p>
      <w:pPr>
        <w:pStyle w:val="BodyText"/>
        <w:spacing w:before="8"/>
        <w:rPr>
          <w:sz w:val="26"/>
        </w:rPr>
      </w:pPr>
    </w:p>
    <w:p>
      <w:pPr>
        <w:pStyle w:val="BodyText"/>
        <w:spacing w:line="273" w:lineRule="auto" w:before="1"/>
        <w:ind w:left="101" w:right="204"/>
      </w:pPr>
      <w:r>
        <w:rPr/>
        <w:t>在任何治愈艾滋病（AIDS）</w:t>
      </w:r>
      <w:r>
        <w:rPr>
          <w:spacing w:val="-14"/>
        </w:rPr>
        <w:t>或阻止 </w:t>
      </w:r>
      <w:r>
        <w:rPr/>
        <w:t>HIV</w:t>
      </w:r>
      <w:r>
        <w:rPr>
          <w:spacing w:val="-5"/>
        </w:rPr>
        <w:t> 病毒作用的疗法被发现以后，或能防止 </w:t>
      </w:r>
      <w:r>
        <w:rPr/>
        <w:t>AIDS</w:t>
      </w:r>
      <w:r>
        <w:rPr>
          <w:spacing w:val="-2"/>
        </w:rPr>
        <w:t> 发生的</w:t>
      </w:r>
      <w:r>
        <w:rPr>
          <w:spacing w:val="-2"/>
          <w:w w:val="95"/>
        </w:rPr>
        <w:t>医疗方法被研究出来以后，本保障将不再予以赔付。</w:t>
      </w:r>
    </w:p>
    <w:p>
      <w:pPr>
        <w:pStyle w:val="BodyText"/>
        <w:spacing w:before="5"/>
        <w:rPr>
          <w:sz w:val="24"/>
        </w:rPr>
      </w:pPr>
    </w:p>
    <w:p>
      <w:pPr>
        <w:pStyle w:val="BodyText"/>
        <w:ind w:left="101"/>
      </w:pPr>
      <w:r>
        <w:rPr/>
        <w:t>任何因其他传播方式（包括但不限于性传播或静脉注射毒品）导致的 HIV 感染不在保障范围</w:t>
      </w:r>
    </w:p>
    <w:p>
      <w:pPr>
        <w:spacing w:after="0"/>
        <w:sectPr>
          <w:pgSz w:w="11910" w:h="16840"/>
          <w:pgMar w:header="0" w:footer="1197" w:top="1380" w:bottom="1380" w:left="1600" w:right="1600"/>
        </w:sectPr>
      </w:pPr>
    </w:p>
    <w:p>
      <w:pPr>
        <w:pStyle w:val="BodyText"/>
        <w:spacing w:before="5"/>
        <w:ind w:left="201"/>
      </w:pPr>
      <w:r>
        <w:rPr>
          <w:w w:val="95"/>
        </w:rPr>
        <w:t>内。</w:t>
      </w:r>
    </w:p>
    <w:p>
      <w:pPr>
        <w:pStyle w:val="BodyText"/>
        <w:spacing w:before="7"/>
      </w:pPr>
    </w:p>
    <w:p>
      <w:pPr>
        <w:pStyle w:val="ListParagraph"/>
        <w:numPr>
          <w:ilvl w:val="2"/>
          <w:numId w:val="6"/>
        </w:numPr>
        <w:tabs>
          <w:tab w:pos="1042" w:val="left" w:leader="none"/>
        </w:tabs>
        <w:spacing w:line="240" w:lineRule="auto" w:before="0" w:after="0"/>
        <w:ind w:left="1041" w:right="0" w:hanging="840"/>
        <w:jc w:val="left"/>
        <w:rPr>
          <w:rFonts w:ascii="Microsoft JhengHei" w:eastAsia="Microsoft JhengHei" w:hint="eastAsia"/>
          <w:b/>
          <w:sz w:val="21"/>
        </w:rPr>
      </w:pPr>
      <w:r>
        <w:rPr>
          <w:rFonts w:ascii="Microsoft JhengHei" w:eastAsia="Microsoft JhengHei" w:hint="eastAsia"/>
          <w:b/>
          <w:w w:val="95"/>
          <w:sz w:val="21"/>
        </w:rPr>
        <w:t>严重心肌炎</w:t>
      </w:r>
    </w:p>
    <w:p>
      <w:pPr>
        <w:pStyle w:val="BodyText"/>
        <w:spacing w:before="11"/>
        <w:rPr>
          <w:rFonts w:ascii="Microsoft JhengHei"/>
          <w:b/>
          <w:sz w:val="18"/>
        </w:rPr>
      </w:pPr>
    </w:p>
    <w:p>
      <w:pPr>
        <w:pStyle w:val="BodyText"/>
        <w:spacing w:line="273" w:lineRule="auto" w:before="1"/>
        <w:ind w:left="201" w:right="202"/>
      </w:pPr>
      <w:r>
        <w:rPr/>
        <w:t>指心肌局限性或弥漫性的急性或慢性炎症病变，导致心脏功能障碍，达到美国纽约心脏病学会心功能状态分级 IV 级，且持续至少 90 天。</w:t>
      </w:r>
    </w:p>
    <w:p>
      <w:pPr>
        <w:pStyle w:val="BodyText"/>
        <w:spacing w:before="4"/>
        <w:rPr>
          <w:sz w:val="19"/>
        </w:rPr>
      </w:pPr>
    </w:p>
    <w:p>
      <w:pPr>
        <w:pStyle w:val="ListParagraph"/>
        <w:numPr>
          <w:ilvl w:val="2"/>
          <w:numId w:val="6"/>
        </w:numPr>
        <w:tabs>
          <w:tab w:pos="1042" w:val="left" w:leader="none"/>
        </w:tabs>
        <w:spacing w:line="240" w:lineRule="auto" w:before="0" w:after="0"/>
        <w:ind w:left="1041" w:right="0" w:hanging="840"/>
        <w:jc w:val="left"/>
        <w:rPr>
          <w:rFonts w:ascii="Microsoft JhengHei" w:eastAsia="Microsoft JhengHei" w:hint="eastAsia"/>
          <w:b/>
          <w:sz w:val="21"/>
        </w:rPr>
      </w:pPr>
      <w:r>
        <w:rPr>
          <w:rFonts w:ascii="Microsoft JhengHei" w:eastAsia="Microsoft JhengHei" w:hint="eastAsia"/>
          <w:b/>
          <w:w w:val="95"/>
          <w:sz w:val="21"/>
        </w:rPr>
        <w:t>持续植物人状态</w:t>
      </w:r>
    </w:p>
    <w:p>
      <w:pPr>
        <w:pStyle w:val="BodyText"/>
        <w:spacing w:before="11"/>
        <w:rPr>
          <w:rFonts w:ascii="Microsoft JhengHei"/>
          <w:b/>
          <w:sz w:val="18"/>
        </w:rPr>
      </w:pPr>
    </w:p>
    <w:p>
      <w:pPr>
        <w:pStyle w:val="BodyText"/>
        <w:spacing w:line="273" w:lineRule="auto"/>
        <w:ind w:left="201" w:right="202"/>
      </w:pPr>
      <w:r>
        <w:rPr/>
        <w:t>指由于严重颅脑外伤造成大脑和/或脑干严重损害导致完全永久性的对自身和环境的意识丧失和中枢神经系统功能丧失，仅残存植物神经功能的疾病状态。诊断必须明确并且具有严重颅脑外伤和脑损害的证据。植物人状态必须持续 30 天以上方可申请理赔。</w:t>
      </w:r>
    </w:p>
    <w:p>
      <w:pPr>
        <w:pStyle w:val="BodyText"/>
        <w:spacing w:before="3"/>
        <w:rPr>
          <w:sz w:val="19"/>
        </w:rPr>
      </w:pPr>
    </w:p>
    <w:p>
      <w:pPr>
        <w:pStyle w:val="ListParagraph"/>
        <w:numPr>
          <w:ilvl w:val="2"/>
          <w:numId w:val="6"/>
        </w:numPr>
        <w:tabs>
          <w:tab w:pos="1042" w:val="left" w:leader="none"/>
        </w:tabs>
        <w:spacing w:line="240" w:lineRule="auto" w:before="0" w:after="0"/>
        <w:ind w:left="1041" w:right="0" w:hanging="840"/>
        <w:jc w:val="left"/>
        <w:rPr>
          <w:rFonts w:ascii="Microsoft JhengHei" w:eastAsia="Microsoft JhengHei" w:hint="eastAsia"/>
          <w:b/>
          <w:sz w:val="21"/>
        </w:rPr>
      </w:pPr>
      <w:r>
        <w:rPr>
          <w:rFonts w:ascii="Microsoft JhengHei" w:eastAsia="Microsoft JhengHei" w:hint="eastAsia"/>
          <w:b/>
          <w:spacing w:val="3"/>
          <w:w w:val="105"/>
          <w:sz w:val="21"/>
        </w:rPr>
        <w:t>系统性红斑狼疮 － </w:t>
      </w:r>
      <w:r>
        <w:rPr>
          <w:rFonts w:ascii="Microsoft JhengHei" w:eastAsia="Microsoft JhengHei" w:hint="eastAsia"/>
          <w:b/>
          <w:w w:val="105"/>
          <w:sz w:val="21"/>
        </w:rPr>
        <w:t>III</w:t>
      </w:r>
      <w:r>
        <w:rPr>
          <w:rFonts w:ascii="Microsoft JhengHei" w:eastAsia="Microsoft JhengHei" w:hint="eastAsia"/>
          <w:b/>
          <w:spacing w:val="-4"/>
          <w:w w:val="105"/>
          <w:sz w:val="21"/>
        </w:rPr>
        <w:t> 型或以上狼疮性肾炎</w:t>
      </w:r>
    </w:p>
    <w:p>
      <w:pPr>
        <w:pStyle w:val="BodyText"/>
        <w:spacing w:before="11"/>
        <w:rPr>
          <w:rFonts w:ascii="Microsoft JhengHei"/>
          <w:b/>
          <w:sz w:val="18"/>
        </w:rPr>
      </w:pPr>
    </w:p>
    <w:p>
      <w:pPr>
        <w:pStyle w:val="BodyText"/>
        <w:spacing w:line="273" w:lineRule="auto"/>
        <w:ind w:left="201" w:right="202"/>
      </w:pPr>
      <w:r>
        <w:rPr/>
        <w:t>系统性红斑狼疮是由多种因素引起，累及多系统的自身免疫性疾病。其特点是生成自身抗体</w:t>
      </w:r>
      <w:r>
        <w:rPr>
          <w:w w:val="95"/>
        </w:rPr>
        <w:t>对抗多种自身抗原。多见于育龄妇女。</w:t>
      </w:r>
    </w:p>
    <w:p>
      <w:pPr>
        <w:pStyle w:val="BodyText"/>
        <w:spacing w:before="5"/>
        <w:rPr>
          <w:sz w:val="24"/>
        </w:rPr>
      </w:pPr>
    </w:p>
    <w:p>
      <w:pPr>
        <w:pStyle w:val="BodyText"/>
        <w:ind w:left="201"/>
      </w:pPr>
      <w:r>
        <w:rPr/>
        <w:t>本保单所指的系统性红斑狼疮仅限于累及肾脏（经肾脏活检确认的，符合 WHO 诊断标准定义</w:t>
      </w:r>
    </w:p>
    <w:p>
      <w:pPr>
        <w:pStyle w:val="BodyText"/>
        <w:spacing w:line="273" w:lineRule="auto" w:before="36"/>
        <w:ind w:left="201" w:right="100"/>
      </w:pPr>
      <w:r>
        <w:rPr/>
        <w:t>III</w:t>
      </w:r>
      <w:r>
        <w:rPr>
          <w:spacing w:val="-37"/>
        </w:rPr>
        <w:t> 型或 </w:t>
      </w:r>
      <w:r>
        <w:rPr/>
        <w:t>III</w:t>
      </w:r>
      <w:r>
        <w:rPr>
          <w:spacing w:val="-10"/>
        </w:rPr>
        <w:t> 型以上狼疮性肾炎</w:t>
      </w:r>
      <w:r>
        <w:rPr/>
        <w:t>）的系统性红斑狼疮。其他类型的红斑性狼疮，如盘状狼疮、</w:t>
      </w:r>
      <w:r>
        <w:rPr>
          <w:w w:val="95"/>
        </w:rPr>
        <w:t>仅累及血液及关节的狼疮不在本保单保障范围內。</w:t>
      </w:r>
    </w:p>
    <w:p>
      <w:pPr>
        <w:pStyle w:val="BodyText"/>
        <w:spacing w:before="4"/>
        <w:rPr>
          <w:sz w:val="24"/>
        </w:rPr>
      </w:pPr>
    </w:p>
    <w:p>
      <w:pPr>
        <w:pStyle w:val="BodyText"/>
        <w:spacing w:before="1" w:after="50"/>
        <w:ind w:left="201"/>
      </w:pPr>
      <w:r>
        <w:rPr>
          <w:w w:val="95"/>
        </w:rPr>
        <w:t>世界卫生组织（WHO）对狼疮性肾炎的分类标准：</w:t>
      </w:r>
    </w:p>
    <w:tbl>
      <w:tblPr>
        <w:tblW w:w="0" w:type="auto"/>
        <w:jc w:val="left"/>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329"/>
        <w:gridCol w:w="3331"/>
      </w:tblGrid>
      <w:tr>
        <w:trPr>
          <w:trHeight w:val="313" w:hRule="atLeast"/>
        </w:trPr>
        <w:tc>
          <w:tcPr>
            <w:tcW w:w="3329" w:type="dxa"/>
          </w:tcPr>
          <w:p>
            <w:pPr>
              <w:pStyle w:val="TableParagraph"/>
              <w:spacing w:line="262" w:lineRule="exact"/>
              <w:rPr>
                <w:sz w:val="21"/>
              </w:rPr>
            </w:pPr>
            <w:r>
              <w:rPr>
                <w:w w:val="95"/>
                <w:sz w:val="21"/>
              </w:rPr>
              <w:t>I型</w:t>
            </w:r>
          </w:p>
        </w:tc>
        <w:tc>
          <w:tcPr>
            <w:tcW w:w="3331" w:type="dxa"/>
          </w:tcPr>
          <w:p>
            <w:pPr>
              <w:pStyle w:val="TableParagraph"/>
              <w:spacing w:line="262" w:lineRule="exact"/>
              <w:ind w:left="109"/>
              <w:rPr>
                <w:sz w:val="21"/>
              </w:rPr>
            </w:pPr>
            <w:r>
              <w:rPr>
                <w:w w:val="95"/>
                <w:sz w:val="21"/>
              </w:rPr>
              <w:t>微小病变型</w:t>
            </w:r>
          </w:p>
        </w:tc>
      </w:tr>
      <w:tr>
        <w:trPr>
          <w:trHeight w:val="311" w:hRule="atLeast"/>
        </w:trPr>
        <w:tc>
          <w:tcPr>
            <w:tcW w:w="3329" w:type="dxa"/>
          </w:tcPr>
          <w:p>
            <w:pPr>
              <w:pStyle w:val="TableParagraph"/>
              <w:rPr>
                <w:sz w:val="21"/>
              </w:rPr>
            </w:pPr>
            <w:r>
              <w:rPr>
                <w:w w:val="95"/>
                <w:sz w:val="21"/>
              </w:rPr>
              <w:t>II型</w:t>
            </w:r>
          </w:p>
        </w:tc>
        <w:tc>
          <w:tcPr>
            <w:tcW w:w="3331" w:type="dxa"/>
          </w:tcPr>
          <w:p>
            <w:pPr>
              <w:pStyle w:val="TableParagraph"/>
              <w:ind w:left="109"/>
              <w:rPr>
                <w:sz w:val="21"/>
              </w:rPr>
            </w:pPr>
            <w:r>
              <w:rPr>
                <w:w w:val="95"/>
                <w:sz w:val="21"/>
              </w:rPr>
              <w:t>系膜病变型</w:t>
            </w:r>
          </w:p>
        </w:tc>
      </w:tr>
      <w:tr>
        <w:trPr>
          <w:trHeight w:val="311" w:hRule="atLeast"/>
        </w:trPr>
        <w:tc>
          <w:tcPr>
            <w:tcW w:w="3329" w:type="dxa"/>
          </w:tcPr>
          <w:p>
            <w:pPr>
              <w:pStyle w:val="TableParagraph"/>
              <w:rPr>
                <w:sz w:val="21"/>
              </w:rPr>
            </w:pPr>
            <w:r>
              <w:rPr>
                <w:w w:val="95"/>
                <w:sz w:val="21"/>
              </w:rPr>
              <w:t>III型</w:t>
            </w:r>
          </w:p>
        </w:tc>
        <w:tc>
          <w:tcPr>
            <w:tcW w:w="3331" w:type="dxa"/>
          </w:tcPr>
          <w:p>
            <w:pPr>
              <w:pStyle w:val="TableParagraph"/>
              <w:ind w:left="109"/>
              <w:rPr>
                <w:sz w:val="21"/>
              </w:rPr>
            </w:pPr>
            <w:r>
              <w:rPr>
                <w:w w:val="95"/>
                <w:sz w:val="21"/>
              </w:rPr>
              <w:t>局灶及节段增生型</w:t>
            </w:r>
          </w:p>
        </w:tc>
      </w:tr>
      <w:tr>
        <w:trPr>
          <w:trHeight w:val="313" w:hRule="atLeast"/>
        </w:trPr>
        <w:tc>
          <w:tcPr>
            <w:tcW w:w="3329" w:type="dxa"/>
          </w:tcPr>
          <w:p>
            <w:pPr>
              <w:pStyle w:val="TableParagraph"/>
              <w:spacing w:line="262" w:lineRule="exact"/>
              <w:rPr>
                <w:sz w:val="21"/>
              </w:rPr>
            </w:pPr>
            <w:r>
              <w:rPr>
                <w:w w:val="95"/>
                <w:sz w:val="21"/>
              </w:rPr>
              <w:t>IV型</w:t>
            </w:r>
          </w:p>
        </w:tc>
        <w:tc>
          <w:tcPr>
            <w:tcW w:w="3331" w:type="dxa"/>
          </w:tcPr>
          <w:p>
            <w:pPr>
              <w:pStyle w:val="TableParagraph"/>
              <w:spacing w:line="262" w:lineRule="exact"/>
              <w:ind w:left="109"/>
              <w:rPr>
                <w:sz w:val="21"/>
              </w:rPr>
            </w:pPr>
            <w:r>
              <w:rPr>
                <w:w w:val="95"/>
                <w:sz w:val="21"/>
              </w:rPr>
              <w:t>弥漫增生型</w:t>
            </w:r>
          </w:p>
        </w:tc>
      </w:tr>
      <w:tr>
        <w:trPr>
          <w:trHeight w:val="311" w:hRule="atLeast"/>
        </w:trPr>
        <w:tc>
          <w:tcPr>
            <w:tcW w:w="3329" w:type="dxa"/>
          </w:tcPr>
          <w:p>
            <w:pPr>
              <w:pStyle w:val="TableParagraph"/>
              <w:rPr>
                <w:sz w:val="21"/>
              </w:rPr>
            </w:pPr>
            <w:r>
              <w:rPr>
                <w:w w:val="95"/>
                <w:sz w:val="21"/>
              </w:rPr>
              <w:t>V型</w:t>
            </w:r>
          </w:p>
        </w:tc>
        <w:tc>
          <w:tcPr>
            <w:tcW w:w="3331" w:type="dxa"/>
          </w:tcPr>
          <w:p>
            <w:pPr>
              <w:pStyle w:val="TableParagraph"/>
              <w:ind w:left="109"/>
              <w:rPr>
                <w:sz w:val="21"/>
              </w:rPr>
            </w:pPr>
            <w:r>
              <w:rPr>
                <w:w w:val="95"/>
                <w:sz w:val="21"/>
              </w:rPr>
              <w:t>膜型</w:t>
            </w:r>
          </w:p>
        </w:tc>
      </w:tr>
      <w:tr>
        <w:trPr>
          <w:trHeight w:val="311" w:hRule="atLeast"/>
        </w:trPr>
        <w:tc>
          <w:tcPr>
            <w:tcW w:w="3329" w:type="dxa"/>
          </w:tcPr>
          <w:p>
            <w:pPr>
              <w:pStyle w:val="TableParagraph"/>
              <w:rPr>
                <w:sz w:val="21"/>
              </w:rPr>
            </w:pPr>
            <w:r>
              <w:rPr>
                <w:w w:val="95"/>
                <w:sz w:val="21"/>
              </w:rPr>
              <w:t>VI型</w:t>
            </w:r>
          </w:p>
        </w:tc>
        <w:tc>
          <w:tcPr>
            <w:tcW w:w="3331" w:type="dxa"/>
          </w:tcPr>
          <w:p>
            <w:pPr>
              <w:pStyle w:val="TableParagraph"/>
              <w:ind w:left="109"/>
              <w:rPr>
                <w:sz w:val="21"/>
              </w:rPr>
            </w:pPr>
            <w:r>
              <w:rPr>
                <w:w w:val="95"/>
                <w:sz w:val="21"/>
              </w:rPr>
              <w:t>肾小球硬化型</w:t>
            </w:r>
          </w:p>
        </w:tc>
      </w:tr>
    </w:tbl>
    <w:p>
      <w:pPr>
        <w:pStyle w:val="BodyText"/>
        <w:spacing w:before="7"/>
        <w:rPr>
          <w:sz w:val="17"/>
        </w:rPr>
      </w:pPr>
    </w:p>
    <w:p>
      <w:pPr>
        <w:pStyle w:val="ListParagraph"/>
        <w:numPr>
          <w:ilvl w:val="2"/>
          <w:numId w:val="6"/>
        </w:numPr>
        <w:tabs>
          <w:tab w:pos="1250" w:val="left" w:leader="none"/>
          <w:tab w:pos="1251" w:val="left" w:leader="none"/>
        </w:tabs>
        <w:spacing w:line="240" w:lineRule="auto" w:before="1" w:after="0"/>
        <w:ind w:left="1250" w:right="0" w:hanging="1049"/>
        <w:jc w:val="left"/>
        <w:rPr>
          <w:rFonts w:ascii="Microsoft JhengHei" w:eastAsia="Microsoft JhengHei" w:hint="eastAsia"/>
          <w:b/>
          <w:sz w:val="21"/>
        </w:rPr>
      </w:pPr>
      <w:r>
        <w:rPr>
          <w:rFonts w:ascii="Microsoft JhengHei" w:eastAsia="Microsoft JhengHei" w:hint="eastAsia"/>
          <w:b/>
          <w:w w:val="95"/>
          <w:sz w:val="21"/>
        </w:rPr>
        <w:t>急性坏死性胰腺炎</w:t>
      </w:r>
    </w:p>
    <w:p>
      <w:pPr>
        <w:pStyle w:val="BodyText"/>
        <w:spacing w:before="12"/>
        <w:rPr>
          <w:rFonts w:ascii="Microsoft JhengHei"/>
          <w:b/>
          <w:sz w:val="18"/>
        </w:rPr>
      </w:pPr>
    </w:p>
    <w:p>
      <w:pPr>
        <w:pStyle w:val="BodyText"/>
        <w:spacing w:line="273" w:lineRule="auto"/>
        <w:ind w:left="201" w:right="202"/>
      </w:pPr>
      <w:r>
        <w:rPr/>
        <w:t>指经专科医生确诊为重症急性胰腺炎，并且实施了坏死组织清除、病灶切除或胰腺部分切除</w:t>
      </w:r>
      <w:r>
        <w:rPr>
          <w:w w:val="95"/>
        </w:rPr>
        <w:t>的手术治疗，但不包括因酒精中毒引起的重症急性胰腺炎。</w:t>
      </w:r>
    </w:p>
    <w:p>
      <w:pPr>
        <w:pStyle w:val="BodyText"/>
        <w:spacing w:before="5"/>
        <w:rPr>
          <w:sz w:val="24"/>
        </w:rPr>
      </w:pPr>
    </w:p>
    <w:p>
      <w:pPr>
        <w:pStyle w:val="BodyText"/>
        <w:spacing w:line="273" w:lineRule="auto"/>
        <w:ind w:left="201" w:right="99"/>
      </w:pPr>
      <w:r>
        <w:rPr>
          <w:w w:val="95"/>
        </w:rPr>
        <w:t>另外，关于“经输血导致的人类免疫缺陷病毒（HIV）感染”的疾病定义，我司建议删除如下   内容，供参考。</w:t>
      </w:r>
    </w:p>
    <w:p>
      <w:pPr>
        <w:pStyle w:val="BodyText"/>
        <w:spacing w:before="5"/>
        <w:rPr>
          <w:sz w:val="24"/>
        </w:rPr>
      </w:pPr>
    </w:p>
    <w:p>
      <w:pPr>
        <w:pStyle w:val="BodyText"/>
        <w:spacing w:line="273" w:lineRule="auto"/>
        <w:ind w:left="201" w:right="204"/>
      </w:pPr>
      <w:r>
        <w:rPr/>
        <w:t>在任何治愈艾滋病（AIDS）</w:t>
      </w:r>
      <w:r>
        <w:rPr>
          <w:spacing w:val="-14"/>
        </w:rPr>
        <w:t>或阻止 </w:t>
      </w:r>
      <w:r>
        <w:rPr/>
        <w:t>HIV</w:t>
      </w:r>
      <w:r>
        <w:rPr>
          <w:spacing w:val="-5"/>
        </w:rPr>
        <w:t> 病毒作用的疗法被发现以后，或能防止 </w:t>
      </w:r>
      <w:r>
        <w:rPr/>
        <w:t>AIDS</w:t>
      </w:r>
      <w:r>
        <w:rPr>
          <w:spacing w:val="-2"/>
        </w:rPr>
        <w:t> 发生的</w:t>
      </w:r>
      <w:r>
        <w:rPr>
          <w:spacing w:val="-2"/>
          <w:w w:val="95"/>
        </w:rPr>
        <w:t>医疗方法被研究出来以后，本保障将不再予以赔付。</w:t>
      </w:r>
    </w:p>
    <w:p>
      <w:pPr>
        <w:spacing w:after="0" w:line="273" w:lineRule="auto"/>
        <w:sectPr>
          <w:footerReference w:type="default" r:id="rId9"/>
          <w:pgSz w:w="11910" w:h="16840"/>
          <w:pgMar w:footer="1197" w:header="0" w:top="1380" w:bottom="1380" w:left="1500" w:right="1600"/>
          <w:pgNumType w:start="20"/>
        </w:sectPr>
      </w:pPr>
    </w:p>
    <w:p>
      <w:pPr>
        <w:pStyle w:val="Heading1"/>
        <w:numPr>
          <w:ilvl w:val="1"/>
          <w:numId w:val="6"/>
        </w:numPr>
        <w:tabs>
          <w:tab w:pos="775" w:val="left" w:leader="none"/>
          <w:tab w:pos="776" w:val="left" w:leader="none"/>
        </w:tabs>
        <w:spacing w:line="315" w:lineRule="exact" w:before="0" w:after="0"/>
        <w:ind w:left="776" w:right="0" w:hanging="675"/>
        <w:jc w:val="left"/>
      </w:pPr>
      <w:bookmarkStart w:name="_bookmark10" w:id="16"/>
      <w:bookmarkEnd w:id="16"/>
      <w:r>
        <w:rPr>
          <w:b w:val="0"/>
        </w:rPr>
      </w:r>
      <w:bookmarkStart w:name="_bookmark10" w:id="17"/>
      <w:bookmarkEnd w:id="17"/>
      <w:r>
        <w:rPr>
          <w:w w:val="95"/>
        </w:rPr>
        <w:t>专科医生</w:t>
      </w:r>
    </w:p>
    <w:p>
      <w:pPr>
        <w:pStyle w:val="BodyText"/>
        <w:spacing w:before="2"/>
        <w:rPr>
          <w:rFonts w:ascii="Microsoft JhengHei"/>
          <w:b/>
          <w:sz w:val="25"/>
        </w:rPr>
      </w:pPr>
    </w:p>
    <w:p>
      <w:pPr>
        <w:pStyle w:val="BodyText"/>
        <w:spacing w:before="1"/>
        <w:ind w:left="101"/>
      </w:pPr>
      <w:r>
        <w:rPr>
          <w:spacing w:val="-1"/>
          <w:w w:val="99"/>
        </w:rPr>
        <w:t>专科医生应当同时满足以下四项资格条件</w:t>
      </w:r>
      <w:r>
        <w:rPr>
          <w:spacing w:val="-140"/>
          <w:w w:val="99"/>
        </w:rPr>
        <w:t>：</w:t>
      </w:r>
      <w:r>
        <w:rPr>
          <w:w w:val="99"/>
        </w:rPr>
        <w:t>（</w:t>
      </w:r>
      <w:r>
        <w:rPr>
          <w:spacing w:val="0"/>
          <w:w w:val="99"/>
        </w:rPr>
        <w:t>1</w:t>
      </w:r>
      <w:r>
        <w:rPr>
          <w:spacing w:val="-34"/>
          <w:w w:val="99"/>
        </w:rPr>
        <w:t>）</w:t>
      </w:r>
      <w:r>
        <w:rPr>
          <w:spacing w:val="-10"/>
          <w:w w:val="99"/>
        </w:rPr>
        <w:t>具有有效的中华人民共和国《医师资格证书》</w:t>
      </w:r>
      <w:r>
        <w:rPr>
          <w:w w:val="49"/>
        </w:rPr>
        <w:t>；</w:t>
      </w:r>
    </w:p>
    <w:p>
      <w:pPr>
        <w:pStyle w:val="BodyText"/>
        <w:spacing w:line="273" w:lineRule="auto" w:before="37"/>
        <w:ind w:left="101" w:right="101"/>
      </w:pPr>
      <w:r>
        <w:rPr>
          <w:w w:val="99"/>
        </w:rPr>
        <w:t>（</w:t>
      </w:r>
      <w:r>
        <w:rPr>
          <w:spacing w:val="0"/>
          <w:w w:val="99"/>
        </w:rPr>
        <w:t>2</w:t>
      </w:r>
      <w:r>
        <w:rPr>
          <w:spacing w:val="1"/>
          <w:w w:val="99"/>
        </w:rPr>
        <w:t>）</w:t>
      </w:r>
      <w:r>
        <w:rPr>
          <w:spacing w:val="-12"/>
          <w:w w:val="99"/>
        </w:rPr>
        <w:t>具有有效的中华人民共和国《医师执业证书》；</w:t>
      </w:r>
      <w:r>
        <w:rPr>
          <w:w w:val="99"/>
        </w:rPr>
        <w:t>（</w:t>
      </w:r>
      <w:r>
        <w:rPr>
          <w:spacing w:val="0"/>
          <w:w w:val="99"/>
        </w:rPr>
        <w:t>3</w:t>
      </w:r>
      <w:r>
        <w:rPr>
          <w:spacing w:val="1"/>
          <w:w w:val="99"/>
        </w:rPr>
        <w:t>）</w:t>
      </w:r>
      <w:r>
        <w:rPr>
          <w:w w:val="99"/>
        </w:rPr>
        <w:t>具有有效的中华人民共和国主治医</w:t>
      </w:r>
      <w:r>
        <w:rPr>
          <w:spacing w:val="-12"/>
          <w:w w:val="99"/>
        </w:rPr>
        <w:t>师或主治医师以上职称的《医师职称证书》；</w:t>
      </w:r>
      <w:r>
        <w:rPr>
          <w:w w:val="99"/>
        </w:rPr>
        <w:t>（</w:t>
      </w:r>
      <w:r>
        <w:rPr>
          <w:spacing w:val="0"/>
          <w:w w:val="99"/>
        </w:rPr>
        <w:t>4</w:t>
      </w:r>
      <w:r>
        <w:rPr>
          <w:w w:val="99"/>
        </w:rPr>
        <w:t>）在二级或二级以上医院的相应科室从事临床</w:t>
      </w:r>
      <w:r>
        <w:rPr>
          <w:w w:val="95"/>
        </w:rPr>
        <w:t>工作三年以上。</w:t>
      </w:r>
    </w:p>
    <w:p>
      <w:pPr>
        <w:pStyle w:val="BodyText"/>
        <w:spacing w:before="12"/>
        <w:rPr>
          <w:sz w:val="27"/>
        </w:rPr>
      </w:pPr>
    </w:p>
    <w:p>
      <w:pPr>
        <w:pStyle w:val="Heading1"/>
        <w:numPr>
          <w:ilvl w:val="1"/>
          <w:numId w:val="6"/>
        </w:numPr>
        <w:tabs>
          <w:tab w:pos="775" w:val="left" w:leader="none"/>
          <w:tab w:pos="776" w:val="left" w:leader="none"/>
        </w:tabs>
        <w:spacing w:line="240" w:lineRule="auto" w:before="0" w:after="0"/>
        <w:ind w:left="776" w:right="0" w:hanging="675"/>
        <w:jc w:val="left"/>
      </w:pPr>
      <w:r>
        <w:rPr>
          <w:w w:val="95"/>
        </w:rPr>
        <w:t>肢体机能完全丧失</w:t>
      </w:r>
    </w:p>
    <w:p>
      <w:pPr>
        <w:pStyle w:val="BodyText"/>
        <w:spacing w:before="2"/>
        <w:rPr>
          <w:rFonts w:ascii="Microsoft JhengHei"/>
          <w:b/>
          <w:sz w:val="25"/>
        </w:rPr>
      </w:pPr>
    </w:p>
    <w:p>
      <w:pPr>
        <w:pStyle w:val="BodyText"/>
        <w:spacing w:line="273" w:lineRule="auto"/>
        <w:ind w:left="101" w:right="202"/>
      </w:pPr>
      <w:r>
        <w:rPr/>
        <w:t>指肢体的三大关节中的两大关节僵硬，或不能随意识活动。肢体是指包括肩关节的整个上肢</w:t>
      </w:r>
      <w:r>
        <w:rPr>
          <w:w w:val="95"/>
        </w:rPr>
        <w:t>或包括髋关节的整个下肢。</w:t>
      </w:r>
    </w:p>
    <w:p>
      <w:pPr>
        <w:pStyle w:val="BodyText"/>
        <w:spacing w:before="9"/>
        <w:rPr>
          <w:sz w:val="27"/>
        </w:rPr>
      </w:pPr>
    </w:p>
    <w:p>
      <w:pPr>
        <w:pStyle w:val="Heading1"/>
        <w:numPr>
          <w:ilvl w:val="1"/>
          <w:numId w:val="6"/>
        </w:numPr>
        <w:tabs>
          <w:tab w:pos="775" w:val="left" w:leader="none"/>
          <w:tab w:pos="776" w:val="left" w:leader="none"/>
        </w:tabs>
        <w:spacing w:line="240" w:lineRule="auto" w:before="0" w:after="0"/>
        <w:ind w:left="776" w:right="0" w:hanging="675"/>
        <w:jc w:val="left"/>
      </w:pPr>
      <w:r>
        <w:rPr>
          <w:w w:val="95"/>
        </w:rPr>
        <w:t>语言能力或咀嚼吞咽能力完全丧失</w:t>
      </w:r>
    </w:p>
    <w:p>
      <w:pPr>
        <w:pStyle w:val="BodyText"/>
        <w:spacing w:before="2"/>
        <w:rPr>
          <w:rFonts w:ascii="Microsoft JhengHei"/>
          <w:b/>
          <w:sz w:val="25"/>
        </w:rPr>
      </w:pPr>
    </w:p>
    <w:p>
      <w:pPr>
        <w:pStyle w:val="BodyText"/>
        <w:spacing w:line="273" w:lineRule="auto"/>
        <w:ind w:left="101" w:right="202"/>
      </w:pPr>
      <w:r>
        <w:rPr/>
        <w:t>语言能力完全丧失，指无法发出四种声音（包括口唇音、齿舌音、口盖音和喉头音）中的任</w:t>
      </w:r>
      <w:r>
        <w:rPr>
          <w:w w:val="95"/>
        </w:rPr>
        <w:t>何三种、或声带全部切除，或因大脑语言中枢受伤害而患失语症。</w:t>
      </w:r>
    </w:p>
    <w:p>
      <w:pPr>
        <w:pStyle w:val="BodyText"/>
        <w:spacing w:before="5"/>
        <w:rPr>
          <w:sz w:val="24"/>
        </w:rPr>
      </w:pPr>
    </w:p>
    <w:p>
      <w:pPr>
        <w:pStyle w:val="BodyText"/>
        <w:spacing w:line="273" w:lineRule="auto"/>
        <w:ind w:left="101" w:right="202"/>
      </w:pPr>
      <w:r>
        <w:rPr/>
        <w:t>咀嚼吞咽能力完全丧失，指因牙齿以外的原因导致器质障碍或机能障碍，以致不能作咀嚼吞</w:t>
      </w:r>
      <w:r>
        <w:rPr>
          <w:w w:val="95"/>
        </w:rPr>
        <w:t>咽动作，除流质食物外不能摄取或吞咽的状态。</w:t>
      </w:r>
    </w:p>
    <w:p>
      <w:pPr>
        <w:pStyle w:val="BodyText"/>
        <w:spacing w:before="12"/>
        <w:rPr>
          <w:sz w:val="27"/>
        </w:rPr>
      </w:pPr>
    </w:p>
    <w:p>
      <w:pPr>
        <w:pStyle w:val="Heading1"/>
        <w:numPr>
          <w:ilvl w:val="1"/>
          <w:numId w:val="6"/>
        </w:numPr>
        <w:tabs>
          <w:tab w:pos="775" w:val="left" w:leader="none"/>
          <w:tab w:pos="776" w:val="left" w:leader="none"/>
        </w:tabs>
        <w:spacing w:line="240" w:lineRule="auto" w:before="0" w:after="0"/>
        <w:ind w:left="776" w:right="0" w:hanging="675"/>
        <w:jc w:val="left"/>
      </w:pPr>
      <w:r>
        <w:rPr>
          <w:w w:val="95"/>
        </w:rPr>
        <w:t>六项基本日常生活活动</w:t>
      </w:r>
    </w:p>
    <w:p>
      <w:pPr>
        <w:pStyle w:val="BodyText"/>
        <w:spacing w:before="2"/>
        <w:rPr>
          <w:rFonts w:ascii="Microsoft JhengHei"/>
          <w:b/>
          <w:sz w:val="25"/>
        </w:rPr>
      </w:pPr>
    </w:p>
    <w:p>
      <w:pPr>
        <w:pStyle w:val="BodyText"/>
        <w:spacing w:line="273" w:lineRule="auto"/>
        <w:ind w:left="101" w:right="204"/>
        <w:jc w:val="both"/>
      </w:pPr>
      <w:r>
        <w:rPr>
          <w:spacing w:val="-10"/>
          <w:w w:val="99"/>
        </w:rPr>
        <w:t>六项基本日常生活活动是指：</w:t>
      </w:r>
      <w:r>
        <w:rPr>
          <w:spacing w:val="1"/>
          <w:w w:val="99"/>
        </w:rPr>
        <w:t>（</w:t>
      </w:r>
      <w:r>
        <w:rPr>
          <w:spacing w:val="0"/>
          <w:w w:val="99"/>
        </w:rPr>
        <w:t>1</w:t>
      </w:r>
      <w:r>
        <w:rPr>
          <w:spacing w:val="1"/>
          <w:w w:val="99"/>
        </w:rPr>
        <w:t>）</w:t>
      </w:r>
      <w:r>
        <w:rPr>
          <w:spacing w:val="-9"/>
          <w:w w:val="99"/>
        </w:rPr>
        <w:t>穿衣：自己能够穿衣及脱衣；</w:t>
      </w:r>
      <w:r>
        <w:rPr>
          <w:w w:val="99"/>
        </w:rPr>
        <w:t>（</w:t>
      </w:r>
      <w:r>
        <w:rPr>
          <w:spacing w:val="0"/>
          <w:w w:val="99"/>
        </w:rPr>
        <w:t>2</w:t>
      </w:r>
      <w:r>
        <w:rPr>
          <w:spacing w:val="1"/>
          <w:w w:val="99"/>
        </w:rPr>
        <w:t>）</w:t>
      </w:r>
      <w:r>
        <w:rPr>
          <w:w w:val="99"/>
        </w:rPr>
        <w:t>移动：自己从一个房间</w:t>
      </w:r>
      <w:r>
        <w:rPr>
          <w:spacing w:val="-16"/>
          <w:w w:val="99"/>
        </w:rPr>
        <w:t>到另一个房间；</w:t>
      </w:r>
      <w:r>
        <w:rPr>
          <w:w w:val="99"/>
        </w:rPr>
        <w:t>（</w:t>
      </w:r>
      <w:r>
        <w:rPr>
          <w:spacing w:val="0"/>
          <w:w w:val="99"/>
        </w:rPr>
        <w:t>3</w:t>
      </w:r>
      <w:r>
        <w:rPr>
          <w:spacing w:val="1"/>
          <w:w w:val="99"/>
        </w:rPr>
        <w:t>）</w:t>
      </w:r>
      <w:r>
        <w:rPr>
          <w:spacing w:val="-9"/>
          <w:w w:val="99"/>
        </w:rPr>
        <w:t>行动：自己上下床或上下轮椅；</w:t>
      </w:r>
      <w:r>
        <w:rPr>
          <w:w w:val="99"/>
        </w:rPr>
        <w:t>（</w:t>
      </w:r>
      <w:r>
        <w:rPr>
          <w:spacing w:val="0"/>
          <w:w w:val="99"/>
        </w:rPr>
        <w:t>4</w:t>
      </w:r>
      <w:r>
        <w:rPr>
          <w:spacing w:val="1"/>
          <w:w w:val="99"/>
        </w:rPr>
        <w:t>）</w:t>
      </w:r>
      <w:r>
        <w:rPr>
          <w:spacing w:val="-9"/>
          <w:w w:val="99"/>
        </w:rPr>
        <w:t>如厕：自己控制进行大小便；</w:t>
      </w:r>
      <w:r>
        <w:rPr>
          <w:w w:val="99"/>
        </w:rPr>
        <w:t>（</w:t>
      </w:r>
      <w:r>
        <w:rPr>
          <w:spacing w:val="0"/>
          <w:w w:val="99"/>
        </w:rPr>
        <w:t>5</w:t>
      </w:r>
      <w:r>
        <w:rPr>
          <w:w w:val="99"/>
        </w:rPr>
        <w:t>）</w:t>
      </w:r>
      <w:r>
        <w:rPr>
          <w:spacing w:val="-6"/>
          <w:w w:val="99"/>
        </w:rPr>
        <w:t>进食：自己从已准备好的碗或碟中取食物放入口中；</w:t>
      </w:r>
      <w:r>
        <w:rPr>
          <w:w w:val="99"/>
        </w:rPr>
        <w:t>（</w:t>
      </w:r>
      <w:r>
        <w:rPr>
          <w:spacing w:val="0"/>
          <w:w w:val="99"/>
        </w:rPr>
        <w:t>6</w:t>
      </w:r>
      <w:r>
        <w:rPr>
          <w:spacing w:val="1"/>
          <w:w w:val="99"/>
        </w:rPr>
        <w:t>）</w:t>
      </w:r>
      <w:r>
        <w:rPr>
          <w:w w:val="99"/>
        </w:rPr>
        <w:t>洗澡：自己进行淋浴或盆浴。</w:t>
      </w:r>
    </w:p>
    <w:p>
      <w:pPr>
        <w:pStyle w:val="BodyText"/>
        <w:spacing w:before="11"/>
        <w:rPr>
          <w:sz w:val="27"/>
        </w:rPr>
      </w:pPr>
    </w:p>
    <w:p>
      <w:pPr>
        <w:pStyle w:val="ListParagraph"/>
        <w:numPr>
          <w:ilvl w:val="1"/>
          <w:numId w:val="6"/>
        </w:numPr>
        <w:tabs>
          <w:tab w:pos="775" w:val="left" w:leader="none"/>
          <w:tab w:pos="776" w:val="left" w:leader="none"/>
        </w:tabs>
        <w:spacing w:line="240" w:lineRule="auto" w:before="1" w:after="0"/>
        <w:ind w:left="776" w:right="0" w:hanging="675"/>
        <w:jc w:val="left"/>
        <w:rPr>
          <w:rFonts w:ascii="Microsoft JhengHei" w:eastAsia="Microsoft JhengHei" w:hint="eastAsia"/>
          <w:b/>
          <w:sz w:val="21"/>
        </w:rPr>
      </w:pPr>
      <w:r>
        <w:rPr>
          <w:rFonts w:ascii="Microsoft JhengHei" w:eastAsia="Microsoft JhengHei" w:hint="eastAsia"/>
          <w:b/>
          <w:w w:val="95"/>
          <w:sz w:val="21"/>
        </w:rPr>
        <w:t>永久不可逆</w:t>
      </w:r>
    </w:p>
    <w:p>
      <w:pPr>
        <w:pStyle w:val="BodyText"/>
        <w:spacing w:before="3"/>
        <w:rPr>
          <w:rFonts w:ascii="Microsoft JhengHei"/>
          <w:b/>
          <w:sz w:val="25"/>
        </w:rPr>
      </w:pPr>
    </w:p>
    <w:p>
      <w:pPr>
        <w:pStyle w:val="BodyText"/>
        <w:spacing w:line="273" w:lineRule="auto"/>
        <w:ind w:left="101" w:right="204"/>
      </w:pPr>
      <w:r>
        <w:rPr>
          <w:spacing w:val="-3"/>
        </w:rPr>
        <w:t>指自疾病确诊或意外伤害发生之日起，经过积极治疗 </w:t>
      </w:r>
      <w:r>
        <w:rPr/>
        <w:t>180</w:t>
      </w:r>
      <w:r>
        <w:rPr>
          <w:spacing w:val="-8"/>
        </w:rPr>
        <w:t> 天后，仍无法通过现有医疗手段恢</w:t>
      </w:r>
      <w:r>
        <w:rPr>
          <w:spacing w:val="-8"/>
          <w:w w:val="95"/>
        </w:rPr>
        <w:t>复。</w:t>
      </w:r>
    </w:p>
    <w:p>
      <w:pPr>
        <w:pStyle w:val="BodyText"/>
        <w:spacing w:before="9"/>
        <w:rPr>
          <w:sz w:val="27"/>
        </w:rPr>
      </w:pPr>
    </w:p>
    <w:p>
      <w:pPr>
        <w:pStyle w:val="ListParagraph"/>
        <w:numPr>
          <w:ilvl w:val="1"/>
          <w:numId w:val="6"/>
        </w:numPr>
        <w:tabs>
          <w:tab w:pos="775" w:val="left" w:leader="none"/>
          <w:tab w:pos="776" w:val="left" w:leader="none"/>
        </w:tabs>
        <w:spacing w:line="240" w:lineRule="auto" w:before="1" w:after="0"/>
        <w:ind w:left="776" w:right="0" w:hanging="675"/>
        <w:jc w:val="left"/>
        <w:rPr>
          <w:rFonts w:ascii="Microsoft JhengHei" w:eastAsia="Microsoft JhengHei" w:hint="eastAsia"/>
          <w:b/>
          <w:sz w:val="21"/>
        </w:rPr>
      </w:pPr>
      <w:r>
        <w:rPr>
          <w:rFonts w:ascii="Microsoft JhengHei" w:eastAsia="Microsoft JhengHei" w:hint="eastAsia"/>
          <w:b/>
          <w:w w:val="95"/>
          <w:sz w:val="21"/>
        </w:rPr>
        <w:t>本条款约定确诊日</w:t>
      </w:r>
    </w:p>
    <w:p>
      <w:pPr>
        <w:pStyle w:val="BodyText"/>
        <w:spacing w:before="3"/>
        <w:rPr>
          <w:rFonts w:ascii="Microsoft JhengHei"/>
          <w:b/>
          <w:sz w:val="25"/>
        </w:rPr>
      </w:pPr>
    </w:p>
    <w:p>
      <w:pPr>
        <w:pStyle w:val="BodyText"/>
        <w:ind w:left="101"/>
      </w:pPr>
      <w:r>
        <w:rPr>
          <w:w w:val="95"/>
        </w:rPr>
        <w:t>指满足本条款约定确诊日以明确诊断该类疾病的病检标本提取日为准。</w:t>
      </w:r>
    </w:p>
    <w:p>
      <w:pPr>
        <w:pStyle w:val="BodyText"/>
        <w:rPr>
          <w:sz w:val="20"/>
        </w:rPr>
      </w:pPr>
    </w:p>
    <w:p>
      <w:pPr>
        <w:pStyle w:val="ListParagraph"/>
        <w:numPr>
          <w:ilvl w:val="1"/>
          <w:numId w:val="6"/>
        </w:numPr>
        <w:tabs>
          <w:tab w:pos="941" w:val="left" w:leader="none"/>
          <w:tab w:pos="942" w:val="left" w:leader="none"/>
        </w:tabs>
        <w:spacing w:line="240" w:lineRule="auto" w:before="133" w:after="0"/>
        <w:ind w:left="941" w:right="0" w:hanging="840"/>
        <w:jc w:val="left"/>
        <w:rPr>
          <w:rFonts w:ascii="Microsoft JhengHei" w:eastAsia="Microsoft JhengHei" w:hint="eastAsia"/>
          <w:b/>
          <w:sz w:val="21"/>
        </w:rPr>
      </w:pPr>
      <w:r>
        <w:rPr>
          <w:rFonts w:ascii="Microsoft JhengHei" w:eastAsia="Microsoft JhengHei" w:hint="eastAsia"/>
          <w:b/>
          <w:w w:val="95"/>
          <w:sz w:val="21"/>
        </w:rPr>
        <w:t>意外伤害</w:t>
      </w:r>
    </w:p>
    <w:p>
      <w:pPr>
        <w:pStyle w:val="BodyText"/>
        <w:spacing w:before="2"/>
        <w:rPr>
          <w:rFonts w:ascii="Microsoft JhengHei"/>
          <w:b/>
          <w:sz w:val="25"/>
        </w:rPr>
      </w:pPr>
    </w:p>
    <w:p>
      <w:pPr>
        <w:pStyle w:val="BodyText"/>
        <w:ind w:left="101"/>
      </w:pPr>
      <w:r>
        <w:rPr>
          <w:w w:val="95"/>
        </w:rPr>
        <w:t>指外来的、突然的、非本意的、非疾病的使被保险人身体受到伤害的客观事件，并以此客观</w:t>
      </w:r>
    </w:p>
    <w:p>
      <w:pPr>
        <w:spacing w:after="0"/>
        <w:sectPr>
          <w:pgSz w:w="11910" w:h="16840"/>
          <w:pgMar w:header="0" w:footer="1197" w:top="1480" w:bottom="1380" w:left="1600" w:right="1600"/>
        </w:sectPr>
      </w:pPr>
    </w:p>
    <w:p>
      <w:pPr>
        <w:pStyle w:val="BodyText"/>
        <w:spacing w:line="273" w:lineRule="auto" w:before="5"/>
        <w:ind w:left="101" w:right="202"/>
      </w:pPr>
      <w:bookmarkStart w:name="_bookmark11" w:id="18"/>
      <w:bookmarkEnd w:id="18"/>
      <w:r>
        <w:rPr/>
      </w:r>
      <w:r>
        <w:rPr/>
        <w:t>事件为直接且单独原因导致被保险人身体蒙受伤害或身故，猝死不在本合同所称意外伤害范</w:t>
      </w:r>
      <w:r>
        <w:rPr>
          <w:w w:val="95"/>
        </w:rPr>
        <w:t>围内。</w:t>
      </w:r>
    </w:p>
    <w:p>
      <w:pPr>
        <w:pStyle w:val="BodyText"/>
        <w:spacing w:before="9"/>
        <w:rPr>
          <w:sz w:val="27"/>
        </w:rPr>
      </w:pPr>
    </w:p>
    <w:p>
      <w:pPr>
        <w:pStyle w:val="ListParagraph"/>
        <w:numPr>
          <w:ilvl w:val="1"/>
          <w:numId w:val="6"/>
        </w:numPr>
        <w:tabs>
          <w:tab w:pos="941" w:val="left" w:leader="none"/>
          <w:tab w:pos="942" w:val="left" w:leader="none"/>
        </w:tabs>
        <w:spacing w:line="240" w:lineRule="auto" w:before="0" w:after="0"/>
        <w:ind w:left="941" w:right="0" w:hanging="840"/>
        <w:jc w:val="left"/>
        <w:rPr>
          <w:rFonts w:ascii="Microsoft JhengHei" w:eastAsia="Microsoft JhengHei" w:hint="eastAsia"/>
          <w:b/>
          <w:sz w:val="21"/>
        </w:rPr>
      </w:pPr>
      <w:r>
        <w:rPr>
          <w:rFonts w:ascii="Microsoft JhengHei" w:eastAsia="Microsoft JhengHei" w:hint="eastAsia"/>
          <w:b/>
          <w:w w:val="95"/>
          <w:sz w:val="21"/>
        </w:rPr>
        <w:t>永久完全残疾</w:t>
      </w:r>
    </w:p>
    <w:p>
      <w:pPr>
        <w:pStyle w:val="BodyText"/>
        <w:spacing w:before="2"/>
        <w:rPr>
          <w:rFonts w:ascii="Microsoft JhengHei"/>
          <w:b/>
          <w:sz w:val="25"/>
        </w:rPr>
      </w:pPr>
    </w:p>
    <w:p>
      <w:pPr>
        <w:pStyle w:val="BodyText"/>
        <w:ind w:left="101"/>
      </w:pPr>
      <w:r>
        <w:rPr>
          <w:w w:val="95"/>
        </w:rPr>
        <w:t>永久完全残疾是指被保险人发生下列情况之一者，其定义为：</w:t>
      </w:r>
    </w:p>
    <w:p>
      <w:pPr>
        <w:pStyle w:val="BodyText"/>
        <w:spacing w:before="9"/>
        <w:rPr>
          <w:sz w:val="25"/>
        </w:rPr>
      </w:pPr>
    </w:p>
    <w:p>
      <w:pPr>
        <w:pStyle w:val="ListParagraph"/>
        <w:numPr>
          <w:ilvl w:val="0"/>
          <w:numId w:val="11"/>
        </w:numPr>
        <w:tabs>
          <w:tab w:pos="942" w:val="left" w:leader="none"/>
        </w:tabs>
        <w:spacing w:line="204" w:lineRule="auto" w:before="0" w:after="0"/>
        <w:ind w:left="935" w:right="166" w:hanging="414"/>
        <w:jc w:val="left"/>
        <w:rPr>
          <w:sz w:val="21"/>
        </w:rPr>
      </w:pPr>
      <w:r>
        <w:rPr>
          <w:spacing w:val="-1"/>
          <w:sz w:val="21"/>
        </w:rPr>
        <w:t>中枢神经系统机能或胸、腹部脏器机能极度障碍，终身不能从事任何工作，</w:t>
      </w:r>
      <w:r>
        <w:rPr>
          <w:rFonts w:ascii="Microsoft JhengHei" w:eastAsia="Microsoft JhengHei" w:hint="eastAsia"/>
          <w:b/>
          <w:spacing w:val="-14"/>
          <w:sz w:val="21"/>
        </w:rPr>
        <w:t>维持生</w:t>
      </w:r>
      <w:r>
        <w:rPr>
          <w:rFonts w:ascii="Microsoft JhengHei" w:eastAsia="Microsoft JhengHei" w:hint="eastAsia"/>
          <w:b/>
          <w:spacing w:val="-23"/>
          <w:sz w:val="21"/>
        </w:rPr>
        <w:t>命必要的日常生活活动全需他人扶助 </w:t>
      </w:r>
      <w:r>
        <w:rPr>
          <w:spacing w:val="-21"/>
          <w:sz w:val="21"/>
        </w:rPr>
        <w:t>(注 </w:t>
      </w:r>
      <w:r>
        <w:rPr>
          <w:sz w:val="21"/>
        </w:rPr>
        <w:t>1)；</w:t>
      </w:r>
    </w:p>
    <w:p>
      <w:pPr>
        <w:pStyle w:val="BodyText"/>
        <w:spacing w:before="9"/>
        <w:rPr>
          <w:sz w:val="19"/>
        </w:rPr>
      </w:pPr>
    </w:p>
    <w:p>
      <w:pPr>
        <w:pStyle w:val="ListParagraph"/>
        <w:numPr>
          <w:ilvl w:val="0"/>
          <w:numId w:val="11"/>
        </w:numPr>
        <w:tabs>
          <w:tab w:pos="942" w:val="left" w:leader="none"/>
        </w:tabs>
        <w:spacing w:line="240" w:lineRule="auto" w:before="0" w:after="0"/>
        <w:ind w:left="935" w:right="0" w:hanging="414"/>
        <w:jc w:val="left"/>
        <w:rPr>
          <w:sz w:val="21"/>
        </w:rPr>
      </w:pPr>
      <w:r>
        <w:rPr>
          <w:spacing w:val="-2"/>
          <w:sz w:val="21"/>
        </w:rPr>
        <w:t>双目永久完全</w:t>
      </w:r>
      <w:r>
        <w:rPr>
          <w:rFonts w:ascii="Microsoft JhengHei" w:eastAsia="Microsoft JhengHei" w:hint="eastAsia"/>
          <w:b/>
          <w:spacing w:val="-41"/>
          <w:sz w:val="21"/>
        </w:rPr>
        <w:t>失明</w:t>
      </w:r>
      <w:r>
        <w:rPr>
          <w:spacing w:val="-20"/>
          <w:sz w:val="21"/>
        </w:rPr>
        <w:t>(注 </w:t>
      </w:r>
      <w:r>
        <w:rPr>
          <w:sz w:val="21"/>
        </w:rPr>
        <w:t>2)；</w:t>
      </w:r>
    </w:p>
    <w:p>
      <w:pPr>
        <w:pStyle w:val="BodyText"/>
        <w:spacing w:before="11"/>
        <w:rPr>
          <w:sz w:val="24"/>
        </w:rPr>
      </w:pPr>
    </w:p>
    <w:p>
      <w:pPr>
        <w:pStyle w:val="ListParagraph"/>
        <w:numPr>
          <w:ilvl w:val="0"/>
          <w:numId w:val="11"/>
        </w:numPr>
        <w:tabs>
          <w:tab w:pos="942" w:val="left" w:leader="none"/>
        </w:tabs>
        <w:spacing w:line="240" w:lineRule="auto" w:before="0" w:after="0"/>
        <w:ind w:left="935" w:right="0" w:hanging="414"/>
        <w:jc w:val="left"/>
        <w:rPr>
          <w:sz w:val="21"/>
        </w:rPr>
      </w:pPr>
      <w:r>
        <w:rPr>
          <w:w w:val="95"/>
          <w:sz w:val="21"/>
        </w:rPr>
        <w:t>两上肢腕关节以上缺失或两下肢踝关节以上缺失；</w:t>
      </w:r>
    </w:p>
    <w:p>
      <w:pPr>
        <w:pStyle w:val="BodyText"/>
        <w:spacing w:before="6"/>
        <w:rPr>
          <w:sz w:val="25"/>
        </w:rPr>
      </w:pPr>
    </w:p>
    <w:p>
      <w:pPr>
        <w:pStyle w:val="ListParagraph"/>
        <w:numPr>
          <w:ilvl w:val="0"/>
          <w:numId w:val="11"/>
        </w:numPr>
        <w:tabs>
          <w:tab w:pos="942" w:val="left" w:leader="none"/>
        </w:tabs>
        <w:spacing w:line="240" w:lineRule="auto" w:before="0" w:after="0"/>
        <w:ind w:left="935" w:right="0" w:hanging="414"/>
        <w:jc w:val="left"/>
        <w:rPr>
          <w:sz w:val="21"/>
        </w:rPr>
      </w:pPr>
      <w:r>
        <w:rPr>
          <w:w w:val="95"/>
          <w:sz w:val="21"/>
        </w:rPr>
        <w:t>一上肢腕关节以上缺失及一下肢踝关节以上缺失；</w:t>
      </w:r>
    </w:p>
    <w:p>
      <w:pPr>
        <w:pStyle w:val="BodyText"/>
        <w:spacing w:before="6"/>
        <w:rPr>
          <w:sz w:val="25"/>
        </w:rPr>
      </w:pPr>
    </w:p>
    <w:p>
      <w:pPr>
        <w:pStyle w:val="ListParagraph"/>
        <w:numPr>
          <w:ilvl w:val="0"/>
          <w:numId w:val="11"/>
        </w:numPr>
        <w:tabs>
          <w:tab w:pos="942" w:val="left" w:leader="none"/>
        </w:tabs>
        <w:spacing w:line="240" w:lineRule="auto" w:before="0" w:after="0"/>
        <w:ind w:left="935" w:right="0" w:hanging="414"/>
        <w:jc w:val="left"/>
        <w:rPr>
          <w:sz w:val="21"/>
        </w:rPr>
      </w:pPr>
      <w:r>
        <w:rPr>
          <w:w w:val="95"/>
          <w:sz w:val="21"/>
        </w:rPr>
        <w:t>一目永久完全失明及一上肢腕关节以上缺失；</w:t>
      </w:r>
    </w:p>
    <w:p>
      <w:pPr>
        <w:pStyle w:val="BodyText"/>
        <w:spacing w:before="6"/>
        <w:rPr>
          <w:sz w:val="25"/>
        </w:rPr>
      </w:pPr>
    </w:p>
    <w:p>
      <w:pPr>
        <w:pStyle w:val="ListParagraph"/>
        <w:numPr>
          <w:ilvl w:val="0"/>
          <w:numId w:val="11"/>
        </w:numPr>
        <w:tabs>
          <w:tab w:pos="942" w:val="left" w:leader="none"/>
        </w:tabs>
        <w:spacing w:line="240" w:lineRule="auto" w:before="0" w:after="0"/>
        <w:ind w:left="935" w:right="0" w:hanging="414"/>
        <w:jc w:val="left"/>
        <w:rPr>
          <w:sz w:val="21"/>
        </w:rPr>
      </w:pPr>
      <w:r>
        <w:rPr>
          <w:w w:val="95"/>
          <w:sz w:val="21"/>
        </w:rPr>
        <w:t>一目永久完全失明及一下肢踝关节以上缺失；</w:t>
      </w:r>
    </w:p>
    <w:p>
      <w:pPr>
        <w:pStyle w:val="BodyText"/>
        <w:spacing w:before="4"/>
        <w:rPr>
          <w:sz w:val="20"/>
        </w:rPr>
      </w:pPr>
    </w:p>
    <w:p>
      <w:pPr>
        <w:pStyle w:val="ListParagraph"/>
        <w:numPr>
          <w:ilvl w:val="0"/>
          <w:numId w:val="11"/>
        </w:numPr>
        <w:tabs>
          <w:tab w:pos="942" w:val="left" w:leader="none"/>
        </w:tabs>
        <w:spacing w:line="240" w:lineRule="auto" w:before="0" w:after="0"/>
        <w:ind w:left="935" w:right="0" w:hanging="414"/>
        <w:jc w:val="left"/>
        <w:rPr>
          <w:sz w:val="21"/>
        </w:rPr>
      </w:pPr>
      <w:r>
        <w:rPr>
          <w:spacing w:val="-4"/>
          <w:sz w:val="21"/>
        </w:rPr>
        <w:t>四肢</w:t>
      </w:r>
      <w:r>
        <w:rPr>
          <w:rFonts w:ascii="Microsoft JhengHei" w:eastAsia="Microsoft JhengHei" w:hint="eastAsia"/>
          <w:b/>
          <w:spacing w:val="-20"/>
          <w:sz w:val="21"/>
        </w:rPr>
        <w:t>关节机能永久完全丧失 </w:t>
      </w:r>
      <w:r>
        <w:rPr>
          <w:spacing w:val="-20"/>
          <w:sz w:val="21"/>
        </w:rPr>
        <w:t>(注 </w:t>
      </w:r>
      <w:r>
        <w:rPr>
          <w:sz w:val="21"/>
        </w:rPr>
        <w:t>3)；</w:t>
      </w:r>
    </w:p>
    <w:p>
      <w:pPr>
        <w:pStyle w:val="BodyText"/>
        <w:spacing w:before="9"/>
        <w:rPr>
          <w:sz w:val="19"/>
        </w:rPr>
      </w:pPr>
    </w:p>
    <w:p>
      <w:pPr>
        <w:pStyle w:val="ListParagraph"/>
        <w:numPr>
          <w:ilvl w:val="0"/>
          <w:numId w:val="11"/>
        </w:numPr>
        <w:tabs>
          <w:tab w:pos="936" w:val="left" w:leader="none"/>
        </w:tabs>
        <w:spacing w:line="453" w:lineRule="auto" w:before="0" w:after="0"/>
        <w:ind w:left="101" w:right="4236" w:firstLine="420"/>
        <w:jc w:val="left"/>
        <w:rPr>
          <w:sz w:val="21"/>
        </w:rPr>
      </w:pPr>
      <w:r>
        <w:rPr>
          <w:rFonts w:ascii="Microsoft JhengHei" w:eastAsia="Microsoft JhengHei" w:hint="eastAsia"/>
          <w:b/>
          <w:spacing w:val="-24"/>
          <w:sz w:val="21"/>
        </w:rPr>
        <w:t>咀嚼或吞咽机能永久完全丧失</w:t>
      </w:r>
      <w:r>
        <w:rPr>
          <w:spacing w:val="-19"/>
          <w:sz w:val="21"/>
        </w:rPr>
        <w:t>(注 </w:t>
      </w:r>
      <w:r>
        <w:rPr>
          <w:sz w:val="21"/>
        </w:rPr>
        <w:t>4</w:t>
      </w:r>
      <w:r>
        <w:rPr>
          <w:spacing w:val="-3"/>
          <w:sz w:val="21"/>
        </w:rPr>
        <w:t>)。 注：</w:t>
      </w:r>
    </w:p>
    <w:p>
      <w:pPr>
        <w:pStyle w:val="BodyText"/>
        <w:spacing w:line="273" w:lineRule="auto" w:before="162"/>
        <w:ind w:left="101" w:right="100"/>
      </w:pPr>
      <w:r>
        <w:rPr>
          <w:spacing w:val="2"/>
          <w:w w:val="95"/>
        </w:rPr>
        <w:t>注   </w:t>
      </w:r>
      <w:r>
        <w:rPr>
          <w:spacing w:val="-21"/>
          <w:w w:val="95"/>
        </w:rPr>
        <w:t>1</w:t>
      </w:r>
      <w:r>
        <w:rPr>
          <w:spacing w:val="-9"/>
          <w:w w:val="95"/>
        </w:rPr>
        <w:t>：维持生命必要的日常生活活动全需他人扶助是指食物摄取、大小便始末、穿衣服、起居</w:t>
      </w:r>
      <w:r>
        <w:rPr>
          <w:w w:val="80"/>
        </w:rPr>
        <w:t>、</w:t>
      </w:r>
      <w:r>
        <w:rPr>
          <w:w w:val="95"/>
        </w:rPr>
        <w:t>步行、入浴等，皆不能自己为之，需要他人帮助。</w:t>
      </w:r>
    </w:p>
    <w:p>
      <w:pPr>
        <w:pStyle w:val="BodyText"/>
        <w:spacing w:before="5"/>
        <w:rPr>
          <w:sz w:val="24"/>
        </w:rPr>
      </w:pPr>
    </w:p>
    <w:p>
      <w:pPr>
        <w:pStyle w:val="BodyText"/>
        <w:spacing w:line="273" w:lineRule="auto"/>
        <w:ind w:left="101" w:right="99"/>
      </w:pPr>
      <w:r>
        <w:rPr>
          <w:spacing w:val="-34"/>
        </w:rPr>
        <w:t>注 </w:t>
      </w:r>
      <w:r>
        <w:rPr>
          <w:spacing w:val="-6"/>
        </w:rPr>
        <w:t>2</w:t>
      </w:r>
      <w:r>
        <w:rPr>
          <w:spacing w:val="-5"/>
        </w:rPr>
        <w:t>：失明包括眼球缺失或摘除、或不能辨别明暗、或仅能辨别眼前手动者。最佳矫正视力低于国际标准视力表零点零二，或视野半径小于五度，并由公司指定有资格的眼科医师出具医</w:t>
      </w:r>
      <w:r>
        <w:rPr>
          <w:spacing w:val="-5"/>
          <w:w w:val="95"/>
        </w:rPr>
        <w:t>疗诊断证明。</w:t>
      </w:r>
    </w:p>
    <w:p>
      <w:pPr>
        <w:pStyle w:val="BodyText"/>
        <w:spacing w:before="5"/>
        <w:rPr>
          <w:sz w:val="24"/>
        </w:rPr>
      </w:pPr>
    </w:p>
    <w:p>
      <w:pPr>
        <w:pStyle w:val="BodyText"/>
        <w:ind w:left="101"/>
      </w:pPr>
      <w:r>
        <w:rPr/>
        <w:t>注 3：关节机能的丧失是指关节永久完全僵硬、或麻痹、或关节不能随意识活动。</w:t>
      </w:r>
    </w:p>
    <w:p>
      <w:pPr>
        <w:pStyle w:val="BodyText"/>
        <w:spacing w:before="8"/>
        <w:rPr>
          <w:sz w:val="26"/>
        </w:rPr>
      </w:pPr>
    </w:p>
    <w:p>
      <w:pPr>
        <w:pStyle w:val="BodyText"/>
        <w:spacing w:line="273" w:lineRule="auto" w:before="1"/>
        <w:ind w:left="101" w:right="99"/>
      </w:pPr>
      <w:r>
        <w:rPr>
          <w:spacing w:val="-32"/>
        </w:rPr>
        <w:t>注 </w:t>
      </w:r>
      <w:r>
        <w:rPr>
          <w:spacing w:val="-9"/>
        </w:rPr>
        <w:t>4</w:t>
      </w:r>
      <w:r>
        <w:rPr>
          <w:spacing w:val="-7"/>
        </w:rPr>
        <w:t>：咀嚼、吞咽机能的丧失是指由于牙齿以外的原因引起器质障碍或机能障碍，以致不能作</w:t>
      </w:r>
      <w:r>
        <w:rPr>
          <w:spacing w:val="-7"/>
          <w:w w:val="95"/>
        </w:rPr>
        <w:t>咀嚼、吞咽运动，除流质食物外不能摄取或吞咽的状态。</w:t>
      </w:r>
    </w:p>
    <w:p>
      <w:pPr>
        <w:pStyle w:val="BodyText"/>
        <w:spacing w:before="5"/>
        <w:rPr>
          <w:sz w:val="24"/>
        </w:rPr>
      </w:pPr>
    </w:p>
    <w:p>
      <w:pPr>
        <w:pStyle w:val="BodyText"/>
        <w:spacing w:line="273" w:lineRule="auto" w:before="1"/>
        <w:ind w:left="101" w:right="204"/>
      </w:pPr>
      <w:r>
        <w:rPr>
          <w:spacing w:val="-5"/>
        </w:rPr>
        <w:t>所谓「永久完全」是指经 </w:t>
      </w:r>
      <w:r>
        <w:rPr/>
        <w:t>180</w:t>
      </w:r>
      <w:r>
        <w:rPr>
          <w:spacing w:val="-8"/>
        </w:rPr>
        <w:t> 天的治疗以后，机能仍完全丧失，但眼球摘除等明显无法复原</w:t>
      </w:r>
      <w:r>
        <w:rPr>
          <w:spacing w:val="-8"/>
          <w:w w:val="95"/>
        </w:rPr>
        <w:t>的情况，不受此限。</w:t>
      </w:r>
    </w:p>
    <w:p>
      <w:pPr>
        <w:spacing w:after="0" w:line="273" w:lineRule="auto"/>
        <w:sectPr>
          <w:pgSz w:w="11910" w:h="16840"/>
          <w:pgMar w:header="0" w:footer="1197" w:top="1380" w:bottom="1380" w:left="1600" w:right="1600"/>
        </w:sectPr>
      </w:pPr>
    </w:p>
    <w:p>
      <w:pPr>
        <w:pStyle w:val="ListParagraph"/>
        <w:numPr>
          <w:ilvl w:val="1"/>
          <w:numId w:val="6"/>
        </w:numPr>
        <w:tabs>
          <w:tab w:pos="941" w:val="left" w:leader="none"/>
          <w:tab w:pos="942" w:val="left" w:leader="none"/>
        </w:tabs>
        <w:spacing w:line="315" w:lineRule="exact" w:before="0" w:after="0"/>
        <w:ind w:left="941" w:right="0" w:hanging="840"/>
        <w:jc w:val="left"/>
        <w:rPr>
          <w:rFonts w:ascii="Microsoft JhengHei" w:eastAsia="Microsoft JhengHei" w:hint="eastAsia"/>
          <w:b/>
          <w:sz w:val="21"/>
        </w:rPr>
      </w:pPr>
      <w:bookmarkStart w:name="_bookmark12" w:id="19"/>
      <w:bookmarkEnd w:id="19"/>
      <w:r>
        <w:rPr/>
      </w:r>
      <w:bookmarkStart w:name="_bookmark12" w:id="20"/>
      <w:bookmarkEnd w:id="20"/>
      <w:r>
        <w:rPr>
          <w:rFonts w:ascii="Microsoft JhengHei" w:eastAsia="Microsoft JhengHei" w:hint="eastAsia"/>
          <w:b/>
          <w:w w:val="95"/>
          <w:sz w:val="21"/>
        </w:rPr>
        <w:t>毒品</w:t>
      </w:r>
    </w:p>
    <w:p>
      <w:pPr>
        <w:pStyle w:val="BodyText"/>
        <w:spacing w:before="2"/>
        <w:rPr>
          <w:rFonts w:ascii="Microsoft JhengHei"/>
          <w:b/>
          <w:sz w:val="25"/>
        </w:rPr>
      </w:pPr>
    </w:p>
    <w:p>
      <w:pPr>
        <w:pStyle w:val="BodyText"/>
        <w:spacing w:line="273" w:lineRule="auto" w:before="1"/>
        <w:ind w:left="101" w:right="219"/>
      </w:pPr>
      <w:r>
        <w:rPr>
          <w:w w:val="95"/>
        </w:rPr>
        <w:t>指中华人民共和国刑法规定的鸦片、海洛因、甲基苯丙胺（冰毒</w:t>
      </w:r>
      <w:r>
        <w:rPr>
          <w:spacing w:val="-104"/>
          <w:w w:val="95"/>
        </w:rPr>
        <w:t>）</w:t>
      </w:r>
      <w:r>
        <w:rPr>
          <w:w w:val="95"/>
        </w:rPr>
        <w:t>、吗啡、大麻、可卡因以及   </w:t>
      </w:r>
      <w:r>
        <w:rPr/>
        <w:t>国家规定管制的其他能够使人形成瘾癖的麻醉药品和精神药品，但不包括由医生开具并遵守</w:t>
      </w:r>
      <w:r>
        <w:rPr>
          <w:w w:val="95"/>
        </w:rPr>
        <w:t>医嘱使用的用于治疗疾病但含有毒品成分的处方药品。</w:t>
      </w:r>
    </w:p>
    <w:p>
      <w:pPr>
        <w:pStyle w:val="BodyText"/>
        <w:spacing w:before="12"/>
        <w:rPr>
          <w:sz w:val="27"/>
        </w:rPr>
      </w:pPr>
    </w:p>
    <w:p>
      <w:pPr>
        <w:pStyle w:val="ListParagraph"/>
        <w:numPr>
          <w:ilvl w:val="1"/>
          <w:numId w:val="6"/>
        </w:numPr>
        <w:tabs>
          <w:tab w:pos="941" w:val="left" w:leader="none"/>
          <w:tab w:pos="942" w:val="left" w:leader="none"/>
        </w:tabs>
        <w:spacing w:line="240" w:lineRule="auto" w:before="0" w:after="0"/>
        <w:ind w:left="941" w:right="0" w:hanging="840"/>
        <w:jc w:val="left"/>
        <w:rPr>
          <w:rFonts w:ascii="Microsoft JhengHei" w:eastAsia="Microsoft JhengHei" w:hint="eastAsia"/>
          <w:b/>
          <w:sz w:val="21"/>
        </w:rPr>
      </w:pPr>
      <w:r>
        <w:rPr>
          <w:rFonts w:ascii="Microsoft JhengHei" w:eastAsia="Microsoft JhengHei" w:hint="eastAsia"/>
          <w:b/>
          <w:w w:val="95"/>
          <w:sz w:val="21"/>
        </w:rPr>
        <w:t>酒后驾驶</w:t>
      </w:r>
    </w:p>
    <w:p>
      <w:pPr>
        <w:pStyle w:val="BodyText"/>
        <w:spacing w:before="2"/>
        <w:rPr>
          <w:rFonts w:ascii="Microsoft JhengHei"/>
          <w:b/>
          <w:sz w:val="25"/>
        </w:rPr>
      </w:pPr>
    </w:p>
    <w:p>
      <w:pPr>
        <w:pStyle w:val="BodyText"/>
        <w:spacing w:line="273" w:lineRule="auto"/>
        <w:ind w:left="101" w:right="117"/>
      </w:pPr>
      <w:r>
        <w:rPr/>
        <w:t>指经检测或鉴定，发生事故时车辆驾驶人员每百毫升血液中的酒精含量达到或超过一定的标 </w:t>
      </w:r>
      <w:r>
        <w:rPr>
          <w:w w:val="95"/>
        </w:rPr>
        <w:t>准，公安机关交通管理部门依据《道路交通安全法》的规定认定为饮酒后驾驶或醉酒后驾驶。</w:t>
      </w:r>
    </w:p>
    <w:p>
      <w:pPr>
        <w:pStyle w:val="BodyText"/>
        <w:spacing w:before="9"/>
        <w:rPr>
          <w:sz w:val="27"/>
        </w:rPr>
      </w:pPr>
    </w:p>
    <w:p>
      <w:pPr>
        <w:pStyle w:val="ListParagraph"/>
        <w:numPr>
          <w:ilvl w:val="1"/>
          <w:numId w:val="6"/>
        </w:numPr>
        <w:tabs>
          <w:tab w:pos="941" w:val="left" w:leader="none"/>
          <w:tab w:pos="942" w:val="left" w:leader="none"/>
        </w:tabs>
        <w:spacing w:line="528" w:lineRule="auto" w:before="0" w:after="0"/>
        <w:ind w:left="101" w:right="5782" w:firstLine="0"/>
        <w:jc w:val="left"/>
        <w:rPr>
          <w:sz w:val="21"/>
        </w:rPr>
      </w:pPr>
      <w:r>
        <w:rPr>
          <w:rFonts w:ascii="Microsoft JhengHei" w:eastAsia="Microsoft JhengHei" w:hint="eastAsia"/>
          <w:b/>
          <w:sz w:val="21"/>
        </w:rPr>
        <w:t>无合法有效驾驶证驾驶</w:t>
      </w:r>
      <w:r>
        <w:rPr>
          <w:w w:val="95"/>
          <w:sz w:val="21"/>
        </w:rPr>
        <w:t>指下列情形之一：</w:t>
      </w:r>
    </w:p>
    <w:p>
      <w:pPr>
        <w:pStyle w:val="ListParagraph"/>
        <w:numPr>
          <w:ilvl w:val="0"/>
          <w:numId w:val="12"/>
        </w:numPr>
        <w:tabs>
          <w:tab w:pos="941" w:val="left" w:leader="none"/>
          <w:tab w:pos="942" w:val="left" w:leader="none"/>
        </w:tabs>
        <w:spacing w:line="240" w:lineRule="auto" w:before="96" w:after="0"/>
        <w:ind w:left="941" w:right="0" w:hanging="840"/>
        <w:jc w:val="left"/>
        <w:rPr>
          <w:sz w:val="21"/>
        </w:rPr>
      </w:pPr>
      <w:r>
        <w:rPr>
          <w:w w:val="95"/>
          <w:sz w:val="21"/>
        </w:rPr>
        <w:t>没有取得驾驶资格；</w:t>
      </w:r>
    </w:p>
    <w:p>
      <w:pPr>
        <w:pStyle w:val="BodyText"/>
        <w:spacing w:before="8"/>
        <w:rPr>
          <w:sz w:val="26"/>
        </w:rPr>
      </w:pPr>
    </w:p>
    <w:p>
      <w:pPr>
        <w:pStyle w:val="ListParagraph"/>
        <w:numPr>
          <w:ilvl w:val="0"/>
          <w:numId w:val="12"/>
        </w:numPr>
        <w:tabs>
          <w:tab w:pos="941" w:val="left" w:leader="none"/>
          <w:tab w:pos="942" w:val="left" w:leader="none"/>
        </w:tabs>
        <w:spacing w:line="240" w:lineRule="auto" w:before="0" w:after="0"/>
        <w:ind w:left="941" w:right="0" w:hanging="840"/>
        <w:jc w:val="left"/>
        <w:rPr>
          <w:sz w:val="21"/>
        </w:rPr>
      </w:pPr>
      <w:r>
        <w:rPr>
          <w:w w:val="95"/>
          <w:sz w:val="21"/>
        </w:rPr>
        <w:t>驾驶与驾驶证准驾车型不相符合的车辆；</w:t>
      </w:r>
    </w:p>
    <w:p>
      <w:pPr>
        <w:pStyle w:val="BodyText"/>
        <w:spacing w:before="8"/>
        <w:rPr>
          <w:sz w:val="26"/>
        </w:rPr>
      </w:pPr>
    </w:p>
    <w:p>
      <w:pPr>
        <w:pStyle w:val="ListParagraph"/>
        <w:numPr>
          <w:ilvl w:val="0"/>
          <w:numId w:val="12"/>
        </w:numPr>
        <w:tabs>
          <w:tab w:pos="941" w:val="left" w:leader="none"/>
          <w:tab w:pos="942" w:val="left" w:leader="none"/>
        </w:tabs>
        <w:spacing w:line="240" w:lineRule="auto" w:before="0" w:after="0"/>
        <w:ind w:left="941" w:right="0" w:hanging="840"/>
        <w:jc w:val="left"/>
        <w:rPr>
          <w:sz w:val="21"/>
        </w:rPr>
      </w:pPr>
      <w:r>
        <w:rPr>
          <w:w w:val="95"/>
          <w:sz w:val="21"/>
        </w:rPr>
        <w:t>持审验不合格的驾驶证驾驶；</w:t>
      </w:r>
    </w:p>
    <w:p>
      <w:pPr>
        <w:pStyle w:val="BodyText"/>
        <w:spacing w:before="8"/>
        <w:rPr>
          <w:sz w:val="26"/>
        </w:rPr>
      </w:pPr>
    </w:p>
    <w:p>
      <w:pPr>
        <w:pStyle w:val="ListParagraph"/>
        <w:numPr>
          <w:ilvl w:val="0"/>
          <w:numId w:val="12"/>
        </w:numPr>
        <w:tabs>
          <w:tab w:pos="941" w:val="left" w:leader="none"/>
          <w:tab w:pos="942" w:val="left" w:leader="none"/>
        </w:tabs>
        <w:spacing w:line="240" w:lineRule="auto" w:before="0" w:after="0"/>
        <w:ind w:left="941" w:right="0" w:hanging="840"/>
        <w:jc w:val="left"/>
        <w:rPr>
          <w:sz w:val="21"/>
        </w:rPr>
      </w:pPr>
      <w:r>
        <w:rPr>
          <w:w w:val="95"/>
          <w:sz w:val="21"/>
        </w:rPr>
        <w:t>持学习驾驶证学习驾车时，无教练员随车指导，或不按指定时间、路线学习驾车。</w:t>
      </w:r>
    </w:p>
    <w:p>
      <w:pPr>
        <w:pStyle w:val="BodyText"/>
        <w:rPr>
          <w:sz w:val="20"/>
        </w:rPr>
      </w:pPr>
    </w:p>
    <w:p>
      <w:pPr>
        <w:pStyle w:val="ListParagraph"/>
        <w:numPr>
          <w:ilvl w:val="1"/>
          <w:numId w:val="6"/>
        </w:numPr>
        <w:tabs>
          <w:tab w:pos="941" w:val="left" w:leader="none"/>
          <w:tab w:pos="942" w:val="left" w:leader="none"/>
        </w:tabs>
        <w:spacing w:line="528" w:lineRule="auto" w:before="133" w:after="0"/>
        <w:ind w:left="101" w:right="6622" w:firstLine="0"/>
        <w:jc w:val="left"/>
        <w:rPr>
          <w:sz w:val="21"/>
        </w:rPr>
      </w:pPr>
      <w:r>
        <w:rPr>
          <w:rFonts w:ascii="Microsoft JhengHei" w:eastAsia="Microsoft JhengHei" w:hint="eastAsia"/>
          <w:b/>
          <w:sz w:val="21"/>
        </w:rPr>
        <w:t>无有效行驶证</w:t>
      </w:r>
      <w:r>
        <w:rPr>
          <w:w w:val="95"/>
          <w:sz w:val="21"/>
        </w:rPr>
        <w:t>指下列情形之一：</w:t>
      </w:r>
    </w:p>
    <w:p>
      <w:pPr>
        <w:pStyle w:val="ListParagraph"/>
        <w:numPr>
          <w:ilvl w:val="0"/>
          <w:numId w:val="13"/>
        </w:numPr>
        <w:tabs>
          <w:tab w:pos="941" w:val="left" w:leader="none"/>
          <w:tab w:pos="942" w:val="left" w:leader="none"/>
        </w:tabs>
        <w:spacing w:line="240" w:lineRule="auto" w:before="97" w:after="0"/>
        <w:ind w:left="941" w:right="0" w:hanging="840"/>
        <w:jc w:val="left"/>
        <w:rPr>
          <w:sz w:val="21"/>
        </w:rPr>
      </w:pPr>
      <w:r>
        <w:rPr>
          <w:w w:val="95"/>
          <w:sz w:val="21"/>
        </w:rPr>
        <w:t>机动车被依法注销登记的；</w:t>
      </w:r>
    </w:p>
    <w:p>
      <w:pPr>
        <w:pStyle w:val="BodyText"/>
        <w:spacing w:before="8"/>
        <w:rPr>
          <w:sz w:val="26"/>
        </w:rPr>
      </w:pPr>
    </w:p>
    <w:p>
      <w:pPr>
        <w:pStyle w:val="ListParagraph"/>
        <w:numPr>
          <w:ilvl w:val="0"/>
          <w:numId w:val="13"/>
        </w:numPr>
        <w:tabs>
          <w:tab w:pos="941" w:val="left" w:leader="none"/>
          <w:tab w:pos="942" w:val="left" w:leader="none"/>
        </w:tabs>
        <w:spacing w:line="240" w:lineRule="auto" w:before="1" w:after="0"/>
        <w:ind w:left="941" w:right="0" w:hanging="840"/>
        <w:jc w:val="left"/>
        <w:rPr>
          <w:sz w:val="21"/>
        </w:rPr>
      </w:pPr>
      <w:r>
        <w:rPr>
          <w:w w:val="95"/>
          <w:sz w:val="21"/>
        </w:rPr>
        <w:t>未依法按时进行或通过机动车安全技术检验。</w:t>
      </w:r>
    </w:p>
    <w:p>
      <w:pPr>
        <w:pStyle w:val="BodyText"/>
        <w:rPr>
          <w:sz w:val="20"/>
        </w:rPr>
      </w:pPr>
    </w:p>
    <w:p>
      <w:pPr>
        <w:pStyle w:val="ListParagraph"/>
        <w:numPr>
          <w:ilvl w:val="1"/>
          <w:numId w:val="6"/>
        </w:numPr>
        <w:tabs>
          <w:tab w:pos="941" w:val="left" w:leader="none"/>
          <w:tab w:pos="942" w:val="left" w:leader="none"/>
        </w:tabs>
        <w:spacing w:line="240" w:lineRule="auto" w:before="133" w:after="0"/>
        <w:ind w:left="941" w:right="0" w:hanging="840"/>
        <w:jc w:val="left"/>
        <w:rPr>
          <w:rFonts w:ascii="Microsoft JhengHei" w:eastAsia="Microsoft JhengHei" w:hint="eastAsia"/>
          <w:b/>
          <w:sz w:val="21"/>
        </w:rPr>
      </w:pPr>
      <w:r>
        <w:rPr>
          <w:rFonts w:ascii="Microsoft JhengHei" w:eastAsia="Microsoft JhengHei" w:hint="eastAsia"/>
          <w:b/>
          <w:w w:val="95"/>
          <w:sz w:val="21"/>
        </w:rPr>
        <w:t>感染艾滋病病毒或患艾滋病</w:t>
      </w:r>
    </w:p>
    <w:p>
      <w:pPr>
        <w:pStyle w:val="BodyText"/>
        <w:spacing w:before="2"/>
        <w:rPr>
          <w:rFonts w:ascii="Microsoft JhengHei"/>
          <w:b/>
          <w:sz w:val="25"/>
        </w:rPr>
      </w:pPr>
    </w:p>
    <w:p>
      <w:pPr>
        <w:pStyle w:val="BodyText"/>
        <w:spacing w:line="273" w:lineRule="auto"/>
        <w:ind w:left="101" w:right="219"/>
      </w:pPr>
      <w:r>
        <w:rPr>
          <w:spacing w:val="-5"/>
        </w:rPr>
        <w:t>艾滋病病毒指人类免疫缺陷病毒，英文缩写为 </w:t>
      </w:r>
      <w:r>
        <w:rPr/>
        <w:t>HIV</w:t>
      </w:r>
      <w:r>
        <w:rPr>
          <w:spacing w:val="-5"/>
        </w:rPr>
        <w:t>。艾滋病指人类免疫缺陷病毒引起的获得性</w:t>
      </w:r>
      <w:r>
        <w:rPr>
          <w:spacing w:val="-9"/>
        </w:rPr>
        <w:t>免疫缺陷综合症，英文缩写为 </w:t>
      </w:r>
      <w:r>
        <w:rPr/>
        <w:t>AIDS。</w:t>
      </w:r>
    </w:p>
    <w:p>
      <w:pPr>
        <w:pStyle w:val="BodyText"/>
        <w:spacing w:before="5"/>
        <w:rPr>
          <w:sz w:val="24"/>
        </w:rPr>
      </w:pPr>
    </w:p>
    <w:p>
      <w:pPr>
        <w:pStyle w:val="BodyText"/>
        <w:spacing w:line="273" w:lineRule="auto"/>
        <w:ind w:left="101" w:right="322"/>
      </w:pPr>
      <w:r>
        <w:rPr/>
        <w:t>在人体血液或其他样本中检测到艾滋病病毒或其抗体呈阳性，没有出现临床症状或体征的， </w:t>
      </w:r>
      <w:r>
        <w:rPr>
          <w:w w:val="95"/>
        </w:rPr>
        <w:t>为感染艾滋病病毒；如果同时出现了明显临床症状或体征的，为患艾滋病。</w:t>
      </w:r>
    </w:p>
    <w:p>
      <w:pPr>
        <w:spacing w:after="0" w:line="273" w:lineRule="auto"/>
        <w:sectPr>
          <w:pgSz w:w="11910" w:h="16840"/>
          <w:pgMar w:header="0" w:footer="1197" w:top="1480" w:bottom="1380" w:left="1600" w:right="1480"/>
        </w:sectPr>
      </w:pPr>
    </w:p>
    <w:p>
      <w:pPr>
        <w:pStyle w:val="ListParagraph"/>
        <w:numPr>
          <w:ilvl w:val="1"/>
          <w:numId w:val="6"/>
        </w:numPr>
        <w:tabs>
          <w:tab w:pos="941" w:val="left" w:leader="none"/>
          <w:tab w:pos="942" w:val="left" w:leader="none"/>
        </w:tabs>
        <w:spacing w:line="315" w:lineRule="exact" w:before="0" w:after="0"/>
        <w:ind w:left="941" w:right="0" w:hanging="840"/>
        <w:jc w:val="left"/>
        <w:rPr>
          <w:rFonts w:ascii="Microsoft JhengHei" w:eastAsia="Microsoft JhengHei" w:hint="eastAsia"/>
          <w:b/>
          <w:sz w:val="21"/>
        </w:rPr>
      </w:pPr>
      <w:bookmarkStart w:name="_bookmark13" w:id="21"/>
      <w:bookmarkEnd w:id="21"/>
      <w:r>
        <w:rPr/>
      </w:r>
      <w:bookmarkStart w:name="_bookmark13" w:id="22"/>
      <w:bookmarkEnd w:id="22"/>
      <w:r>
        <w:rPr>
          <w:rFonts w:ascii="Microsoft JhengHei" w:eastAsia="Microsoft JhengHei" w:hint="eastAsia"/>
          <w:b/>
          <w:w w:val="95"/>
          <w:sz w:val="21"/>
        </w:rPr>
        <w:t>遗传性疾病</w:t>
      </w:r>
    </w:p>
    <w:p>
      <w:pPr>
        <w:pStyle w:val="BodyText"/>
        <w:spacing w:before="2"/>
        <w:rPr>
          <w:rFonts w:ascii="Microsoft JhengHei"/>
          <w:b/>
          <w:sz w:val="25"/>
        </w:rPr>
      </w:pPr>
    </w:p>
    <w:p>
      <w:pPr>
        <w:pStyle w:val="BodyText"/>
        <w:spacing w:line="273" w:lineRule="auto" w:before="1"/>
        <w:ind w:left="101" w:right="202"/>
      </w:pPr>
      <w:r>
        <w:rPr/>
        <w:t>指生殖细胞或受精卵的遗传物质（染色体和基因）发生突变或畸变所引起的疾病，通常具有</w:t>
      </w:r>
      <w:r>
        <w:rPr>
          <w:w w:val="95"/>
        </w:rPr>
        <w:t>由亲代传至后代的垂直传递的特征。</w:t>
      </w:r>
    </w:p>
    <w:p>
      <w:pPr>
        <w:pStyle w:val="BodyText"/>
        <w:spacing w:before="12"/>
        <w:rPr>
          <w:sz w:val="27"/>
        </w:rPr>
      </w:pPr>
    </w:p>
    <w:p>
      <w:pPr>
        <w:pStyle w:val="ListParagraph"/>
        <w:numPr>
          <w:ilvl w:val="1"/>
          <w:numId w:val="6"/>
        </w:numPr>
        <w:tabs>
          <w:tab w:pos="941" w:val="left" w:leader="none"/>
          <w:tab w:pos="942" w:val="left" w:leader="none"/>
        </w:tabs>
        <w:spacing w:line="240" w:lineRule="auto" w:before="0" w:after="0"/>
        <w:ind w:left="941" w:right="0" w:hanging="840"/>
        <w:jc w:val="left"/>
        <w:rPr>
          <w:rFonts w:ascii="Microsoft JhengHei" w:eastAsia="Microsoft JhengHei" w:hint="eastAsia"/>
          <w:b/>
          <w:sz w:val="21"/>
        </w:rPr>
      </w:pPr>
      <w:r>
        <w:rPr>
          <w:rFonts w:ascii="Microsoft JhengHei" w:eastAsia="Microsoft JhengHei" w:hint="eastAsia"/>
          <w:b/>
          <w:w w:val="95"/>
          <w:sz w:val="21"/>
        </w:rPr>
        <w:t>先天性畸形、变形或染色体异常</w:t>
      </w:r>
    </w:p>
    <w:p>
      <w:pPr>
        <w:pStyle w:val="BodyText"/>
        <w:spacing w:before="2"/>
        <w:rPr>
          <w:rFonts w:ascii="Microsoft JhengHei"/>
          <w:b/>
          <w:sz w:val="25"/>
        </w:rPr>
      </w:pPr>
    </w:p>
    <w:p>
      <w:pPr>
        <w:pStyle w:val="BodyText"/>
        <w:spacing w:line="273" w:lineRule="auto"/>
        <w:ind w:left="101" w:right="202"/>
      </w:pPr>
      <w:r>
        <w:rPr/>
        <w:t>指被保险人出生时就具有的畸形、变形或染色体异常。先天性畸形、变形和染色体异常依照</w:t>
      </w:r>
      <w:r>
        <w:rPr>
          <w:w w:val="95"/>
        </w:rPr>
        <w:t>世界卫生组织《疾病和有关健康问题的国际统计分类》（ICD-10）确定。</w:t>
      </w:r>
    </w:p>
    <w:p>
      <w:pPr>
        <w:pStyle w:val="BodyText"/>
        <w:spacing w:before="9"/>
        <w:rPr>
          <w:sz w:val="27"/>
        </w:rPr>
      </w:pPr>
    </w:p>
    <w:p>
      <w:pPr>
        <w:pStyle w:val="ListParagraph"/>
        <w:numPr>
          <w:ilvl w:val="1"/>
          <w:numId w:val="6"/>
        </w:numPr>
        <w:tabs>
          <w:tab w:pos="941" w:val="left" w:leader="none"/>
          <w:tab w:pos="942" w:val="left" w:leader="none"/>
        </w:tabs>
        <w:spacing w:line="240" w:lineRule="auto" w:before="0" w:after="0"/>
        <w:ind w:left="941" w:right="0" w:hanging="840"/>
        <w:jc w:val="left"/>
        <w:rPr>
          <w:rFonts w:ascii="Microsoft JhengHei" w:eastAsia="Microsoft JhengHei" w:hint="eastAsia"/>
          <w:b/>
          <w:sz w:val="21"/>
        </w:rPr>
      </w:pPr>
      <w:r>
        <w:rPr>
          <w:rFonts w:ascii="Microsoft JhengHei" w:eastAsia="Microsoft JhengHei" w:hint="eastAsia"/>
          <w:b/>
          <w:w w:val="95"/>
          <w:sz w:val="21"/>
        </w:rPr>
        <w:t>拒保职业</w:t>
      </w:r>
    </w:p>
    <w:p>
      <w:pPr>
        <w:pStyle w:val="BodyText"/>
        <w:spacing w:before="2"/>
        <w:rPr>
          <w:rFonts w:ascii="Microsoft JhengHei"/>
          <w:b/>
          <w:sz w:val="25"/>
        </w:rPr>
      </w:pPr>
    </w:p>
    <w:p>
      <w:pPr>
        <w:pStyle w:val="BodyText"/>
        <w:ind w:left="101"/>
      </w:pPr>
      <w:r>
        <w:rPr>
          <w:spacing w:val="-1"/>
          <w:w w:val="99"/>
        </w:rPr>
        <w:t>远洋渔业船员；近海渔船船员；矿工</w:t>
      </w:r>
      <w:r>
        <w:rPr>
          <w:spacing w:val="1"/>
          <w:w w:val="99"/>
        </w:rPr>
        <w:t>（</w:t>
      </w:r>
      <w:r>
        <w:rPr>
          <w:spacing w:val="-1"/>
          <w:w w:val="99"/>
        </w:rPr>
        <w:t>井下工作</w:t>
      </w:r>
      <w:r>
        <w:rPr>
          <w:spacing w:val="-104"/>
          <w:w w:val="99"/>
        </w:rPr>
        <w:t>）</w:t>
      </w:r>
      <w:r>
        <w:rPr>
          <w:spacing w:val="-1"/>
          <w:w w:val="99"/>
        </w:rPr>
        <w:t>；矿物开采支护工人；矿井开掘工人；火药</w:t>
      </w:r>
    </w:p>
    <w:p>
      <w:pPr>
        <w:pStyle w:val="BodyText"/>
        <w:spacing w:line="273" w:lineRule="auto" w:before="37"/>
        <w:ind w:left="101" w:right="99"/>
      </w:pPr>
      <w:r>
        <w:rPr/>
        <w:t>/雷管管理工；矿ft</w:t>
      </w:r>
      <w:r>
        <w:rPr>
          <w:spacing w:val="-1"/>
        </w:rPr>
        <w:t>井下抢险</w:t>
      </w:r>
      <w:r>
        <w:rPr/>
        <w:t>/救灾人员；采石业工人；采砂业工人；海上作业潜水人员；坑探工人；海洋地质取样工人；土木工程短工、鹰架架设工人、凿岩工人、爆破工人、拆屋迁</w:t>
      </w:r>
      <w:r>
        <w:rPr>
          <w:w w:val="95"/>
        </w:rPr>
        <w:t>屋工人；玻璃幕墙安装工人；建筑工程潜水工作人员、爆破工作人员；水泥业爆破工；硫酸</w:t>
      </w:r>
      <w:r>
        <w:rPr>
          <w:w w:val="80"/>
        </w:rPr>
        <w:t>、</w:t>
      </w:r>
      <w:r>
        <w:rPr>
          <w:spacing w:val="1"/>
          <w:w w:val="99"/>
        </w:rPr>
        <w:t>盐</w:t>
      </w:r>
      <w:r>
        <w:rPr>
          <w:w w:val="99"/>
        </w:rPr>
        <w:t>酸、硝酸制造工、有毒物品制造工；火药爆竹制造及处理人员</w:t>
      </w:r>
      <w:r>
        <w:rPr>
          <w:spacing w:val="1"/>
          <w:w w:val="99"/>
        </w:rPr>
        <w:t>（</w:t>
      </w:r>
      <w:r>
        <w:rPr>
          <w:spacing w:val="-1"/>
          <w:w w:val="99"/>
        </w:rPr>
        <w:t>包括爆竹、烟火制造工</w:t>
      </w:r>
      <w:r>
        <w:rPr>
          <w:spacing w:val="-104"/>
          <w:w w:val="99"/>
        </w:rPr>
        <w:t>）</w:t>
      </w:r>
      <w:r>
        <w:rPr>
          <w:w w:val="99"/>
        </w:rPr>
        <w:t>；战地记者；广告招牌绘制人员（高空</w:t>
      </w:r>
      <w:r>
        <w:rPr>
          <w:spacing w:val="-104"/>
          <w:w w:val="99"/>
        </w:rPr>
        <w:t>）</w:t>
      </w:r>
      <w:r>
        <w:rPr>
          <w:w w:val="99"/>
        </w:rPr>
        <w:t>；特技演员；巡回演出杂技团人员（</w:t>
      </w:r>
      <w:r>
        <w:rPr>
          <w:spacing w:val="-1"/>
          <w:w w:val="99"/>
        </w:rPr>
        <w:t>高空杂技、飞人、飞</w:t>
      </w:r>
      <w:r>
        <w:rPr>
          <w:w w:val="99"/>
        </w:rPr>
        <w:t>车等</w:t>
      </w:r>
      <w:r>
        <w:rPr>
          <w:spacing w:val="-104"/>
          <w:w w:val="99"/>
        </w:rPr>
        <w:t>）</w:t>
      </w:r>
      <w:r>
        <w:rPr>
          <w:spacing w:val="-1"/>
          <w:w w:val="99"/>
        </w:rPr>
        <w:t>；高压线路带电检修工人；变压器操作人员；高楼外部清洁工；烟囱清洁工；拆弹警</w:t>
      </w:r>
      <w:r>
        <w:rPr/>
        <w:t>员；警校学生；空军飞行官兵、海军舰艇及潜艇官兵；前线军人；军校学生及入伍受训新军</w:t>
      </w:r>
      <w:r>
        <w:rPr>
          <w:spacing w:val="1"/>
          <w:w w:val="99"/>
        </w:rPr>
        <w:t>特</w:t>
      </w:r>
      <w:r>
        <w:rPr>
          <w:spacing w:val="-1"/>
          <w:w w:val="99"/>
        </w:rPr>
        <w:t>种部队</w:t>
      </w:r>
      <w:r>
        <w:rPr>
          <w:w w:val="99"/>
        </w:rPr>
        <w:t>（</w:t>
      </w:r>
      <w:r>
        <w:rPr>
          <w:spacing w:val="-1"/>
          <w:w w:val="99"/>
        </w:rPr>
        <w:t>海军陆战队、伞兵、水兵</w:t>
      </w:r>
      <w:r>
        <w:rPr>
          <w:spacing w:val="-104"/>
          <w:w w:val="99"/>
        </w:rPr>
        <w:t>）</w:t>
      </w:r>
      <w:r>
        <w:rPr>
          <w:w w:val="99"/>
        </w:rPr>
        <w:t>；爆破兵、蛙人、化学兵、爆破任务兵、情报单位负有</w:t>
      </w:r>
      <w:r>
        <w:rPr>
          <w:w w:val="95"/>
        </w:rPr>
        <w:t>特殊任务者；航天员；滑雪人员。以及从事以上类似职业的人员。</w:t>
      </w:r>
    </w:p>
    <w:p>
      <w:pPr>
        <w:pStyle w:val="BodyText"/>
        <w:spacing w:before="12"/>
        <w:rPr>
          <w:sz w:val="27"/>
        </w:rPr>
      </w:pPr>
    </w:p>
    <w:p>
      <w:pPr>
        <w:pStyle w:val="ListParagraph"/>
        <w:numPr>
          <w:ilvl w:val="1"/>
          <w:numId w:val="6"/>
        </w:numPr>
        <w:tabs>
          <w:tab w:pos="941" w:val="left" w:leader="none"/>
          <w:tab w:pos="942" w:val="left" w:leader="none"/>
        </w:tabs>
        <w:spacing w:line="240" w:lineRule="auto" w:before="0" w:after="0"/>
        <w:ind w:left="941" w:right="0" w:hanging="840"/>
        <w:jc w:val="left"/>
        <w:rPr>
          <w:rFonts w:ascii="Microsoft JhengHei" w:eastAsia="Microsoft JhengHei" w:hint="eastAsia"/>
          <w:b/>
          <w:sz w:val="21"/>
        </w:rPr>
      </w:pPr>
      <w:r>
        <w:rPr>
          <w:rFonts w:ascii="Microsoft JhengHei" w:eastAsia="Microsoft JhengHei" w:hint="eastAsia"/>
          <w:b/>
          <w:w w:val="95"/>
          <w:sz w:val="21"/>
        </w:rPr>
        <w:t>现金价值</w:t>
      </w:r>
    </w:p>
    <w:p>
      <w:pPr>
        <w:pStyle w:val="BodyText"/>
        <w:spacing w:before="2"/>
        <w:rPr>
          <w:rFonts w:ascii="Microsoft JhengHei"/>
          <w:b/>
          <w:sz w:val="25"/>
        </w:rPr>
      </w:pPr>
    </w:p>
    <w:p>
      <w:pPr>
        <w:pStyle w:val="BodyText"/>
        <w:spacing w:line="273" w:lineRule="auto"/>
        <w:ind w:left="101" w:right="202"/>
      </w:pPr>
      <w:r>
        <w:rPr/>
        <w:t>指保险单所具有的价值，通常体现为解除合同时，根据精算原理计算的，由本公司退还的那</w:t>
      </w:r>
      <w:r>
        <w:rPr>
          <w:w w:val="95"/>
        </w:rPr>
        <w:t>部分金额。</w:t>
      </w:r>
    </w:p>
    <w:p>
      <w:pPr>
        <w:pStyle w:val="BodyText"/>
        <w:spacing w:before="12"/>
        <w:rPr>
          <w:sz w:val="27"/>
        </w:rPr>
      </w:pPr>
    </w:p>
    <w:p>
      <w:pPr>
        <w:pStyle w:val="ListParagraph"/>
        <w:numPr>
          <w:ilvl w:val="1"/>
          <w:numId w:val="6"/>
        </w:numPr>
        <w:tabs>
          <w:tab w:pos="941" w:val="left" w:leader="none"/>
          <w:tab w:pos="942" w:val="left" w:leader="none"/>
        </w:tabs>
        <w:spacing w:line="240" w:lineRule="auto" w:before="0" w:after="0"/>
        <w:ind w:left="941" w:right="0" w:hanging="840"/>
        <w:jc w:val="left"/>
        <w:rPr>
          <w:rFonts w:ascii="Microsoft JhengHei" w:eastAsia="Microsoft JhengHei" w:hint="eastAsia"/>
          <w:b/>
          <w:sz w:val="21"/>
        </w:rPr>
      </w:pPr>
      <w:r>
        <w:rPr>
          <w:rFonts w:ascii="Microsoft JhengHei" w:eastAsia="Microsoft JhengHei" w:hint="eastAsia"/>
          <w:b/>
          <w:w w:val="95"/>
          <w:sz w:val="21"/>
        </w:rPr>
        <w:t>银行转账交费</w:t>
      </w:r>
    </w:p>
    <w:p>
      <w:pPr>
        <w:pStyle w:val="BodyText"/>
        <w:spacing w:before="2"/>
        <w:rPr>
          <w:rFonts w:ascii="Microsoft JhengHei"/>
          <w:b/>
          <w:sz w:val="25"/>
        </w:rPr>
      </w:pPr>
    </w:p>
    <w:p>
      <w:pPr>
        <w:pStyle w:val="BodyText"/>
        <w:spacing w:line="273" w:lineRule="auto" w:before="1"/>
        <w:ind w:left="101" w:right="202"/>
      </w:pPr>
      <w:r>
        <w:rPr/>
        <w:t>指投保人将保险费存入本公司指定银行的活期账户内，本公司通过银行转账将保险费划转， </w:t>
      </w:r>
      <w:r>
        <w:rPr>
          <w:w w:val="95"/>
        </w:rPr>
        <w:t>继而完成投保人续交保险费的交纳。</w:t>
      </w:r>
    </w:p>
    <w:p>
      <w:pPr>
        <w:pStyle w:val="BodyText"/>
        <w:spacing w:before="10"/>
        <w:rPr>
          <w:sz w:val="27"/>
        </w:rPr>
      </w:pPr>
    </w:p>
    <w:p>
      <w:pPr>
        <w:pStyle w:val="ListParagraph"/>
        <w:numPr>
          <w:ilvl w:val="1"/>
          <w:numId w:val="6"/>
        </w:numPr>
        <w:tabs>
          <w:tab w:pos="941" w:val="left" w:leader="none"/>
          <w:tab w:pos="942" w:val="left" w:leader="none"/>
        </w:tabs>
        <w:spacing w:line="240" w:lineRule="auto" w:before="0" w:after="0"/>
        <w:ind w:left="941" w:right="0" w:hanging="840"/>
        <w:jc w:val="left"/>
        <w:rPr>
          <w:rFonts w:ascii="Microsoft JhengHei" w:eastAsia="Microsoft JhengHei" w:hint="eastAsia"/>
          <w:b/>
          <w:sz w:val="21"/>
        </w:rPr>
      </w:pPr>
      <w:r>
        <w:rPr>
          <w:rFonts w:ascii="Microsoft JhengHei" w:eastAsia="Microsoft JhengHei" w:hint="eastAsia"/>
          <w:b/>
          <w:w w:val="95"/>
          <w:sz w:val="21"/>
        </w:rPr>
        <w:t>本条款约定利率</w:t>
      </w:r>
    </w:p>
    <w:p>
      <w:pPr>
        <w:pStyle w:val="BodyText"/>
        <w:spacing w:before="2"/>
        <w:rPr>
          <w:rFonts w:ascii="Microsoft JhengHei"/>
          <w:b/>
          <w:sz w:val="25"/>
        </w:rPr>
      </w:pPr>
    </w:p>
    <w:p>
      <w:pPr>
        <w:pStyle w:val="BodyText"/>
        <w:spacing w:line="273" w:lineRule="auto"/>
        <w:ind w:left="101" w:right="88"/>
      </w:pPr>
      <w:r>
        <w:rPr/>
        <w:t>按“同期中国人民银行每月第一个营业日适用的人民币六个月期贷款利率与 4.5%之较大者” </w:t>
      </w:r>
      <w:r>
        <w:rPr>
          <w:w w:val="95"/>
        </w:rPr>
        <w:t>计算。</w:t>
      </w:r>
    </w:p>
    <w:sectPr>
      <w:pgSz w:w="11910" w:h="16840"/>
      <w:pgMar w:header="0" w:footer="1197" w:top="1480" w:bottom="1380" w:left="160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宋体">
    <w:altName w:val="宋体"/>
    <w:charset w:val="86"/>
    <w:family w:val="auto"/>
    <w:pitch w:val="variable"/>
  </w:font>
  <w:font w:name="Microsoft Sans Serif">
    <w:altName w:val="Microsoft Sans Serif"/>
    <w:charset w:val="0"/>
    <w:family w:val="swiss"/>
    <w:pitch w:val="variable"/>
  </w:font>
  <w:font w:name="Calibri">
    <w:altName w:val="Calibri"/>
    <w:charset w:val="0"/>
    <w:family w:val="swiss"/>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03.679993pt;margin-top:771.050049pt;width:8.6pt;height:11pt;mso-position-horizontal-relative:page;mso-position-vertical-relative:page;z-index:-2586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9.119995pt;margin-top:771.050049pt;width:13.15pt;height:11pt;mso-position-horizontal-relative:page;mso-position-vertical-relative:page;z-index:-2584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9.119995pt;margin-top:771.050049pt;width:13.15pt;height:11pt;mso-position-horizontal-relative:page;mso-position-vertical-relative:page;z-index:-2581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16</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9.119995pt;margin-top:771.050049pt;width:13.15pt;height:11pt;mso-position-horizontal-relative:page;mso-position-vertical-relative:page;z-index:-2579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941" w:hanging="840"/>
        <w:jc w:val="left"/>
      </w:pPr>
      <w:rPr>
        <w:rFonts w:hint="default" w:ascii="宋体" w:hAnsi="宋体" w:eastAsia="宋体" w:cs="宋体"/>
        <w:w w:val="99"/>
        <w:sz w:val="21"/>
        <w:szCs w:val="21"/>
      </w:rPr>
    </w:lvl>
    <w:lvl w:ilvl="1">
      <w:start w:val="0"/>
      <w:numFmt w:val="bullet"/>
      <w:lvlText w:val="•"/>
      <w:lvlJc w:val="left"/>
      <w:pPr>
        <w:ind w:left="1728" w:hanging="840"/>
      </w:pPr>
      <w:rPr>
        <w:rFonts w:hint="default"/>
      </w:rPr>
    </w:lvl>
    <w:lvl w:ilvl="2">
      <w:start w:val="0"/>
      <w:numFmt w:val="bullet"/>
      <w:lvlText w:val="•"/>
      <w:lvlJc w:val="left"/>
      <w:pPr>
        <w:ind w:left="2517" w:hanging="840"/>
      </w:pPr>
      <w:rPr>
        <w:rFonts w:hint="default"/>
      </w:rPr>
    </w:lvl>
    <w:lvl w:ilvl="3">
      <w:start w:val="0"/>
      <w:numFmt w:val="bullet"/>
      <w:lvlText w:val="•"/>
      <w:lvlJc w:val="left"/>
      <w:pPr>
        <w:ind w:left="3305" w:hanging="840"/>
      </w:pPr>
      <w:rPr>
        <w:rFonts w:hint="default"/>
      </w:rPr>
    </w:lvl>
    <w:lvl w:ilvl="4">
      <w:start w:val="0"/>
      <w:numFmt w:val="bullet"/>
      <w:lvlText w:val="•"/>
      <w:lvlJc w:val="left"/>
      <w:pPr>
        <w:ind w:left="4094" w:hanging="840"/>
      </w:pPr>
      <w:rPr>
        <w:rFonts w:hint="default"/>
      </w:rPr>
    </w:lvl>
    <w:lvl w:ilvl="5">
      <w:start w:val="0"/>
      <w:numFmt w:val="bullet"/>
      <w:lvlText w:val="•"/>
      <w:lvlJc w:val="left"/>
      <w:pPr>
        <w:ind w:left="4883" w:hanging="840"/>
      </w:pPr>
      <w:rPr>
        <w:rFonts w:hint="default"/>
      </w:rPr>
    </w:lvl>
    <w:lvl w:ilvl="6">
      <w:start w:val="0"/>
      <w:numFmt w:val="bullet"/>
      <w:lvlText w:val="•"/>
      <w:lvlJc w:val="left"/>
      <w:pPr>
        <w:ind w:left="5671" w:hanging="840"/>
      </w:pPr>
      <w:rPr>
        <w:rFonts w:hint="default"/>
      </w:rPr>
    </w:lvl>
    <w:lvl w:ilvl="7">
      <w:start w:val="0"/>
      <w:numFmt w:val="bullet"/>
      <w:lvlText w:val="•"/>
      <w:lvlJc w:val="left"/>
      <w:pPr>
        <w:ind w:left="6460" w:hanging="840"/>
      </w:pPr>
      <w:rPr>
        <w:rFonts w:hint="default"/>
      </w:rPr>
    </w:lvl>
    <w:lvl w:ilvl="8">
      <w:start w:val="0"/>
      <w:numFmt w:val="bullet"/>
      <w:lvlText w:val="•"/>
      <w:lvlJc w:val="left"/>
      <w:pPr>
        <w:ind w:left="7248" w:hanging="840"/>
      </w:pPr>
      <w:rPr>
        <w:rFonts w:hint="default"/>
      </w:rPr>
    </w:lvl>
  </w:abstractNum>
  <w:abstractNum w:abstractNumId="11">
    <w:multiLevelType w:val="hybridMultilevel"/>
    <w:lvl w:ilvl="0">
      <w:start w:val="1"/>
      <w:numFmt w:val="decimal"/>
      <w:lvlText w:val="（%1）"/>
      <w:lvlJc w:val="left"/>
      <w:pPr>
        <w:ind w:left="941" w:hanging="840"/>
        <w:jc w:val="left"/>
      </w:pPr>
      <w:rPr>
        <w:rFonts w:hint="default" w:ascii="宋体" w:hAnsi="宋体" w:eastAsia="宋体" w:cs="宋体"/>
        <w:w w:val="99"/>
        <w:sz w:val="21"/>
        <w:szCs w:val="21"/>
      </w:rPr>
    </w:lvl>
    <w:lvl w:ilvl="1">
      <w:start w:val="0"/>
      <w:numFmt w:val="bullet"/>
      <w:lvlText w:val="•"/>
      <w:lvlJc w:val="left"/>
      <w:pPr>
        <w:ind w:left="1728" w:hanging="840"/>
      </w:pPr>
      <w:rPr>
        <w:rFonts w:hint="default"/>
      </w:rPr>
    </w:lvl>
    <w:lvl w:ilvl="2">
      <w:start w:val="0"/>
      <w:numFmt w:val="bullet"/>
      <w:lvlText w:val="•"/>
      <w:lvlJc w:val="left"/>
      <w:pPr>
        <w:ind w:left="2517" w:hanging="840"/>
      </w:pPr>
      <w:rPr>
        <w:rFonts w:hint="default"/>
      </w:rPr>
    </w:lvl>
    <w:lvl w:ilvl="3">
      <w:start w:val="0"/>
      <w:numFmt w:val="bullet"/>
      <w:lvlText w:val="•"/>
      <w:lvlJc w:val="left"/>
      <w:pPr>
        <w:ind w:left="3305" w:hanging="840"/>
      </w:pPr>
      <w:rPr>
        <w:rFonts w:hint="default"/>
      </w:rPr>
    </w:lvl>
    <w:lvl w:ilvl="4">
      <w:start w:val="0"/>
      <w:numFmt w:val="bullet"/>
      <w:lvlText w:val="•"/>
      <w:lvlJc w:val="left"/>
      <w:pPr>
        <w:ind w:left="4094" w:hanging="840"/>
      </w:pPr>
      <w:rPr>
        <w:rFonts w:hint="default"/>
      </w:rPr>
    </w:lvl>
    <w:lvl w:ilvl="5">
      <w:start w:val="0"/>
      <w:numFmt w:val="bullet"/>
      <w:lvlText w:val="•"/>
      <w:lvlJc w:val="left"/>
      <w:pPr>
        <w:ind w:left="4883" w:hanging="840"/>
      </w:pPr>
      <w:rPr>
        <w:rFonts w:hint="default"/>
      </w:rPr>
    </w:lvl>
    <w:lvl w:ilvl="6">
      <w:start w:val="0"/>
      <w:numFmt w:val="bullet"/>
      <w:lvlText w:val="•"/>
      <w:lvlJc w:val="left"/>
      <w:pPr>
        <w:ind w:left="5671" w:hanging="840"/>
      </w:pPr>
      <w:rPr>
        <w:rFonts w:hint="default"/>
      </w:rPr>
    </w:lvl>
    <w:lvl w:ilvl="7">
      <w:start w:val="0"/>
      <w:numFmt w:val="bullet"/>
      <w:lvlText w:val="•"/>
      <w:lvlJc w:val="left"/>
      <w:pPr>
        <w:ind w:left="6460" w:hanging="840"/>
      </w:pPr>
      <w:rPr>
        <w:rFonts w:hint="default"/>
      </w:rPr>
    </w:lvl>
    <w:lvl w:ilvl="8">
      <w:start w:val="0"/>
      <w:numFmt w:val="bullet"/>
      <w:lvlText w:val="•"/>
      <w:lvlJc w:val="left"/>
      <w:pPr>
        <w:ind w:left="7248" w:hanging="840"/>
      </w:pPr>
      <w:rPr>
        <w:rFonts w:hint="default"/>
      </w:rPr>
    </w:lvl>
  </w:abstractNum>
  <w:abstractNum w:abstractNumId="10">
    <w:multiLevelType w:val="hybridMultilevel"/>
    <w:lvl w:ilvl="0">
      <w:start w:val="1"/>
      <w:numFmt w:val="decimal"/>
      <w:lvlText w:val="(%1)"/>
      <w:lvlJc w:val="left"/>
      <w:pPr>
        <w:ind w:left="935" w:hanging="420"/>
        <w:jc w:val="left"/>
      </w:pPr>
      <w:rPr>
        <w:rFonts w:hint="default" w:ascii="Times New Roman" w:hAnsi="Times New Roman" w:eastAsia="Times New Roman" w:cs="Times New Roman"/>
        <w:w w:val="99"/>
        <w:sz w:val="21"/>
        <w:szCs w:val="21"/>
      </w:rPr>
    </w:lvl>
    <w:lvl w:ilvl="1">
      <w:start w:val="0"/>
      <w:numFmt w:val="bullet"/>
      <w:lvlText w:val="•"/>
      <w:lvlJc w:val="left"/>
      <w:pPr>
        <w:ind w:left="1716" w:hanging="420"/>
      </w:pPr>
      <w:rPr>
        <w:rFonts w:hint="default"/>
      </w:rPr>
    </w:lvl>
    <w:lvl w:ilvl="2">
      <w:start w:val="0"/>
      <w:numFmt w:val="bullet"/>
      <w:lvlText w:val="•"/>
      <w:lvlJc w:val="left"/>
      <w:pPr>
        <w:ind w:left="2493" w:hanging="420"/>
      </w:pPr>
      <w:rPr>
        <w:rFonts w:hint="default"/>
      </w:rPr>
    </w:lvl>
    <w:lvl w:ilvl="3">
      <w:start w:val="0"/>
      <w:numFmt w:val="bullet"/>
      <w:lvlText w:val="•"/>
      <w:lvlJc w:val="left"/>
      <w:pPr>
        <w:ind w:left="3269" w:hanging="420"/>
      </w:pPr>
      <w:rPr>
        <w:rFonts w:hint="default"/>
      </w:rPr>
    </w:lvl>
    <w:lvl w:ilvl="4">
      <w:start w:val="0"/>
      <w:numFmt w:val="bullet"/>
      <w:lvlText w:val="•"/>
      <w:lvlJc w:val="left"/>
      <w:pPr>
        <w:ind w:left="4046" w:hanging="420"/>
      </w:pPr>
      <w:rPr>
        <w:rFonts w:hint="default"/>
      </w:rPr>
    </w:lvl>
    <w:lvl w:ilvl="5">
      <w:start w:val="0"/>
      <w:numFmt w:val="bullet"/>
      <w:lvlText w:val="•"/>
      <w:lvlJc w:val="left"/>
      <w:pPr>
        <w:ind w:left="4823" w:hanging="420"/>
      </w:pPr>
      <w:rPr>
        <w:rFonts w:hint="default"/>
      </w:rPr>
    </w:lvl>
    <w:lvl w:ilvl="6">
      <w:start w:val="0"/>
      <w:numFmt w:val="bullet"/>
      <w:lvlText w:val="•"/>
      <w:lvlJc w:val="left"/>
      <w:pPr>
        <w:ind w:left="5599" w:hanging="420"/>
      </w:pPr>
      <w:rPr>
        <w:rFonts w:hint="default"/>
      </w:rPr>
    </w:lvl>
    <w:lvl w:ilvl="7">
      <w:start w:val="0"/>
      <w:numFmt w:val="bullet"/>
      <w:lvlText w:val="•"/>
      <w:lvlJc w:val="left"/>
      <w:pPr>
        <w:ind w:left="6376" w:hanging="420"/>
      </w:pPr>
      <w:rPr>
        <w:rFonts w:hint="default"/>
      </w:rPr>
    </w:lvl>
    <w:lvl w:ilvl="8">
      <w:start w:val="0"/>
      <w:numFmt w:val="bullet"/>
      <w:lvlText w:val="•"/>
      <w:lvlJc w:val="left"/>
      <w:pPr>
        <w:ind w:left="7152" w:hanging="420"/>
      </w:pPr>
      <w:rPr>
        <w:rFonts w:hint="default"/>
      </w:rPr>
    </w:lvl>
  </w:abstractNum>
  <w:abstractNum w:abstractNumId="9">
    <w:multiLevelType w:val="hybridMultilevel"/>
    <w:lvl w:ilvl="0">
      <w:start w:val="1"/>
      <w:numFmt w:val="decimal"/>
      <w:lvlText w:val="%1."/>
      <w:lvlJc w:val="left"/>
      <w:pPr>
        <w:ind w:left="941" w:hanging="420"/>
        <w:jc w:val="left"/>
      </w:pPr>
      <w:rPr>
        <w:rFonts w:hint="default" w:ascii="宋体" w:hAnsi="宋体" w:eastAsia="宋体" w:cs="宋体"/>
        <w:spacing w:val="0"/>
        <w:w w:val="99"/>
        <w:sz w:val="21"/>
        <w:szCs w:val="21"/>
      </w:rPr>
    </w:lvl>
    <w:lvl w:ilvl="1">
      <w:start w:val="0"/>
      <w:numFmt w:val="bullet"/>
      <w:lvlText w:val="•"/>
      <w:lvlJc w:val="left"/>
      <w:pPr>
        <w:ind w:left="1716" w:hanging="420"/>
      </w:pPr>
      <w:rPr>
        <w:rFonts w:hint="default"/>
      </w:rPr>
    </w:lvl>
    <w:lvl w:ilvl="2">
      <w:start w:val="0"/>
      <w:numFmt w:val="bullet"/>
      <w:lvlText w:val="•"/>
      <w:lvlJc w:val="left"/>
      <w:pPr>
        <w:ind w:left="2493" w:hanging="420"/>
      </w:pPr>
      <w:rPr>
        <w:rFonts w:hint="default"/>
      </w:rPr>
    </w:lvl>
    <w:lvl w:ilvl="3">
      <w:start w:val="0"/>
      <w:numFmt w:val="bullet"/>
      <w:lvlText w:val="•"/>
      <w:lvlJc w:val="left"/>
      <w:pPr>
        <w:ind w:left="3269" w:hanging="420"/>
      </w:pPr>
      <w:rPr>
        <w:rFonts w:hint="default"/>
      </w:rPr>
    </w:lvl>
    <w:lvl w:ilvl="4">
      <w:start w:val="0"/>
      <w:numFmt w:val="bullet"/>
      <w:lvlText w:val="•"/>
      <w:lvlJc w:val="left"/>
      <w:pPr>
        <w:ind w:left="4046" w:hanging="420"/>
      </w:pPr>
      <w:rPr>
        <w:rFonts w:hint="default"/>
      </w:rPr>
    </w:lvl>
    <w:lvl w:ilvl="5">
      <w:start w:val="0"/>
      <w:numFmt w:val="bullet"/>
      <w:lvlText w:val="•"/>
      <w:lvlJc w:val="left"/>
      <w:pPr>
        <w:ind w:left="4823" w:hanging="420"/>
      </w:pPr>
      <w:rPr>
        <w:rFonts w:hint="default"/>
      </w:rPr>
    </w:lvl>
    <w:lvl w:ilvl="6">
      <w:start w:val="0"/>
      <w:numFmt w:val="bullet"/>
      <w:lvlText w:val="•"/>
      <w:lvlJc w:val="left"/>
      <w:pPr>
        <w:ind w:left="5599" w:hanging="420"/>
      </w:pPr>
      <w:rPr>
        <w:rFonts w:hint="default"/>
      </w:rPr>
    </w:lvl>
    <w:lvl w:ilvl="7">
      <w:start w:val="0"/>
      <w:numFmt w:val="bullet"/>
      <w:lvlText w:val="•"/>
      <w:lvlJc w:val="left"/>
      <w:pPr>
        <w:ind w:left="6376" w:hanging="420"/>
      </w:pPr>
      <w:rPr>
        <w:rFonts w:hint="default"/>
      </w:rPr>
    </w:lvl>
    <w:lvl w:ilvl="8">
      <w:start w:val="0"/>
      <w:numFmt w:val="bullet"/>
      <w:lvlText w:val="•"/>
      <w:lvlJc w:val="left"/>
      <w:pPr>
        <w:ind w:left="7152" w:hanging="420"/>
      </w:pPr>
      <w:rPr>
        <w:rFonts w:hint="default"/>
      </w:rPr>
    </w:lvl>
  </w:abstractNum>
  <w:abstractNum w:abstractNumId="8">
    <w:multiLevelType w:val="hybridMultilevel"/>
    <w:lvl w:ilvl="0">
      <w:start w:val="1"/>
      <w:numFmt w:val="decimal"/>
      <w:lvlText w:val="%1."/>
      <w:lvlJc w:val="left"/>
      <w:pPr>
        <w:ind w:left="941" w:hanging="420"/>
        <w:jc w:val="left"/>
      </w:pPr>
      <w:rPr>
        <w:rFonts w:hint="default" w:ascii="宋体" w:hAnsi="宋体" w:eastAsia="宋体" w:cs="宋体"/>
        <w:spacing w:val="0"/>
        <w:w w:val="99"/>
        <w:sz w:val="21"/>
        <w:szCs w:val="21"/>
      </w:rPr>
    </w:lvl>
    <w:lvl w:ilvl="1">
      <w:start w:val="0"/>
      <w:numFmt w:val="bullet"/>
      <w:lvlText w:val="•"/>
      <w:lvlJc w:val="left"/>
      <w:pPr>
        <w:ind w:left="1716" w:hanging="420"/>
      </w:pPr>
      <w:rPr>
        <w:rFonts w:hint="default"/>
      </w:rPr>
    </w:lvl>
    <w:lvl w:ilvl="2">
      <w:start w:val="0"/>
      <w:numFmt w:val="bullet"/>
      <w:lvlText w:val="•"/>
      <w:lvlJc w:val="left"/>
      <w:pPr>
        <w:ind w:left="2493" w:hanging="420"/>
      </w:pPr>
      <w:rPr>
        <w:rFonts w:hint="default"/>
      </w:rPr>
    </w:lvl>
    <w:lvl w:ilvl="3">
      <w:start w:val="0"/>
      <w:numFmt w:val="bullet"/>
      <w:lvlText w:val="•"/>
      <w:lvlJc w:val="left"/>
      <w:pPr>
        <w:ind w:left="3269" w:hanging="420"/>
      </w:pPr>
      <w:rPr>
        <w:rFonts w:hint="default"/>
      </w:rPr>
    </w:lvl>
    <w:lvl w:ilvl="4">
      <w:start w:val="0"/>
      <w:numFmt w:val="bullet"/>
      <w:lvlText w:val="•"/>
      <w:lvlJc w:val="left"/>
      <w:pPr>
        <w:ind w:left="4046" w:hanging="420"/>
      </w:pPr>
      <w:rPr>
        <w:rFonts w:hint="default"/>
      </w:rPr>
    </w:lvl>
    <w:lvl w:ilvl="5">
      <w:start w:val="0"/>
      <w:numFmt w:val="bullet"/>
      <w:lvlText w:val="•"/>
      <w:lvlJc w:val="left"/>
      <w:pPr>
        <w:ind w:left="4823" w:hanging="420"/>
      </w:pPr>
      <w:rPr>
        <w:rFonts w:hint="default"/>
      </w:rPr>
    </w:lvl>
    <w:lvl w:ilvl="6">
      <w:start w:val="0"/>
      <w:numFmt w:val="bullet"/>
      <w:lvlText w:val="•"/>
      <w:lvlJc w:val="left"/>
      <w:pPr>
        <w:ind w:left="5599" w:hanging="420"/>
      </w:pPr>
      <w:rPr>
        <w:rFonts w:hint="default"/>
      </w:rPr>
    </w:lvl>
    <w:lvl w:ilvl="7">
      <w:start w:val="0"/>
      <w:numFmt w:val="bullet"/>
      <w:lvlText w:val="•"/>
      <w:lvlJc w:val="left"/>
      <w:pPr>
        <w:ind w:left="6376" w:hanging="420"/>
      </w:pPr>
      <w:rPr>
        <w:rFonts w:hint="default"/>
      </w:rPr>
    </w:lvl>
    <w:lvl w:ilvl="8">
      <w:start w:val="0"/>
      <w:numFmt w:val="bullet"/>
      <w:lvlText w:val="•"/>
      <w:lvlJc w:val="left"/>
      <w:pPr>
        <w:ind w:left="7152" w:hanging="420"/>
      </w:pPr>
      <w:rPr>
        <w:rFonts w:hint="default"/>
      </w:rPr>
    </w:lvl>
  </w:abstractNum>
  <w:abstractNum w:abstractNumId="7">
    <w:multiLevelType w:val="hybridMultilevel"/>
    <w:lvl w:ilvl="0">
      <w:start w:val="6"/>
      <w:numFmt w:val="decimal"/>
      <w:lvlText w:val="%1"/>
      <w:lvlJc w:val="left"/>
      <w:pPr>
        <w:ind w:left="668" w:hanging="567"/>
        <w:jc w:val="left"/>
      </w:pPr>
      <w:rPr>
        <w:rFonts w:hint="default"/>
      </w:rPr>
    </w:lvl>
    <w:lvl w:ilvl="1">
      <w:start w:val="3"/>
      <w:numFmt w:val="decimal"/>
      <w:lvlText w:val="%1.%2"/>
      <w:lvlJc w:val="left"/>
      <w:pPr>
        <w:ind w:left="668" w:hanging="567"/>
        <w:jc w:val="left"/>
      </w:pPr>
      <w:rPr>
        <w:rFonts w:hint="default" w:ascii="Microsoft JhengHei" w:hAnsi="Microsoft JhengHei" w:eastAsia="Microsoft JhengHei" w:cs="Microsoft JhengHei"/>
        <w:b/>
        <w:bCs/>
        <w:spacing w:val="0"/>
        <w:w w:val="83"/>
        <w:sz w:val="21"/>
        <w:szCs w:val="21"/>
      </w:rPr>
    </w:lvl>
    <w:lvl w:ilvl="2">
      <w:start w:val="0"/>
      <w:numFmt w:val="bullet"/>
      <w:lvlText w:val="•"/>
      <w:lvlJc w:val="left"/>
      <w:pPr>
        <w:ind w:left="2293" w:hanging="567"/>
      </w:pPr>
      <w:rPr>
        <w:rFonts w:hint="default"/>
      </w:rPr>
    </w:lvl>
    <w:lvl w:ilvl="3">
      <w:start w:val="0"/>
      <w:numFmt w:val="bullet"/>
      <w:lvlText w:val="•"/>
      <w:lvlJc w:val="left"/>
      <w:pPr>
        <w:ind w:left="3109" w:hanging="567"/>
      </w:pPr>
      <w:rPr>
        <w:rFonts w:hint="default"/>
      </w:rPr>
    </w:lvl>
    <w:lvl w:ilvl="4">
      <w:start w:val="0"/>
      <w:numFmt w:val="bullet"/>
      <w:lvlText w:val="•"/>
      <w:lvlJc w:val="left"/>
      <w:pPr>
        <w:ind w:left="3926" w:hanging="567"/>
      </w:pPr>
      <w:rPr>
        <w:rFonts w:hint="default"/>
      </w:rPr>
    </w:lvl>
    <w:lvl w:ilvl="5">
      <w:start w:val="0"/>
      <w:numFmt w:val="bullet"/>
      <w:lvlText w:val="•"/>
      <w:lvlJc w:val="left"/>
      <w:pPr>
        <w:ind w:left="4743" w:hanging="567"/>
      </w:pPr>
      <w:rPr>
        <w:rFonts w:hint="default"/>
      </w:rPr>
    </w:lvl>
    <w:lvl w:ilvl="6">
      <w:start w:val="0"/>
      <w:numFmt w:val="bullet"/>
      <w:lvlText w:val="•"/>
      <w:lvlJc w:val="left"/>
      <w:pPr>
        <w:ind w:left="5559" w:hanging="567"/>
      </w:pPr>
      <w:rPr>
        <w:rFonts w:hint="default"/>
      </w:rPr>
    </w:lvl>
    <w:lvl w:ilvl="7">
      <w:start w:val="0"/>
      <w:numFmt w:val="bullet"/>
      <w:lvlText w:val="•"/>
      <w:lvlJc w:val="left"/>
      <w:pPr>
        <w:ind w:left="6376" w:hanging="567"/>
      </w:pPr>
      <w:rPr>
        <w:rFonts w:hint="default"/>
      </w:rPr>
    </w:lvl>
    <w:lvl w:ilvl="8">
      <w:start w:val="0"/>
      <w:numFmt w:val="bullet"/>
      <w:lvlText w:val="•"/>
      <w:lvlJc w:val="left"/>
      <w:pPr>
        <w:ind w:left="7192" w:hanging="567"/>
      </w:pPr>
      <w:rPr>
        <w:rFonts w:hint="default"/>
      </w:rPr>
    </w:lvl>
  </w:abstractNum>
  <w:abstractNum w:abstractNumId="6">
    <w:multiLevelType w:val="hybridMultilevel"/>
    <w:lvl w:ilvl="0">
      <w:start w:val="6"/>
      <w:numFmt w:val="decimal"/>
      <w:lvlText w:val="%1"/>
      <w:lvlJc w:val="left"/>
      <w:pPr>
        <w:ind w:left="668" w:hanging="567"/>
        <w:jc w:val="left"/>
      </w:pPr>
      <w:rPr>
        <w:rFonts w:hint="default"/>
      </w:rPr>
    </w:lvl>
    <w:lvl w:ilvl="1">
      <w:start w:val="2"/>
      <w:numFmt w:val="decimal"/>
      <w:lvlText w:val="%1.%2"/>
      <w:lvlJc w:val="left"/>
      <w:pPr>
        <w:ind w:left="668" w:hanging="567"/>
        <w:jc w:val="left"/>
      </w:pPr>
      <w:rPr>
        <w:rFonts w:hint="default" w:ascii="Microsoft JhengHei" w:hAnsi="Microsoft JhengHei" w:eastAsia="Microsoft JhengHei" w:cs="Microsoft JhengHei"/>
        <w:b/>
        <w:bCs/>
        <w:spacing w:val="0"/>
        <w:w w:val="83"/>
        <w:sz w:val="21"/>
        <w:szCs w:val="21"/>
      </w:rPr>
    </w:lvl>
    <w:lvl w:ilvl="2">
      <w:start w:val="1"/>
      <w:numFmt w:val="decimal"/>
      <w:lvlText w:val="%1.%2.%3"/>
      <w:lvlJc w:val="left"/>
      <w:pPr>
        <w:ind w:left="821" w:hanging="720"/>
        <w:jc w:val="left"/>
      </w:pPr>
      <w:rPr>
        <w:rFonts w:hint="default" w:ascii="Microsoft JhengHei" w:hAnsi="Microsoft JhengHei" w:eastAsia="Microsoft JhengHei" w:cs="Microsoft JhengHei"/>
        <w:b/>
        <w:bCs/>
        <w:spacing w:val="0"/>
        <w:w w:val="83"/>
        <w:sz w:val="21"/>
        <w:szCs w:val="21"/>
      </w:rPr>
    </w:lvl>
    <w:lvl w:ilvl="3">
      <w:start w:val="1"/>
      <w:numFmt w:val="decimal"/>
      <w:lvlText w:val="%4."/>
      <w:lvlJc w:val="left"/>
      <w:pPr>
        <w:ind w:left="941" w:hanging="420"/>
        <w:jc w:val="left"/>
      </w:pPr>
      <w:rPr>
        <w:rFonts w:hint="default"/>
        <w:b/>
        <w:bCs/>
        <w:spacing w:val="0"/>
        <w:w w:val="83"/>
      </w:rPr>
    </w:lvl>
    <w:lvl w:ilvl="4">
      <w:start w:val="0"/>
      <w:numFmt w:val="bullet"/>
      <w:lvlText w:val="•"/>
      <w:lvlJc w:val="left"/>
      <w:pPr>
        <w:ind w:left="2881" w:hanging="420"/>
      </w:pPr>
      <w:rPr>
        <w:rFonts w:hint="default"/>
      </w:rPr>
    </w:lvl>
    <w:lvl w:ilvl="5">
      <w:start w:val="0"/>
      <w:numFmt w:val="bullet"/>
      <w:lvlText w:val="•"/>
      <w:lvlJc w:val="left"/>
      <w:pPr>
        <w:ind w:left="3852" w:hanging="420"/>
      </w:pPr>
      <w:rPr>
        <w:rFonts w:hint="default"/>
      </w:rPr>
    </w:lvl>
    <w:lvl w:ilvl="6">
      <w:start w:val="0"/>
      <w:numFmt w:val="bullet"/>
      <w:lvlText w:val="•"/>
      <w:lvlJc w:val="left"/>
      <w:pPr>
        <w:ind w:left="4823" w:hanging="420"/>
      </w:pPr>
      <w:rPr>
        <w:rFonts w:hint="default"/>
      </w:rPr>
    </w:lvl>
    <w:lvl w:ilvl="7">
      <w:start w:val="0"/>
      <w:numFmt w:val="bullet"/>
      <w:lvlText w:val="•"/>
      <w:lvlJc w:val="left"/>
      <w:pPr>
        <w:ind w:left="5793" w:hanging="420"/>
      </w:pPr>
      <w:rPr>
        <w:rFonts w:hint="default"/>
      </w:rPr>
    </w:lvl>
    <w:lvl w:ilvl="8">
      <w:start w:val="0"/>
      <w:numFmt w:val="bullet"/>
      <w:lvlText w:val="•"/>
      <w:lvlJc w:val="left"/>
      <w:pPr>
        <w:ind w:left="6764" w:hanging="420"/>
      </w:pPr>
      <w:rPr>
        <w:rFonts w:hint="default"/>
      </w:rPr>
    </w:lvl>
  </w:abstractNum>
  <w:abstractNum w:abstractNumId="5">
    <w:multiLevelType w:val="hybridMultilevel"/>
    <w:lvl w:ilvl="0">
      <w:start w:val="5"/>
      <w:numFmt w:val="decimal"/>
      <w:lvlText w:val="%1."/>
      <w:lvlJc w:val="left"/>
      <w:pPr>
        <w:ind w:left="668" w:hanging="567"/>
        <w:jc w:val="left"/>
      </w:pPr>
      <w:rPr>
        <w:rFonts w:hint="default" w:ascii="Microsoft JhengHei" w:hAnsi="Microsoft JhengHei" w:eastAsia="Microsoft JhengHei" w:cs="Microsoft JhengHei"/>
        <w:b/>
        <w:bCs/>
        <w:spacing w:val="0"/>
        <w:w w:val="83"/>
        <w:sz w:val="21"/>
        <w:szCs w:val="21"/>
      </w:rPr>
    </w:lvl>
    <w:lvl w:ilvl="1">
      <w:start w:val="1"/>
      <w:numFmt w:val="decimal"/>
      <w:lvlText w:val="%1.%2"/>
      <w:lvlJc w:val="left"/>
      <w:pPr>
        <w:ind w:left="668" w:hanging="567"/>
        <w:jc w:val="left"/>
      </w:pPr>
      <w:rPr>
        <w:rFonts w:hint="default" w:ascii="Microsoft JhengHei" w:hAnsi="Microsoft JhengHei" w:eastAsia="Microsoft JhengHei" w:cs="Microsoft JhengHei"/>
        <w:b/>
        <w:bCs/>
        <w:spacing w:val="0"/>
        <w:w w:val="83"/>
        <w:sz w:val="21"/>
        <w:szCs w:val="21"/>
      </w:rPr>
    </w:lvl>
    <w:lvl w:ilvl="2">
      <w:start w:val="1"/>
      <w:numFmt w:val="decimal"/>
      <w:lvlText w:val="%1.%2.%3"/>
      <w:lvlJc w:val="left"/>
      <w:pPr>
        <w:ind w:left="821" w:hanging="720"/>
        <w:jc w:val="left"/>
      </w:pPr>
      <w:rPr>
        <w:rFonts w:hint="default" w:ascii="Microsoft JhengHei" w:hAnsi="Microsoft JhengHei" w:eastAsia="Microsoft JhengHei" w:cs="Microsoft JhengHei"/>
        <w:b/>
        <w:bCs/>
        <w:spacing w:val="0"/>
        <w:w w:val="83"/>
        <w:sz w:val="21"/>
        <w:szCs w:val="21"/>
      </w:rPr>
    </w:lvl>
    <w:lvl w:ilvl="3">
      <w:start w:val="1"/>
      <w:numFmt w:val="decimal"/>
      <w:lvlText w:val="%4."/>
      <w:lvlJc w:val="left"/>
      <w:pPr>
        <w:ind w:left="941" w:hanging="420"/>
        <w:jc w:val="left"/>
      </w:pPr>
      <w:rPr>
        <w:rFonts w:hint="default" w:ascii="宋体" w:hAnsi="宋体" w:eastAsia="宋体" w:cs="宋体"/>
        <w:spacing w:val="0"/>
        <w:w w:val="99"/>
        <w:sz w:val="21"/>
        <w:szCs w:val="21"/>
      </w:rPr>
    </w:lvl>
    <w:lvl w:ilvl="4">
      <w:start w:val="0"/>
      <w:numFmt w:val="bullet"/>
      <w:lvlText w:val="•"/>
      <w:lvlJc w:val="left"/>
      <w:pPr>
        <w:ind w:left="820" w:hanging="420"/>
      </w:pPr>
      <w:rPr>
        <w:rFonts w:hint="default"/>
      </w:rPr>
    </w:lvl>
    <w:lvl w:ilvl="5">
      <w:start w:val="0"/>
      <w:numFmt w:val="bullet"/>
      <w:lvlText w:val="•"/>
      <w:lvlJc w:val="left"/>
      <w:pPr>
        <w:ind w:left="940" w:hanging="420"/>
      </w:pPr>
      <w:rPr>
        <w:rFonts w:hint="default"/>
      </w:rPr>
    </w:lvl>
    <w:lvl w:ilvl="6">
      <w:start w:val="0"/>
      <w:numFmt w:val="bullet"/>
      <w:lvlText w:val="•"/>
      <w:lvlJc w:val="left"/>
      <w:pPr>
        <w:ind w:left="2493" w:hanging="420"/>
      </w:pPr>
      <w:rPr>
        <w:rFonts w:hint="default"/>
      </w:rPr>
    </w:lvl>
    <w:lvl w:ilvl="7">
      <w:start w:val="0"/>
      <w:numFmt w:val="bullet"/>
      <w:lvlText w:val="•"/>
      <w:lvlJc w:val="left"/>
      <w:pPr>
        <w:ind w:left="4046" w:hanging="420"/>
      </w:pPr>
      <w:rPr>
        <w:rFonts w:hint="default"/>
      </w:rPr>
    </w:lvl>
    <w:lvl w:ilvl="8">
      <w:start w:val="0"/>
      <w:numFmt w:val="bullet"/>
      <w:lvlText w:val="•"/>
      <w:lvlJc w:val="left"/>
      <w:pPr>
        <w:ind w:left="5599" w:hanging="420"/>
      </w:pPr>
      <w:rPr>
        <w:rFonts w:hint="default"/>
      </w:rPr>
    </w:lvl>
  </w:abstractNum>
  <w:abstractNum w:abstractNumId="4">
    <w:multiLevelType w:val="hybridMultilevel"/>
    <w:lvl w:ilvl="0">
      <w:start w:val="1"/>
      <w:numFmt w:val="decimal"/>
      <w:lvlText w:val="%1."/>
      <w:lvlJc w:val="left"/>
      <w:pPr>
        <w:ind w:left="541" w:hanging="420"/>
        <w:jc w:val="left"/>
      </w:pPr>
      <w:rPr>
        <w:rFonts w:hint="default"/>
        <w:b/>
        <w:bCs/>
        <w:spacing w:val="0"/>
        <w:w w:val="83"/>
      </w:rPr>
    </w:lvl>
    <w:lvl w:ilvl="1">
      <w:start w:val="0"/>
      <w:numFmt w:val="bullet"/>
      <w:lvlText w:val="•"/>
      <w:lvlJc w:val="left"/>
      <w:pPr>
        <w:ind w:left="1364" w:hanging="420"/>
      </w:pPr>
      <w:rPr>
        <w:rFonts w:hint="default"/>
      </w:rPr>
    </w:lvl>
    <w:lvl w:ilvl="2">
      <w:start w:val="0"/>
      <w:numFmt w:val="bullet"/>
      <w:lvlText w:val="•"/>
      <w:lvlJc w:val="left"/>
      <w:pPr>
        <w:ind w:left="2189" w:hanging="420"/>
      </w:pPr>
      <w:rPr>
        <w:rFonts w:hint="default"/>
      </w:rPr>
    </w:lvl>
    <w:lvl w:ilvl="3">
      <w:start w:val="0"/>
      <w:numFmt w:val="bullet"/>
      <w:lvlText w:val="•"/>
      <w:lvlJc w:val="left"/>
      <w:pPr>
        <w:ind w:left="3013" w:hanging="420"/>
      </w:pPr>
      <w:rPr>
        <w:rFonts w:hint="default"/>
      </w:rPr>
    </w:lvl>
    <w:lvl w:ilvl="4">
      <w:start w:val="0"/>
      <w:numFmt w:val="bullet"/>
      <w:lvlText w:val="•"/>
      <w:lvlJc w:val="left"/>
      <w:pPr>
        <w:ind w:left="3838" w:hanging="420"/>
      </w:pPr>
      <w:rPr>
        <w:rFonts w:hint="default"/>
      </w:rPr>
    </w:lvl>
    <w:lvl w:ilvl="5">
      <w:start w:val="0"/>
      <w:numFmt w:val="bullet"/>
      <w:lvlText w:val="•"/>
      <w:lvlJc w:val="left"/>
      <w:pPr>
        <w:ind w:left="4663" w:hanging="420"/>
      </w:pPr>
      <w:rPr>
        <w:rFonts w:hint="default"/>
      </w:rPr>
    </w:lvl>
    <w:lvl w:ilvl="6">
      <w:start w:val="0"/>
      <w:numFmt w:val="bullet"/>
      <w:lvlText w:val="•"/>
      <w:lvlJc w:val="left"/>
      <w:pPr>
        <w:ind w:left="5487" w:hanging="420"/>
      </w:pPr>
      <w:rPr>
        <w:rFonts w:hint="default"/>
      </w:rPr>
    </w:lvl>
    <w:lvl w:ilvl="7">
      <w:start w:val="0"/>
      <w:numFmt w:val="bullet"/>
      <w:lvlText w:val="•"/>
      <w:lvlJc w:val="left"/>
      <w:pPr>
        <w:ind w:left="6312" w:hanging="420"/>
      </w:pPr>
      <w:rPr>
        <w:rFonts w:hint="default"/>
      </w:rPr>
    </w:lvl>
    <w:lvl w:ilvl="8">
      <w:start w:val="0"/>
      <w:numFmt w:val="bullet"/>
      <w:lvlText w:val="•"/>
      <w:lvlJc w:val="left"/>
      <w:pPr>
        <w:ind w:left="7136" w:hanging="420"/>
      </w:pPr>
      <w:rPr>
        <w:rFonts w:hint="default"/>
      </w:rPr>
    </w:lvl>
  </w:abstractNum>
  <w:abstractNum w:abstractNumId="3">
    <w:multiLevelType w:val="hybridMultilevel"/>
    <w:lvl w:ilvl="0">
      <w:start w:val="1"/>
      <w:numFmt w:val="decimal"/>
      <w:lvlText w:val="%1."/>
      <w:lvlJc w:val="left"/>
      <w:pPr>
        <w:ind w:left="668" w:hanging="567"/>
        <w:jc w:val="left"/>
      </w:pPr>
      <w:rPr>
        <w:rFonts w:hint="default" w:ascii="Microsoft JhengHei" w:hAnsi="Microsoft JhengHei" w:eastAsia="Microsoft JhengHei" w:cs="Microsoft JhengHei"/>
        <w:b/>
        <w:bCs/>
        <w:spacing w:val="0"/>
        <w:w w:val="83"/>
        <w:sz w:val="21"/>
        <w:szCs w:val="21"/>
      </w:rPr>
    </w:lvl>
    <w:lvl w:ilvl="1">
      <w:start w:val="1"/>
      <w:numFmt w:val="decimal"/>
      <w:lvlText w:val="%1.%2"/>
      <w:lvlJc w:val="left"/>
      <w:pPr>
        <w:ind w:left="670" w:hanging="569"/>
        <w:jc w:val="left"/>
      </w:pPr>
      <w:rPr>
        <w:rFonts w:hint="default" w:ascii="Microsoft JhengHei" w:hAnsi="Microsoft JhengHei" w:eastAsia="Microsoft JhengHei" w:cs="Microsoft JhengHei"/>
        <w:b/>
        <w:bCs/>
        <w:spacing w:val="0"/>
        <w:w w:val="83"/>
        <w:sz w:val="21"/>
        <w:szCs w:val="21"/>
      </w:rPr>
    </w:lvl>
    <w:lvl w:ilvl="2">
      <w:start w:val="1"/>
      <w:numFmt w:val="decimal"/>
      <w:lvlText w:val="%1.%2.%3"/>
      <w:lvlJc w:val="left"/>
      <w:pPr>
        <w:ind w:left="631" w:hanging="531"/>
        <w:jc w:val="left"/>
      </w:pPr>
      <w:rPr>
        <w:rFonts w:hint="default" w:ascii="Microsoft JhengHei" w:hAnsi="Microsoft JhengHei" w:eastAsia="Microsoft JhengHei" w:cs="Microsoft JhengHei"/>
        <w:b/>
        <w:bCs/>
        <w:spacing w:val="-2"/>
        <w:w w:val="83"/>
        <w:sz w:val="19"/>
        <w:szCs w:val="19"/>
      </w:rPr>
    </w:lvl>
    <w:lvl w:ilvl="3">
      <w:start w:val="0"/>
      <w:numFmt w:val="bullet"/>
      <w:lvlText w:val="•"/>
      <w:lvlJc w:val="left"/>
      <w:pPr>
        <w:ind w:left="1688" w:hanging="531"/>
      </w:pPr>
      <w:rPr>
        <w:rFonts w:hint="default"/>
      </w:rPr>
    </w:lvl>
    <w:lvl w:ilvl="4">
      <w:start w:val="0"/>
      <w:numFmt w:val="bullet"/>
      <w:lvlText w:val="•"/>
      <w:lvlJc w:val="left"/>
      <w:pPr>
        <w:ind w:left="2696" w:hanging="531"/>
      </w:pPr>
      <w:rPr>
        <w:rFonts w:hint="default"/>
      </w:rPr>
    </w:lvl>
    <w:lvl w:ilvl="5">
      <w:start w:val="0"/>
      <w:numFmt w:val="bullet"/>
      <w:lvlText w:val="•"/>
      <w:lvlJc w:val="left"/>
      <w:pPr>
        <w:ind w:left="3704" w:hanging="531"/>
      </w:pPr>
      <w:rPr>
        <w:rFonts w:hint="default"/>
      </w:rPr>
    </w:lvl>
    <w:lvl w:ilvl="6">
      <w:start w:val="0"/>
      <w:numFmt w:val="bullet"/>
      <w:lvlText w:val="•"/>
      <w:lvlJc w:val="left"/>
      <w:pPr>
        <w:ind w:left="4713" w:hanging="531"/>
      </w:pPr>
      <w:rPr>
        <w:rFonts w:hint="default"/>
      </w:rPr>
    </w:lvl>
    <w:lvl w:ilvl="7">
      <w:start w:val="0"/>
      <w:numFmt w:val="bullet"/>
      <w:lvlText w:val="•"/>
      <w:lvlJc w:val="left"/>
      <w:pPr>
        <w:ind w:left="5721" w:hanging="531"/>
      </w:pPr>
      <w:rPr>
        <w:rFonts w:hint="default"/>
      </w:rPr>
    </w:lvl>
    <w:lvl w:ilvl="8">
      <w:start w:val="0"/>
      <w:numFmt w:val="bullet"/>
      <w:lvlText w:val="•"/>
      <w:lvlJc w:val="left"/>
      <w:pPr>
        <w:ind w:left="6729" w:hanging="531"/>
      </w:pPr>
      <w:rPr>
        <w:rFonts w:hint="default"/>
      </w:rPr>
    </w:lvl>
  </w:abstractNum>
  <w:abstractNum w:abstractNumId="2">
    <w:multiLevelType w:val="hybridMultilevel"/>
    <w:lvl w:ilvl="0">
      <w:start w:val="11"/>
      <w:numFmt w:val="decimal"/>
      <w:lvlText w:val="%1"/>
      <w:lvlJc w:val="left"/>
      <w:pPr>
        <w:ind w:left="1015" w:hanging="574"/>
        <w:jc w:val="left"/>
      </w:pPr>
      <w:rPr>
        <w:rFonts w:hint="default"/>
      </w:rPr>
    </w:lvl>
    <w:lvl w:ilvl="1">
      <w:start w:val="13"/>
      <w:numFmt w:val="decimal"/>
      <w:lvlText w:val="%1.%2"/>
      <w:lvlJc w:val="left"/>
      <w:pPr>
        <w:ind w:left="1015" w:hanging="574"/>
        <w:jc w:val="left"/>
      </w:pPr>
      <w:rPr>
        <w:rFonts w:hint="default" w:ascii="Calibri" w:hAnsi="Calibri" w:eastAsia="Calibri" w:cs="Calibri"/>
        <w:spacing w:val="-1"/>
        <w:w w:val="99"/>
        <w:sz w:val="21"/>
        <w:szCs w:val="21"/>
      </w:rPr>
    </w:lvl>
    <w:lvl w:ilvl="2">
      <w:start w:val="0"/>
      <w:numFmt w:val="bullet"/>
      <w:lvlText w:val="•"/>
      <w:lvlJc w:val="left"/>
      <w:pPr>
        <w:ind w:left="2541" w:hanging="574"/>
      </w:pPr>
      <w:rPr>
        <w:rFonts w:hint="default"/>
      </w:rPr>
    </w:lvl>
    <w:lvl w:ilvl="3">
      <w:start w:val="0"/>
      <w:numFmt w:val="bullet"/>
      <w:lvlText w:val="•"/>
      <w:lvlJc w:val="left"/>
      <w:pPr>
        <w:ind w:left="3301" w:hanging="574"/>
      </w:pPr>
      <w:rPr>
        <w:rFonts w:hint="default"/>
      </w:rPr>
    </w:lvl>
    <w:lvl w:ilvl="4">
      <w:start w:val="0"/>
      <w:numFmt w:val="bullet"/>
      <w:lvlText w:val="•"/>
      <w:lvlJc w:val="left"/>
      <w:pPr>
        <w:ind w:left="4062" w:hanging="574"/>
      </w:pPr>
      <w:rPr>
        <w:rFonts w:hint="default"/>
      </w:rPr>
    </w:lvl>
    <w:lvl w:ilvl="5">
      <w:start w:val="0"/>
      <w:numFmt w:val="bullet"/>
      <w:lvlText w:val="•"/>
      <w:lvlJc w:val="left"/>
      <w:pPr>
        <w:ind w:left="4823" w:hanging="574"/>
      </w:pPr>
      <w:rPr>
        <w:rFonts w:hint="default"/>
      </w:rPr>
    </w:lvl>
    <w:lvl w:ilvl="6">
      <w:start w:val="0"/>
      <w:numFmt w:val="bullet"/>
      <w:lvlText w:val="•"/>
      <w:lvlJc w:val="left"/>
      <w:pPr>
        <w:ind w:left="5583" w:hanging="574"/>
      </w:pPr>
      <w:rPr>
        <w:rFonts w:hint="default"/>
      </w:rPr>
    </w:lvl>
    <w:lvl w:ilvl="7">
      <w:start w:val="0"/>
      <w:numFmt w:val="bullet"/>
      <w:lvlText w:val="•"/>
      <w:lvlJc w:val="left"/>
      <w:pPr>
        <w:ind w:left="6344" w:hanging="574"/>
      </w:pPr>
      <w:rPr>
        <w:rFonts w:hint="default"/>
      </w:rPr>
    </w:lvl>
    <w:lvl w:ilvl="8">
      <w:start w:val="0"/>
      <w:numFmt w:val="bullet"/>
      <w:lvlText w:val="•"/>
      <w:lvlJc w:val="left"/>
      <w:pPr>
        <w:ind w:left="7104" w:hanging="574"/>
      </w:pPr>
      <w:rPr>
        <w:rFonts w:hint="default"/>
      </w:rPr>
    </w:lvl>
  </w:abstractNum>
  <w:abstractNum w:abstractNumId="1">
    <w:multiLevelType w:val="hybridMultilevel"/>
    <w:lvl w:ilvl="0">
      <w:start w:val="11"/>
      <w:numFmt w:val="decimal"/>
      <w:lvlText w:val="%1"/>
      <w:lvlJc w:val="left"/>
      <w:pPr>
        <w:ind w:left="1095" w:hanging="574"/>
        <w:jc w:val="left"/>
      </w:pPr>
      <w:rPr>
        <w:rFonts w:hint="default"/>
      </w:rPr>
    </w:lvl>
    <w:lvl w:ilvl="1">
      <w:start w:val="3"/>
      <w:numFmt w:val="decimal"/>
      <w:lvlText w:val="%1.%2"/>
      <w:lvlJc w:val="left"/>
      <w:pPr>
        <w:ind w:left="1095" w:hanging="574"/>
        <w:jc w:val="right"/>
      </w:pPr>
      <w:rPr>
        <w:rFonts w:hint="default" w:ascii="Calibri" w:hAnsi="Calibri" w:eastAsia="Calibri" w:cs="Calibri"/>
        <w:spacing w:val="-1"/>
        <w:w w:val="99"/>
        <w:sz w:val="21"/>
        <w:szCs w:val="21"/>
      </w:rPr>
    </w:lvl>
    <w:lvl w:ilvl="2">
      <w:start w:val="0"/>
      <w:numFmt w:val="bullet"/>
      <w:lvlText w:val="•"/>
      <w:lvlJc w:val="left"/>
      <w:pPr>
        <w:ind w:left="2629" w:hanging="574"/>
      </w:pPr>
      <w:rPr>
        <w:rFonts w:hint="default"/>
      </w:rPr>
    </w:lvl>
    <w:lvl w:ilvl="3">
      <w:start w:val="0"/>
      <w:numFmt w:val="bullet"/>
      <w:lvlText w:val="•"/>
      <w:lvlJc w:val="left"/>
      <w:pPr>
        <w:ind w:left="3393" w:hanging="574"/>
      </w:pPr>
      <w:rPr>
        <w:rFonts w:hint="default"/>
      </w:rPr>
    </w:lvl>
    <w:lvl w:ilvl="4">
      <w:start w:val="0"/>
      <w:numFmt w:val="bullet"/>
      <w:lvlText w:val="•"/>
      <w:lvlJc w:val="left"/>
      <w:pPr>
        <w:ind w:left="4158" w:hanging="574"/>
      </w:pPr>
      <w:rPr>
        <w:rFonts w:hint="default"/>
      </w:rPr>
    </w:lvl>
    <w:lvl w:ilvl="5">
      <w:start w:val="0"/>
      <w:numFmt w:val="bullet"/>
      <w:lvlText w:val="•"/>
      <w:lvlJc w:val="left"/>
      <w:pPr>
        <w:ind w:left="4923" w:hanging="574"/>
      </w:pPr>
      <w:rPr>
        <w:rFonts w:hint="default"/>
      </w:rPr>
    </w:lvl>
    <w:lvl w:ilvl="6">
      <w:start w:val="0"/>
      <w:numFmt w:val="bullet"/>
      <w:lvlText w:val="•"/>
      <w:lvlJc w:val="left"/>
      <w:pPr>
        <w:ind w:left="5687" w:hanging="574"/>
      </w:pPr>
      <w:rPr>
        <w:rFonts w:hint="default"/>
      </w:rPr>
    </w:lvl>
    <w:lvl w:ilvl="7">
      <w:start w:val="0"/>
      <w:numFmt w:val="bullet"/>
      <w:lvlText w:val="•"/>
      <w:lvlJc w:val="left"/>
      <w:pPr>
        <w:ind w:left="6452" w:hanging="574"/>
      </w:pPr>
      <w:rPr>
        <w:rFonts w:hint="default"/>
      </w:rPr>
    </w:lvl>
    <w:lvl w:ilvl="8">
      <w:start w:val="0"/>
      <w:numFmt w:val="bullet"/>
      <w:lvlText w:val="•"/>
      <w:lvlJc w:val="left"/>
      <w:pPr>
        <w:ind w:left="7216" w:hanging="574"/>
      </w:pPr>
      <w:rPr>
        <w:rFonts w:hint="default"/>
      </w:rPr>
    </w:lvl>
  </w:abstractNum>
  <w:abstractNum w:abstractNumId="0">
    <w:multiLevelType w:val="hybridMultilevel"/>
    <w:lvl w:ilvl="0">
      <w:start w:val="0"/>
      <w:numFmt w:val="bullet"/>
      <w:lvlText w:val="�"/>
      <w:lvlJc w:val="left"/>
      <w:pPr>
        <w:ind w:left="101" w:hanging="420"/>
      </w:pPr>
      <w:rPr>
        <w:rFonts w:hint="default" w:ascii="Microsoft Sans Serif" w:hAnsi="Microsoft Sans Serif" w:eastAsia="Microsoft Sans Serif" w:cs="Microsoft Sans Serif"/>
        <w:w w:val="129"/>
        <w:sz w:val="21"/>
        <w:szCs w:val="21"/>
      </w:rPr>
    </w:lvl>
    <w:lvl w:ilvl="1">
      <w:start w:val="1"/>
      <w:numFmt w:val="decimal"/>
      <w:lvlText w:val="%2."/>
      <w:lvlJc w:val="left"/>
      <w:pPr>
        <w:ind w:left="1095" w:hanging="574"/>
        <w:jc w:val="left"/>
      </w:pPr>
      <w:rPr>
        <w:rFonts w:hint="default" w:ascii="Calibri" w:hAnsi="Calibri" w:eastAsia="Calibri" w:cs="Calibri"/>
        <w:spacing w:val="-1"/>
        <w:w w:val="99"/>
        <w:sz w:val="21"/>
        <w:szCs w:val="21"/>
      </w:rPr>
    </w:lvl>
    <w:lvl w:ilvl="2">
      <w:start w:val="1"/>
      <w:numFmt w:val="decimal"/>
      <w:lvlText w:val="%2.%3"/>
      <w:lvlJc w:val="left"/>
      <w:pPr>
        <w:ind w:left="1095" w:hanging="574"/>
        <w:jc w:val="left"/>
      </w:pPr>
      <w:rPr>
        <w:rFonts w:hint="default" w:ascii="Calibri" w:hAnsi="Calibri" w:eastAsia="Calibri" w:cs="Calibri"/>
        <w:spacing w:val="-1"/>
        <w:w w:val="99"/>
        <w:sz w:val="21"/>
        <w:szCs w:val="21"/>
      </w:rPr>
    </w:lvl>
    <w:lvl w:ilvl="3">
      <w:start w:val="0"/>
      <w:numFmt w:val="bullet"/>
      <w:lvlText w:val="•"/>
      <w:lvlJc w:val="left"/>
      <w:pPr>
        <w:ind w:left="2799" w:hanging="574"/>
      </w:pPr>
      <w:rPr>
        <w:rFonts w:hint="default"/>
      </w:rPr>
    </w:lvl>
    <w:lvl w:ilvl="4">
      <w:start w:val="0"/>
      <w:numFmt w:val="bullet"/>
      <w:lvlText w:val="•"/>
      <w:lvlJc w:val="left"/>
      <w:pPr>
        <w:ind w:left="3648" w:hanging="574"/>
      </w:pPr>
      <w:rPr>
        <w:rFonts w:hint="default"/>
      </w:rPr>
    </w:lvl>
    <w:lvl w:ilvl="5">
      <w:start w:val="0"/>
      <w:numFmt w:val="bullet"/>
      <w:lvlText w:val="•"/>
      <w:lvlJc w:val="left"/>
      <w:pPr>
        <w:ind w:left="4498" w:hanging="574"/>
      </w:pPr>
      <w:rPr>
        <w:rFonts w:hint="default"/>
      </w:rPr>
    </w:lvl>
    <w:lvl w:ilvl="6">
      <w:start w:val="0"/>
      <w:numFmt w:val="bullet"/>
      <w:lvlText w:val="•"/>
      <w:lvlJc w:val="left"/>
      <w:pPr>
        <w:ind w:left="5347" w:hanging="574"/>
      </w:pPr>
      <w:rPr>
        <w:rFonts w:hint="default"/>
      </w:rPr>
    </w:lvl>
    <w:lvl w:ilvl="7">
      <w:start w:val="0"/>
      <w:numFmt w:val="bullet"/>
      <w:lvlText w:val="•"/>
      <w:lvlJc w:val="left"/>
      <w:pPr>
        <w:ind w:left="6197" w:hanging="574"/>
      </w:pPr>
      <w:rPr>
        <w:rFonts w:hint="default"/>
      </w:rPr>
    </w:lvl>
    <w:lvl w:ilvl="8">
      <w:start w:val="0"/>
      <w:numFmt w:val="bullet"/>
      <w:lvlText w:val="•"/>
      <w:lvlJc w:val="left"/>
      <w:pPr>
        <w:ind w:left="7046" w:hanging="574"/>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0"/>
      <w:ind w:left="1095" w:hanging="574"/>
    </w:pPr>
    <w:rPr>
      <w:rFonts w:ascii="宋体" w:hAnsi="宋体" w:eastAsia="宋体" w:cs="宋体"/>
      <w:sz w:val="21"/>
      <w:szCs w:val="21"/>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941" w:hanging="840"/>
      <w:outlineLvl w:val="1"/>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941" w:hanging="574"/>
    </w:pPr>
    <w:rPr>
      <w:rFonts w:ascii="宋体" w:hAnsi="宋体" w:eastAsia="宋体" w:cs="宋体"/>
    </w:rPr>
  </w:style>
  <w:style w:styleId="TableParagraph" w:type="paragraph">
    <w:name w:val="Table Paragraph"/>
    <w:basedOn w:val="Normal"/>
    <w:uiPriority w:val="1"/>
    <w:qFormat/>
    <w:pPr>
      <w:spacing w:line="260" w:lineRule="exact"/>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pangbo</dc:creator>
  <dc:title>中新大东方附加XXX提前给付重大疾病保险合同条款</dc:title>
  <dcterms:created xsi:type="dcterms:W3CDTF">2018-10-20T08:20:53Z</dcterms:created>
  <dcterms:modified xsi:type="dcterms:W3CDTF">2018-10-20T08:20:53Z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WPS Office 个人版</vt:lpwstr>
  </property>
  <property fmtid="{D5CDD505-2E9C-101B-9397-08002B2CF9AE}" pid="4" name="LastSaved">
    <vt:filetime>2018-10-20T00:00:00Z</vt:filetime>
  </property>
</Properties>
</file>