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425" w:val="left" w:leader="none"/>
        </w:tabs>
        <w:spacing w:before="314"/>
        <w:ind w:left="344" w:right="0" w:firstLine="0"/>
        <w:jc w:val="left"/>
        <w:rPr>
          <w:rFonts w:ascii="微软雅黑" w:eastAsia="微软雅黑" w:hint="eastAsia"/>
          <w:b/>
          <w:sz w:val="32"/>
        </w:rPr>
      </w:pPr>
      <w:r>
        <w:rPr>
          <w:sz w:val="32"/>
        </w:rPr>
        <w:t>附件</w:t>
      </w:r>
      <w:r>
        <w:rPr>
          <w:spacing w:val="-82"/>
          <w:sz w:val="32"/>
        </w:rPr>
        <w:t> </w:t>
      </w:r>
      <w:r>
        <w:rPr>
          <w:sz w:val="32"/>
        </w:rPr>
        <w:t>1-2：</w:t>
        <w:tab/>
      </w:r>
      <w:r>
        <w:rPr>
          <w:rFonts w:ascii="微软雅黑" w:eastAsia="微软雅黑" w:hint="eastAsia"/>
          <w:b/>
          <w:sz w:val="32"/>
        </w:rPr>
        <w:t>阅  读  指</w:t>
      </w:r>
      <w:r>
        <w:rPr>
          <w:rFonts w:ascii="微软雅黑" w:eastAsia="微软雅黑" w:hint="eastAsia"/>
          <w:b/>
          <w:spacing w:val="3"/>
          <w:sz w:val="32"/>
        </w:rPr>
        <w:t> </w:t>
      </w:r>
      <w:r>
        <w:rPr>
          <w:rFonts w:ascii="微软雅黑" w:eastAsia="微软雅黑" w:hint="eastAsia"/>
          <w:b/>
          <w:sz w:val="32"/>
        </w:rPr>
        <w:t>引</w:t>
      </w:r>
    </w:p>
    <w:p>
      <w:pPr>
        <w:spacing w:before="30"/>
        <w:ind w:left="344" w:right="0" w:firstLine="0"/>
        <w:jc w:val="left"/>
        <w:rPr>
          <w:sz w:val="16"/>
        </w:rPr>
      </w:pPr>
      <w:r>
        <w:rPr/>
        <w:br w:type="column"/>
      </w:r>
      <w:r>
        <w:rPr>
          <w:w w:val="95"/>
          <w:sz w:val="16"/>
        </w:rPr>
        <w:t>民生保险[2013]疾病保险007号</w:t>
      </w:r>
    </w:p>
    <w:p>
      <w:pPr>
        <w:spacing w:after="0"/>
        <w:jc w:val="left"/>
        <w:rPr>
          <w:sz w:val="16"/>
        </w:rPr>
        <w:sectPr>
          <w:headerReference w:type="default" r:id="rId5"/>
          <w:footerReference w:type="default" r:id="rId6"/>
          <w:type w:val="continuous"/>
          <w:pgSz w:w="11910" w:h="16840"/>
          <w:pgMar w:header="857" w:footer="981" w:top="1040" w:bottom="1180" w:left="960" w:right="940"/>
          <w:pgNumType w:start="1"/>
          <w:cols w:num="2" w:equalWidth="0">
            <w:col w:w="6189" w:space="1240"/>
            <w:col w:w="2581"/>
          </w:cols>
        </w:sectPr>
      </w:pPr>
    </w:p>
    <w:p>
      <w:pPr>
        <w:pStyle w:val="BodyText"/>
        <w:spacing w:before="0"/>
        <w:rPr>
          <w:sz w:val="12"/>
        </w:rPr>
      </w:pPr>
    </w:p>
    <w:p>
      <w:pPr>
        <w:spacing w:after="0"/>
        <w:rPr>
          <w:sz w:val="12"/>
        </w:rPr>
        <w:sectPr>
          <w:type w:val="continuous"/>
          <w:pgSz w:w="11910" w:h="16840"/>
          <w:pgMar w:top="1040" w:bottom="1180" w:left="960" w:right="940"/>
        </w:sectPr>
      </w:pPr>
    </w:p>
    <w:p>
      <w:pPr>
        <w:spacing w:before="35"/>
        <w:ind w:left="2050" w:right="0" w:firstLine="0"/>
        <w:jc w:val="left"/>
        <w:rPr>
          <w:b/>
          <w:sz w:val="21"/>
        </w:rPr>
      </w:pPr>
      <w:r>
        <w:rPr>
          <w:b/>
          <w:spacing w:val="-147"/>
          <w:w w:val="95"/>
          <w:sz w:val="21"/>
        </w:rPr>
        <w:t>本</w:t>
      </w:r>
      <w:r>
        <w:rPr>
          <w:spacing w:val="-63"/>
          <w:w w:val="95"/>
          <w:position w:val="-7"/>
          <w:sz w:val="21"/>
        </w:rPr>
        <w:t>．</w:t>
      </w:r>
      <w:r>
        <w:rPr>
          <w:b/>
          <w:spacing w:val="-147"/>
          <w:w w:val="95"/>
          <w:sz w:val="21"/>
        </w:rPr>
        <w:t>阅</w:t>
      </w:r>
      <w:r>
        <w:rPr>
          <w:spacing w:val="-63"/>
          <w:w w:val="95"/>
          <w:position w:val="-7"/>
          <w:sz w:val="21"/>
        </w:rPr>
        <w:t>．</w:t>
      </w:r>
      <w:r>
        <w:rPr>
          <w:b/>
          <w:spacing w:val="-147"/>
          <w:w w:val="95"/>
          <w:sz w:val="21"/>
        </w:rPr>
        <w:t>读</w:t>
      </w:r>
      <w:r>
        <w:rPr>
          <w:spacing w:val="-63"/>
          <w:w w:val="95"/>
          <w:position w:val="-7"/>
          <w:sz w:val="21"/>
        </w:rPr>
        <w:t>．</w:t>
      </w:r>
      <w:r>
        <w:rPr>
          <w:b/>
          <w:spacing w:val="-148"/>
          <w:w w:val="95"/>
          <w:sz w:val="21"/>
        </w:rPr>
        <w:t>指</w:t>
      </w:r>
      <w:r>
        <w:rPr>
          <w:spacing w:val="-63"/>
          <w:w w:val="95"/>
          <w:position w:val="-7"/>
          <w:sz w:val="21"/>
        </w:rPr>
        <w:t>．</w:t>
      </w:r>
      <w:r>
        <w:rPr>
          <w:b/>
          <w:spacing w:val="-148"/>
          <w:w w:val="95"/>
          <w:sz w:val="21"/>
        </w:rPr>
        <w:t>引</w:t>
      </w:r>
      <w:r>
        <w:rPr>
          <w:spacing w:val="-63"/>
          <w:w w:val="95"/>
          <w:position w:val="-7"/>
          <w:sz w:val="21"/>
        </w:rPr>
        <w:t>．</w:t>
      </w:r>
      <w:r>
        <w:rPr>
          <w:b/>
          <w:spacing w:val="-147"/>
          <w:w w:val="95"/>
          <w:sz w:val="21"/>
        </w:rPr>
        <w:t>有</w:t>
      </w:r>
      <w:r>
        <w:rPr>
          <w:spacing w:val="-63"/>
          <w:w w:val="95"/>
          <w:position w:val="-7"/>
          <w:sz w:val="21"/>
        </w:rPr>
        <w:t>．</w:t>
      </w:r>
      <w:r>
        <w:rPr>
          <w:b/>
          <w:spacing w:val="-147"/>
          <w:w w:val="95"/>
          <w:sz w:val="21"/>
        </w:rPr>
        <w:t>助</w:t>
      </w:r>
      <w:r>
        <w:rPr>
          <w:spacing w:val="-63"/>
          <w:w w:val="95"/>
          <w:position w:val="-7"/>
          <w:sz w:val="21"/>
        </w:rPr>
        <w:t>．</w:t>
      </w:r>
      <w:r>
        <w:rPr>
          <w:b/>
          <w:spacing w:val="-147"/>
          <w:w w:val="95"/>
          <w:sz w:val="21"/>
        </w:rPr>
        <w:t>于</w:t>
      </w:r>
      <w:r>
        <w:rPr>
          <w:spacing w:val="-63"/>
          <w:w w:val="95"/>
          <w:position w:val="-7"/>
          <w:sz w:val="21"/>
        </w:rPr>
        <w:t>．</w:t>
      </w:r>
      <w:r>
        <w:rPr>
          <w:b/>
          <w:spacing w:val="-148"/>
          <w:w w:val="95"/>
          <w:sz w:val="21"/>
        </w:rPr>
        <w:t>您</w:t>
      </w:r>
      <w:r>
        <w:rPr>
          <w:spacing w:val="-63"/>
          <w:w w:val="95"/>
          <w:position w:val="-7"/>
          <w:sz w:val="21"/>
        </w:rPr>
        <w:t>．</w:t>
      </w:r>
      <w:r>
        <w:rPr>
          <w:b/>
          <w:spacing w:val="-148"/>
          <w:w w:val="95"/>
          <w:sz w:val="21"/>
        </w:rPr>
        <w:t>理</w:t>
      </w:r>
      <w:r>
        <w:rPr>
          <w:spacing w:val="-63"/>
          <w:w w:val="95"/>
          <w:position w:val="-7"/>
          <w:sz w:val="21"/>
        </w:rPr>
        <w:t>．</w:t>
      </w:r>
      <w:r>
        <w:rPr>
          <w:b/>
          <w:spacing w:val="-147"/>
          <w:w w:val="95"/>
          <w:sz w:val="21"/>
        </w:rPr>
        <w:t>解</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32"/>
          <w:w w:val="95"/>
          <w:position w:val="-7"/>
          <w:sz w:val="21"/>
        </w:rPr>
        <w:t>．</w:t>
      </w:r>
      <w:r>
        <w:rPr>
          <w:b/>
          <w:spacing w:val="-90"/>
          <w:w w:val="95"/>
          <w:sz w:val="21"/>
        </w:rPr>
        <w:t>，对</w:t>
      </w:r>
      <w:r>
        <w:rPr>
          <w:spacing w:val="-63"/>
          <w:w w:val="95"/>
          <w:position w:val="-7"/>
          <w:sz w:val="21"/>
        </w:rPr>
        <w:t>．</w:t>
      </w:r>
      <w:r>
        <w:rPr>
          <w:b/>
          <w:spacing w:val="-147"/>
          <w:w w:val="95"/>
          <w:sz w:val="21"/>
        </w:rPr>
        <w:t>本</w:t>
      </w:r>
      <w:r>
        <w:rPr>
          <w:spacing w:val="-63"/>
          <w:w w:val="95"/>
          <w:position w:val="-7"/>
          <w:sz w:val="21"/>
        </w:rPr>
        <w:t>．</w:t>
      </w:r>
      <w:r>
        <w:rPr>
          <w:b/>
          <w:spacing w:val="-147"/>
          <w:w w:val="95"/>
          <w:sz w:val="21"/>
        </w:rPr>
        <w:t>合</w:t>
      </w:r>
      <w:r>
        <w:rPr>
          <w:spacing w:val="-63"/>
          <w:w w:val="95"/>
          <w:position w:val="-7"/>
          <w:sz w:val="21"/>
        </w:rPr>
        <w:t>．</w:t>
      </w:r>
      <w:r>
        <w:rPr>
          <w:b/>
          <w:spacing w:val="-147"/>
          <w:w w:val="95"/>
          <w:sz w:val="21"/>
        </w:rPr>
        <w:t>同</w:t>
      </w:r>
      <w:r>
        <w:rPr>
          <w:spacing w:val="-63"/>
          <w:w w:val="95"/>
          <w:position w:val="-7"/>
          <w:sz w:val="21"/>
        </w:rPr>
        <w:t>．</w:t>
      </w:r>
      <w:r>
        <w:rPr>
          <w:b/>
          <w:spacing w:val="-148"/>
          <w:w w:val="95"/>
          <w:sz w:val="21"/>
        </w:rPr>
        <w:t>内</w:t>
      </w:r>
      <w:r>
        <w:rPr>
          <w:spacing w:val="-63"/>
          <w:w w:val="95"/>
          <w:position w:val="-7"/>
          <w:sz w:val="21"/>
        </w:rPr>
        <w:t>．</w:t>
      </w:r>
      <w:r>
        <w:rPr>
          <w:b/>
          <w:spacing w:val="-148"/>
          <w:w w:val="95"/>
          <w:sz w:val="21"/>
        </w:rPr>
        <w:t>容</w:t>
      </w:r>
      <w:r>
        <w:rPr>
          <w:spacing w:val="-63"/>
          <w:w w:val="95"/>
          <w:position w:val="-7"/>
          <w:sz w:val="21"/>
        </w:rPr>
        <w:t>．</w:t>
      </w:r>
      <w:r>
        <w:rPr>
          <w:b/>
          <w:spacing w:val="-147"/>
          <w:w w:val="95"/>
          <w:sz w:val="21"/>
        </w:rPr>
        <w:t>的</w:t>
      </w:r>
      <w:r>
        <w:rPr>
          <w:spacing w:val="-63"/>
          <w:w w:val="95"/>
          <w:position w:val="-7"/>
          <w:sz w:val="21"/>
        </w:rPr>
        <w:t>．</w:t>
      </w:r>
      <w:r>
        <w:rPr>
          <w:b/>
          <w:spacing w:val="-147"/>
          <w:w w:val="95"/>
          <w:sz w:val="21"/>
        </w:rPr>
        <w:t>解</w:t>
      </w:r>
      <w:r>
        <w:rPr>
          <w:spacing w:val="-63"/>
          <w:w w:val="95"/>
          <w:position w:val="-7"/>
          <w:sz w:val="21"/>
        </w:rPr>
        <w:t>．</w:t>
      </w:r>
      <w:r>
        <w:rPr>
          <w:b/>
          <w:spacing w:val="-147"/>
          <w:w w:val="95"/>
          <w:sz w:val="21"/>
        </w:rPr>
        <w:t>释</w:t>
      </w:r>
      <w:r>
        <w:rPr>
          <w:spacing w:val="-63"/>
          <w:w w:val="95"/>
          <w:position w:val="-7"/>
          <w:sz w:val="21"/>
        </w:rPr>
        <w:t>．</w:t>
      </w:r>
      <w:r>
        <w:rPr>
          <w:b/>
          <w:spacing w:val="-148"/>
          <w:w w:val="95"/>
          <w:sz w:val="21"/>
        </w:rPr>
        <w:t>以</w:t>
      </w:r>
      <w:r>
        <w:rPr>
          <w:spacing w:val="-63"/>
          <w:w w:val="95"/>
          <w:position w:val="-7"/>
          <w:sz w:val="21"/>
        </w:rPr>
        <w:t>．</w:t>
      </w:r>
      <w:r>
        <w:rPr>
          <w:b/>
          <w:spacing w:val="-148"/>
          <w:w w:val="95"/>
          <w:sz w:val="21"/>
        </w:rPr>
        <w:t>条</w:t>
      </w:r>
      <w:r>
        <w:rPr>
          <w:spacing w:val="-63"/>
          <w:w w:val="95"/>
          <w:position w:val="-7"/>
          <w:sz w:val="21"/>
        </w:rPr>
        <w:t>．</w:t>
      </w:r>
      <w:r>
        <w:rPr>
          <w:b/>
          <w:spacing w:val="-147"/>
          <w:w w:val="95"/>
          <w:sz w:val="21"/>
        </w:rPr>
        <w:t>款</w:t>
      </w:r>
      <w:r>
        <w:rPr>
          <w:spacing w:val="-63"/>
          <w:w w:val="95"/>
          <w:position w:val="-7"/>
          <w:sz w:val="21"/>
        </w:rPr>
        <w:t>．</w:t>
      </w:r>
      <w:r>
        <w:rPr>
          <w:b/>
          <w:spacing w:val="-147"/>
          <w:w w:val="95"/>
          <w:sz w:val="21"/>
        </w:rPr>
        <w:t>为</w:t>
      </w:r>
      <w:r>
        <w:rPr>
          <w:spacing w:val="-63"/>
          <w:w w:val="95"/>
          <w:position w:val="-7"/>
          <w:sz w:val="21"/>
        </w:rPr>
        <w:t>．</w:t>
      </w:r>
      <w:r>
        <w:rPr>
          <w:b/>
          <w:spacing w:val="-147"/>
          <w:w w:val="95"/>
          <w:sz w:val="21"/>
        </w:rPr>
        <w:t>准</w:t>
      </w:r>
      <w:r>
        <w:rPr>
          <w:spacing w:val="-63"/>
          <w:w w:val="95"/>
          <w:position w:val="-7"/>
          <w:sz w:val="21"/>
        </w:rPr>
        <w:t>．</w:t>
      </w:r>
      <w:r>
        <w:rPr>
          <w:b/>
          <w:w w:val="95"/>
          <w:sz w:val="21"/>
        </w:rPr>
        <w:t>。</w:t>
      </w:r>
    </w:p>
    <w:p>
      <w:pPr>
        <w:pStyle w:val="BodyText"/>
        <w:spacing w:before="10"/>
        <w:rPr>
          <w:b/>
          <w:sz w:val="21"/>
        </w:rPr>
      </w:pPr>
    </w:p>
    <w:p>
      <w:pPr>
        <w:pStyle w:val="Heading2"/>
        <w:tabs>
          <w:tab w:pos="1382" w:val="left" w:leader="none"/>
        </w:tabs>
        <w:spacing w:before="1"/>
        <w:ind w:left="371"/>
      </w:pPr>
      <w:r>
        <w:rPr/>
        <w:drawing>
          <wp:anchor distT="0" distB="0" distL="0" distR="0" allowOverlap="1" layoutInCell="1" locked="0" behindDoc="1" simplePos="0" relativeHeight="268407311">
            <wp:simplePos x="0" y="0"/>
            <wp:positionH relativeFrom="page">
              <wp:posOffset>684058</wp:posOffset>
            </wp:positionH>
            <wp:positionV relativeFrom="paragraph">
              <wp:posOffset>42611</wp:posOffset>
            </wp:positionV>
            <wp:extent cx="6113198" cy="813478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113198" cy="8134784"/>
                    </a:xfrm>
                    <a:prstGeom prst="rect">
                      <a:avLst/>
                    </a:prstGeom>
                  </pic:spPr>
                </pic:pic>
              </a:graphicData>
            </a:graphic>
          </wp:anchor>
        </w:drawing>
      </w:r>
      <w:r>
        <w:rPr>
          <w:rFonts w:ascii="Yu Gothic" w:hAnsi="Yu Gothic" w:eastAsia="Yu Gothic" w:hint="eastAsia"/>
          <w:w w:val="150"/>
          <w:position w:val="-11"/>
          <w:sz w:val="52"/>
        </w:rPr>
        <w:t>¤</w:t>
        <w:tab/>
      </w:r>
      <w:r>
        <w:rPr>
          <w:w w:val="95"/>
        </w:rPr>
        <w:t>您拥有的重要权益</w:t>
      </w:r>
    </w:p>
    <w:p>
      <w:pPr>
        <w:pStyle w:val="BodyText"/>
        <w:spacing w:before="2"/>
        <w:rPr>
          <w:b/>
          <w:sz w:val="19"/>
        </w:rPr>
      </w:pPr>
      <w:r>
        <w:rPr/>
        <w:br w:type="column"/>
      </w:r>
      <w:r>
        <w:rPr>
          <w:b/>
          <w:sz w:val="19"/>
        </w:rPr>
      </w:r>
    </w:p>
    <w:p>
      <w:pPr>
        <w:spacing w:before="0"/>
        <w:ind w:left="62" w:right="0" w:firstLine="0"/>
        <w:jc w:val="left"/>
        <w:rPr>
          <w:sz w:val="16"/>
        </w:rPr>
      </w:pPr>
      <w:r>
        <w:rPr/>
        <w:drawing>
          <wp:anchor distT="0" distB="0" distL="0" distR="0" allowOverlap="1" layoutInCell="1" locked="0" behindDoc="1" simplePos="0" relativeHeight="268407335">
            <wp:simplePos x="0" y="0"/>
            <wp:positionH relativeFrom="page">
              <wp:posOffset>6252827</wp:posOffset>
            </wp:positionH>
            <wp:positionV relativeFrom="paragraph">
              <wp:posOffset>-630729</wp:posOffset>
            </wp:positionV>
            <wp:extent cx="631825" cy="63182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31825" cy="631825"/>
                    </a:xfrm>
                    <a:prstGeom prst="rect">
                      <a:avLst/>
                    </a:prstGeom>
                  </pic:spPr>
                </pic:pic>
              </a:graphicData>
            </a:graphic>
          </wp:anchor>
        </w:drawing>
      </w:r>
      <w:r>
        <w:rPr>
          <w:sz w:val="16"/>
        </w:rPr>
        <w:t>请扫描以查询验证条款</w:t>
      </w:r>
    </w:p>
    <w:p>
      <w:pPr>
        <w:spacing w:after="0"/>
        <w:jc w:val="left"/>
        <w:rPr>
          <w:sz w:val="16"/>
        </w:rPr>
        <w:sectPr>
          <w:type w:val="continuous"/>
          <w:pgSz w:w="11910" w:h="16840"/>
          <w:pgMar w:top="1040" w:bottom="1180" w:left="960" w:right="940"/>
          <w:cols w:num="2" w:equalWidth="0">
            <w:col w:w="8163" w:space="40"/>
            <w:col w:w="1807"/>
          </w:cols>
        </w:sectPr>
      </w:pPr>
    </w:p>
    <w:p>
      <w:pPr>
        <w:pStyle w:val="Heading2"/>
        <w:numPr>
          <w:ilvl w:val="0"/>
          <w:numId w:val="1"/>
        </w:numPr>
        <w:tabs>
          <w:tab w:pos="1783" w:val="left" w:leader="none"/>
          <w:tab w:pos="1784" w:val="left" w:leader="none"/>
        </w:tabs>
        <w:spacing w:line="252" w:lineRule="exact" w:before="0" w:after="0"/>
        <w:ind w:left="1783" w:right="0" w:hanging="440"/>
        <w:jc w:val="left"/>
      </w:pPr>
      <w:r>
        <w:rPr>
          <w:w w:val="95"/>
        </w:rPr>
        <w:t>签收本合同次日起十日内您可以要求退还扣除工本费外的全部保险费……第1.3条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被保险人享受本保险合同提供的保障…………………………………………第2.2条</w:t>
      </w:r>
    </w:p>
    <w:p>
      <w:pPr>
        <w:pStyle w:val="ListParagraph"/>
        <w:numPr>
          <w:ilvl w:val="0"/>
          <w:numId w:val="1"/>
        </w:numPr>
        <w:tabs>
          <w:tab w:pos="1783" w:val="left" w:leader="none"/>
          <w:tab w:pos="1784" w:val="left" w:leader="none"/>
        </w:tabs>
        <w:spacing w:line="268" w:lineRule="exact" w:before="37" w:after="0"/>
        <w:ind w:left="1783" w:right="0" w:hanging="440"/>
        <w:jc w:val="left"/>
        <w:rPr>
          <w:b/>
          <w:sz w:val="21"/>
        </w:rPr>
      </w:pPr>
      <w:r>
        <w:rPr>
          <w:b/>
          <w:w w:val="95"/>
          <w:sz w:val="21"/>
        </w:rPr>
        <w:t>您有保险单借款的权利…………………………………………………………第5.3条</w:t>
      </w:r>
    </w:p>
    <w:p>
      <w:pPr>
        <w:tabs>
          <w:tab w:pos="1383" w:val="left" w:leader="none"/>
        </w:tabs>
        <w:spacing w:line="869"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您应当特别注意的事项</w:t>
      </w:r>
    </w:p>
    <w:p>
      <w:pPr>
        <w:pStyle w:val="ListParagraph"/>
        <w:numPr>
          <w:ilvl w:val="0"/>
          <w:numId w:val="1"/>
        </w:numPr>
        <w:tabs>
          <w:tab w:pos="1783" w:val="left" w:leader="none"/>
          <w:tab w:pos="1784" w:val="left" w:leader="none"/>
        </w:tabs>
        <w:spacing w:line="240" w:lineRule="auto" w:before="111" w:after="0"/>
        <w:ind w:left="1783" w:right="0" w:hanging="440"/>
        <w:jc w:val="left"/>
        <w:rPr>
          <w:b/>
          <w:sz w:val="21"/>
        </w:rPr>
      </w:pPr>
      <w:r>
        <w:rPr>
          <w:b/>
          <w:w w:val="95"/>
          <w:sz w:val="21"/>
        </w:rPr>
        <w:t>在某些情况下，本公司不承担保险责任………………………………………第2.3条</w:t>
      </w:r>
    </w:p>
    <w:p>
      <w:pPr>
        <w:pStyle w:val="ListParagraph"/>
        <w:numPr>
          <w:ilvl w:val="0"/>
          <w:numId w:val="1"/>
        </w:numPr>
        <w:tabs>
          <w:tab w:pos="1783" w:val="left" w:leader="none"/>
          <w:tab w:pos="1784" w:val="left" w:leader="none"/>
        </w:tabs>
        <w:spacing w:line="240" w:lineRule="auto" w:before="36" w:after="0"/>
        <w:ind w:left="1783" w:right="0" w:hanging="440"/>
        <w:jc w:val="left"/>
        <w:rPr>
          <w:b/>
          <w:sz w:val="21"/>
        </w:rPr>
      </w:pPr>
      <w:r>
        <w:rPr>
          <w:b/>
          <w:w w:val="95"/>
          <w:sz w:val="21"/>
        </w:rPr>
        <w:t>您应当按时交付保险费…………………………………………………………第4.3条</w:t>
      </w:r>
    </w:p>
    <w:p>
      <w:pPr>
        <w:pStyle w:val="ListParagraph"/>
        <w:numPr>
          <w:ilvl w:val="0"/>
          <w:numId w:val="1"/>
        </w:numPr>
        <w:tabs>
          <w:tab w:pos="1783" w:val="left" w:leader="none"/>
          <w:tab w:pos="1784" w:val="left" w:leader="none"/>
        </w:tabs>
        <w:spacing w:line="240" w:lineRule="auto" w:before="36" w:after="0"/>
        <w:ind w:left="1783" w:right="0" w:hanging="440"/>
        <w:jc w:val="left"/>
        <w:rPr>
          <w:b/>
          <w:sz w:val="21"/>
        </w:rPr>
      </w:pPr>
      <w:r>
        <w:rPr>
          <w:b/>
          <w:w w:val="95"/>
          <w:sz w:val="21"/>
        </w:rPr>
        <w:t>退保会给您造成一定的损失，请您慎重决策…………………………………第6.1条</w:t>
      </w:r>
    </w:p>
    <w:p>
      <w:pPr>
        <w:pStyle w:val="ListParagraph"/>
        <w:numPr>
          <w:ilvl w:val="0"/>
          <w:numId w:val="1"/>
        </w:numPr>
        <w:tabs>
          <w:tab w:pos="1782" w:val="left" w:leader="none"/>
          <w:tab w:pos="1783" w:val="left" w:leader="none"/>
        </w:tabs>
        <w:spacing w:line="240" w:lineRule="auto" w:before="36" w:after="0"/>
        <w:ind w:left="1782" w:right="0" w:hanging="439"/>
        <w:jc w:val="left"/>
        <w:rPr>
          <w:b/>
          <w:sz w:val="21"/>
        </w:rPr>
      </w:pPr>
      <w:r>
        <w:rPr>
          <w:b/>
          <w:w w:val="95"/>
          <w:sz w:val="21"/>
        </w:rPr>
        <w:t>您有如实告知的义务……………………………………………………………第7.2条</w:t>
      </w:r>
    </w:p>
    <w:p>
      <w:pPr>
        <w:pStyle w:val="ListParagraph"/>
        <w:numPr>
          <w:ilvl w:val="0"/>
          <w:numId w:val="1"/>
        </w:numPr>
        <w:tabs>
          <w:tab w:pos="1782" w:val="left" w:leader="none"/>
          <w:tab w:pos="1783" w:val="left" w:leader="none"/>
        </w:tabs>
        <w:spacing w:line="268" w:lineRule="exact" w:before="36" w:after="0"/>
        <w:ind w:left="1782" w:right="0" w:hanging="439"/>
        <w:jc w:val="left"/>
        <w:rPr>
          <w:b/>
          <w:sz w:val="21"/>
        </w:rPr>
      </w:pPr>
      <w:r>
        <w:rPr>
          <w:b/>
          <w:spacing w:val="-1"/>
          <w:sz w:val="21"/>
        </w:rPr>
        <w:t>本公司对一些重要术语进行了解释，并作了显著标识，请您注意…………第 </w:t>
      </w:r>
      <w:r>
        <w:rPr>
          <w:b/>
          <w:sz w:val="21"/>
        </w:rPr>
        <w:t>8</w:t>
      </w:r>
      <w:r>
        <w:rPr>
          <w:b/>
          <w:spacing w:val="-2"/>
          <w:sz w:val="21"/>
        </w:rPr>
        <w:t> 条</w:t>
      </w:r>
    </w:p>
    <w:p>
      <w:pPr>
        <w:tabs>
          <w:tab w:pos="1383" w:val="left" w:leader="none"/>
        </w:tabs>
        <w:spacing w:line="810"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tabs>
          <w:tab w:pos="1382" w:val="left" w:leader="none"/>
        </w:tabs>
        <w:spacing w:line="817"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817" w:lineRule="exact"/>
        <w:jc w:val="left"/>
        <w:rPr>
          <w:sz w:val="21"/>
        </w:rPr>
        <w:sectPr>
          <w:type w:val="continuous"/>
          <w:pgSz w:w="11910" w:h="16840"/>
          <w:pgMar w:top="1040" w:bottom="1180" w:left="960" w:right="940"/>
        </w:sectPr>
      </w:pPr>
    </w:p>
    <w:p>
      <w:pPr>
        <w:pStyle w:val="Heading2"/>
        <w:spacing w:before="74"/>
        <w:ind w:left="872"/>
      </w:pPr>
      <w:r>
        <w:rPr>
          <w:w w:val="95"/>
        </w:rPr>
        <w:t>1.您与我们的合同</w:t>
      </w:r>
    </w:p>
    <w:p>
      <w:pPr>
        <w:spacing w:before="73"/>
        <w:ind w:left="872" w:right="0" w:firstLine="0"/>
        <w:jc w:val="left"/>
        <w:rPr>
          <w:sz w:val="21"/>
        </w:rPr>
      </w:pPr>
      <w:r>
        <w:rPr/>
        <w:br w:type="column"/>
      </w:r>
      <w:r>
        <w:rPr>
          <w:sz w:val="21"/>
        </w:rPr>
        <w:t>4.2 保险费率的调整</w:t>
      </w:r>
    </w:p>
    <w:p>
      <w:pPr>
        <w:spacing w:before="72"/>
        <w:ind w:left="872" w:right="0" w:firstLine="0"/>
        <w:jc w:val="left"/>
        <w:rPr>
          <w:sz w:val="21"/>
        </w:rPr>
      </w:pPr>
      <w:r>
        <w:rPr/>
        <w:br w:type="column"/>
      </w:r>
      <w:r>
        <w:rPr>
          <w:sz w:val="21"/>
        </w:rPr>
        <w:t>7.6 合同内容变更</w:t>
      </w:r>
    </w:p>
    <w:p>
      <w:pPr>
        <w:spacing w:after="0"/>
        <w:jc w:val="left"/>
        <w:rPr>
          <w:sz w:val="21"/>
        </w:rPr>
        <w:sectPr>
          <w:type w:val="continuous"/>
          <w:pgSz w:w="11910" w:h="16840"/>
          <w:pgMar w:top="1040" w:bottom="1180" w:left="960" w:right="940"/>
          <w:cols w:num="3" w:equalWidth="0">
            <w:col w:w="2561" w:space="362"/>
            <w:col w:w="2763" w:space="190"/>
            <w:col w:w="4134"/>
          </w:cols>
        </w:sectPr>
      </w:pPr>
    </w:p>
    <w:p>
      <w:pPr>
        <w:pStyle w:val="BodyText"/>
        <w:spacing w:before="8" w:after="1"/>
        <w:rPr>
          <w:sz w:val="7"/>
        </w:rPr>
      </w:pPr>
    </w:p>
    <w:tbl>
      <w:tblPr>
        <w:tblW w:w="0" w:type="auto"/>
        <w:jc w:val="left"/>
        <w:tblInd w:w="10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1934"/>
        <w:gridCol w:w="780"/>
        <w:gridCol w:w="1844"/>
        <w:gridCol w:w="1162"/>
        <w:gridCol w:w="890"/>
      </w:tblGrid>
      <w:tr>
        <w:trPr>
          <w:trHeight w:val="261" w:hRule="atLeast"/>
        </w:trPr>
        <w:tc>
          <w:tcPr>
            <w:tcW w:w="418" w:type="dxa"/>
          </w:tcPr>
          <w:p>
            <w:pPr>
              <w:pStyle w:val="TableParagraph"/>
              <w:spacing w:line="211" w:lineRule="exact"/>
              <w:ind w:left="31" w:right="31"/>
              <w:jc w:val="center"/>
              <w:rPr>
                <w:sz w:val="21"/>
              </w:rPr>
            </w:pPr>
            <w:r>
              <w:rPr>
                <w:sz w:val="21"/>
              </w:rPr>
              <w:t>1.1</w:t>
            </w:r>
          </w:p>
        </w:tc>
        <w:tc>
          <w:tcPr>
            <w:tcW w:w="1934" w:type="dxa"/>
          </w:tcPr>
          <w:p>
            <w:pPr>
              <w:pStyle w:val="TableParagraph"/>
              <w:spacing w:line="211" w:lineRule="exact"/>
              <w:ind w:left="52"/>
              <w:rPr>
                <w:sz w:val="21"/>
              </w:rPr>
            </w:pPr>
            <w:r>
              <w:rPr>
                <w:sz w:val="21"/>
              </w:rPr>
              <w:t>合同构成</w:t>
            </w:r>
          </w:p>
        </w:tc>
        <w:tc>
          <w:tcPr>
            <w:tcW w:w="780" w:type="dxa"/>
          </w:tcPr>
          <w:p>
            <w:pPr>
              <w:pStyle w:val="TableParagraph"/>
              <w:spacing w:line="211" w:lineRule="exact"/>
              <w:ind w:right="51"/>
              <w:jc w:val="right"/>
              <w:rPr>
                <w:sz w:val="21"/>
              </w:rPr>
            </w:pPr>
            <w:r>
              <w:rPr>
                <w:sz w:val="21"/>
              </w:rPr>
              <w:t>4.3</w:t>
            </w:r>
          </w:p>
        </w:tc>
        <w:tc>
          <w:tcPr>
            <w:tcW w:w="1844" w:type="dxa"/>
          </w:tcPr>
          <w:p>
            <w:pPr>
              <w:pStyle w:val="TableParagraph"/>
              <w:spacing w:line="211" w:lineRule="exact"/>
              <w:ind w:left="51"/>
              <w:rPr>
                <w:sz w:val="21"/>
              </w:rPr>
            </w:pPr>
            <w:r>
              <w:rPr>
                <w:sz w:val="21"/>
              </w:rPr>
              <w:t>续期保险费的</w:t>
            </w:r>
          </w:p>
        </w:tc>
        <w:tc>
          <w:tcPr>
            <w:tcW w:w="1162" w:type="dxa"/>
          </w:tcPr>
          <w:p>
            <w:pPr>
              <w:pStyle w:val="TableParagraph"/>
              <w:spacing w:line="210" w:lineRule="exact"/>
              <w:ind w:left="719" w:right="88"/>
              <w:jc w:val="center"/>
              <w:rPr>
                <w:sz w:val="21"/>
              </w:rPr>
            </w:pPr>
            <w:r>
              <w:rPr>
                <w:sz w:val="21"/>
              </w:rPr>
              <w:t>7.7</w:t>
            </w:r>
          </w:p>
        </w:tc>
        <w:tc>
          <w:tcPr>
            <w:tcW w:w="890" w:type="dxa"/>
          </w:tcPr>
          <w:p>
            <w:pPr>
              <w:pStyle w:val="TableParagraph"/>
              <w:spacing w:line="210" w:lineRule="exact"/>
              <w:ind w:left="-3"/>
              <w:rPr>
                <w:sz w:val="21"/>
              </w:rPr>
            </w:pPr>
            <w:r>
              <w:rPr>
                <w:sz w:val="21"/>
              </w:rPr>
              <w:t>失踪处理</w:t>
            </w:r>
          </w:p>
        </w:tc>
      </w:tr>
      <w:tr>
        <w:trPr>
          <w:trHeight w:val="312" w:hRule="atLeast"/>
        </w:trPr>
        <w:tc>
          <w:tcPr>
            <w:tcW w:w="418" w:type="dxa"/>
          </w:tcPr>
          <w:p>
            <w:pPr>
              <w:pStyle w:val="TableParagraph"/>
              <w:spacing w:line="262" w:lineRule="exact"/>
              <w:ind w:left="31" w:right="31"/>
              <w:jc w:val="center"/>
              <w:rPr>
                <w:sz w:val="21"/>
              </w:rPr>
            </w:pPr>
            <w:r>
              <w:rPr>
                <w:sz w:val="21"/>
              </w:rPr>
              <w:t>1.2</w:t>
            </w:r>
          </w:p>
        </w:tc>
        <w:tc>
          <w:tcPr>
            <w:tcW w:w="1934" w:type="dxa"/>
          </w:tcPr>
          <w:p>
            <w:pPr>
              <w:pStyle w:val="TableParagraph"/>
              <w:spacing w:line="262" w:lineRule="exact"/>
              <w:ind w:left="52"/>
              <w:rPr>
                <w:sz w:val="21"/>
              </w:rPr>
            </w:pPr>
            <w:r>
              <w:rPr>
                <w:sz w:val="21"/>
              </w:rPr>
              <w:t>合同成立与生效</w:t>
            </w:r>
          </w:p>
        </w:tc>
        <w:tc>
          <w:tcPr>
            <w:tcW w:w="780" w:type="dxa"/>
          </w:tcPr>
          <w:p>
            <w:pPr>
              <w:pStyle w:val="TableParagraph"/>
              <w:rPr>
                <w:rFonts w:ascii="Times New Roman"/>
                <w:sz w:val="20"/>
              </w:rPr>
            </w:pPr>
          </w:p>
        </w:tc>
        <w:tc>
          <w:tcPr>
            <w:tcW w:w="1844" w:type="dxa"/>
          </w:tcPr>
          <w:p>
            <w:pPr>
              <w:pStyle w:val="TableParagraph"/>
              <w:spacing w:line="261" w:lineRule="exact"/>
              <w:ind w:left="51"/>
              <w:rPr>
                <w:sz w:val="21"/>
              </w:rPr>
            </w:pPr>
            <w:r>
              <w:rPr>
                <w:sz w:val="21"/>
              </w:rPr>
              <w:t>交付、宽限期</w:t>
            </w:r>
          </w:p>
        </w:tc>
        <w:tc>
          <w:tcPr>
            <w:tcW w:w="1162" w:type="dxa"/>
          </w:tcPr>
          <w:p>
            <w:pPr>
              <w:pStyle w:val="TableParagraph"/>
              <w:spacing w:line="260" w:lineRule="exact"/>
              <w:ind w:left="719" w:right="88"/>
              <w:jc w:val="center"/>
              <w:rPr>
                <w:sz w:val="21"/>
              </w:rPr>
            </w:pPr>
            <w:r>
              <w:rPr>
                <w:sz w:val="21"/>
              </w:rPr>
              <w:t>7.8</w:t>
            </w:r>
          </w:p>
        </w:tc>
        <w:tc>
          <w:tcPr>
            <w:tcW w:w="890" w:type="dxa"/>
          </w:tcPr>
          <w:p>
            <w:pPr>
              <w:pStyle w:val="TableParagraph"/>
              <w:spacing w:line="260" w:lineRule="exact"/>
              <w:ind w:left="-3"/>
              <w:rPr>
                <w:sz w:val="21"/>
              </w:rPr>
            </w:pPr>
            <w:r>
              <w:rPr>
                <w:sz w:val="21"/>
              </w:rPr>
              <w:t>争议处理</w:t>
            </w:r>
          </w:p>
        </w:tc>
      </w:tr>
      <w:tr>
        <w:trPr>
          <w:trHeight w:val="311" w:hRule="atLeast"/>
        </w:trPr>
        <w:tc>
          <w:tcPr>
            <w:tcW w:w="418" w:type="dxa"/>
          </w:tcPr>
          <w:p>
            <w:pPr>
              <w:pStyle w:val="TableParagraph"/>
              <w:spacing w:line="261" w:lineRule="exact"/>
              <w:ind w:left="30" w:right="31"/>
              <w:jc w:val="center"/>
              <w:rPr>
                <w:sz w:val="21"/>
              </w:rPr>
            </w:pPr>
            <w:r>
              <w:rPr>
                <w:sz w:val="21"/>
              </w:rPr>
              <w:t>1.3</w:t>
            </w:r>
          </w:p>
        </w:tc>
        <w:tc>
          <w:tcPr>
            <w:tcW w:w="1934" w:type="dxa"/>
          </w:tcPr>
          <w:p>
            <w:pPr>
              <w:pStyle w:val="TableParagraph"/>
              <w:spacing w:line="261" w:lineRule="exact"/>
              <w:ind w:left="52"/>
              <w:rPr>
                <w:sz w:val="21"/>
              </w:rPr>
            </w:pPr>
            <w:r>
              <w:rPr>
                <w:sz w:val="21"/>
              </w:rPr>
              <w:t>犹豫期</w:t>
            </w:r>
          </w:p>
        </w:tc>
        <w:tc>
          <w:tcPr>
            <w:tcW w:w="780" w:type="dxa"/>
          </w:tcPr>
          <w:p>
            <w:pPr>
              <w:pStyle w:val="TableParagraph"/>
              <w:spacing w:line="261" w:lineRule="exact"/>
              <w:ind w:right="51"/>
              <w:jc w:val="right"/>
              <w:rPr>
                <w:sz w:val="21"/>
              </w:rPr>
            </w:pPr>
            <w:r>
              <w:rPr>
                <w:sz w:val="21"/>
              </w:rPr>
              <w:t>4.4</w:t>
            </w:r>
          </w:p>
        </w:tc>
        <w:tc>
          <w:tcPr>
            <w:tcW w:w="1844" w:type="dxa"/>
          </w:tcPr>
          <w:p>
            <w:pPr>
              <w:pStyle w:val="TableParagraph"/>
              <w:spacing w:line="261" w:lineRule="exact"/>
              <w:ind w:left="51"/>
              <w:rPr>
                <w:sz w:val="21"/>
              </w:rPr>
            </w:pPr>
            <w:r>
              <w:rPr>
                <w:sz w:val="21"/>
              </w:rPr>
              <w:t>效力中止</w:t>
            </w:r>
          </w:p>
        </w:tc>
        <w:tc>
          <w:tcPr>
            <w:tcW w:w="1162" w:type="dxa"/>
          </w:tcPr>
          <w:p>
            <w:pPr>
              <w:pStyle w:val="TableParagraph"/>
              <w:rPr>
                <w:rFonts w:ascii="Times New Roman"/>
                <w:sz w:val="20"/>
              </w:rPr>
            </w:pPr>
          </w:p>
        </w:tc>
        <w:tc>
          <w:tcPr>
            <w:tcW w:w="890" w:type="dxa"/>
          </w:tcPr>
          <w:p>
            <w:pPr>
              <w:pStyle w:val="TableParagraph"/>
              <w:rPr>
                <w:rFonts w:ascii="Times New Roman"/>
                <w:sz w:val="20"/>
              </w:rPr>
            </w:pPr>
          </w:p>
        </w:tc>
      </w:tr>
      <w:tr>
        <w:trPr>
          <w:trHeight w:val="261" w:hRule="atLeast"/>
        </w:trPr>
        <w:tc>
          <w:tcPr>
            <w:tcW w:w="418" w:type="dxa"/>
          </w:tcPr>
          <w:p>
            <w:pPr>
              <w:pStyle w:val="TableParagraph"/>
              <w:spacing w:line="242" w:lineRule="exact"/>
              <w:ind w:left="31" w:right="31"/>
              <w:jc w:val="center"/>
              <w:rPr>
                <w:sz w:val="21"/>
              </w:rPr>
            </w:pPr>
            <w:r>
              <w:rPr>
                <w:sz w:val="21"/>
              </w:rPr>
              <w:t>1.4</w:t>
            </w:r>
          </w:p>
        </w:tc>
        <w:tc>
          <w:tcPr>
            <w:tcW w:w="1934" w:type="dxa"/>
          </w:tcPr>
          <w:p>
            <w:pPr>
              <w:pStyle w:val="TableParagraph"/>
              <w:spacing w:line="242" w:lineRule="exact"/>
              <w:ind w:left="52"/>
              <w:rPr>
                <w:sz w:val="21"/>
              </w:rPr>
            </w:pPr>
            <w:r>
              <w:rPr>
                <w:sz w:val="21"/>
              </w:rPr>
              <w:t>保险期间</w:t>
            </w:r>
          </w:p>
        </w:tc>
        <w:tc>
          <w:tcPr>
            <w:tcW w:w="780" w:type="dxa"/>
          </w:tcPr>
          <w:p>
            <w:pPr>
              <w:pStyle w:val="TableParagraph"/>
              <w:spacing w:line="242" w:lineRule="exact"/>
              <w:ind w:right="51"/>
              <w:jc w:val="right"/>
              <w:rPr>
                <w:sz w:val="21"/>
              </w:rPr>
            </w:pPr>
            <w:r>
              <w:rPr>
                <w:sz w:val="21"/>
              </w:rPr>
              <w:t>4.5</w:t>
            </w:r>
          </w:p>
        </w:tc>
        <w:tc>
          <w:tcPr>
            <w:tcW w:w="1844" w:type="dxa"/>
          </w:tcPr>
          <w:p>
            <w:pPr>
              <w:pStyle w:val="TableParagraph"/>
              <w:spacing w:line="242" w:lineRule="exact"/>
              <w:ind w:left="51"/>
              <w:rPr>
                <w:sz w:val="21"/>
              </w:rPr>
            </w:pPr>
            <w:r>
              <w:rPr>
                <w:sz w:val="21"/>
              </w:rPr>
              <w:t>效力恢复</w:t>
            </w:r>
          </w:p>
        </w:tc>
        <w:tc>
          <w:tcPr>
            <w:tcW w:w="1162" w:type="dxa"/>
          </w:tcPr>
          <w:p>
            <w:pPr>
              <w:pStyle w:val="TableParagraph"/>
              <w:spacing w:line="242" w:lineRule="exact"/>
              <w:ind w:left="529" w:right="-15"/>
              <w:jc w:val="center"/>
              <w:rPr>
                <w:b/>
                <w:sz w:val="21"/>
              </w:rPr>
            </w:pPr>
            <w:r>
              <w:rPr>
                <w:b/>
                <w:w w:val="95"/>
                <w:sz w:val="21"/>
              </w:rPr>
              <w:t>8.释义</w:t>
            </w:r>
          </w:p>
        </w:tc>
        <w:tc>
          <w:tcPr>
            <w:tcW w:w="890" w:type="dxa"/>
          </w:tcPr>
          <w:p>
            <w:pPr>
              <w:pStyle w:val="TableParagraph"/>
              <w:rPr>
                <w:rFonts w:ascii="Times New Roman"/>
                <w:sz w:val="18"/>
              </w:rPr>
            </w:pPr>
          </w:p>
        </w:tc>
      </w:tr>
    </w:tbl>
    <w:p>
      <w:pPr>
        <w:pStyle w:val="BodyText"/>
        <w:spacing w:before="4"/>
        <w:rPr>
          <w:sz w:val="5"/>
        </w:rPr>
      </w:pPr>
    </w:p>
    <w:p>
      <w:pPr>
        <w:spacing w:after="0"/>
        <w:rPr>
          <w:sz w:val="5"/>
        </w:rPr>
        <w:sectPr>
          <w:type w:val="continuous"/>
          <w:pgSz w:w="11910" w:h="16840"/>
          <w:pgMar w:top="1040" w:bottom="1180" w:left="960" w:right="940"/>
        </w:sectPr>
      </w:pPr>
    </w:p>
    <w:p>
      <w:pPr>
        <w:pStyle w:val="BodyText"/>
        <w:spacing w:before="4"/>
        <w:rPr>
          <w:sz w:val="21"/>
        </w:rPr>
      </w:pPr>
      <w:r>
        <w:rPr/>
        <w:pict>
          <v:line style="position:absolute;mso-position-horizontal-relative:page;mso-position-vertical-relative:page;z-index:-28168" from="63.720001pt,55.619999pt" to="543.000001pt,55.619999pt" stroked="true" strokeweight=".72pt" strokecolor="#000000">
            <v:stroke dashstyle="solid"/>
            <w10:wrap type="none"/>
          </v:line>
        </w:pict>
      </w:r>
    </w:p>
    <w:p>
      <w:pPr>
        <w:spacing w:before="1"/>
        <w:ind w:left="872" w:right="0" w:firstLine="0"/>
        <w:jc w:val="left"/>
        <w:rPr>
          <w:b/>
          <w:sz w:val="21"/>
        </w:rPr>
      </w:pPr>
      <w:r>
        <w:rPr>
          <w:b/>
          <w:w w:val="95"/>
          <w:sz w:val="21"/>
        </w:rPr>
        <w:t>2.我们提供的保障</w:t>
      </w:r>
    </w:p>
    <w:p>
      <w:pPr>
        <w:pStyle w:val="ListParagraph"/>
        <w:numPr>
          <w:ilvl w:val="1"/>
          <w:numId w:val="2"/>
        </w:numPr>
        <w:tabs>
          <w:tab w:pos="1503" w:val="left" w:leader="none"/>
        </w:tabs>
        <w:spacing w:line="240" w:lineRule="auto" w:before="37" w:after="0"/>
        <w:ind w:left="1502" w:right="0" w:hanging="420"/>
        <w:jc w:val="left"/>
        <w:rPr>
          <w:sz w:val="21"/>
        </w:rPr>
      </w:pPr>
      <w:r>
        <w:rPr>
          <w:spacing w:val="-1"/>
          <w:sz w:val="21"/>
        </w:rPr>
        <w:t>保险金额</w:t>
      </w:r>
    </w:p>
    <w:p>
      <w:pPr>
        <w:pStyle w:val="ListParagraph"/>
        <w:numPr>
          <w:ilvl w:val="1"/>
          <w:numId w:val="2"/>
        </w:numPr>
        <w:tabs>
          <w:tab w:pos="1503" w:val="left" w:leader="none"/>
        </w:tabs>
        <w:spacing w:line="240" w:lineRule="auto" w:before="37" w:after="0"/>
        <w:ind w:left="1502" w:right="0" w:hanging="420"/>
        <w:jc w:val="left"/>
        <w:rPr>
          <w:sz w:val="21"/>
        </w:rPr>
      </w:pPr>
      <w:r>
        <w:rPr>
          <w:spacing w:val="-1"/>
          <w:sz w:val="21"/>
        </w:rPr>
        <w:t>保险责任</w:t>
      </w:r>
    </w:p>
    <w:p>
      <w:pPr>
        <w:pStyle w:val="ListParagraph"/>
        <w:numPr>
          <w:ilvl w:val="1"/>
          <w:numId w:val="2"/>
        </w:numPr>
        <w:tabs>
          <w:tab w:pos="1503" w:val="left" w:leader="none"/>
        </w:tabs>
        <w:spacing w:line="240" w:lineRule="auto" w:before="37" w:after="0"/>
        <w:ind w:left="1502" w:right="0" w:hanging="420"/>
        <w:jc w:val="left"/>
        <w:rPr>
          <w:sz w:val="21"/>
        </w:rPr>
      </w:pPr>
      <w:r>
        <w:rPr>
          <w:spacing w:val="-1"/>
          <w:sz w:val="21"/>
        </w:rPr>
        <w:t>责任免除</w:t>
      </w:r>
    </w:p>
    <w:p>
      <w:pPr>
        <w:pStyle w:val="BodyText"/>
        <w:spacing w:before="8"/>
        <w:rPr>
          <w:sz w:val="26"/>
        </w:rPr>
      </w:pPr>
    </w:p>
    <w:p>
      <w:pPr>
        <w:spacing w:before="0"/>
        <w:ind w:left="872" w:right="0" w:firstLine="0"/>
        <w:jc w:val="left"/>
        <w:rPr>
          <w:b/>
          <w:sz w:val="21"/>
        </w:rPr>
      </w:pPr>
      <w:r>
        <w:rPr>
          <w:b/>
          <w:w w:val="95"/>
          <w:sz w:val="21"/>
        </w:rPr>
        <w:t>3.如何申请领取保险金</w:t>
      </w:r>
    </w:p>
    <w:p>
      <w:pPr>
        <w:pStyle w:val="ListParagraph"/>
        <w:numPr>
          <w:ilvl w:val="1"/>
          <w:numId w:val="3"/>
        </w:numPr>
        <w:tabs>
          <w:tab w:pos="1503" w:val="left" w:leader="none"/>
        </w:tabs>
        <w:spacing w:line="240" w:lineRule="auto" w:before="36" w:after="0"/>
        <w:ind w:left="1502" w:right="0" w:hanging="420"/>
        <w:jc w:val="left"/>
        <w:rPr>
          <w:sz w:val="21"/>
        </w:rPr>
      </w:pPr>
      <w:r>
        <w:rPr>
          <w:spacing w:val="-1"/>
          <w:sz w:val="21"/>
        </w:rPr>
        <w:t>受益人的指定和变更</w:t>
      </w:r>
    </w:p>
    <w:p>
      <w:pPr>
        <w:pStyle w:val="ListParagraph"/>
        <w:numPr>
          <w:ilvl w:val="1"/>
          <w:numId w:val="3"/>
        </w:numPr>
        <w:tabs>
          <w:tab w:pos="1503" w:val="left" w:leader="none"/>
        </w:tabs>
        <w:spacing w:line="240" w:lineRule="auto" w:before="36" w:after="0"/>
        <w:ind w:left="1502" w:right="0" w:hanging="420"/>
        <w:jc w:val="left"/>
        <w:rPr>
          <w:sz w:val="21"/>
        </w:rPr>
      </w:pPr>
      <w:r>
        <w:rPr>
          <w:spacing w:val="-1"/>
          <w:sz w:val="21"/>
        </w:rPr>
        <w:t>保险事故通知</w:t>
      </w:r>
    </w:p>
    <w:p>
      <w:pPr>
        <w:pStyle w:val="ListParagraph"/>
        <w:numPr>
          <w:ilvl w:val="1"/>
          <w:numId w:val="3"/>
        </w:numPr>
        <w:tabs>
          <w:tab w:pos="1503" w:val="left" w:leader="none"/>
        </w:tabs>
        <w:spacing w:line="240" w:lineRule="auto" w:before="36" w:after="0"/>
        <w:ind w:left="1502" w:right="0" w:hanging="420"/>
        <w:jc w:val="left"/>
        <w:rPr>
          <w:sz w:val="21"/>
        </w:rPr>
      </w:pPr>
      <w:r>
        <w:rPr>
          <w:spacing w:val="-1"/>
          <w:sz w:val="21"/>
        </w:rPr>
        <w:t>保险金的申请</w:t>
      </w:r>
    </w:p>
    <w:p>
      <w:pPr>
        <w:pStyle w:val="ListParagraph"/>
        <w:numPr>
          <w:ilvl w:val="1"/>
          <w:numId w:val="3"/>
        </w:numPr>
        <w:tabs>
          <w:tab w:pos="1503" w:val="left" w:leader="none"/>
        </w:tabs>
        <w:spacing w:line="240" w:lineRule="auto" w:before="36" w:after="0"/>
        <w:ind w:left="1502" w:right="0" w:hanging="420"/>
        <w:jc w:val="left"/>
        <w:rPr>
          <w:sz w:val="21"/>
        </w:rPr>
      </w:pPr>
      <w:r>
        <w:rPr>
          <w:spacing w:val="-1"/>
          <w:sz w:val="21"/>
        </w:rPr>
        <w:t>保险金的给付</w:t>
      </w:r>
    </w:p>
    <w:p>
      <w:pPr>
        <w:pStyle w:val="ListParagraph"/>
        <w:numPr>
          <w:ilvl w:val="1"/>
          <w:numId w:val="3"/>
        </w:numPr>
        <w:tabs>
          <w:tab w:pos="1503" w:val="left" w:leader="none"/>
        </w:tabs>
        <w:spacing w:line="240" w:lineRule="auto" w:before="36" w:after="0"/>
        <w:ind w:left="1502" w:right="0" w:hanging="420"/>
        <w:jc w:val="left"/>
        <w:rPr>
          <w:sz w:val="21"/>
        </w:rPr>
      </w:pPr>
      <w:r>
        <w:rPr>
          <w:spacing w:val="-1"/>
          <w:sz w:val="21"/>
        </w:rPr>
        <w:t>欠款的扣除</w:t>
      </w:r>
    </w:p>
    <w:p>
      <w:pPr>
        <w:pStyle w:val="ListParagraph"/>
        <w:numPr>
          <w:ilvl w:val="1"/>
          <w:numId w:val="3"/>
        </w:numPr>
        <w:tabs>
          <w:tab w:pos="1503" w:val="left" w:leader="none"/>
        </w:tabs>
        <w:spacing w:line="240" w:lineRule="auto" w:before="36" w:after="0"/>
        <w:ind w:left="1502" w:right="0" w:hanging="420"/>
        <w:jc w:val="left"/>
        <w:rPr>
          <w:sz w:val="21"/>
        </w:rPr>
      </w:pPr>
      <w:r>
        <w:rPr>
          <w:spacing w:val="-1"/>
          <w:sz w:val="21"/>
        </w:rPr>
        <w:t>诉讼时效</w:t>
      </w:r>
    </w:p>
    <w:p>
      <w:pPr>
        <w:pStyle w:val="BodyText"/>
        <w:spacing w:before="8"/>
        <w:rPr>
          <w:sz w:val="26"/>
        </w:rPr>
      </w:pPr>
    </w:p>
    <w:p>
      <w:pPr>
        <w:spacing w:before="0"/>
        <w:ind w:left="872" w:right="0" w:firstLine="0"/>
        <w:jc w:val="left"/>
        <w:rPr>
          <w:b/>
          <w:sz w:val="21"/>
        </w:rPr>
      </w:pPr>
      <w:r>
        <w:rPr>
          <w:b/>
          <w:w w:val="95"/>
          <w:sz w:val="21"/>
        </w:rPr>
        <w:t>4.如何交付保险费</w:t>
      </w:r>
    </w:p>
    <w:p>
      <w:pPr>
        <w:spacing w:before="35"/>
        <w:ind w:left="1082" w:right="0" w:firstLine="0"/>
        <w:jc w:val="left"/>
        <w:rPr>
          <w:sz w:val="21"/>
        </w:rPr>
      </w:pPr>
      <w:r>
        <w:rPr>
          <w:sz w:val="21"/>
        </w:rPr>
        <w:t>4.1 保险费的交付</w:t>
      </w:r>
    </w:p>
    <w:p>
      <w:pPr>
        <w:pStyle w:val="BodyText"/>
        <w:spacing w:before="4"/>
        <w:rPr>
          <w:sz w:val="21"/>
        </w:rPr>
      </w:pPr>
      <w:r>
        <w:rPr/>
        <w:br w:type="column"/>
      </w:r>
      <w:r>
        <w:rPr>
          <w:sz w:val="21"/>
        </w:rPr>
      </w:r>
    </w:p>
    <w:p>
      <w:pPr>
        <w:spacing w:before="0"/>
        <w:ind w:left="153" w:right="0" w:firstLine="0"/>
        <w:jc w:val="left"/>
        <w:rPr>
          <w:b/>
          <w:sz w:val="21"/>
        </w:rPr>
      </w:pPr>
      <w:r>
        <w:rPr>
          <w:b/>
          <w:w w:val="95"/>
          <w:sz w:val="21"/>
        </w:rPr>
        <w:t>5.现金价值权益</w:t>
      </w:r>
    </w:p>
    <w:p>
      <w:pPr>
        <w:pStyle w:val="ListParagraph"/>
        <w:numPr>
          <w:ilvl w:val="1"/>
          <w:numId w:val="4"/>
        </w:numPr>
        <w:tabs>
          <w:tab w:pos="785" w:val="left" w:leader="none"/>
        </w:tabs>
        <w:spacing w:line="240" w:lineRule="auto" w:before="37" w:after="0"/>
        <w:ind w:left="784" w:right="0" w:hanging="420"/>
        <w:jc w:val="left"/>
        <w:rPr>
          <w:sz w:val="21"/>
        </w:rPr>
      </w:pPr>
      <w:r>
        <w:rPr>
          <w:spacing w:val="-1"/>
          <w:sz w:val="21"/>
        </w:rPr>
        <w:t>现金价值</w:t>
      </w:r>
    </w:p>
    <w:p>
      <w:pPr>
        <w:pStyle w:val="ListParagraph"/>
        <w:numPr>
          <w:ilvl w:val="1"/>
          <w:numId w:val="4"/>
        </w:numPr>
        <w:tabs>
          <w:tab w:pos="784" w:val="left" w:leader="none"/>
        </w:tabs>
        <w:spacing w:line="240" w:lineRule="auto" w:before="37" w:after="0"/>
        <w:ind w:left="783" w:right="0" w:hanging="420"/>
        <w:jc w:val="left"/>
        <w:rPr>
          <w:sz w:val="21"/>
        </w:rPr>
      </w:pPr>
      <w:r>
        <w:rPr>
          <w:spacing w:val="-1"/>
          <w:sz w:val="21"/>
        </w:rPr>
        <w:t>自动垫交</w:t>
      </w:r>
    </w:p>
    <w:p>
      <w:pPr>
        <w:pStyle w:val="ListParagraph"/>
        <w:numPr>
          <w:ilvl w:val="1"/>
          <w:numId w:val="4"/>
        </w:numPr>
        <w:tabs>
          <w:tab w:pos="785" w:val="left" w:leader="none"/>
        </w:tabs>
        <w:spacing w:line="240" w:lineRule="auto" w:before="37" w:after="0"/>
        <w:ind w:left="784" w:right="0" w:hanging="421"/>
        <w:jc w:val="left"/>
        <w:rPr>
          <w:sz w:val="21"/>
        </w:rPr>
      </w:pPr>
      <w:r>
        <w:rPr>
          <w:spacing w:val="-1"/>
          <w:sz w:val="21"/>
        </w:rPr>
        <w:t>保险单借款</w:t>
      </w:r>
    </w:p>
    <w:p>
      <w:pPr>
        <w:pStyle w:val="BodyText"/>
        <w:spacing w:before="8"/>
        <w:rPr>
          <w:sz w:val="26"/>
        </w:rPr>
      </w:pPr>
    </w:p>
    <w:p>
      <w:pPr>
        <w:spacing w:before="1"/>
        <w:ind w:left="153" w:right="0" w:firstLine="0"/>
        <w:jc w:val="left"/>
        <w:rPr>
          <w:b/>
          <w:sz w:val="21"/>
        </w:rPr>
      </w:pPr>
      <w:r>
        <w:rPr>
          <w:b/>
          <w:w w:val="95"/>
          <w:sz w:val="21"/>
        </w:rPr>
        <w:t>6.如何解除保险合同</w:t>
      </w:r>
    </w:p>
    <w:p>
      <w:pPr>
        <w:spacing w:line="273" w:lineRule="auto" w:before="37"/>
        <w:ind w:left="783" w:right="417" w:hanging="419"/>
        <w:jc w:val="left"/>
        <w:rPr>
          <w:sz w:val="21"/>
        </w:rPr>
      </w:pPr>
      <w:r>
        <w:rPr>
          <w:sz w:val="21"/>
        </w:rPr>
        <w:t>6.1 您解除合同的手续及风险</w:t>
      </w:r>
    </w:p>
    <w:p>
      <w:pPr>
        <w:pStyle w:val="BodyText"/>
        <w:spacing w:before="5"/>
        <w:rPr>
          <w:sz w:val="24"/>
        </w:rPr>
      </w:pPr>
    </w:p>
    <w:p>
      <w:pPr>
        <w:spacing w:before="0"/>
        <w:ind w:left="153" w:right="0" w:firstLine="0"/>
        <w:jc w:val="left"/>
        <w:rPr>
          <w:b/>
          <w:sz w:val="21"/>
        </w:rPr>
      </w:pPr>
      <w:r>
        <w:rPr>
          <w:b/>
          <w:w w:val="95"/>
          <w:sz w:val="21"/>
        </w:rPr>
        <w:t>7.其他需要您关注的事项</w:t>
      </w:r>
    </w:p>
    <w:p>
      <w:pPr>
        <w:pStyle w:val="ListParagraph"/>
        <w:numPr>
          <w:ilvl w:val="1"/>
          <w:numId w:val="5"/>
        </w:numPr>
        <w:tabs>
          <w:tab w:pos="785" w:val="left" w:leader="none"/>
        </w:tabs>
        <w:spacing w:line="240" w:lineRule="auto" w:before="37" w:after="0"/>
        <w:ind w:left="784" w:right="0" w:hanging="420"/>
        <w:jc w:val="left"/>
        <w:rPr>
          <w:sz w:val="21"/>
        </w:rPr>
      </w:pPr>
      <w:r>
        <w:rPr>
          <w:spacing w:val="-1"/>
          <w:sz w:val="21"/>
        </w:rPr>
        <w:t>投保范围</w:t>
      </w:r>
    </w:p>
    <w:p>
      <w:pPr>
        <w:pStyle w:val="ListParagraph"/>
        <w:numPr>
          <w:ilvl w:val="1"/>
          <w:numId w:val="5"/>
        </w:numPr>
        <w:tabs>
          <w:tab w:pos="784" w:val="left" w:leader="none"/>
        </w:tabs>
        <w:spacing w:line="240" w:lineRule="auto" w:before="37" w:after="0"/>
        <w:ind w:left="783" w:right="0" w:hanging="420"/>
        <w:jc w:val="left"/>
        <w:rPr>
          <w:sz w:val="21"/>
        </w:rPr>
      </w:pPr>
      <w:r>
        <w:rPr>
          <w:spacing w:val="-1"/>
          <w:sz w:val="21"/>
        </w:rPr>
        <w:t>明确说明与如实告知</w:t>
      </w:r>
    </w:p>
    <w:p>
      <w:pPr>
        <w:pStyle w:val="ListParagraph"/>
        <w:numPr>
          <w:ilvl w:val="1"/>
          <w:numId w:val="5"/>
        </w:numPr>
        <w:tabs>
          <w:tab w:pos="784" w:val="left" w:leader="none"/>
        </w:tabs>
        <w:spacing w:line="240" w:lineRule="auto" w:before="37" w:after="0"/>
        <w:ind w:left="783" w:right="0" w:hanging="420"/>
        <w:jc w:val="left"/>
        <w:rPr>
          <w:sz w:val="21"/>
        </w:rPr>
      </w:pPr>
      <w:r>
        <w:rPr>
          <w:spacing w:val="-1"/>
          <w:sz w:val="21"/>
        </w:rPr>
        <w:t>本公司合同解除权的限制</w:t>
      </w:r>
    </w:p>
    <w:p>
      <w:pPr>
        <w:pStyle w:val="ListParagraph"/>
        <w:numPr>
          <w:ilvl w:val="1"/>
          <w:numId w:val="5"/>
        </w:numPr>
        <w:tabs>
          <w:tab w:pos="784" w:val="left" w:leader="none"/>
        </w:tabs>
        <w:spacing w:line="240" w:lineRule="auto" w:before="37" w:after="0"/>
        <w:ind w:left="783" w:right="0" w:hanging="420"/>
        <w:jc w:val="left"/>
        <w:rPr>
          <w:sz w:val="21"/>
        </w:rPr>
      </w:pPr>
      <w:r>
        <w:rPr>
          <w:spacing w:val="-1"/>
          <w:sz w:val="21"/>
        </w:rPr>
        <w:t>年龄计算与错误处理</w:t>
      </w:r>
    </w:p>
    <w:p>
      <w:pPr>
        <w:pStyle w:val="ListParagraph"/>
        <w:numPr>
          <w:ilvl w:val="1"/>
          <w:numId w:val="5"/>
        </w:numPr>
        <w:tabs>
          <w:tab w:pos="785" w:val="left" w:leader="none"/>
        </w:tabs>
        <w:spacing w:line="240" w:lineRule="auto" w:before="37" w:after="0"/>
        <w:ind w:left="784" w:right="0" w:hanging="421"/>
        <w:jc w:val="left"/>
        <w:rPr>
          <w:sz w:val="21"/>
        </w:rPr>
      </w:pPr>
      <w:r>
        <w:rPr>
          <w:spacing w:val="-1"/>
          <w:sz w:val="21"/>
        </w:rPr>
        <w:t>联系方式变更</w:t>
      </w:r>
    </w:p>
    <w:p>
      <w:pPr>
        <w:pStyle w:val="ListParagraph"/>
        <w:numPr>
          <w:ilvl w:val="1"/>
          <w:numId w:val="6"/>
        </w:numPr>
        <w:tabs>
          <w:tab w:pos="599" w:val="left" w:leader="none"/>
        </w:tabs>
        <w:spacing w:line="241" w:lineRule="exact" w:before="0" w:after="0"/>
        <w:ind w:left="598" w:right="0" w:hanging="420"/>
        <w:jc w:val="left"/>
        <w:rPr>
          <w:sz w:val="21"/>
        </w:rPr>
      </w:pPr>
      <w:r>
        <w:rPr>
          <w:sz w:val="21"/>
        </w:rPr>
        <w:br w:type="column"/>
      </w:r>
      <w:r>
        <w:rPr>
          <w:spacing w:val="-1"/>
          <w:sz w:val="21"/>
        </w:rPr>
        <w:t>有效身份证件</w:t>
      </w:r>
    </w:p>
    <w:p>
      <w:pPr>
        <w:pStyle w:val="ListParagraph"/>
        <w:numPr>
          <w:ilvl w:val="1"/>
          <w:numId w:val="6"/>
        </w:numPr>
        <w:tabs>
          <w:tab w:pos="551" w:val="left" w:leader="none"/>
        </w:tabs>
        <w:spacing w:line="240" w:lineRule="auto" w:before="37" w:after="0"/>
        <w:ind w:left="550" w:right="0" w:hanging="369"/>
        <w:jc w:val="left"/>
        <w:rPr>
          <w:sz w:val="21"/>
        </w:rPr>
      </w:pPr>
      <w:r>
        <w:rPr>
          <w:spacing w:val="-1"/>
          <w:sz w:val="21"/>
        </w:rPr>
        <w:t>身体高度残疾</w:t>
      </w:r>
    </w:p>
    <w:p>
      <w:pPr>
        <w:pStyle w:val="ListParagraph"/>
        <w:numPr>
          <w:ilvl w:val="1"/>
          <w:numId w:val="6"/>
        </w:numPr>
        <w:tabs>
          <w:tab w:pos="603" w:val="left" w:leader="none"/>
        </w:tabs>
        <w:spacing w:line="240" w:lineRule="auto" w:before="37" w:after="0"/>
        <w:ind w:left="602" w:right="0" w:hanging="421"/>
        <w:jc w:val="left"/>
        <w:rPr>
          <w:sz w:val="21"/>
        </w:rPr>
      </w:pPr>
      <w:r>
        <w:rPr>
          <w:spacing w:val="-1"/>
          <w:sz w:val="21"/>
        </w:rPr>
        <w:t>意外事故</w:t>
      </w:r>
    </w:p>
    <w:p>
      <w:pPr>
        <w:pStyle w:val="ListParagraph"/>
        <w:numPr>
          <w:ilvl w:val="1"/>
          <w:numId w:val="6"/>
        </w:numPr>
        <w:tabs>
          <w:tab w:pos="603" w:val="left" w:leader="none"/>
        </w:tabs>
        <w:spacing w:line="240" w:lineRule="auto" w:before="37" w:after="0"/>
        <w:ind w:left="602" w:right="0" w:hanging="421"/>
        <w:jc w:val="left"/>
        <w:rPr>
          <w:sz w:val="21"/>
        </w:rPr>
      </w:pPr>
      <w:r>
        <w:rPr>
          <w:spacing w:val="-1"/>
          <w:sz w:val="21"/>
        </w:rPr>
        <w:t>指定或认可的医疗机构</w:t>
      </w:r>
    </w:p>
    <w:p>
      <w:pPr>
        <w:pStyle w:val="ListParagraph"/>
        <w:numPr>
          <w:ilvl w:val="1"/>
          <w:numId w:val="6"/>
        </w:numPr>
        <w:tabs>
          <w:tab w:pos="603" w:val="left" w:leader="none"/>
        </w:tabs>
        <w:spacing w:line="240" w:lineRule="auto" w:before="37" w:after="0"/>
        <w:ind w:left="602" w:right="0" w:hanging="421"/>
        <w:jc w:val="left"/>
        <w:rPr>
          <w:sz w:val="21"/>
        </w:rPr>
      </w:pPr>
      <w:r>
        <w:rPr>
          <w:sz w:val="21"/>
        </w:rPr>
        <w:t>18</w:t>
      </w:r>
      <w:r>
        <w:rPr>
          <w:spacing w:val="-8"/>
          <w:sz w:val="21"/>
        </w:rPr>
        <w:t> 周岁保险单周年日</w:t>
      </w:r>
    </w:p>
    <w:p>
      <w:pPr>
        <w:pStyle w:val="ListParagraph"/>
        <w:numPr>
          <w:ilvl w:val="1"/>
          <w:numId w:val="6"/>
        </w:numPr>
        <w:tabs>
          <w:tab w:pos="603" w:val="left" w:leader="none"/>
        </w:tabs>
        <w:spacing w:line="240" w:lineRule="auto" w:before="37" w:after="0"/>
        <w:ind w:left="602" w:right="0" w:hanging="421"/>
        <w:jc w:val="left"/>
        <w:rPr>
          <w:sz w:val="21"/>
        </w:rPr>
      </w:pPr>
      <w:r>
        <w:rPr>
          <w:sz w:val="21"/>
        </w:rPr>
        <w:t>毒品</w:t>
      </w:r>
    </w:p>
    <w:p>
      <w:pPr>
        <w:pStyle w:val="ListParagraph"/>
        <w:numPr>
          <w:ilvl w:val="1"/>
          <w:numId w:val="6"/>
        </w:numPr>
        <w:tabs>
          <w:tab w:pos="603" w:val="left" w:leader="none"/>
        </w:tabs>
        <w:spacing w:line="240" w:lineRule="auto" w:before="37" w:after="0"/>
        <w:ind w:left="602" w:right="0" w:hanging="421"/>
        <w:jc w:val="left"/>
        <w:rPr>
          <w:sz w:val="21"/>
        </w:rPr>
      </w:pPr>
      <w:r>
        <w:rPr>
          <w:spacing w:val="-1"/>
          <w:sz w:val="21"/>
        </w:rPr>
        <w:t>酒后驾驶</w:t>
      </w:r>
    </w:p>
    <w:p>
      <w:pPr>
        <w:pStyle w:val="ListParagraph"/>
        <w:numPr>
          <w:ilvl w:val="1"/>
          <w:numId w:val="6"/>
        </w:numPr>
        <w:tabs>
          <w:tab w:pos="603" w:val="left" w:leader="none"/>
        </w:tabs>
        <w:spacing w:line="240" w:lineRule="auto" w:before="37" w:after="0"/>
        <w:ind w:left="602" w:right="0" w:hanging="421"/>
        <w:jc w:val="left"/>
        <w:rPr>
          <w:sz w:val="21"/>
        </w:rPr>
      </w:pPr>
      <w:r>
        <w:rPr>
          <w:spacing w:val="-1"/>
          <w:sz w:val="21"/>
        </w:rPr>
        <w:t>无合法有效驾驶证驾驶</w:t>
      </w:r>
    </w:p>
    <w:p>
      <w:pPr>
        <w:pStyle w:val="ListParagraph"/>
        <w:numPr>
          <w:ilvl w:val="1"/>
          <w:numId w:val="6"/>
        </w:numPr>
        <w:tabs>
          <w:tab w:pos="603" w:val="left" w:leader="none"/>
        </w:tabs>
        <w:spacing w:line="240" w:lineRule="auto" w:before="37" w:after="0"/>
        <w:ind w:left="602" w:right="0" w:hanging="421"/>
        <w:jc w:val="left"/>
        <w:rPr>
          <w:sz w:val="21"/>
        </w:rPr>
      </w:pPr>
      <w:r>
        <w:rPr>
          <w:spacing w:val="-1"/>
          <w:sz w:val="21"/>
        </w:rPr>
        <w:t>无有效行驶证</w:t>
      </w:r>
    </w:p>
    <w:p>
      <w:pPr>
        <w:pStyle w:val="ListParagraph"/>
        <w:numPr>
          <w:ilvl w:val="1"/>
          <w:numId w:val="6"/>
        </w:numPr>
        <w:tabs>
          <w:tab w:pos="707" w:val="left" w:leader="none"/>
        </w:tabs>
        <w:spacing w:line="240" w:lineRule="auto" w:before="37" w:after="0"/>
        <w:ind w:left="706" w:right="0" w:hanging="525"/>
        <w:jc w:val="left"/>
        <w:rPr>
          <w:sz w:val="21"/>
        </w:rPr>
      </w:pPr>
      <w:r>
        <w:rPr>
          <w:sz w:val="21"/>
        </w:rPr>
        <w:t>艾滋病</w:t>
      </w:r>
    </w:p>
    <w:p>
      <w:pPr>
        <w:pStyle w:val="ListParagraph"/>
        <w:numPr>
          <w:ilvl w:val="1"/>
          <w:numId w:val="6"/>
        </w:numPr>
        <w:tabs>
          <w:tab w:pos="708" w:val="left" w:leader="none"/>
        </w:tabs>
        <w:spacing w:line="240" w:lineRule="auto" w:before="37" w:after="0"/>
        <w:ind w:left="707" w:right="0" w:hanging="526"/>
        <w:jc w:val="left"/>
        <w:rPr>
          <w:sz w:val="21"/>
        </w:rPr>
      </w:pPr>
      <w:r>
        <w:rPr>
          <w:spacing w:val="-1"/>
          <w:sz w:val="21"/>
        </w:rPr>
        <w:t>艾滋病病毒</w:t>
      </w:r>
    </w:p>
    <w:p>
      <w:pPr>
        <w:pStyle w:val="ListParagraph"/>
        <w:numPr>
          <w:ilvl w:val="1"/>
          <w:numId w:val="6"/>
        </w:numPr>
        <w:tabs>
          <w:tab w:pos="707" w:val="left" w:leader="none"/>
        </w:tabs>
        <w:spacing w:line="240" w:lineRule="auto" w:before="37" w:after="0"/>
        <w:ind w:left="706" w:right="0" w:hanging="525"/>
        <w:jc w:val="left"/>
        <w:rPr>
          <w:sz w:val="21"/>
        </w:rPr>
      </w:pPr>
      <w:r>
        <w:rPr>
          <w:spacing w:val="-1"/>
          <w:sz w:val="21"/>
        </w:rPr>
        <w:t>现金价值</w:t>
      </w:r>
    </w:p>
    <w:p>
      <w:pPr>
        <w:pStyle w:val="ListParagraph"/>
        <w:numPr>
          <w:ilvl w:val="1"/>
          <w:numId w:val="6"/>
        </w:numPr>
        <w:tabs>
          <w:tab w:pos="708" w:val="left" w:leader="none"/>
        </w:tabs>
        <w:spacing w:line="240" w:lineRule="auto" w:before="37" w:after="0"/>
        <w:ind w:left="707" w:right="0" w:hanging="526"/>
        <w:jc w:val="left"/>
        <w:rPr>
          <w:sz w:val="21"/>
        </w:rPr>
      </w:pPr>
      <w:r>
        <w:rPr>
          <w:sz w:val="21"/>
        </w:rPr>
        <w:t>利息</w:t>
      </w:r>
    </w:p>
    <w:p>
      <w:pPr>
        <w:pStyle w:val="ListParagraph"/>
        <w:numPr>
          <w:ilvl w:val="1"/>
          <w:numId w:val="6"/>
        </w:numPr>
        <w:tabs>
          <w:tab w:pos="707" w:val="left" w:leader="none"/>
        </w:tabs>
        <w:spacing w:line="240" w:lineRule="auto" w:before="37" w:after="0"/>
        <w:ind w:left="706" w:right="0" w:hanging="525"/>
        <w:jc w:val="left"/>
        <w:rPr>
          <w:sz w:val="21"/>
        </w:rPr>
      </w:pPr>
      <w:r>
        <w:rPr>
          <w:spacing w:val="-1"/>
          <w:sz w:val="21"/>
        </w:rPr>
        <w:t>意外伤害</w:t>
      </w:r>
    </w:p>
    <w:p>
      <w:pPr>
        <w:spacing w:after="0" w:line="240" w:lineRule="auto"/>
        <w:jc w:val="left"/>
        <w:rPr>
          <w:sz w:val="21"/>
        </w:rPr>
        <w:sectPr>
          <w:type w:val="continuous"/>
          <w:pgSz w:w="11910" w:h="16840"/>
          <w:pgMar w:top="1040" w:bottom="1180" w:left="960" w:right="940"/>
          <w:cols w:num="3" w:equalWidth="0">
            <w:col w:w="3393" w:space="40"/>
            <w:col w:w="3094" w:space="39"/>
            <w:col w:w="3444"/>
          </w:cols>
        </w:sectPr>
      </w:pPr>
    </w:p>
    <w:p>
      <w:pPr>
        <w:pStyle w:val="BodyText"/>
        <w:spacing w:before="3"/>
        <w:rPr>
          <w:sz w:val="28"/>
        </w:rPr>
      </w:pPr>
    </w:p>
    <w:p>
      <w:pPr>
        <w:spacing w:line="408" w:lineRule="auto" w:before="14"/>
        <w:ind w:left="3019" w:right="3228" w:firstLine="280"/>
        <w:jc w:val="left"/>
        <w:rPr>
          <w:b/>
          <w:sz w:val="28"/>
        </w:rPr>
      </w:pPr>
      <w:r>
        <w:rPr>
          <w:b/>
          <w:sz w:val="28"/>
        </w:rPr>
        <w:t>民生人寿保险股份有限公司 </w:t>
      </w:r>
      <w:r>
        <w:rPr>
          <w:b/>
          <w:w w:val="95"/>
          <w:sz w:val="28"/>
        </w:rPr>
        <w:t>如意金康终身重大疾病保险条款</w:t>
      </w:r>
    </w:p>
    <w:p>
      <w:pPr>
        <w:pStyle w:val="BodyText"/>
        <w:spacing w:before="11"/>
        <w:rPr>
          <w:b/>
          <w:sz w:val="26"/>
        </w:rPr>
      </w:pPr>
    </w:p>
    <w:p>
      <w:pPr>
        <w:spacing w:before="1"/>
        <w:ind w:left="224" w:right="0" w:firstLine="0"/>
        <w:jc w:val="left"/>
        <w:rPr>
          <w:sz w:val="21"/>
        </w:rPr>
      </w:pPr>
      <w:r>
        <w:rPr>
          <w:spacing w:val="-23"/>
          <w:sz w:val="21"/>
        </w:rPr>
        <w:t>在本条款中，“您”指投保人，“我们”、“本公司”均指民生人寿保险股份有限公司</w:t>
      </w:r>
    </w:p>
    <w:p>
      <w:pPr>
        <w:pStyle w:val="BodyText"/>
        <w:spacing w:before="7"/>
        <w:rPr>
          <w:sz w:val="25"/>
        </w:rPr>
      </w:pPr>
    </w:p>
    <w:p>
      <w:pPr>
        <w:tabs>
          <w:tab w:pos="907" w:val="left" w:leader="none"/>
        </w:tabs>
        <w:spacing w:before="0"/>
        <w:ind w:left="224" w:right="0" w:firstLine="0"/>
        <w:jc w:val="left"/>
        <w:rPr>
          <w:b/>
          <w:sz w:val="24"/>
        </w:rPr>
      </w:pPr>
      <w:r>
        <w:rPr/>
        <w:pict>
          <v:line style="position:absolute;mso-position-horizontal-relative:page;mso-position-vertical-relative:paragraph;z-index:1096;mso-wrap-distance-left:0;mso-wrap-distance-right:0" from="59.82pt,37.28978pt" to="557.28pt,37.28978pt" stroked="true" strokeweight=".48004pt" strokecolor="#000000">
            <v:stroke dashstyle="solid"/>
            <w10:wrap type="topAndBottom"/>
          </v:line>
        </w:pict>
      </w:r>
      <w:r>
        <w:rPr>
          <w:rFonts w:ascii="Yu Gothic" w:eastAsia="Yu Gothic" w:hint="eastAsia"/>
          <w:b/>
          <w:w w:val="135"/>
          <w:position w:val="-3"/>
          <w:sz w:val="40"/>
        </w:rPr>
        <w:t>0</w:t>
        <w:tab/>
      </w:r>
      <w:r>
        <w:rPr>
          <w:b/>
          <w:w w:val="95"/>
          <w:sz w:val="24"/>
        </w:rPr>
        <w:t>您与我们的合同</w:t>
      </w:r>
    </w:p>
    <w:p>
      <w:pPr>
        <w:pStyle w:val="BodyText"/>
        <w:spacing w:before="7"/>
        <w:rPr>
          <w:b/>
          <w:sz w:val="10"/>
        </w:rPr>
      </w:pPr>
    </w:p>
    <w:p>
      <w:pPr>
        <w:pStyle w:val="ListParagraph"/>
        <w:numPr>
          <w:ilvl w:val="1"/>
          <w:numId w:val="7"/>
        </w:numPr>
        <w:tabs>
          <w:tab w:pos="906" w:val="left" w:leader="none"/>
          <w:tab w:pos="907" w:val="left" w:leader="none"/>
          <w:tab w:pos="2613" w:val="left" w:leader="none"/>
        </w:tabs>
        <w:spacing w:line="295" w:lineRule="auto" w:before="35" w:after="0"/>
        <w:ind w:left="2613" w:right="278" w:hanging="2389"/>
        <w:jc w:val="left"/>
        <w:rPr>
          <w:sz w:val="18"/>
        </w:rPr>
      </w:pPr>
      <w:r>
        <w:rPr>
          <w:b/>
          <w:w w:val="99"/>
          <w:sz w:val="21"/>
        </w:rPr>
        <w:t>合同构成</w:t>
      </w:r>
      <w:r>
        <w:rPr>
          <w:b/>
          <w:sz w:val="21"/>
        </w:rPr>
        <w:tab/>
      </w:r>
      <w:r>
        <w:rPr>
          <w:position w:val="1"/>
          <w:sz w:val="18"/>
        </w:rPr>
        <w:t>本保险合同（以下简称“本合同</w:t>
      </w:r>
      <w:r>
        <w:rPr>
          <w:spacing w:val="-90"/>
          <w:position w:val="1"/>
          <w:sz w:val="18"/>
        </w:rPr>
        <w:t>”</w:t>
      </w:r>
      <w:r>
        <w:rPr>
          <w:position w:val="1"/>
          <w:sz w:val="18"/>
        </w:rPr>
        <w:t>）由保险单、保险条款、投保单，以及与本合同有关的投保</w:t>
      </w:r>
      <w:r>
        <w:rPr>
          <w:sz w:val="18"/>
        </w:rPr>
        <w:t>文件、合法有效的声明、批注和其他书面协议共同构成。</w:t>
      </w:r>
    </w:p>
    <w:p>
      <w:pPr>
        <w:pStyle w:val="BodyText"/>
        <w:spacing w:before="11"/>
      </w:pPr>
    </w:p>
    <w:p>
      <w:pPr>
        <w:pStyle w:val="ListParagraph"/>
        <w:numPr>
          <w:ilvl w:val="1"/>
          <w:numId w:val="7"/>
        </w:numPr>
        <w:tabs>
          <w:tab w:pos="907" w:val="left" w:leader="none"/>
          <w:tab w:pos="908" w:val="left" w:leader="none"/>
          <w:tab w:pos="2613" w:val="left" w:leader="none"/>
        </w:tabs>
        <w:spacing w:line="240" w:lineRule="auto" w:before="0" w:after="0"/>
        <w:ind w:left="907" w:right="0" w:hanging="683"/>
        <w:jc w:val="left"/>
        <w:rPr>
          <w:sz w:val="18"/>
        </w:rPr>
      </w:pPr>
      <w:r>
        <w:rPr>
          <w:b/>
          <w:sz w:val="21"/>
        </w:rPr>
        <w:t>合同成立与生效</w:t>
        <w:tab/>
      </w:r>
      <w:r>
        <w:rPr>
          <w:position w:val="1"/>
          <w:sz w:val="18"/>
        </w:rPr>
        <w:t>自您提出保险申请，本公司同意承保，本合同成立。合同成立日期在保险单上载明。</w:t>
      </w:r>
    </w:p>
    <w:p>
      <w:pPr>
        <w:pStyle w:val="BodyText"/>
        <w:spacing w:line="316" w:lineRule="auto" w:before="62"/>
        <w:ind w:left="2613" w:right="224"/>
        <w:jc w:val="both"/>
      </w:pPr>
      <w:r>
        <w:rPr>
          <w:spacing w:val="-3"/>
        </w:rPr>
        <w:t>本合同自本公司同意承保、收取首期保险费并签发保险单开始生效，具体生效日以保险单载明的日期为准。我们自生效日零时起开始承担本合同约定的保险责任。</w:t>
      </w:r>
    </w:p>
    <w:p>
      <w:pPr>
        <w:pStyle w:val="BodyText"/>
        <w:spacing w:line="316" w:lineRule="auto" w:before="18"/>
        <w:ind w:left="2613" w:right="224"/>
        <w:jc w:val="both"/>
      </w:pPr>
      <w:r>
        <w:rPr>
          <w:spacing w:val="-3"/>
        </w:rPr>
        <w:t>本合同生效日以后每年的对应日是保险单周年日。保险单年度、保险单月份、保险费到期日和保险单满期日均以该日期计算。</w:t>
      </w:r>
    </w:p>
    <w:p>
      <w:pPr>
        <w:pStyle w:val="BodyText"/>
        <w:spacing w:before="18"/>
        <w:ind w:left="2613"/>
      </w:pPr>
      <w:r>
        <w:rPr/>
        <w:t>如果当月无对应的同一天，则以该月最后一日作为对应日。</w:t>
      </w:r>
    </w:p>
    <w:p>
      <w:pPr>
        <w:pStyle w:val="BodyText"/>
        <w:spacing w:before="2"/>
        <w:rPr>
          <w:sz w:val="21"/>
        </w:rPr>
      </w:pPr>
    </w:p>
    <w:p>
      <w:pPr>
        <w:pStyle w:val="ListParagraph"/>
        <w:numPr>
          <w:ilvl w:val="1"/>
          <w:numId w:val="7"/>
        </w:numPr>
        <w:tabs>
          <w:tab w:pos="908" w:val="left" w:leader="none"/>
        </w:tabs>
        <w:spacing w:line="304" w:lineRule="auto" w:before="1" w:after="0"/>
        <w:ind w:left="2613" w:right="224" w:hanging="2389"/>
        <w:jc w:val="both"/>
        <w:rPr>
          <w:sz w:val="18"/>
        </w:rPr>
      </w:pPr>
      <w:r>
        <w:rPr>
          <w:b/>
          <w:spacing w:val="0"/>
          <w:sz w:val="21"/>
        </w:rPr>
        <w:t>犹豫期         </w:t>
      </w:r>
      <w:r>
        <w:rPr>
          <w:spacing w:val="-4"/>
          <w:position w:val="1"/>
          <w:sz w:val="18"/>
        </w:rPr>
        <w:t>自您签收本合同次日起，有十天的犹豫期。在此期间请您认真审视本合同，如果您认为本合同</w:t>
      </w:r>
      <w:r>
        <w:rPr>
          <w:spacing w:val="-7"/>
          <w:sz w:val="18"/>
        </w:rPr>
        <w:t>与您的需求不相符，您可以在此期间提出解除本合同，我们将在扣除十元工本费后无息退还您所交的全部保险费。</w:t>
      </w:r>
    </w:p>
    <w:p>
      <w:pPr>
        <w:pStyle w:val="BodyText"/>
        <w:spacing w:line="316" w:lineRule="auto" w:before="28"/>
        <w:ind w:left="2613" w:right="224" w:hanging="1"/>
        <w:jc w:val="both"/>
      </w:pPr>
      <w:r>
        <w:rPr>
          <w:spacing w:val="-6"/>
        </w:rPr>
        <w:t>解除合同时，您需要填写书面申请书，并提供您的合同及</w:t>
      </w:r>
      <w:r>
        <w:rPr>
          <w:b/>
          <w:spacing w:val="-4"/>
          <w:w w:val="99"/>
        </w:rPr>
        <w:t>有效身份证件</w:t>
      </w:r>
      <w:r>
        <w:rPr/>
        <w:t>（</w:t>
      </w:r>
      <w:r>
        <w:rPr>
          <w:spacing w:val="-23"/>
        </w:rPr>
        <w:t>见 </w:t>
      </w:r>
      <w:r>
        <w:rPr/>
        <w:t>8.1</w:t>
      </w:r>
      <w:r>
        <w:rPr>
          <w:spacing w:val="-90"/>
        </w:rPr>
        <w:t>）</w:t>
      </w:r>
      <w:r>
        <w:rPr>
          <w:spacing w:val="-5"/>
        </w:rPr>
        <w:t>。自您书面申</w:t>
      </w:r>
      <w:r>
        <w:rPr>
          <w:spacing w:val="-8"/>
        </w:rPr>
        <w:t>请解除合同之日起，本合同效力即行终止，对合同解除前发生的保险事故，我们不承担给付保险金的责任。</w:t>
      </w:r>
    </w:p>
    <w:p>
      <w:pPr>
        <w:pStyle w:val="BodyText"/>
        <w:spacing w:before="7"/>
        <w:rPr>
          <w:sz w:val="16"/>
        </w:rPr>
      </w:pPr>
    </w:p>
    <w:p>
      <w:pPr>
        <w:pStyle w:val="ListParagraph"/>
        <w:numPr>
          <w:ilvl w:val="1"/>
          <w:numId w:val="7"/>
        </w:numPr>
        <w:tabs>
          <w:tab w:pos="907" w:val="left" w:leader="none"/>
          <w:tab w:pos="908" w:val="left" w:leader="none"/>
          <w:tab w:pos="2613" w:val="left" w:leader="none"/>
        </w:tabs>
        <w:spacing w:line="240" w:lineRule="auto" w:before="0" w:after="0"/>
        <w:ind w:left="907" w:right="0" w:hanging="683"/>
        <w:jc w:val="left"/>
        <w:rPr>
          <w:sz w:val="18"/>
        </w:rPr>
      </w:pPr>
      <w:r>
        <w:rPr>
          <w:b/>
          <w:position w:val="-2"/>
          <w:sz w:val="21"/>
        </w:rPr>
        <w:t>保险期间</w:t>
        <w:tab/>
      </w:r>
      <w:r>
        <w:rPr>
          <w:sz w:val="18"/>
        </w:rPr>
        <w:t>本合同保险期间为被保险人终身。</w:t>
      </w:r>
    </w:p>
    <w:p>
      <w:pPr>
        <w:tabs>
          <w:tab w:pos="907" w:val="left" w:leader="none"/>
        </w:tabs>
        <w:spacing w:before="187"/>
        <w:ind w:left="224" w:right="0" w:firstLine="0"/>
        <w:jc w:val="left"/>
        <w:rPr>
          <w:b/>
          <w:sz w:val="24"/>
        </w:rPr>
      </w:pPr>
      <w:r>
        <w:rPr/>
        <w:pict>
          <v:line style="position:absolute;mso-position-horizontal-relative:page;mso-position-vertical-relative:paragraph;z-index:1120;mso-wrap-distance-left:0;mso-wrap-distance-right:0" from="59.82pt,46.639805pt" to="557.28pt,46.639805pt" stroked="true" strokeweight=".48001pt" strokecolor="#000000">
            <v:stroke dashstyle="solid"/>
            <w10:wrap type="topAndBottom"/>
          </v:line>
        </w:pict>
      </w:r>
      <w:r>
        <w:rPr>
          <w:rFonts w:ascii="Yu Gothic" w:eastAsia="Yu Gothic" w:hint="eastAsia"/>
          <w:b/>
          <w:w w:val="135"/>
          <w:position w:val="-3"/>
          <w:sz w:val="40"/>
        </w:rPr>
        <w:t>4</w:t>
        <w:tab/>
      </w:r>
      <w:r>
        <w:rPr>
          <w:b/>
          <w:w w:val="95"/>
          <w:sz w:val="24"/>
        </w:rPr>
        <w:t>我们提供的保障</w:t>
      </w:r>
    </w:p>
    <w:p>
      <w:pPr>
        <w:pStyle w:val="BodyText"/>
        <w:spacing w:before="8"/>
        <w:rPr>
          <w:b/>
          <w:sz w:val="10"/>
        </w:rPr>
      </w:pPr>
    </w:p>
    <w:p>
      <w:pPr>
        <w:pStyle w:val="ListParagraph"/>
        <w:numPr>
          <w:ilvl w:val="1"/>
          <w:numId w:val="8"/>
        </w:numPr>
        <w:tabs>
          <w:tab w:pos="906" w:val="left" w:leader="none"/>
          <w:tab w:pos="907" w:val="left" w:leader="none"/>
          <w:tab w:pos="2613" w:val="left" w:leader="none"/>
        </w:tabs>
        <w:spacing w:line="240" w:lineRule="auto" w:before="35" w:after="0"/>
        <w:ind w:left="2613" w:right="0" w:hanging="2389"/>
        <w:jc w:val="left"/>
        <w:rPr>
          <w:sz w:val="18"/>
        </w:rPr>
      </w:pPr>
      <w:r>
        <w:rPr>
          <w:b/>
          <w:sz w:val="21"/>
        </w:rPr>
        <w:t>保险金额</w:t>
        <w:tab/>
      </w:r>
      <w:r>
        <w:rPr>
          <w:position w:val="1"/>
          <w:sz w:val="18"/>
        </w:rPr>
        <w:t>本合同的保险金额由您和本公司约定，并在保险单上载明。</w:t>
      </w:r>
    </w:p>
    <w:p>
      <w:pPr>
        <w:pStyle w:val="BodyText"/>
        <w:spacing w:before="1"/>
        <w:rPr>
          <w:sz w:val="20"/>
        </w:rPr>
      </w:pPr>
    </w:p>
    <w:p>
      <w:pPr>
        <w:pStyle w:val="ListParagraph"/>
        <w:numPr>
          <w:ilvl w:val="1"/>
          <w:numId w:val="8"/>
        </w:numPr>
        <w:tabs>
          <w:tab w:pos="906" w:val="left" w:leader="none"/>
          <w:tab w:pos="907" w:val="left" w:leader="none"/>
          <w:tab w:pos="2613" w:val="left" w:leader="none"/>
        </w:tabs>
        <w:spacing w:line="240" w:lineRule="auto" w:before="1" w:after="0"/>
        <w:ind w:left="906" w:right="0" w:hanging="682"/>
        <w:jc w:val="left"/>
        <w:rPr>
          <w:sz w:val="18"/>
        </w:rPr>
      </w:pPr>
      <w:r>
        <w:rPr>
          <w:b/>
          <w:sz w:val="21"/>
        </w:rPr>
        <w:t>保险责任</w:t>
        <w:tab/>
      </w:r>
      <w:r>
        <w:rPr>
          <w:position w:val="1"/>
          <w:sz w:val="18"/>
        </w:rPr>
        <w:t>在本合同有效期内，本公司按下列规定承担保险责任：</w:t>
      </w:r>
    </w:p>
    <w:p>
      <w:pPr>
        <w:pStyle w:val="BodyText"/>
        <w:spacing w:before="4"/>
        <w:rPr>
          <w:sz w:val="20"/>
        </w:rPr>
      </w:pPr>
    </w:p>
    <w:p>
      <w:pPr>
        <w:pStyle w:val="BodyText"/>
        <w:tabs>
          <w:tab w:pos="2613" w:val="left" w:leader="none"/>
        </w:tabs>
        <w:spacing w:line="295" w:lineRule="auto" w:before="1"/>
        <w:ind w:left="2613" w:right="278" w:hanging="1707"/>
      </w:pPr>
      <w:r>
        <w:rPr>
          <w:b/>
          <w:spacing w:val="0"/>
          <w:w w:val="99"/>
          <w:sz w:val="21"/>
        </w:rPr>
        <w:t>等待</w:t>
      </w:r>
      <w:r>
        <w:rPr>
          <w:b/>
          <w:w w:val="99"/>
          <w:sz w:val="21"/>
        </w:rPr>
        <w:t>期</w:t>
      </w:r>
      <w:r>
        <w:rPr>
          <w:b/>
          <w:sz w:val="21"/>
        </w:rPr>
        <w:tab/>
      </w:r>
      <w:r>
        <w:rPr>
          <w:position w:val="1"/>
          <w:shd w:fill="C0C0C0" w:color="auto" w:val="clear"/>
        </w:rPr>
        <w:t>从本合同生效（或复效）之日起</w:t>
      </w:r>
      <w:r>
        <w:rPr>
          <w:spacing w:val="-46"/>
          <w:position w:val="1"/>
          <w:shd w:fill="C0C0C0" w:color="auto" w:val="clear"/>
        </w:rPr>
        <w:t> </w:t>
      </w:r>
      <w:r>
        <w:rPr>
          <w:position w:val="1"/>
          <w:shd w:fill="C0C0C0" w:color="auto" w:val="clear"/>
        </w:rPr>
        <w:t>180</w:t>
      </w:r>
      <w:r>
        <w:rPr>
          <w:spacing w:val="-46"/>
          <w:position w:val="1"/>
          <w:shd w:fill="C0C0C0" w:color="auto" w:val="clear"/>
        </w:rPr>
        <w:t> </w:t>
      </w:r>
      <w:r>
        <w:rPr>
          <w:position w:val="1"/>
          <w:shd w:fill="C0C0C0" w:color="auto" w:val="clear"/>
        </w:rPr>
        <w:t>天</w:t>
      </w:r>
      <w:r>
        <w:rPr>
          <w:spacing w:val="0"/>
          <w:position w:val="1"/>
          <w:shd w:fill="C0C0C0" w:color="auto" w:val="clear"/>
        </w:rPr>
        <w:t>内</w:t>
      </w:r>
      <w:r>
        <w:rPr>
          <w:position w:val="1"/>
          <w:shd w:fill="C0C0C0" w:color="auto" w:val="clear"/>
        </w:rPr>
        <w:t>（包括第</w:t>
      </w:r>
      <w:r>
        <w:rPr>
          <w:spacing w:val="-46"/>
          <w:position w:val="1"/>
          <w:shd w:fill="C0C0C0" w:color="auto" w:val="clear"/>
        </w:rPr>
        <w:t> </w:t>
      </w:r>
      <w:r>
        <w:rPr>
          <w:position w:val="1"/>
          <w:shd w:fill="C0C0C0" w:color="auto" w:val="clear"/>
        </w:rPr>
        <w:t>180</w:t>
      </w:r>
      <w:r>
        <w:rPr>
          <w:spacing w:val="-45"/>
          <w:position w:val="1"/>
          <w:shd w:fill="C0C0C0" w:color="auto" w:val="clear"/>
        </w:rPr>
        <w:t> </w:t>
      </w:r>
      <w:r>
        <w:rPr>
          <w:position w:val="1"/>
          <w:shd w:fill="C0C0C0" w:color="auto" w:val="clear"/>
        </w:rPr>
        <w:t>天</w:t>
      </w:r>
      <w:r>
        <w:rPr>
          <w:spacing w:val="-91"/>
          <w:position w:val="1"/>
          <w:shd w:fill="C0C0C0" w:color="auto" w:val="clear"/>
        </w:rPr>
        <w:t>）</w:t>
      </w:r>
      <w:r>
        <w:rPr>
          <w:position w:val="1"/>
          <w:shd w:fill="C0C0C0" w:color="auto" w:val="clear"/>
        </w:rPr>
        <w:t>，被保险人因疾病发生下列情形之</w:t>
      </w:r>
      <w:r>
        <w:rPr>
          <w:shd w:fill="C0C0C0" w:color="auto" w:val="clear"/>
        </w:rPr>
        <w:t>一的：</w:t>
      </w:r>
    </w:p>
    <w:p>
      <w:pPr>
        <w:pStyle w:val="ListParagraph"/>
        <w:numPr>
          <w:ilvl w:val="2"/>
          <w:numId w:val="8"/>
        </w:numPr>
        <w:tabs>
          <w:tab w:pos="2918" w:val="left" w:leader="none"/>
        </w:tabs>
        <w:spacing w:line="240" w:lineRule="auto" w:before="35" w:after="0"/>
        <w:ind w:left="2917" w:right="0" w:hanging="304"/>
        <w:jc w:val="left"/>
        <w:rPr>
          <w:sz w:val="18"/>
        </w:rPr>
      </w:pPr>
      <w:r>
        <w:rPr>
          <w:sz w:val="18"/>
          <w:shd w:fill="C0C0C0" w:color="auto" w:val="clear"/>
        </w:rPr>
        <w:t>首次发生并被确诊患有本合同附表一所列的轻症疾病；</w:t>
      </w:r>
    </w:p>
    <w:p>
      <w:pPr>
        <w:pStyle w:val="ListParagraph"/>
        <w:numPr>
          <w:ilvl w:val="2"/>
          <w:numId w:val="8"/>
        </w:numPr>
        <w:tabs>
          <w:tab w:pos="2918" w:val="left" w:leader="none"/>
        </w:tabs>
        <w:spacing w:line="240" w:lineRule="auto" w:before="76" w:after="0"/>
        <w:ind w:left="2917" w:right="0" w:hanging="304"/>
        <w:jc w:val="left"/>
        <w:rPr>
          <w:sz w:val="18"/>
        </w:rPr>
      </w:pPr>
      <w:r>
        <w:rPr>
          <w:sz w:val="18"/>
          <w:shd w:fill="C0C0C0" w:color="auto" w:val="clear"/>
        </w:rPr>
        <w:t>首次发生并被确诊患有本合同附表二所列的重大疾病；</w:t>
      </w:r>
    </w:p>
    <w:p>
      <w:pPr>
        <w:pStyle w:val="ListParagraph"/>
        <w:numPr>
          <w:ilvl w:val="2"/>
          <w:numId w:val="8"/>
        </w:numPr>
        <w:tabs>
          <w:tab w:pos="2918" w:val="left" w:leader="none"/>
        </w:tabs>
        <w:spacing w:line="240" w:lineRule="auto" w:before="76" w:after="0"/>
        <w:ind w:left="2917" w:right="0" w:hanging="304"/>
        <w:jc w:val="left"/>
        <w:rPr>
          <w:sz w:val="18"/>
        </w:rPr>
      </w:pPr>
      <w:r>
        <w:rPr>
          <w:sz w:val="18"/>
          <w:shd w:fill="C0C0C0" w:color="auto" w:val="clear"/>
        </w:rPr>
        <w:t>身故或</w:t>
      </w:r>
      <w:r>
        <w:rPr>
          <w:b/>
          <w:w w:val="99"/>
          <w:sz w:val="18"/>
          <w:shd w:fill="C0C0C0" w:color="auto" w:val="clear"/>
        </w:rPr>
        <w:t>身体高度残疾</w:t>
      </w:r>
      <w:r>
        <w:rPr>
          <w:sz w:val="18"/>
          <w:shd w:fill="C0C0C0" w:color="auto" w:val="clear"/>
        </w:rPr>
        <w:t>（</w:t>
      </w:r>
      <w:r>
        <w:rPr>
          <w:spacing w:val="-23"/>
          <w:sz w:val="18"/>
          <w:shd w:fill="C0C0C0" w:color="auto" w:val="clear"/>
        </w:rPr>
        <w:t>见 </w:t>
      </w:r>
      <w:r>
        <w:rPr>
          <w:sz w:val="18"/>
          <w:shd w:fill="C0C0C0" w:color="auto" w:val="clear"/>
        </w:rPr>
        <w:t>8.</w:t>
      </w:r>
      <w:r>
        <w:rPr>
          <w:spacing w:val="-2"/>
          <w:sz w:val="18"/>
          <w:shd w:fill="C0C0C0" w:color="auto" w:val="clear"/>
        </w:rPr>
        <w:t>2</w:t>
      </w:r>
      <w:r>
        <w:rPr>
          <w:spacing w:val="-90"/>
          <w:sz w:val="18"/>
          <w:shd w:fill="C0C0C0" w:color="auto" w:val="clear"/>
        </w:rPr>
        <w:t>）</w:t>
      </w:r>
      <w:r>
        <w:rPr>
          <w:sz w:val="18"/>
          <w:shd w:fill="C0C0C0" w:color="auto" w:val="clear"/>
        </w:rPr>
        <w:t>。</w:t>
      </w:r>
    </w:p>
    <w:p>
      <w:pPr>
        <w:pStyle w:val="BodyText"/>
        <w:spacing w:line="316" w:lineRule="auto"/>
        <w:ind w:left="2613" w:right="224"/>
        <w:jc w:val="both"/>
      </w:pPr>
      <w:r>
        <w:rPr>
          <w:shd w:fill="C0C0C0" w:color="auto" w:val="clear"/>
        </w:rPr>
        <w:t>发生上述情形（1）的，本公司不承担保险责任，本合同继续有效；发生上述其他情形的，本公司不承担保险责任</w:t>
      </w:r>
      <w:r>
        <w:rPr>
          <w:spacing w:val="-15"/>
          <w:shd w:fill="C0C0C0" w:color="auto" w:val="clear"/>
        </w:rPr>
        <w:t>，本公司向您无息返还已交保险费，本合同终止。这 </w:t>
      </w:r>
      <w:r>
        <w:rPr>
          <w:shd w:fill="C0C0C0" w:color="auto" w:val="clear"/>
        </w:rPr>
        <w:t>180</w:t>
      </w:r>
      <w:r>
        <w:rPr>
          <w:spacing w:val="-7"/>
          <w:shd w:fill="C0C0C0" w:color="auto" w:val="clear"/>
        </w:rPr>
        <w:t> 天时间被称为等待期。</w:t>
      </w:r>
      <w:r>
        <w:rPr>
          <w:spacing w:val="-7"/>
        </w:rPr>
        <w:t>因</w:t>
      </w:r>
      <w:r>
        <w:rPr>
          <w:b/>
          <w:spacing w:val="-7"/>
        </w:rPr>
        <w:t>意外事故</w:t>
      </w:r>
      <w:r>
        <w:rPr>
          <w:spacing w:val="-7"/>
        </w:rPr>
        <w:t>（</w:t>
      </w:r>
      <w:r>
        <w:rPr>
          <w:spacing w:val="-27"/>
        </w:rPr>
        <w:t>见 </w:t>
      </w:r>
      <w:r>
        <w:rPr/>
        <w:t>8.3）发生上述情形之一的，无等待期。</w:t>
      </w:r>
    </w:p>
    <w:p>
      <w:pPr>
        <w:pStyle w:val="BodyText"/>
        <w:spacing w:before="10"/>
        <w:rPr>
          <w:sz w:val="19"/>
        </w:rPr>
      </w:pPr>
    </w:p>
    <w:p>
      <w:pPr>
        <w:spacing w:after="0"/>
        <w:rPr>
          <w:sz w:val="19"/>
        </w:rPr>
        <w:sectPr>
          <w:headerReference w:type="default" r:id="rId9"/>
          <w:pgSz w:w="11910" w:h="16840"/>
          <w:pgMar w:header="877" w:footer="981" w:top="1100" w:bottom="1180" w:left="1080" w:right="640"/>
        </w:sectPr>
      </w:pPr>
    </w:p>
    <w:p>
      <w:pPr>
        <w:pStyle w:val="Heading2"/>
        <w:spacing w:line="273" w:lineRule="auto" w:before="35"/>
      </w:pPr>
      <w:r>
        <w:rPr/>
        <w:t>1、 轻症疾病保险金</w:t>
      </w:r>
    </w:p>
    <w:p>
      <w:pPr>
        <w:pStyle w:val="BodyText"/>
        <w:spacing w:line="316" w:lineRule="auto" w:before="61"/>
        <w:ind w:left="176" w:right="167"/>
      </w:pPr>
      <w:r>
        <w:rPr/>
        <w:br w:type="column"/>
      </w:r>
      <w:r>
        <w:rPr/>
        <w:t>若被保险人经诊断于本合同等待期后首次发生并经本公司</w:t>
      </w:r>
      <w:r>
        <w:rPr>
          <w:b/>
        </w:rPr>
        <w:t>指定或认可的医疗机构</w:t>
      </w:r>
      <w:r>
        <w:rPr/>
        <w:t>（见 8.4）确诊初次患有本合同附表一约定的一项或多项轻症疾病的，本公司按本合同保险金额的 20%向轻</w:t>
      </w:r>
    </w:p>
    <w:p>
      <w:pPr>
        <w:spacing w:after="0" w:line="316" w:lineRule="auto"/>
        <w:sectPr>
          <w:type w:val="continuous"/>
          <w:pgSz w:w="11910" w:h="16840"/>
          <w:pgMar w:top="1040" w:bottom="1180" w:left="1080" w:right="640"/>
          <w:cols w:num="2" w:equalWidth="0">
            <w:col w:w="2398" w:space="40"/>
            <w:col w:w="7752"/>
          </w:cols>
        </w:sectPr>
      </w:pPr>
    </w:p>
    <w:p>
      <w:pPr>
        <w:pStyle w:val="BodyText"/>
        <w:spacing w:before="3"/>
        <w:rPr>
          <w:sz w:val="20"/>
        </w:rPr>
      </w:pPr>
    </w:p>
    <w:p>
      <w:pPr>
        <w:pStyle w:val="BodyText"/>
        <w:spacing w:before="44"/>
        <w:ind w:left="2613"/>
      </w:pPr>
      <w:r>
        <w:rPr>
          <w:spacing w:val="-5"/>
        </w:rPr>
        <w:t>症疾病保险金受益人给付“轻症疾病保险金”，本项责任终止。</w:t>
      </w:r>
    </w:p>
    <w:p>
      <w:pPr>
        <w:pStyle w:val="BodyText"/>
        <w:spacing w:before="7"/>
      </w:pPr>
    </w:p>
    <w:p>
      <w:pPr>
        <w:spacing w:after="0"/>
        <w:sectPr>
          <w:footerReference w:type="default" r:id="rId10"/>
          <w:pgSz w:w="11910" w:h="16840"/>
          <w:pgMar w:footer="981" w:header="877" w:top="1100" w:bottom="1180" w:left="1080" w:right="640"/>
          <w:pgNumType w:start="3"/>
        </w:sectPr>
      </w:pPr>
    </w:p>
    <w:p>
      <w:pPr>
        <w:pStyle w:val="Heading2"/>
        <w:spacing w:line="273" w:lineRule="auto"/>
      </w:pPr>
      <w:r>
        <w:rPr/>
        <w:t>2</w:t>
      </w:r>
      <w:r>
        <w:rPr>
          <w:spacing w:val="-11"/>
        </w:rPr>
        <w:t>、 重大疾病保险金</w:t>
      </w:r>
    </w:p>
    <w:p>
      <w:pPr>
        <w:pStyle w:val="BodyText"/>
        <w:spacing w:line="316" w:lineRule="auto" w:before="61"/>
        <w:ind w:left="252" w:right="226"/>
      </w:pPr>
      <w:r>
        <w:rPr/>
        <w:br w:type="column"/>
      </w:r>
      <w:r>
        <w:rPr/>
        <w:t>若被保险人经诊断于本合同等待期后首次发生并经本公司指定或认可的医疗机构确诊初次患</w:t>
      </w:r>
      <w:r>
        <w:rPr>
          <w:spacing w:val="-2"/>
        </w:rPr>
        <w:t>有本合同附表二约定的一项或多项重大疾病的，本公司按本合同保险金额向重大疾病保险金受</w:t>
      </w:r>
      <w:r>
        <w:rPr>
          <w:spacing w:val="-9"/>
        </w:rPr>
        <w:t>益人给付“重大疾病保险金”，本合同终止。被保险人已经领取或本公司应给付“轻症疾病保</w:t>
      </w:r>
      <w:r>
        <w:rPr>
          <w:spacing w:val="-8"/>
        </w:rPr>
        <w:t>险金”的，本公司按本合同保险金额扣除被保险人已经领取或本公司应给付的“轻症疾病保险</w:t>
      </w:r>
      <w:r>
        <w:rPr>
          <w:spacing w:val="-13"/>
        </w:rPr>
        <w:t>金”后的余额给付“重大疾病保险金”。</w:t>
      </w:r>
    </w:p>
    <w:p>
      <w:pPr>
        <w:spacing w:after="0" w:line="316" w:lineRule="auto"/>
        <w:sectPr>
          <w:type w:val="continuous"/>
          <w:pgSz w:w="11910" w:h="16840"/>
          <w:pgMar w:top="1040" w:bottom="1180" w:left="1080" w:right="640"/>
          <w:cols w:num="2" w:equalWidth="0">
            <w:col w:w="2321" w:space="40"/>
            <w:col w:w="7829"/>
          </w:cols>
        </w:sectPr>
      </w:pPr>
    </w:p>
    <w:p>
      <w:pPr>
        <w:pStyle w:val="BodyText"/>
        <w:spacing w:before="8"/>
        <w:rPr>
          <w:sz w:val="20"/>
        </w:rPr>
      </w:pPr>
    </w:p>
    <w:p>
      <w:pPr>
        <w:spacing w:line="304" w:lineRule="auto" w:before="35"/>
        <w:ind w:left="2613" w:right="224" w:hanging="1707"/>
        <w:jc w:val="both"/>
        <w:rPr>
          <w:sz w:val="18"/>
        </w:rPr>
      </w:pPr>
      <w:r>
        <w:rPr>
          <w:b/>
          <w:spacing w:val="0"/>
          <w:w w:val="99"/>
          <w:sz w:val="21"/>
        </w:rPr>
        <w:t>3</w:t>
      </w:r>
      <w:r>
        <w:rPr>
          <w:b/>
          <w:w w:val="99"/>
          <w:sz w:val="21"/>
        </w:rPr>
        <w:t>、</w:t>
      </w:r>
      <w:r>
        <w:rPr>
          <w:b/>
          <w:spacing w:val="-63"/>
          <w:sz w:val="21"/>
        </w:rPr>
        <w:t> </w:t>
      </w:r>
      <w:r>
        <w:rPr>
          <w:b/>
          <w:w w:val="99"/>
          <w:sz w:val="21"/>
        </w:rPr>
        <w:t>身故保险金</w:t>
      </w:r>
      <w:r>
        <w:rPr>
          <w:b/>
          <w:spacing w:val="-9"/>
          <w:sz w:val="21"/>
        </w:rPr>
        <w:t>   </w:t>
      </w:r>
      <w:r>
        <w:rPr>
          <w:spacing w:val="-3"/>
          <w:position w:val="1"/>
          <w:sz w:val="18"/>
        </w:rPr>
        <w:t>若被保险人于本合同等待期后且于 </w:t>
      </w:r>
      <w:r>
        <w:rPr>
          <w:b/>
          <w:spacing w:val="0"/>
          <w:w w:val="99"/>
          <w:position w:val="1"/>
          <w:sz w:val="18"/>
        </w:rPr>
        <w:t>1</w:t>
      </w:r>
      <w:r>
        <w:rPr>
          <w:b/>
          <w:w w:val="99"/>
          <w:position w:val="1"/>
          <w:sz w:val="18"/>
        </w:rPr>
        <w:t>8</w:t>
      </w:r>
      <w:r>
        <w:rPr>
          <w:b/>
          <w:spacing w:val="-46"/>
          <w:position w:val="1"/>
          <w:sz w:val="18"/>
        </w:rPr>
        <w:t> </w:t>
      </w:r>
      <w:r>
        <w:rPr>
          <w:b/>
          <w:spacing w:val="-1"/>
          <w:w w:val="99"/>
          <w:position w:val="1"/>
          <w:sz w:val="18"/>
        </w:rPr>
        <w:t>周岁保险单周年日</w:t>
      </w:r>
      <w:r>
        <w:rPr>
          <w:position w:val="1"/>
          <w:sz w:val="18"/>
        </w:rPr>
        <w:t>（</w:t>
      </w:r>
      <w:r>
        <w:rPr>
          <w:spacing w:val="-23"/>
          <w:position w:val="1"/>
          <w:sz w:val="18"/>
        </w:rPr>
        <w:t>见 </w:t>
      </w:r>
      <w:r>
        <w:rPr>
          <w:position w:val="1"/>
          <w:sz w:val="18"/>
        </w:rPr>
        <w:t>8.5</w:t>
      </w:r>
      <w:r>
        <w:rPr>
          <w:spacing w:val="-90"/>
          <w:position w:val="1"/>
          <w:sz w:val="18"/>
        </w:rPr>
        <w:t>）</w:t>
      </w:r>
      <w:r>
        <w:rPr>
          <w:position w:val="1"/>
          <w:sz w:val="18"/>
        </w:rPr>
        <w:t>（不含）之前身故，本公司</w:t>
      </w:r>
      <w:r>
        <w:rPr>
          <w:sz w:val="18"/>
        </w:rPr>
        <w:t>按照本合同的累计已交保险费</w:t>
      </w:r>
      <w:r>
        <w:rPr>
          <w:spacing w:val="0"/>
          <w:sz w:val="18"/>
        </w:rPr>
        <w:t>（不计利息）</w:t>
      </w:r>
      <w:r>
        <w:rPr>
          <w:spacing w:val="-5"/>
          <w:sz w:val="18"/>
        </w:rPr>
        <w:t>向身故保险金受益人给付“身故保险金”，本合同终止。</w:t>
      </w:r>
    </w:p>
    <w:p>
      <w:pPr>
        <w:pStyle w:val="BodyText"/>
        <w:spacing w:line="316" w:lineRule="auto" w:before="27"/>
        <w:ind w:left="2613" w:right="278"/>
      </w:pPr>
      <w:r>
        <w:rPr>
          <w:spacing w:val="-3"/>
        </w:rPr>
        <w:t>若被保险人于本合同等待期后且于 </w:t>
      </w:r>
      <w:r>
        <w:rPr/>
        <w:t>18</w:t>
      </w:r>
      <w:r>
        <w:rPr>
          <w:spacing w:val="-7"/>
        </w:rPr>
        <w:t> 周岁保险单周年日</w:t>
      </w:r>
      <w:r>
        <w:rPr/>
        <w:t>（含）之后身故，本公司按本合同保</w:t>
      </w:r>
      <w:r>
        <w:rPr>
          <w:spacing w:val="-5"/>
        </w:rPr>
        <w:t>险金额向身故保险金受益人给付“身故保险金”，本合同终止。</w:t>
      </w:r>
    </w:p>
    <w:p>
      <w:pPr>
        <w:pStyle w:val="BodyText"/>
        <w:spacing w:before="8"/>
        <w:rPr>
          <w:sz w:val="20"/>
        </w:rPr>
      </w:pPr>
    </w:p>
    <w:p>
      <w:pPr>
        <w:spacing w:after="0"/>
        <w:rPr>
          <w:sz w:val="20"/>
        </w:rPr>
        <w:sectPr>
          <w:type w:val="continuous"/>
          <w:pgSz w:w="11910" w:h="16840"/>
          <w:pgMar w:top="1040" w:bottom="1180" w:left="1080" w:right="640"/>
        </w:sectPr>
      </w:pPr>
    </w:p>
    <w:p>
      <w:pPr>
        <w:pStyle w:val="Heading2"/>
        <w:spacing w:line="273" w:lineRule="auto" w:before="35"/>
      </w:pPr>
      <w:r>
        <w:rPr/>
        <w:t>4</w:t>
      </w:r>
      <w:r>
        <w:rPr>
          <w:spacing w:val="-11"/>
        </w:rPr>
        <w:t>、 身体高度残疾保险金</w:t>
      </w:r>
    </w:p>
    <w:p>
      <w:pPr>
        <w:pStyle w:val="BodyText"/>
        <w:spacing w:line="316" w:lineRule="auto" w:before="60"/>
        <w:ind w:left="252" w:right="171"/>
      </w:pPr>
      <w:r>
        <w:rPr/>
        <w:br w:type="column"/>
      </w:r>
      <w:r>
        <w:rPr/>
        <w:t>若被保险人于本合同等待期后导致身体高度残疾，本公司按本合同保险金额向身体高度残疾保险金受益人给付“身体高度残疾保险金”，本合同终止。</w:t>
      </w:r>
    </w:p>
    <w:p>
      <w:pPr>
        <w:spacing w:after="0" w:line="316" w:lineRule="auto"/>
        <w:sectPr>
          <w:type w:val="continuous"/>
          <w:pgSz w:w="11910" w:h="16840"/>
          <w:pgMar w:top="1040" w:bottom="1180" w:left="1080" w:right="640"/>
          <w:cols w:num="2" w:equalWidth="0">
            <w:col w:w="2321" w:space="40"/>
            <w:col w:w="7829"/>
          </w:cols>
        </w:sectPr>
      </w:pPr>
    </w:p>
    <w:p>
      <w:pPr>
        <w:pStyle w:val="BodyText"/>
        <w:spacing w:before="2"/>
        <w:rPr>
          <w:sz w:val="14"/>
        </w:rPr>
      </w:pPr>
    </w:p>
    <w:p>
      <w:pPr>
        <w:pStyle w:val="ListParagraph"/>
        <w:numPr>
          <w:ilvl w:val="1"/>
          <w:numId w:val="8"/>
        </w:numPr>
        <w:tabs>
          <w:tab w:pos="906" w:val="left" w:leader="none"/>
          <w:tab w:pos="907" w:val="left" w:leader="none"/>
          <w:tab w:pos="2613" w:val="left" w:leader="none"/>
        </w:tabs>
        <w:spacing w:line="295" w:lineRule="auto" w:before="35" w:after="0"/>
        <w:ind w:left="2613" w:right="135" w:hanging="2389"/>
        <w:jc w:val="left"/>
        <w:rPr>
          <w:sz w:val="18"/>
        </w:rPr>
      </w:pPr>
      <w:r>
        <w:rPr>
          <w:b/>
          <w:sz w:val="21"/>
        </w:rPr>
        <w:t>责任免除</w:t>
        <w:tab/>
      </w:r>
      <w:r>
        <w:rPr>
          <w:position w:val="1"/>
          <w:sz w:val="18"/>
          <w:shd w:fill="C0C0C0" w:color="auto" w:val="clear"/>
        </w:rPr>
        <w:t>被保险人因下列情形之一导致罹患本合同约定的轻症疾病</w:t>
      </w:r>
      <w:r>
        <w:rPr>
          <w:spacing w:val="-64"/>
          <w:position w:val="1"/>
          <w:sz w:val="18"/>
          <w:shd w:fill="C0C0C0" w:color="auto" w:val="clear"/>
        </w:rPr>
        <w:t>、</w:t>
      </w:r>
      <w:r>
        <w:rPr>
          <w:position w:val="1"/>
          <w:sz w:val="18"/>
          <w:shd w:fill="C0C0C0" w:color="auto" w:val="clear"/>
        </w:rPr>
        <w:t>重大疾病</w:t>
      </w:r>
      <w:r>
        <w:rPr>
          <w:spacing w:val="-64"/>
          <w:position w:val="1"/>
          <w:sz w:val="18"/>
          <w:shd w:fill="C0C0C0" w:color="auto" w:val="clear"/>
        </w:rPr>
        <w:t>、</w:t>
      </w:r>
      <w:r>
        <w:rPr>
          <w:position w:val="1"/>
          <w:sz w:val="18"/>
          <w:shd w:fill="C0C0C0" w:color="auto" w:val="clear"/>
        </w:rPr>
        <w:t>身故或身体高度残疾的，</w:t>
      </w:r>
      <w:r>
        <w:rPr>
          <w:sz w:val="18"/>
          <w:shd w:fill="C0C0C0" w:color="auto" w:val="clear"/>
        </w:rPr>
        <w:t>本公司不承担保险责任：</w:t>
      </w:r>
    </w:p>
    <w:p>
      <w:pPr>
        <w:pStyle w:val="Heading3"/>
        <w:spacing w:before="34"/>
        <w:ind w:left="2613" w:firstLine="0"/>
      </w:pPr>
      <w:r>
        <w:rPr>
          <w:shd w:fill="C0C0C0" w:color="auto" w:val="clear"/>
        </w:rPr>
        <w:t>1、 投保人对被保险人的故意杀害、故意伤害；</w:t>
      </w:r>
    </w:p>
    <w:p>
      <w:pPr>
        <w:spacing w:before="76"/>
        <w:ind w:left="2613" w:right="0" w:firstLine="0"/>
        <w:jc w:val="left"/>
        <w:rPr>
          <w:b/>
          <w:sz w:val="18"/>
        </w:rPr>
      </w:pPr>
      <w:r>
        <w:rPr>
          <w:b/>
          <w:sz w:val="18"/>
          <w:shd w:fill="C0C0C0" w:color="auto" w:val="clear"/>
        </w:rPr>
        <w:t>2、 被保险人故意犯罪或者抗拒依法采取的刑事强制措施；</w:t>
      </w:r>
    </w:p>
    <w:p>
      <w:pPr>
        <w:spacing w:before="76"/>
        <w:ind w:left="2613" w:right="0" w:firstLine="0"/>
        <w:jc w:val="left"/>
        <w:rPr>
          <w:b/>
          <w:sz w:val="18"/>
        </w:rPr>
      </w:pPr>
      <w:r>
        <w:rPr>
          <w:b/>
          <w:sz w:val="18"/>
          <w:shd w:fill="C0C0C0" w:color="auto" w:val="clear"/>
        </w:rPr>
        <w:t>3、 被保险人故意自伤；</w:t>
      </w:r>
    </w:p>
    <w:p>
      <w:pPr>
        <w:spacing w:line="316" w:lineRule="auto" w:before="76"/>
        <w:ind w:left="3030" w:right="289" w:hanging="417"/>
        <w:jc w:val="left"/>
        <w:rPr>
          <w:b/>
          <w:sz w:val="18"/>
        </w:rPr>
      </w:pPr>
      <w:r>
        <w:rPr>
          <w:b/>
          <w:sz w:val="18"/>
          <w:shd w:fill="C0C0C0" w:color="auto" w:val="clear"/>
        </w:rPr>
        <w:t>4、 被保险人在本合同成立之日起二年内或最后复效日起二年内自杀，但被保险人自杀时为</w:t>
      </w:r>
      <w:r>
        <w:rPr>
          <w:b/>
          <w:w w:val="95"/>
          <w:sz w:val="18"/>
          <w:shd w:fill="C0C0C0" w:color="auto" w:val="clear"/>
        </w:rPr>
        <w:t>无民事行为能力人的除外</w:t>
      </w:r>
      <w:r>
        <w:rPr>
          <w:b/>
          <w:spacing w:val="-180"/>
          <w:w w:val="95"/>
          <w:sz w:val="18"/>
          <w:shd w:fill="C0C0C0" w:color="auto" w:val="clear"/>
        </w:rPr>
        <w:t>；</w:t>
      </w:r>
    </w:p>
    <w:p>
      <w:pPr>
        <w:spacing w:before="19"/>
        <w:ind w:left="2613" w:right="0" w:firstLine="0"/>
        <w:jc w:val="left"/>
        <w:rPr>
          <w:b/>
          <w:sz w:val="18"/>
        </w:rPr>
      </w:pPr>
      <w:r>
        <w:rPr>
          <w:b/>
          <w:spacing w:val="0"/>
          <w:w w:val="99"/>
          <w:sz w:val="18"/>
          <w:shd w:fill="C0C0C0" w:color="auto" w:val="clear"/>
        </w:rPr>
        <w:t>5</w:t>
      </w:r>
      <w:r>
        <w:rPr>
          <w:b/>
          <w:w w:val="99"/>
          <w:sz w:val="18"/>
          <w:shd w:fill="C0C0C0" w:color="auto" w:val="clear"/>
        </w:rPr>
        <w:t>、</w:t>
      </w:r>
      <w:r>
        <w:rPr>
          <w:b/>
          <w:spacing w:val="35"/>
          <w:sz w:val="18"/>
          <w:shd w:fill="C0C0C0" w:color="auto" w:val="clear"/>
        </w:rPr>
        <w:t> </w:t>
      </w:r>
      <w:r>
        <w:rPr>
          <w:b/>
          <w:w w:val="99"/>
          <w:sz w:val="18"/>
          <w:shd w:fill="C0C0C0" w:color="auto" w:val="clear"/>
        </w:rPr>
        <w:t>被保险人主动吸食或注射毒品</w:t>
      </w:r>
      <w:r>
        <w:rPr>
          <w:sz w:val="18"/>
          <w:shd w:fill="C0C0C0" w:color="auto" w:val="clear"/>
        </w:rPr>
        <w:t>（</w:t>
      </w:r>
      <w:r>
        <w:rPr>
          <w:spacing w:val="-23"/>
          <w:sz w:val="18"/>
          <w:shd w:fill="C0C0C0" w:color="auto" w:val="clear"/>
        </w:rPr>
        <w:t>见 </w:t>
      </w:r>
      <w:r>
        <w:rPr>
          <w:sz w:val="18"/>
          <w:shd w:fill="C0C0C0" w:color="auto" w:val="clear"/>
        </w:rPr>
        <w:t>8.6</w:t>
      </w:r>
      <w:r>
        <w:rPr>
          <w:spacing w:val="-90"/>
          <w:sz w:val="18"/>
          <w:shd w:fill="C0C0C0" w:color="auto" w:val="clear"/>
        </w:rPr>
        <w:t>）</w:t>
      </w:r>
      <w:r>
        <w:rPr>
          <w:b/>
          <w:w w:val="99"/>
          <w:sz w:val="18"/>
          <w:shd w:fill="C0C0C0" w:color="auto" w:val="clear"/>
        </w:rPr>
        <w:t>；</w:t>
      </w:r>
    </w:p>
    <w:p>
      <w:pPr>
        <w:spacing w:before="76"/>
        <w:ind w:left="2613" w:right="0" w:firstLine="0"/>
        <w:jc w:val="left"/>
        <w:rPr>
          <w:sz w:val="18"/>
        </w:rPr>
      </w:pPr>
      <w:r>
        <w:rPr>
          <w:b/>
          <w:spacing w:val="0"/>
          <w:w w:val="99"/>
          <w:sz w:val="18"/>
          <w:shd w:fill="C0C0C0" w:color="auto" w:val="clear"/>
        </w:rPr>
        <w:t>6</w:t>
      </w:r>
      <w:r>
        <w:rPr>
          <w:b/>
          <w:w w:val="99"/>
          <w:sz w:val="18"/>
          <w:shd w:fill="C0C0C0" w:color="auto" w:val="clear"/>
        </w:rPr>
        <w:t>、</w:t>
      </w:r>
      <w:r>
        <w:rPr>
          <w:b/>
          <w:spacing w:val="35"/>
          <w:sz w:val="18"/>
          <w:shd w:fill="C0C0C0" w:color="auto" w:val="clear"/>
        </w:rPr>
        <w:t> </w:t>
      </w:r>
      <w:r>
        <w:rPr>
          <w:b/>
          <w:spacing w:val="-3"/>
          <w:w w:val="99"/>
          <w:sz w:val="18"/>
          <w:shd w:fill="C0C0C0" w:color="auto" w:val="clear"/>
        </w:rPr>
        <w:t>被保险人酒后驾驶</w:t>
      </w:r>
      <w:r>
        <w:rPr>
          <w:sz w:val="18"/>
          <w:shd w:fill="C0C0C0" w:color="auto" w:val="clear"/>
        </w:rPr>
        <w:t>（</w:t>
      </w:r>
      <w:r>
        <w:rPr>
          <w:spacing w:val="-23"/>
          <w:sz w:val="18"/>
          <w:shd w:fill="C0C0C0" w:color="auto" w:val="clear"/>
        </w:rPr>
        <w:t>见 </w:t>
      </w:r>
      <w:r>
        <w:rPr>
          <w:sz w:val="18"/>
          <w:shd w:fill="C0C0C0" w:color="auto" w:val="clear"/>
        </w:rPr>
        <w:t>8.7</w:t>
      </w:r>
      <w:r>
        <w:rPr>
          <w:spacing w:val="-90"/>
          <w:sz w:val="18"/>
          <w:shd w:fill="C0C0C0" w:color="auto" w:val="clear"/>
        </w:rPr>
        <w:t>）</w:t>
      </w:r>
      <w:r>
        <w:rPr>
          <w:b/>
          <w:spacing w:val="-6"/>
          <w:w w:val="99"/>
          <w:sz w:val="18"/>
          <w:shd w:fill="C0C0C0" w:color="auto" w:val="clear"/>
        </w:rPr>
        <w:t>、无合法有效驾驶证驾驶</w:t>
      </w:r>
      <w:r>
        <w:rPr>
          <w:spacing w:val="-2"/>
          <w:sz w:val="18"/>
          <w:shd w:fill="C0C0C0" w:color="auto" w:val="clear"/>
        </w:rPr>
        <w:t>（</w:t>
      </w:r>
      <w:r>
        <w:rPr>
          <w:spacing w:val="-23"/>
          <w:sz w:val="18"/>
          <w:shd w:fill="C0C0C0" w:color="auto" w:val="clear"/>
        </w:rPr>
        <w:t>见 </w:t>
      </w:r>
      <w:r>
        <w:rPr>
          <w:sz w:val="18"/>
          <w:shd w:fill="C0C0C0" w:color="auto" w:val="clear"/>
        </w:rPr>
        <w:t>8.8</w:t>
      </w:r>
      <w:r>
        <w:rPr>
          <w:spacing w:val="-20"/>
          <w:sz w:val="18"/>
          <w:shd w:fill="C0C0C0" w:color="auto" w:val="clear"/>
        </w:rPr>
        <w:t>）</w:t>
      </w:r>
      <w:r>
        <w:rPr>
          <w:b/>
          <w:spacing w:val="-3"/>
          <w:w w:val="99"/>
          <w:sz w:val="18"/>
          <w:shd w:fill="C0C0C0" w:color="auto" w:val="clear"/>
        </w:rPr>
        <w:t>或驾驶无有效行驶证</w:t>
      </w:r>
      <w:r>
        <w:rPr>
          <w:sz w:val="18"/>
          <w:shd w:fill="C0C0C0" w:color="auto" w:val="clear"/>
        </w:rPr>
        <w:t>（见</w:t>
      </w:r>
    </w:p>
    <w:p>
      <w:pPr>
        <w:spacing w:before="76"/>
        <w:ind w:left="3010" w:right="0" w:firstLine="0"/>
        <w:jc w:val="left"/>
        <w:rPr>
          <w:b/>
          <w:sz w:val="18"/>
        </w:rPr>
      </w:pPr>
      <w:r>
        <w:rPr>
          <w:w w:val="95"/>
          <w:sz w:val="18"/>
          <w:shd w:fill="C0C0C0" w:color="auto" w:val="clear"/>
        </w:rPr>
        <w:t>8.9）</w:t>
      </w:r>
      <w:r>
        <w:rPr>
          <w:b/>
          <w:w w:val="95"/>
          <w:sz w:val="18"/>
          <w:shd w:fill="C0C0C0" w:color="auto" w:val="clear"/>
        </w:rPr>
        <w:t>的机动车；</w:t>
      </w:r>
    </w:p>
    <w:p>
      <w:pPr>
        <w:spacing w:before="76"/>
        <w:ind w:left="2613" w:right="0" w:firstLine="0"/>
        <w:jc w:val="left"/>
        <w:rPr>
          <w:sz w:val="18"/>
        </w:rPr>
      </w:pPr>
      <w:r>
        <w:rPr>
          <w:b/>
          <w:spacing w:val="0"/>
          <w:w w:val="99"/>
          <w:sz w:val="18"/>
          <w:shd w:fill="C0C0C0" w:color="auto" w:val="clear"/>
        </w:rPr>
        <w:t>7</w:t>
      </w:r>
      <w:r>
        <w:rPr>
          <w:b/>
          <w:w w:val="99"/>
          <w:sz w:val="18"/>
          <w:shd w:fill="C0C0C0" w:color="auto" w:val="clear"/>
        </w:rPr>
        <w:t>、</w:t>
      </w:r>
      <w:r>
        <w:rPr>
          <w:b/>
          <w:spacing w:val="-19"/>
          <w:sz w:val="18"/>
          <w:shd w:fill="C0C0C0" w:color="auto" w:val="clear"/>
        </w:rPr>
        <w:t>  </w:t>
      </w:r>
      <w:r>
        <w:rPr>
          <w:b/>
          <w:w w:val="99"/>
          <w:sz w:val="18"/>
          <w:shd w:fill="C0C0C0" w:color="auto" w:val="clear"/>
        </w:rPr>
        <w:t>被保险人在本合同生效日起二年内患艾滋病</w:t>
      </w:r>
      <w:r>
        <w:rPr>
          <w:sz w:val="18"/>
          <w:shd w:fill="C0C0C0" w:color="auto" w:val="clear"/>
        </w:rPr>
        <w:t>（</w:t>
      </w:r>
      <w:r>
        <w:rPr>
          <w:spacing w:val="-23"/>
          <w:sz w:val="18"/>
          <w:shd w:fill="C0C0C0" w:color="auto" w:val="clear"/>
        </w:rPr>
        <w:t>见 </w:t>
      </w:r>
      <w:r>
        <w:rPr>
          <w:sz w:val="18"/>
          <w:shd w:fill="C0C0C0" w:color="auto" w:val="clear"/>
        </w:rPr>
        <w:t>8.10</w:t>
      </w:r>
      <w:r>
        <w:rPr>
          <w:spacing w:val="-90"/>
          <w:sz w:val="18"/>
          <w:shd w:fill="C0C0C0" w:color="auto" w:val="clear"/>
        </w:rPr>
        <w:t>）</w:t>
      </w:r>
      <w:r>
        <w:rPr>
          <w:b/>
          <w:spacing w:val="0"/>
          <w:w w:val="99"/>
          <w:sz w:val="18"/>
          <w:shd w:fill="C0C0C0" w:color="auto" w:val="clear"/>
        </w:rPr>
        <w:t>（AI</w:t>
      </w:r>
      <w:r>
        <w:rPr>
          <w:b/>
          <w:w w:val="99"/>
          <w:sz w:val="18"/>
          <w:shd w:fill="C0C0C0" w:color="auto" w:val="clear"/>
        </w:rPr>
        <w:t>D</w:t>
      </w:r>
      <w:r>
        <w:rPr>
          <w:b/>
          <w:spacing w:val="0"/>
          <w:w w:val="99"/>
          <w:sz w:val="18"/>
          <w:shd w:fill="C0C0C0" w:color="auto" w:val="clear"/>
        </w:rPr>
        <w:t>S</w:t>
      </w:r>
      <w:r>
        <w:rPr>
          <w:b/>
          <w:w w:val="99"/>
          <w:sz w:val="18"/>
          <w:shd w:fill="C0C0C0" w:color="auto" w:val="clear"/>
        </w:rPr>
        <w:t>）</w:t>
      </w:r>
      <w:r>
        <w:rPr>
          <w:b/>
          <w:w w:val="99"/>
          <w:sz w:val="18"/>
          <w:shd w:fill="C0C0C0" w:color="auto" w:val="clear"/>
        </w:rPr>
        <w:t>或感染艾滋病病毒</w:t>
      </w:r>
      <w:r>
        <w:rPr>
          <w:spacing w:val="-2"/>
          <w:sz w:val="18"/>
          <w:shd w:fill="C0C0C0" w:color="auto" w:val="clear"/>
        </w:rPr>
        <w:t>（见</w:t>
      </w:r>
    </w:p>
    <w:p>
      <w:pPr>
        <w:spacing w:before="76"/>
        <w:ind w:left="3030" w:right="0" w:firstLine="0"/>
        <w:jc w:val="left"/>
        <w:rPr>
          <w:b/>
          <w:sz w:val="18"/>
        </w:rPr>
      </w:pPr>
      <w:r>
        <w:rPr>
          <w:sz w:val="18"/>
          <w:shd w:fill="C0C0C0" w:color="auto" w:val="clear"/>
        </w:rPr>
        <w:t>8.11</w:t>
      </w:r>
      <w:r>
        <w:rPr>
          <w:spacing w:val="-90"/>
          <w:sz w:val="18"/>
          <w:shd w:fill="C0C0C0" w:color="auto" w:val="clear"/>
        </w:rPr>
        <w:t>）</w:t>
      </w:r>
      <w:r>
        <w:rPr>
          <w:b/>
          <w:spacing w:val="0"/>
          <w:w w:val="99"/>
          <w:sz w:val="18"/>
          <w:shd w:fill="C0C0C0" w:color="auto" w:val="clear"/>
        </w:rPr>
        <w:t>（</w:t>
      </w:r>
      <w:r>
        <w:rPr>
          <w:b/>
          <w:spacing w:val="0"/>
          <w:w w:val="99"/>
          <w:sz w:val="18"/>
          <w:shd w:fill="C0C0C0" w:color="auto" w:val="clear"/>
        </w:rPr>
        <w:t>H</w:t>
      </w:r>
      <w:r>
        <w:rPr>
          <w:b/>
          <w:w w:val="99"/>
          <w:sz w:val="18"/>
          <w:shd w:fill="C0C0C0" w:color="auto" w:val="clear"/>
        </w:rPr>
        <w:t>IV</w:t>
      </w:r>
      <w:r>
        <w:rPr>
          <w:b/>
          <w:sz w:val="18"/>
          <w:shd w:fill="C0C0C0" w:color="auto" w:val="clear"/>
        </w:rPr>
        <w:t> </w:t>
      </w:r>
      <w:r>
        <w:rPr>
          <w:b/>
          <w:w w:val="99"/>
          <w:sz w:val="18"/>
          <w:shd w:fill="C0C0C0" w:color="auto" w:val="clear"/>
        </w:rPr>
        <w:t>呈阳性</w:t>
      </w:r>
      <w:r>
        <w:rPr>
          <w:b/>
          <w:spacing w:val="-89"/>
          <w:w w:val="99"/>
          <w:sz w:val="18"/>
          <w:shd w:fill="C0C0C0" w:color="auto" w:val="clear"/>
        </w:rPr>
        <w:t>）</w:t>
      </w:r>
      <w:r>
        <w:rPr>
          <w:b/>
          <w:w w:val="99"/>
          <w:sz w:val="18"/>
          <w:shd w:fill="C0C0C0" w:color="auto" w:val="clear"/>
        </w:rPr>
        <w:t>；</w:t>
      </w:r>
    </w:p>
    <w:p>
      <w:pPr>
        <w:pStyle w:val="Heading3"/>
        <w:spacing w:before="76"/>
        <w:ind w:left="2613" w:firstLine="0"/>
      </w:pPr>
      <w:r>
        <w:rPr>
          <w:shd w:fill="C0C0C0" w:color="auto" w:val="clear"/>
        </w:rPr>
        <w:t>8、 战争、军事冲突、暴乱或武装叛乱；</w:t>
      </w:r>
    </w:p>
    <w:p>
      <w:pPr>
        <w:spacing w:before="76"/>
        <w:ind w:left="2613" w:right="0" w:firstLine="0"/>
        <w:jc w:val="left"/>
        <w:rPr>
          <w:b/>
          <w:sz w:val="18"/>
        </w:rPr>
      </w:pPr>
      <w:r>
        <w:rPr>
          <w:b/>
          <w:sz w:val="18"/>
          <w:shd w:fill="C0C0C0" w:color="auto" w:val="clear"/>
        </w:rPr>
        <w:t>9、 核爆炸、核辐射或核污染；</w:t>
      </w:r>
    </w:p>
    <w:p>
      <w:pPr>
        <w:pStyle w:val="BodyText"/>
        <w:spacing w:line="316" w:lineRule="auto"/>
        <w:ind w:left="2613" w:right="224"/>
      </w:pPr>
      <w:r>
        <w:rPr>
          <w:spacing w:val="-8"/>
          <w:shd w:fill="C0C0C0" w:color="auto" w:val="clear"/>
        </w:rPr>
        <w:t>发生上述第 </w:t>
      </w:r>
      <w:r>
        <w:rPr>
          <w:shd w:fill="C0C0C0" w:color="auto" w:val="clear"/>
        </w:rPr>
        <w:t>1</w:t>
      </w:r>
      <w:r>
        <w:rPr>
          <w:spacing w:val="-9"/>
          <w:shd w:fill="C0C0C0" w:color="auto" w:val="clear"/>
        </w:rPr>
        <w:t> 项情形导致被保险人身故或身体高度残疾的，本合同终止，您已交足两年以上保</w:t>
      </w:r>
      <w:r>
        <w:rPr>
          <w:spacing w:val="-180"/>
          <w:shd w:fill="C0C0C0" w:color="auto" w:val="clear"/>
        </w:rPr>
        <w:t>险</w:t>
      </w:r>
      <w:r>
        <w:rPr>
          <w:shd w:fill="C0C0C0" w:color="auto" w:val="clear"/>
        </w:rPr>
        <w:t>费的，本公司向其他权利人退还本合同的</w:t>
      </w:r>
      <w:r>
        <w:rPr>
          <w:b/>
          <w:w w:val="99"/>
          <w:shd w:fill="C0C0C0" w:color="auto" w:val="clear"/>
        </w:rPr>
        <w:t>现金价值</w:t>
      </w:r>
      <w:r>
        <w:rPr>
          <w:spacing w:val="-2"/>
          <w:shd w:fill="C0C0C0" w:color="auto" w:val="clear"/>
        </w:rPr>
        <w:t>（</w:t>
      </w:r>
      <w:r>
        <w:rPr>
          <w:spacing w:val="-23"/>
          <w:shd w:fill="C0C0C0" w:color="auto" w:val="clear"/>
        </w:rPr>
        <w:t>见 </w:t>
      </w:r>
      <w:r>
        <w:rPr>
          <w:shd w:fill="C0C0C0" w:color="auto" w:val="clear"/>
        </w:rPr>
        <w:t>8.12</w:t>
      </w:r>
      <w:r>
        <w:rPr>
          <w:spacing w:val="-90"/>
          <w:shd w:fill="C0C0C0" w:color="auto" w:val="clear"/>
        </w:rPr>
        <w:t>）</w:t>
      </w:r>
      <w:r>
        <w:rPr>
          <w:shd w:fill="C0C0C0" w:color="auto" w:val="clear"/>
        </w:rPr>
        <w:t>。</w:t>
      </w:r>
    </w:p>
    <w:p>
      <w:pPr>
        <w:pStyle w:val="BodyText"/>
        <w:spacing w:line="316" w:lineRule="auto" w:before="18"/>
        <w:ind w:left="2613" w:right="171"/>
      </w:pPr>
      <w:r>
        <w:rPr>
          <w:shd w:fill="C0C0C0" w:color="auto" w:val="clear"/>
        </w:rPr>
        <w:t>发生上述其它情形导致被保险人身故或身体高度残疾的，本公司向您或其他权利人退还本合同的现金价值，本合同终止。</w:t>
      </w:r>
    </w:p>
    <w:p>
      <w:pPr>
        <w:pStyle w:val="BodyText"/>
        <w:spacing w:line="316" w:lineRule="auto" w:before="18"/>
        <w:ind w:left="2613" w:right="171"/>
      </w:pPr>
      <w:r>
        <w:rPr>
          <w:shd w:fill="C0C0C0" w:color="auto" w:val="clear"/>
        </w:rPr>
        <w:t>因上述情形之一导致被保险人罹患本合同约定的轻症疾病或重大疾病的，本公司向您或其他权利人退还本合同的现金价值，本合同终止。</w:t>
      </w:r>
    </w:p>
    <w:p>
      <w:pPr>
        <w:pStyle w:val="Heading1"/>
        <w:tabs>
          <w:tab w:pos="907" w:val="left" w:leader="none"/>
        </w:tabs>
        <w:spacing w:before="117"/>
      </w:pPr>
      <w:r>
        <w:rPr/>
        <w:pict>
          <v:line style="position:absolute;mso-position-horizontal-relative:page;mso-position-vertical-relative:paragraph;z-index:1144;mso-wrap-distance-left:0;mso-wrap-distance-right:0" from="59.82pt,43.13982pt" to="557.28pt,43.13982pt" stroked="true" strokeweight=".47998pt" strokecolor="#000000">
            <v:stroke dashstyle="solid"/>
            <w10:wrap type="topAndBottom"/>
          </v:line>
        </w:pict>
      </w:r>
      <w:r>
        <w:rPr>
          <w:rFonts w:ascii="Yu Gothic" w:eastAsia="Yu Gothic" w:hint="eastAsia"/>
          <w:position w:val="-3"/>
          <w:sz w:val="40"/>
        </w:rPr>
        <w:t>O</w:t>
        <w:tab/>
      </w:r>
      <w:r>
        <w:rPr>
          <w:w w:val="95"/>
        </w:rPr>
        <w:t>如何申请领取保险金</w:t>
      </w:r>
    </w:p>
    <w:p>
      <w:pPr>
        <w:pStyle w:val="BodyText"/>
        <w:spacing w:before="7"/>
        <w:rPr>
          <w:b/>
          <w:sz w:val="10"/>
        </w:rPr>
      </w:pPr>
    </w:p>
    <w:p>
      <w:pPr>
        <w:spacing w:after="0"/>
        <w:rPr>
          <w:sz w:val="10"/>
        </w:rPr>
        <w:sectPr>
          <w:type w:val="continuous"/>
          <w:pgSz w:w="11910" w:h="16840"/>
          <w:pgMar w:top="1040" w:bottom="1180" w:left="1080" w:right="640"/>
        </w:sectPr>
      </w:pPr>
    </w:p>
    <w:p>
      <w:pPr>
        <w:pStyle w:val="Heading2"/>
        <w:numPr>
          <w:ilvl w:val="1"/>
          <w:numId w:val="9"/>
        </w:numPr>
        <w:tabs>
          <w:tab w:pos="907" w:val="left" w:leader="none"/>
          <w:tab w:pos="908" w:val="left" w:leader="none"/>
        </w:tabs>
        <w:spacing w:line="273" w:lineRule="auto" w:before="35" w:after="0"/>
        <w:ind w:left="907" w:right="0" w:hanging="683"/>
        <w:jc w:val="left"/>
      </w:pPr>
      <w:r>
        <w:rPr>
          <w:w w:val="95"/>
        </w:rPr>
        <w:t>受益人的指定</w:t>
      </w:r>
      <w:r>
        <w:rPr/>
        <w:t>和变更</w:t>
      </w:r>
    </w:p>
    <w:p>
      <w:pPr>
        <w:pStyle w:val="BodyText"/>
        <w:spacing w:line="316" w:lineRule="auto" w:before="60"/>
        <w:ind w:left="224" w:right="190"/>
      </w:pPr>
      <w:r>
        <w:rPr/>
        <w:br w:type="column"/>
      </w:r>
      <w:r>
        <w:rPr/>
        <w:t>除另有指定之外，本合同轻症疾病保险金受益人、重大疾病保险金受益人及身体高度残疾保险金的受益人为被保险人本人。</w:t>
      </w:r>
    </w:p>
    <w:p>
      <w:pPr>
        <w:pStyle w:val="BodyText"/>
        <w:spacing w:line="316" w:lineRule="auto" w:before="18"/>
        <w:ind w:left="224" w:right="171"/>
      </w:pPr>
      <w:r>
        <w:rPr/>
        <w:t>您或被保险人可以指定或变更身故保险金受益人。但您指定或变更身故保险金受益人时须经被保险人同意。</w:t>
      </w:r>
    </w:p>
    <w:p>
      <w:pPr>
        <w:pStyle w:val="BodyText"/>
        <w:spacing w:before="18"/>
        <w:ind w:left="224"/>
      </w:pPr>
      <w:r>
        <w:rPr/>
        <w:t>您或被保险人可以指定一人或者数人为身故保险金受益人，受益人为数人的，可以确定受益顺</w:t>
      </w:r>
    </w:p>
    <w:p>
      <w:pPr>
        <w:spacing w:after="0"/>
        <w:sectPr>
          <w:type w:val="continuous"/>
          <w:pgSz w:w="11910" w:h="16840"/>
          <w:pgMar w:top="1040" w:bottom="1180" w:left="1080" w:right="640"/>
          <w:cols w:num="2" w:equalWidth="0">
            <w:col w:w="2172" w:space="217"/>
            <w:col w:w="7801"/>
          </w:cols>
        </w:sectPr>
      </w:pPr>
    </w:p>
    <w:p>
      <w:pPr>
        <w:pStyle w:val="BodyText"/>
        <w:spacing w:before="3"/>
        <w:rPr>
          <w:sz w:val="20"/>
        </w:rPr>
      </w:pPr>
    </w:p>
    <w:p>
      <w:pPr>
        <w:pStyle w:val="BodyText"/>
        <w:spacing w:before="44"/>
        <w:ind w:left="2533"/>
      </w:pPr>
      <w:r>
        <w:rPr/>
        <w:t>序和受益份额；未确定受益份额的，受益人按照相等份额享有受益权。</w:t>
      </w:r>
    </w:p>
    <w:p>
      <w:pPr>
        <w:pStyle w:val="BodyText"/>
        <w:ind w:left="2533"/>
      </w:pPr>
      <w:r>
        <w:rPr/>
        <w:t>被保险人为无民事行为能力人或限制民事行为能力人的，可以由其监护人指定受益人。</w:t>
      </w:r>
    </w:p>
    <w:p>
      <w:pPr>
        <w:pStyle w:val="BodyText"/>
        <w:spacing w:line="316" w:lineRule="auto"/>
        <w:ind w:left="2533" w:right="90"/>
      </w:pPr>
      <w:r>
        <w:rPr/>
        <w:t>身故保险金受益人变更只能于保险事故发生之前，且必须以书面形式申请。本公司收到变更身故保险金受益人的书面申请后，应当及时在保险单上批注或者附贴批单。</w:t>
      </w:r>
    </w:p>
    <w:p>
      <w:pPr>
        <w:pStyle w:val="BodyText"/>
        <w:spacing w:line="316" w:lineRule="auto" w:before="18"/>
        <w:ind w:left="2533" w:right="147"/>
      </w:pPr>
      <w:r>
        <w:rPr>
          <w:spacing w:val="-5"/>
        </w:rPr>
        <w:t>被保险人身故后，有下列情形之一的，保险金作为被保险人的遗产，由本公司依照《中华人民共和国继承法》的规定履行给付保险金的义务：</w:t>
      </w:r>
    </w:p>
    <w:p>
      <w:pPr>
        <w:pStyle w:val="BodyText"/>
        <w:spacing w:before="18"/>
        <w:ind w:left="2533"/>
      </w:pPr>
      <w:r>
        <w:rPr/>
        <w:t>1、 没有指定受益人，或者受益人指定不明无法确定的；</w:t>
      </w:r>
    </w:p>
    <w:p>
      <w:pPr>
        <w:pStyle w:val="BodyText"/>
        <w:ind w:left="2533"/>
      </w:pPr>
      <w:r>
        <w:rPr/>
        <w:t>2、 受益人先于被保险人身故，没有其他受益人的；</w:t>
      </w:r>
    </w:p>
    <w:p>
      <w:pPr>
        <w:pStyle w:val="BodyText"/>
        <w:ind w:left="2533"/>
      </w:pPr>
      <w:r>
        <w:rPr/>
        <w:t>3、 受益人依法丧失受益权或者放弃受益权，没有其他受益人的。</w:t>
      </w:r>
    </w:p>
    <w:p>
      <w:pPr>
        <w:pStyle w:val="BodyText"/>
        <w:spacing w:line="316" w:lineRule="auto"/>
        <w:ind w:left="2533" w:right="145"/>
      </w:pPr>
      <w:r>
        <w:rPr/>
        <w:t>受益人与被保险人在同一事件中身故，且不能确定身故先后顺序的，推定受益人身故在先。</w:t>
      </w:r>
      <w:r>
        <w:rPr>
          <w:spacing w:val="-4"/>
        </w:rPr>
        <w:t>受益人故意造成被保险人身故、伤残、疾病的，或者故意杀害被保险人未遂的，该受益人丧失受益权。</w:t>
      </w:r>
    </w:p>
    <w:p>
      <w:pPr>
        <w:pStyle w:val="BodyText"/>
        <w:spacing w:before="11"/>
        <w:rPr>
          <w:sz w:val="16"/>
        </w:rPr>
      </w:pPr>
    </w:p>
    <w:p>
      <w:pPr>
        <w:pStyle w:val="ListParagraph"/>
        <w:numPr>
          <w:ilvl w:val="1"/>
          <w:numId w:val="9"/>
        </w:numPr>
        <w:tabs>
          <w:tab w:pos="828" w:val="left" w:leader="none"/>
        </w:tabs>
        <w:spacing w:line="309" w:lineRule="auto" w:before="0" w:after="0"/>
        <w:ind w:left="2533" w:right="144" w:hanging="2389"/>
        <w:jc w:val="both"/>
        <w:rPr>
          <w:sz w:val="18"/>
        </w:rPr>
      </w:pPr>
      <w:r>
        <w:rPr>
          <w:b/>
          <w:spacing w:val="0"/>
          <w:sz w:val="21"/>
        </w:rPr>
        <w:t>保险事故通知   </w:t>
      </w:r>
      <w:r>
        <w:rPr>
          <w:spacing w:val="-2"/>
          <w:position w:val="1"/>
          <w:sz w:val="18"/>
        </w:rPr>
        <w:t>您或被保险人或受益人知道保险事故发生后应当在十日内通知本公司。</w:t>
      </w:r>
      <w:r>
        <w:rPr>
          <w:position w:val="1"/>
          <w:sz w:val="18"/>
          <w:shd w:fill="C0C0C0" w:color="auto" w:val="clear"/>
        </w:rPr>
        <w:t>故意或者因重大过失未</w:t>
      </w:r>
      <w:r>
        <w:rPr>
          <w:spacing w:val="-6"/>
          <w:sz w:val="18"/>
          <w:shd w:fill="C0C0C0" w:color="auto" w:val="clear"/>
        </w:rPr>
        <w:t>及时通知，致使保险事故的性质、原因、损失程度等难以确定的，我们对无法确定的部分，不</w:t>
      </w:r>
      <w:r>
        <w:rPr>
          <w:spacing w:val="-180"/>
          <w:sz w:val="18"/>
          <w:shd w:fill="C0C0C0" w:color="auto" w:val="clear"/>
        </w:rPr>
        <w:t>承</w:t>
      </w:r>
      <w:r>
        <w:rPr>
          <w:spacing w:val="-4"/>
          <w:sz w:val="18"/>
          <w:shd w:fill="C0C0C0" w:color="auto" w:val="clear"/>
        </w:rPr>
        <w:t>担给付保险金的责任，</w:t>
      </w:r>
      <w:r>
        <w:rPr>
          <w:sz w:val="18"/>
        </w:rPr>
        <w:t>但我们通过其他途径已经及时知道或者应当及时知道保险事故发生或者虽未及时通知但不影响本公司确定保险事故的性质、原因、损失程度的除外。</w:t>
      </w:r>
    </w:p>
    <w:p>
      <w:pPr>
        <w:pStyle w:val="BodyText"/>
        <w:spacing w:before="3"/>
        <w:rPr>
          <w:sz w:val="17"/>
        </w:rPr>
      </w:pPr>
    </w:p>
    <w:p>
      <w:pPr>
        <w:pStyle w:val="ListParagraph"/>
        <w:numPr>
          <w:ilvl w:val="1"/>
          <w:numId w:val="9"/>
        </w:numPr>
        <w:tabs>
          <w:tab w:pos="827" w:val="left" w:leader="none"/>
          <w:tab w:pos="828" w:val="left" w:leader="none"/>
          <w:tab w:pos="2533" w:val="left" w:leader="none"/>
        </w:tabs>
        <w:spacing w:line="240" w:lineRule="auto" w:before="0" w:after="0"/>
        <w:ind w:left="827" w:right="0" w:hanging="683"/>
        <w:jc w:val="left"/>
        <w:rPr>
          <w:sz w:val="18"/>
        </w:rPr>
      </w:pPr>
      <w:r>
        <w:rPr>
          <w:b/>
          <w:sz w:val="21"/>
        </w:rPr>
        <w:t>保险金的申请</w:t>
        <w:tab/>
      </w:r>
      <w:r>
        <w:rPr>
          <w:position w:val="1"/>
          <w:sz w:val="18"/>
        </w:rPr>
        <w:t>1、轻症疾病保险金及重大疾病保险金</w:t>
      </w:r>
    </w:p>
    <w:p>
      <w:pPr>
        <w:pStyle w:val="BodyText"/>
        <w:spacing w:line="316" w:lineRule="auto" w:before="62"/>
        <w:ind w:left="2533" w:right="91"/>
      </w:pPr>
      <w:r>
        <w:rPr/>
        <w:t>轻症疾病保险金及重大疾病保险金受益人申请领取轻症疾病保险金或重大疾病保险金时，须填写保险金给付申请书，并提交下列证明材料：</w:t>
      </w:r>
    </w:p>
    <w:p>
      <w:pPr>
        <w:pStyle w:val="ListParagraph"/>
        <w:numPr>
          <w:ilvl w:val="2"/>
          <w:numId w:val="9"/>
        </w:numPr>
        <w:tabs>
          <w:tab w:pos="2954" w:val="left" w:leader="none"/>
        </w:tabs>
        <w:spacing w:line="240" w:lineRule="auto" w:before="18" w:after="0"/>
        <w:ind w:left="2947" w:right="0" w:hanging="414"/>
        <w:jc w:val="left"/>
        <w:rPr>
          <w:sz w:val="18"/>
        </w:rPr>
      </w:pPr>
      <w:r>
        <w:rPr>
          <w:sz w:val="18"/>
        </w:rPr>
        <w:t>保险合同；</w:t>
      </w:r>
    </w:p>
    <w:p>
      <w:pPr>
        <w:pStyle w:val="ListParagraph"/>
        <w:numPr>
          <w:ilvl w:val="2"/>
          <w:numId w:val="9"/>
        </w:numPr>
        <w:tabs>
          <w:tab w:pos="2954" w:val="left" w:leader="none"/>
        </w:tabs>
        <w:spacing w:line="240" w:lineRule="auto" w:before="76" w:after="0"/>
        <w:ind w:left="2947" w:right="0" w:hanging="414"/>
        <w:jc w:val="left"/>
        <w:rPr>
          <w:sz w:val="18"/>
        </w:rPr>
      </w:pPr>
      <w:r>
        <w:rPr>
          <w:sz w:val="18"/>
        </w:rPr>
        <w:t>受益人的有效身份证件；</w:t>
      </w:r>
    </w:p>
    <w:p>
      <w:pPr>
        <w:pStyle w:val="ListParagraph"/>
        <w:numPr>
          <w:ilvl w:val="2"/>
          <w:numId w:val="9"/>
        </w:numPr>
        <w:tabs>
          <w:tab w:pos="2954" w:val="left" w:leader="none"/>
        </w:tabs>
        <w:spacing w:line="316" w:lineRule="auto" w:before="76" w:after="0"/>
        <w:ind w:left="2947" w:right="228" w:hanging="414"/>
        <w:jc w:val="left"/>
        <w:rPr>
          <w:sz w:val="18"/>
        </w:rPr>
      </w:pPr>
      <w:r>
        <w:rPr>
          <w:sz w:val="18"/>
        </w:rPr>
        <w:t>本公司指定或认可的医疗机构出具的附有病理检验、血液检验及其它与确诊疾病必须的科学方法检验报告的疾病诊断证明书；</w:t>
      </w:r>
    </w:p>
    <w:p>
      <w:pPr>
        <w:pStyle w:val="ListParagraph"/>
        <w:numPr>
          <w:ilvl w:val="2"/>
          <w:numId w:val="9"/>
        </w:numPr>
        <w:tabs>
          <w:tab w:pos="2954" w:val="left" w:leader="none"/>
        </w:tabs>
        <w:spacing w:line="240" w:lineRule="auto" w:before="18" w:after="0"/>
        <w:ind w:left="2947" w:right="0" w:hanging="414"/>
        <w:jc w:val="left"/>
        <w:rPr>
          <w:sz w:val="18"/>
        </w:rPr>
      </w:pPr>
      <w:r>
        <w:rPr>
          <w:sz w:val="18"/>
        </w:rPr>
        <w:t>所能提供的与确认保险事故的性质、原因等有关的其它证明文件和资料。</w:t>
      </w:r>
    </w:p>
    <w:p>
      <w:pPr>
        <w:pStyle w:val="BodyText"/>
        <w:spacing w:before="0"/>
      </w:pPr>
    </w:p>
    <w:p>
      <w:pPr>
        <w:pStyle w:val="BodyText"/>
        <w:spacing w:before="152"/>
        <w:ind w:left="2533"/>
      </w:pPr>
      <w:r>
        <w:rPr/>
        <w:t>2、身故保险金</w:t>
      </w:r>
    </w:p>
    <w:p>
      <w:pPr>
        <w:pStyle w:val="BodyText"/>
        <w:ind w:left="2533"/>
      </w:pPr>
      <w:r>
        <w:rPr/>
        <w:t>身故保险金受益人申请领取身故保险金时, 须填写保险金给付申请书，并提交下列证明材料：</w:t>
      </w:r>
    </w:p>
    <w:p>
      <w:pPr>
        <w:pStyle w:val="ListParagraph"/>
        <w:numPr>
          <w:ilvl w:val="0"/>
          <w:numId w:val="10"/>
        </w:numPr>
        <w:tabs>
          <w:tab w:pos="2954" w:val="left" w:leader="none"/>
        </w:tabs>
        <w:spacing w:line="240" w:lineRule="auto" w:before="76" w:after="0"/>
        <w:ind w:left="2953" w:right="0" w:hanging="420"/>
        <w:jc w:val="left"/>
        <w:rPr>
          <w:sz w:val="18"/>
        </w:rPr>
      </w:pPr>
      <w:r>
        <w:rPr>
          <w:sz w:val="18"/>
        </w:rPr>
        <w:t>保险合同；</w:t>
      </w:r>
    </w:p>
    <w:p>
      <w:pPr>
        <w:pStyle w:val="ListParagraph"/>
        <w:numPr>
          <w:ilvl w:val="0"/>
          <w:numId w:val="10"/>
        </w:numPr>
        <w:tabs>
          <w:tab w:pos="2954" w:val="left" w:leader="none"/>
        </w:tabs>
        <w:spacing w:line="240" w:lineRule="auto" w:before="76" w:after="0"/>
        <w:ind w:left="2953" w:right="0" w:hanging="420"/>
        <w:jc w:val="left"/>
        <w:rPr>
          <w:sz w:val="18"/>
        </w:rPr>
      </w:pPr>
      <w:r>
        <w:rPr>
          <w:sz w:val="18"/>
        </w:rPr>
        <w:t>受益人的有效身份证件；</w:t>
      </w:r>
    </w:p>
    <w:p>
      <w:pPr>
        <w:pStyle w:val="ListParagraph"/>
        <w:numPr>
          <w:ilvl w:val="0"/>
          <w:numId w:val="10"/>
        </w:numPr>
        <w:tabs>
          <w:tab w:pos="2954" w:val="left" w:leader="none"/>
        </w:tabs>
        <w:spacing w:line="316" w:lineRule="auto" w:before="76" w:after="0"/>
        <w:ind w:left="2953" w:right="228" w:hanging="420"/>
        <w:jc w:val="left"/>
        <w:rPr>
          <w:sz w:val="18"/>
        </w:rPr>
      </w:pPr>
      <w:r>
        <w:rPr>
          <w:sz w:val="18"/>
        </w:rPr>
        <w:t>国家卫生行政部门认定的医疗机构、公安部门或其他相关机构出具的被保险人的死亡证明；</w:t>
      </w:r>
    </w:p>
    <w:p>
      <w:pPr>
        <w:pStyle w:val="ListParagraph"/>
        <w:numPr>
          <w:ilvl w:val="0"/>
          <w:numId w:val="10"/>
        </w:numPr>
        <w:tabs>
          <w:tab w:pos="2954" w:val="left" w:leader="none"/>
        </w:tabs>
        <w:spacing w:line="240" w:lineRule="auto" w:before="18" w:after="0"/>
        <w:ind w:left="2953" w:right="0" w:hanging="420"/>
        <w:jc w:val="left"/>
        <w:rPr>
          <w:sz w:val="18"/>
        </w:rPr>
      </w:pPr>
      <w:r>
        <w:rPr>
          <w:sz w:val="18"/>
        </w:rPr>
        <w:t>所能提供的与确认保险事故的性质、原因等有关的其它证明文件和资料。</w:t>
      </w:r>
    </w:p>
    <w:p>
      <w:pPr>
        <w:pStyle w:val="BodyText"/>
        <w:spacing w:before="0"/>
      </w:pPr>
    </w:p>
    <w:p>
      <w:pPr>
        <w:pStyle w:val="BodyText"/>
        <w:spacing w:before="152"/>
        <w:ind w:left="2533"/>
      </w:pPr>
      <w:r>
        <w:rPr/>
        <w:t>3、身体高度残疾保险金</w:t>
      </w:r>
    </w:p>
    <w:p>
      <w:pPr>
        <w:pStyle w:val="BodyText"/>
        <w:spacing w:line="316" w:lineRule="auto"/>
        <w:ind w:left="2533" w:right="91"/>
      </w:pPr>
      <w:r>
        <w:rPr/>
        <w:t>身体高度残疾保险金受益人申请领取身体高度残疾保险金时, 须填写保险金给付申请书，并提交下列证明材料：</w:t>
      </w:r>
    </w:p>
    <w:p>
      <w:pPr>
        <w:pStyle w:val="ListParagraph"/>
        <w:numPr>
          <w:ilvl w:val="0"/>
          <w:numId w:val="11"/>
        </w:numPr>
        <w:tabs>
          <w:tab w:pos="2954" w:val="left" w:leader="none"/>
        </w:tabs>
        <w:spacing w:line="240" w:lineRule="auto" w:before="19" w:after="0"/>
        <w:ind w:left="2953" w:right="0" w:hanging="420"/>
        <w:jc w:val="left"/>
        <w:rPr>
          <w:sz w:val="18"/>
        </w:rPr>
      </w:pPr>
      <w:r>
        <w:rPr>
          <w:sz w:val="18"/>
        </w:rPr>
        <w:t>保险合同；</w:t>
      </w:r>
    </w:p>
    <w:p>
      <w:pPr>
        <w:pStyle w:val="ListParagraph"/>
        <w:numPr>
          <w:ilvl w:val="0"/>
          <w:numId w:val="11"/>
        </w:numPr>
        <w:tabs>
          <w:tab w:pos="2954" w:val="left" w:leader="none"/>
        </w:tabs>
        <w:spacing w:line="240" w:lineRule="auto" w:before="76" w:after="0"/>
        <w:ind w:left="2953" w:right="0" w:hanging="420"/>
        <w:jc w:val="left"/>
        <w:rPr>
          <w:sz w:val="18"/>
        </w:rPr>
      </w:pPr>
      <w:r>
        <w:rPr>
          <w:sz w:val="18"/>
        </w:rPr>
        <w:t>受益人的有效身份证件；</w:t>
      </w:r>
    </w:p>
    <w:p>
      <w:pPr>
        <w:pStyle w:val="ListParagraph"/>
        <w:numPr>
          <w:ilvl w:val="0"/>
          <w:numId w:val="11"/>
        </w:numPr>
        <w:tabs>
          <w:tab w:pos="2954" w:val="left" w:leader="none"/>
        </w:tabs>
        <w:spacing w:line="240" w:lineRule="auto" w:before="76" w:after="0"/>
        <w:ind w:left="2953" w:right="0" w:hanging="420"/>
        <w:jc w:val="left"/>
        <w:rPr>
          <w:sz w:val="18"/>
        </w:rPr>
      </w:pPr>
      <w:r>
        <w:rPr>
          <w:sz w:val="18"/>
        </w:rPr>
        <w:t>本公司指定或认可的医疗机构出具的诊断证明；</w:t>
      </w:r>
    </w:p>
    <w:p>
      <w:pPr>
        <w:pStyle w:val="ListParagraph"/>
        <w:numPr>
          <w:ilvl w:val="0"/>
          <w:numId w:val="11"/>
        </w:numPr>
        <w:tabs>
          <w:tab w:pos="2954" w:val="left" w:leader="none"/>
        </w:tabs>
        <w:spacing w:line="240" w:lineRule="auto" w:before="76" w:after="0"/>
        <w:ind w:left="2953" w:right="0" w:hanging="420"/>
        <w:jc w:val="left"/>
        <w:rPr>
          <w:sz w:val="18"/>
        </w:rPr>
      </w:pPr>
      <w:r>
        <w:rPr>
          <w:sz w:val="18"/>
        </w:rPr>
        <w:t>政府职能部门法医出具的残疾鉴定书；</w:t>
      </w:r>
    </w:p>
    <w:p>
      <w:pPr>
        <w:pStyle w:val="ListParagraph"/>
        <w:numPr>
          <w:ilvl w:val="0"/>
          <w:numId w:val="11"/>
        </w:numPr>
        <w:tabs>
          <w:tab w:pos="2954" w:val="left" w:leader="none"/>
        </w:tabs>
        <w:spacing w:line="240" w:lineRule="auto" w:before="76" w:after="0"/>
        <w:ind w:left="2953" w:right="0" w:hanging="420"/>
        <w:jc w:val="left"/>
        <w:rPr>
          <w:sz w:val="18"/>
        </w:rPr>
      </w:pPr>
      <w:r>
        <w:rPr>
          <w:sz w:val="18"/>
        </w:rPr>
        <w:t>若被保险人因意外事故导致身体高度残疾，须提供相关的意外事故证明；</w:t>
      </w:r>
    </w:p>
    <w:p>
      <w:pPr>
        <w:pStyle w:val="ListParagraph"/>
        <w:numPr>
          <w:ilvl w:val="0"/>
          <w:numId w:val="11"/>
        </w:numPr>
        <w:tabs>
          <w:tab w:pos="2954" w:val="left" w:leader="none"/>
        </w:tabs>
        <w:spacing w:line="240" w:lineRule="auto" w:before="76" w:after="0"/>
        <w:ind w:left="2953" w:right="0" w:hanging="420"/>
        <w:jc w:val="left"/>
        <w:rPr>
          <w:sz w:val="18"/>
        </w:rPr>
      </w:pPr>
      <w:r>
        <w:rPr>
          <w:sz w:val="18"/>
        </w:rPr>
        <w:t>所能提供的与确认保险事故的性质、原因等有关的其它证明文件和资料。</w:t>
      </w:r>
    </w:p>
    <w:p>
      <w:pPr>
        <w:pStyle w:val="BodyText"/>
        <w:spacing w:before="0"/>
      </w:pPr>
    </w:p>
    <w:p>
      <w:pPr>
        <w:pStyle w:val="BodyText"/>
        <w:spacing w:before="152"/>
        <w:ind w:left="2533"/>
      </w:pPr>
      <w:r>
        <w:rPr/>
        <w:t>4、如委托他人代为申领，还应提供授权委托书及受托人的有效身份证件。</w:t>
      </w:r>
    </w:p>
    <w:p>
      <w:pPr>
        <w:spacing w:after="0"/>
        <w:sectPr>
          <w:pgSz w:w="11910" w:h="16840"/>
          <w:pgMar w:header="877" w:footer="981" w:top="1100" w:bottom="1180" w:left="1160" w:right="720"/>
        </w:sectPr>
      </w:pPr>
    </w:p>
    <w:p>
      <w:pPr>
        <w:pStyle w:val="BodyText"/>
        <w:spacing w:before="0"/>
        <w:rPr>
          <w:sz w:val="20"/>
        </w:rPr>
      </w:pPr>
    </w:p>
    <w:p>
      <w:pPr>
        <w:pStyle w:val="BodyText"/>
        <w:spacing w:before="1"/>
        <w:rPr>
          <w:sz w:val="24"/>
        </w:rPr>
      </w:pPr>
    </w:p>
    <w:p>
      <w:pPr>
        <w:pStyle w:val="BodyText"/>
        <w:spacing w:line="316" w:lineRule="auto" w:before="44"/>
        <w:ind w:left="2613" w:right="728"/>
      </w:pPr>
      <w:r>
        <w:rPr/>
        <w:t>保险金作为被保险人或受益人遗产时，必须提供可证明合法继承权的相关权利文件。 以上证明和资料不完整的，本公司将及时一次性通知申请人补充提供有关证明和资料。</w:t>
      </w:r>
    </w:p>
    <w:p>
      <w:pPr>
        <w:pStyle w:val="BodyText"/>
        <w:spacing w:before="11"/>
      </w:pPr>
    </w:p>
    <w:p>
      <w:pPr>
        <w:pStyle w:val="ListParagraph"/>
        <w:numPr>
          <w:ilvl w:val="1"/>
          <w:numId w:val="9"/>
        </w:numPr>
        <w:tabs>
          <w:tab w:pos="907" w:val="left" w:leader="none"/>
          <w:tab w:pos="908" w:val="left" w:leader="none"/>
          <w:tab w:pos="2613" w:val="left" w:leader="none"/>
        </w:tabs>
        <w:spacing w:line="295" w:lineRule="auto" w:before="0" w:after="0"/>
        <w:ind w:left="2613" w:right="224" w:hanging="2389"/>
        <w:jc w:val="left"/>
        <w:rPr>
          <w:sz w:val="18"/>
        </w:rPr>
      </w:pPr>
      <w:r>
        <w:rPr>
          <w:b/>
          <w:sz w:val="21"/>
        </w:rPr>
        <w:t>保险金的给付</w:t>
        <w:tab/>
      </w:r>
      <w:r>
        <w:rPr>
          <w:position w:val="1"/>
          <w:sz w:val="18"/>
        </w:rPr>
        <w:t>本公司在收到保险金给付申请书及合同约定的证明和资料后</w:t>
      </w:r>
      <w:r>
        <w:rPr>
          <w:spacing w:val="-18"/>
          <w:position w:val="1"/>
          <w:sz w:val="18"/>
        </w:rPr>
        <w:t>，</w:t>
      </w:r>
      <w:r>
        <w:rPr>
          <w:position w:val="1"/>
          <w:sz w:val="18"/>
        </w:rPr>
        <w:t>将在五日内作出核定</w:t>
      </w:r>
      <w:r>
        <w:rPr>
          <w:spacing w:val="-18"/>
          <w:position w:val="1"/>
          <w:sz w:val="18"/>
        </w:rPr>
        <w:t>；</w:t>
      </w:r>
      <w:r>
        <w:rPr>
          <w:position w:val="1"/>
          <w:sz w:val="18"/>
        </w:rPr>
        <w:t>情形复杂</w:t>
      </w:r>
      <w:r>
        <w:rPr>
          <w:sz w:val="18"/>
        </w:rPr>
        <w:t>的，在三十日内作出核定。</w:t>
      </w:r>
    </w:p>
    <w:p>
      <w:pPr>
        <w:pStyle w:val="BodyText"/>
        <w:spacing w:line="316" w:lineRule="auto" w:before="34"/>
        <w:ind w:left="2613" w:right="135" w:hanging="1"/>
      </w:pPr>
      <w:r>
        <w:rPr>
          <w:spacing w:val="-10"/>
        </w:rPr>
        <w:t>对属于保险责任的，本公司在与受益人达成给付保险金的协议后十日内，履行给付保险金义务。本公司未及时履行前款规定义务的，除支付保险金外，应当赔偿受益人因此受到的利息损失。</w:t>
      </w:r>
      <w:r>
        <w:rPr>
          <w:spacing w:val="-11"/>
        </w:rPr>
        <w:t>对不属于保险责任的，本公司自作出核定之日起三日内向受益人发出拒绝给付保险金通知书并说明理由。</w:t>
      </w:r>
    </w:p>
    <w:p>
      <w:pPr>
        <w:pStyle w:val="BodyText"/>
        <w:spacing w:line="316" w:lineRule="auto" w:before="18"/>
        <w:ind w:left="2613" w:right="135"/>
      </w:pPr>
      <w:r>
        <w:rPr>
          <w:spacing w:val="-2"/>
        </w:rPr>
        <w:t>本公司在收到保险金给付申请书及有关证明和资料之日起六十日内，对给付保险金的数额不能</w:t>
      </w:r>
      <w:r>
        <w:rPr>
          <w:spacing w:val="-12"/>
        </w:rPr>
        <w:t>确定的，根据已有证明和资料可以确定的数额先予支付；本公司最终确定给付保险金的数额后， 将支付相应的差额。</w:t>
      </w:r>
    </w:p>
    <w:p>
      <w:pPr>
        <w:pStyle w:val="BodyText"/>
        <w:spacing w:before="10"/>
        <w:rPr>
          <w:sz w:val="16"/>
        </w:rPr>
      </w:pPr>
    </w:p>
    <w:p>
      <w:pPr>
        <w:pStyle w:val="ListParagraph"/>
        <w:numPr>
          <w:ilvl w:val="1"/>
          <w:numId w:val="9"/>
        </w:numPr>
        <w:tabs>
          <w:tab w:pos="907" w:val="left" w:leader="none"/>
          <w:tab w:pos="908" w:val="left" w:leader="none"/>
          <w:tab w:pos="2613" w:val="left" w:leader="none"/>
        </w:tabs>
        <w:spacing w:line="295" w:lineRule="auto" w:before="0" w:after="0"/>
        <w:ind w:left="2613" w:right="227" w:hanging="2389"/>
        <w:jc w:val="left"/>
        <w:rPr>
          <w:sz w:val="18"/>
        </w:rPr>
      </w:pPr>
      <w:r>
        <w:rPr>
          <w:b/>
          <w:sz w:val="21"/>
        </w:rPr>
        <w:t>欠款的扣除</w:t>
        <w:tab/>
      </w:r>
      <w:r>
        <w:rPr>
          <w:position w:val="1"/>
          <w:sz w:val="18"/>
        </w:rPr>
        <w:t>本公司给付各项保险金</w:t>
      </w:r>
      <w:r>
        <w:rPr>
          <w:spacing w:val="-10"/>
          <w:position w:val="1"/>
          <w:sz w:val="18"/>
        </w:rPr>
        <w:t>、</w:t>
      </w:r>
      <w:r>
        <w:rPr>
          <w:position w:val="1"/>
          <w:sz w:val="18"/>
        </w:rPr>
        <w:t>返还现金价值或保险费时</w:t>
      </w:r>
      <w:r>
        <w:rPr>
          <w:spacing w:val="-10"/>
          <w:position w:val="1"/>
          <w:sz w:val="18"/>
        </w:rPr>
        <w:t>，</w:t>
      </w:r>
      <w:r>
        <w:rPr>
          <w:position w:val="1"/>
          <w:sz w:val="18"/>
        </w:rPr>
        <w:t>如本合同有借款</w:t>
      </w:r>
      <w:r>
        <w:rPr>
          <w:spacing w:val="-10"/>
          <w:position w:val="1"/>
          <w:sz w:val="18"/>
        </w:rPr>
        <w:t>、</w:t>
      </w:r>
      <w:r>
        <w:rPr>
          <w:position w:val="1"/>
          <w:sz w:val="18"/>
        </w:rPr>
        <w:t>欠交保险费</w:t>
      </w:r>
      <w:r>
        <w:rPr>
          <w:spacing w:val="-10"/>
          <w:position w:val="1"/>
          <w:sz w:val="18"/>
        </w:rPr>
        <w:t>，</w:t>
      </w:r>
      <w:r>
        <w:rPr>
          <w:position w:val="1"/>
          <w:sz w:val="18"/>
        </w:rPr>
        <w:t>则本公司</w:t>
      </w:r>
      <w:r>
        <w:rPr>
          <w:sz w:val="18"/>
        </w:rPr>
        <w:t>扣除未清偿的借款及应付</w:t>
      </w:r>
      <w:r>
        <w:rPr>
          <w:b/>
          <w:spacing w:val="0"/>
          <w:w w:val="99"/>
          <w:sz w:val="18"/>
        </w:rPr>
        <w:t>利息</w:t>
      </w:r>
      <w:r>
        <w:rPr>
          <w:sz w:val="18"/>
        </w:rPr>
        <w:t>（见</w:t>
      </w:r>
      <w:r>
        <w:rPr>
          <w:spacing w:val="-46"/>
          <w:sz w:val="18"/>
        </w:rPr>
        <w:t> </w:t>
      </w:r>
      <w:r>
        <w:rPr>
          <w:sz w:val="18"/>
        </w:rPr>
        <w:t>8.13</w:t>
      </w:r>
      <w:r>
        <w:rPr>
          <w:spacing w:val="-90"/>
          <w:sz w:val="18"/>
        </w:rPr>
        <w:t>）</w:t>
      </w:r>
      <w:r>
        <w:rPr>
          <w:sz w:val="18"/>
        </w:rPr>
        <w:t>、欠交的保险费后给付。</w:t>
      </w:r>
    </w:p>
    <w:p>
      <w:pPr>
        <w:pStyle w:val="BodyText"/>
        <w:spacing w:before="0"/>
      </w:pPr>
    </w:p>
    <w:p>
      <w:pPr>
        <w:pStyle w:val="ListParagraph"/>
        <w:numPr>
          <w:ilvl w:val="1"/>
          <w:numId w:val="9"/>
        </w:numPr>
        <w:tabs>
          <w:tab w:pos="907" w:val="left" w:leader="none"/>
          <w:tab w:pos="908" w:val="left" w:leader="none"/>
          <w:tab w:pos="2613" w:val="left" w:leader="none"/>
        </w:tabs>
        <w:spacing w:line="295" w:lineRule="auto" w:before="0" w:after="0"/>
        <w:ind w:left="2613" w:right="226" w:hanging="2389"/>
        <w:jc w:val="left"/>
        <w:rPr>
          <w:sz w:val="18"/>
        </w:rPr>
      </w:pPr>
      <w:r>
        <w:rPr>
          <w:b/>
          <w:sz w:val="21"/>
        </w:rPr>
        <w:t>诉讼时效</w:t>
        <w:tab/>
      </w:r>
      <w:r>
        <w:rPr>
          <w:position w:val="1"/>
          <w:sz w:val="18"/>
        </w:rPr>
        <w:t>本合同的身故保险金</w:t>
      </w:r>
      <w:r>
        <w:rPr>
          <w:spacing w:val="-38"/>
          <w:position w:val="1"/>
          <w:sz w:val="18"/>
        </w:rPr>
        <w:t>、</w:t>
      </w:r>
      <w:r>
        <w:rPr>
          <w:position w:val="1"/>
          <w:sz w:val="18"/>
        </w:rPr>
        <w:t>身体高度残疾保险金受益人向本公司请求给付身故保险金和身体高度残</w:t>
      </w:r>
      <w:r>
        <w:rPr>
          <w:sz w:val="18"/>
        </w:rPr>
        <w:t>疾保险金的诉讼时效期间为五年，自其知道或者应当知道保险事故发生之日起计算。</w:t>
      </w:r>
    </w:p>
    <w:p>
      <w:pPr>
        <w:pStyle w:val="BodyText"/>
        <w:spacing w:line="316" w:lineRule="auto" w:before="34"/>
        <w:ind w:left="2613" w:right="171"/>
      </w:pPr>
      <w:r>
        <w:rPr/>
        <w:t>本合同的其它保险金的受益人向本公司请求给付其它保险金的诉讼时效期间为二年，自其知道或者应当知道保险事故发生之日起计算。</w:t>
      </w:r>
    </w:p>
    <w:p>
      <w:pPr>
        <w:pStyle w:val="BodyText"/>
        <w:spacing w:before="1"/>
      </w:pPr>
    </w:p>
    <w:p>
      <w:pPr>
        <w:tabs>
          <w:tab w:pos="907" w:val="left" w:leader="none"/>
        </w:tabs>
        <w:spacing w:line="556" w:lineRule="exact" w:before="0"/>
        <w:ind w:left="224" w:right="0" w:firstLine="0"/>
        <w:jc w:val="left"/>
        <w:rPr>
          <w:b/>
          <w:sz w:val="24"/>
        </w:rPr>
      </w:pPr>
      <w:r>
        <w:rPr/>
        <w:pict>
          <v:line style="position:absolute;mso-position-horizontal-relative:page;mso-position-vertical-relative:paragraph;z-index:1168;mso-wrap-distance-left:0;mso-wrap-distance-right:0" from="59.82pt,31.400545pt" to="557.28pt,31.400545pt" stroked="true" strokeweight=".48001pt" strokecolor="#000000">
            <v:stroke dashstyle="solid"/>
            <w10:wrap type="topAndBottom"/>
          </v:line>
        </w:pict>
      </w:r>
      <w:r>
        <w:rPr>
          <w:rFonts w:ascii="Yu Gothic" w:hAnsi="Yu Gothic" w:eastAsia="Yu Gothic" w:hint="eastAsia"/>
          <w:b/>
          <w:w w:val="195"/>
          <w:position w:val="-3"/>
          <w:sz w:val="40"/>
        </w:rPr>
        <w:t>º</w:t>
        <w:tab/>
      </w:r>
      <w:r>
        <w:rPr>
          <w:b/>
          <w:sz w:val="24"/>
        </w:rPr>
        <w:t>如何交付保险费</w:t>
      </w:r>
    </w:p>
    <w:p>
      <w:pPr>
        <w:pStyle w:val="BodyText"/>
        <w:spacing w:before="7"/>
        <w:rPr>
          <w:b/>
          <w:sz w:val="10"/>
        </w:rPr>
      </w:pPr>
    </w:p>
    <w:p>
      <w:pPr>
        <w:pStyle w:val="ListParagraph"/>
        <w:numPr>
          <w:ilvl w:val="1"/>
          <w:numId w:val="12"/>
        </w:numPr>
        <w:tabs>
          <w:tab w:pos="907" w:val="left" w:leader="none"/>
          <w:tab w:pos="908" w:val="left" w:leader="none"/>
          <w:tab w:pos="2613" w:val="left" w:leader="none"/>
        </w:tabs>
        <w:spacing w:line="240" w:lineRule="auto" w:before="35" w:after="0"/>
        <w:ind w:left="2613" w:right="0" w:hanging="2389"/>
        <w:jc w:val="left"/>
        <w:rPr>
          <w:sz w:val="18"/>
        </w:rPr>
      </w:pPr>
      <w:r>
        <w:rPr>
          <w:b/>
          <w:sz w:val="21"/>
        </w:rPr>
        <w:t>保险费的交付</w:t>
        <w:tab/>
      </w:r>
      <w:r>
        <w:rPr>
          <w:position w:val="1"/>
          <w:sz w:val="18"/>
        </w:rPr>
        <w:t>保险费详见费率表。</w:t>
      </w:r>
    </w:p>
    <w:p>
      <w:pPr>
        <w:pStyle w:val="BodyText"/>
        <w:spacing w:line="316" w:lineRule="auto" w:before="62"/>
        <w:ind w:left="2613" w:right="170"/>
      </w:pPr>
      <w:r>
        <w:rPr/>
        <w:t>您可以选择一次交清或分期交付本合同的保险费。本合同采用分期交付方式时，保险费交费期间为十年、二十年、三十年。</w:t>
      </w:r>
    </w:p>
    <w:p>
      <w:pPr>
        <w:pStyle w:val="BodyText"/>
        <w:spacing w:before="18"/>
        <w:ind w:left="2613"/>
      </w:pPr>
      <w:r>
        <w:rPr/>
        <w:t>分期交付方式包括年交、半年交、季交、月交四种。</w:t>
      </w:r>
    </w:p>
    <w:p>
      <w:pPr>
        <w:pStyle w:val="BodyText"/>
        <w:spacing w:before="0"/>
      </w:pPr>
    </w:p>
    <w:p>
      <w:pPr>
        <w:pStyle w:val="ListParagraph"/>
        <w:numPr>
          <w:ilvl w:val="1"/>
          <w:numId w:val="12"/>
        </w:numPr>
        <w:tabs>
          <w:tab w:pos="907" w:val="left" w:leader="none"/>
        </w:tabs>
        <w:spacing w:line="304" w:lineRule="auto" w:before="127" w:after="0"/>
        <w:ind w:left="2613" w:right="224" w:hanging="2389"/>
        <w:jc w:val="both"/>
        <w:rPr>
          <w:sz w:val="18"/>
        </w:rPr>
      </w:pPr>
      <w:r>
        <w:rPr>
          <w:b/>
          <w:spacing w:val="1"/>
          <w:sz w:val="21"/>
        </w:rPr>
        <w:t>保险费率的调整 </w:t>
      </w:r>
      <w:r>
        <w:rPr>
          <w:spacing w:val="-2"/>
          <w:position w:val="1"/>
          <w:sz w:val="18"/>
        </w:rPr>
        <w:t>当我们厘定费率时采用的预定疾病发生率与实际疾病发生率发生偏离，足以影响保险费率水平</w:t>
      </w:r>
      <w:r>
        <w:rPr>
          <w:spacing w:val="-7"/>
          <w:sz w:val="18"/>
        </w:rPr>
        <w:t>的，我们将调整保险费率。保险费率的调整针对本产品所有被保险人或同一投保年龄的所有被保险人。</w:t>
      </w:r>
    </w:p>
    <w:p>
      <w:pPr>
        <w:pStyle w:val="BodyText"/>
        <w:spacing w:line="316" w:lineRule="auto" w:before="28"/>
        <w:ind w:left="2613" w:right="171"/>
      </w:pPr>
      <w:r>
        <w:rPr/>
        <w:t>我们进行保险费率调整并向保险监督管理机构备案后，您应按调整后的保险费率支付续期保险费，保险费率调整前您已支付的保险费不受影响。</w:t>
      </w:r>
    </w:p>
    <w:p>
      <w:pPr>
        <w:pStyle w:val="BodyText"/>
        <w:spacing w:before="1"/>
        <w:rPr>
          <w:sz w:val="14"/>
        </w:rPr>
      </w:pPr>
    </w:p>
    <w:p>
      <w:pPr>
        <w:spacing w:after="0"/>
        <w:rPr>
          <w:sz w:val="14"/>
        </w:rPr>
        <w:sectPr>
          <w:pgSz w:w="11910" w:h="16840"/>
          <w:pgMar w:header="877" w:footer="981" w:top="1100" w:bottom="1180" w:left="1080" w:right="640"/>
        </w:sectPr>
      </w:pPr>
    </w:p>
    <w:p>
      <w:pPr>
        <w:pStyle w:val="Heading2"/>
        <w:numPr>
          <w:ilvl w:val="1"/>
          <w:numId w:val="12"/>
        </w:numPr>
        <w:tabs>
          <w:tab w:pos="907" w:val="left" w:leader="none"/>
          <w:tab w:pos="908" w:val="left" w:leader="none"/>
        </w:tabs>
        <w:spacing w:line="240" w:lineRule="auto" w:before="36" w:after="0"/>
        <w:ind w:left="2613" w:right="0" w:hanging="2389"/>
        <w:jc w:val="left"/>
      </w:pPr>
      <w:r>
        <w:rPr>
          <w:w w:val="95"/>
        </w:rPr>
        <w:t>续期保险费的</w:t>
      </w:r>
    </w:p>
    <w:p>
      <w:pPr>
        <w:spacing w:before="37"/>
        <w:ind w:left="907" w:right="0" w:firstLine="0"/>
        <w:jc w:val="left"/>
        <w:rPr>
          <w:b/>
          <w:sz w:val="21"/>
        </w:rPr>
      </w:pPr>
      <w:r>
        <w:rPr>
          <w:b/>
          <w:w w:val="95"/>
          <w:sz w:val="21"/>
        </w:rPr>
        <w:t>交付、宽限期</w:t>
      </w:r>
    </w:p>
    <w:p>
      <w:pPr>
        <w:pStyle w:val="BodyText"/>
        <w:spacing w:before="61"/>
        <w:ind w:left="224"/>
      </w:pPr>
      <w:r>
        <w:rPr/>
        <w:br w:type="column"/>
      </w:r>
      <w:r>
        <w:rPr/>
        <w:t>您在交付首期保险费后，应该按照本合同约定的交付方式和交费日期交付续期保险费。</w:t>
      </w:r>
    </w:p>
    <w:p>
      <w:pPr>
        <w:pStyle w:val="BodyText"/>
        <w:spacing w:line="316" w:lineRule="auto"/>
        <w:ind w:left="224" w:right="188"/>
        <w:jc w:val="both"/>
      </w:pPr>
      <w:r>
        <w:rPr/>
        <w:t>分期交付保险费的，您交付首期保险费后，除本合同另有约定外，如果您到期未交付保险费， 自保险费约定交付日的次日零时起六十日为宽限期。宽限期内发生的保险事故，我们仍会承担保险责任，但在给付保险金时会扣减您欠交的保险费。</w:t>
      </w:r>
    </w:p>
    <w:p>
      <w:pPr>
        <w:pStyle w:val="BodyText"/>
        <w:spacing w:before="19"/>
        <w:ind w:left="224"/>
        <w:jc w:val="both"/>
      </w:pPr>
      <w:r>
        <w:rPr/>
        <w:t>如果您宽限期结束之后仍未交付保险费，则本合同自宽限期满的次日零时起效力中止。</w:t>
      </w:r>
    </w:p>
    <w:p>
      <w:pPr>
        <w:spacing w:after="0"/>
        <w:jc w:val="both"/>
        <w:sectPr>
          <w:type w:val="continuous"/>
          <w:pgSz w:w="11910" w:h="16840"/>
          <w:pgMar w:top="1040" w:bottom="1180" w:left="1080" w:right="640"/>
          <w:cols w:num="2" w:equalWidth="0">
            <w:col w:w="2172" w:space="217"/>
            <w:col w:w="7801"/>
          </w:cols>
        </w:sectPr>
      </w:pPr>
    </w:p>
    <w:p>
      <w:pPr>
        <w:pStyle w:val="BodyText"/>
        <w:spacing w:before="7"/>
      </w:pPr>
    </w:p>
    <w:p>
      <w:pPr>
        <w:pStyle w:val="ListParagraph"/>
        <w:numPr>
          <w:ilvl w:val="1"/>
          <w:numId w:val="12"/>
        </w:numPr>
        <w:tabs>
          <w:tab w:pos="907" w:val="left" w:leader="none"/>
          <w:tab w:pos="908" w:val="left" w:leader="none"/>
          <w:tab w:pos="2613" w:val="left" w:leader="none"/>
        </w:tabs>
        <w:spacing w:line="240" w:lineRule="auto" w:before="35" w:after="0"/>
        <w:ind w:left="907" w:right="0" w:hanging="683"/>
        <w:jc w:val="left"/>
        <w:rPr>
          <w:sz w:val="18"/>
        </w:rPr>
      </w:pPr>
      <w:r>
        <w:rPr>
          <w:b/>
          <w:sz w:val="21"/>
        </w:rPr>
        <w:t>效力中止</w:t>
        <w:tab/>
      </w:r>
      <w:r>
        <w:rPr>
          <w:position w:val="1"/>
          <w:sz w:val="18"/>
        </w:rPr>
        <w:t>在本合同效力中止期间，我们不承担给付保险金的责任。</w:t>
      </w:r>
    </w:p>
    <w:p>
      <w:pPr>
        <w:pStyle w:val="BodyText"/>
        <w:spacing w:before="2"/>
        <w:rPr>
          <w:sz w:val="20"/>
        </w:rPr>
      </w:pPr>
    </w:p>
    <w:p>
      <w:pPr>
        <w:pStyle w:val="ListParagraph"/>
        <w:numPr>
          <w:ilvl w:val="1"/>
          <w:numId w:val="12"/>
        </w:numPr>
        <w:tabs>
          <w:tab w:pos="907" w:val="left" w:leader="none"/>
          <w:tab w:pos="908" w:val="left" w:leader="none"/>
          <w:tab w:pos="2613" w:val="left" w:leader="none"/>
        </w:tabs>
        <w:spacing w:line="295" w:lineRule="auto" w:before="0" w:after="0"/>
        <w:ind w:left="2613" w:right="224" w:hanging="2389"/>
        <w:jc w:val="left"/>
        <w:rPr>
          <w:sz w:val="18"/>
        </w:rPr>
      </w:pPr>
      <w:r>
        <w:rPr>
          <w:b/>
          <w:sz w:val="21"/>
        </w:rPr>
        <w:t>效力恢复</w:t>
        <w:tab/>
      </w:r>
      <w:r>
        <w:rPr>
          <w:position w:val="1"/>
          <w:sz w:val="18"/>
        </w:rPr>
        <w:t>若本合同效力中止</w:t>
      </w:r>
      <w:r>
        <w:rPr>
          <w:spacing w:val="-18"/>
          <w:position w:val="1"/>
          <w:sz w:val="18"/>
        </w:rPr>
        <w:t>，</w:t>
      </w:r>
      <w:r>
        <w:rPr>
          <w:position w:val="1"/>
          <w:sz w:val="18"/>
        </w:rPr>
        <w:t>您可自本合同效力中止日起二年内申请恢复合同效力</w:t>
      </w:r>
      <w:r>
        <w:rPr>
          <w:spacing w:val="-18"/>
          <w:position w:val="1"/>
          <w:sz w:val="18"/>
        </w:rPr>
        <w:t>。</w:t>
      </w:r>
      <w:r>
        <w:rPr>
          <w:position w:val="1"/>
          <w:sz w:val="18"/>
        </w:rPr>
        <w:t>经您与本公司协商</w:t>
      </w:r>
      <w:r>
        <w:rPr>
          <w:sz w:val="18"/>
        </w:rPr>
        <w:t>并达成协议，自您偿还未清偿的借款及应付利息、补交所欠保险费起，本合同效力恢复。</w:t>
      </w:r>
    </w:p>
    <w:p>
      <w:pPr>
        <w:pStyle w:val="BodyText"/>
        <w:spacing w:before="35"/>
        <w:ind w:left="2613"/>
      </w:pPr>
      <w:r>
        <w:rPr/>
        <w:t>本公司与您自本合同效力中止之日起满二年未达成复效协议的，本公司返还本合同效力中止时</w:t>
      </w:r>
    </w:p>
    <w:p>
      <w:pPr>
        <w:spacing w:after="0"/>
        <w:sectPr>
          <w:type w:val="continuous"/>
          <w:pgSz w:w="11910" w:h="16840"/>
          <w:pgMar w:top="1040" w:bottom="1180" w:left="1080" w:right="640"/>
        </w:sectPr>
      </w:pPr>
    </w:p>
    <w:p>
      <w:pPr>
        <w:pStyle w:val="BodyText"/>
        <w:spacing w:before="3"/>
        <w:rPr>
          <w:sz w:val="20"/>
        </w:rPr>
      </w:pPr>
    </w:p>
    <w:p>
      <w:pPr>
        <w:spacing w:after="0"/>
        <w:rPr>
          <w:sz w:val="20"/>
        </w:rPr>
        <w:sectPr>
          <w:footerReference w:type="default" r:id="rId11"/>
          <w:pgSz w:w="11910" w:h="16840"/>
          <w:pgMar w:footer="981" w:header="877" w:top="1100" w:bottom="1180" w:left="1080" w:right="640"/>
          <w:pgNumType w:start="6"/>
        </w:sectPr>
      </w:pPr>
    </w:p>
    <w:p>
      <w:pPr>
        <w:pStyle w:val="BodyText"/>
        <w:spacing w:before="10"/>
        <w:rPr>
          <w:sz w:val="34"/>
        </w:rPr>
      </w:pPr>
    </w:p>
    <w:p>
      <w:pPr>
        <w:tabs>
          <w:tab w:pos="907" w:val="left" w:leader="none"/>
        </w:tabs>
        <w:spacing w:before="1"/>
        <w:ind w:left="224" w:right="0" w:firstLine="0"/>
        <w:jc w:val="left"/>
        <w:rPr>
          <w:b/>
          <w:sz w:val="24"/>
        </w:rPr>
      </w:pPr>
      <w:r>
        <w:rPr>
          <w:rFonts w:ascii="Yu Gothic" w:eastAsia="Yu Gothic" w:hint="eastAsia"/>
          <w:b/>
          <w:w w:val="135"/>
          <w:position w:val="-3"/>
          <w:sz w:val="40"/>
        </w:rPr>
        <w:t>6</w:t>
        <w:tab/>
      </w:r>
      <w:r>
        <w:rPr>
          <w:b/>
          <w:w w:val="95"/>
          <w:sz w:val="24"/>
        </w:rPr>
        <w:t>现金价值权益</w:t>
      </w:r>
    </w:p>
    <w:p>
      <w:pPr>
        <w:pStyle w:val="BodyText"/>
        <w:spacing w:before="44"/>
        <w:ind w:left="220"/>
      </w:pPr>
      <w:r>
        <w:rPr/>
        <w:br w:type="column"/>
      </w:r>
      <w:r>
        <w:rPr/>
        <w:t>的现金价值，本合同终止。</w:t>
      </w:r>
    </w:p>
    <w:p>
      <w:pPr>
        <w:spacing w:after="0"/>
        <w:sectPr>
          <w:type w:val="continuous"/>
          <w:pgSz w:w="11910" w:h="16840"/>
          <w:pgMar w:top="1040" w:bottom="1180" w:left="1080" w:right="640"/>
          <w:cols w:num="2" w:equalWidth="0">
            <w:col w:w="2353" w:space="40"/>
            <w:col w:w="7797"/>
          </w:cols>
        </w:sectPr>
      </w:pPr>
    </w:p>
    <w:p>
      <w:pPr>
        <w:pStyle w:val="BodyText"/>
        <w:spacing w:before="1"/>
        <w:rPr>
          <w:sz w:val="5"/>
        </w:rPr>
      </w:pPr>
    </w:p>
    <w:p>
      <w:pPr>
        <w:pStyle w:val="BodyText"/>
        <w:spacing w:line="20" w:lineRule="exact" w:before="0"/>
        <w:ind w:left="111"/>
        <w:rPr>
          <w:sz w:val="2"/>
        </w:rPr>
      </w:pPr>
      <w:r>
        <w:rPr>
          <w:rFonts w:ascii="Times New Roman"/>
          <w:spacing w:val="5"/>
          <w:sz w:val="2"/>
        </w:rPr>
        <w:t> </w:t>
      </w:r>
      <w:r>
        <w:rPr>
          <w:spacing w:val="5"/>
          <w:sz w:val="2"/>
        </w:rPr>
        <w:pict>
          <v:group style="width:497.5pt;height:.5pt;mso-position-horizontal-relative:char;mso-position-vertical-relative:line" coordorigin="0,0" coordsize="9950,10">
            <v:line style="position:absolute" from="0,5" to="9949,5" stroked="true" strokeweight=".47998pt" strokecolor="#000000">
              <v:stroke dashstyle="solid"/>
            </v:line>
          </v:group>
        </w:pict>
      </w:r>
      <w:r>
        <w:rPr>
          <w:spacing w:val="5"/>
          <w:sz w:val="2"/>
        </w:rPr>
      </w:r>
    </w:p>
    <w:p>
      <w:pPr>
        <w:pStyle w:val="BodyText"/>
        <w:spacing w:before="0"/>
        <w:rPr>
          <w:sz w:val="12"/>
        </w:rPr>
      </w:pPr>
    </w:p>
    <w:p>
      <w:pPr>
        <w:pStyle w:val="ListParagraph"/>
        <w:numPr>
          <w:ilvl w:val="1"/>
          <w:numId w:val="13"/>
        </w:numPr>
        <w:tabs>
          <w:tab w:pos="908" w:val="left" w:leader="none"/>
        </w:tabs>
        <w:spacing w:line="295" w:lineRule="auto" w:before="35" w:after="0"/>
        <w:ind w:left="2613" w:right="224" w:hanging="2389"/>
        <w:jc w:val="both"/>
        <w:rPr>
          <w:sz w:val="18"/>
        </w:rPr>
      </w:pPr>
      <w:r>
        <w:rPr>
          <w:b/>
          <w:spacing w:val="0"/>
          <w:sz w:val="21"/>
        </w:rPr>
        <w:t>现金价值       </w:t>
      </w:r>
      <w:r>
        <w:rPr>
          <w:spacing w:val="-2"/>
          <w:position w:val="1"/>
          <w:sz w:val="18"/>
        </w:rPr>
        <w:t>本合同保单年度末的现金价值会在保险单上载明，保单年度内的现金价值，您可以向本公司咨</w:t>
      </w:r>
      <w:r>
        <w:rPr>
          <w:spacing w:val="-2"/>
          <w:sz w:val="18"/>
        </w:rPr>
        <w:t>询。</w:t>
      </w:r>
    </w:p>
    <w:p>
      <w:pPr>
        <w:pStyle w:val="BodyText"/>
        <w:spacing w:before="0"/>
      </w:pPr>
    </w:p>
    <w:p>
      <w:pPr>
        <w:pStyle w:val="ListParagraph"/>
        <w:numPr>
          <w:ilvl w:val="1"/>
          <w:numId w:val="13"/>
        </w:numPr>
        <w:tabs>
          <w:tab w:pos="907" w:val="left" w:leader="none"/>
        </w:tabs>
        <w:spacing w:line="312" w:lineRule="auto" w:before="0" w:after="0"/>
        <w:ind w:left="2613" w:right="224" w:hanging="2389"/>
        <w:jc w:val="both"/>
        <w:rPr>
          <w:sz w:val="18"/>
        </w:rPr>
      </w:pPr>
      <w:r>
        <w:rPr>
          <w:b/>
          <w:spacing w:val="0"/>
          <w:sz w:val="21"/>
        </w:rPr>
        <w:t>自动垫交       </w:t>
      </w:r>
      <w:r>
        <w:rPr>
          <w:spacing w:val="-3"/>
          <w:position w:val="1"/>
          <w:sz w:val="18"/>
        </w:rPr>
        <w:t>若您选择了保险费自动垫交，宽限期结束时您仍未交付当期保险费，本公司将对本合同及附加</w:t>
      </w:r>
      <w:r>
        <w:rPr>
          <w:spacing w:val="-6"/>
          <w:sz w:val="18"/>
        </w:rPr>
        <w:t>合同作保险费自动垫交处理。若当时本合同现金价值扣除您尚未清偿的欠款及应付利息后的余</w:t>
      </w:r>
      <w:r>
        <w:rPr>
          <w:spacing w:val="-8"/>
          <w:sz w:val="18"/>
        </w:rPr>
        <w:t>额足以垫交全部到期保险费，本公司将同时自动垫交本合同及附加合同应交保险费，使本合同</w:t>
      </w:r>
      <w:r>
        <w:rPr>
          <w:spacing w:val="-10"/>
          <w:sz w:val="18"/>
        </w:rPr>
        <w:t>及附加合同继续有效。本公司为您垫交的保险费视为您从本公司的借款，按所垫交金额以年复利方式计算利息。</w:t>
      </w:r>
    </w:p>
    <w:p>
      <w:pPr>
        <w:pStyle w:val="BodyText"/>
        <w:spacing w:line="316" w:lineRule="auto" w:before="22"/>
        <w:ind w:left="2613" w:right="368"/>
      </w:pPr>
      <w:r>
        <w:rPr/>
        <w:t>若当时本合同现金价值扣除您尚未清偿的欠款及应付利息后的余额不足以垫交全部到期保险费，本合同及附加合同效力即行中止。</w:t>
      </w:r>
    </w:p>
    <w:p>
      <w:pPr>
        <w:pStyle w:val="BodyText"/>
        <w:spacing w:before="10"/>
        <w:rPr>
          <w:sz w:val="16"/>
        </w:rPr>
      </w:pPr>
    </w:p>
    <w:p>
      <w:pPr>
        <w:pStyle w:val="ListParagraph"/>
        <w:numPr>
          <w:ilvl w:val="1"/>
          <w:numId w:val="13"/>
        </w:numPr>
        <w:tabs>
          <w:tab w:pos="908" w:val="left" w:leader="none"/>
        </w:tabs>
        <w:spacing w:line="304" w:lineRule="auto" w:before="0" w:after="0"/>
        <w:ind w:left="2613" w:right="224" w:hanging="2389"/>
        <w:jc w:val="both"/>
        <w:rPr>
          <w:sz w:val="18"/>
        </w:rPr>
      </w:pPr>
      <w:r>
        <w:rPr>
          <w:b/>
          <w:spacing w:val="0"/>
          <w:sz w:val="21"/>
        </w:rPr>
        <w:t>保险单借款     </w:t>
      </w:r>
      <w:r>
        <w:rPr>
          <w:spacing w:val="-3"/>
          <w:position w:val="1"/>
          <w:sz w:val="18"/>
        </w:rPr>
        <w:t>在本合同有效期内，您可以书面形式向本公司申请保险单借款。借款金额最高不得超过本合同</w:t>
      </w:r>
      <w:r>
        <w:rPr>
          <w:spacing w:val="-5"/>
          <w:sz w:val="18"/>
        </w:rPr>
        <w:t>当时现金价值扣除您尚未清偿的欠款及应付利息后余额的 </w:t>
      </w:r>
      <w:r>
        <w:rPr>
          <w:sz w:val="18"/>
        </w:rPr>
        <w:t>80%。本公司按借款金额以年复利方式计算利息。</w:t>
      </w:r>
    </w:p>
    <w:p>
      <w:pPr>
        <w:pStyle w:val="BodyText"/>
        <w:spacing w:before="5"/>
        <w:rPr>
          <w:sz w:val="19"/>
        </w:rPr>
      </w:pPr>
    </w:p>
    <w:p>
      <w:pPr>
        <w:pStyle w:val="BodyText"/>
        <w:spacing w:line="316" w:lineRule="auto" w:before="0"/>
        <w:ind w:left="2613" w:right="368"/>
      </w:pPr>
      <w:r>
        <w:rPr/>
        <w:t>因垫交保险费或保险单借款等导致本合同现金价值扣除您尚未清偿的欠款及应付利息后的余额为零时，本合同效力即行中止。</w:t>
      </w:r>
    </w:p>
    <w:p>
      <w:pPr>
        <w:pStyle w:val="Heading1"/>
        <w:numPr>
          <w:ilvl w:val="0"/>
          <w:numId w:val="14"/>
        </w:numPr>
        <w:tabs>
          <w:tab w:pos="907" w:val="left" w:leader="none"/>
          <w:tab w:pos="908" w:val="left" w:leader="none"/>
        </w:tabs>
        <w:spacing w:line="240" w:lineRule="auto" w:before="119" w:after="0"/>
        <w:ind w:left="907" w:right="0" w:hanging="683"/>
        <w:jc w:val="left"/>
      </w:pPr>
      <w:r>
        <w:rPr/>
        <w:pict>
          <v:line style="position:absolute;mso-position-horizontal-relative:page;mso-position-vertical-relative:paragraph;z-index:1216;mso-wrap-distance-left:0;mso-wrap-distance-right:0" from="59.82pt,43.239788pt" to="557.28pt,43.239788pt" stroked="true" strokeweight=".48001pt" strokecolor="#000000">
            <v:stroke dashstyle="solid"/>
            <w10:wrap type="topAndBottom"/>
          </v:line>
        </w:pict>
      </w:r>
      <w:r>
        <w:rPr>
          <w:w w:val="95"/>
        </w:rPr>
        <w:t>如何解除保险合同</w:t>
      </w:r>
    </w:p>
    <w:p>
      <w:pPr>
        <w:pStyle w:val="BodyText"/>
        <w:spacing w:before="7"/>
        <w:rPr>
          <w:b/>
          <w:sz w:val="10"/>
        </w:rPr>
      </w:pPr>
    </w:p>
    <w:p>
      <w:pPr>
        <w:spacing w:after="0"/>
        <w:rPr>
          <w:sz w:val="10"/>
        </w:rPr>
        <w:sectPr>
          <w:type w:val="continuous"/>
          <w:pgSz w:w="11910" w:h="16840"/>
          <w:pgMar w:top="1040" w:bottom="1180" w:left="1080" w:right="640"/>
        </w:sectPr>
      </w:pPr>
    </w:p>
    <w:p>
      <w:pPr>
        <w:pStyle w:val="Heading2"/>
        <w:tabs>
          <w:tab w:pos="907" w:val="left" w:leader="none"/>
        </w:tabs>
        <w:spacing w:line="273" w:lineRule="auto" w:before="35"/>
        <w:ind w:hanging="683"/>
      </w:pPr>
      <w:r>
        <w:rPr/>
        <w:t>6.1</w:t>
        <w:tab/>
        <w:t>您解除合同的手 续及风险</w:t>
      </w:r>
    </w:p>
    <w:p>
      <w:pPr>
        <w:pStyle w:val="BodyText"/>
        <w:spacing w:line="316" w:lineRule="auto" w:before="60"/>
        <w:ind w:left="172" w:right="189"/>
      </w:pPr>
      <w:r>
        <w:rPr/>
        <w:br w:type="column"/>
      </w:r>
      <w:r>
        <w:rPr/>
        <w:t>您在犹豫期后，可以书面通知我们要求解除本合同，自本公司收到合同解除申请书之日起，本合同效力即行终止。</w:t>
      </w:r>
    </w:p>
    <w:p>
      <w:pPr>
        <w:pStyle w:val="BodyText"/>
        <w:spacing w:before="18"/>
        <w:ind w:left="172"/>
      </w:pPr>
      <w:r>
        <w:rPr/>
        <w:t>您解除本合同时，应填写合同解除申请书，并提供下列证明和资料：</w:t>
      </w:r>
    </w:p>
    <w:p>
      <w:pPr>
        <w:pStyle w:val="BodyText"/>
        <w:ind w:left="172"/>
      </w:pPr>
      <w:r>
        <w:rPr/>
        <w:t>1、 保险合同；</w:t>
      </w:r>
    </w:p>
    <w:p>
      <w:pPr>
        <w:pStyle w:val="BodyText"/>
        <w:ind w:left="172"/>
      </w:pPr>
      <w:r>
        <w:rPr/>
        <w:t>2、 您的有效身份证件。</w:t>
      </w:r>
    </w:p>
    <w:p>
      <w:pPr>
        <w:pStyle w:val="BodyText"/>
        <w:spacing w:line="316" w:lineRule="auto"/>
        <w:ind w:left="172" w:right="1808"/>
      </w:pPr>
      <w:r>
        <w:rPr/>
        <w:t>本公司自收到上述证明和材料之日起三十日内，返还本合同的现金价值。您在犹豫期后解除合同会遭受一定损失。</w:t>
      </w:r>
    </w:p>
    <w:p>
      <w:pPr>
        <w:pStyle w:val="BodyText"/>
        <w:spacing w:before="18"/>
        <w:ind w:left="172"/>
      </w:pPr>
      <w:r>
        <w:rPr/>
        <w:t>解除合同后，受益人不能对合同解除前发生的保险事故申请给付保险金。</w:t>
      </w:r>
    </w:p>
    <w:p>
      <w:pPr>
        <w:spacing w:after="0"/>
        <w:sectPr>
          <w:type w:val="continuous"/>
          <w:pgSz w:w="11910" w:h="16840"/>
          <w:pgMar w:top="1040" w:bottom="1180" w:left="1080" w:right="640"/>
          <w:cols w:num="2" w:equalWidth="0">
            <w:col w:w="2402" w:space="40"/>
            <w:col w:w="7748"/>
          </w:cols>
        </w:sectPr>
      </w:pPr>
    </w:p>
    <w:p>
      <w:pPr>
        <w:pStyle w:val="BodyText"/>
        <w:spacing w:before="5"/>
        <w:rPr>
          <w:sz w:val="22"/>
        </w:rPr>
      </w:pPr>
    </w:p>
    <w:p>
      <w:pPr>
        <w:pStyle w:val="Heading1"/>
        <w:tabs>
          <w:tab w:pos="907" w:val="left" w:leader="none"/>
        </w:tabs>
        <w:spacing w:line="556" w:lineRule="exact"/>
      </w:pPr>
      <w:r>
        <w:rPr/>
        <w:pict>
          <v:line style="position:absolute;mso-position-horizontal-relative:page;mso-position-vertical-relative:paragraph;z-index:1240;mso-wrap-distance-left:0;mso-wrap-distance-right:0" from="59.82pt,31.404898pt" to="557.28pt,31.404898pt" stroked="true" strokeweight=".48pt" strokecolor="#000000">
            <v:stroke dashstyle="solid"/>
            <w10:wrap type="topAndBottom"/>
          </v:line>
        </w:pict>
      </w:r>
      <w:r>
        <w:rPr>
          <w:rFonts w:ascii="Yu Gothic" w:eastAsia="Yu Gothic" w:hint="eastAsia"/>
          <w:w w:val="135"/>
          <w:position w:val="-3"/>
          <w:sz w:val="40"/>
        </w:rPr>
        <w:t>0</w:t>
        <w:tab/>
      </w:r>
      <w:r>
        <w:rPr/>
        <w:t>其他需要您关注的事项</w:t>
      </w:r>
    </w:p>
    <w:p>
      <w:pPr>
        <w:pStyle w:val="BodyText"/>
        <w:spacing w:before="7"/>
        <w:rPr>
          <w:b/>
          <w:sz w:val="10"/>
        </w:rPr>
      </w:pPr>
    </w:p>
    <w:p>
      <w:pPr>
        <w:pStyle w:val="ListParagraph"/>
        <w:numPr>
          <w:ilvl w:val="1"/>
          <w:numId w:val="15"/>
        </w:numPr>
        <w:tabs>
          <w:tab w:pos="907" w:val="left" w:leader="none"/>
          <w:tab w:pos="908" w:val="left" w:leader="none"/>
          <w:tab w:pos="2613" w:val="left" w:leader="none"/>
        </w:tabs>
        <w:spacing w:line="240" w:lineRule="auto" w:before="35" w:after="0"/>
        <w:ind w:left="907" w:right="0" w:hanging="683"/>
        <w:jc w:val="left"/>
        <w:rPr>
          <w:sz w:val="18"/>
        </w:rPr>
      </w:pPr>
      <w:r>
        <w:rPr>
          <w:b/>
          <w:sz w:val="21"/>
        </w:rPr>
        <w:t>投保范围</w:t>
        <w:tab/>
      </w:r>
      <w:r>
        <w:rPr>
          <w:position w:val="1"/>
          <w:sz w:val="18"/>
        </w:rPr>
        <w:t>1、被保险人条件：</w:t>
      </w:r>
    </w:p>
    <w:p>
      <w:pPr>
        <w:pStyle w:val="BodyText"/>
        <w:spacing w:line="316" w:lineRule="auto" w:before="62"/>
        <w:ind w:left="2613" w:right="170"/>
      </w:pPr>
      <w:r>
        <w:rPr/>
        <w:t>凡投保时出生满二十八天至六十周岁，身体健康，能正常工作或学习的人，均可作为本保险的被保险人。</w:t>
      </w:r>
    </w:p>
    <w:p>
      <w:pPr>
        <w:pStyle w:val="BodyText"/>
        <w:spacing w:before="18"/>
        <w:ind w:left="2613"/>
      </w:pPr>
      <w:r>
        <w:rPr/>
        <w:t>2、投保人条件：</w:t>
      </w:r>
    </w:p>
    <w:p>
      <w:pPr>
        <w:pStyle w:val="BodyText"/>
        <w:spacing w:line="316" w:lineRule="auto"/>
        <w:ind w:left="2613" w:right="170"/>
      </w:pPr>
      <w:r>
        <w:rPr/>
        <w:t>凡订立本合同时年满十八周岁，具有完全民事行为能力且对被保险人具有保险利益的人，均可作为本保险的投保人。</w:t>
      </w:r>
    </w:p>
    <w:p>
      <w:pPr>
        <w:pStyle w:val="BodyText"/>
        <w:spacing w:before="1"/>
        <w:rPr>
          <w:sz w:val="14"/>
        </w:rPr>
      </w:pPr>
    </w:p>
    <w:p>
      <w:pPr>
        <w:spacing w:after="0"/>
        <w:rPr>
          <w:sz w:val="14"/>
        </w:rPr>
        <w:sectPr>
          <w:type w:val="continuous"/>
          <w:pgSz w:w="11910" w:h="16840"/>
          <w:pgMar w:top="1040" w:bottom="1180" w:left="1080" w:right="640"/>
        </w:sectPr>
      </w:pPr>
    </w:p>
    <w:p>
      <w:pPr>
        <w:pStyle w:val="Heading2"/>
        <w:numPr>
          <w:ilvl w:val="1"/>
          <w:numId w:val="15"/>
        </w:numPr>
        <w:tabs>
          <w:tab w:pos="907" w:val="left" w:leader="none"/>
          <w:tab w:pos="908" w:val="left" w:leader="none"/>
        </w:tabs>
        <w:spacing w:line="240" w:lineRule="auto" w:before="36" w:after="0"/>
        <w:ind w:left="907" w:right="0" w:hanging="683"/>
        <w:jc w:val="left"/>
      </w:pPr>
      <w:r>
        <w:rPr/>
        <w:t>明确说明与如实</w:t>
      </w:r>
    </w:p>
    <w:p>
      <w:pPr>
        <w:spacing w:before="37"/>
        <w:ind w:left="889" w:right="1051" w:firstLine="0"/>
        <w:jc w:val="center"/>
        <w:rPr>
          <w:b/>
          <w:sz w:val="21"/>
        </w:rPr>
      </w:pPr>
      <w:r>
        <w:rPr>
          <w:b/>
          <w:sz w:val="21"/>
        </w:rPr>
        <w:t>告知</w:t>
      </w:r>
    </w:p>
    <w:p>
      <w:pPr>
        <w:pStyle w:val="BodyText"/>
        <w:spacing w:before="61"/>
        <w:ind w:left="172"/>
      </w:pPr>
      <w:r>
        <w:rPr/>
        <w:br w:type="column"/>
      </w:r>
      <w:r>
        <w:rPr/>
        <w:t>订立本合同时，本公司应向您说明本合同的内容。</w:t>
      </w:r>
    </w:p>
    <w:p>
      <w:pPr>
        <w:pStyle w:val="BodyText"/>
        <w:spacing w:line="316" w:lineRule="auto"/>
        <w:ind w:left="172" w:right="169"/>
      </w:pPr>
      <w:r>
        <w:rPr/>
        <w:t>对保险条款中免除本公司责任的条款，本公司在订立合同时应当在投保单、保险单或者其他保险凭证上作出足以引起您注意的提示，并对该条款的内容以书面或者口头形式向您作出明确说</w:t>
      </w:r>
    </w:p>
    <w:p>
      <w:pPr>
        <w:spacing w:after="0" w:line="316" w:lineRule="auto"/>
        <w:sectPr>
          <w:type w:val="continuous"/>
          <w:pgSz w:w="11910" w:h="16840"/>
          <w:pgMar w:top="1040" w:bottom="1180" w:left="1080" w:right="640"/>
          <w:cols w:num="2" w:equalWidth="0">
            <w:col w:w="2402" w:space="40"/>
            <w:col w:w="7748"/>
          </w:cols>
        </w:sectPr>
      </w:pPr>
    </w:p>
    <w:p>
      <w:pPr>
        <w:pStyle w:val="BodyText"/>
        <w:spacing w:before="3"/>
        <w:rPr>
          <w:sz w:val="20"/>
        </w:rPr>
      </w:pPr>
    </w:p>
    <w:p>
      <w:pPr>
        <w:pStyle w:val="BodyText"/>
        <w:spacing w:before="44"/>
        <w:ind w:left="2613"/>
      </w:pPr>
      <w:r>
        <w:rPr/>
        <w:t>明，未作提示或者明确说明的，该条款不产生效力。</w:t>
      </w:r>
    </w:p>
    <w:p>
      <w:pPr>
        <w:pStyle w:val="BodyText"/>
        <w:ind w:left="2613"/>
      </w:pPr>
      <w:r>
        <w:rPr/>
        <w:t>本公司就您和被保险人的有关情况提出询问，您应当如实告知。</w:t>
      </w:r>
    </w:p>
    <w:p>
      <w:pPr>
        <w:pStyle w:val="BodyText"/>
        <w:spacing w:line="316" w:lineRule="auto"/>
        <w:ind w:left="2613" w:right="171"/>
      </w:pPr>
      <w:r>
        <w:rPr>
          <w:shd w:fill="C0C0C0" w:color="auto" w:val="clear"/>
        </w:rPr>
        <w:t>如果您故意或者因重大过失未履行前款规定的如实告知义务，足以影响我们决定是否同意承保或者提高保险费率的，我们有权解除合同。</w:t>
      </w:r>
    </w:p>
    <w:p>
      <w:pPr>
        <w:pStyle w:val="BodyText"/>
        <w:spacing w:line="316" w:lineRule="auto" w:before="18"/>
        <w:ind w:left="2613" w:right="170"/>
      </w:pPr>
      <w:r>
        <w:rPr>
          <w:shd w:fill="C0C0C0" w:color="auto" w:val="clear"/>
        </w:rPr>
        <w:t>您故意不履行如实告知义务的，我们对于合同解除前发生的保险事故，不承担给付保险金的责任，并不返还保险费。</w:t>
      </w:r>
    </w:p>
    <w:p>
      <w:pPr>
        <w:pStyle w:val="BodyText"/>
        <w:spacing w:line="316" w:lineRule="auto" w:before="18"/>
        <w:ind w:left="2613" w:right="170"/>
      </w:pPr>
      <w:r>
        <w:rPr>
          <w:shd w:fill="C0C0C0" w:color="auto" w:val="clear"/>
        </w:rPr>
        <w:t>您因重大过失未履行如实告知义务，对保险事故的发生有严重影响的，我们对于合同解除前发生的保险事故，不承担给付保险金的责任，但应当返还保险费。</w:t>
      </w:r>
    </w:p>
    <w:p>
      <w:pPr>
        <w:pStyle w:val="BodyText"/>
        <w:spacing w:line="316" w:lineRule="auto" w:before="18"/>
        <w:ind w:left="2613" w:right="135" w:hanging="1"/>
      </w:pPr>
      <w:r>
        <w:rPr>
          <w:spacing w:val="-5"/>
        </w:rPr>
        <w:t>本公司在合同订立时已经知道您未如实告知的情况的，本公司不得解除合同；发生保险事故的， 本公司承担给付保险金的责任。</w:t>
      </w:r>
    </w:p>
    <w:p>
      <w:pPr>
        <w:pStyle w:val="BodyText"/>
        <w:spacing w:before="1"/>
        <w:rPr>
          <w:sz w:val="14"/>
        </w:rPr>
      </w:pPr>
    </w:p>
    <w:p>
      <w:pPr>
        <w:spacing w:after="0"/>
        <w:rPr>
          <w:sz w:val="14"/>
        </w:rPr>
        <w:sectPr>
          <w:pgSz w:w="11910" w:h="16840"/>
          <w:pgMar w:header="877" w:footer="981" w:top="1100" w:bottom="1180" w:left="1080" w:right="640"/>
        </w:sectPr>
      </w:pPr>
    </w:p>
    <w:p>
      <w:pPr>
        <w:pStyle w:val="Heading2"/>
        <w:numPr>
          <w:ilvl w:val="1"/>
          <w:numId w:val="15"/>
        </w:numPr>
        <w:tabs>
          <w:tab w:pos="907" w:val="left" w:leader="none"/>
          <w:tab w:pos="908" w:val="left" w:leader="none"/>
        </w:tabs>
        <w:spacing w:line="273" w:lineRule="auto" w:before="36" w:after="0"/>
        <w:ind w:left="907" w:right="0" w:hanging="683"/>
        <w:jc w:val="left"/>
      </w:pPr>
      <w:r>
        <w:rPr/>
        <w:t>本公司合同解除权的限制</w:t>
      </w:r>
    </w:p>
    <w:p>
      <w:pPr>
        <w:pStyle w:val="BodyText"/>
        <w:spacing w:line="316" w:lineRule="auto" w:before="61"/>
        <w:ind w:left="172" w:right="134"/>
      </w:pPr>
      <w:r>
        <w:rPr/>
        <w:br w:type="column"/>
      </w:r>
      <w:r>
        <w:rPr>
          <w:spacing w:val="-4"/>
        </w:rPr>
        <w:t>前条规定的合同解除权，自我们知道有解除事由之日起，超过三十日不行使而消灭。自本合同</w:t>
      </w:r>
      <w:r>
        <w:rPr>
          <w:spacing w:val="-12"/>
        </w:rPr>
        <w:t>成立之日起超过二年的，我们不得解除合同；发生保险事故的，我们将承担给付保险金的责任。</w:t>
      </w:r>
    </w:p>
    <w:p>
      <w:pPr>
        <w:spacing w:after="0" w:line="316" w:lineRule="auto"/>
        <w:sectPr>
          <w:type w:val="continuous"/>
          <w:pgSz w:w="11910" w:h="16840"/>
          <w:pgMar w:top="1040" w:bottom="1180" w:left="1080" w:right="640"/>
          <w:cols w:num="2" w:equalWidth="0">
            <w:col w:w="2402" w:space="40"/>
            <w:col w:w="7748"/>
          </w:cols>
        </w:sectPr>
      </w:pPr>
    </w:p>
    <w:p>
      <w:pPr>
        <w:pStyle w:val="BodyText"/>
        <w:spacing w:before="1"/>
        <w:rPr>
          <w:sz w:val="14"/>
        </w:rPr>
      </w:pPr>
    </w:p>
    <w:p>
      <w:pPr>
        <w:spacing w:after="0"/>
        <w:rPr>
          <w:sz w:val="14"/>
        </w:rPr>
        <w:sectPr>
          <w:type w:val="continuous"/>
          <w:pgSz w:w="11910" w:h="16840"/>
          <w:pgMar w:top="1040" w:bottom="1180" w:left="1080" w:right="640"/>
        </w:sectPr>
      </w:pPr>
    </w:p>
    <w:p>
      <w:pPr>
        <w:pStyle w:val="Heading2"/>
        <w:numPr>
          <w:ilvl w:val="1"/>
          <w:numId w:val="15"/>
        </w:numPr>
        <w:tabs>
          <w:tab w:pos="907" w:val="left" w:leader="none"/>
          <w:tab w:pos="908" w:val="left" w:leader="none"/>
        </w:tabs>
        <w:spacing w:line="273" w:lineRule="auto" w:before="35" w:after="0"/>
        <w:ind w:left="907" w:right="0" w:hanging="683"/>
        <w:jc w:val="left"/>
      </w:pPr>
      <w:r>
        <w:rPr>
          <w:w w:val="95"/>
        </w:rPr>
        <w:t>年龄计算与</w:t>
      </w:r>
      <w:r>
        <w:rPr/>
        <w:t>错误处理</w:t>
      </w:r>
    </w:p>
    <w:p>
      <w:pPr>
        <w:pStyle w:val="BodyText"/>
        <w:spacing w:line="316" w:lineRule="auto" w:before="61"/>
        <w:ind w:left="224" w:right="190"/>
      </w:pPr>
      <w:r>
        <w:rPr/>
        <w:br w:type="column"/>
      </w:r>
      <w:r>
        <w:rPr/>
        <w:t>您在申请投保时，应将与有效身份证件相符的被保险人的出生日期在投保单上填明，若发生错误按下列规定办理：</w:t>
      </w:r>
    </w:p>
    <w:p>
      <w:pPr>
        <w:pStyle w:val="BodyText"/>
        <w:spacing w:line="316" w:lineRule="auto" w:before="18"/>
        <w:ind w:left="224" w:right="134"/>
      </w:pPr>
      <w:r>
        <w:rPr>
          <w:shd w:fill="C0C0C0" w:color="auto" w:val="clear"/>
        </w:rPr>
        <w:t>1</w:t>
      </w:r>
      <w:r>
        <w:rPr>
          <w:spacing w:val="-3"/>
          <w:shd w:fill="C0C0C0" w:color="auto" w:val="clear"/>
        </w:rPr>
        <w:t>、真实投保年龄不符合本合同约定的投保年龄范围的，在保险事故发生之前本公司有权解除合</w:t>
      </w:r>
      <w:r>
        <w:rPr>
          <w:spacing w:val="-12"/>
          <w:shd w:fill="C0C0C0" w:color="auto" w:val="clear"/>
        </w:rPr>
        <w:t>同，并向您返还本合同的现金价值。本公司行使合同解除权适用“本公司合同解除权的限制”的规定。</w:t>
      </w:r>
    </w:p>
    <w:p>
      <w:pPr>
        <w:pStyle w:val="BodyText"/>
        <w:spacing w:line="316" w:lineRule="auto" w:before="18"/>
        <w:ind w:left="224" w:right="224"/>
      </w:pPr>
      <w:r>
        <w:rPr/>
        <w:t>2、您申报的被保险人年龄不真实，致使您实交保险费少于应交保险费的，本公司有权审核更</w:t>
      </w:r>
      <w:r>
        <w:rPr>
          <w:spacing w:val="-3"/>
        </w:rPr>
        <w:t>正并要求您补交保险费；若补交保险费前已发生保险事故，本公司按照实交保险费与应交保险费的比例给付保险金。                                                             3、您申报的被保险人年龄不真实，致使您实交保险费多于应交保险费的，本公司将多收的保险费无息返还您。</w:t>
      </w:r>
    </w:p>
    <w:p>
      <w:pPr>
        <w:spacing w:after="0" w:line="316" w:lineRule="auto"/>
        <w:sectPr>
          <w:type w:val="continuous"/>
          <w:pgSz w:w="11910" w:h="16840"/>
          <w:pgMar w:top="1040" w:bottom="1180" w:left="1080" w:right="640"/>
          <w:cols w:num="2" w:equalWidth="0">
            <w:col w:w="1961" w:space="428"/>
            <w:col w:w="7801"/>
          </w:cols>
        </w:sectPr>
      </w:pPr>
    </w:p>
    <w:p>
      <w:pPr>
        <w:pStyle w:val="BodyText"/>
        <w:spacing w:before="1"/>
        <w:rPr>
          <w:sz w:val="14"/>
        </w:rPr>
      </w:pPr>
    </w:p>
    <w:p>
      <w:pPr>
        <w:pStyle w:val="ListParagraph"/>
        <w:numPr>
          <w:ilvl w:val="1"/>
          <w:numId w:val="15"/>
        </w:numPr>
        <w:tabs>
          <w:tab w:pos="908" w:val="left" w:leader="none"/>
        </w:tabs>
        <w:spacing w:line="304" w:lineRule="auto" w:before="36" w:after="0"/>
        <w:ind w:left="2613" w:right="224" w:hanging="2389"/>
        <w:jc w:val="both"/>
        <w:rPr>
          <w:sz w:val="18"/>
        </w:rPr>
      </w:pPr>
      <w:r>
        <w:rPr>
          <w:b/>
          <w:spacing w:val="0"/>
          <w:sz w:val="21"/>
        </w:rPr>
        <w:t>联系方式变更   </w:t>
      </w:r>
      <w:r>
        <w:rPr>
          <w:spacing w:val="-4"/>
          <w:position w:val="1"/>
          <w:sz w:val="18"/>
        </w:rPr>
        <w:t>为了保障您的合法权益，您或被保险人的住所、通讯地址或电话等联系方式变更时，应及时以</w:t>
      </w:r>
      <w:r>
        <w:rPr>
          <w:spacing w:val="-6"/>
          <w:sz w:val="18"/>
        </w:rPr>
        <w:t>书面形式或双方认可的其他形式通知本公司。若您或被保险人未作前述通知的，本公司按本合同载明的最后住所或通讯地址发送有关通知，视为已通知您或被保险人。</w:t>
      </w:r>
    </w:p>
    <w:p>
      <w:pPr>
        <w:pStyle w:val="BodyText"/>
        <w:spacing w:line="316" w:lineRule="auto" w:before="28"/>
        <w:ind w:left="2613" w:right="224"/>
        <w:jc w:val="both"/>
      </w:pPr>
      <w:r>
        <w:rPr>
          <w:spacing w:val="-4"/>
        </w:rPr>
        <w:t>您或被保险人的住所、通讯地址或电话等联系方式变更时，未及时通知本公司，可能导致本公</w:t>
      </w:r>
      <w:r>
        <w:rPr>
          <w:spacing w:val="-7"/>
        </w:rPr>
        <w:t>司有关通知无法送达您或被保险人，由此而导致的保险单失效及您或者被保险人其它保险利益的延误和丧失由您或被保险人来承担。</w:t>
      </w:r>
    </w:p>
    <w:p>
      <w:pPr>
        <w:pStyle w:val="BodyText"/>
        <w:spacing w:before="10"/>
        <w:rPr>
          <w:sz w:val="16"/>
        </w:rPr>
      </w:pPr>
    </w:p>
    <w:p>
      <w:pPr>
        <w:pStyle w:val="ListParagraph"/>
        <w:numPr>
          <w:ilvl w:val="1"/>
          <w:numId w:val="15"/>
        </w:numPr>
        <w:tabs>
          <w:tab w:pos="907" w:val="left" w:leader="none"/>
          <w:tab w:pos="908" w:val="left" w:leader="none"/>
          <w:tab w:pos="2613" w:val="left" w:leader="none"/>
        </w:tabs>
        <w:spacing w:line="304" w:lineRule="auto" w:before="1" w:after="0"/>
        <w:ind w:left="2613" w:right="227" w:hanging="2389"/>
        <w:jc w:val="left"/>
        <w:rPr>
          <w:sz w:val="18"/>
        </w:rPr>
      </w:pPr>
      <w:r>
        <w:rPr>
          <w:b/>
          <w:sz w:val="21"/>
        </w:rPr>
        <w:t>合同内容变更</w:t>
        <w:tab/>
      </w:r>
      <w:r>
        <w:rPr>
          <w:position w:val="1"/>
          <w:sz w:val="18"/>
        </w:rPr>
        <w:t>在本合同有效期内</w:t>
      </w:r>
      <w:r>
        <w:rPr>
          <w:spacing w:val="-10"/>
          <w:position w:val="1"/>
          <w:sz w:val="18"/>
        </w:rPr>
        <w:t>，</w:t>
      </w:r>
      <w:r>
        <w:rPr>
          <w:position w:val="1"/>
          <w:sz w:val="18"/>
        </w:rPr>
        <w:t>经您与本公司协商一致</w:t>
      </w:r>
      <w:r>
        <w:rPr>
          <w:spacing w:val="-10"/>
          <w:position w:val="1"/>
          <w:sz w:val="18"/>
        </w:rPr>
        <w:t>，</w:t>
      </w:r>
      <w:r>
        <w:rPr>
          <w:position w:val="1"/>
          <w:sz w:val="18"/>
        </w:rPr>
        <w:t>可以变更本合同有关内容</w:t>
      </w:r>
      <w:r>
        <w:rPr>
          <w:spacing w:val="-10"/>
          <w:position w:val="1"/>
          <w:sz w:val="18"/>
        </w:rPr>
        <w:t>，</w:t>
      </w:r>
      <w:r>
        <w:rPr>
          <w:position w:val="1"/>
          <w:sz w:val="18"/>
        </w:rPr>
        <w:t>变更本合同的</w:t>
      </w:r>
      <w:r>
        <w:rPr>
          <w:spacing w:val="-10"/>
          <w:position w:val="1"/>
          <w:sz w:val="18"/>
        </w:rPr>
        <w:t>，</w:t>
      </w:r>
      <w:r>
        <w:rPr>
          <w:position w:val="1"/>
          <w:sz w:val="18"/>
        </w:rPr>
        <w:t>应当</w:t>
      </w:r>
      <w:r>
        <w:rPr>
          <w:sz w:val="18"/>
        </w:rPr>
        <w:t>由我们在保险单或者其他保险凭证上批注或者附贴批单，或者由您和我们订立变更的书面协议。</w:t>
      </w:r>
    </w:p>
    <w:p>
      <w:pPr>
        <w:pStyle w:val="BodyText"/>
        <w:spacing w:before="6"/>
        <w:rPr>
          <w:sz w:val="17"/>
        </w:rPr>
      </w:pPr>
    </w:p>
    <w:p>
      <w:pPr>
        <w:pStyle w:val="ListParagraph"/>
        <w:numPr>
          <w:ilvl w:val="1"/>
          <w:numId w:val="15"/>
        </w:numPr>
        <w:tabs>
          <w:tab w:pos="907" w:val="left" w:leader="none"/>
          <w:tab w:pos="908" w:val="left" w:leader="none"/>
          <w:tab w:pos="2613" w:val="left" w:leader="none"/>
        </w:tabs>
        <w:spacing w:line="295" w:lineRule="auto" w:before="1" w:after="0"/>
        <w:ind w:left="2613" w:right="224" w:hanging="2389"/>
        <w:jc w:val="left"/>
        <w:rPr>
          <w:sz w:val="18"/>
        </w:rPr>
      </w:pPr>
      <w:r>
        <w:rPr>
          <w:b/>
          <w:sz w:val="21"/>
        </w:rPr>
        <w:t>失踪处理</w:t>
        <w:tab/>
      </w:r>
      <w:r>
        <w:rPr>
          <w:position w:val="1"/>
          <w:sz w:val="18"/>
        </w:rPr>
        <w:t>若被保险人在本合同有效期内失踪</w:t>
      </w:r>
      <w:r>
        <w:rPr>
          <w:spacing w:val="-18"/>
          <w:position w:val="1"/>
          <w:sz w:val="18"/>
        </w:rPr>
        <w:t>，</w:t>
      </w:r>
      <w:r>
        <w:rPr>
          <w:position w:val="1"/>
          <w:sz w:val="18"/>
        </w:rPr>
        <w:t>后经人民法院宣告死亡</w:t>
      </w:r>
      <w:r>
        <w:rPr>
          <w:spacing w:val="-18"/>
          <w:position w:val="1"/>
          <w:sz w:val="18"/>
        </w:rPr>
        <w:t>，</w:t>
      </w:r>
      <w:r>
        <w:rPr>
          <w:position w:val="1"/>
          <w:sz w:val="18"/>
        </w:rPr>
        <w:t>本公司以判决宣告日为被保险人</w:t>
      </w:r>
      <w:r>
        <w:rPr>
          <w:sz w:val="18"/>
        </w:rPr>
        <w:t>身故日。</w:t>
      </w:r>
    </w:p>
    <w:p>
      <w:pPr>
        <w:pStyle w:val="BodyText"/>
        <w:spacing w:line="316" w:lineRule="auto" w:before="35"/>
        <w:ind w:left="2613" w:right="226"/>
        <w:jc w:val="both"/>
      </w:pPr>
      <w:r>
        <w:rPr>
          <w:spacing w:val="-3"/>
        </w:rPr>
        <w:t>若被保险人重新出现或确知其没有死亡，身故保险金受益人应于知道后三十日内将领取的身故保险金返还本公司。</w:t>
      </w:r>
    </w:p>
    <w:p>
      <w:pPr>
        <w:pStyle w:val="BodyText"/>
        <w:spacing w:before="11"/>
        <w:rPr>
          <w:sz w:val="16"/>
        </w:rPr>
      </w:pPr>
    </w:p>
    <w:p>
      <w:pPr>
        <w:pStyle w:val="ListParagraph"/>
        <w:numPr>
          <w:ilvl w:val="1"/>
          <w:numId w:val="15"/>
        </w:numPr>
        <w:tabs>
          <w:tab w:pos="907" w:val="left" w:leader="none"/>
          <w:tab w:pos="908" w:val="left" w:leader="none"/>
          <w:tab w:pos="2613" w:val="left" w:leader="none"/>
        </w:tabs>
        <w:spacing w:line="295" w:lineRule="auto" w:before="1" w:after="0"/>
        <w:ind w:left="2613" w:right="227" w:hanging="2389"/>
        <w:jc w:val="left"/>
        <w:rPr>
          <w:sz w:val="18"/>
        </w:rPr>
      </w:pPr>
      <w:r>
        <w:rPr>
          <w:b/>
          <w:sz w:val="21"/>
        </w:rPr>
        <w:t>争议处理</w:t>
        <w:tab/>
      </w:r>
      <w:r>
        <w:rPr>
          <w:position w:val="1"/>
          <w:sz w:val="18"/>
        </w:rPr>
        <w:t>本合同履行过程中</w:t>
      </w:r>
      <w:r>
        <w:rPr>
          <w:spacing w:val="-10"/>
          <w:position w:val="1"/>
          <w:sz w:val="18"/>
        </w:rPr>
        <w:t>，</w:t>
      </w:r>
      <w:r>
        <w:rPr>
          <w:position w:val="1"/>
          <w:sz w:val="18"/>
        </w:rPr>
        <w:t>双方发生任何争议</w:t>
      </w:r>
      <w:r>
        <w:rPr>
          <w:spacing w:val="-10"/>
          <w:position w:val="1"/>
          <w:sz w:val="18"/>
        </w:rPr>
        <w:t>，</w:t>
      </w:r>
      <w:r>
        <w:rPr>
          <w:position w:val="1"/>
          <w:sz w:val="18"/>
        </w:rPr>
        <w:t>应首先协商解决</w:t>
      </w:r>
      <w:r>
        <w:rPr>
          <w:spacing w:val="-10"/>
          <w:position w:val="1"/>
          <w:sz w:val="18"/>
        </w:rPr>
        <w:t>。</w:t>
      </w:r>
      <w:r>
        <w:rPr>
          <w:position w:val="1"/>
          <w:sz w:val="18"/>
        </w:rPr>
        <w:t>经协商未达成协议的</w:t>
      </w:r>
      <w:r>
        <w:rPr>
          <w:spacing w:val="-10"/>
          <w:position w:val="1"/>
          <w:sz w:val="18"/>
        </w:rPr>
        <w:t>，</w:t>
      </w:r>
      <w:r>
        <w:rPr>
          <w:position w:val="1"/>
          <w:sz w:val="18"/>
        </w:rPr>
        <w:t>任何一方可</w:t>
      </w:r>
      <w:r>
        <w:rPr>
          <w:sz w:val="18"/>
        </w:rPr>
        <w:t>向人民法院提起诉讼。</w:t>
      </w:r>
    </w:p>
    <w:p>
      <w:pPr>
        <w:pStyle w:val="BodyText"/>
        <w:spacing w:before="3"/>
        <w:rPr>
          <w:sz w:val="19"/>
        </w:rPr>
      </w:pPr>
    </w:p>
    <w:p>
      <w:pPr>
        <w:tabs>
          <w:tab w:pos="907" w:val="left" w:leader="none"/>
        </w:tabs>
        <w:spacing w:line="556" w:lineRule="exact" w:before="0"/>
        <w:ind w:left="224" w:right="0" w:firstLine="0"/>
        <w:jc w:val="left"/>
        <w:rPr>
          <w:b/>
          <w:sz w:val="24"/>
        </w:rPr>
      </w:pPr>
      <w:r>
        <w:rPr/>
        <w:pict>
          <v:line style="position:absolute;mso-position-horizontal-relative:page;mso-position-vertical-relative:paragraph;z-index:1264;mso-wrap-distance-left:0;mso-wrap-distance-right:0" from="59.82pt,31.42819pt" to="557.28pt,31.42819pt" stroked="true" strokeweight=".47998pt" strokecolor="#000000">
            <v:stroke dashstyle="solid"/>
            <w10:wrap type="topAndBottom"/>
          </v:line>
        </w:pict>
      </w:r>
      <w:r>
        <w:rPr>
          <w:rFonts w:ascii="Yu Gothic" w:hAnsi="Yu Gothic" w:eastAsia="Yu Gothic" w:hint="eastAsia"/>
          <w:b/>
          <w:w w:val="135"/>
          <w:position w:val="-3"/>
          <w:sz w:val="40"/>
        </w:rPr>
        <w:t>®</w:t>
        <w:tab/>
      </w:r>
      <w:r>
        <w:rPr>
          <w:b/>
          <w:sz w:val="24"/>
        </w:rPr>
        <w:t>释义</w:t>
      </w:r>
    </w:p>
    <w:p>
      <w:pPr>
        <w:spacing w:after="0" w:line="556" w:lineRule="exact"/>
        <w:jc w:val="left"/>
        <w:rPr>
          <w:sz w:val="24"/>
        </w:rPr>
        <w:sectPr>
          <w:type w:val="continuous"/>
          <w:pgSz w:w="11910" w:h="16840"/>
          <w:pgMar w:top="1040" w:bottom="1180" w:left="1080" w:right="640"/>
        </w:sectPr>
      </w:pPr>
    </w:p>
    <w:p>
      <w:pPr>
        <w:pStyle w:val="BodyText"/>
        <w:spacing w:before="0"/>
        <w:rPr>
          <w:b/>
          <w:sz w:val="19"/>
        </w:rPr>
      </w:pPr>
    </w:p>
    <w:p>
      <w:pPr>
        <w:pStyle w:val="ListParagraph"/>
        <w:numPr>
          <w:ilvl w:val="1"/>
          <w:numId w:val="16"/>
        </w:numPr>
        <w:tabs>
          <w:tab w:pos="847" w:val="left" w:leader="none"/>
          <w:tab w:pos="848" w:val="left" w:leader="none"/>
          <w:tab w:pos="2553" w:val="left" w:leader="none"/>
        </w:tabs>
        <w:spacing w:line="295" w:lineRule="auto" w:before="35" w:after="0"/>
        <w:ind w:left="2553" w:right="245" w:hanging="2389"/>
        <w:jc w:val="left"/>
        <w:rPr>
          <w:sz w:val="18"/>
        </w:rPr>
      </w:pPr>
      <w:r>
        <w:rPr>
          <w:b/>
          <w:sz w:val="21"/>
        </w:rPr>
        <w:t>有效身份证件</w:t>
        <w:tab/>
      </w:r>
      <w:r>
        <w:rPr>
          <w:position w:val="1"/>
          <w:sz w:val="18"/>
        </w:rPr>
        <w:t>指由政府主管部门规定的证明其身份的证件</w:t>
      </w:r>
      <w:r>
        <w:rPr>
          <w:spacing w:val="-10"/>
          <w:position w:val="1"/>
          <w:sz w:val="18"/>
        </w:rPr>
        <w:t>，</w:t>
      </w:r>
      <w:r>
        <w:rPr>
          <w:position w:val="1"/>
          <w:sz w:val="18"/>
        </w:rPr>
        <w:t>如</w:t>
      </w:r>
      <w:r>
        <w:rPr>
          <w:spacing w:val="-10"/>
          <w:position w:val="1"/>
          <w:sz w:val="18"/>
        </w:rPr>
        <w:t>：</w:t>
      </w:r>
      <w:r>
        <w:rPr>
          <w:position w:val="1"/>
          <w:sz w:val="18"/>
        </w:rPr>
        <w:t>居民身份证</w:t>
      </w:r>
      <w:r>
        <w:rPr>
          <w:spacing w:val="-10"/>
          <w:position w:val="1"/>
          <w:sz w:val="18"/>
        </w:rPr>
        <w:t>、</w:t>
      </w:r>
      <w:r>
        <w:rPr>
          <w:position w:val="1"/>
          <w:sz w:val="18"/>
        </w:rPr>
        <w:t>按规定可使用的有效护照</w:t>
      </w:r>
      <w:r>
        <w:rPr>
          <w:spacing w:val="-10"/>
          <w:position w:val="1"/>
          <w:sz w:val="18"/>
        </w:rPr>
        <w:t>、</w:t>
      </w:r>
      <w:r>
        <w:rPr>
          <w:position w:val="1"/>
          <w:sz w:val="18"/>
        </w:rPr>
        <w:t>军</w:t>
      </w:r>
      <w:r>
        <w:rPr>
          <w:sz w:val="18"/>
        </w:rPr>
        <w:t>官证、警官证、士兵证、户口簿等证件。</w:t>
      </w:r>
    </w:p>
    <w:p>
      <w:pPr>
        <w:pStyle w:val="BodyText"/>
        <w:spacing w:before="10"/>
        <w:rPr>
          <w:sz w:val="17"/>
        </w:rPr>
      </w:pPr>
    </w:p>
    <w:p>
      <w:pPr>
        <w:pStyle w:val="ListParagraph"/>
        <w:numPr>
          <w:ilvl w:val="1"/>
          <w:numId w:val="16"/>
        </w:numPr>
        <w:tabs>
          <w:tab w:pos="847" w:val="left" w:leader="none"/>
          <w:tab w:pos="848" w:val="left" w:leader="none"/>
          <w:tab w:pos="2553" w:val="left" w:leader="none"/>
        </w:tabs>
        <w:spacing w:line="240" w:lineRule="auto" w:before="0" w:after="0"/>
        <w:ind w:left="2553" w:right="0" w:hanging="2389"/>
        <w:jc w:val="left"/>
        <w:rPr>
          <w:sz w:val="18"/>
        </w:rPr>
      </w:pPr>
      <w:r>
        <w:rPr>
          <w:b/>
          <w:sz w:val="21"/>
        </w:rPr>
        <w:t>身体高度残疾</w:t>
        <w:tab/>
      </w:r>
      <w:r>
        <w:rPr>
          <w:position w:val="5"/>
          <w:sz w:val="18"/>
        </w:rPr>
        <w:t>指下列情形之一</w:t>
      </w:r>
    </w:p>
    <w:p>
      <w:pPr>
        <w:pStyle w:val="BodyText"/>
        <w:spacing w:before="22"/>
        <w:ind w:left="2553"/>
      </w:pPr>
      <w:r>
        <w:rPr/>
        <w:t>1、双目永久完全失明的(注 1)；</w:t>
      </w:r>
    </w:p>
    <w:p>
      <w:pPr>
        <w:pStyle w:val="BodyText"/>
        <w:ind w:left="2553"/>
      </w:pPr>
      <w:r>
        <w:rPr/>
        <w:t>2、两上肢腕关节以上或两下肢踝关节以上缺失的；</w:t>
      </w:r>
    </w:p>
    <w:p>
      <w:pPr>
        <w:pStyle w:val="BodyText"/>
        <w:ind w:left="2553"/>
      </w:pPr>
      <w:r>
        <w:rPr/>
        <w:t>3、一上肢腕关节以上及一下肢踝关节以上缺失的；</w:t>
      </w:r>
    </w:p>
    <w:p>
      <w:pPr>
        <w:pStyle w:val="BodyText"/>
        <w:ind w:left="2553"/>
      </w:pPr>
      <w:r>
        <w:rPr/>
        <w:t>4、一目永久完全失明及一上肢腕关节以上缺失的；</w:t>
      </w:r>
    </w:p>
    <w:p>
      <w:pPr>
        <w:pStyle w:val="BodyText"/>
        <w:ind w:left="2553"/>
      </w:pPr>
      <w:r>
        <w:rPr/>
        <w:t>5、一目永久完全失明及一下肢踝关节以上缺失的；</w:t>
      </w:r>
    </w:p>
    <w:p>
      <w:pPr>
        <w:pStyle w:val="BodyText"/>
        <w:ind w:left="2553"/>
      </w:pPr>
      <w:r>
        <w:rPr/>
        <w:t>6、四肢关节机能永久完全丧失的（</w:t>
      </w:r>
      <w:r>
        <w:rPr>
          <w:spacing w:val="-23"/>
        </w:rPr>
        <w:t>注 </w:t>
      </w:r>
      <w:r>
        <w:rPr/>
        <w:t>2</w:t>
      </w:r>
      <w:r>
        <w:rPr>
          <w:spacing w:val="-90"/>
        </w:rPr>
        <w:t>）</w:t>
      </w:r>
      <w:r>
        <w:rPr/>
        <w:t>；</w:t>
      </w:r>
    </w:p>
    <w:p>
      <w:pPr>
        <w:pStyle w:val="BodyText"/>
        <w:ind w:left="2553"/>
      </w:pPr>
      <w:r>
        <w:rPr/>
        <w:t>7、咀嚼、吞咽机能永久完全丧失的（</w:t>
      </w:r>
      <w:r>
        <w:rPr>
          <w:spacing w:val="-23"/>
        </w:rPr>
        <w:t>注 </w:t>
      </w:r>
      <w:r>
        <w:rPr/>
        <w:t>3</w:t>
      </w:r>
      <w:r>
        <w:rPr>
          <w:spacing w:val="-90"/>
        </w:rPr>
        <w:t>）</w:t>
      </w:r>
      <w:r>
        <w:rPr/>
        <w:t>；</w:t>
      </w:r>
    </w:p>
    <w:p>
      <w:pPr>
        <w:pStyle w:val="BodyText"/>
        <w:spacing w:line="316" w:lineRule="auto"/>
        <w:ind w:left="2823" w:right="298" w:hanging="270"/>
      </w:pPr>
      <w:r>
        <w:rPr/>
        <w:t>8、中枢神经系统机能或胸、腹部脏器机能极度障碍，终身不能从事任何工作，为维持生命必要的日常生活活动，全需他人扶助的（</w:t>
      </w:r>
      <w:r>
        <w:rPr>
          <w:spacing w:val="-23"/>
        </w:rPr>
        <w:t>注 </w:t>
      </w:r>
      <w:r>
        <w:rPr/>
        <w:t>4</w:t>
      </w:r>
      <w:r>
        <w:rPr>
          <w:spacing w:val="-90"/>
        </w:rPr>
        <w:t>）</w:t>
      </w:r>
      <w:r>
        <w:rPr/>
        <w:t>。</w:t>
      </w:r>
    </w:p>
    <w:p>
      <w:pPr>
        <w:pStyle w:val="BodyText"/>
        <w:spacing w:before="8"/>
        <w:rPr>
          <w:sz w:val="5"/>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0"/>
        <w:gridCol w:w="1782"/>
        <w:gridCol w:w="7584"/>
      </w:tblGrid>
      <w:tr>
        <w:trPr>
          <w:trHeight w:val="245" w:hRule="atLeast"/>
        </w:trPr>
        <w:tc>
          <w:tcPr>
            <w:tcW w:w="2332" w:type="dxa"/>
            <w:gridSpan w:val="2"/>
            <w:vMerge w:val="restart"/>
          </w:tcPr>
          <w:p>
            <w:pPr>
              <w:pStyle w:val="TableParagraph"/>
              <w:rPr>
                <w:rFonts w:ascii="Times New Roman"/>
                <w:sz w:val="18"/>
              </w:rPr>
            </w:pPr>
          </w:p>
        </w:tc>
        <w:tc>
          <w:tcPr>
            <w:tcW w:w="7584" w:type="dxa"/>
          </w:tcPr>
          <w:p>
            <w:pPr>
              <w:pStyle w:val="TableParagraph"/>
              <w:spacing w:line="180" w:lineRule="exact"/>
              <w:ind w:left="107"/>
              <w:rPr>
                <w:sz w:val="18"/>
              </w:rPr>
            </w:pPr>
            <w:r>
              <w:rPr>
                <w:sz w:val="18"/>
              </w:rPr>
              <w:t>（</w:t>
            </w:r>
            <w:r>
              <w:rPr>
                <w:spacing w:val="-23"/>
                <w:sz w:val="18"/>
              </w:rPr>
              <w:t>注 </w:t>
            </w:r>
            <w:r>
              <w:rPr>
                <w:sz w:val="18"/>
              </w:rPr>
              <w:t>1</w:t>
            </w:r>
            <w:r>
              <w:rPr>
                <w:spacing w:val="-90"/>
                <w:sz w:val="18"/>
              </w:rPr>
              <w:t>）</w:t>
            </w:r>
            <w:r>
              <w:rPr>
                <w:spacing w:val="-9"/>
                <w:sz w:val="18"/>
              </w:rPr>
              <w:t>：失明包括眼球缺失或摘除、或不能辨别明暗、或仅能辨别眼前手动者，最佳矫正视力</w:t>
            </w:r>
          </w:p>
        </w:tc>
      </w:tr>
      <w:tr>
        <w:trPr>
          <w:trHeight w:val="311" w:hRule="atLeast"/>
        </w:trPr>
        <w:tc>
          <w:tcPr>
            <w:tcW w:w="2332" w:type="dxa"/>
            <w:gridSpan w:val="2"/>
            <w:vMerge/>
            <w:tcBorders>
              <w:top w:val="nil"/>
            </w:tcBorders>
          </w:tcPr>
          <w:p>
            <w:pPr>
              <w:rPr>
                <w:sz w:val="2"/>
                <w:szCs w:val="2"/>
              </w:rPr>
            </w:pPr>
          </w:p>
        </w:tc>
        <w:tc>
          <w:tcPr>
            <w:tcW w:w="7584" w:type="dxa"/>
          </w:tcPr>
          <w:p>
            <w:pPr>
              <w:pStyle w:val="TableParagraph"/>
              <w:spacing w:before="10"/>
              <w:ind w:left="107"/>
              <w:rPr>
                <w:sz w:val="18"/>
              </w:rPr>
            </w:pPr>
            <w:r>
              <w:rPr>
                <w:spacing w:val="-5"/>
                <w:sz w:val="18"/>
              </w:rPr>
              <w:t>低于国际标准视力表 </w:t>
            </w:r>
            <w:r>
              <w:rPr>
                <w:spacing w:val="-9"/>
                <w:sz w:val="18"/>
              </w:rPr>
              <w:t>0.02</w:t>
            </w:r>
            <w:r>
              <w:rPr>
                <w:spacing w:val="-8"/>
                <w:sz w:val="18"/>
              </w:rPr>
              <w:t>，或视野半径小于 </w:t>
            </w:r>
            <w:r>
              <w:rPr>
                <w:sz w:val="18"/>
              </w:rPr>
              <w:t>5</w:t>
            </w:r>
            <w:r>
              <w:rPr>
                <w:spacing w:val="-10"/>
                <w:sz w:val="18"/>
              </w:rPr>
              <w:t> 度，并由保险公司指定有资格的眼科医师出具医</w:t>
            </w:r>
          </w:p>
        </w:tc>
      </w:tr>
      <w:tr>
        <w:trPr>
          <w:trHeight w:val="311" w:hRule="atLeast"/>
        </w:trPr>
        <w:tc>
          <w:tcPr>
            <w:tcW w:w="2332" w:type="dxa"/>
            <w:gridSpan w:val="2"/>
            <w:vMerge/>
            <w:tcBorders>
              <w:top w:val="nil"/>
            </w:tcBorders>
          </w:tcPr>
          <w:p>
            <w:pPr>
              <w:rPr>
                <w:sz w:val="2"/>
                <w:szCs w:val="2"/>
              </w:rPr>
            </w:pPr>
          </w:p>
        </w:tc>
        <w:tc>
          <w:tcPr>
            <w:tcW w:w="7584" w:type="dxa"/>
          </w:tcPr>
          <w:p>
            <w:pPr>
              <w:pStyle w:val="TableParagraph"/>
              <w:spacing w:before="10"/>
              <w:ind w:left="107"/>
              <w:rPr>
                <w:sz w:val="18"/>
              </w:rPr>
            </w:pPr>
            <w:r>
              <w:rPr>
                <w:sz w:val="18"/>
              </w:rPr>
              <w:t>疗诊断证明。</w:t>
            </w:r>
          </w:p>
        </w:tc>
      </w:tr>
      <w:tr>
        <w:trPr>
          <w:trHeight w:val="311" w:hRule="atLeast"/>
        </w:trPr>
        <w:tc>
          <w:tcPr>
            <w:tcW w:w="2332" w:type="dxa"/>
            <w:gridSpan w:val="2"/>
            <w:vMerge/>
            <w:tcBorders>
              <w:top w:val="nil"/>
            </w:tcBorders>
          </w:tcPr>
          <w:p>
            <w:pPr>
              <w:rPr>
                <w:sz w:val="2"/>
                <w:szCs w:val="2"/>
              </w:rPr>
            </w:pPr>
          </w:p>
        </w:tc>
        <w:tc>
          <w:tcPr>
            <w:tcW w:w="7584" w:type="dxa"/>
          </w:tcPr>
          <w:p>
            <w:pPr>
              <w:pStyle w:val="TableParagraph"/>
              <w:spacing w:before="10"/>
              <w:ind w:left="107"/>
              <w:rPr>
                <w:sz w:val="18"/>
              </w:rPr>
            </w:pPr>
            <w:r>
              <w:rPr>
                <w:sz w:val="18"/>
              </w:rPr>
              <w:t>（</w:t>
            </w:r>
            <w:r>
              <w:rPr>
                <w:spacing w:val="-23"/>
                <w:sz w:val="18"/>
              </w:rPr>
              <w:t>注 </w:t>
            </w:r>
            <w:r>
              <w:rPr>
                <w:sz w:val="18"/>
              </w:rPr>
              <w:t>2</w:t>
            </w:r>
            <w:r>
              <w:rPr>
                <w:spacing w:val="-90"/>
                <w:sz w:val="18"/>
              </w:rPr>
              <w:t>）</w:t>
            </w:r>
            <w:r>
              <w:rPr>
                <w:sz w:val="18"/>
              </w:rPr>
              <w:t>：关节机能的丧失系指关节永久完全僵硬、或麻痹、或关节不能随意识活动。</w:t>
            </w:r>
          </w:p>
        </w:tc>
      </w:tr>
      <w:tr>
        <w:trPr>
          <w:trHeight w:val="311" w:hRule="atLeast"/>
        </w:trPr>
        <w:tc>
          <w:tcPr>
            <w:tcW w:w="2332" w:type="dxa"/>
            <w:gridSpan w:val="2"/>
            <w:vMerge/>
            <w:tcBorders>
              <w:top w:val="nil"/>
            </w:tcBorders>
          </w:tcPr>
          <w:p>
            <w:pPr>
              <w:rPr>
                <w:sz w:val="2"/>
                <w:szCs w:val="2"/>
              </w:rPr>
            </w:pPr>
          </w:p>
        </w:tc>
        <w:tc>
          <w:tcPr>
            <w:tcW w:w="7584" w:type="dxa"/>
          </w:tcPr>
          <w:p>
            <w:pPr>
              <w:pStyle w:val="TableParagraph"/>
              <w:spacing w:before="10"/>
              <w:ind w:left="107"/>
              <w:rPr>
                <w:sz w:val="18"/>
              </w:rPr>
            </w:pPr>
            <w:r>
              <w:rPr>
                <w:sz w:val="18"/>
              </w:rPr>
              <w:t>（</w:t>
            </w:r>
            <w:r>
              <w:rPr>
                <w:spacing w:val="-23"/>
                <w:sz w:val="18"/>
              </w:rPr>
              <w:t>注 </w:t>
            </w:r>
            <w:r>
              <w:rPr>
                <w:sz w:val="18"/>
              </w:rPr>
              <w:t>3</w:t>
            </w:r>
            <w:r>
              <w:rPr>
                <w:spacing w:val="-90"/>
                <w:sz w:val="18"/>
              </w:rPr>
              <w:t>）</w:t>
            </w:r>
            <w:r>
              <w:rPr>
                <w:spacing w:val="-9"/>
                <w:sz w:val="18"/>
              </w:rPr>
              <w:t>：咀嚼、吞咽机能的丧失系指由于牙齿以外的原因引起器质障碍或机能障碍，以致不能</w:t>
            </w:r>
          </w:p>
        </w:tc>
      </w:tr>
      <w:tr>
        <w:trPr>
          <w:trHeight w:val="309" w:hRule="atLeast"/>
        </w:trPr>
        <w:tc>
          <w:tcPr>
            <w:tcW w:w="2332" w:type="dxa"/>
            <w:gridSpan w:val="2"/>
            <w:vMerge/>
            <w:tcBorders>
              <w:top w:val="nil"/>
            </w:tcBorders>
          </w:tcPr>
          <w:p>
            <w:pPr>
              <w:rPr>
                <w:sz w:val="2"/>
                <w:szCs w:val="2"/>
              </w:rPr>
            </w:pPr>
          </w:p>
        </w:tc>
        <w:tc>
          <w:tcPr>
            <w:tcW w:w="7584" w:type="dxa"/>
          </w:tcPr>
          <w:p>
            <w:pPr>
              <w:pStyle w:val="TableParagraph"/>
              <w:spacing w:before="10"/>
              <w:ind w:left="107"/>
              <w:rPr>
                <w:sz w:val="18"/>
              </w:rPr>
            </w:pPr>
            <w:r>
              <w:rPr>
                <w:sz w:val="18"/>
              </w:rPr>
              <w:t>作咀嚼、吞咽运动，除流质食物外不能摄取或吞咽状态。</w:t>
            </w:r>
          </w:p>
        </w:tc>
      </w:tr>
      <w:tr>
        <w:trPr>
          <w:trHeight w:val="321" w:hRule="atLeast"/>
        </w:trPr>
        <w:tc>
          <w:tcPr>
            <w:tcW w:w="2332" w:type="dxa"/>
            <w:gridSpan w:val="2"/>
            <w:vMerge/>
            <w:tcBorders>
              <w:top w:val="nil"/>
            </w:tcBorders>
          </w:tcPr>
          <w:p>
            <w:pPr>
              <w:rPr>
                <w:sz w:val="2"/>
                <w:szCs w:val="2"/>
              </w:rPr>
            </w:pPr>
          </w:p>
        </w:tc>
        <w:tc>
          <w:tcPr>
            <w:tcW w:w="7584" w:type="dxa"/>
          </w:tcPr>
          <w:p>
            <w:pPr>
              <w:pStyle w:val="TableParagraph"/>
              <w:spacing w:before="13"/>
              <w:ind w:left="107"/>
              <w:rPr>
                <w:sz w:val="18"/>
              </w:rPr>
            </w:pPr>
            <w:r>
              <w:rPr>
                <w:sz w:val="18"/>
              </w:rPr>
              <w:t>（</w:t>
            </w:r>
            <w:r>
              <w:rPr>
                <w:spacing w:val="-23"/>
                <w:sz w:val="18"/>
              </w:rPr>
              <w:t>注 </w:t>
            </w:r>
            <w:r>
              <w:rPr>
                <w:rFonts w:ascii="Times New Roman" w:eastAsia="Times New Roman"/>
                <w:sz w:val="18"/>
              </w:rPr>
              <w:t>4</w:t>
            </w:r>
            <w:r>
              <w:rPr>
                <w:spacing w:val="-90"/>
                <w:sz w:val="18"/>
              </w:rPr>
              <w:t>）</w:t>
            </w:r>
            <w:r>
              <w:rPr>
                <w:spacing w:val="-8"/>
                <w:sz w:val="18"/>
              </w:rPr>
              <w:t>：为维持生命必要之日常生活活动，全需他人扶助系指食物摄取、大小便始末、穿脱衣</w:t>
            </w:r>
          </w:p>
        </w:tc>
      </w:tr>
      <w:tr>
        <w:trPr>
          <w:trHeight w:val="305" w:hRule="atLeast"/>
        </w:trPr>
        <w:tc>
          <w:tcPr>
            <w:tcW w:w="2332" w:type="dxa"/>
            <w:gridSpan w:val="2"/>
            <w:vMerge/>
            <w:tcBorders>
              <w:top w:val="nil"/>
            </w:tcBorders>
          </w:tcPr>
          <w:p>
            <w:pPr>
              <w:rPr>
                <w:sz w:val="2"/>
                <w:szCs w:val="2"/>
              </w:rPr>
            </w:pPr>
          </w:p>
        </w:tc>
        <w:tc>
          <w:tcPr>
            <w:tcW w:w="7584" w:type="dxa"/>
          </w:tcPr>
          <w:p>
            <w:pPr>
              <w:pStyle w:val="TableParagraph"/>
              <w:spacing w:before="3"/>
              <w:ind w:left="107"/>
              <w:rPr>
                <w:sz w:val="18"/>
              </w:rPr>
            </w:pPr>
            <w:r>
              <w:rPr>
                <w:sz w:val="18"/>
              </w:rPr>
              <w:t>服、起居、步行、入浴等，皆不能自己为之，需要他人帮助。</w:t>
            </w:r>
          </w:p>
        </w:tc>
      </w:tr>
      <w:tr>
        <w:trPr>
          <w:trHeight w:val="311" w:hRule="atLeast"/>
        </w:trPr>
        <w:tc>
          <w:tcPr>
            <w:tcW w:w="2332" w:type="dxa"/>
            <w:gridSpan w:val="2"/>
            <w:vMerge/>
            <w:tcBorders>
              <w:top w:val="nil"/>
            </w:tcBorders>
          </w:tcPr>
          <w:p>
            <w:pPr>
              <w:rPr>
                <w:sz w:val="2"/>
                <w:szCs w:val="2"/>
              </w:rPr>
            </w:pPr>
          </w:p>
        </w:tc>
        <w:tc>
          <w:tcPr>
            <w:tcW w:w="7584" w:type="dxa"/>
          </w:tcPr>
          <w:p>
            <w:pPr>
              <w:pStyle w:val="TableParagraph"/>
              <w:spacing w:before="10"/>
              <w:ind w:left="107"/>
              <w:rPr>
                <w:sz w:val="18"/>
              </w:rPr>
            </w:pPr>
            <w:r>
              <w:rPr>
                <w:sz w:val="18"/>
              </w:rPr>
              <w:t>所谓“永久完全丧失”是指自疾病确诊或</w:t>
            </w:r>
            <w:r>
              <w:rPr>
                <w:b/>
                <w:sz w:val="18"/>
              </w:rPr>
              <w:t>意外伤害</w:t>
            </w:r>
            <w:r>
              <w:rPr>
                <w:sz w:val="18"/>
              </w:rPr>
              <w:t>（见 8.14）之日起经过一百八十天的治疗，</w:t>
            </w:r>
          </w:p>
        </w:tc>
      </w:tr>
      <w:tr>
        <w:trPr>
          <w:trHeight w:val="425" w:hRule="atLeast"/>
        </w:trPr>
        <w:tc>
          <w:tcPr>
            <w:tcW w:w="2332" w:type="dxa"/>
            <w:gridSpan w:val="2"/>
            <w:vMerge/>
            <w:tcBorders>
              <w:top w:val="nil"/>
            </w:tcBorders>
          </w:tcPr>
          <w:p>
            <w:pPr>
              <w:rPr>
                <w:sz w:val="2"/>
                <w:szCs w:val="2"/>
              </w:rPr>
            </w:pPr>
          </w:p>
        </w:tc>
        <w:tc>
          <w:tcPr>
            <w:tcW w:w="7584" w:type="dxa"/>
          </w:tcPr>
          <w:p>
            <w:pPr>
              <w:pStyle w:val="TableParagraph"/>
              <w:spacing w:before="10"/>
              <w:ind w:left="107"/>
              <w:rPr>
                <w:sz w:val="18"/>
              </w:rPr>
            </w:pPr>
            <w:r>
              <w:rPr>
                <w:sz w:val="18"/>
              </w:rPr>
              <w:t>机能仍然完全丧失。但眼球摘除等明显无法复原的情况，不在此限。</w:t>
            </w:r>
          </w:p>
        </w:tc>
      </w:tr>
      <w:tr>
        <w:trPr>
          <w:trHeight w:val="597" w:hRule="atLeast"/>
        </w:trPr>
        <w:tc>
          <w:tcPr>
            <w:tcW w:w="550" w:type="dxa"/>
          </w:tcPr>
          <w:p>
            <w:pPr>
              <w:pStyle w:val="TableParagraph"/>
              <w:spacing w:before="138"/>
              <w:ind w:left="50"/>
              <w:rPr>
                <w:b/>
                <w:sz w:val="21"/>
              </w:rPr>
            </w:pPr>
            <w:r>
              <w:rPr>
                <w:b/>
                <w:sz w:val="21"/>
              </w:rPr>
              <w:t>8.3</w:t>
            </w:r>
          </w:p>
        </w:tc>
        <w:tc>
          <w:tcPr>
            <w:tcW w:w="1782" w:type="dxa"/>
          </w:tcPr>
          <w:p>
            <w:pPr>
              <w:pStyle w:val="TableParagraph"/>
              <w:spacing w:before="138"/>
              <w:ind w:left="182"/>
              <w:rPr>
                <w:b/>
                <w:sz w:val="21"/>
              </w:rPr>
            </w:pPr>
            <w:r>
              <w:rPr>
                <w:b/>
                <w:sz w:val="21"/>
              </w:rPr>
              <w:t>意外事故</w:t>
            </w:r>
          </w:p>
        </w:tc>
        <w:tc>
          <w:tcPr>
            <w:tcW w:w="7584" w:type="dxa"/>
          </w:tcPr>
          <w:p>
            <w:pPr>
              <w:pStyle w:val="TableParagraph"/>
              <w:spacing w:before="124"/>
              <w:ind w:left="107"/>
              <w:rPr>
                <w:sz w:val="18"/>
              </w:rPr>
            </w:pPr>
            <w:r>
              <w:rPr>
                <w:sz w:val="18"/>
              </w:rPr>
              <w:t>指外来的、非本意的、突然的、剧烈的、非疾病的使被保险人身体受到剧烈伤害的客观事件。</w:t>
            </w:r>
          </w:p>
        </w:tc>
      </w:tr>
      <w:tr>
        <w:trPr>
          <w:trHeight w:val="445" w:hRule="atLeast"/>
        </w:trPr>
        <w:tc>
          <w:tcPr>
            <w:tcW w:w="550" w:type="dxa"/>
          </w:tcPr>
          <w:p>
            <w:pPr>
              <w:pStyle w:val="TableParagraph"/>
              <w:spacing w:before="119"/>
              <w:ind w:left="50"/>
              <w:rPr>
                <w:b/>
                <w:sz w:val="21"/>
              </w:rPr>
            </w:pPr>
            <w:r>
              <w:rPr>
                <w:b/>
                <w:sz w:val="21"/>
              </w:rPr>
              <w:t>8.4</w:t>
            </w:r>
          </w:p>
        </w:tc>
        <w:tc>
          <w:tcPr>
            <w:tcW w:w="1782" w:type="dxa"/>
          </w:tcPr>
          <w:p>
            <w:pPr>
              <w:pStyle w:val="TableParagraph"/>
              <w:spacing w:before="119"/>
              <w:ind w:left="183"/>
              <w:rPr>
                <w:b/>
                <w:sz w:val="21"/>
              </w:rPr>
            </w:pPr>
            <w:r>
              <w:rPr>
                <w:b/>
                <w:w w:val="95"/>
                <w:sz w:val="21"/>
              </w:rPr>
              <w:t>指定或认可的</w:t>
            </w:r>
          </w:p>
        </w:tc>
        <w:tc>
          <w:tcPr>
            <w:tcW w:w="7584" w:type="dxa"/>
          </w:tcPr>
          <w:p>
            <w:pPr>
              <w:pStyle w:val="TableParagraph"/>
              <w:spacing w:before="145"/>
              <w:ind w:left="107"/>
              <w:rPr>
                <w:sz w:val="18"/>
              </w:rPr>
            </w:pPr>
            <w:r>
              <w:rPr>
                <w:sz w:val="18"/>
              </w:rPr>
              <w:t>指中华人民共和国境内(港澳台地区除外)，投保地所在省、市、自治区范围内的卫生行政部门</w:t>
            </w:r>
          </w:p>
        </w:tc>
      </w:tr>
      <w:tr>
        <w:trPr>
          <w:trHeight w:val="411" w:hRule="atLeast"/>
        </w:trPr>
        <w:tc>
          <w:tcPr>
            <w:tcW w:w="550" w:type="dxa"/>
          </w:tcPr>
          <w:p>
            <w:pPr>
              <w:pStyle w:val="TableParagraph"/>
              <w:rPr>
                <w:rFonts w:ascii="Times New Roman"/>
                <w:sz w:val="18"/>
              </w:rPr>
            </w:pPr>
          </w:p>
        </w:tc>
        <w:tc>
          <w:tcPr>
            <w:tcW w:w="1782" w:type="dxa"/>
          </w:tcPr>
          <w:p>
            <w:pPr>
              <w:pStyle w:val="TableParagraph"/>
              <w:spacing w:line="261" w:lineRule="exact"/>
              <w:ind w:left="182"/>
              <w:rPr>
                <w:b/>
                <w:sz w:val="21"/>
              </w:rPr>
            </w:pPr>
            <w:r>
              <w:rPr>
                <w:b/>
                <w:sz w:val="21"/>
              </w:rPr>
              <w:t>医疗机构</w:t>
            </w:r>
          </w:p>
        </w:tc>
        <w:tc>
          <w:tcPr>
            <w:tcW w:w="7584" w:type="dxa"/>
          </w:tcPr>
          <w:p>
            <w:pPr>
              <w:pStyle w:val="TableParagraph"/>
              <w:spacing w:before="11"/>
              <w:ind w:left="107"/>
              <w:rPr>
                <w:sz w:val="18"/>
              </w:rPr>
            </w:pPr>
            <w:r>
              <w:rPr>
                <w:sz w:val="18"/>
              </w:rPr>
              <w:t>认可的二级甲等以上非营利性医疗机构。</w:t>
            </w:r>
          </w:p>
        </w:tc>
      </w:tr>
      <w:tr>
        <w:trPr>
          <w:trHeight w:val="831" w:hRule="atLeast"/>
        </w:trPr>
        <w:tc>
          <w:tcPr>
            <w:tcW w:w="550" w:type="dxa"/>
          </w:tcPr>
          <w:p>
            <w:pPr>
              <w:pStyle w:val="TableParagraph"/>
              <w:spacing w:before="125"/>
              <w:ind w:left="50"/>
              <w:rPr>
                <w:b/>
                <w:sz w:val="21"/>
              </w:rPr>
            </w:pPr>
            <w:r>
              <w:rPr>
                <w:b/>
                <w:sz w:val="21"/>
              </w:rPr>
              <w:t>8.5</w:t>
            </w:r>
          </w:p>
        </w:tc>
        <w:tc>
          <w:tcPr>
            <w:tcW w:w="1782" w:type="dxa"/>
          </w:tcPr>
          <w:p>
            <w:pPr>
              <w:pStyle w:val="TableParagraph"/>
              <w:spacing w:line="273" w:lineRule="auto" w:before="85"/>
              <w:ind w:left="182" w:right="106"/>
              <w:rPr>
                <w:b/>
                <w:sz w:val="21"/>
              </w:rPr>
            </w:pPr>
            <w:r>
              <w:rPr>
                <w:b/>
                <w:sz w:val="21"/>
              </w:rPr>
              <w:t>18 周岁保险单周年日</w:t>
            </w:r>
          </w:p>
        </w:tc>
        <w:tc>
          <w:tcPr>
            <w:tcW w:w="7584" w:type="dxa"/>
          </w:tcPr>
          <w:p>
            <w:pPr>
              <w:pStyle w:val="TableParagraph"/>
              <w:spacing w:before="111"/>
              <w:ind w:left="107"/>
              <w:rPr>
                <w:sz w:val="18"/>
              </w:rPr>
            </w:pPr>
            <w:r>
              <w:rPr>
                <w:sz w:val="18"/>
              </w:rPr>
              <w:t>指被保险人年满 18 周岁后的首个保险单周年日。若被保险人周岁生日与保险单周年日重合，</w:t>
            </w:r>
          </w:p>
          <w:p>
            <w:pPr>
              <w:pStyle w:val="TableParagraph"/>
              <w:spacing w:before="76"/>
              <w:ind w:left="107"/>
              <w:rPr>
                <w:sz w:val="18"/>
              </w:rPr>
            </w:pPr>
            <w:r>
              <w:rPr>
                <w:sz w:val="18"/>
              </w:rPr>
              <w:t>即为被保险人 18 周岁生日。</w:t>
            </w:r>
          </w:p>
        </w:tc>
      </w:tr>
      <w:tr>
        <w:trPr>
          <w:trHeight w:val="432" w:hRule="atLeast"/>
        </w:trPr>
        <w:tc>
          <w:tcPr>
            <w:tcW w:w="550" w:type="dxa"/>
          </w:tcPr>
          <w:p>
            <w:pPr>
              <w:pStyle w:val="TableParagraph"/>
              <w:spacing w:before="118"/>
              <w:ind w:left="50"/>
              <w:rPr>
                <w:b/>
                <w:sz w:val="21"/>
              </w:rPr>
            </w:pPr>
            <w:r>
              <w:rPr>
                <w:b/>
                <w:sz w:val="21"/>
              </w:rPr>
              <w:t>8.6</w:t>
            </w:r>
          </w:p>
        </w:tc>
        <w:tc>
          <w:tcPr>
            <w:tcW w:w="1782" w:type="dxa"/>
          </w:tcPr>
          <w:p>
            <w:pPr>
              <w:pStyle w:val="TableParagraph"/>
              <w:spacing w:before="118"/>
              <w:ind w:left="182"/>
              <w:rPr>
                <w:b/>
                <w:sz w:val="21"/>
              </w:rPr>
            </w:pPr>
            <w:r>
              <w:rPr>
                <w:b/>
                <w:w w:val="95"/>
                <w:sz w:val="21"/>
              </w:rPr>
              <w:t>毒品</w:t>
            </w:r>
          </w:p>
        </w:tc>
        <w:tc>
          <w:tcPr>
            <w:tcW w:w="7584" w:type="dxa"/>
          </w:tcPr>
          <w:p>
            <w:pPr>
              <w:pStyle w:val="TableParagraph"/>
              <w:spacing w:before="103"/>
              <w:ind w:left="107"/>
              <w:rPr>
                <w:sz w:val="18"/>
              </w:rPr>
            </w:pPr>
            <w:r>
              <w:rPr>
                <w:sz w:val="18"/>
              </w:rPr>
              <w:t>指中华人民共和国刑法规定的鸦片、海洛因、甲基苯丙胺（冰毒</w:t>
            </w:r>
            <w:r>
              <w:rPr>
                <w:spacing w:val="-89"/>
                <w:sz w:val="18"/>
              </w:rPr>
              <w:t>）</w:t>
            </w:r>
            <w:r>
              <w:rPr>
                <w:sz w:val="18"/>
              </w:rPr>
              <w:t>、吗啡、大麻、可卡因以及</w:t>
            </w:r>
          </w:p>
        </w:tc>
      </w:tr>
      <w:tr>
        <w:trPr>
          <w:trHeight w:val="285" w:hRule="atLeast"/>
        </w:trPr>
        <w:tc>
          <w:tcPr>
            <w:tcW w:w="550" w:type="dxa"/>
          </w:tcPr>
          <w:p>
            <w:pPr>
              <w:pStyle w:val="TableParagraph"/>
              <w:rPr>
                <w:rFonts w:ascii="Times New Roman"/>
                <w:sz w:val="18"/>
              </w:rPr>
            </w:pPr>
          </w:p>
        </w:tc>
        <w:tc>
          <w:tcPr>
            <w:tcW w:w="1782" w:type="dxa"/>
          </w:tcPr>
          <w:p>
            <w:pPr>
              <w:pStyle w:val="TableParagraph"/>
              <w:rPr>
                <w:rFonts w:ascii="Times New Roman"/>
                <w:sz w:val="18"/>
              </w:rPr>
            </w:pPr>
          </w:p>
        </w:tc>
        <w:tc>
          <w:tcPr>
            <w:tcW w:w="7584" w:type="dxa"/>
          </w:tcPr>
          <w:p>
            <w:pPr>
              <w:pStyle w:val="TableParagraph"/>
              <w:spacing w:line="219" w:lineRule="exact"/>
              <w:ind w:left="107"/>
              <w:rPr>
                <w:sz w:val="18"/>
              </w:rPr>
            </w:pPr>
            <w:r>
              <w:rPr>
                <w:sz w:val="18"/>
              </w:rPr>
              <w:t>国家规定管制的其他能够使人形成瘾癖的麻醉药品和精神药品，但不包括由医生开具并遵医嘱</w:t>
            </w:r>
          </w:p>
        </w:tc>
      </w:tr>
      <w:tr>
        <w:trPr>
          <w:trHeight w:val="417" w:hRule="atLeast"/>
        </w:trPr>
        <w:tc>
          <w:tcPr>
            <w:tcW w:w="550" w:type="dxa"/>
          </w:tcPr>
          <w:p>
            <w:pPr>
              <w:pStyle w:val="TableParagraph"/>
              <w:rPr>
                <w:rFonts w:ascii="Times New Roman"/>
                <w:sz w:val="18"/>
              </w:rPr>
            </w:pPr>
          </w:p>
        </w:tc>
        <w:tc>
          <w:tcPr>
            <w:tcW w:w="1782" w:type="dxa"/>
          </w:tcPr>
          <w:p>
            <w:pPr>
              <w:pStyle w:val="TableParagraph"/>
              <w:rPr>
                <w:rFonts w:ascii="Times New Roman"/>
                <w:sz w:val="18"/>
              </w:rPr>
            </w:pPr>
          </w:p>
        </w:tc>
        <w:tc>
          <w:tcPr>
            <w:tcW w:w="7584" w:type="dxa"/>
          </w:tcPr>
          <w:p>
            <w:pPr>
              <w:pStyle w:val="TableParagraph"/>
              <w:spacing w:before="10"/>
              <w:ind w:left="107"/>
              <w:rPr>
                <w:sz w:val="18"/>
              </w:rPr>
            </w:pPr>
            <w:r>
              <w:rPr>
                <w:sz w:val="18"/>
              </w:rPr>
              <w:t>使用的用于治疗疾病但含有毒品成分的处方药品。</w:t>
            </w:r>
          </w:p>
        </w:tc>
      </w:tr>
      <w:tr>
        <w:trPr>
          <w:trHeight w:val="440" w:hRule="atLeast"/>
        </w:trPr>
        <w:tc>
          <w:tcPr>
            <w:tcW w:w="550" w:type="dxa"/>
          </w:tcPr>
          <w:p>
            <w:pPr>
              <w:pStyle w:val="TableParagraph"/>
              <w:spacing w:before="106"/>
              <w:ind w:left="50"/>
              <w:rPr>
                <w:b/>
                <w:sz w:val="21"/>
              </w:rPr>
            </w:pPr>
            <w:r>
              <w:rPr>
                <w:b/>
                <w:sz w:val="21"/>
              </w:rPr>
              <w:t>8.7</w:t>
            </w:r>
          </w:p>
        </w:tc>
        <w:tc>
          <w:tcPr>
            <w:tcW w:w="1782" w:type="dxa"/>
          </w:tcPr>
          <w:p>
            <w:pPr>
              <w:pStyle w:val="TableParagraph"/>
              <w:spacing w:before="106"/>
              <w:ind w:left="182"/>
              <w:rPr>
                <w:b/>
                <w:sz w:val="21"/>
              </w:rPr>
            </w:pPr>
            <w:r>
              <w:rPr>
                <w:b/>
                <w:sz w:val="21"/>
              </w:rPr>
              <w:t>酒后驾驶</w:t>
            </w:r>
          </w:p>
        </w:tc>
        <w:tc>
          <w:tcPr>
            <w:tcW w:w="7584" w:type="dxa"/>
          </w:tcPr>
          <w:p>
            <w:pPr>
              <w:pStyle w:val="TableParagraph"/>
              <w:spacing w:before="132"/>
              <w:ind w:left="107"/>
              <w:rPr>
                <w:sz w:val="18"/>
              </w:rPr>
            </w:pPr>
            <w:r>
              <w:rPr>
                <w:sz w:val="18"/>
              </w:rPr>
              <w:t>指经检测或鉴定，发生事故时车辆驾驶人员每百毫升血液中的酒精含量或呼气酒精含量达到或</w:t>
            </w:r>
          </w:p>
        </w:tc>
      </w:tr>
      <w:tr>
        <w:trPr>
          <w:trHeight w:val="305" w:hRule="atLeast"/>
        </w:trPr>
        <w:tc>
          <w:tcPr>
            <w:tcW w:w="550" w:type="dxa"/>
          </w:tcPr>
          <w:p>
            <w:pPr>
              <w:pStyle w:val="TableParagraph"/>
              <w:rPr>
                <w:rFonts w:ascii="Times New Roman"/>
                <w:sz w:val="18"/>
              </w:rPr>
            </w:pPr>
          </w:p>
        </w:tc>
        <w:tc>
          <w:tcPr>
            <w:tcW w:w="1782" w:type="dxa"/>
          </w:tcPr>
          <w:p>
            <w:pPr>
              <w:pStyle w:val="TableParagraph"/>
              <w:rPr>
                <w:rFonts w:ascii="Times New Roman"/>
                <w:sz w:val="18"/>
              </w:rPr>
            </w:pPr>
          </w:p>
        </w:tc>
        <w:tc>
          <w:tcPr>
            <w:tcW w:w="7584" w:type="dxa"/>
          </w:tcPr>
          <w:p>
            <w:pPr>
              <w:pStyle w:val="TableParagraph"/>
              <w:spacing w:before="3"/>
              <w:ind w:left="107"/>
              <w:rPr>
                <w:sz w:val="18"/>
              </w:rPr>
            </w:pPr>
            <w:r>
              <w:rPr>
                <w:sz w:val="18"/>
              </w:rPr>
              <w:t>超过一定的标准，公安机关交通管理部门依据《道路交通安全法》的规定认定为饮酒后驾驶或</w:t>
            </w:r>
          </w:p>
        </w:tc>
      </w:tr>
      <w:tr>
        <w:trPr>
          <w:trHeight w:val="417" w:hRule="atLeast"/>
        </w:trPr>
        <w:tc>
          <w:tcPr>
            <w:tcW w:w="550" w:type="dxa"/>
          </w:tcPr>
          <w:p>
            <w:pPr>
              <w:pStyle w:val="TableParagraph"/>
              <w:rPr>
                <w:rFonts w:ascii="Times New Roman"/>
                <w:sz w:val="18"/>
              </w:rPr>
            </w:pPr>
          </w:p>
        </w:tc>
        <w:tc>
          <w:tcPr>
            <w:tcW w:w="1782" w:type="dxa"/>
          </w:tcPr>
          <w:p>
            <w:pPr>
              <w:pStyle w:val="TableParagraph"/>
              <w:rPr>
                <w:rFonts w:ascii="Times New Roman"/>
                <w:sz w:val="18"/>
              </w:rPr>
            </w:pPr>
          </w:p>
        </w:tc>
        <w:tc>
          <w:tcPr>
            <w:tcW w:w="7584" w:type="dxa"/>
          </w:tcPr>
          <w:p>
            <w:pPr>
              <w:pStyle w:val="TableParagraph"/>
              <w:spacing w:before="10"/>
              <w:ind w:left="107"/>
              <w:rPr>
                <w:sz w:val="18"/>
              </w:rPr>
            </w:pPr>
            <w:r>
              <w:rPr>
                <w:sz w:val="18"/>
              </w:rPr>
              <w:t>醉酒后驾驶。</w:t>
            </w:r>
          </w:p>
        </w:tc>
      </w:tr>
      <w:tr>
        <w:trPr>
          <w:trHeight w:val="432" w:hRule="atLeast"/>
        </w:trPr>
        <w:tc>
          <w:tcPr>
            <w:tcW w:w="550" w:type="dxa"/>
          </w:tcPr>
          <w:p>
            <w:pPr>
              <w:pStyle w:val="TableParagraph"/>
              <w:spacing w:before="106"/>
              <w:ind w:left="50"/>
              <w:rPr>
                <w:b/>
                <w:sz w:val="21"/>
              </w:rPr>
            </w:pPr>
            <w:r>
              <w:rPr>
                <w:b/>
                <w:sz w:val="21"/>
              </w:rPr>
              <w:t>8.8</w:t>
            </w:r>
          </w:p>
        </w:tc>
        <w:tc>
          <w:tcPr>
            <w:tcW w:w="1782" w:type="dxa"/>
          </w:tcPr>
          <w:p>
            <w:pPr>
              <w:pStyle w:val="TableParagraph"/>
              <w:spacing w:before="106"/>
              <w:ind w:left="182"/>
              <w:rPr>
                <w:b/>
                <w:sz w:val="21"/>
              </w:rPr>
            </w:pPr>
            <w:r>
              <w:rPr>
                <w:b/>
                <w:sz w:val="21"/>
              </w:rPr>
              <w:t>无合法有效驾驶</w:t>
            </w:r>
          </w:p>
        </w:tc>
        <w:tc>
          <w:tcPr>
            <w:tcW w:w="7584" w:type="dxa"/>
          </w:tcPr>
          <w:p>
            <w:pPr>
              <w:pStyle w:val="TableParagraph"/>
              <w:spacing w:before="132"/>
              <w:ind w:left="107"/>
              <w:rPr>
                <w:sz w:val="18"/>
              </w:rPr>
            </w:pPr>
            <w:r>
              <w:rPr>
                <w:sz w:val="18"/>
              </w:rPr>
              <w:t>指下列情形之一：</w:t>
            </w:r>
          </w:p>
        </w:tc>
      </w:tr>
      <w:tr>
        <w:trPr>
          <w:trHeight w:val="320" w:hRule="atLeast"/>
        </w:trPr>
        <w:tc>
          <w:tcPr>
            <w:tcW w:w="550" w:type="dxa"/>
          </w:tcPr>
          <w:p>
            <w:pPr>
              <w:pStyle w:val="TableParagraph"/>
              <w:rPr>
                <w:rFonts w:ascii="Times New Roman"/>
                <w:sz w:val="18"/>
              </w:rPr>
            </w:pPr>
          </w:p>
        </w:tc>
        <w:tc>
          <w:tcPr>
            <w:tcW w:w="1782" w:type="dxa"/>
          </w:tcPr>
          <w:p>
            <w:pPr>
              <w:pStyle w:val="TableParagraph"/>
              <w:spacing w:line="261" w:lineRule="exact"/>
              <w:ind w:left="182"/>
              <w:rPr>
                <w:b/>
                <w:sz w:val="21"/>
              </w:rPr>
            </w:pPr>
            <w:r>
              <w:rPr>
                <w:b/>
                <w:sz w:val="21"/>
              </w:rPr>
              <w:t>证驾驶</w:t>
            </w:r>
          </w:p>
        </w:tc>
        <w:tc>
          <w:tcPr>
            <w:tcW w:w="7584" w:type="dxa"/>
          </w:tcPr>
          <w:p>
            <w:pPr>
              <w:pStyle w:val="TableParagraph"/>
              <w:spacing w:before="11"/>
              <w:ind w:left="107"/>
              <w:rPr>
                <w:sz w:val="18"/>
              </w:rPr>
            </w:pPr>
            <w:r>
              <w:rPr>
                <w:sz w:val="18"/>
              </w:rPr>
              <w:t>(1) 没有取得驾驶资格；</w:t>
            </w:r>
          </w:p>
        </w:tc>
      </w:tr>
      <w:tr>
        <w:trPr>
          <w:trHeight w:val="305" w:hRule="atLeast"/>
        </w:trPr>
        <w:tc>
          <w:tcPr>
            <w:tcW w:w="550" w:type="dxa"/>
          </w:tcPr>
          <w:p>
            <w:pPr>
              <w:pStyle w:val="TableParagraph"/>
              <w:rPr>
                <w:rFonts w:ascii="Times New Roman"/>
                <w:sz w:val="18"/>
              </w:rPr>
            </w:pPr>
          </w:p>
        </w:tc>
        <w:tc>
          <w:tcPr>
            <w:tcW w:w="1782" w:type="dxa"/>
          </w:tcPr>
          <w:p>
            <w:pPr>
              <w:pStyle w:val="TableParagraph"/>
              <w:rPr>
                <w:rFonts w:ascii="Times New Roman"/>
                <w:sz w:val="18"/>
              </w:rPr>
            </w:pPr>
          </w:p>
        </w:tc>
        <w:tc>
          <w:tcPr>
            <w:tcW w:w="7584" w:type="dxa"/>
          </w:tcPr>
          <w:p>
            <w:pPr>
              <w:pStyle w:val="TableParagraph"/>
              <w:spacing w:before="3"/>
              <w:ind w:left="107"/>
              <w:rPr>
                <w:sz w:val="18"/>
              </w:rPr>
            </w:pPr>
            <w:r>
              <w:rPr>
                <w:sz w:val="18"/>
              </w:rPr>
              <w:t>(2) 驾驶与驾驶证准驾车型不相符合的车辆；</w:t>
            </w:r>
          </w:p>
        </w:tc>
      </w:tr>
      <w:tr>
        <w:trPr>
          <w:trHeight w:val="311" w:hRule="atLeast"/>
        </w:trPr>
        <w:tc>
          <w:tcPr>
            <w:tcW w:w="550" w:type="dxa"/>
          </w:tcPr>
          <w:p>
            <w:pPr>
              <w:pStyle w:val="TableParagraph"/>
              <w:rPr>
                <w:rFonts w:ascii="Times New Roman"/>
                <w:sz w:val="18"/>
              </w:rPr>
            </w:pPr>
          </w:p>
        </w:tc>
        <w:tc>
          <w:tcPr>
            <w:tcW w:w="1782" w:type="dxa"/>
          </w:tcPr>
          <w:p>
            <w:pPr>
              <w:pStyle w:val="TableParagraph"/>
              <w:rPr>
                <w:rFonts w:ascii="Times New Roman"/>
                <w:sz w:val="18"/>
              </w:rPr>
            </w:pPr>
          </w:p>
        </w:tc>
        <w:tc>
          <w:tcPr>
            <w:tcW w:w="7584" w:type="dxa"/>
          </w:tcPr>
          <w:p>
            <w:pPr>
              <w:pStyle w:val="TableParagraph"/>
              <w:spacing w:before="10"/>
              <w:ind w:left="107"/>
              <w:rPr>
                <w:sz w:val="18"/>
              </w:rPr>
            </w:pPr>
            <w:r>
              <w:rPr>
                <w:sz w:val="18"/>
              </w:rPr>
              <w:t>(3) 持审验不合格的驾驶证驾驶；</w:t>
            </w:r>
          </w:p>
        </w:tc>
      </w:tr>
      <w:tr>
        <w:trPr>
          <w:trHeight w:val="417" w:hRule="atLeast"/>
        </w:trPr>
        <w:tc>
          <w:tcPr>
            <w:tcW w:w="550" w:type="dxa"/>
          </w:tcPr>
          <w:p>
            <w:pPr>
              <w:pStyle w:val="TableParagraph"/>
              <w:rPr>
                <w:rFonts w:ascii="Times New Roman"/>
                <w:sz w:val="18"/>
              </w:rPr>
            </w:pPr>
          </w:p>
        </w:tc>
        <w:tc>
          <w:tcPr>
            <w:tcW w:w="1782" w:type="dxa"/>
          </w:tcPr>
          <w:p>
            <w:pPr>
              <w:pStyle w:val="TableParagraph"/>
              <w:rPr>
                <w:rFonts w:ascii="Times New Roman"/>
                <w:sz w:val="18"/>
              </w:rPr>
            </w:pPr>
          </w:p>
        </w:tc>
        <w:tc>
          <w:tcPr>
            <w:tcW w:w="7584" w:type="dxa"/>
          </w:tcPr>
          <w:p>
            <w:pPr>
              <w:pStyle w:val="TableParagraph"/>
              <w:spacing w:before="10"/>
              <w:ind w:left="107"/>
              <w:rPr>
                <w:sz w:val="18"/>
              </w:rPr>
            </w:pPr>
            <w:r>
              <w:rPr>
                <w:sz w:val="18"/>
              </w:rPr>
              <w:t>(4) 持学习驾驶证学习驾车时，无教练员随车指导，或不按指定时间、路线学习驾车。</w:t>
            </w:r>
          </w:p>
        </w:tc>
      </w:tr>
      <w:tr>
        <w:trPr>
          <w:trHeight w:val="381" w:hRule="atLeast"/>
        </w:trPr>
        <w:tc>
          <w:tcPr>
            <w:tcW w:w="550" w:type="dxa"/>
          </w:tcPr>
          <w:p>
            <w:pPr>
              <w:pStyle w:val="TableParagraph"/>
              <w:spacing w:line="255" w:lineRule="exact" w:before="106"/>
              <w:ind w:left="50"/>
              <w:rPr>
                <w:b/>
                <w:sz w:val="21"/>
              </w:rPr>
            </w:pPr>
            <w:r>
              <w:rPr>
                <w:b/>
                <w:sz w:val="21"/>
              </w:rPr>
              <w:t>8.9</w:t>
            </w:r>
          </w:p>
        </w:tc>
        <w:tc>
          <w:tcPr>
            <w:tcW w:w="1782" w:type="dxa"/>
          </w:tcPr>
          <w:p>
            <w:pPr>
              <w:pStyle w:val="TableParagraph"/>
              <w:spacing w:line="255" w:lineRule="exact" w:before="106"/>
              <w:ind w:left="183"/>
              <w:rPr>
                <w:b/>
                <w:sz w:val="21"/>
              </w:rPr>
            </w:pPr>
            <w:r>
              <w:rPr>
                <w:b/>
                <w:w w:val="95"/>
                <w:sz w:val="21"/>
              </w:rPr>
              <w:t>无有效行驶证</w:t>
            </w:r>
          </w:p>
        </w:tc>
        <w:tc>
          <w:tcPr>
            <w:tcW w:w="7584" w:type="dxa"/>
          </w:tcPr>
          <w:p>
            <w:pPr>
              <w:pStyle w:val="TableParagraph"/>
              <w:spacing w:line="229" w:lineRule="exact" w:before="132"/>
              <w:ind w:left="107"/>
              <w:rPr>
                <w:sz w:val="18"/>
              </w:rPr>
            </w:pPr>
            <w:r>
              <w:rPr>
                <w:sz w:val="18"/>
              </w:rPr>
              <w:t>指下列情形之一：</w:t>
            </w:r>
          </w:p>
        </w:tc>
      </w:tr>
    </w:tbl>
    <w:p>
      <w:pPr>
        <w:spacing w:after="0" w:line="229" w:lineRule="exact"/>
        <w:rPr>
          <w:sz w:val="18"/>
        </w:rPr>
        <w:sectPr>
          <w:pgSz w:w="11910" w:h="16840"/>
          <w:pgMar w:header="877" w:footer="981" w:top="1100" w:bottom="1180" w:left="1140" w:right="620"/>
        </w:sectPr>
      </w:pPr>
    </w:p>
    <w:p>
      <w:pPr>
        <w:pStyle w:val="BodyText"/>
        <w:spacing w:before="3"/>
        <w:rPr>
          <w:sz w:val="20"/>
        </w:rPr>
      </w:pPr>
    </w:p>
    <w:p>
      <w:pPr>
        <w:pStyle w:val="ListParagraph"/>
        <w:numPr>
          <w:ilvl w:val="2"/>
          <w:numId w:val="16"/>
        </w:numPr>
        <w:tabs>
          <w:tab w:pos="3011" w:val="left" w:leader="none"/>
        </w:tabs>
        <w:spacing w:line="240" w:lineRule="auto" w:before="44" w:after="0"/>
        <w:ind w:left="3010" w:right="0" w:hanging="397"/>
        <w:jc w:val="left"/>
        <w:rPr>
          <w:sz w:val="18"/>
        </w:rPr>
      </w:pPr>
      <w:r>
        <w:rPr>
          <w:sz w:val="18"/>
        </w:rPr>
        <w:t>机动车被依法注销登记的；</w:t>
      </w:r>
    </w:p>
    <w:p>
      <w:pPr>
        <w:pStyle w:val="ListParagraph"/>
        <w:numPr>
          <w:ilvl w:val="2"/>
          <w:numId w:val="16"/>
        </w:numPr>
        <w:tabs>
          <w:tab w:pos="3011" w:val="left" w:leader="none"/>
        </w:tabs>
        <w:spacing w:line="240" w:lineRule="auto" w:before="76" w:after="0"/>
        <w:ind w:left="3010" w:right="0" w:hanging="397"/>
        <w:jc w:val="left"/>
        <w:rPr>
          <w:sz w:val="18"/>
        </w:rPr>
      </w:pPr>
      <w:r>
        <w:rPr>
          <w:sz w:val="18"/>
        </w:rPr>
        <w:t>未依法按时进行或通过机动车安全技术检验。</w:t>
      </w:r>
    </w:p>
    <w:p>
      <w:pPr>
        <w:pStyle w:val="BodyText"/>
        <w:spacing w:before="3"/>
        <w:rPr>
          <w:sz w:val="21"/>
        </w:rPr>
      </w:pPr>
    </w:p>
    <w:p>
      <w:pPr>
        <w:pStyle w:val="ListParagraph"/>
        <w:numPr>
          <w:ilvl w:val="1"/>
          <w:numId w:val="17"/>
        </w:numPr>
        <w:tabs>
          <w:tab w:pos="907" w:val="left" w:leader="none"/>
          <w:tab w:pos="908" w:val="left" w:leader="none"/>
          <w:tab w:pos="2613" w:val="left" w:leader="none"/>
        </w:tabs>
        <w:spacing w:line="240" w:lineRule="auto" w:before="0" w:after="0"/>
        <w:ind w:left="2613" w:right="0" w:hanging="2389"/>
        <w:jc w:val="left"/>
        <w:rPr>
          <w:sz w:val="18"/>
        </w:rPr>
      </w:pPr>
      <w:r>
        <w:rPr>
          <w:b/>
          <w:sz w:val="21"/>
        </w:rPr>
        <w:t>艾滋病</w:t>
        <w:tab/>
      </w:r>
      <w:r>
        <w:rPr>
          <w:position w:val="1"/>
          <w:sz w:val="18"/>
        </w:rPr>
        <w:t>获得性免疫力缺乏综合症（AIDS）的简称。</w:t>
      </w:r>
    </w:p>
    <w:p>
      <w:pPr>
        <w:pStyle w:val="BodyText"/>
        <w:spacing w:before="2"/>
        <w:rPr>
          <w:sz w:val="20"/>
        </w:rPr>
      </w:pPr>
    </w:p>
    <w:p>
      <w:pPr>
        <w:pStyle w:val="ListParagraph"/>
        <w:numPr>
          <w:ilvl w:val="1"/>
          <w:numId w:val="17"/>
        </w:numPr>
        <w:tabs>
          <w:tab w:pos="908" w:val="left" w:leader="none"/>
        </w:tabs>
        <w:spacing w:line="304" w:lineRule="auto" w:before="0" w:after="0"/>
        <w:ind w:left="2613" w:right="104" w:hanging="2389"/>
        <w:jc w:val="both"/>
        <w:rPr>
          <w:sz w:val="18"/>
        </w:rPr>
      </w:pPr>
      <w:r>
        <w:rPr>
          <w:b/>
          <w:spacing w:val="0"/>
          <w:sz w:val="21"/>
        </w:rPr>
        <w:t>艾滋病病毒     </w:t>
      </w:r>
      <w:r>
        <w:rPr>
          <w:position w:val="1"/>
          <w:sz w:val="18"/>
        </w:rPr>
        <w:t>获得性免疫力缺乏综合症病毒（HIV）的简称。获得性免疫力缺乏综合症的定义应按世界卫生</w:t>
      </w:r>
      <w:r>
        <w:rPr>
          <w:spacing w:val="-3"/>
          <w:sz w:val="18"/>
        </w:rPr>
        <w:t>组织制定的定义为准，如在血液样本中发现获得性免疫力缺乏综合症病毒或其抗体，则可认定为感染艾滋病或艾滋病病毒。</w:t>
      </w:r>
    </w:p>
    <w:p>
      <w:pPr>
        <w:pStyle w:val="BodyText"/>
        <w:spacing w:before="6"/>
        <w:rPr>
          <w:sz w:val="17"/>
        </w:rPr>
      </w:pPr>
    </w:p>
    <w:p>
      <w:pPr>
        <w:pStyle w:val="ListParagraph"/>
        <w:numPr>
          <w:ilvl w:val="1"/>
          <w:numId w:val="17"/>
        </w:numPr>
        <w:tabs>
          <w:tab w:pos="907" w:val="left" w:leader="none"/>
          <w:tab w:pos="908" w:val="left" w:leader="none"/>
          <w:tab w:pos="2613" w:val="left" w:leader="none"/>
        </w:tabs>
        <w:spacing w:line="295" w:lineRule="auto" w:before="0" w:after="0"/>
        <w:ind w:left="2613" w:right="104" w:hanging="2389"/>
        <w:jc w:val="left"/>
        <w:rPr>
          <w:sz w:val="18"/>
        </w:rPr>
      </w:pPr>
      <w:r>
        <w:rPr>
          <w:b/>
          <w:sz w:val="21"/>
        </w:rPr>
        <w:t>现金价值</w:t>
        <w:tab/>
      </w:r>
      <w:r>
        <w:rPr>
          <w:position w:val="1"/>
          <w:sz w:val="18"/>
        </w:rPr>
        <w:t>指保险单所具有的价值</w:t>
      </w:r>
      <w:r>
        <w:rPr>
          <w:spacing w:val="-13"/>
          <w:position w:val="1"/>
          <w:sz w:val="18"/>
        </w:rPr>
        <w:t>，</w:t>
      </w:r>
      <w:r>
        <w:rPr>
          <w:position w:val="1"/>
          <w:sz w:val="18"/>
        </w:rPr>
        <w:t>通常体现为解除合同时</w:t>
      </w:r>
      <w:r>
        <w:rPr>
          <w:spacing w:val="-13"/>
          <w:position w:val="1"/>
          <w:sz w:val="18"/>
        </w:rPr>
        <w:t>，</w:t>
      </w:r>
      <w:r>
        <w:rPr>
          <w:position w:val="1"/>
          <w:sz w:val="18"/>
        </w:rPr>
        <w:t>根据精算原理计算的</w:t>
      </w:r>
      <w:r>
        <w:rPr>
          <w:spacing w:val="-13"/>
          <w:position w:val="1"/>
          <w:sz w:val="18"/>
        </w:rPr>
        <w:t>，</w:t>
      </w:r>
      <w:r>
        <w:rPr>
          <w:position w:val="1"/>
          <w:sz w:val="18"/>
        </w:rPr>
        <w:t>由本公司退还的那部</w:t>
      </w:r>
      <w:r>
        <w:rPr>
          <w:sz w:val="18"/>
        </w:rPr>
        <w:t>分金额。</w:t>
      </w:r>
    </w:p>
    <w:p>
      <w:pPr>
        <w:pStyle w:val="BodyText"/>
        <w:spacing w:before="0"/>
      </w:pPr>
    </w:p>
    <w:p>
      <w:pPr>
        <w:pStyle w:val="ListParagraph"/>
        <w:numPr>
          <w:ilvl w:val="1"/>
          <w:numId w:val="17"/>
        </w:numPr>
        <w:tabs>
          <w:tab w:pos="907" w:val="left" w:leader="none"/>
          <w:tab w:pos="908" w:val="left" w:leader="none"/>
          <w:tab w:pos="2613" w:val="left" w:leader="none"/>
        </w:tabs>
        <w:spacing w:line="240" w:lineRule="auto" w:before="0" w:after="0"/>
        <w:ind w:left="907" w:right="0" w:hanging="683"/>
        <w:jc w:val="left"/>
        <w:rPr>
          <w:sz w:val="18"/>
        </w:rPr>
      </w:pPr>
      <w:r>
        <w:rPr>
          <w:b/>
          <w:sz w:val="21"/>
        </w:rPr>
        <w:t>利息</w:t>
        <w:tab/>
      </w:r>
      <w:r>
        <w:rPr>
          <w:position w:val="1"/>
          <w:sz w:val="18"/>
        </w:rPr>
        <w:t>除本合同另有约定外，本合同中提到的利息一律按年复利方式计算。</w:t>
      </w:r>
    </w:p>
    <w:p>
      <w:pPr>
        <w:pStyle w:val="BodyText"/>
        <w:spacing w:before="1"/>
        <w:rPr>
          <w:sz w:val="22"/>
        </w:rPr>
      </w:pPr>
    </w:p>
    <w:p>
      <w:pPr>
        <w:pStyle w:val="ListParagraph"/>
        <w:numPr>
          <w:ilvl w:val="1"/>
          <w:numId w:val="17"/>
        </w:numPr>
        <w:tabs>
          <w:tab w:pos="907" w:val="left" w:leader="none"/>
          <w:tab w:pos="908" w:val="left" w:leader="none"/>
          <w:tab w:pos="2613" w:val="left" w:leader="none"/>
        </w:tabs>
        <w:spacing w:line="259" w:lineRule="auto" w:before="0" w:after="0"/>
        <w:ind w:left="2613" w:right="104" w:hanging="2389"/>
        <w:jc w:val="left"/>
        <w:rPr>
          <w:sz w:val="18"/>
        </w:rPr>
      </w:pPr>
      <w:r>
        <w:rPr>
          <w:b/>
          <w:position w:val="-4"/>
          <w:sz w:val="21"/>
        </w:rPr>
        <w:t>意外伤害</w:t>
        <w:tab/>
      </w:r>
      <w:r>
        <w:rPr>
          <w:sz w:val="18"/>
        </w:rPr>
        <w:t>指因遭受意外事故并以此为直接且单独原因导致的身体伤害(包括残疾、身故、烧伤、重要器 官切除)。</w:t>
      </w:r>
    </w:p>
    <w:p>
      <w:pPr>
        <w:pStyle w:val="BodyText"/>
        <w:spacing w:before="0"/>
      </w:pPr>
    </w:p>
    <w:p>
      <w:pPr>
        <w:pStyle w:val="BodyText"/>
        <w:spacing w:before="0"/>
      </w:pPr>
    </w:p>
    <w:p>
      <w:pPr>
        <w:pStyle w:val="BodyText"/>
        <w:spacing w:before="0"/>
      </w:pPr>
    </w:p>
    <w:p>
      <w:pPr>
        <w:pStyle w:val="BodyText"/>
        <w:spacing w:before="9"/>
        <w:rPr>
          <w:sz w:val="13"/>
        </w:rPr>
      </w:pPr>
    </w:p>
    <w:p>
      <w:pPr>
        <w:pStyle w:val="Heading3"/>
        <w:spacing w:before="0"/>
        <w:ind w:left="4320" w:right="3992" w:firstLine="0"/>
        <w:jc w:val="center"/>
      </w:pPr>
      <w:r>
        <w:rPr>
          <w:w w:val="95"/>
        </w:rPr>
        <w:t>附表一：轻症疾病说明</w:t>
      </w:r>
    </w:p>
    <w:p>
      <w:pPr>
        <w:pStyle w:val="BodyText"/>
        <w:spacing w:before="0"/>
        <w:rPr>
          <w:b/>
        </w:rPr>
      </w:pPr>
    </w:p>
    <w:p>
      <w:pPr>
        <w:spacing w:before="121"/>
        <w:ind w:left="224" w:right="0" w:firstLine="0"/>
        <w:jc w:val="left"/>
        <w:rPr>
          <w:b/>
          <w:sz w:val="18"/>
        </w:rPr>
      </w:pPr>
      <w:r>
        <w:rPr>
          <w:b/>
          <w:w w:val="95"/>
          <w:sz w:val="18"/>
        </w:rPr>
        <w:t>轻症疾病：指下列疾病或手术之一</w:t>
      </w:r>
    </w:p>
    <w:p>
      <w:pPr>
        <w:pStyle w:val="BodyText"/>
        <w:spacing w:before="10"/>
        <w:rPr>
          <w:b/>
          <w:sz w:val="23"/>
        </w:rPr>
      </w:pPr>
    </w:p>
    <w:p>
      <w:pPr>
        <w:spacing w:after="0"/>
        <w:rPr>
          <w:sz w:val="23"/>
        </w:rPr>
        <w:sectPr>
          <w:pgSz w:w="11910" w:h="16840"/>
          <w:pgMar w:header="877" w:footer="981" w:top="1100" w:bottom="1180" w:left="1080" w:right="760"/>
        </w:sectPr>
      </w:pPr>
    </w:p>
    <w:p>
      <w:pPr>
        <w:pStyle w:val="ListParagraph"/>
        <w:numPr>
          <w:ilvl w:val="0"/>
          <w:numId w:val="18"/>
        </w:numPr>
        <w:tabs>
          <w:tab w:pos="526" w:val="left" w:leader="none"/>
          <w:tab w:pos="527" w:val="left" w:leader="none"/>
        </w:tabs>
        <w:spacing w:line="316" w:lineRule="auto" w:before="44" w:after="0"/>
        <w:ind w:left="526" w:right="0" w:hanging="420"/>
        <w:jc w:val="left"/>
        <w:rPr>
          <w:b/>
          <w:sz w:val="18"/>
        </w:rPr>
      </w:pPr>
      <w:r>
        <w:rPr>
          <w:b/>
          <w:spacing w:val="17"/>
          <w:w w:val="95"/>
          <w:sz w:val="18"/>
        </w:rPr>
        <w:t>极早期的恶性肿瘤或</w:t>
      </w:r>
      <w:r>
        <w:rPr>
          <w:b/>
          <w:w w:val="95"/>
          <w:sz w:val="18"/>
        </w:rPr>
        <w:t>恶性病变</w:t>
      </w:r>
    </w:p>
    <w:p>
      <w:pPr>
        <w:pStyle w:val="BodyText"/>
        <w:spacing w:line="316" w:lineRule="auto" w:before="44"/>
        <w:ind w:left="106" w:right="1598"/>
      </w:pPr>
      <w:r>
        <w:rPr/>
        <w:br w:type="column"/>
      </w:r>
      <w:r>
        <w:rPr/>
        <w:t>指经组织病理学检查被明确诊断为下列恶性病变，并且接受了相应的治疗。(一)原位癌</w:t>
      </w:r>
    </w:p>
    <w:p>
      <w:pPr>
        <w:pStyle w:val="BodyText"/>
        <w:spacing w:line="316" w:lineRule="auto" w:before="18"/>
        <w:ind w:left="106" w:right="2598"/>
      </w:pPr>
      <w:r>
        <w:rPr/>
        <w:t>(二)相当于Binet 分期方案A 期程度的慢性淋巴细胞白血病； (三)相当于Ann Arbor 分期方案I 期程度的何杰金氏病；</w:t>
      </w:r>
    </w:p>
    <w:p>
      <w:pPr>
        <w:pStyle w:val="BodyText"/>
        <w:spacing w:before="18"/>
        <w:ind w:left="106"/>
      </w:pPr>
      <w:r>
        <w:rPr/>
        <w:t>(四)皮肤癌（</w:t>
      </w:r>
      <w:r>
        <w:rPr>
          <w:shd w:fill="C0C0C0" w:color="auto" w:val="clear"/>
        </w:rPr>
        <w:t>不包括恶性黑色素瘤及已发生转移的皮肤癌</w:t>
      </w:r>
      <w:r>
        <w:rPr>
          <w:spacing w:val="-90"/>
        </w:rPr>
        <w:t>）</w:t>
      </w:r>
      <w:r>
        <w:rPr/>
        <w:t>；</w:t>
      </w:r>
    </w:p>
    <w:p>
      <w:pPr>
        <w:pStyle w:val="BodyText"/>
        <w:spacing w:before="75"/>
        <w:ind w:left="106"/>
      </w:pPr>
      <w:r>
        <w:rPr>
          <w:position w:val="1"/>
        </w:rPr>
        <w:t>(五)TNM 分期为T</w:t>
      </w:r>
      <w:r>
        <w:rPr>
          <w:sz w:val="9"/>
        </w:rPr>
        <w:t>1</w:t>
      </w:r>
      <w:r>
        <w:rPr>
          <w:position w:val="1"/>
        </w:rPr>
        <w:t>N</w:t>
      </w:r>
      <w:r>
        <w:rPr>
          <w:sz w:val="9"/>
        </w:rPr>
        <w:t>0</w:t>
      </w:r>
      <w:r>
        <w:rPr>
          <w:position w:val="1"/>
        </w:rPr>
        <w:t>M</w:t>
      </w:r>
      <w:r>
        <w:rPr>
          <w:sz w:val="9"/>
        </w:rPr>
        <w:t>0 </w:t>
      </w:r>
      <w:r>
        <w:rPr>
          <w:position w:val="1"/>
        </w:rPr>
        <w:t>期或更轻分期的前列腺癌。</w:t>
      </w:r>
    </w:p>
    <w:p>
      <w:pPr>
        <w:spacing w:after="0"/>
        <w:sectPr>
          <w:type w:val="continuous"/>
          <w:pgSz w:w="11910" w:h="16840"/>
          <w:pgMar w:top="1040" w:bottom="1180" w:left="1080" w:right="760"/>
          <w:cols w:num="2" w:equalWidth="0">
            <w:col w:w="2328" w:space="88"/>
            <w:col w:w="7654"/>
          </w:cols>
        </w:sectPr>
      </w:pPr>
    </w:p>
    <w:p>
      <w:pPr>
        <w:pStyle w:val="BodyText"/>
        <w:spacing w:before="3"/>
        <w:rPr>
          <w:sz w:val="26"/>
        </w:rPr>
      </w:pPr>
    </w:p>
    <w:p>
      <w:pPr>
        <w:spacing w:after="0"/>
        <w:rPr>
          <w:sz w:val="26"/>
        </w:rPr>
        <w:sectPr>
          <w:type w:val="continuous"/>
          <w:pgSz w:w="11910" w:h="16840"/>
          <w:pgMar w:top="1040" w:bottom="1180" w:left="1080" w:right="760"/>
        </w:sectPr>
      </w:pPr>
    </w:p>
    <w:p>
      <w:pPr>
        <w:pStyle w:val="Heading3"/>
        <w:numPr>
          <w:ilvl w:val="0"/>
          <w:numId w:val="18"/>
        </w:numPr>
        <w:tabs>
          <w:tab w:pos="526" w:val="left" w:leader="none"/>
          <w:tab w:pos="527" w:val="left" w:leader="none"/>
        </w:tabs>
        <w:spacing w:line="316" w:lineRule="auto" w:before="45" w:after="0"/>
        <w:ind w:left="526" w:right="0" w:hanging="420"/>
        <w:jc w:val="left"/>
      </w:pPr>
      <w:r>
        <w:rPr>
          <w:spacing w:val="17"/>
          <w:w w:val="95"/>
        </w:rPr>
        <w:t>不典型的急性心肌梗</w:t>
      </w:r>
      <w:r>
        <w:rPr/>
        <w:t>塞</w:t>
      </w:r>
    </w:p>
    <w:p>
      <w:pPr>
        <w:pStyle w:val="BodyText"/>
        <w:spacing w:line="316" w:lineRule="auto" w:before="45"/>
        <w:ind w:left="106" w:right="142"/>
      </w:pPr>
      <w:r>
        <w:rPr/>
        <w:br w:type="column"/>
      </w:r>
      <w:r>
        <w:rPr/>
        <w:t>指被临床诊断为急性心肌梗塞并接受了急性心肌梗塞治疗，虽然未达到重大疾病“急性心肌梗塞”的给付标准，但满足下列全部条件：</w:t>
      </w:r>
    </w:p>
    <w:p>
      <w:pPr>
        <w:pStyle w:val="BodyText"/>
        <w:spacing w:line="316" w:lineRule="auto" w:before="18"/>
        <w:ind w:left="106" w:right="3219"/>
      </w:pPr>
      <w:r>
        <w:rPr/>
        <w:t>(一)肌钙蛋白有诊断意义的升高；                  </w:t>
      </w:r>
      <w:r>
        <w:rPr>
          <w:spacing w:val="2"/>
        </w:rPr>
        <w:t>(二)心电图有损伤性的</w:t>
      </w:r>
      <w:r>
        <w:rPr/>
        <w:t>ST</w:t>
      </w:r>
      <w:r>
        <w:rPr>
          <w:spacing w:val="3"/>
        </w:rPr>
        <w:t> 段改变但未出现病理</w:t>
      </w:r>
      <w:r>
        <w:rPr/>
        <w:t>Q 波。</w:t>
      </w:r>
    </w:p>
    <w:p>
      <w:pPr>
        <w:pStyle w:val="BodyText"/>
        <w:spacing w:line="316" w:lineRule="auto" w:before="18"/>
        <w:ind w:left="106" w:right="142"/>
      </w:pPr>
      <w:r>
        <w:rPr>
          <w:shd w:fill="C0C0C0" w:color="auto" w:val="clear"/>
        </w:rPr>
        <w:t>如果被保险人在出现不典型的急性心肌梗塞以后接受冠状动脉介入手术治疗，我们仅就其中一种疾病给付轻症疾病保险金。</w:t>
      </w:r>
    </w:p>
    <w:p>
      <w:pPr>
        <w:spacing w:after="0" w:line="316" w:lineRule="auto"/>
        <w:sectPr>
          <w:type w:val="continuous"/>
          <w:pgSz w:w="11910" w:h="16840"/>
          <w:pgMar w:top="1040" w:bottom="1180" w:left="1080" w:right="760"/>
          <w:cols w:num="2" w:equalWidth="0">
            <w:col w:w="2328" w:space="88"/>
            <w:col w:w="7654"/>
          </w:cols>
        </w:sectPr>
      </w:pPr>
    </w:p>
    <w:p>
      <w:pPr>
        <w:pStyle w:val="BodyText"/>
        <w:spacing w:before="11"/>
        <w:rPr>
          <w:sz w:val="21"/>
        </w:rPr>
      </w:pPr>
    </w:p>
    <w:p>
      <w:pPr>
        <w:pStyle w:val="ListParagraph"/>
        <w:numPr>
          <w:ilvl w:val="0"/>
          <w:numId w:val="18"/>
        </w:numPr>
        <w:tabs>
          <w:tab w:pos="526" w:val="left" w:leader="none"/>
          <w:tab w:pos="527" w:val="left" w:leader="none"/>
          <w:tab w:pos="2523" w:val="left" w:leader="none"/>
        </w:tabs>
        <w:spacing w:line="316" w:lineRule="auto" w:before="44" w:after="0"/>
        <w:ind w:left="2523" w:right="197" w:hanging="2417"/>
        <w:jc w:val="left"/>
        <w:rPr>
          <w:sz w:val="18"/>
        </w:rPr>
      </w:pPr>
      <w:r>
        <w:rPr>
          <w:b/>
          <w:sz w:val="18"/>
        </w:rPr>
        <w:t>冠状动脉介入手术</w:t>
        <w:tab/>
      </w:r>
      <w:r>
        <w:rPr>
          <w:sz w:val="18"/>
        </w:rPr>
        <w:t>为了治疗明显的冠状动脉狭窄性疾病</w:t>
      </w:r>
      <w:r>
        <w:rPr>
          <w:spacing w:val="-20"/>
          <w:sz w:val="18"/>
        </w:rPr>
        <w:t>，</w:t>
      </w:r>
      <w:r>
        <w:rPr>
          <w:sz w:val="18"/>
        </w:rPr>
        <w:t>首次实际实施了冠状动脉球囊扩张成形术</w:t>
      </w:r>
      <w:r>
        <w:rPr>
          <w:spacing w:val="-20"/>
          <w:sz w:val="18"/>
        </w:rPr>
        <w:t>、</w:t>
      </w:r>
      <w:r>
        <w:rPr>
          <w:sz w:val="18"/>
        </w:rPr>
        <w:t>冠状动脉支架植入术或激光冠状动脉成形术。</w:t>
      </w:r>
    </w:p>
    <w:p>
      <w:pPr>
        <w:pStyle w:val="BodyText"/>
        <w:spacing w:line="316" w:lineRule="auto" w:before="18"/>
        <w:ind w:left="2523" w:right="197"/>
      </w:pPr>
      <w:r>
        <w:rPr>
          <w:spacing w:val="-2"/>
          <w:shd w:fill="C0C0C0" w:color="auto" w:val="clear"/>
        </w:rPr>
        <w:t>如果被保险人在出现不典型的急性心肌梗塞以后接受冠状动脉介入手术治疗，我们仅就其中一</w:t>
      </w:r>
      <w:r>
        <w:rPr>
          <w:spacing w:val="-180"/>
          <w:shd w:fill="C0C0C0" w:color="auto" w:val="clear"/>
        </w:rPr>
        <w:t>种</w:t>
      </w:r>
      <w:r>
        <w:rPr>
          <w:shd w:fill="C0C0C0" w:color="auto" w:val="clear"/>
        </w:rPr>
        <w:t>疾病给付轻症疾病保险金。</w:t>
      </w:r>
    </w:p>
    <w:p>
      <w:pPr>
        <w:pStyle w:val="BodyText"/>
        <w:spacing w:line="316" w:lineRule="auto" w:before="18"/>
        <w:ind w:left="2523" w:right="197"/>
      </w:pPr>
      <w:r>
        <w:rPr>
          <w:spacing w:val="-2"/>
          <w:shd w:fill="C0C0C0" w:color="auto" w:val="clear"/>
        </w:rPr>
        <w:t>如果被保险人在出现急性心肌梗塞以后接受冠状动脉介入手术，我们仅就急性心肌梗塞给付重</w:t>
      </w:r>
      <w:r>
        <w:rPr>
          <w:spacing w:val="-180"/>
          <w:shd w:fill="C0C0C0" w:color="auto" w:val="clear"/>
        </w:rPr>
        <w:t>大</w:t>
      </w:r>
      <w:r>
        <w:rPr>
          <w:shd w:fill="C0C0C0" w:color="auto" w:val="clear"/>
        </w:rPr>
        <w:t>疾病保险金。</w:t>
      </w:r>
    </w:p>
    <w:p>
      <w:pPr>
        <w:pStyle w:val="BodyText"/>
        <w:spacing w:before="3"/>
        <w:rPr>
          <w:sz w:val="25"/>
        </w:rPr>
      </w:pPr>
    </w:p>
    <w:p>
      <w:pPr>
        <w:pStyle w:val="ListParagraph"/>
        <w:numPr>
          <w:ilvl w:val="0"/>
          <w:numId w:val="18"/>
        </w:numPr>
        <w:tabs>
          <w:tab w:pos="526" w:val="left" w:leader="none"/>
          <w:tab w:pos="527" w:val="left" w:leader="none"/>
          <w:tab w:pos="2523" w:val="left" w:leader="none"/>
        </w:tabs>
        <w:spacing w:line="240" w:lineRule="auto" w:before="0" w:after="0"/>
        <w:ind w:left="526" w:right="0" w:hanging="420"/>
        <w:jc w:val="left"/>
        <w:rPr>
          <w:sz w:val="18"/>
        </w:rPr>
      </w:pPr>
      <w:r>
        <w:rPr>
          <w:b/>
          <w:spacing w:val="0"/>
          <w:w w:val="99"/>
          <w:sz w:val="18"/>
        </w:rPr>
        <w:t>轻微</w:t>
      </w:r>
      <w:r>
        <w:rPr>
          <w:b/>
          <w:w w:val="99"/>
          <w:sz w:val="18"/>
        </w:rPr>
        <w:t>脑</w:t>
      </w:r>
      <w:r>
        <w:rPr>
          <w:b/>
          <w:spacing w:val="0"/>
          <w:w w:val="99"/>
          <w:sz w:val="18"/>
        </w:rPr>
        <w:t>中</w:t>
      </w:r>
      <w:r>
        <w:rPr>
          <w:b/>
          <w:w w:val="99"/>
          <w:sz w:val="18"/>
        </w:rPr>
        <w:t>风</w:t>
      </w:r>
      <w:r>
        <w:rPr>
          <w:b/>
          <w:sz w:val="18"/>
        </w:rPr>
        <w:tab/>
      </w:r>
      <w:r>
        <w:rPr>
          <w:spacing w:val="0"/>
          <w:sz w:val="18"/>
        </w:rPr>
        <w:t>指实际发生了脑血管的突发病变出现神经系统功能障碍表现，头颅断层扫描（</w:t>
      </w:r>
      <w:r>
        <w:rPr>
          <w:sz w:val="18"/>
        </w:rPr>
        <w:t>C</w:t>
      </w:r>
      <w:r>
        <w:rPr>
          <w:spacing w:val="0"/>
          <w:sz w:val="18"/>
        </w:rPr>
        <w:t>T</w:t>
      </w:r>
      <w:r>
        <w:rPr>
          <w:spacing w:val="-90"/>
          <w:sz w:val="18"/>
        </w:rPr>
        <w:t>）</w:t>
      </w:r>
      <w:r>
        <w:rPr>
          <w:spacing w:val="1"/>
          <w:sz w:val="18"/>
        </w:rPr>
        <w:t>、</w:t>
      </w:r>
      <w:r>
        <w:rPr>
          <w:spacing w:val="0"/>
          <w:sz w:val="18"/>
        </w:rPr>
        <w:t>核磁</w:t>
      </w:r>
      <w:r>
        <w:rPr>
          <w:spacing w:val="1"/>
          <w:sz w:val="18"/>
        </w:rPr>
        <w:t>共</w:t>
      </w:r>
      <w:r>
        <w:rPr>
          <w:sz w:val="18"/>
        </w:rPr>
        <w:t>振</w:t>
      </w:r>
    </w:p>
    <w:p>
      <w:pPr>
        <w:pStyle w:val="BodyText"/>
        <w:spacing w:line="316" w:lineRule="auto"/>
        <w:ind w:left="2523" w:right="141"/>
      </w:pPr>
      <w:r>
        <w:rPr/>
        <w:t>（MRI）等影像学检查证实存在对应病灶，确诊为脑出血、脑栓塞或脑梗塞，在确诊 180 天后未遗留神经系统功能障碍或后遗的神经系统功能障碍程度未达到重大疾病“脑中风后遗症”的</w:t>
      </w:r>
    </w:p>
    <w:p>
      <w:pPr>
        <w:spacing w:after="0" w:line="316" w:lineRule="auto"/>
        <w:sectPr>
          <w:type w:val="continuous"/>
          <w:pgSz w:w="11910" w:h="16840"/>
          <w:pgMar w:top="1040" w:bottom="1180" w:left="1080" w:right="760"/>
        </w:sectPr>
      </w:pPr>
    </w:p>
    <w:p>
      <w:pPr>
        <w:pStyle w:val="BodyText"/>
        <w:spacing w:before="3"/>
        <w:rPr>
          <w:sz w:val="20"/>
        </w:rPr>
      </w:pPr>
    </w:p>
    <w:p>
      <w:pPr>
        <w:pStyle w:val="BodyText"/>
        <w:spacing w:before="44"/>
        <w:ind w:left="2523"/>
      </w:pPr>
      <w:r>
        <w:rPr/>
        <w:t>给付标准。</w:t>
      </w:r>
    </w:p>
    <w:p>
      <w:pPr>
        <w:pStyle w:val="BodyText"/>
        <w:ind w:left="2523"/>
      </w:pPr>
      <w:r>
        <w:rPr>
          <w:shd w:fill="C0C0C0" w:color="auto" w:val="clear"/>
        </w:rPr>
        <w:t>短暂性脑缺血发作(TIA) 和腔隙性脑梗塞不在保障范围内。</w:t>
      </w:r>
    </w:p>
    <w:p>
      <w:pPr>
        <w:pStyle w:val="BodyText"/>
        <w:spacing w:before="0"/>
      </w:pPr>
    </w:p>
    <w:p>
      <w:pPr>
        <w:pStyle w:val="ListParagraph"/>
        <w:numPr>
          <w:ilvl w:val="0"/>
          <w:numId w:val="18"/>
        </w:numPr>
        <w:tabs>
          <w:tab w:pos="527" w:val="left" w:leader="none"/>
        </w:tabs>
        <w:spacing w:line="316" w:lineRule="auto" w:before="153" w:after="0"/>
        <w:ind w:left="2523" w:right="197" w:hanging="2417"/>
        <w:jc w:val="both"/>
        <w:rPr>
          <w:sz w:val="18"/>
        </w:rPr>
      </w:pPr>
      <w:r>
        <w:rPr>
          <w:b/>
          <w:sz w:val="18"/>
        </w:rPr>
        <w:t>心脏瓣膜介入手术     </w:t>
      </w:r>
      <w:r>
        <w:rPr>
          <w:spacing w:val="-4"/>
          <w:sz w:val="18"/>
        </w:rPr>
        <w:t>为了治疗心脏瓣膜疾病，实际实施了非开胸的经胸壁打孔内镜手术或经皮经导管介入手术进行的心脏瓣膜置换或修复手术。</w:t>
      </w:r>
    </w:p>
    <w:p>
      <w:pPr>
        <w:pStyle w:val="BodyText"/>
        <w:spacing w:before="3"/>
        <w:rPr>
          <w:sz w:val="25"/>
        </w:rPr>
      </w:pPr>
    </w:p>
    <w:p>
      <w:pPr>
        <w:pStyle w:val="ListParagraph"/>
        <w:numPr>
          <w:ilvl w:val="0"/>
          <w:numId w:val="18"/>
        </w:numPr>
        <w:tabs>
          <w:tab w:pos="527" w:val="left" w:leader="none"/>
        </w:tabs>
        <w:spacing w:line="316" w:lineRule="auto" w:before="0" w:after="0"/>
        <w:ind w:left="2523" w:right="198" w:hanging="2417"/>
        <w:jc w:val="both"/>
        <w:rPr>
          <w:sz w:val="18"/>
        </w:rPr>
      </w:pPr>
      <w:r>
        <w:rPr>
          <w:b/>
          <w:sz w:val="18"/>
        </w:rPr>
        <w:t>视力严重受损         </w:t>
      </w:r>
      <w:r>
        <w:rPr>
          <w:spacing w:val="-3"/>
          <w:sz w:val="18"/>
        </w:rPr>
        <w:t>指因疾病或意外伤害导致双目视力永久不可逆性丧失，虽然未达到重大疾病“双目失明”的给付标准，但满足下列全部条件：</w:t>
      </w:r>
    </w:p>
    <w:p>
      <w:pPr>
        <w:pStyle w:val="BodyText"/>
        <w:spacing w:line="316" w:lineRule="auto" w:before="18"/>
        <w:ind w:left="2523" w:right="107"/>
      </w:pPr>
      <w:r>
        <w:rPr>
          <w:spacing w:val="-3"/>
        </w:rPr>
        <w:t>(一)双眼中较好眼矫正视力低于 </w:t>
      </w:r>
      <w:r>
        <w:rPr/>
        <w:t>0.</w:t>
      </w:r>
      <w:r>
        <w:rPr>
          <w:spacing w:val="-87"/>
        </w:rPr>
        <w:t>1</w:t>
      </w:r>
      <w:r>
        <w:rPr/>
        <w:t>（</w:t>
      </w:r>
      <w:r>
        <w:rPr>
          <w:spacing w:val="-9"/>
        </w:rPr>
        <w:t>采用国际标准视力表，如果使用其他视力表应进行换算</w:t>
      </w:r>
      <w:r>
        <w:rPr>
          <w:spacing w:val="-90"/>
        </w:rPr>
        <w:t>）</w:t>
      </w:r>
      <w:r>
        <w:rPr/>
        <w:t>； </w:t>
      </w:r>
      <w:r>
        <w:rPr>
          <w:spacing w:val="-5"/>
        </w:rPr>
        <w:t>(二)视野半径小于 </w:t>
      </w:r>
      <w:r>
        <w:rPr/>
        <w:t>20 度。</w:t>
      </w:r>
    </w:p>
    <w:p>
      <w:pPr>
        <w:pStyle w:val="BodyText"/>
        <w:spacing w:line="316" w:lineRule="auto" w:before="18"/>
        <w:ind w:left="2523" w:right="198"/>
      </w:pPr>
      <w:r>
        <w:rPr>
          <w:spacing w:val="-9"/>
        </w:rPr>
        <w:t>申请理赔时，被保险人年龄必须在 </w:t>
      </w:r>
      <w:r>
        <w:rPr/>
        <w:t>3</w:t>
      </w:r>
      <w:r>
        <w:rPr>
          <w:spacing w:val="-6"/>
        </w:rPr>
        <w:t> 周岁以上，并且须提供理赔当时的视力丧失诊断及检查证据。</w:t>
      </w:r>
    </w:p>
    <w:p>
      <w:pPr>
        <w:pStyle w:val="BodyText"/>
        <w:spacing w:before="3"/>
        <w:rPr>
          <w:sz w:val="25"/>
        </w:rPr>
      </w:pPr>
    </w:p>
    <w:p>
      <w:pPr>
        <w:pStyle w:val="ListParagraph"/>
        <w:numPr>
          <w:ilvl w:val="0"/>
          <w:numId w:val="18"/>
        </w:numPr>
        <w:tabs>
          <w:tab w:pos="526" w:val="left" w:leader="none"/>
          <w:tab w:pos="527" w:val="left" w:leader="none"/>
          <w:tab w:pos="2523" w:val="left" w:leader="none"/>
        </w:tabs>
        <w:spacing w:line="240" w:lineRule="auto" w:before="0" w:after="0"/>
        <w:ind w:left="526" w:right="0" w:hanging="420"/>
        <w:jc w:val="left"/>
        <w:rPr>
          <w:sz w:val="18"/>
        </w:rPr>
      </w:pPr>
      <w:r>
        <w:rPr>
          <w:b/>
          <w:spacing w:val="0"/>
          <w:w w:val="99"/>
          <w:sz w:val="18"/>
        </w:rPr>
        <w:t>较小</w:t>
      </w:r>
      <w:r>
        <w:rPr>
          <w:b/>
          <w:w w:val="99"/>
          <w:sz w:val="18"/>
        </w:rPr>
        <w:t>面积</w:t>
      </w:r>
      <w:r>
        <w:rPr>
          <w:b/>
          <w:spacing w:val="-44"/>
          <w:sz w:val="18"/>
        </w:rPr>
        <w:t> </w:t>
      </w:r>
      <w:r>
        <w:rPr>
          <w:b/>
          <w:w w:val="99"/>
          <w:sz w:val="18"/>
        </w:rPr>
        <w:t>I</w:t>
      </w:r>
      <w:r>
        <w:rPr>
          <w:b/>
          <w:spacing w:val="0"/>
          <w:w w:val="99"/>
          <w:sz w:val="18"/>
        </w:rPr>
        <w:t>I</w:t>
      </w:r>
      <w:r>
        <w:rPr>
          <w:b/>
          <w:w w:val="99"/>
          <w:sz w:val="18"/>
        </w:rPr>
        <w:t>I</w:t>
      </w:r>
      <w:r>
        <w:rPr>
          <w:b/>
          <w:spacing w:val="-1"/>
          <w:sz w:val="18"/>
        </w:rPr>
        <w:t> </w:t>
      </w:r>
      <w:r>
        <w:rPr>
          <w:b/>
          <w:spacing w:val="0"/>
          <w:w w:val="99"/>
          <w:sz w:val="18"/>
        </w:rPr>
        <w:t>度烧</w:t>
      </w:r>
      <w:r>
        <w:rPr>
          <w:b/>
          <w:w w:val="99"/>
          <w:sz w:val="18"/>
        </w:rPr>
        <w:t>伤</w:t>
      </w:r>
      <w:r>
        <w:rPr>
          <w:b/>
          <w:sz w:val="18"/>
        </w:rPr>
        <w:tab/>
      </w:r>
      <w:r>
        <w:rPr>
          <w:sz w:val="18"/>
        </w:rPr>
        <w:t>指烧伤程度为Ⅲ度</w:t>
      </w:r>
      <w:r>
        <w:rPr>
          <w:spacing w:val="-58"/>
          <w:sz w:val="18"/>
        </w:rPr>
        <w:t>，</w:t>
      </w:r>
      <w:r>
        <w:rPr>
          <w:sz w:val="18"/>
        </w:rPr>
        <w:t>且Ⅲ度烧伤的面积达到全身体表面积的</w:t>
      </w:r>
      <w:r>
        <w:rPr>
          <w:spacing w:val="-46"/>
          <w:sz w:val="18"/>
        </w:rPr>
        <w:t> </w:t>
      </w:r>
      <w:r>
        <w:rPr>
          <w:sz w:val="18"/>
        </w:rPr>
        <w:t>15%以</w:t>
      </w:r>
      <w:r>
        <w:rPr>
          <w:spacing w:val="-58"/>
          <w:sz w:val="18"/>
        </w:rPr>
        <w:t>上</w:t>
      </w:r>
      <w:r>
        <w:rPr>
          <w:sz w:val="18"/>
        </w:rPr>
        <w:t>（含</w:t>
      </w:r>
      <w:r>
        <w:rPr>
          <w:spacing w:val="-45"/>
          <w:sz w:val="18"/>
        </w:rPr>
        <w:t> </w:t>
      </w:r>
      <w:r>
        <w:rPr>
          <w:sz w:val="18"/>
        </w:rPr>
        <w:t>15%</w:t>
      </w:r>
      <w:r>
        <w:rPr>
          <w:spacing w:val="-90"/>
          <w:sz w:val="18"/>
        </w:rPr>
        <w:t>）</w:t>
      </w:r>
      <w:r>
        <w:rPr>
          <w:spacing w:val="-58"/>
          <w:sz w:val="18"/>
        </w:rPr>
        <w:t>，</w:t>
      </w:r>
      <w:r>
        <w:rPr>
          <w:sz w:val="18"/>
        </w:rPr>
        <w:t>但尚未达到</w:t>
      </w:r>
      <w:r>
        <w:rPr>
          <w:spacing w:val="-46"/>
          <w:sz w:val="18"/>
        </w:rPr>
        <w:t> </w:t>
      </w:r>
      <w:r>
        <w:rPr>
          <w:sz w:val="18"/>
        </w:rPr>
        <w:t>20%</w:t>
      </w:r>
    </w:p>
    <w:p>
      <w:pPr>
        <w:pStyle w:val="BodyText"/>
        <w:ind w:left="2523"/>
      </w:pPr>
      <w:r>
        <w:rPr/>
        <w:t>（</w:t>
      </w:r>
      <w:r>
        <w:rPr>
          <w:spacing w:val="-16"/>
        </w:rPr>
        <w:t>不含 </w:t>
      </w:r>
      <w:r>
        <w:rPr/>
        <w:t>20%</w:t>
      </w:r>
      <w:r>
        <w:rPr>
          <w:spacing w:val="-90"/>
        </w:rPr>
        <w:t>）</w:t>
      </w:r>
      <w:r>
        <w:rPr/>
        <w:t>。体表面积根据《中国新九分法》计算。</w:t>
      </w:r>
    </w:p>
    <w:p>
      <w:pPr>
        <w:pStyle w:val="BodyText"/>
        <w:spacing w:before="0"/>
      </w:pPr>
    </w:p>
    <w:p>
      <w:pPr>
        <w:pStyle w:val="ListParagraph"/>
        <w:numPr>
          <w:ilvl w:val="0"/>
          <w:numId w:val="18"/>
        </w:numPr>
        <w:tabs>
          <w:tab w:pos="527" w:val="left" w:leader="none"/>
        </w:tabs>
        <w:spacing w:line="316" w:lineRule="auto" w:before="152" w:after="0"/>
        <w:ind w:left="2523" w:right="194" w:hanging="2417"/>
        <w:jc w:val="both"/>
        <w:rPr>
          <w:sz w:val="18"/>
        </w:rPr>
      </w:pPr>
      <w:r>
        <w:rPr>
          <w:b/>
          <w:spacing w:val="0"/>
          <w:sz w:val="18"/>
        </w:rPr>
        <w:t>主动脉内手术          </w:t>
      </w:r>
      <w:r>
        <w:rPr>
          <w:sz w:val="18"/>
        </w:rPr>
        <w:t>为了治疗主动脉疾病实际实施了经皮经导管进行的动脉内手术。主动脉指胸主动脉和腹主动脉，</w:t>
      </w:r>
      <w:r>
        <w:rPr>
          <w:sz w:val="18"/>
          <w:shd w:fill="C0C0C0" w:color="auto" w:val="clear"/>
        </w:rPr>
        <w:t>不包括胸主动脉和腹主动脉的分支血管</w:t>
      </w:r>
      <w:r>
        <w:rPr>
          <w:sz w:val="18"/>
        </w:rPr>
        <w:t>。</w:t>
      </w:r>
    </w:p>
    <w:p>
      <w:pPr>
        <w:pStyle w:val="BodyText"/>
        <w:spacing w:before="3"/>
        <w:rPr>
          <w:sz w:val="25"/>
        </w:rPr>
      </w:pPr>
    </w:p>
    <w:p>
      <w:pPr>
        <w:pStyle w:val="ListParagraph"/>
        <w:numPr>
          <w:ilvl w:val="0"/>
          <w:numId w:val="18"/>
        </w:numPr>
        <w:tabs>
          <w:tab w:pos="527" w:val="left" w:leader="none"/>
        </w:tabs>
        <w:spacing w:line="316" w:lineRule="auto" w:before="0" w:after="0"/>
        <w:ind w:left="2523" w:right="197" w:hanging="2417"/>
        <w:jc w:val="both"/>
        <w:rPr>
          <w:sz w:val="18"/>
        </w:rPr>
      </w:pPr>
      <w:r>
        <w:rPr>
          <w:b/>
          <w:w w:val="99"/>
          <w:sz w:val="18"/>
        </w:rPr>
        <w:t>脑垂体瘤及脑囊肿</w:t>
      </w:r>
      <w:r>
        <w:rPr>
          <w:b/>
          <w:sz w:val="18"/>
        </w:rPr>
        <w:t>      </w:t>
      </w:r>
      <w:r>
        <w:rPr>
          <w:spacing w:val="-1"/>
          <w:sz w:val="18"/>
        </w:rPr>
        <w:t>指经头颅断层扫描</w:t>
      </w:r>
      <w:r>
        <w:rPr>
          <w:sz w:val="18"/>
        </w:rPr>
        <w:t>（CT</w:t>
      </w:r>
      <w:r>
        <w:rPr>
          <w:spacing w:val="-90"/>
          <w:sz w:val="18"/>
        </w:rPr>
        <w:t>）</w:t>
      </w:r>
      <w:r>
        <w:rPr>
          <w:spacing w:val="-4"/>
          <w:sz w:val="18"/>
        </w:rPr>
        <w:t>、核磁共振</w:t>
      </w:r>
      <w:r>
        <w:rPr>
          <w:sz w:val="18"/>
        </w:rPr>
        <w:t>（MRI</w:t>
      </w:r>
      <w:r>
        <w:rPr>
          <w:spacing w:val="-9"/>
          <w:sz w:val="18"/>
        </w:rPr>
        <w:t>）</w:t>
      </w:r>
      <w:r>
        <w:rPr>
          <w:spacing w:val="-1"/>
          <w:sz w:val="18"/>
        </w:rPr>
        <w:t>或其他影像学检查被确诊为下列病变，并实际接受了手术或放射治疗。</w:t>
      </w:r>
    </w:p>
    <w:p>
      <w:pPr>
        <w:pStyle w:val="BodyText"/>
        <w:spacing w:line="316" w:lineRule="auto" w:before="18"/>
        <w:ind w:left="2523" w:right="6278"/>
      </w:pPr>
      <w:r>
        <w:rPr/>
        <w:t>(一)脑垂体瘤； (二)脑囊肿。</w:t>
      </w:r>
    </w:p>
    <w:p>
      <w:pPr>
        <w:pStyle w:val="BodyText"/>
        <w:spacing w:before="3"/>
        <w:rPr>
          <w:sz w:val="25"/>
        </w:rPr>
      </w:pPr>
    </w:p>
    <w:p>
      <w:pPr>
        <w:pStyle w:val="ListParagraph"/>
        <w:numPr>
          <w:ilvl w:val="0"/>
          <w:numId w:val="18"/>
        </w:numPr>
        <w:tabs>
          <w:tab w:pos="527" w:val="left" w:leader="none"/>
        </w:tabs>
        <w:spacing w:line="316" w:lineRule="auto" w:before="0" w:after="0"/>
        <w:ind w:left="2523" w:right="195" w:hanging="2417"/>
        <w:jc w:val="both"/>
        <w:rPr>
          <w:sz w:val="18"/>
        </w:rPr>
      </w:pPr>
      <w:r>
        <w:rPr>
          <w:b/>
          <w:sz w:val="18"/>
        </w:rPr>
        <w:t>重度头部外伤 </w:t>
      </w:r>
      <w:r>
        <w:rPr>
          <w:spacing w:val="-4"/>
          <w:sz w:val="18"/>
        </w:rPr>
        <w:t>指因头部遭受机械性外力，引起脑重要部位损伤，导致神经系统永久性的功能障碍。须由头颅断层扫描（</w:t>
      </w:r>
      <w:r>
        <w:rPr>
          <w:sz w:val="18"/>
        </w:rPr>
        <w:t>C</w:t>
      </w:r>
      <w:r>
        <w:rPr>
          <w:spacing w:val="0"/>
          <w:sz w:val="18"/>
        </w:rPr>
        <w:t>T</w:t>
      </w:r>
      <w:r>
        <w:rPr>
          <w:spacing w:val="-88"/>
          <w:sz w:val="18"/>
        </w:rPr>
        <w:t>）</w:t>
      </w:r>
      <w:r>
        <w:rPr>
          <w:sz w:val="18"/>
        </w:rPr>
        <w:t>、核磁共振检查</w:t>
      </w:r>
      <w:r>
        <w:rPr>
          <w:spacing w:val="0"/>
          <w:sz w:val="18"/>
        </w:rPr>
        <w:t>（</w:t>
      </w:r>
      <w:r>
        <w:rPr>
          <w:sz w:val="18"/>
        </w:rPr>
        <w:t>MR</w:t>
      </w:r>
      <w:r>
        <w:rPr>
          <w:spacing w:val="0"/>
          <w:sz w:val="18"/>
        </w:rPr>
        <w:t>I）</w:t>
      </w:r>
      <w:r>
        <w:rPr>
          <w:sz w:val="18"/>
        </w:rPr>
        <w:t>或正电子发射断层扫描</w:t>
      </w:r>
      <w:r>
        <w:rPr>
          <w:spacing w:val="0"/>
          <w:sz w:val="18"/>
        </w:rPr>
        <w:t>（</w:t>
      </w:r>
      <w:r>
        <w:rPr>
          <w:sz w:val="18"/>
        </w:rPr>
        <w:t>PE</w:t>
      </w:r>
      <w:r>
        <w:rPr>
          <w:spacing w:val="0"/>
          <w:sz w:val="18"/>
        </w:rPr>
        <w:t>T）</w:t>
      </w:r>
      <w:r>
        <w:rPr>
          <w:sz w:val="18"/>
        </w:rPr>
        <w:t>等影像学检查证实。神经系统永</w:t>
      </w:r>
      <w:r>
        <w:rPr>
          <w:spacing w:val="-8"/>
          <w:sz w:val="18"/>
        </w:rPr>
        <w:t>久性的功能障碍，指脑损伤 </w:t>
      </w:r>
      <w:r>
        <w:rPr>
          <w:sz w:val="18"/>
        </w:rPr>
        <w:t>180</w:t>
      </w:r>
      <w:r>
        <w:rPr>
          <w:spacing w:val="-7"/>
          <w:sz w:val="18"/>
        </w:rPr>
        <w:t> 天后，仍完全丧失自主生活能力，虽未达到重大疾病“严重脑损伤”的给付标准，但无法独立完成六项基本日常生活活动中的二项。</w:t>
      </w:r>
    </w:p>
    <w:p>
      <w:pPr>
        <w:pStyle w:val="BodyText"/>
        <w:spacing w:before="0"/>
      </w:pPr>
    </w:p>
    <w:p>
      <w:pPr>
        <w:pStyle w:val="BodyText"/>
        <w:spacing w:before="0"/>
      </w:pPr>
    </w:p>
    <w:p>
      <w:pPr>
        <w:pStyle w:val="BodyText"/>
        <w:spacing w:before="0"/>
      </w:pPr>
    </w:p>
    <w:p>
      <w:pPr>
        <w:pStyle w:val="BodyText"/>
        <w:spacing w:before="12"/>
      </w:pPr>
    </w:p>
    <w:p>
      <w:pPr>
        <w:pStyle w:val="Heading3"/>
        <w:spacing w:before="0"/>
        <w:ind w:left="4320" w:right="3992" w:firstLine="0"/>
        <w:jc w:val="center"/>
      </w:pPr>
      <w:r>
        <w:rPr>
          <w:w w:val="95"/>
        </w:rPr>
        <w:t>附表二：重大疾病说明</w:t>
      </w:r>
    </w:p>
    <w:p>
      <w:pPr>
        <w:pStyle w:val="BodyText"/>
        <w:spacing w:before="0"/>
        <w:rPr>
          <w:b/>
        </w:rPr>
      </w:pPr>
    </w:p>
    <w:p>
      <w:pPr>
        <w:spacing w:before="121"/>
        <w:ind w:left="224" w:right="0" w:firstLine="0"/>
        <w:jc w:val="left"/>
        <w:rPr>
          <w:b/>
          <w:sz w:val="18"/>
        </w:rPr>
      </w:pPr>
      <w:r>
        <w:rPr>
          <w:b/>
          <w:w w:val="95"/>
          <w:sz w:val="18"/>
        </w:rPr>
        <w:t>重大疾病：指下列疾病或手术之一</w:t>
      </w:r>
    </w:p>
    <w:p>
      <w:pPr>
        <w:pStyle w:val="BodyText"/>
        <w:spacing w:before="2"/>
        <w:rPr>
          <w:b/>
          <w:sz w:val="26"/>
        </w:rPr>
      </w:pPr>
    </w:p>
    <w:p>
      <w:pPr>
        <w:spacing w:line="302" w:lineRule="auto" w:before="1"/>
        <w:ind w:left="224" w:right="236" w:firstLine="0"/>
        <w:jc w:val="left"/>
        <w:rPr>
          <w:b/>
          <w:i/>
          <w:sz w:val="19"/>
        </w:rPr>
      </w:pPr>
      <w:r>
        <w:rPr>
          <w:b/>
          <w:i/>
          <w:w w:val="95"/>
          <w:sz w:val="19"/>
        </w:rPr>
        <w:t>被保险人发生符合前 25 种疾病（特指定义在中国保险行业协会《重大疾病保险的疾病定义使用规范》中的重大疾病）定义所述条件的重大疾病，须由专科医生（注 1）明确诊断。</w:t>
      </w:r>
    </w:p>
    <w:p>
      <w:pPr>
        <w:pStyle w:val="BodyText"/>
        <w:spacing w:before="4"/>
        <w:rPr>
          <w:b/>
          <w:i/>
          <w:sz w:val="23"/>
        </w:rPr>
      </w:pPr>
    </w:p>
    <w:p>
      <w:pPr>
        <w:pStyle w:val="ListParagraph"/>
        <w:numPr>
          <w:ilvl w:val="0"/>
          <w:numId w:val="19"/>
        </w:numPr>
        <w:tabs>
          <w:tab w:pos="527" w:val="left" w:leader="none"/>
          <w:tab w:pos="2523" w:val="left" w:leader="none"/>
        </w:tabs>
        <w:spacing w:line="316" w:lineRule="auto" w:before="0" w:after="8"/>
        <w:ind w:left="2523" w:right="197" w:hanging="2417"/>
        <w:jc w:val="both"/>
        <w:rPr>
          <w:sz w:val="18"/>
        </w:rPr>
      </w:pPr>
      <w:r>
        <w:rPr>
          <w:b/>
          <w:sz w:val="18"/>
        </w:rPr>
        <w:t>恶性肿瘤</w:t>
        <w:tab/>
      </w:r>
      <w:r>
        <w:rPr>
          <w:sz w:val="18"/>
        </w:rPr>
        <w:t>指恶性细胞不受控制的进行性增长和扩散</w:t>
      </w:r>
      <w:r>
        <w:rPr>
          <w:spacing w:val="-14"/>
          <w:sz w:val="18"/>
        </w:rPr>
        <w:t>，</w:t>
      </w:r>
      <w:r>
        <w:rPr>
          <w:sz w:val="18"/>
        </w:rPr>
        <w:t>浸润和破坏周围正常组织</w:t>
      </w:r>
      <w:r>
        <w:rPr>
          <w:spacing w:val="-14"/>
          <w:sz w:val="18"/>
        </w:rPr>
        <w:t>，</w:t>
      </w:r>
      <w:r>
        <w:rPr>
          <w:sz w:val="18"/>
        </w:rPr>
        <w:t>可以经血管</w:t>
      </w:r>
      <w:r>
        <w:rPr>
          <w:spacing w:val="-14"/>
          <w:sz w:val="18"/>
        </w:rPr>
        <w:t>、</w:t>
      </w:r>
      <w:r>
        <w:rPr>
          <w:sz w:val="18"/>
        </w:rPr>
        <w:t>淋巴管和体腔扩散转移到身体其它部位的疾病</w:t>
      </w:r>
      <w:r>
        <w:rPr>
          <w:spacing w:val="-20"/>
          <w:sz w:val="18"/>
        </w:rPr>
        <w:t>。</w:t>
      </w:r>
      <w:r>
        <w:rPr>
          <w:sz w:val="18"/>
        </w:rPr>
        <w:t>经病理学检查结果明确诊断</w:t>
      </w:r>
      <w:r>
        <w:rPr>
          <w:spacing w:val="-20"/>
          <w:sz w:val="18"/>
        </w:rPr>
        <w:t>，</w:t>
      </w:r>
      <w:r>
        <w:rPr>
          <w:sz w:val="18"/>
        </w:rPr>
        <w:t>临床诊断属于世界卫生组织《疾病和有关健康问题的国际统计分类</w:t>
      </w:r>
      <w:r>
        <w:rPr>
          <w:spacing w:val="-90"/>
          <w:sz w:val="18"/>
        </w:rPr>
        <w:t>》</w:t>
      </w:r>
      <w:r>
        <w:rPr>
          <w:sz w:val="18"/>
        </w:rPr>
        <w:t>（ICD-10）的恶性肿瘤范畴。</w:t>
      </w:r>
    </w:p>
    <w:tbl>
      <w:tblPr>
        <w:tblW w:w="0" w:type="auto"/>
        <w:jc w:val="left"/>
        <w:tblInd w:w="25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0"/>
        <w:gridCol w:w="3419"/>
        <w:gridCol w:w="360"/>
        <w:gridCol w:w="2483"/>
      </w:tblGrid>
      <w:tr>
        <w:trPr>
          <w:trHeight w:val="293" w:hRule="atLeast"/>
        </w:trPr>
        <w:tc>
          <w:tcPr>
            <w:tcW w:w="7342" w:type="dxa"/>
            <w:gridSpan w:val="4"/>
            <w:shd w:val="clear" w:color="auto" w:fill="C0C0C0"/>
          </w:tcPr>
          <w:p>
            <w:pPr>
              <w:pStyle w:val="TableParagraph"/>
              <w:spacing w:before="10"/>
              <w:rPr>
                <w:sz w:val="18"/>
              </w:rPr>
            </w:pPr>
            <w:r>
              <w:rPr>
                <w:sz w:val="18"/>
              </w:rPr>
              <w:t>下列疾病不在保障范围内：</w:t>
            </w:r>
          </w:p>
        </w:tc>
      </w:tr>
      <w:tr>
        <w:trPr>
          <w:trHeight w:val="289" w:hRule="atLeast"/>
        </w:trPr>
        <w:tc>
          <w:tcPr>
            <w:tcW w:w="1080" w:type="dxa"/>
            <w:tcBorders>
              <w:bottom w:val="single" w:sz="18" w:space="0" w:color="FFFFFF"/>
            </w:tcBorders>
            <w:shd w:val="clear" w:color="auto" w:fill="C0C0C0"/>
          </w:tcPr>
          <w:p>
            <w:pPr>
              <w:pStyle w:val="TableParagraph"/>
              <w:spacing w:before="29"/>
              <w:ind w:right="-15"/>
              <w:rPr>
                <w:sz w:val="18"/>
              </w:rPr>
            </w:pPr>
            <w:r>
              <w:rPr>
                <w:sz w:val="18"/>
              </w:rPr>
              <w:t>(1) 原位癌；</w:t>
            </w:r>
          </w:p>
        </w:tc>
        <w:tc>
          <w:tcPr>
            <w:tcW w:w="6262" w:type="dxa"/>
            <w:gridSpan w:val="3"/>
            <w:tcBorders>
              <w:bottom w:val="single" w:sz="18" w:space="0" w:color="FFFFFF"/>
            </w:tcBorders>
          </w:tcPr>
          <w:p>
            <w:pPr>
              <w:pStyle w:val="TableParagraph"/>
              <w:rPr>
                <w:rFonts w:ascii="Times New Roman"/>
                <w:sz w:val="18"/>
              </w:rPr>
            </w:pPr>
          </w:p>
        </w:tc>
      </w:tr>
      <w:tr>
        <w:trPr>
          <w:trHeight w:val="289" w:hRule="atLeast"/>
        </w:trPr>
        <w:tc>
          <w:tcPr>
            <w:tcW w:w="4859" w:type="dxa"/>
            <w:gridSpan w:val="3"/>
            <w:tcBorders>
              <w:top w:val="single" w:sz="18" w:space="0" w:color="FFFFFF"/>
            </w:tcBorders>
            <w:shd w:val="clear" w:color="auto" w:fill="C0C0C0"/>
          </w:tcPr>
          <w:p>
            <w:pPr>
              <w:pStyle w:val="TableParagraph"/>
              <w:spacing w:before="6"/>
              <w:rPr>
                <w:sz w:val="18"/>
              </w:rPr>
            </w:pPr>
            <w:r>
              <w:rPr>
                <w:sz w:val="18"/>
              </w:rPr>
              <w:t>(2)</w:t>
            </w:r>
            <w:r>
              <w:rPr>
                <w:spacing w:val="10"/>
                <w:sz w:val="18"/>
              </w:rPr>
              <w:t> 相当于</w:t>
            </w:r>
            <w:r>
              <w:rPr>
                <w:sz w:val="18"/>
              </w:rPr>
              <w:t>Binet</w:t>
            </w:r>
            <w:r>
              <w:rPr>
                <w:spacing w:val="-1"/>
                <w:sz w:val="18"/>
              </w:rPr>
              <w:t> 分期方案</w:t>
            </w:r>
            <w:r>
              <w:rPr>
                <w:sz w:val="18"/>
              </w:rPr>
              <w:t>A</w:t>
            </w:r>
            <w:r>
              <w:rPr>
                <w:spacing w:val="-7"/>
                <w:sz w:val="18"/>
              </w:rPr>
              <w:t> 期程度的慢性淋巴细胞白血病；</w:t>
            </w:r>
          </w:p>
        </w:tc>
        <w:tc>
          <w:tcPr>
            <w:tcW w:w="2483" w:type="dxa"/>
            <w:tcBorders>
              <w:top w:val="single" w:sz="18" w:space="0" w:color="FFFFFF"/>
            </w:tcBorders>
          </w:tcPr>
          <w:p>
            <w:pPr>
              <w:pStyle w:val="TableParagraph"/>
              <w:rPr>
                <w:rFonts w:ascii="Times New Roman"/>
                <w:sz w:val="18"/>
              </w:rPr>
            </w:pPr>
          </w:p>
        </w:tc>
      </w:tr>
      <w:tr>
        <w:trPr>
          <w:trHeight w:val="293" w:hRule="atLeast"/>
        </w:trPr>
        <w:tc>
          <w:tcPr>
            <w:tcW w:w="4499" w:type="dxa"/>
            <w:gridSpan w:val="2"/>
            <w:shd w:val="clear" w:color="auto" w:fill="C0C0C0"/>
          </w:tcPr>
          <w:p>
            <w:pPr>
              <w:pStyle w:val="TableParagraph"/>
              <w:spacing w:before="29"/>
              <w:rPr>
                <w:sz w:val="18"/>
              </w:rPr>
            </w:pPr>
            <w:r>
              <w:rPr>
                <w:sz w:val="18"/>
              </w:rPr>
              <w:t>(3)</w:t>
            </w:r>
            <w:r>
              <w:rPr>
                <w:spacing w:val="10"/>
                <w:sz w:val="18"/>
              </w:rPr>
              <w:t> 相当于</w:t>
            </w:r>
            <w:r>
              <w:rPr>
                <w:sz w:val="18"/>
              </w:rPr>
              <w:t>Ann Arbor</w:t>
            </w:r>
            <w:r>
              <w:rPr>
                <w:spacing w:val="-1"/>
                <w:sz w:val="18"/>
              </w:rPr>
              <w:t> 分期方案</w:t>
            </w:r>
            <w:r>
              <w:rPr>
                <w:sz w:val="18"/>
              </w:rPr>
              <w:t>I</w:t>
            </w:r>
            <w:r>
              <w:rPr>
                <w:spacing w:val="-7"/>
                <w:sz w:val="18"/>
              </w:rPr>
              <w:t> 期程度的何杰金氏病；</w:t>
            </w:r>
          </w:p>
        </w:tc>
        <w:tc>
          <w:tcPr>
            <w:tcW w:w="2843" w:type="dxa"/>
            <w:gridSpan w:val="2"/>
          </w:tcPr>
          <w:p>
            <w:pPr>
              <w:pStyle w:val="TableParagraph"/>
              <w:rPr>
                <w:rFonts w:ascii="Times New Roman"/>
                <w:sz w:val="18"/>
              </w:rPr>
            </w:pPr>
          </w:p>
        </w:tc>
      </w:tr>
    </w:tbl>
    <w:p>
      <w:pPr>
        <w:spacing w:after="0"/>
        <w:rPr>
          <w:rFonts w:ascii="Times New Roman"/>
          <w:sz w:val="18"/>
        </w:rPr>
        <w:sectPr>
          <w:pgSz w:w="11910" w:h="16840"/>
          <w:pgMar w:header="877" w:footer="981" w:top="1100" w:bottom="1180" w:left="1080" w:right="760"/>
        </w:sectPr>
      </w:pPr>
    </w:p>
    <w:p>
      <w:pPr>
        <w:pStyle w:val="BodyText"/>
        <w:spacing w:before="3"/>
        <w:rPr>
          <w:sz w:val="20"/>
        </w:rPr>
      </w:pPr>
    </w:p>
    <w:p>
      <w:pPr>
        <w:pStyle w:val="BodyText"/>
        <w:spacing w:line="316" w:lineRule="auto" w:before="44"/>
        <w:ind w:left="2523" w:right="2688"/>
      </w:pPr>
      <w:r>
        <w:rPr>
          <w:shd w:fill="C0C0C0" w:color="auto" w:val="clear"/>
        </w:rPr>
        <w:t>(4) 皮肤癌（不包括恶性黑色素瘤及已发生转移的皮肤癌</w:t>
      </w:r>
      <w:r>
        <w:rPr>
          <w:spacing w:val="-90"/>
          <w:shd w:fill="C0C0C0" w:color="auto" w:val="clear"/>
        </w:rPr>
        <w:t>）</w:t>
      </w:r>
      <w:r>
        <w:rPr>
          <w:shd w:fill="C0C0C0" w:color="auto" w:val="clear"/>
        </w:rPr>
        <w:t>；</w:t>
      </w:r>
      <w:r>
        <w:rPr/>
        <w:t> </w:t>
      </w:r>
      <w:r>
        <w:rPr>
          <w:position w:val="1"/>
          <w:shd w:fill="C0C0C0" w:color="auto" w:val="clear"/>
        </w:rPr>
        <w:t>(5</w:t>
      </w:r>
      <w:r>
        <w:rPr>
          <w:spacing w:val="-1"/>
          <w:position w:val="1"/>
          <w:shd w:fill="C0C0C0" w:color="auto" w:val="clear"/>
        </w:rPr>
        <w:t>) </w:t>
      </w:r>
      <w:r>
        <w:rPr>
          <w:position w:val="1"/>
          <w:shd w:fill="C0C0C0" w:color="auto" w:val="clear"/>
        </w:rPr>
        <w:t>TNM</w:t>
      </w:r>
      <w:r>
        <w:rPr>
          <w:spacing w:val="-2"/>
          <w:position w:val="1"/>
          <w:shd w:fill="C0C0C0" w:color="auto" w:val="clear"/>
        </w:rPr>
        <w:t> 分期为</w:t>
      </w:r>
      <w:r>
        <w:rPr>
          <w:position w:val="1"/>
          <w:shd w:fill="C0C0C0" w:color="auto" w:val="clear"/>
        </w:rPr>
        <w:t>T</w:t>
      </w:r>
      <w:r>
        <w:rPr>
          <w:sz w:val="9"/>
        </w:rPr>
        <w:t>1</w:t>
      </w:r>
      <w:r>
        <w:rPr>
          <w:position w:val="1"/>
          <w:shd w:fill="C0C0C0" w:color="auto" w:val="clear"/>
        </w:rPr>
        <w:t>N</w:t>
      </w:r>
      <w:r>
        <w:rPr>
          <w:sz w:val="9"/>
        </w:rPr>
        <w:t>0</w:t>
      </w:r>
      <w:r>
        <w:rPr>
          <w:position w:val="1"/>
          <w:shd w:fill="C0C0C0" w:color="auto" w:val="clear"/>
        </w:rPr>
        <w:t>M</w:t>
      </w:r>
      <w:r>
        <w:rPr>
          <w:sz w:val="9"/>
        </w:rPr>
        <w:t>0</w:t>
      </w:r>
      <w:r>
        <w:rPr>
          <w:position w:val="1"/>
          <w:sz w:val="9"/>
        </w:rPr>
        <w:t> </w:t>
      </w:r>
      <w:r>
        <w:rPr>
          <w:position w:val="1"/>
          <w:shd w:fill="C0C0C0" w:color="auto" w:val="clear"/>
        </w:rPr>
        <w:t>期或更轻分期的前列腺癌。</w:t>
      </w:r>
    </w:p>
    <w:p>
      <w:pPr>
        <w:pStyle w:val="BodyText"/>
        <w:spacing w:before="9"/>
      </w:pPr>
    </w:p>
    <w:p>
      <w:pPr>
        <w:pStyle w:val="ListParagraph"/>
        <w:numPr>
          <w:ilvl w:val="0"/>
          <w:numId w:val="19"/>
        </w:numPr>
        <w:tabs>
          <w:tab w:pos="526" w:val="left" w:leader="none"/>
          <w:tab w:pos="527" w:val="left" w:leader="none"/>
          <w:tab w:pos="2523" w:val="left" w:leader="none"/>
        </w:tabs>
        <w:spacing w:line="240" w:lineRule="auto" w:before="1" w:after="0"/>
        <w:ind w:left="2523" w:right="0" w:hanging="2417"/>
        <w:jc w:val="left"/>
        <w:rPr>
          <w:sz w:val="18"/>
        </w:rPr>
      </w:pPr>
      <w:r>
        <w:rPr>
          <w:b/>
          <w:sz w:val="18"/>
        </w:rPr>
        <w:t>急性心肌梗塞</w:t>
        <w:tab/>
      </w:r>
      <w:r>
        <w:rPr>
          <w:sz w:val="18"/>
        </w:rPr>
        <w:t>指因冠状动脉阻塞导致的相应区域供血不足造成部分心肌坏死。须满足下列至少三项条件：</w:t>
      </w:r>
    </w:p>
    <w:p>
      <w:pPr>
        <w:pStyle w:val="ListParagraph"/>
        <w:numPr>
          <w:ilvl w:val="1"/>
          <w:numId w:val="19"/>
        </w:numPr>
        <w:tabs>
          <w:tab w:pos="2884" w:val="left" w:leader="none"/>
        </w:tabs>
        <w:spacing w:line="240" w:lineRule="auto" w:before="76" w:after="0"/>
        <w:ind w:left="2883" w:right="0" w:hanging="360"/>
        <w:jc w:val="left"/>
        <w:rPr>
          <w:sz w:val="18"/>
        </w:rPr>
      </w:pPr>
      <w:r>
        <w:rPr>
          <w:sz w:val="18"/>
        </w:rPr>
        <w:t>典型临床表现，例如急性胸痛等；</w:t>
      </w:r>
    </w:p>
    <w:p>
      <w:pPr>
        <w:pStyle w:val="ListParagraph"/>
        <w:numPr>
          <w:ilvl w:val="1"/>
          <w:numId w:val="19"/>
        </w:numPr>
        <w:tabs>
          <w:tab w:pos="2884" w:val="left" w:leader="none"/>
        </w:tabs>
        <w:spacing w:line="240" w:lineRule="auto" w:before="76" w:after="0"/>
        <w:ind w:left="2883" w:right="0" w:hanging="360"/>
        <w:jc w:val="left"/>
        <w:rPr>
          <w:sz w:val="18"/>
        </w:rPr>
      </w:pPr>
      <w:r>
        <w:rPr>
          <w:sz w:val="18"/>
        </w:rPr>
        <w:t>新近的心电图改变提示急性心肌梗塞；</w:t>
      </w:r>
    </w:p>
    <w:p>
      <w:pPr>
        <w:pStyle w:val="ListParagraph"/>
        <w:numPr>
          <w:ilvl w:val="1"/>
          <w:numId w:val="19"/>
        </w:numPr>
        <w:tabs>
          <w:tab w:pos="2884" w:val="left" w:leader="none"/>
        </w:tabs>
        <w:spacing w:line="240" w:lineRule="auto" w:before="76" w:after="0"/>
        <w:ind w:left="2883" w:right="0" w:hanging="360"/>
        <w:jc w:val="left"/>
        <w:rPr>
          <w:sz w:val="18"/>
        </w:rPr>
      </w:pPr>
      <w:r>
        <w:rPr>
          <w:sz w:val="18"/>
        </w:rPr>
        <w:t>心肌酶或肌钙蛋白有诊断意义的升高，或呈符合急性心肌梗塞的动态性变化；</w:t>
      </w:r>
    </w:p>
    <w:p>
      <w:pPr>
        <w:pStyle w:val="ListParagraph"/>
        <w:numPr>
          <w:ilvl w:val="1"/>
          <w:numId w:val="19"/>
        </w:numPr>
        <w:tabs>
          <w:tab w:pos="2884" w:val="left" w:leader="none"/>
        </w:tabs>
        <w:spacing w:line="240" w:lineRule="auto" w:before="76" w:after="0"/>
        <w:ind w:left="2883" w:right="0" w:hanging="360"/>
        <w:jc w:val="left"/>
        <w:rPr>
          <w:sz w:val="18"/>
        </w:rPr>
      </w:pPr>
      <w:r>
        <w:rPr>
          <w:spacing w:val="-16"/>
          <w:sz w:val="18"/>
        </w:rPr>
        <w:t>发病 </w:t>
      </w:r>
      <w:r>
        <w:rPr>
          <w:sz w:val="18"/>
        </w:rPr>
        <w:t>90</w:t>
      </w:r>
      <w:r>
        <w:rPr>
          <w:spacing w:val="-9"/>
          <w:sz w:val="18"/>
        </w:rPr>
        <w:t> 天后，经检查证实左心室功能降低，如左心室射血分数低于 </w:t>
      </w:r>
      <w:r>
        <w:rPr>
          <w:sz w:val="18"/>
        </w:rPr>
        <w:t>50%。</w:t>
      </w:r>
    </w:p>
    <w:p>
      <w:pPr>
        <w:pStyle w:val="BodyText"/>
        <w:spacing w:before="2"/>
        <w:rPr>
          <w:sz w:val="23"/>
        </w:rPr>
      </w:pPr>
    </w:p>
    <w:p>
      <w:pPr>
        <w:pStyle w:val="ListParagraph"/>
        <w:numPr>
          <w:ilvl w:val="0"/>
          <w:numId w:val="19"/>
        </w:numPr>
        <w:tabs>
          <w:tab w:pos="526" w:val="left" w:leader="none"/>
          <w:tab w:pos="527" w:val="left" w:leader="none"/>
          <w:tab w:pos="2523" w:val="left" w:leader="none"/>
        </w:tabs>
        <w:spacing w:line="316" w:lineRule="auto" w:before="0" w:after="0"/>
        <w:ind w:left="2523" w:right="118" w:hanging="2417"/>
        <w:jc w:val="left"/>
        <w:rPr>
          <w:sz w:val="18"/>
        </w:rPr>
      </w:pPr>
      <w:r>
        <w:rPr>
          <w:b/>
          <w:sz w:val="18"/>
        </w:rPr>
        <w:t>脑中风后遗症</w:t>
        <w:tab/>
      </w:r>
      <w:r>
        <w:rPr>
          <w:sz w:val="18"/>
        </w:rPr>
        <w:t>指因脑血管的突发病变引起脑血管出血</w:t>
      </w:r>
      <w:r>
        <w:rPr>
          <w:spacing w:val="-14"/>
          <w:sz w:val="18"/>
        </w:rPr>
        <w:t>、</w:t>
      </w:r>
      <w:r>
        <w:rPr>
          <w:sz w:val="18"/>
        </w:rPr>
        <w:t>栓塞或梗塞</w:t>
      </w:r>
      <w:r>
        <w:rPr>
          <w:spacing w:val="-14"/>
          <w:sz w:val="18"/>
        </w:rPr>
        <w:t>，</w:t>
      </w:r>
      <w:r>
        <w:rPr>
          <w:sz w:val="18"/>
        </w:rPr>
        <w:t>并导致神经系统永久性功能障碍</w:t>
      </w:r>
      <w:r>
        <w:rPr>
          <w:spacing w:val="-14"/>
          <w:sz w:val="18"/>
        </w:rPr>
        <w:t>。</w:t>
      </w:r>
      <w:r>
        <w:rPr>
          <w:sz w:val="18"/>
        </w:rPr>
        <w:t>神经系统永久性的功能障碍，指疾病确诊</w:t>
      </w:r>
      <w:r>
        <w:rPr>
          <w:spacing w:val="-46"/>
          <w:sz w:val="18"/>
        </w:rPr>
        <w:t> </w:t>
      </w:r>
      <w:r>
        <w:rPr>
          <w:sz w:val="18"/>
        </w:rPr>
        <w:t>180</w:t>
      </w:r>
      <w:r>
        <w:rPr>
          <w:spacing w:val="-45"/>
          <w:sz w:val="18"/>
        </w:rPr>
        <w:t> </w:t>
      </w:r>
      <w:r>
        <w:rPr>
          <w:sz w:val="18"/>
        </w:rPr>
        <w:t>天后，仍遗留下列一种或一种以上障碍：</w:t>
      </w:r>
    </w:p>
    <w:p>
      <w:pPr>
        <w:pStyle w:val="ListParagraph"/>
        <w:numPr>
          <w:ilvl w:val="1"/>
          <w:numId w:val="19"/>
        </w:numPr>
        <w:tabs>
          <w:tab w:pos="2884" w:val="left" w:leader="none"/>
        </w:tabs>
        <w:spacing w:line="240" w:lineRule="auto" w:before="18" w:after="0"/>
        <w:ind w:left="2829" w:right="0" w:hanging="306"/>
        <w:jc w:val="left"/>
        <w:rPr>
          <w:sz w:val="18"/>
        </w:rPr>
      </w:pPr>
      <w:r>
        <w:rPr>
          <w:sz w:val="18"/>
        </w:rPr>
        <w:t>一肢或一肢以上</w:t>
      </w:r>
      <w:r>
        <w:rPr>
          <w:b/>
          <w:w w:val="99"/>
          <w:sz w:val="18"/>
        </w:rPr>
        <w:t>肢体机能完全丧失</w:t>
      </w:r>
      <w:r>
        <w:rPr>
          <w:spacing w:val="-2"/>
          <w:sz w:val="18"/>
        </w:rPr>
        <w:t>（</w:t>
      </w:r>
      <w:r>
        <w:rPr>
          <w:spacing w:val="-23"/>
          <w:sz w:val="18"/>
        </w:rPr>
        <w:t>注 </w:t>
      </w:r>
      <w:r>
        <w:rPr>
          <w:sz w:val="18"/>
        </w:rPr>
        <w:t>2</w:t>
      </w:r>
      <w:r>
        <w:rPr>
          <w:spacing w:val="-90"/>
          <w:sz w:val="18"/>
        </w:rPr>
        <w:t>）</w:t>
      </w:r>
      <w:r>
        <w:rPr>
          <w:sz w:val="18"/>
        </w:rPr>
        <w:t>；</w:t>
      </w:r>
    </w:p>
    <w:p>
      <w:pPr>
        <w:pStyle w:val="ListParagraph"/>
        <w:numPr>
          <w:ilvl w:val="1"/>
          <w:numId w:val="19"/>
        </w:numPr>
        <w:tabs>
          <w:tab w:pos="2885" w:val="left" w:leader="none"/>
        </w:tabs>
        <w:spacing w:line="240" w:lineRule="auto" w:before="76" w:after="0"/>
        <w:ind w:left="2884" w:right="0" w:hanging="361"/>
        <w:jc w:val="left"/>
        <w:rPr>
          <w:sz w:val="18"/>
        </w:rPr>
      </w:pPr>
      <w:r>
        <w:rPr>
          <w:b/>
          <w:w w:val="99"/>
          <w:sz w:val="18"/>
        </w:rPr>
        <w:t>语言能力或咀嚼吞咽能力完全丧失</w:t>
      </w:r>
      <w:r>
        <w:rPr>
          <w:spacing w:val="-2"/>
          <w:sz w:val="18"/>
        </w:rPr>
        <w:t>（</w:t>
      </w:r>
      <w:r>
        <w:rPr>
          <w:spacing w:val="43"/>
          <w:sz w:val="18"/>
        </w:rPr>
        <w:t>注</w:t>
      </w:r>
      <w:r>
        <w:rPr>
          <w:sz w:val="18"/>
        </w:rPr>
        <w:t>3</w:t>
      </w:r>
      <w:r>
        <w:rPr>
          <w:spacing w:val="-24"/>
          <w:sz w:val="18"/>
        </w:rPr>
        <w:t> 和注 </w:t>
      </w:r>
      <w:r>
        <w:rPr>
          <w:sz w:val="18"/>
        </w:rPr>
        <w:t>4</w:t>
      </w:r>
      <w:r>
        <w:rPr>
          <w:spacing w:val="-91"/>
          <w:sz w:val="18"/>
        </w:rPr>
        <w:t>）</w:t>
      </w:r>
      <w:r>
        <w:rPr>
          <w:sz w:val="18"/>
        </w:rPr>
        <w:t>；</w:t>
      </w:r>
    </w:p>
    <w:p>
      <w:pPr>
        <w:pStyle w:val="ListParagraph"/>
        <w:numPr>
          <w:ilvl w:val="1"/>
          <w:numId w:val="19"/>
        </w:numPr>
        <w:tabs>
          <w:tab w:pos="2884" w:val="left" w:leader="none"/>
        </w:tabs>
        <w:spacing w:line="316" w:lineRule="auto" w:before="76" w:after="0"/>
        <w:ind w:left="2829" w:right="117" w:hanging="306"/>
        <w:jc w:val="left"/>
        <w:rPr>
          <w:sz w:val="18"/>
        </w:rPr>
      </w:pPr>
      <w:r>
        <w:rPr>
          <w:sz w:val="18"/>
        </w:rPr>
        <w:t>自主生活能力完全丧失，无法独立完成</w:t>
      </w:r>
      <w:r>
        <w:rPr>
          <w:b/>
          <w:sz w:val="18"/>
        </w:rPr>
        <w:t>六项基本日常生活活动</w:t>
      </w:r>
      <w:r>
        <w:rPr>
          <w:sz w:val="18"/>
        </w:rPr>
        <w:t>（</w:t>
      </w:r>
      <w:r>
        <w:rPr>
          <w:spacing w:val="-24"/>
          <w:sz w:val="18"/>
        </w:rPr>
        <w:t>注 </w:t>
      </w:r>
      <w:r>
        <w:rPr>
          <w:sz w:val="18"/>
        </w:rPr>
        <w:t>5）中的三项或三项以上。</w:t>
      </w:r>
    </w:p>
    <w:p>
      <w:pPr>
        <w:pStyle w:val="BodyText"/>
        <w:spacing w:before="4"/>
        <w:rPr>
          <w:sz w:val="15"/>
        </w:rPr>
      </w:pPr>
    </w:p>
    <w:p>
      <w:pPr>
        <w:spacing w:after="0"/>
        <w:rPr>
          <w:sz w:val="15"/>
        </w:rPr>
        <w:sectPr>
          <w:pgSz w:w="11910" w:h="16840"/>
          <w:pgMar w:header="877" w:footer="981" w:top="1100" w:bottom="1180" w:left="1080" w:right="840"/>
        </w:sectPr>
      </w:pPr>
    </w:p>
    <w:p>
      <w:pPr>
        <w:pStyle w:val="Heading3"/>
        <w:numPr>
          <w:ilvl w:val="0"/>
          <w:numId w:val="19"/>
        </w:numPr>
        <w:tabs>
          <w:tab w:pos="526" w:val="left" w:leader="none"/>
          <w:tab w:pos="527" w:val="left" w:leader="none"/>
        </w:tabs>
        <w:spacing w:line="316" w:lineRule="auto" w:before="45" w:after="0"/>
        <w:ind w:left="526" w:right="0" w:hanging="420"/>
        <w:jc w:val="left"/>
      </w:pPr>
      <w:r>
        <w:rPr>
          <w:spacing w:val="17"/>
          <w:w w:val="95"/>
        </w:rPr>
        <w:t>重大器官移植术或造</w:t>
      </w:r>
      <w:r>
        <w:rPr>
          <w:w w:val="95"/>
        </w:rPr>
        <w:t>血干细胞移植术</w:t>
      </w:r>
    </w:p>
    <w:p>
      <w:pPr>
        <w:pStyle w:val="BodyText"/>
        <w:spacing w:line="316" w:lineRule="auto" w:before="45"/>
        <w:ind w:left="106" w:right="117"/>
      </w:pPr>
      <w:r>
        <w:rPr/>
        <w:br w:type="column"/>
      </w:r>
      <w:r>
        <w:rPr>
          <w:spacing w:val="-5"/>
        </w:rPr>
        <w:t>重大器官移植术，指因相应器官功能衰竭，已经实施了肾脏、肝脏、心脏或肺脏的异体移植手术。</w:t>
      </w:r>
    </w:p>
    <w:p>
      <w:pPr>
        <w:pStyle w:val="BodyText"/>
        <w:spacing w:line="316" w:lineRule="auto" w:before="19"/>
        <w:ind w:left="106" w:right="71"/>
      </w:pPr>
      <w:r>
        <w:rPr/>
        <w:t>造血干细胞移植术，指因造血功能损害或造血系统恶性肿瘤，已经实施了造血干细胞（包括骨髓造血干细胞、外周血造血干细胞和脐血造血干细胞）的异体移植手术。</w:t>
      </w:r>
    </w:p>
    <w:p>
      <w:pPr>
        <w:spacing w:after="0" w:line="316" w:lineRule="auto"/>
        <w:sectPr>
          <w:type w:val="continuous"/>
          <w:pgSz w:w="11910" w:h="16840"/>
          <w:pgMar w:top="1040" w:bottom="1180" w:left="1080" w:right="840"/>
          <w:cols w:num="2" w:equalWidth="0">
            <w:col w:w="2328" w:space="88"/>
            <w:col w:w="7574"/>
          </w:cols>
        </w:sectPr>
      </w:pPr>
    </w:p>
    <w:p>
      <w:pPr>
        <w:pStyle w:val="BodyText"/>
        <w:spacing w:before="5"/>
        <w:rPr>
          <w:sz w:val="15"/>
        </w:rPr>
      </w:pPr>
    </w:p>
    <w:p>
      <w:pPr>
        <w:pStyle w:val="ListParagraph"/>
        <w:numPr>
          <w:ilvl w:val="0"/>
          <w:numId w:val="19"/>
        </w:numPr>
        <w:tabs>
          <w:tab w:pos="526" w:val="left" w:leader="none"/>
          <w:tab w:pos="527" w:val="left" w:leader="none"/>
          <w:tab w:pos="2523" w:val="left" w:leader="none"/>
        </w:tabs>
        <w:spacing w:line="240" w:lineRule="auto" w:before="44" w:after="0"/>
        <w:ind w:left="2523" w:right="0" w:hanging="2417"/>
        <w:jc w:val="left"/>
        <w:rPr>
          <w:sz w:val="18"/>
        </w:rPr>
      </w:pPr>
      <w:r>
        <w:rPr>
          <w:b/>
          <w:sz w:val="18"/>
        </w:rPr>
        <w:t>冠状动脉搭桥术</w:t>
        <w:tab/>
      </w:r>
      <w:r>
        <w:rPr>
          <w:sz w:val="18"/>
        </w:rPr>
        <w:t>指为治疗严重的冠心病，实际实施了开胸进行的冠状动脉血管旁路移植的手术。</w:t>
      </w:r>
    </w:p>
    <w:p>
      <w:pPr>
        <w:pStyle w:val="BodyText"/>
        <w:spacing w:line="316" w:lineRule="auto"/>
        <w:ind w:left="2523" w:right="80"/>
      </w:pPr>
      <w:r>
        <w:rPr>
          <w:shd w:fill="C0C0C0" w:color="auto" w:val="clear"/>
        </w:rPr>
        <w:t>冠状动脉支架植入术、心导管球囊扩张术、激光射频技术及其它非开胸的介入手术、腔镜手术不在保障范围内。</w:t>
      </w:r>
    </w:p>
    <w:p>
      <w:pPr>
        <w:pStyle w:val="BodyText"/>
        <w:spacing w:before="10"/>
      </w:pPr>
    </w:p>
    <w:p>
      <w:pPr>
        <w:pStyle w:val="ListParagraph"/>
        <w:numPr>
          <w:ilvl w:val="0"/>
          <w:numId w:val="19"/>
        </w:numPr>
        <w:tabs>
          <w:tab w:pos="526" w:val="left" w:leader="none"/>
          <w:tab w:pos="527" w:val="left" w:leader="none"/>
          <w:tab w:pos="2523" w:val="left" w:leader="none"/>
        </w:tabs>
        <w:spacing w:line="316" w:lineRule="auto" w:before="0" w:after="0"/>
        <w:ind w:left="2523" w:right="168" w:hanging="2417"/>
        <w:jc w:val="left"/>
        <w:rPr>
          <w:sz w:val="18"/>
        </w:rPr>
      </w:pPr>
      <w:r>
        <w:rPr>
          <w:b/>
          <w:sz w:val="18"/>
        </w:rPr>
        <w:t>终末期肾病</w:t>
        <w:tab/>
      </w:r>
      <w:r>
        <w:rPr>
          <w:sz w:val="18"/>
        </w:rPr>
        <w:t>指双肾功能慢性不可逆性衰竭，达到尿毒症期，经诊断后已经进行了至少</w:t>
      </w:r>
      <w:r>
        <w:rPr>
          <w:spacing w:val="-46"/>
          <w:sz w:val="18"/>
        </w:rPr>
        <w:t> </w:t>
      </w:r>
      <w:r>
        <w:rPr>
          <w:sz w:val="18"/>
        </w:rPr>
        <w:t>90</w:t>
      </w:r>
      <w:r>
        <w:rPr>
          <w:spacing w:val="-46"/>
          <w:sz w:val="18"/>
        </w:rPr>
        <w:t> </w:t>
      </w:r>
      <w:r>
        <w:rPr>
          <w:sz w:val="18"/>
        </w:rPr>
        <w:t>天的规律性透析治疗或实施了肾脏移植手术。</w:t>
      </w:r>
    </w:p>
    <w:p>
      <w:pPr>
        <w:pStyle w:val="BodyText"/>
        <w:spacing w:before="11"/>
      </w:pPr>
    </w:p>
    <w:p>
      <w:pPr>
        <w:pStyle w:val="ListParagraph"/>
        <w:numPr>
          <w:ilvl w:val="0"/>
          <w:numId w:val="19"/>
        </w:numPr>
        <w:tabs>
          <w:tab w:pos="526" w:val="left" w:leader="none"/>
          <w:tab w:pos="527" w:val="left" w:leader="none"/>
          <w:tab w:pos="2523" w:val="left" w:leader="none"/>
        </w:tabs>
        <w:spacing w:line="316" w:lineRule="auto" w:before="0" w:after="0"/>
        <w:ind w:left="2523" w:right="117" w:hanging="2417"/>
        <w:jc w:val="left"/>
        <w:rPr>
          <w:sz w:val="18"/>
        </w:rPr>
      </w:pPr>
      <w:r>
        <w:rPr>
          <w:b/>
          <w:sz w:val="18"/>
        </w:rPr>
        <w:t>多个肢体缺失</w:t>
        <w:tab/>
      </w:r>
      <w:r>
        <w:rPr>
          <w:sz w:val="18"/>
        </w:rPr>
        <w:t>指因疾病或意外伤害导致两个或两个以上肢体自腕关节或踝关节近</w:t>
      </w:r>
      <w:r>
        <w:rPr>
          <w:spacing w:val="-20"/>
          <w:sz w:val="18"/>
        </w:rPr>
        <w:t>端</w:t>
      </w:r>
      <w:r>
        <w:rPr>
          <w:sz w:val="18"/>
        </w:rPr>
        <w:t>（靠近躯干端</w:t>
      </w:r>
      <w:r>
        <w:rPr>
          <w:spacing w:val="-20"/>
          <w:sz w:val="18"/>
        </w:rPr>
        <w:t>）</w:t>
      </w:r>
      <w:r>
        <w:rPr>
          <w:sz w:val="18"/>
        </w:rPr>
        <w:t>以上完全性断离。</w:t>
      </w:r>
    </w:p>
    <w:p>
      <w:pPr>
        <w:pStyle w:val="BodyText"/>
        <w:spacing w:before="4"/>
        <w:rPr>
          <w:sz w:val="15"/>
        </w:rPr>
      </w:pPr>
    </w:p>
    <w:p>
      <w:pPr>
        <w:spacing w:after="0"/>
        <w:rPr>
          <w:sz w:val="15"/>
        </w:rPr>
        <w:sectPr>
          <w:type w:val="continuous"/>
          <w:pgSz w:w="11910" w:h="16840"/>
          <w:pgMar w:top="1040" w:bottom="1180" w:left="1080" w:right="840"/>
        </w:sectPr>
      </w:pPr>
    </w:p>
    <w:p>
      <w:pPr>
        <w:pStyle w:val="Heading3"/>
        <w:numPr>
          <w:ilvl w:val="0"/>
          <w:numId w:val="19"/>
        </w:numPr>
        <w:tabs>
          <w:tab w:pos="526" w:val="left" w:leader="none"/>
          <w:tab w:pos="527" w:val="left" w:leader="none"/>
        </w:tabs>
        <w:spacing w:line="316" w:lineRule="auto" w:before="45" w:after="0"/>
        <w:ind w:left="526" w:right="0" w:hanging="420"/>
        <w:jc w:val="left"/>
      </w:pPr>
      <w:r>
        <w:rPr>
          <w:spacing w:val="17"/>
          <w:w w:val="95"/>
        </w:rPr>
        <w:t>急性或亚急性重症肝</w:t>
      </w:r>
      <w:r>
        <w:rPr/>
        <w:t>炎</w:t>
      </w:r>
    </w:p>
    <w:p>
      <w:pPr>
        <w:pStyle w:val="BodyText"/>
        <w:spacing w:line="316" w:lineRule="auto" w:before="45"/>
        <w:ind w:left="106" w:right="62"/>
      </w:pPr>
      <w:r>
        <w:rPr/>
        <w:br w:type="column"/>
      </w:r>
      <w:r>
        <w:rPr/>
        <w:t>指因肝炎病毒感染引起肝脏组织弥漫性坏死，导致急性肝功能衰竭，且经血清学或病毒学检查证实，并须满足下列全部条件：</w:t>
      </w:r>
    </w:p>
    <w:p>
      <w:pPr>
        <w:pStyle w:val="ListParagraph"/>
        <w:numPr>
          <w:ilvl w:val="0"/>
          <w:numId w:val="20"/>
        </w:numPr>
        <w:tabs>
          <w:tab w:pos="505" w:val="left" w:leader="none"/>
        </w:tabs>
        <w:spacing w:line="240" w:lineRule="auto" w:before="18" w:after="0"/>
        <w:ind w:left="504" w:right="0" w:hanging="398"/>
        <w:jc w:val="left"/>
        <w:rPr>
          <w:sz w:val="18"/>
        </w:rPr>
      </w:pPr>
      <w:r>
        <w:rPr>
          <w:sz w:val="18"/>
        </w:rPr>
        <w:t>重度黄疸或黄疸迅速加重；</w:t>
      </w:r>
    </w:p>
    <w:p>
      <w:pPr>
        <w:pStyle w:val="ListParagraph"/>
        <w:numPr>
          <w:ilvl w:val="0"/>
          <w:numId w:val="20"/>
        </w:numPr>
        <w:tabs>
          <w:tab w:pos="505" w:val="left" w:leader="none"/>
        </w:tabs>
        <w:spacing w:line="240" w:lineRule="auto" w:before="76" w:after="0"/>
        <w:ind w:left="504" w:right="0" w:hanging="398"/>
        <w:jc w:val="left"/>
        <w:rPr>
          <w:sz w:val="18"/>
        </w:rPr>
      </w:pPr>
      <w:r>
        <w:rPr>
          <w:sz w:val="18"/>
        </w:rPr>
        <w:t>肝性脑病；</w:t>
      </w:r>
    </w:p>
    <w:p>
      <w:pPr>
        <w:pStyle w:val="ListParagraph"/>
        <w:numPr>
          <w:ilvl w:val="0"/>
          <w:numId w:val="20"/>
        </w:numPr>
        <w:tabs>
          <w:tab w:pos="505" w:val="left" w:leader="none"/>
        </w:tabs>
        <w:spacing w:line="240" w:lineRule="auto" w:before="76" w:after="0"/>
        <w:ind w:left="504" w:right="0" w:hanging="398"/>
        <w:jc w:val="left"/>
        <w:rPr>
          <w:sz w:val="18"/>
        </w:rPr>
      </w:pPr>
      <w:r>
        <w:rPr>
          <w:sz w:val="18"/>
        </w:rPr>
        <w:t>B</w:t>
      </w:r>
      <w:r>
        <w:rPr>
          <w:spacing w:val="-7"/>
          <w:sz w:val="18"/>
        </w:rPr>
        <w:t> 超或其他影像学检查显示肝脏体积急速萎缩；</w:t>
      </w:r>
    </w:p>
    <w:p>
      <w:pPr>
        <w:pStyle w:val="ListParagraph"/>
        <w:numPr>
          <w:ilvl w:val="0"/>
          <w:numId w:val="20"/>
        </w:numPr>
        <w:tabs>
          <w:tab w:pos="467" w:val="left" w:leader="none"/>
        </w:tabs>
        <w:spacing w:line="240" w:lineRule="auto" w:before="76" w:after="0"/>
        <w:ind w:left="466" w:right="0" w:hanging="360"/>
        <w:jc w:val="left"/>
        <w:rPr>
          <w:sz w:val="18"/>
        </w:rPr>
      </w:pPr>
      <w:r>
        <w:rPr>
          <w:sz w:val="18"/>
        </w:rPr>
        <w:t>肝功能指标进行性恶化。</w:t>
      </w:r>
    </w:p>
    <w:p>
      <w:pPr>
        <w:spacing w:after="0" w:line="240" w:lineRule="auto"/>
        <w:jc w:val="left"/>
        <w:rPr>
          <w:sz w:val="18"/>
        </w:rPr>
        <w:sectPr>
          <w:type w:val="continuous"/>
          <w:pgSz w:w="11910" w:h="16840"/>
          <w:pgMar w:top="1040" w:bottom="1180" w:left="1080" w:right="840"/>
          <w:cols w:num="2" w:equalWidth="0">
            <w:col w:w="2328" w:space="88"/>
            <w:col w:w="7574"/>
          </w:cols>
        </w:sectPr>
      </w:pPr>
    </w:p>
    <w:p>
      <w:pPr>
        <w:pStyle w:val="BodyText"/>
        <w:spacing w:before="10"/>
        <w:rPr>
          <w:sz w:val="19"/>
        </w:rPr>
      </w:pPr>
    </w:p>
    <w:p>
      <w:pPr>
        <w:pStyle w:val="ListParagraph"/>
        <w:numPr>
          <w:ilvl w:val="0"/>
          <w:numId w:val="19"/>
        </w:numPr>
        <w:tabs>
          <w:tab w:pos="527" w:val="left" w:leader="none"/>
          <w:tab w:pos="2523" w:val="left" w:leader="none"/>
        </w:tabs>
        <w:spacing w:line="316" w:lineRule="auto" w:before="45" w:after="0"/>
        <w:ind w:left="2523" w:right="115" w:hanging="2417"/>
        <w:jc w:val="both"/>
        <w:rPr>
          <w:sz w:val="18"/>
        </w:rPr>
      </w:pPr>
      <w:r>
        <w:rPr>
          <w:b/>
          <w:sz w:val="18"/>
        </w:rPr>
        <w:t>良性脑肿瘤</w:t>
        <w:tab/>
      </w:r>
      <w:r>
        <w:rPr>
          <w:sz w:val="18"/>
        </w:rPr>
        <w:t>指脑的良性肿瘤</w:t>
      </w:r>
      <w:r>
        <w:rPr>
          <w:spacing w:val="-10"/>
          <w:sz w:val="18"/>
        </w:rPr>
        <w:t>，</w:t>
      </w:r>
      <w:r>
        <w:rPr>
          <w:sz w:val="18"/>
        </w:rPr>
        <w:t>已经引起颅内压增高</w:t>
      </w:r>
      <w:r>
        <w:rPr>
          <w:spacing w:val="-10"/>
          <w:sz w:val="18"/>
        </w:rPr>
        <w:t>，</w:t>
      </w:r>
      <w:r>
        <w:rPr>
          <w:sz w:val="18"/>
        </w:rPr>
        <w:t>临床表现为视神经乳头水肿</w:t>
      </w:r>
      <w:r>
        <w:rPr>
          <w:spacing w:val="-10"/>
          <w:sz w:val="18"/>
        </w:rPr>
        <w:t>、</w:t>
      </w:r>
      <w:r>
        <w:rPr>
          <w:sz w:val="18"/>
        </w:rPr>
        <w:t>精神症状</w:t>
      </w:r>
      <w:r>
        <w:rPr>
          <w:spacing w:val="-10"/>
          <w:sz w:val="18"/>
        </w:rPr>
        <w:t>、</w:t>
      </w:r>
      <w:r>
        <w:rPr>
          <w:sz w:val="18"/>
        </w:rPr>
        <w:t>癫痫及运动感觉障碍等</w:t>
      </w:r>
      <w:r>
        <w:rPr>
          <w:spacing w:val="-6"/>
          <w:sz w:val="18"/>
        </w:rPr>
        <w:t>，</w:t>
      </w:r>
      <w:r>
        <w:rPr>
          <w:sz w:val="18"/>
        </w:rPr>
        <w:t>并危及生命</w:t>
      </w:r>
      <w:r>
        <w:rPr>
          <w:spacing w:val="-6"/>
          <w:sz w:val="18"/>
        </w:rPr>
        <w:t>。</w:t>
      </w:r>
      <w:r>
        <w:rPr>
          <w:sz w:val="18"/>
        </w:rPr>
        <w:t>须由头颅断层扫</w:t>
      </w:r>
      <w:r>
        <w:rPr>
          <w:spacing w:val="-6"/>
          <w:sz w:val="18"/>
        </w:rPr>
        <w:t>描</w:t>
      </w:r>
      <w:r>
        <w:rPr>
          <w:sz w:val="18"/>
        </w:rPr>
        <w:t>（CT</w:t>
      </w:r>
      <w:r>
        <w:rPr>
          <w:spacing w:val="-91"/>
          <w:sz w:val="18"/>
        </w:rPr>
        <w:t>）</w:t>
      </w:r>
      <w:r>
        <w:rPr>
          <w:spacing w:val="-6"/>
          <w:sz w:val="18"/>
        </w:rPr>
        <w:t>、</w:t>
      </w:r>
      <w:r>
        <w:rPr>
          <w:spacing w:val="-2"/>
          <w:sz w:val="18"/>
        </w:rPr>
        <w:t>核</w:t>
      </w:r>
      <w:r>
        <w:rPr>
          <w:sz w:val="18"/>
        </w:rPr>
        <w:t>磁共振检</w:t>
      </w:r>
      <w:r>
        <w:rPr>
          <w:spacing w:val="-6"/>
          <w:sz w:val="18"/>
        </w:rPr>
        <w:t>查</w:t>
      </w:r>
      <w:r>
        <w:rPr>
          <w:sz w:val="18"/>
        </w:rPr>
        <w:t>（MRI</w:t>
      </w:r>
      <w:r>
        <w:rPr>
          <w:spacing w:val="-6"/>
          <w:sz w:val="18"/>
        </w:rPr>
        <w:t>）</w:t>
      </w:r>
      <w:r>
        <w:rPr>
          <w:sz w:val="18"/>
        </w:rPr>
        <w:t>或正电子发射断层扫描（PET）等影像学检查证实，并须满足下列至少一项条件：</w:t>
      </w:r>
    </w:p>
    <w:p>
      <w:pPr>
        <w:pStyle w:val="ListParagraph"/>
        <w:numPr>
          <w:ilvl w:val="1"/>
          <w:numId w:val="19"/>
        </w:numPr>
        <w:tabs>
          <w:tab w:pos="2921" w:val="left" w:leader="none"/>
        </w:tabs>
        <w:spacing w:line="240" w:lineRule="auto" w:before="19" w:after="0"/>
        <w:ind w:left="2920" w:right="0" w:hanging="397"/>
        <w:jc w:val="left"/>
        <w:rPr>
          <w:sz w:val="18"/>
        </w:rPr>
      </w:pPr>
      <w:r>
        <w:rPr>
          <w:sz w:val="18"/>
        </w:rPr>
        <w:t>实际实施了开颅进行的脑肿瘤完全切除或部分切除的手术；</w:t>
      </w:r>
    </w:p>
    <w:p>
      <w:pPr>
        <w:pStyle w:val="ListParagraph"/>
        <w:numPr>
          <w:ilvl w:val="1"/>
          <w:numId w:val="19"/>
        </w:numPr>
        <w:tabs>
          <w:tab w:pos="2921" w:val="left" w:leader="none"/>
        </w:tabs>
        <w:spacing w:line="240" w:lineRule="auto" w:before="76" w:after="0"/>
        <w:ind w:left="2920" w:right="0" w:hanging="397"/>
        <w:jc w:val="left"/>
        <w:rPr>
          <w:sz w:val="18"/>
        </w:rPr>
      </w:pPr>
      <w:r>
        <w:rPr>
          <w:sz w:val="18"/>
        </w:rPr>
        <w:t>实际实施了对脑肿瘤进行的放射治疗。</w:t>
      </w:r>
    </w:p>
    <w:p>
      <w:pPr>
        <w:pStyle w:val="BodyText"/>
        <w:ind w:left="2523"/>
      </w:pPr>
      <w:r>
        <w:rPr>
          <w:shd w:fill="C0C0C0" w:color="auto" w:val="clear"/>
        </w:rPr>
        <w:t>脑垂体瘤、脑囊肿、脑血管性疾病不在保障范围内。</w:t>
      </w:r>
    </w:p>
    <w:p>
      <w:pPr>
        <w:pStyle w:val="BodyText"/>
        <w:spacing w:before="10"/>
        <w:rPr>
          <w:sz w:val="19"/>
        </w:rPr>
      </w:pPr>
    </w:p>
    <w:p>
      <w:pPr>
        <w:spacing w:after="0"/>
        <w:rPr>
          <w:sz w:val="19"/>
        </w:rPr>
        <w:sectPr>
          <w:type w:val="continuous"/>
          <w:pgSz w:w="11910" w:h="16840"/>
          <w:pgMar w:top="1040" w:bottom="1180" w:left="1080" w:right="840"/>
        </w:sectPr>
      </w:pPr>
    </w:p>
    <w:p>
      <w:pPr>
        <w:pStyle w:val="Heading3"/>
        <w:numPr>
          <w:ilvl w:val="0"/>
          <w:numId w:val="19"/>
        </w:numPr>
        <w:tabs>
          <w:tab w:pos="527" w:val="left" w:leader="none"/>
        </w:tabs>
        <w:spacing w:line="316" w:lineRule="auto" w:before="44" w:after="0"/>
        <w:ind w:left="526" w:right="0" w:hanging="420"/>
        <w:jc w:val="left"/>
      </w:pPr>
      <w:r>
        <w:rPr>
          <w:spacing w:val="17"/>
          <w:w w:val="95"/>
        </w:rPr>
        <w:t>慢性肝功能衰竭失代</w:t>
      </w:r>
      <w:r>
        <w:rPr/>
        <w:t>偿期</w:t>
      </w:r>
    </w:p>
    <w:p>
      <w:pPr>
        <w:pStyle w:val="BodyText"/>
        <w:spacing w:before="44"/>
        <w:ind w:left="106"/>
      </w:pPr>
      <w:r>
        <w:rPr/>
        <w:br w:type="column"/>
      </w:r>
      <w:r>
        <w:rPr/>
        <w:t>指因慢性肝脏疾病导致肝功能衰竭。须满足下列全部条件：</w:t>
      </w:r>
    </w:p>
    <w:p>
      <w:pPr>
        <w:pStyle w:val="ListParagraph"/>
        <w:numPr>
          <w:ilvl w:val="0"/>
          <w:numId w:val="21"/>
        </w:numPr>
        <w:tabs>
          <w:tab w:pos="505" w:val="left" w:leader="none"/>
        </w:tabs>
        <w:spacing w:line="240" w:lineRule="auto" w:before="76" w:after="0"/>
        <w:ind w:left="2523" w:right="0" w:hanging="2417"/>
        <w:jc w:val="left"/>
        <w:rPr>
          <w:sz w:val="18"/>
        </w:rPr>
      </w:pPr>
      <w:r>
        <w:rPr>
          <w:sz w:val="18"/>
        </w:rPr>
        <w:t>持续性黄疸；</w:t>
      </w:r>
    </w:p>
    <w:p>
      <w:pPr>
        <w:pStyle w:val="ListParagraph"/>
        <w:numPr>
          <w:ilvl w:val="0"/>
          <w:numId w:val="21"/>
        </w:numPr>
        <w:tabs>
          <w:tab w:pos="505" w:val="left" w:leader="none"/>
        </w:tabs>
        <w:spacing w:line="240" w:lineRule="auto" w:before="76" w:after="0"/>
        <w:ind w:left="2523" w:right="0" w:hanging="2417"/>
        <w:jc w:val="left"/>
        <w:rPr>
          <w:sz w:val="18"/>
        </w:rPr>
      </w:pPr>
      <w:r>
        <w:rPr>
          <w:sz w:val="18"/>
        </w:rPr>
        <w:t>腹水；</w:t>
      </w:r>
    </w:p>
    <w:p>
      <w:pPr>
        <w:spacing w:after="0" w:line="240" w:lineRule="auto"/>
        <w:jc w:val="left"/>
        <w:rPr>
          <w:sz w:val="18"/>
        </w:rPr>
        <w:sectPr>
          <w:type w:val="continuous"/>
          <w:pgSz w:w="11910" w:h="16840"/>
          <w:pgMar w:top="1040" w:bottom="1180" w:left="1080" w:right="840"/>
          <w:cols w:num="2" w:equalWidth="0">
            <w:col w:w="2328" w:space="88"/>
            <w:col w:w="7574"/>
          </w:cols>
        </w:sectPr>
      </w:pPr>
    </w:p>
    <w:p>
      <w:pPr>
        <w:pStyle w:val="BodyText"/>
        <w:spacing w:before="3"/>
        <w:rPr>
          <w:sz w:val="20"/>
        </w:rPr>
      </w:pPr>
    </w:p>
    <w:p>
      <w:pPr>
        <w:pStyle w:val="ListParagraph"/>
        <w:numPr>
          <w:ilvl w:val="0"/>
          <w:numId w:val="21"/>
        </w:numPr>
        <w:tabs>
          <w:tab w:pos="2921" w:val="left" w:leader="none"/>
        </w:tabs>
        <w:spacing w:line="240" w:lineRule="auto" w:before="44" w:after="0"/>
        <w:ind w:left="2920" w:right="0" w:hanging="397"/>
        <w:jc w:val="left"/>
        <w:rPr>
          <w:sz w:val="18"/>
        </w:rPr>
      </w:pPr>
      <w:r>
        <w:rPr>
          <w:sz w:val="18"/>
        </w:rPr>
        <w:t>肝性脑病；</w:t>
      </w:r>
    </w:p>
    <w:p>
      <w:pPr>
        <w:pStyle w:val="ListParagraph"/>
        <w:numPr>
          <w:ilvl w:val="0"/>
          <w:numId w:val="21"/>
        </w:numPr>
        <w:tabs>
          <w:tab w:pos="2921" w:val="left" w:leader="none"/>
        </w:tabs>
        <w:spacing w:line="316" w:lineRule="auto" w:before="76" w:after="0"/>
        <w:ind w:left="2523" w:right="3181" w:firstLine="0"/>
        <w:jc w:val="left"/>
        <w:rPr>
          <w:sz w:val="18"/>
        </w:rPr>
      </w:pPr>
      <w:r>
        <w:rPr>
          <w:sz w:val="18"/>
        </w:rPr>
        <w:t>充血性脾肿大伴脾功能亢进或食管胃底静脉曲张。</w:t>
      </w:r>
      <w:r>
        <w:rPr>
          <w:sz w:val="18"/>
          <w:shd w:fill="C0C0C0" w:color="auto" w:val="clear"/>
        </w:rPr>
        <w:t>因酗酒或药物滥用导致的肝功能衰竭不在保障范围内。</w:t>
      </w:r>
    </w:p>
    <w:p>
      <w:pPr>
        <w:pStyle w:val="BodyText"/>
        <w:spacing w:before="5"/>
        <w:rPr>
          <w:sz w:val="15"/>
        </w:rPr>
      </w:pPr>
    </w:p>
    <w:p>
      <w:pPr>
        <w:spacing w:after="0"/>
        <w:rPr>
          <w:sz w:val="15"/>
        </w:rPr>
        <w:sectPr>
          <w:footerReference w:type="default" r:id="rId12"/>
          <w:pgSz w:w="11910" w:h="16840"/>
          <w:pgMar w:footer="981" w:header="877" w:top="1100" w:bottom="1180" w:left="1080" w:right="760"/>
          <w:pgNumType w:start="12"/>
        </w:sectPr>
      </w:pPr>
    </w:p>
    <w:p>
      <w:pPr>
        <w:pStyle w:val="Heading3"/>
        <w:numPr>
          <w:ilvl w:val="0"/>
          <w:numId w:val="19"/>
        </w:numPr>
        <w:tabs>
          <w:tab w:pos="527" w:val="left" w:leader="none"/>
        </w:tabs>
        <w:spacing w:line="316" w:lineRule="auto" w:before="44" w:after="0"/>
        <w:ind w:left="526" w:right="0" w:hanging="420"/>
        <w:jc w:val="left"/>
      </w:pPr>
      <w:r>
        <w:rPr>
          <w:spacing w:val="17"/>
          <w:w w:val="95"/>
        </w:rPr>
        <w:t>脑炎后遗症或脑膜炎</w:t>
      </w:r>
      <w:r>
        <w:rPr/>
        <w:t>后遗症</w:t>
      </w:r>
    </w:p>
    <w:p>
      <w:pPr>
        <w:pStyle w:val="BodyText"/>
        <w:spacing w:line="316" w:lineRule="auto" w:before="44"/>
        <w:ind w:left="106" w:right="142"/>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22"/>
        </w:numPr>
        <w:tabs>
          <w:tab w:pos="505" w:val="left" w:leader="none"/>
        </w:tabs>
        <w:spacing w:line="240" w:lineRule="auto" w:before="18" w:after="0"/>
        <w:ind w:left="504" w:right="0" w:hanging="398"/>
        <w:jc w:val="left"/>
        <w:rPr>
          <w:sz w:val="18"/>
        </w:rPr>
      </w:pPr>
      <w:r>
        <w:rPr>
          <w:sz w:val="18"/>
        </w:rPr>
        <w:t>一肢或一肢以上肢体机能完全丧失；</w:t>
      </w:r>
    </w:p>
    <w:p>
      <w:pPr>
        <w:pStyle w:val="ListParagraph"/>
        <w:numPr>
          <w:ilvl w:val="0"/>
          <w:numId w:val="22"/>
        </w:numPr>
        <w:tabs>
          <w:tab w:pos="505" w:val="left" w:leader="none"/>
        </w:tabs>
        <w:spacing w:line="240" w:lineRule="auto" w:before="76" w:after="0"/>
        <w:ind w:left="504" w:right="0" w:hanging="398"/>
        <w:jc w:val="left"/>
        <w:rPr>
          <w:sz w:val="18"/>
        </w:rPr>
      </w:pPr>
      <w:r>
        <w:rPr>
          <w:sz w:val="18"/>
        </w:rPr>
        <w:t>语言能力或咀嚼吞咽能力完全丧失；</w:t>
      </w:r>
    </w:p>
    <w:p>
      <w:pPr>
        <w:pStyle w:val="ListParagraph"/>
        <w:numPr>
          <w:ilvl w:val="0"/>
          <w:numId w:val="22"/>
        </w:numPr>
        <w:tabs>
          <w:tab w:pos="467" w:val="left" w:leader="none"/>
        </w:tabs>
        <w:spacing w:line="240" w:lineRule="auto" w:before="76" w:after="0"/>
        <w:ind w:left="466" w:right="0" w:hanging="360"/>
        <w:jc w:val="left"/>
        <w:rPr>
          <w:sz w:val="18"/>
        </w:rPr>
      </w:pPr>
      <w:r>
        <w:rPr>
          <w:sz w:val="18"/>
        </w:rPr>
        <w:t>自主生活能力完全丧失，无法独立完成六项基本日常生活活动中的三项或三项以上。</w:t>
      </w:r>
    </w:p>
    <w:p>
      <w:pPr>
        <w:spacing w:after="0" w:line="240" w:lineRule="auto"/>
        <w:jc w:val="left"/>
        <w:rPr>
          <w:sz w:val="18"/>
        </w:rPr>
        <w:sectPr>
          <w:type w:val="continuous"/>
          <w:pgSz w:w="11910" w:h="16840"/>
          <w:pgMar w:top="1040" w:bottom="1180" w:left="1080" w:right="760"/>
          <w:cols w:num="2" w:equalWidth="0">
            <w:col w:w="2328" w:space="88"/>
            <w:col w:w="7654"/>
          </w:cols>
        </w:sectPr>
      </w:pPr>
    </w:p>
    <w:p>
      <w:pPr>
        <w:pStyle w:val="BodyText"/>
        <w:spacing w:before="9"/>
        <w:rPr>
          <w:sz w:val="19"/>
        </w:rPr>
      </w:pPr>
    </w:p>
    <w:p>
      <w:pPr>
        <w:pStyle w:val="ListParagraph"/>
        <w:numPr>
          <w:ilvl w:val="0"/>
          <w:numId w:val="19"/>
        </w:numPr>
        <w:tabs>
          <w:tab w:pos="527" w:val="left" w:leader="none"/>
          <w:tab w:pos="2523" w:val="left" w:leader="none"/>
        </w:tabs>
        <w:spacing w:line="316" w:lineRule="auto" w:before="45" w:after="0"/>
        <w:ind w:left="2523" w:right="197" w:hanging="2417"/>
        <w:jc w:val="left"/>
        <w:rPr>
          <w:sz w:val="18"/>
        </w:rPr>
      </w:pPr>
      <w:r>
        <w:rPr>
          <w:b/>
          <w:sz w:val="18"/>
        </w:rPr>
        <w:t>深度昏迷</w:t>
        <w:tab/>
      </w:r>
      <w:r>
        <w:rPr>
          <w:sz w:val="18"/>
        </w:rPr>
        <w:t>指因疾病或意外伤害导致意识丧失,对外界刺激和体内需求均无反应,昏迷程度按照格拉斯哥昏迷分级（Glasgow</w:t>
      </w:r>
      <w:r>
        <w:rPr>
          <w:spacing w:val="-20"/>
          <w:sz w:val="18"/>
        </w:rPr>
        <w:t> </w:t>
      </w:r>
      <w:r>
        <w:rPr>
          <w:sz w:val="18"/>
        </w:rPr>
        <w:t>coma</w:t>
      </w:r>
      <w:r>
        <w:rPr>
          <w:spacing w:val="-20"/>
          <w:sz w:val="18"/>
        </w:rPr>
        <w:t> </w:t>
      </w:r>
      <w:r>
        <w:rPr>
          <w:sz w:val="18"/>
        </w:rPr>
        <w:t>scale）结果为</w:t>
      </w:r>
      <w:r>
        <w:rPr>
          <w:spacing w:val="-46"/>
          <w:sz w:val="18"/>
        </w:rPr>
        <w:t> </w:t>
      </w:r>
      <w:r>
        <w:rPr>
          <w:sz w:val="18"/>
        </w:rPr>
        <w:t>5</w:t>
      </w:r>
      <w:r>
        <w:rPr>
          <w:spacing w:val="-46"/>
          <w:sz w:val="18"/>
        </w:rPr>
        <w:t> </w:t>
      </w:r>
      <w:r>
        <w:rPr>
          <w:sz w:val="18"/>
        </w:rPr>
        <w:t>分或</w:t>
      </w:r>
      <w:r>
        <w:rPr>
          <w:spacing w:val="-46"/>
          <w:sz w:val="18"/>
        </w:rPr>
        <w:t> </w:t>
      </w:r>
      <w:r>
        <w:rPr>
          <w:sz w:val="18"/>
        </w:rPr>
        <w:t>5</w:t>
      </w:r>
      <w:r>
        <w:rPr>
          <w:spacing w:val="-46"/>
          <w:sz w:val="18"/>
        </w:rPr>
        <w:t> </w:t>
      </w:r>
      <w:r>
        <w:rPr>
          <w:sz w:val="18"/>
        </w:rPr>
        <w:t>分以下，且已经持续使用呼吸机及其它生命维持系统</w:t>
      </w:r>
      <w:r>
        <w:rPr>
          <w:spacing w:val="-46"/>
          <w:sz w:val="18"/>
        </w:rPr>
        <w:t> </w:t>
      </w:r>
      <w:r>
        <w:rPr>
          <w:sz w:val="18"/>
        </w:rPr>
        <w:t>96</w:t>
      </w:r>
      <w:r>
        <w:rPr>
          <w:spacing w:val="-46"/>
          <w:sz w:val="18"/>
        </w:rPr>
        <w:t> </w:t>
      </w:r>
      <w:r>
        <w:rPr>
          <w:sz w:val="18"/>
        </w:rPr>
        <w:t>小时以上。</w:t>
      </w:r>
    </w:p>
    <w:p>
      <w:pPr>
        <w:pStyle w:val="BodyText"/>
        <w:spacing w:before="18"/>
        <w:ind w:left="2523"/>
      </w:pPr>
      <w:r>
        <w:rPr>
          <w:shd w:fill="C0C0C0" w:color="auto" w:val="clear"/>
        </w:rPr>
        <w:t>因酗酒或药物滥用导致的深度昏迷不在保障范围内。</w:t>
      </w:r>
    </w:p>
    <w:p>
      <w:pPr>
        <w:pStyle w:val="BodyText"/>
        <w:spacing w:before="1"/>
        <w:rPr>
          <w:sz w:val="23"/>
        </w:rPr>
      </w:pPr>
    </w:p>
    <w:p>
      <w:pPr>
        <w:pStyle w:val="ListParagraph"/>
        <w:numPr>
          <w:ilvl w:val="0"/>
          <w:numId w:val="19"/>
        </w:numPr>
        <w:tabs>
          <w:tab w:pos="527" w:val="left" w:leader="none"/>
          <w:tab w:pos="2523" w:val="left" w:leader="none"/>
        </w:tabs>
        <w:spacing w:line="316" w:lineRule="auto" w:before="0" w:after="0"/>
        <w:ind w:left="2523" w:right="197" w:hanging="2417"/>
        <w:jc w:val="both"/>
        <w:rPr>
          <w:sz w:val="18"/>
        </w:rPr>
      </w:pPr>
      <w:r>
        <w:rPr>
          <w:b/>
          <w:sz w:val="18"/>
        </w:rPr>
        <w:t>双耳失聪</w:t>
        <w:tab/>
      </w:r>
      <w:r>
        <w:rPr>
          <w:sz w:val="18"/>
        </w:rPr>
        <w:t>指因疾病或意外伤害导致双耳听力</w:t>
      </w:r>
      <w:r>
        <w:rPr>
          <w:b/>
          <w:sz w:val="18"/>
        </w:rPr>
        <w:t>永久不可</w:t>
      </w:r>
      <w:r>
        <w:rPr>
          <w:b/>
          <w:spacing w:val="-21"/>
          <w:sz w:val="18"/>
        </w:rPr>
        <w:t>逆</w:t>
      </w:r>
      <w:r>
        <w:rPr>
          <w:sz w:val="18"/>
        </w:rPr>
        <w:t>（注</w:t>
      </w:r>
      <w:r>
        <w:rPr>
          <w:spacing w:val="-47"/>
          <w:sz w:val="18"/>
        </w:rPr>
        <w:t> </w:t>
      </w:r>
      <w:r>
        <w:rPr>
          <w:spacing w:val="-11"/>
          <w:sz w:val="18"/>
        </w:rPr>
        <w:t>6）</w:t>
      </w:r>
      <w:r>
        <w:rPr>
          <w:sz w:val="18"/>
        </w:rPr>
        <w:t>性丧失</w:t>
      </w:r>
      <w:r>
        <w:rPr>
          <w:spacing w:val="-22"/>
          <w:sz w:val="18"/>
        </w:rPr>
        <w:t>，</w:t>
      </w:r>
      <w:r>
        <w:rPr>
          <w:sz w:val="18"/>
        </w:rPr>
        <w:t>在</w:t>
      </w:r>
      <w:r>
        <w:rPr>
          <w:spacing w:val="-47"/>
          <w:sz w:val="18"/>
        </w:rPr>
        <w:t> </w:t>
      </w:r>
      <w:r>
        <w:rPr>
          <w:sz w:val="18"/>
        </w:rPr>
        <w:t>500</w:t>
      </w:r>
      <w:r>
        <w:rPr>
          <w:spacing w:val="-46"/>
          <w:sz w:val="18"/>
        </w:rPr>
        <w:t> </w:t>
      </w:r>
      <w:r>
        <w:rPr>
          <w:sz w:val="18"/>
        </w:rPr>
        <w:t>赫兹</w:t>
      </w:r>
      <w:r>
        <w:rPr>
          <w:spacing w:val="-22"/>
          <w:sz w:val="18"/>
        </w:rPr>
        <w:t>、</w:t>
      </w:r>
      <w:r>
        <w:rPr>
          <w:sz w:val="18"/>
        </w:rPr>
        <w:t>1000</w:t>
      </w:r>
      <w:r>
        <w:rPr>
          <w:spacing w:val="-47"/>
          <w:sz w:val="18"/>
        </w:rPr>
        <w:t> </w:t>
      </w:r>
      <w:r>
        <w:rPr>
          <w:sz w:val="18"/>
        </w:rPr>
        <w:t>赫兹和</w:t>
      </w:r>
      <w:r>
        <w:rPr>
          <w:spacing w:val="-47"/>
          <w:sz w:val="18"/>
        </w:rPr>
        <w:t> </w:t>
      </w:r>
      <w:r>
        <w:rPr>
          <w:sz w:val="18"/>
        </w:rPr>
        <w:t>2000赫兹语音频率下，平均听阈大于</w:t>
      </w:r>
      <w:r>
        <w:rPr>
          <w:spacing w:val="-46"/>
          <w:sz w:val="18"/>
        </w:rPr>
        <w:t> </w:t>
      </w:r>
      <w:r>
        <w:rPr>
          <w:sz w:val="18"/>
        </w:rPr>
        <w:t>90</w:t>
      </w:r>
      <w:r>
        <w:rPr>
          <w:spacing w:val="-46"/>
          <w:sz w:val="18"/>
        </w:rPr>
        <w:t> </w:t>
      </w:r>
      <w:r>
        <w:rPr>
          <w:sz w:val="18"/>
        </w:rPr>
        <w:t>分贝，且经纯音听力测试、声导抗检测或听觉诱发电位检测等证实。</w:t>
      </w:r>
    </w:p>
    <w:p>
      <w:pPr>
        <w:pStyle w:val="BodyText"/>
        <w:spacing w:before="9"/>
      </w:pPr>
    </w:p>
    <w:p>
      <w:pPr>
        <w:pStyle w:val="ListParagraph"/>
        <w:numPr>
          <w:ilvl w:val="0"/>
          <w:numId w:val="19"/>
        </w:numPr>
        <w:tabs>
          <w:tab w:pos="527" w:val="left" w:leader="none"/>
          <w:tab w:pos="2523" w:val="left" w:leader="none"/>
        </w:tabs>
        <w:spacing w:line="316" w:lineRule="auto" w:before="0" w:after="0"/>
        <w:ind w:left="2523" w:right="338" w:hanging="2417"/>
        <w:jc w:val="left"/>
        <w:rPr>
          <w:sz w:val="18"/>
        </w:rPr>
      </w:pPr>
      <w:r>
        <w:rPr>
          <w:b/>
          <w:sz w:val="18"/>
        </w:rPr>
        <w:t>双目失明</w:t>
        <w:tab/>
      </w:r>
      <w:r>
        <w:rPr>
          <w:sz w:val="18"/>
        </w:rPr>
        <w:t>指因疾病或意外伤害导致双眼视力永久不可逆性丧失，双眼中较好眼须满足下列至少一项条件：</w:t>
      </w:r>
    </w:p>
    <w:p>
      <w:pPr>
        <w:pStyle w:val="ListParagraph"/>
        <w:numPr>
          <w:ilvl w:val="1"/>
          <w:numId w:val="19"/>
        </w:numPr>
        <w:tabs>
          <w:tab w:pos="2921" w:val="left" w:leader="none"/>
        </w:tabs>
        <w:spacing w:line="240" w:lineRule="auto" w:before="18" w:after="0"/>
        <w:ind w:left="2920" w:right="0" w:hanging="397"/>
        <w:jc w:val="left"/>
        <w:rPr>
          <w:sz w:val="18"/>
        </w:rPr>
      </w:pPr>
      <w:r>
        <w:rPr>
          <w:sz w:val="18"/>
        </w:rPr>
        <w:t>眼球缺失或摘除；</w:t>
      </w:r>
    </w:p>
    <w:p>
      <w:pPr>
        <w:pStyle w:val="ListParagraph"/>
        <w:numPr>
          <w:ilvl w:val="1"/>
          <w:numId w:val="19"/>
        </w:numPr>
        <w:tabs>
          <w:tab w:pos="2921" w:val="left" w:leader="none"/>
        </w:tabs>
        <w:spacing w:line="240" w:lineRule="auto" w:before="76" w:after="0"/>
        <w:ind w:left="2920" w:right="0" w:hanging="397"/>
        <w:jc w:val="left"/>
        <w:rPr>
          <w:sz w:val="18"/>
        </w:rPr>
      </w:pPr>
      <w:r>
        <w:rPr>
          <w:spacing w:val="-7"/>
          <w:sz w:val="18"/>
        </w:rPr>
        <w:t>矫正视力低于 </w:t>
      </w:r>
      <w:r>
        <w:rPr>
          <w:sz w:val="18"/>
        </w:rPr>
        <w:t>0.02（采用国际标准视力表，如果使用其它视力表应进行换算</w:t>
      </w:r>
      <w:r>
        <w:rPr>
          <w:spacing w:val="-90"/>
          <w:sz w:val="18"/>
        </w:rPr>
        <w:t>）</w:t>
      </w:r>
      <w:r>
        <w:rPr>
          <w:sz w:val="18"/>
        </w:rPr>
        <w:t>；</w:t>
      </w:r>
    </w:p>
    <w:p>
      <w:pPr>
        <w:pStyle w:val="ListParagraph"/>
        <w:numPr>
          <w:ilvl w:val="1"/>
          <w:numId w:val="19"/>
        </w:numPr>
        <w:tabs>
          <w:tab w:pos="2884" w:val="left" w:leader="none"/>
        </w:tabs>
        <w:spacing w:line="240" w:lineRule="auto" w:before="76" w:after="0"/>
        <w:ind w:left="2883" w:right="0" w:hanging="360"/>
        <w:jc w:val="left"/>
        <w:rPr>
          <w:sz w:val="18"/>
        </w:rPr>
      </w:pPr>
      <w:r>
        <w:rPr>
          <w:spacing w:val="-7"/>
          <w:sz w:val="18"/>
        </w:rPr>
        <w:t>视野半径小于 </w:t>
      </w:r>
      <w:r>
        <w:rPr>
          <w:sz w:val="18"/>
        </w:rPr>
        <w:t>5</w:t>
      </w:r>
      <w:r>
        <w:rPr>
          <w:spacing w:val="-16"/>
          <w:sz w:val="18"/>
        </w:rPr>
        <w:t> 度。</w:t>
      </w:r>
    </w:p>
    <w:p>
      <w:pPr>
        <w:pStyle w:val="BodyText"/>
        <w:spacing w:before="1"/>
        <w:rPr>
          <w:sz w:val="23"/>
        </w:rPr>
      </w:pPr>
    </w:p>
    <w:p>
      <w:pPr>
        <w:pStyle w:val="ListParagraph"/>
        <w:numPr>
          <w:ilvl w:val="0"/>
          <w:numId w:val="19"/>
        </w:numPr>
        <w:tabs>
          <w:tab w:pos="527" w:val="left" w:leader="none"/>
          <w:tab w:pos="2523" w:val="left" w:leader="none"/>
        </w:tabs>
        <w:spacing w:line="316" w:lineRule="auto" w:before="1" w:after="0"/>
        <w:ind w:left="2523" w:right="197" w:hanging="2417"/>
        <w:jc w:val="both"/>
        <w:rPr>
          <w:sz w:val="18"/>
        </w:rPr>
      </w:pPr>
      <w:r>
        <w:rPr>
          <w:b/>
          <w:sz w:val="18"/>
        </w:rPr>
        <w:t>瘫痪</w:t>
        <w:tab/>
      </w:r>
      <w:r>
        <w:rPr>
          <w:sz w:val="18"/>
        </w:rPr>
        <w:t>指因疾病或意外伤害导致两肢或两肢以上肢体机能永久完全丧失</w:t>
      </w:r>
      <w:r>
        <w:rPr>
          <w:spacing w:val="-20"/>
          <w:sz w:val="18"/>
        </w:rPr>
        <w:t>。</w:t>
      </w:r>
      <w:r>
        <w:rPr>
          <w:sz w:val="18"/>
        </w:rPr>
        <w:t>肢体机能永久完全丧失</w:t>
      </w:r>
      <w:r>
        <w:rPr>
          <w:spacing w:val="-20"/>
          <w:sz w:val="18"/>
        </w:rPr>
        <w:t>，</w:t>
      </w:r>
      <w:r>
        <w:rPr>
          <w:sz w:val="18"/>
        </w:rPr>
        <w:t>指疾病确诊</w:t>
      </w:r>
      <w:r>
        <w:rPr>
          <w:spacing w:val="-46"/>
          <w:sz w:val="18"/>
        </w:rPr>
        <w:t> </w:t>
      </w:r>
      <w:r>
        <w:rPr>
          <w:sz w:val="18"/>
        </w:rPr>
        <w:t>180</w:t>
      </w:r>
      <w:r>
        <w:rPr>
          <w:spacing w:val="-45"/>
          <w:sz w:val="18"/>
        </w:rPr>
        <w:t> </w:t>
      </w:r>
      <w:r>
        <w:rPr>
          <w:sz w:val="18"/>
        </w:rPr>
        <w:t>天后或意外伤害发生</w:t>
      </w:r>
      <w:r>
        <w:rPr>
          <w:spacing w:val="-46"/>
          <w:sz w:val="18"/>
        </w:rPr>
        <w:t> </w:t>
      </w:r>
      <w:r>
        <w:rPr>
          <w:sz w:val="18"/>
        </w:rPr>
        <w:t>180</w:t>
      </w:r>
      <w:r>
        <w:rPr>
          <w:spacing w:val="-46"/>
          <w:sz w:val="18"/>
        </w:rPr>
        <w:t> </w:t>
      </w:r>
      <w:r>
        <w:rPr>
          <w:sz w:val="18"/>
        </w:rPr>
        <w:t>天后</w:t>
      </w:r>
      <w:r>
        <w:rPr>
          <w:spacing w:val="-20"/>
          <w:sz w:val="18"/>
        </w:rPr>
        <w:t>，</w:t>
      </w:r>
      <w:r>
        <w:rPr>
          <w:sz w:val="18"/>
        </w:rPr>
        <w:t>每肢三大关节中的两大关节仍然完全僵硬</w:t>
      </w:r>
      <w:r>
        <w:rPr>
          <w:spacing w:val="-20"/>
          <w:sz w:val="18"/>
        </w:rPr>
        <w:t>，</w:t>
      </w:r>
      <w:r>
        <w:rPr>
          <w:sz w:val="18"/>
        </w:rPr>
        <w:t>或不能随意识活动。</w:t>
      </w:r>
    </w:p>
    <w:p>
      <w:pPr>
        <w:pStyle w:val="BodyText"/>
        <w:spacing w:before="11"/>
      </w:pPr>
    </w:p>
    <w:p>
      <w:pPr>
        <w:pStyle w:val="ListParagraph"/>
        <w:numPr>
          <w:ilvl w:val="0"/>
          <w:numId w:val="19"/>
        </w:numPr>
        <w:tabs>
          <w:tab w:pos="527" w:val="left" w:leader="none"/>
          <w:tab w:pos="2523" w:val="left" w:leader="none"/>
        </w:tabs>
        <w:spacing w:line="240" w:lineRule="auto" w:before="0" w:after="0"/>
        <w:ind w:left="2523" w:right="0" w:hanging="2417"/>
        <w:jc w:val="left"/>
        <w:rPr>
          <w:sz w:val="18"/>
        </w:rPr>
      </w:pPr>
      <w:r>
        <w:rPr>
          <w:b/>
          <w:sz w:val="18"/>
        </w:rPr>
        <w:t>心脏瓣膜手术</w:t>
        <w:tab/>
      </w:r>
      <w:r>
        <w:rPr>
          <w:sz w:val="18"/>
        </w:rPr>
        <w:t>指为治疗心脏瓣膜疾病，实际实施了开胸进行的心脏瓣膜置换或修复的手术。</w:t>
      </w:r>
    </w:p>
    <w:p>
      <w:pPr>
        <w:pStyle w:val="BodyText"/>
        <w:spacing w:before="1"/>
        <w:rPr>
          <w:sz w:val="23"/>
        </w:rPr>
      </w:pPr>
    </w:p>
    <w:p>
      <w:pPr>
        <w:pStyle w:val="ListParagraph"/>
        <w:numPr>
          <w:ilvl w:val="0"/>
          <w:numId w:val="19"/>
        </w:numPr>
        <w:tabs>
          <w:tab w:pos="527" w:val="left" w:leader="none"/>
          <w:tab w:pos="2523" w:val="left" w:leader="none"/>
        </w:tabs>
        <w:spacing w:line="316" w:lineRule="auto" w:before="0" w:after="0"/>
        <w:ind w:left="2523" w:right="158" w:hanging="2417"/>
        <w:jc w:val="left"/>
        <w:rPr>
          <w:sz w:val="18"/>
        </w:rPr>
      </w:pPr>
      <w:r>
        <w:rPr>
          <w:b/>
          <w:sz w:val="18"/>
        </w:rPr>
        <w:t>严重阿尔茨海默病</w:t>
        <w:tab/>
      </w:r>
      <w:r>
        <w:rPr>
          <w:sz w:val="18"/>
        </w:rPr>
        <w:t>指因大脑进行性、不可逆性改变导致智能严重衰退或丧失，临床表现为明显的认知能力障碍、行为异常和社交能力减退，其日常生活必须持续受到他人监护。须由头颅断层扫描（CT</w:t>
      </w:r>
      <w:r>
        <w:rPr>
          <w:spacing w:val="-90"/>
          <w:sz w:val="18"/>
        </w:rPr>
        <w:t>）</w:t>
      </w:r>
      <w:r>
        <w:rPr>
          <w:sz w:val="18"/>
        </w:rPr>
        <w:t>、核磁共振检</w:t>
      </w:r>
      <w:r>
        <w:rPr>
          <w:spacing w:val="-8"/>
          <w:sz w:val="18"/>
        </w:rPr>
        <w:t>查</w:t>
      </w:r>
      <w:r>
        <w:rPr>
          <w:sz w:val="18"/>
        </w:rPr>
        <w:t>（MRI）或正电子发射断层扫</w:t>
      </w:r>
      <w:r>
        <w:rPr>
          <w:spacing w:val="-8"/>
          <w:sz w:val="18"/>
        </w:rPr>
        <w:t>描</w:t>
      </w:r>
      <w:r>
        <w:rPr>
          <w:sz w:val="18"/>
        </w:rPr>
        <w:t>（PET）等影像学检查证实</w:t>
      </w:r>
      <w:r>
        <w:rPr>
          <w:spacing w:val="-8"/>
          <w:sz w:val="18"/>
        </w:rPr>
        <w:t>，</w:t>
      </w:r>
      <w:r>
        <w:rPr>
          <w:sz w:val="18"/>
        </w:rPr>
        <w:t>且自主生活能力完全丧失，无法独立完成六项基本日常生活活动中的三项或三项以上。</w:t>
      </w:r>
    </w:p>
    <w:p>
      <w:pPr>
        <w:pStyle w:val="BodyText"/>
        <w:spacing w:before="18"/>
        <w:ind w:left="2523"/>
      </w:pPr>
      <w:r>
        <w:rPr>
          <w:shd w:fill="C0C0C0" w:color="auto" w:val="clear"/>
        </w:rPr>
        <w:t>神经官能症和精神疾病不在保障范围内。</w:t>
      </w:r>
    </w:p>
    <w:p>
      <w:pPr>
        <w:pStyle w:val="BodyText"/>
        <w:spacing w:before="2"/>
        <w:rPr>
          <w:sz w:val="23"/>
        </w:rPr>
      </w:pPr>
    </w:p>
    <w:p>
      <w:pPr>
        <w:pStyle w:val="ListParagraph"/>
        <w:numPr>
          <w:ilvl w:val="0"/>
          <w:numId w:val="19"/>
        </w:numPr>
        <w:tabs>
          <w:tab w:pos="527" w:val="left" w:leader="none"/>
          <w:tab w:pos="2523" w:val="left" w:leader="none"/>
        </w:tabs>
        <w:spacing w:line="316" w:lineRule="auto" w:before="0" w:after="0"/>
        <w:ind w:left="2523" w:right="198" w:hanging="2417"/>
        <w:jc w:val="both"/>
        <w:rPr>
          <w:sz w:val="18"/>
        </w:rPr>
      </w:pPr>
      <w:r>
        <w:rPr>
          <w:b/>
          <w:sz w:val="18"/>
        </w:rPr>
        <w:t>严重脑损伤</w:t>
        <w:tab/>
      </w:r>
      <w:r>
        <w:rPr>
          <w:sz w:val="18"/>
        </w:rPr>
        <w:t>指因头部遭受机械性外力</w:t>
      </w:r>
      <w:r>
        <w:rPr>
          <w:spacing w:val="-14"/>
          <w:sz w:val="18"/>
        </w:rPr>
        <w:t>，</w:t>
      </w:r>
      <w:r>
        <w:rPr>
          <w:sz w:val="18"/>
        </w:rPr>
        <w:t>引起脑重要部位损伤</w:t>
      </w:r>
      <w:r>
        <w:rPr>
          <w:spacing w:val="-14"/>
          <w:sz w:val="18"/>
        </w:rPr>
        <w:t>，</w:t>
      </w:r>
      <w:r>
        <w:rPr>
          <w:sz w:val="18"/>
        </w:rPr>
        <w:t>导致神经系统永久性的功能障碍</w:t>
      </w:r>
      <w:r>
        <w:rPr>
          <w:spacing w:val="-14"/>
          <w:sz w:val="18"/>
        </w:rPr>
        <w:t>。</w:t>
      </w:r>
      <w:r>
        <w:rPr>
          <w:sz w:val="18"/>
        </w:rPr>
        <w:t>须由头颅断层扫描（CT</w:t>
      </w:r>
      <w:r>
        <w:rPr>
          <w:spacing w:val="-90"/>
          <w:sz w:val="18"/>
        </w:rPr>
        <w:t>）</w:t>
      </w:r>
      <w:r>
        <w:rPr>
          <w:sz w:val="18"/>
        </w:rPr>
        <w:t>、核磁共振检查（MRI）或正电子发射断层扫描（PET）等影像学检查证实。神经系统永久性的功能障碍，指脑损伤</w:t>
      </w:r>
      <w:r>
        <w:rPr>
          <w:spacing w:val="-46"/>
          <w:sz w:val="18"/>
        </w:rPr>
        <w:t> </w:t>
      </w:r>
      <w:r>
        <w:rPr>
          <w:sz w:val="18"/>
        </w:rPr>
        <w:t>180</w:t>
      </w:r>
      <w:r>
        <w:rPr>
          <w:spacing w:val="-45"/>
          <w:sz w:val="18"/>
        </w:rPr>
        <w:t> </w:t>
      </w:r>
      <w:r>
        <w:rPr>
          <w:sz w:val="18"/>
        </w:rPr>
        <w:t>天后，仍遗留下列一种或一种以上障碍：</w:t>
      </w:r>
    </w:p>
    <w:p>
      <w:pPr>
        <w:pStyle w:val="ListParagraph"/>
        <w:numPr>
          <w:ilvl w:val="1"/>
          <w:numId w:val="19"/>
        </w:numPr>
        <w:tabs>
          <w:tab w:pos="2921" w:val="left" w:leader="none"/>
        </w:tabs>
        <w:spacing w:line="240" w:lineRule="auto" w:before="18" w:after="0"/>
        <w:ind w:left="2920" w:right="0" w:hanging="397"/>
        <w:jc w:val="left"/>
        <w:rPr>
          <w:sz w:val="18"/>
        </w:rPr>
      </w:pPr>
      <w:r>
        <w:rPr>
          <w:sz w:val="18"/>
        </w:rPr>
        <w:t>一肢或一肢以上肢体机能完全丧失；</w:t>
      </w:r>
    </w:p>
    <w:p>
      <w:pPr>
        <w:pStyle w:val="ListParagraph"/>
        <w:numPr>
          <w:ilvl w:val="1"/>
          <w:numId w:val="19"/>
        </w:numPr>
        <w:tabs>
          <w:tab w:pos="2921" w:val="left" w:leader="none"/>
        </w:tabs>
        <w:spacing w:line="240" w:lineRule="auto" w:before="75" w:after="0"/>
        <w:ind w:left="2920" w:right="0" w:hanging="397"/>
        <w:jc w:val="left"/>
        <w:rPr>
          <w:sz w:val="18"/>
        </w:rPr>
      </w:pPr>
      <w:r>
        <w:rPr>
          <w:sz w:val="18"/>
        </w:rPr>
        <w:t>语言能力或咀嚼吞咽能力完全丧失；</w:t>
      </w:r>
    </w:p>
    <w:p>
      <w:pPr>
        <w:pStyle w:val="ListParagraph"/>
        <w:numPr>
          <w:ilvl w:val="1"/>
          <w:numId w:val="19"/>
        </w:numPr>
        <w:tabs>
          <w:tab w:pos="2884" w:val="left" w:leader="none"/>
        </w:tabs>
        <w:spacing w:line="240" w:lineRule="auto" w:before="75" w:after="0"/>
        <w:ind w:left="2883" w:right="0" w:hanging="360"/>
        <w:jc w:val="left"/>
        <w:rPr>
          <w:sz w:val="18"/>
        </w:rPr>
      </w:pPr>
      <w:r>
        <w:rPr>
          <w:sz w:val="18"/>
        </w:rPr>
        <w:t>自主生活能力完全丧失，无法独立完成六项基本日常生活活动中的三项或三项以上。</w:t>
      </w:r>
    </w:p>
    <w:p>
      <w:pPr>
        <w:pStyle w:val="BodyText"/>
        <w:spacing w:before="1"/>
        <w:rPr>
          <w:sz w:val="23"/>
        </w:rPr>
      </w:pPr>
    </w:p>
    <w:p>
      <w:pPr>
        <w:pStyle w:val="ListParagraph"/>
        <w:numPr>
          <w:ilvl w:val="0"/>
          <w:numId w:val="19"/>
        </w:numPr>
        <w:tabs>
          <w:tab w:pos="527" w:val="left" w:leader="none"/>
          <w:tab w:pos="2523" w:val="left" w:leader="none"/>
        </w:tabs>
        <w:spacing w:line="240" w:lineRule="auto" w:before="0" w:after="0"/>
        <w:ind w:left="2523" w:right="0" w:hanging="2417"/>
        <w:jc w:val="left"/>
        <w:rPr>
          <w:sz w:val="18"/>
        </w:rPr>
      </w:pPr>
      <w:r>
        <w:rPr>
          <w:b/>
          <w:sz w:val="18"/>
        </w:rPr>
        <w:t>严重帕金森病</w:t>
        <w:tab/>
      </w:r>
      <w:r>
        <w:rPr>
          <w:sz w:val="18"/>
        </w:rPr>
        <w:t>是一种中枢神经系统的退行性疾病</w:t>
      </w:r>
      <w:r>
        <w:rPr>
          <w:spacing w:val="-44"/>
          <w:sz w:val="18"/>
        </w:rPr>
        <w:t>，</w:t>
      </w:r>
      <w:r>
        <w:rPr>
          <w:sz w:val="18"/>
        </w:rPr>
        <w:t>临床表现为震颤麻痹</w:t>
      </w:r>
      <w:r>
        <w:rPr>
          <w:spacing w:val="-44"/>
          <w:sz w:val="18"/>
        </w:rPr>
        <w:t>、</w:t>
      </w:r>
      <w:r>
        <w:rPr>
          <w:sz w:val="18"/>
        </w:rPr>
        <w:t>共济失调等</w:t>
      </w:r>
      <w:r>
        <w:rPr>
          <w:spacing w:val="-44"/>
          <w:sz w:val="18"/>
        </w:rPr>
        <w:t>。</w:t>
      </w:r>
      <w:r>
        <w:rPr>
          <w:sz w:val="18"/>
        </w:rPr>
        <w:t>须满足下列全部条件：</w:t>
      </w:r>
    </w:p>
    <w:p>
      <w:pPr>
        <w:pStyle w:val="ListParagraph"/>
        <w:numPr>
          <w:ilvl w:val="1"/>
          <w:numId w:val="19"/>
        </w:numPr>
        <w:tabs>
          <w:tab w:pos="2884" w:val="left" w:leader="none"/>
        </w:tabs>
        <w:spacing w:line="240" w:lineRule="auto" w:before="76" w:after="0"/>
        <w:ind w:left="2523" w:right="0" w:firstLine="0"/>
        <w:jc w:val="left"/>
        <w:rPr>
          <w:sz w:val="18"/>
        </w:rPr>
      </w:pPr>
      <w:r>
        <w:rPr>
          <w:sz w:val="18"/>
        </w:rPr>
        <w:t>药物治疗无法控制病情；</w:t>
      </w:r>
    </w:p>
    <w:p>
      <w:pPr>
        <w:pStyle w:val="ListParagraph"/>
        <w:numPr>
          <w:ilvl w:val="1"/>
          <w:numId w:val="19"/>
        </w:numPr>
        <w:tabs>
          <w:tab w:pos="2884" w:val="left" w:leader="none"/>
        </w:tabs>
        <w:spacing w:line="316" w:lineRule="auto" w:before="76" w:after="0"/>
        <w:ind w:left="2523" w:right="518" w:firstLine="0"/>
        <w:jc w:val="left"/>
        <w:rPr>
          <w:sz w:val="18"/>
        </w:rPr>
      </w:pPr>
      <w:r>
        <w:rPr>
          <w:sz w:val="18"/>
        </w:rPr>
        <w:t>自主生活能力完全丧失，无法独立完成六项基本日常生活活动中的三项或三项以上。</w:t>
      </w:r>
      <w:r>
        <w:rPr>
          <w:sz w:val="18"/>
          <w:shd w:fill="C0C0C0" w:color="auto" w:val="clear"/>
        </w:rPr>
        <w:t>继发性帕金森综合征不在保障范围内。</w:t>
      </w:r>
    </w:p>
    <w:p>
      <w:pPr>
        <w:spacing w:after="0" w:line="316" w:lineRule="auto"/>
        <w:jc w:val="left"/>
        <w:rPr>
          <w:sz w:val="18"/>
        </w:rPr>
        <w:sectPr>
          <w:type w:val="continuous"/>
          <w:pgSz w:w="11910" w:h="16840"/>
          <w:pgMar w:top="1040" w:bottom="1180" w:left="1080" w:right="760"/>
        </w:sectPr>
      </w:pPr>
    </w:p>
    <w:p>
      <w:pPr>
        <w:pStyle w:val="BodyText"/>
        <w:spacing w:before="0"/>
        <w:rPr>
          <w:sz w:val="20"/>
        </w:rPr>
      </w:pPr>
    </w:p>
    <w:p>
      <w:pPr>
        <w:pStyle w:val="BodyText"/>
        <w:spacing w:before="7"/>
        <w:rPr>
          <w:sz w:val="17"/>
        </w:rPr>
      </w:pPr>
    </w:p>
    <w:p>
      <w:pPr>
        <w:pStyle w:val="ListParagraph"/>
        <w:numPr>
          <w:ilvl w:val="0"/>
          <w:numId w:val="19"/>
        </w:numPr>
        <w:tabs>
          <w:tab w:pos="527" w:val="left" w:leader="none"/>
          <w:tab w:pos="2523" w:val="left" w:leader="none"/>
        </w:tabs>
        <w:spacing w:line="316" w:lineRule="auto" w:before="45" w:after="0"/>
        <w:ind w:left="2523" w:right="197" w:hanging="2417"/>
        <w:jc w:val="left"/>
        <w:rPr>
          <w:sz w:val="18"/>
        </w:rPr>
      </w:pPr>
      <w:r>
        <w:rPr>
          <w:b/>
          <w:sz w:val="18"/>
        </w:rPr>
        <w:t>严重Ⅲ度烧伤</w:t>
        <w:tab/>
      </w:r>
      <w:r>
        <w:rPr>
          <w:sz w:val="18"/>
        </w:rPr>
        <w:t>指烧伤程度为Ⅲ度</w:t>
      </w:r>
      <w:r>
        <w:rPr>
          <w:spacing w:val="-74"/>
          <w:sz w:val="18"/>
        </w:rPr>
        <w:t>，</w:t>
      </w:r>
      <w:r>
        <w:rPr>
          <w:sz w:val="18"/>
        </w:rPr>
        <w:t>且Ⅲ度烧伤面积达到全身体表面积的</w:t>
      </w:r>
      <w:r>
        <w:rPr>
          <w:spacing w:val="-45"/>
          <w:sz w:val="18"/>
        </w:rPr>
        <w:t> </w:t>
      </w:r>
      <w:r>
        <w:rPr>
          <w:sz w:val="18"/>
        </w:rPr>
        <w:t>20％或</w:t>
      </w:r>
      <w:r>
        <w:rPr>
          <w:spacing w:val="-45"/>
          <w:sz w:val="18"/>
        </w:rPr>
        <w:t> </w:t>
      </w:r>
      <w:r>
        <w:rPr>
          <w:sz w:val="18"/>
        </w:rPr>
        <w:t>20％以上</w:t>
      </w:r>
      <w:r>
        <w:rPr>
          <w:spacing w:val="-74"/>
          <w:sz w:val="18"/>
        </w:rPr>
        <w:t>。</w:t>
      </w:r>
      <w:r>
        <w:rPr>
          <w:sz w:val="18"/>
        </w:rPr>
        <w:t>体表面积根</w:t>
      </w:r>
      <w:r>
        <w:rPr>
          <w:spacing w:val="15"/>
          <w:sz w:val="18"/>
        </w:rPr>
        <w:t>据</w:t>
      </w:r>
      <w:r>
        <w:rPr>
          <w:sz w:val="18"/>
        </w:rPr>
        <w:t>《中国新九分法》计算。</w:t>
      </w:r>
    </w:p>
    <w:p>
      <w:pPr>
        <w:pStyle w:val="BodyText"/>
        <w:spacing w:before="4"/>
        <w:rPr>
          <w:sz w:val="15"/>
        </w:rPr>
      </w:pPr>
    </w:p>
    <w:p>
      <w:pPr>
        <w:spacing w:after="0"/>
        <w:rPr>
          <w:sz w:val="15"/>
        </w:rPr>
        <w:sectPr>
          <w:pgSz w:w="11910" w:h="16840"/>
          <w:pgMar w:header="877" w:footer="981" w:top="1100" w:bottom="1180" w:left="1080" w:right="760"/>
        </w:sectPr>
      </w:pPr>
    </w:p>
    <w:p>
      <w:pPr>
        <w:pStyle w:val="Heading3"/>
        <w:numPr>
          <w:ilvl w:val="0"/>
          <w:numId w:val="19"/>
        </w:numPr>
        <w:tabs>
          <w:tab w:pos="527" w:val="left" w:leader="none"/>
        </w:tabs>
        <w:spacing w:line="316" w:lineRule="auto" w:before="45" w:after="0"/>
        <w:ind w:left="526" w:right="0" w:hanging="420"/>
        <w:jc w:val="left"/>
      </w:pPr>
      <w:r>
        <w:rPr>
          <w:spacing w:val="17"/>
          <w:w w:val="95"/>
        </w:rPr>
        <w:t>严重原发性肺动脉高</w:t>
      </w:r>
      <w:r>
        <w:rPr/>
        <w:t>压</w:t>
      </w:r>
    </w:p>
    <w:p>
      <w:pPr>
        <w:pStyle w:val="BodyText"/>
        <w:spacing w:line="316" w:lineRule="auto" w:before="45"/>
        <w:ind w:left="106" w:right="197"/>
        <w:jc w:val="both"/>
      </w:pPr>
      <w:r>
        <w:rPr/>
        <w:br w:type="column"/>
      </w:r>
      <w:r>
        <w:rPr>
          <w:spacing w:val="-3"/>
        </w:rPr>
        <w:t>指不明原因的肺动脉压力持续性增高，进行性发展而导致的慢性疾病，已经造成永久不可逆性</w:t>
      </w:r>
      <w:r>
        <w:rPr>
          <w:spacing w:val="-2"/>
        </w:rPr>
        <w:t>的体力活动能力受限，达到美国纽约心脏病学会心功能状态分级</w:t>
      </w:r>
      <w:r>
        <w:rPr/>
        <w:t>IV</w:t>
      </w:r>
      <w:r>
        <w:rPr>
          <w:spacing w:val="-7"/>
        </w:rPr>
        <w:t> 级，且静息状态下肺动脉</w:t>
      </w:r>
      <w:r>
        <w:rPr>
          <w:spacing w:val="-14"/>
        </w:rPr>
        <w:t>平均压超过 </w:t>
      </w:r>
      <w:r>
        <w:rPr/>
        <w:t>30mmHg。</w:t>
      </w:r>
    </w:p>
    <w:p>
      <w:pPr>
        <w:spacing w:after="0" w:line="316" w:lineRule="auto"/>
        <w:jc w:val="both"/>
        <w:sectPr>
          <w:type w:val="continuous"/>
          <w:pgSz w:w="11910" w:h="16840"/>
          <w:pgMar w:top="1040" w:bottom="1180" w:left="1080" w:right="760"/>
          <w:cols w:num="2" w:equalWidth="0">
            <w:col w:w="2328" w:space="88"/>
            <w:col w:w="7654"/>
          </w:cols>
        </w:sectPr>
      </w:pPr>
    </w:p>
    <w:p>
      <w:pPr>
        <w:pStyle w:val="BodyText"/>
        <w:spacing w:before="4"/>
        <w:rPr>
          <w:sz w:val="15"/>
        </w:rPr>
      </w:pPr>
    </w:p>
    <w:p>
      <w:pPr>
        <w:pStyle w:val="ListParagraph"/>
        <w:numPr>
          <w:ilvl w:val="0"/>
          <w:numId w:val="19"/>
        </w:numPr>
        <w:tabs>
          <w:tab w:pos="527" w:val="left" w:leader="none"/>
        </w:tabs>
        <w:spacing w:line="316" w:lineRule="auto" w:before="45" w:after="0"/>
        <w:ind w:left="2523" w:right="197" w:hanging="2417"/>
        <w:jc w:val="both"/>
        <w:rPr>
          <w:sz w:val="18"/>
        </w:rPr>
      </w:pPr>
      <w:r>
        <w:rPr>
          <w:b/>
          <w:sz w:val="18"/>
        </w:rPr>
        <w:t>严重运动神经元病     </w:t>
      </w:r>
      <w:r>
        <w:rPr>
          <w:spacing w:val="-2"/>
          <w:sz w:val="18"/>
        </w:rPr>
        <w:t>是一组中枢神经系统运动神经元的进行性变性疾病，包括进行性脊肌萎缩症、进行性延髓麻痹</w:t>
      </w:r>
      <w:r>
        <w:rPr>
          <w:spacing w:val="-6"/>
          <w:sz w:val="18"/>
        </w:rPr>
        <w:t>症、原发性侧索硬化症、肌萎缩性侧索硬化症。须满足自主生活能力完全丧失，无法独立完成六项基本日常生活活动中的三项或三项以上的条件。</w:t>
      </w:r>
    </w:p>
    <w:p>
      <w:pPr>
        <w:pStyle w:val="BodyText"/>
        <w:spacing w:before="10"/>
      </w:pPr>
    </w:p>
    <w:p>
      <w:pPr>
        <w:pStyle w:val="ListParagraph"/>
        <w:numPr>
          <w:ilvl w:val="0"/>
          <w:numId w:val="19"/>
        </w:numPr>
        <w:tabs>
          <w:tab w:pos="527" w:val="left" w:leader="none"/>
        </w:tabs>
        <w:spacing w:line="316" w:lineRule="auto" w:before="0" w:after="0"/>
        <w:ind w:left="2523" w:right="248" w:hanging="2417"/>
        <w:jc w:val="both"/>
        <w:rPr>
          <w:sz w:val="18"/>
        </w:rPr>
      </w:pPr>
      <w:r>
        <w:rPr>
          <w:b/>
          <w:sz w:val="18"/>
        </w:rPr>
        <w:t>语言能力丧失 </w:t>
      </w:r>
      <w:r>
        <w:rPr>
          <w:spacing w:val="-2"/>
          <w:sz w:val="18"/>
        </w:rPr>
        <w:t>指因疾病或意外伤害导致完全丧失语言能力，经过积极治疗至少 </w:t>
      </w:r>
      <w:r>
        <w:rPr>
          <w:sz w:val="18"/>
        </w:rPr>
        <w:t>12</w:t>
      </w:r>
      <w:r>
        <w:rPr>
          <w:spacing w:val="-16"/>
          <w:sz w:val="18"/>
        </w:rPr>
        <w:t> 个月</w:t>
      </w:r>
      <w:r>
        <w:rPr>
          <w:sz w:val="18"/>
        </w:rPr>
        <w:t>（声带完全切除不受此时间限制</w:t>
      </w:r>
      <w:r>
        <w:rPr>
          <w:spacing w:val="-90"/>
          <w:sz w:val="18"/>
        </w:rPr>
        <w:t>）</w:t>
      </w:r>
      <w:r>
        <w:rPr>
          <w:sz w:val="18"/>
        </w:rPr>
        <w:t>，仍无法通过现有医疗手段恢复。</w:t>
      </w:r>
    </w:p>
    <w:p>
      <w:pPr>
        <w:pStyle w:val="BodyText"/>
        <w:spacing w:before="18"/>
        <w:ind w:left="2523"/>
      </w:pPr>
      <w:r>
        <w:rPr>
          <w:shd w:fill="C0C0C0" w:color="auto" w:val="clear"/>
        </w:rPr>
        <w:t>精神心理因素所致的语言能力丧失不在保障范围内。</w:t>
      </w:r>
    </w:p>
    <w:p>
      <w:pPr>
        <w:pStyle w:val="BodyText"/>
        <w:spacing w:before="1"/>
        <w:rPr>
          <w:sz w:val="23"/>
        </w:rPr>
      </w:pPr>
    </w:p>
    <w:p>
      <w:pPr>
        <w:pStyle w:val="ListParagraph"/>
        <w:numPr>
          <w:ilvl w:val="0"/>
          <w:numId w:val="19"/>
        </w:numPr>
        <w:tabs>
          <w:tab w:pos="527" w:val="left" w:leader="none"/>
        </w:tabs>
        <w:spacing w:line="316" w:lineRule="auto" w:before="0" w:after="0"/>
        <w:ind w:left="2523" w:right="197" w:hanging="2417"/>
        <w:jc w:val="both"/>
        <w:rPr>
          <w:sz w:val="18"/>
        </w:rPr>
      </w:pPr>
      <w:r>
        <w:rPr>
          <w:b/>
          <w:sz w:val="18"/>
        </w:rPr>
        <w:t>重型再生障碍性贫血   </w:t>
      </w:r>
      <w:r>
        <w:rPr>
          <w:spacing w:val="-2"/>
          <w:sz w:val="18"/>
        </w:rPr>
        <w:t>指因骨髓造血功能慢性持续性衰竭导致的贫血、中性粒细胞减少及血小板减少，须满足以下全部条件：</w:t>
      </w:r>
    </w:p>
    <w:p>
      <w:pPr>
        <w:pStyle w:val="ListParagraph"/>
        <w:numPr>
          <w:ilvl w:val="1"/>
          <w:numId w:val="19"/>
        </w:numPr>
        <w:tabs>
          <w:tab w:pos="2884" w:val="left" w:leader="none"/>
        </w:tabs>
        <w:spacing w:line="240" w:lineRule="auto" w:before="18" w:after="0"/>
        <w:ind w:left="2883" w:right="0" w:hanging="360"/>
        <w:jc w:val="left"/>
        <w:rPr>
          <w:sz w:val="18"/>
        </w:rPr>
      </w:pPr>
      <w:r>
        <w:rPr>
          <w:sz w:val="18"/>
        </w:rPr>
        <w:t>骨髓穿刺检查或骨髓活检结果支持诊断；</w:t>
      </w:r>
    </w:p>
    <w:p>
      <w:pPr>
        <w:pStyle w:val="ListParagraph"/>
        <w:numPr>
          <w:ilvl w:val="1"/>
          <w:numId w:val="19"/>
        </w:numPr>
        <w:tabs>
          <w:tab w:pos="2884" w:val="left" w:leader="none"/>
        </w:tabs>
        <w:spacing w:line="240" w:lineRule="auto" w:before="76" w:after="0"/>
        <w:ind w:left="2883" w:right="0" w:hanging="360"/>
        <w:jc w:val="left"/>
        <w:rPr>
          <w:sz w:val="18"/>
        </w:rPr>
      </w:pPr>
      <w:r>
        <w:rPr>
          <w:sz w:val="18"/>
        </w:rPr>
        <w:t>外周血象必须具备以下三项条件：</w:t>
      </w:r>
    </w:p>
    <w:p>
      <w:pPr>
        <w:pStyle w:val="BodyText"/>
        <w:ind w:left="2973"/>
      </w:pPr>
      <w:r>
        <w:rPr/>
        <w:t>① 中性粒细胞绝对值≤0.5×10</w:t>
      </w:r>
      <w:r>
        <w:rPr>
          <w:b/>
          <w:position w:val="9"/>
          <w:sz w:val="9"/>
        </w:rPr>
        <w:t>9</w:t>
      </w:r>
      <w:r>
        <w:rPr/>
        <w:t>/L ；</w:t>
      </w:r>
    </w:p>
    <w:p>
      <w:pPr>
        <w:pStyle w:val="BodyText"/>
        <w:ind w:left="2973"/>
      </w:pPr>
      <w:r>
        <w:rPr/>
        <w:t>② 网织红细胞＜1%；</w:t>
      </w:r>
    </w:p>
    <w:p>
      <w:pPr>
        <w:pStyle w:val="BodyText"/>
        <w:ind w:left="2973"/>
      </w:pPr>
      <w:r>
        <w:rPr/>
        <w:t>③ 血小板绝对值≤20×10</w:t>
      </w:r>
      <w:r>
        <w:rPr>
          <w:b/>
          <w:position w:val="9"/>
          <w:sz w:val="9"/>
        </w:rPr>
        <w:t>9</w:t>
      </w:r>
      <w:r>
        <w:rPr/>
        <w:t>/L。</w:t>
      </w:r>
    </w:p>
    <w:p>
      <w:pPr>
        <w:pStyle w:val="BodyText"/>
        <w:spacing w:before="3"/>
        <w:rPr>
          <w:sz w:val="23"/>
        </w:rPr>
      </w:pPr>
    </w:p>
    <w:p>
      <w:pPr>
        <w:pStyle w:val="ListParagraph"/>
        <w:numPr>
          <w:ilvl w:val="0"/>
          <w:numId w:val="19"/>
        </w:numPr>
        <w:tabs>
          <w:tab w:pos="527" w:val="left" w:leader="none"/>
          <w:tab w:pos="2523" w:val="left" w:leader="none"/>
        </w:tabs>
        <w:spacing w:line="316" w:lineRule="auto" w:before="0" w:after="0"/>
        <w:ind w:left="2523" w:right="108" w:hanging="2417"/>
        <w:jc w:val="both"/>
        <w:rPr>
          <w:sz w:val="18"/>
        </w:rPr>
      </w:pPr>
      <w:r>
        <w:rPr>
          <w:b/>
          <w:sz w:val="18"/>
        </w:rPr>
        <w:t>主动脉手术</w:t>
        <w:tab/>
      </w:r>
      <w:r>
        <w:rPr>
          <w:sz w:val="18"/>
        </w:rPr>
        <w:t>指为治疗主动脉疾病</w:t>
      </w:r>
      <w:r>
        <w:rPr>
          <w:spacing w:val="-44"/>
          <w:sz w:val="18"/>
        </w:rPr>
        <w:t>，</w:t>
      </w:r>
      <w:r>
        <w:rPr>
          <w:sz w:val="18"/>
        </w:rPr>
        <w:t>实际实施了开胸或开腹进行的切除</w:t>
      </w:r>
      <w:r>
        <w:rPr>
          <w:spacing w:val="-44"/>
          <w:sz w:val="18"/>
        </w:rPr>
        <w:t>、</w:t>
      </w:r>
      <w:r>
        <w:rPr>
          <w:sz w:val="18"/>
        </w:rPr>
        <w:t>置换</w:t>
      </w:r>
      <w:r>
        <w:rPr>
          <w:spacing w:val="-44"/>
          <w:sz w:val="18"/>
        </w:rPr>
        <w:t>、</w:t>
      </w:r>
      <w:r>
        <w:rPr>
          <w:sz w:val="18"/>
        </w:rPr>
        <w:t>修补病损主动脉血管的手术。主动脉指胸主动脉和腹主动脉，</w:t>
      </w:r>
      <w:r>
        <w:rPr>
          <w:sz w:val="18"/>
          <w:shd w:fill="C0C0C0" w:color="auto" w:val="clear"/>
        </w:rPr>
        <w:t>不包括胸主动脉和腹主动脉的分支血管。</w:t>
      </w:r>
    </w:p>
    <w:p>
      <w:pPr>
        <w:pStyle w:val="BodyText"/>
        <w:spacing w:before="18"/>
        <w:ind w:left="2523"/>
      </w:pPr>
      <w:r>
        <w:rPr>
          <w:shd w:fill="C0C0C0" w:color="auto" w:val="clear"/>
        </w:rPr>
        <w:t>动脉内血管成形术不在保障范围内。</w:t>
      </w:r>
    </w:p>
    <w:p>
      <w:pPr>
        <w:pStyle w:val="BodyText"/>
        <w:spacing w:before="1"/>
        <w:rPr>
          <w:sz w:val="23"/>
        </w:rPr>
      </w:pPr>
    </w:p>
    <w:p>
      <w:pPr>
        <w:pStyle w:val="ListParagraph"/>
        <w:numPr>
          <w:ilvl w:val="0"/>
          <w:numId w:val="19"/>
        </w:numPr>
        <w:tabs>
          <w:tab w:pos="527" w:val="left" w:leader="none"/>
          <w:tab w:pos="2523" w:val="left" w:leader="none"/>
        </w:tabs>
        <w:spacing w:line="316" w:lineRule="auto" w:before="0" w:after="0"/>
        <w:ind w:left="2523" w:right="158" w:hanging="2417"/>
        <w:jc w:val="both"/>
        <w:rPr>
          <w:sz w:val="18"/>
        </w:rPr>
      </w:pPr>
      <w:r>
        <w:rPr>
          <w:b/>
          <w:sz w:val="18"/>
        </w:rPr>
        <w:t>植物人</w:t>
        <w:tab/>
      </w:r>
      <w:r>
        <w:rPr>
          <w:sz w:val="18"/>
        </w:rPr>
        <w:t>指经本公司认可的神经科医生确诊，大脑皮质全面坏死，意识完全丧失，但脑干仍保持完好，且此情况维持</w:t>
      </w:r>
      <w:r>
        <w:rPr>
          <w:spacing w:val="-46"/>
          <w:sz w:val="18"/>
        </w:rPr>
        <w:t> </w:t>
      </w:r>
      <w:r>
        <w:rPr>
          <w:sz w:val="18"/>
        </w:rPr>
        <w:t>30</w:t>
      </w:r>
      <w:r>
        <w:rPr>
          <w:spacing w:val="-46"/>
          <w:sz w:val="18"/>
        </w:rPr>
        <w:t> </w:t>
      </w:r>
      <w:r>
        <w:rPr>
          <w:sz w:val="18"/>
        </w:rPr>
        <w:t>天以上。</w:t>
      </w:r>
    </w:p>
    <w:p>
      <w:pPr>
        <w:pStyle w:val="BodyText"/>
        <w:spacing w:before="4"/>
        <w:rPr>
          <w:sz w:val="15"/>
        </w:rPr>
      </w:pPr>
    </w:p>
    <w:p>
      <w:pPr>
        <w:spacing w:after="0"/>
        <w:rPr>
          <w:sz w:val="15"/>
        </w:rPr>
        <w:sectPr>
          <w:type w:val="continuous"/>
          <w:pgSz w:w="11910" w:h="16840"/>
          <w:pgMar w:top="1040" w:bottom="1180" w:left="1080" w:right="760"/>
        </w:sectPr>
      </w:pPr>
    </w:p>
    <w:p>
      <w:pPr>
        <w:pStyle w:val="Heading3"/>
        <w:numPr>
          <w:ilvl w:val="0"/>
          <w:numId w:val="19"/>
        </w:numPr>
        <w:tabs>
          <w:tab w:pos="527" w:val="left" w:leader="none"/>
        </w:tabs>
        <w:spacing w:line="316" w:lineRule="auto" w:before="44" w:after="0"/>
        <w:ind w:left="526" w:right="0" w:hanging="420"/>
        <w:jc w:val="left"/>
      </w:pPr>
      <w:r>
        <w:rPr/>
        <w:t>系统性红斑狼疮并发</w:t>
      </w:r>
      <w:r>
        <w:rPr>
          <w:w w:val="95"/>
        </w:rPr>
        <w:t>重度的肾功能损害</w:t>
      </w:r>
    </w:p>
    <w:p>
      <w:pPr>
        <w:pStyle w:val="BodyText"/>
        <w:spacing w:line="316" w:lineRule="auto" w:before="44"/>
        <w:ind w:left="106" w:right="148"/>
      </w:pPr>
      <w:r>
        <w:rPr/>
        <w:br w:type="column"/>
      </w:r>
      <w:r>
        <w:rPr/>
        <w:t>是一种自身免疫性结缔组织病，于体内有大量致病性自身抗体和免疫复合物，造成组织损伤。理赔须经本公司认可的专科医生确认并同时具备下列情况：</w:t>
      </w:r>
    </w:p>
    <w:p>
      <w:pPr>
        <w:pStyle w:val="ListParagraph"/>
        <w:numPr>
          <w:ilvl w:val="0"/>
          <w:numId w:val="23"/>
        </w:numPr>
        <w:tabs>
          <w:tab w:pos="527" w:val="left" w:leader="none"/>
        </w:tabs>
        <w:spacing w:line="240" w:lineRule="auto" w:before="18" w:after="0"/>
        <w:ind w:left="526" w:right="0" w:hanging="420"/>
        <w:jc w:val="left"/>
        <w:rPr>
          <w:sz w:val="18"/>
        </w:rPr>
      </w:pPr>
      <w:r>
        <w:rPr>
          <w:sz w:val="18"/>
        </w:rPr>
        <w:t>临床表现至少具备如下条件的四个：</w:t>
      </w:r>
    </w:p>
    <w:p>
      <w:pPr>
        <w:pStyle w:val="BodyText"/>
        <w:ind w:left="526"/>
      </w:pPr>
      <w:r>
        <w:rPr/>
        <w:t>①  蝶形红斑或盘形红斑；</w:t>
      </w:r>
    </w:p>
    <w:p>
      <w:pPr>
        <w:pStyle w:val="BodyText"/>
        <w:ind w:left="526"/>
      </w:pPr>
      <w:r>
        <w:rPr/>
        <w:t>②  光敏感；</w:t>
      </w:r>
    </w:p>
    <w:p>
      <w:pPr>
        <w:pStyle w:val="BodyText"/>
        <w:ind w:left="526"/>
      </w:pPr>
      <w:r>
        <w:rPr/>
        <w:t>③  口腔溃疡；</w:t>
      </w:r>
    </w:p>
    <w:p>
      <w:pPr>
        <w:pStyle w:val="BodyText"/>
        <w:ind w:left="526"/>
      </w:pPr>
      <w:r>
        <w:rPr/>
        <w:t>④  非畸形关节炎或关节痛；</w:t>
      </w:r>
    </w:p>
    <w:p>
      <w:pPr>
        <w:pStyle w:val="BodyText"/>
        <w:ind w:left="526"/>
      </w:pPr>
      <w:r>
        <w:rPr/>
        <w:t>⑤  浆膜炎、胸膜炎或心包炎；</w:t>
      </w:r>
    </w:p>
    <w:p>
      <w:pPr>
        <w:pStyle w:val="BodyText"/>
        <w:ind w:left="526"/>
      </w:pPr>
      <w:r>
        <w:rPr/>
        <w:t>⑥  神经系统损伤（抽搐或精神症状</w:t>
      </w:r>
      <w:r>
        <w:rPr>
          <w:spacing w:val="-90"/>
        </w:rPr>
        <w:t>）</w:t>
      </w:r>
      <w:r>
        <w:rPr/>
        <w:t>；</w:t>
      </w:r>
    </w:p>
    <w:p>
      <w:pPr>
        <w:pStyle w:val="BodyText"/>
        <w:ind w:left="526"/>
      </w:pPr>
      <w:r>
        <w:rPr/>
        <w:t>⑦  血象异常（WBC&lt;4000/μl</w:t>
      </w:r>
      <w:r>
        <w:rPr>
          <w:spacing w:val="-10"/>
        </w:rPr>
        <w:t> 或血小板</w:t>
      </w:r>
      <w:r>
        <w:rPr/>
        <w:t>&lt;100000/μl</w:t>
      </w:r>
      <w:r>
        <w:rPr>
          <w:spacing w:val="-8"/>
        </w:rPr>
        <w:t> 或溶血性贫血</w:t>
      </w:r>
      <w:r>
        <w:rPr>
          <w:spacing w:val="-91"/>
        </w:rPr>
        <w:t>）</w:t>
      </w:r>
      <w:r>
        <w:rPr/>
        <w:t>。</w:t>
      </w:r>
    </w:p>
    <w:p>
      <w:pPr>
        <w:pStyle w:val="ListParagraph"/>
        <w:numPr>
          <w:ilvl w:val="0"/>
          <w:numId w:val="23"/>
        </w:numPr>
        <w:tabs>
          <w:tab w:pos="527" w:val="left" w:leader="none"/>
        </w:tabs>
        <w:spacing w:line="240" w:lineRule="auto" w:before="76" w:after="0"/>
        <w:ind w:left="526" w:right="0" w:hanging="420"/>
        <w:jc w:val="left"/>
        <w:rPr>
          <w:sz w:val="18"/>
        </w:rPr>
      </w:pPr>
      <w:r>
        <w:rPr>
          <w:sz w:val="18"/>
        </w:rPr>
        <w:t>检测结果至少具备如下条件的两个：</w:t>
      </w:r>
    </w:p>
    <w:p>
      <w:pPr>
        <w:pStyle w:val="BodyText"/>
        <w:ind w:left="526"/>
      </w:pPr>
      <w:r>
        <w:rPr/>
        <w:t>①  狼疮细胞或抗双链DNA 抗体阳性；</w:t>
      </w:r>
    </w:p>
    <w:p>
      <w:pPr>
        <w:pStyle w:val="BodyText"/>
        <w:ind w:left="526"/>
      </w:pPr>
      <w:r>
        <w:rPr/>
        <w:t>②  抗Sm 抗体阳性；</w:t>
      </w:r>
    </w:p>
    <w:p>
      <w:pPr>
        <w:pStyle w:val="BodyText"/>
        <w:ind w:left="526"/>
      </w:pPr>
      <w:r>
        <w:rPr/>
        <w:t>③  抗核抗体阳性；</w:t>
      </w:r>
    </w:p>
    <w:p>
      <w:pPr>
        <w:pStyle w:val="BodyText"/>
        <w:ind w:left="526"/>
      </w:pPr>
      <w:r>
        <w:rPr/>
        <w:t>④  狼疮带试验阳性；</w:t>
      </w:r>
    </w:p>
    <w:p>
      <w:pPr>
        <w:pStyle w:val="BodyText"/>
        <w:ind w:left="526"/>
      </w:pPr>
      <w:r>
        <w:rPr/>
        <w:t>⑤  C3 补体低于正常。</w:t>
      </w:r>
    </w:p>
    <w:p>
      <w:pPr>
        <w:spacing w:after="0"/>
        <w:sectPr>
          <w:type w:val="continuous"/>
          <w:pgSz w:w="11910" w:h="16840"/>
          <w:pgMar w:top="1040" w:bottom="1180" w:left="1080" w:right="760"/>
          <w:cols w:num="2" w:equalWidth="0">
            <w:col w:w="2155" w:space="262"/>
            <w:col w:w="7653"/>
          </w:cols>
        </w:sectPr>
      </w:pPr>
    </w:p>
    <w:p>
      <w:pPr>
        <w:pStyle w:val="BodyText"/>
        <w:spacing w:before="3"/>
        <w:rPr>
          <w:sz w:val="20"/>
        </w:rPr>
      </w:pPr>
    </w:p>
    <w:p>
      <w:pPr>
        <w:pStyle w:val="ListParagraph"/>
        <w:numPr>
          <w:ilvl w:val="0"/>
          <w:numId w:val="23"/>
        </w:numPr>
        <w:tabs>
          <w:tab w:pos="2974" w:val="left" w:leader="none"/>
        </w:tabs>
        <w:spacing w:line="240" w:lineRule="auto" w:before="44" w:after="0"/>
        <w:ind w:left="2973" w:right="0" w:hanging="450"/>
        <w:jc w:val="left"/>
        <w:rPr>
          <w:sz w:val="18"/>
        </w:rPr>
      </w:pPr>
      <w:r>
        <w:rPr>
          <w:spacing w:val="-2"/>
          <w:sz w:val="18"/>
        </w:rPr>
        <w:t>狼疮肾炎致使肾功能减弱，血肌酐的清除率低于每分钟 </w:t>
      </w:r>
      <w:r>
        <w:rPr>
          <w:sz w:val="18"/>
        </w:rPr>
        <w:t>30ml。</w:t>
      </w:r>
    </w:p>
    <w:p>
      <w:pPr>
        <w:pStyle w:val="BodyText"/>
        <w:spacing w:before="1"/>
        <w:rPr>
          <w:sz w:val="23"/>
        </w:rPr>
      </w:pPr>
    </w:p>
    <w:p>
      <w:pPr>
        <w:pStyle w:val="ListParagraph"/>
        <w:numPr>
          <w:ilvl w:val="0"/>
          <w:numId w:val="19"/>
        </w:numPr>
        <w:tabs>
          <w:tab w:pos="527" w:val="left" w:leader="none"/>
          <w:tab w:pos="2523" w:val="left" w:leader="none"/>
        </w:tabs>
        <w:spacing w:line="316" w:lineRule="auto" w:before="0" w:after="0"/>
        <w:ind w:left="2523" w:right="137" w:hanging="2417"/>
        <w:jc w:val="both"/>
        <w:rPr>
          <w:sz w:val="18"/>
        </w:rPr>
      </w:pPr>
      <w:r>
        <w:rPr>
          <w:b/>
          <w:sz w:val="18"/>
        </w:rPr>
        <w:t>多发性硬化</w:t>
        <w:tab/>
      </w:r>
      <w:r>
        <w:rPr>
          <w:sz w:val="18"/>
        </w:rPr>
        <w:t>指因中枢神经系统脱髓鞘而导致的不可逆的身体部位的功能障碍</w:t>
      </w:r>
      <w:r>
        <w:rPr>
          <w:spacing w:val="-39"/>
          <w:sz w:val="18"/>
        </w:rPr>
        <w:t>，</w:t>
      </w:r>
      <w:r>
        <w:rPr>
          <w:sz w:val="18"/>
        </w:rPr>
        <w:t>需由神经科专家提供明确诊断，并</w:t>
      </w:r>
      <w:r>
        <w:rPr>
          <w:spacing w:val="42"/>
          <w:sz w:val="18"/>
        </w:rPr>
        <w:t>有</w:t>
      </w:r>
      <w:r>
        <w:rPr>
          <w:sz w:val="18"/>
        </w:rPr>
        <w:t>CT</w:t>
      </w:r>
      <w:r>
        <w:rPr>
          <w:spacing w:val="-46"/>
          <w:sz w:val="18"/>
        </w:rPr>
        <w:t> </w:t>
      </w:r>
      <w:r>
        <w:rPr>
          <w:sz w:val="18"/>
        </w:rPr>
        <w:t>或核磁共振检查结果诊断报告。所谓不可逆的身体部位功能障碍指初次诊断为功能障碍后需持续</w:t>
      </w:r>
      <w:r>
        <w:rPr>
          <w:spacing w:val="-46"/>
          <w:sz w:val="18"/>
        </w:rPr>
        <w:t> </w:t>
      </w:r>
      <w:r>
        <w:rPr>
          <w:sz w:val="18"/>
        </w:rPr>
        <w:t>180</w:t>
      </w:r>
      <w:r>
        <w:rPr>
          <w:spacing w:val="-46"/>
          <w:sz w:val="18"/>
        </w:rPr>
        <w:t> </w:t>
      </w:r>
      <w:r>
        <w:rPr>
          <w:sz w:val="18"/>
        </w:rPr>
        <w:t>天以上。</w:t>
      </w:r>
    </w:p>
    <w:p>
      <w:pPr>
        <w:pStyle w:val="BodyText"/>
        <w:spacing w:before="18"/>
        <w:ind w:left="2523"/>
      </w:pPr>
      <w:r>
        <w:rPr/>
        <w:t>由神经科专家提供的明确诊断必须包含以下全部三项内容：</w:t>
      </w:r>
    </w:p>
    <w:p>
      <w:pPr>
        <w:pStyle w:val="ListParagraph"/>
        <w:numPr>
          <w:ilvl w:val="1"/>
          <w:numId w:val="19"/>
        </w:numPr>
        <w:tabs>
          <w:tab w:pos="2921" w:val="left" w:leader="none"/>
        </w:tabs>
        <w:spacing w:line="240" w:lineRule="auto" w:before="76" w:after="0"/>
        <w:ind w:left="2920" w:right="0" w:hanging="397"/>
        <w:jc w:val="left"/>
        <w:rPr>
          <w:sz w:val="18"/>
        </w:rPr>
      </w:pPr>
      <w:r>
        <w:rPr>
          <w:sz w:val="18"/>
        </w:rPr>
        <w:t>明确出现因视神经、脑干和脊髓损伤而导致的临床表现；</w:t>
      </w:r>
    </w:p>
    <w:p>
      <w:pPr>
        <w:pStyle w:val="ListParagraph"/>
        <w:numPr>
          <w:ilvl w:val="1"/>
          <w:numId w:val="19"/>
        </w:numPr>
        <w:tabs>
          <w:tab w:pos="2921" w:val="left" w:leader="none"/>
        </w:tabs>
        <w:spacing w:line="240" w:lineRule="auto" w:before="76" w:after="0"/>
        <w:ind w:left="2920" w:right="0" w:hanging="397"/>
        <w:jc w:val="left"/>
        <w:rPr>
          <w:sz w:val="18"/>
        </w:rPr>
      </w:pPr>
      <w:r>
        <w:rPr>
          <w:sz w:val="18"/>
        </w:rPr>
        <w:t>散在的身体损害的多样性；</w:t>
      </w:r>
    </w:p>
    <w:p>
      <w:pPr>
        <w:pStyle w:val="ListParagraph"/>
        <w:numPr>
          <w:ilvl w:val="1"/>
          <w:numId w:val="19"/>
        </w:numPr>
        <w:tabs>
          <w:tab w:pos="2921" w:val="left" w:leader="none"/>
        </w:tabs>
        <w:spacing w:line="240" w:lineRule="auto" w:before="76" w:after="0"/>
        <w:ind w:left="2920" w:right="0" w:hanging="397"/>
        <w:jc w:val="left"/>
        <w:rPr>
          <w:sz w:val="18"/>
        </w:rPr>
      </w:pPr>
      <w:r>
        <w:rPr>
          <w:sz w:val="18"/>
        </w:rPr>
        <w:t>有明确的上述症状及神经损伤反复恶化、减轻的病史纪录。</w:t>
      </w:r>
    </w:p>
    <w:p>
      <w:pPr>
        <w:pStyle w:val="BodyText"/>
        <w:spacing w:before="2"/>
        <w:rPr>
          <w:sz w:val="23"/>
        </w:rPr>
      </w:pPr>
    </w:p>
    <w:p>
      <w:pPr>
        <w:pStyle w:val="ListParagraph"/>
        <w:numPr>
          <w:ilvl w:val="0"/>
          <w:numId w:val="19"/>
        </w:numPr>
        <w:tabs>
          <w:tab w:pos="527" w:val="left" w:leader="none"/>
          <w:tab w:pos="2523" w:val="left" w:leader="none"/>
        </w:tabs>
        <w:spacing w:line="240" w:lineRule="auto" w:before="0" w:after="0"/>
        <w:ind w:left="2523" w:right="0" w:hanging="2417"/>
        <w:jc w:val="left"/>
        <w:rPr>
          <w:sz w:val="18"/>
        </w:rPr>
      </w:pPr>
      <w:r>
        <w:rPr>
          <w:b/>
          <w:sz w:val="18"/>
        </w:rPr>
        <w:t>1</w:t>
      </w:r>
      <w:r>
        <w:rPr>
          <w:b/>
          <w:spacing w:val="-45"/>
          <w:sz w:val="18"/>
        </w:rPr>
        <w:t> </w:t>
      </w:r>
      <w:r>
        <w:rPr>
          <w:b/>
          <w:sz w:val="18"/>
        </w:rPr>
        <w:t>型糖尿病</w:t>
        <w:tab/>
      </w:r>
      <w:r>
        <w:rPr>
          <w:sz w:val="18"/>
        </w:rPr>
        <w:t>1</w:t>
      </w:r>
      <w:r>
        <w:rPr>
          <w:spacing w:val="-46"/>
          <w:sz w:val="18"/>
        </w:rPr>
        <w:t> </w:t>
      </w:r>
      <w:r>
        <w:rPr>
          <w:sz w:val="18"/>
        </w:rPr>
        <w:t>型糖尿病是由于胰岛素分泌不足引起的慢性血糖升高，并需持续性地依赖外源性胰岛素维持</w:t>
      </w:r>
    </w:p>
    <w:p>
      <w:pPr>
        <w:pStyle w:val="BodyText"/>
        <w:spacing w:line="316" w:lineRule="auto"/>
        <w:ind w:left="2523" w:right="144"/>
      </w:pPr>
      <w:r>
        <w:rPr/>
        <w:t>180</w:t>
      </w:r>
      <w:r>
        <w:rPr>
          <w:spacing w:val="-7"/>
        </w:rPr>
        <w:t> 天以上，须由本公司认可的有资格的内分泌医生确诊并在本合同保险责任有效期内，满足下述至少一个条件：</w:t>
      </w:r>
    </w:p>
    <w:p>
      <w:pPr>
        <w:pStyle w:val="ListParagraph"/>
        <w:numPr>
          <w:ilvl w:val="0"/>
          <w:numId w:val="24"/>
        </w:numPr>
        <w:tabs>
          <w:tab w:pos="2944" w:val="left" w:leader="none"/>
        </w:tabs>
        <w:spacing w:line="240" w:lineRule="auto" w:before="18" w:after="0"/>
        <w:ind w:left="2943" w:right="0" w:hanging="420"/>
        <w:jc w:val="left"/>
        <w:rPr>
          <w:sz w:val="18"/>
        </w:rPr>
      </w:pPr>
      <w:r>
        <w:rPr>
          <w:sz w:val="18"/>
        </w:rPr>
        <w:t>本公司认可的内分泌医生确诊已出现增殖性视网膜病变；</w:t>
      </w:r>
    </w:p>
    <w:p>
      <w:pPr>
        <w:pStyle w:val="ListParagraph"/>
        <w:numPr>
          <w:ilvl w:val="0"/>
          <w:numId w:val="24"/>
        </w:numPr>
        <w:tabs>
          <w:tab w:pos="2944" w:val="left" w:leader="none"/>
        </w:tabs>
        <w:spacing w:line="240" w:lineRule="auto" w:before="76" w:after="0"/>
        <w:ind w:left="2943" w:right="0" w:hanging="420"/>
        <w:jc w:val="left"/>
        <w:rPr>
          <w:sz w:val="18"/>
        </w:rPr>
      </w:pPr>
      <w:r>
        <w:rPr>
          <w:sz w:val="18"/>
        </w:rPr>
        <w:t>须植入心脏起搏器治疗心脏病；</w:t>
      </w:r>
    </w:p>
    <w:p>
      <w:pPr>
        <w:pStyle w:val="ListParagraph"/>
        <w:numPr>
          <w:ilvl w:val="0"/>
          <w:numId w:val="24"/>
        </w:numPr>
        <w:tabs>
          <w:tab w:pos="2944" w:val="left" w:leader="none"/>
        </w:tabs>
        <w:spacing w:line="240" w:lineRule="auto" w:before="76" w:after="0"/>
        <w:ind w:left="2943" w:right="0" w:hanging="420"/>
        <w:jc w:val="left"/>
        <w:rPr>
          <w:sz w:val="18"/>
        </w:rPr>
      </w:pPr>
      <w:r>
        <w:rPr>
          <w:sz w:val="18"/>
        </w:rPr>
        <w:t>因坏疽需切除一只或以上脚趾。</w:t>
      </w:r>
    </w:p>
    <w:p>
      <w:pPr>
        <w:pStyle w:val="BodyText"/>
        <w:spacing w:before="1"/>
        <w:rPr>
          <w:sz w:val="23"/>
        </w:rPr>
      </w:pPr>
    </w:p>
    <w:p>
      <w:pPr>
        <w:pStyle w:val="ListParagraph"/>
        <w:numPr>
          <w:ilvl w:val="0"/>
          <w:numId w:val="19"/>
        </w:numPr>
        <w:tabs>
          <w:tab w:pos="527" w:val="left" w:leader="none"/>
        </w:tabs>
        <w:spacing w:line="316" w:lineRule="auto" w:before="1" w:after="0"/>
        <w:ind w:left="2523" w:right="241" w:hanging="2417"/>
        <w:jc w:val="both"/>
        <w:rPr>
          <w:sz w:val="18"/>
        </w:rPr>
      </w:pPr>
      <w:r>
        <w:rPr>
          <w:b/>
          <w:sz w:val="18"/>
        </w:rPr>
        <w:t>原发性心肌病         </w:t>
      </w:r>
      <w:r>
        <w:rPr>
          <w:sz w:val="18"/>
        </w:rPr>
        <w:t>指不明原因引起的一类心肌病变，包括原发性扩张型心肌病、原发性肥厚型心肌病及原发性限制型心肌病三种，病变必须已造成事实上心室功能障碍而出现明显的心功能衰竭（美国纽约心脏协会心功能分类标准心功能达四级</w:t>
      </w:r>
      <w:r>
        <w:rPr>
          <w:spacing w:val="-72"/>
          <w:sz w:val="18"/>
        </w:rPr>
        <w:t>）</w:t>
      </w:r>
      <w:r>
        <w:rPr>
          <w:spacing w:val="-9"/>
          <w:sz w:val="18"/>
        </w:rPr>
        <w:t>，且有相关住院医疗记录显示四级心功能衰竭状态</w:t>
      </w:r>
      <w:r>
        <w:rPr>
          <w:spacing w:val="-17"/>
          <w:sz w:val="18"/>
        </w:rPr>
        <w:t>持续至少 </w:t>
      </w:r>
      <w:r>
        <w:rPr>
          <w:sz w:val="18"/>
        </w:rPr>
        <w:t>180</w:t>
      </w:r>
      <w:r>
        <w:rPr>
          <w:spacing w:val="-16"/>
          <w:sz w:val="18"/>
        </w:rPr>
        <w:t> 天。</w:t>
      </w:r>
    </w:p>
    <w:p>
      <w:pPr>
        <w:pStyle w:val="BodyText"/>
        <w:spacing w:line="316" w:lineRule="auto" w:before="19"/>
        <w:ind w:left="2523" w:right="278"/>
        <w:jc w:val="both"/>
      </w:pPr>
      <w:r>
        <w:rPr/>
        <w:t>本病须经专科医师明确诊断。</w:t>
      </w:r>
      <w:r>
        <w:rPr>
          <w:shd w:fill="C0C0C0" w:color="auto" w:val="clear"/>
        </w:rPr>
        <w:t>继发于全身性疾病或其它器官系统疾病造成的心肌病变除外。</w:t>
      </w:r>
      <w:r>
        <w:rPr/>
        <w:t>美国纽约心脏协会分类标准心功能四级是指有医院的医疗记录显示病人不能进行任何活动， 休息时仍有心悸、呼吸困难等心力衰竭表现。</w:t>
      </w:r>
    </w:p>
    <w:p>
      <w:pPr>
        <w:pStyle w:val="BodyText"/>
        <w:spacing w:before="10"/>
      </w:pPr>
    </w:p>
    <w:p>
      <w:pPr>
        <w:pStyle w:val="ListParagraph"/>
        <w:numPr>
          <w:ilvl w:val="0"/>
          <w:numId w:val="19"/>
        </w:numPr>
        <w:tabs>
          <w:tab w:pos="527" w:val="left" w:leader="none"/>
          <w:tab w:pos="2523" w:val="left" w:leader="none"/>
        </w:tabs>
        <w:spacing w:line="316" w:lineRule="auto" w:before="0" w:after="0"/>
        <w:ind w:left="2523" w:right="98" w:hanging="2417"/>
        <w:jc w:val="both"/>
        <w:rPr>
          <w:sz w:val="18"/>
        </w:rPr>
      </w:pPr>
      <w:r>
        <w:rPr>
          <w:b/>
          <w:sz w:val="18"/>
        </w:rPr>
        <w:t>重症肌无力</w:t>
        <w:tab/>
      </w:r>
      <w:r>
        <w:rPr>
          <w:sz w:val="18"/>
        </w:rPr>
        <w:t>是指一种神经与肌肉接头部位传递障碍的自身免疫性疾病</w:t>
      </w:r>
      <w:r>
        <w:rPr>
          <w:spacing w:val="-39"/>
          <w:sz w:val="18"/>
        </w:rPr>
        <w:t>，</w:t>
      </w:r>
      <w:r>
        <w:rPr>
          <w:sz w:val="18"/>
        </w:rPr>
        <w:t>临床特征是局部或全身横纹肌于活动时易于疲劳无力，颅神经眼外肌最易累及，也可涉及呼吸肌、下肢近端肌群乃至全身肌肉， 须经本公司认可的神经科医师确诊。其诊断必须同时具有下列情况：</w:t>
      </w:r>
    </w:p>
    <w:p>
      <w:pPr>
        <w:pStyle w:val="ListParagraph"/>
        <w:numPr>
          <w:ilvl w:val="1"/>
          <w:numId w:val="19"/>
        </w:numPr>
        <w:tabs>
          <w:tab w:pos="2944" w:val="left" w:leader="none"/>
        </w:tabs>
        <w:spacing w:line="240" w:lineRule="auto" w:before="18" w:after="0"/>
        <w:ind w:left="2943" w:right="0" w:hanging="420"/>
        <w:jc w:val="left"/>
        <w:rPr>
          <w:sz w:val="18"/>
        </w:rPr>
      </w:pPr>
      <w:r>
        <w:rPr>
          <w:sz w:val="18"/>
        </w:rPr>
        <w:t>经药物、胸腺手术治疗一年以上无法控制病情，丧失正常工作能力；</w:t>
      </w:r>
    </w:p>
    <w:p>
      <w:pPr>
        <w:pStyle w:val="ListParagraph"/>
        <w:numPr>
          <w:ilvl w:val="1"/>
          <w:numId w:val="19"/>
        </w:numPr>
        <w:tabs>
          <w:tab w:pos="2944" w:val="left" w:leader="none"/>
        </w:tabs>
        <w:spacing w:line="316" w:lineRule="auto" w:before="75" w:after="0"/>
        <w:ind w:left="2943" w:right="218" w:hanging="420"/>
        <w:jc w:val="left"/>
        <w:rPr>
          <w:sz w:val="18"/>
        </w:rPr>
      </w:pPr>
      <w:r>
        <w:rPr>
          <w:sz w:val="18"/>
        </w:rPr>
        <w:t>出现眼睑下垂，或延髓肌受累引起的构音困难、进食呛咳，或由于肌无力累及延髓肌、呼吸肌而致机体呼吸功能不正常的危急状态即肌无力危象；</w:t>
      </w:r>
    </w:p>
    <w:p>
      <w:pPr>
        <w:pStyle w:val="ListParagraph"/>
        <w:numPr>
          <w:ilvl w:val="1"/>
          <w:numId w:val="19"/>
        </w:numPr>
        <w:tabs>
          <w:tab w:pos="2944" w:val="left" w:leader="none"/>
        </w:tabs>
        <w:spacing w:line="240" w:lineRule="auto" w:before="18" w:after="0"/>
        <w:ind w:left="2943" w:right="0" w:hanging="420"/>
        <w:jc w:val="left"/>
        <w:rPr>
          <w:sz w:val="18"/>
        </w:rPr>
      </w:pPr>
      <w:r>
        <w:rPr>
          <w:sz w:val="18"/>
        </w:rPr>
        <w:t>症状缓解、复发及恶化交替出现，临床接受新斯的明等抗胆碱酯酶药物治疗的病史。</w:t>
      </w:r>
    </w:p>
    <w:p>
      <w:pPr>
        <w:pStyle w:val="BodyText"/>
        <w:spacing w:before="2"/>
        <w:rPr>
          <w:sz w:val="23"/>
        </w:rPr>
      </w:pPr>
    </w:p>
    <w:p>
      <w:pPr>
        <w:pStyle w:val="ListParagraph"/>
        <w:numPr>
          <w:ilvl w:val="0"/>
          <w:numId w:val="19"/>
        </w:numPr>
        <w:tabs>
          <w:tab w:pos="527" w:val="left" w:leader="none"/>
          <w:tab w:pos="2523" w:val="left" w:leader="none"/>
        </w:tabs>
        <w:spacing w:line="316" w:lineRule="auto" w:before="0" w:after="0"/>
        <w:ind w:left="2523" w:right="137" w:hanging="2417"/>
        <w:jc w:val="left"/>
        <w:rPr>
          <w:sz w:val="18"/>
        </w:rPr>
      </w:pPr>
      <w:r>
        <w:rPr>
          <w:b/>
          <w:sz w:val="18"/>
        </w:rPr>
        <w:t>脊髓灰质炎</w:t>
        <w:tab/>
      </w:r>
      <w:r>
        <w:rPr>
          <w:sz w:val="18"/>
        </w:rPr>
        <w:t>经由本公司认可的神经专科医生确认是由于脊髓灰质炎病毒感染所导致的运动功能障碍或呼吸功能减弱麻痹性瘫痪的疾病</w:t>
      </w:r>
      <w:r>
        <w:rPr>
          <w:spacing w:val="-20"/>
          <w:sz w:val="18"/>
        </w:rPr>
        <w:t>。</w:t>
      </w:r>
      <w:r>
        <w:rPr>
          <w:sz w:val="18"/>
        </w:rPr>
        <w:t>被保险人若无因此感染而导致麻痹性瘫痪的事实结果</w:t>
      </w:r>
      <w:r>
        <w:rPr>
          <w:spacing w:val="-20"/>
          <w:sz w:val="18"/>
        </w:rPr>
        <w:t>，</w:t>
      </w:r>
      <w:r>
        <w:rPr>
          <w:sz w:val="18"/>
        </w:rPr>
        <w:t>则不符合给付保险金的条件。</w:t>
      </w:r>
      <w:r>
        <w:rPr>
          <w:sz w:val="18"/>
          <w:shd w:fill="C0C0C0" w:color="auto" w:val="clear"/>
        </w:rPr>
        <w:t>其它病因所致的麻痹，例如格林巴利综合征则不在此保障范围以内。</w:t>
      </w:r>
    </w:p>
    <w:p>
      <w:pPr>
        <w:pStyle w:val="BodyText"/>
        <w:spacing w:before="3"/>
        <w:rPr>
          <w:sz w:val="17"/>
        </w:rPr>
      </w:pPr>
    </w:p>
    <w:p>
      <w:pPr>
        <w:pStyle w:val="ListParagraph"/>
        <w:numPr>
          <w:ilvl w:val="0"/>
          <w:numId w:val="19"/>
        </w:numPr>
        <w:tabs>
          <w:tab w:pos="527" w:val="left" w:leader="none"/>
        </w:tabs>
        <w:spacing w:line="290" w:lineRule="auto" w:before="0" w:after="0"/>
        <w:ind w:left="2523" w:right="98" w:hanging="2417"/>
        <w:jc w:val="both"/>
        <w:rPr>
          <w:sz w:val="21"/>
        </w:rPr>
      </w:pPr>
      <w:r>
        <w:rPr>
          <w:b/>
          <w:sz w:val="18"/>
        </w:rPr>
        <w:t>急性坏死性胰腺炎     </w:t>
      </w:r>
      <w:r>
        <w:rPr>
          <w:position w:val="1"/>
          <w:sz w:val="18"/>
        </w:rPr>
        <w:t>由本公司指定或认可的医师确诊为急性坏死性胰腺炎，并需进行手术治疗，以进行组织清除、</w:t>
      </w:r>
      <w:r>
        <w:rPr>
          <w:sz w:val="18"/>
        </w:rPr>
        <w:t>病灶切除或胰腺切除。</w:t>
      </w:r>
      <w:r>
        <w:rPr>
          <w:sz w:val="18"/>
          <w:shd w:fill="C0C0C0" w:color="auto" w:val="clear"/>
        </w:rPr>
        <w:t>但因酒精中毒所致的急性坏死性胰腺炎除外。</w:t>
      </w:r>
    </w:p>
    <w:p>
      <w:pPr>
        <w:pStyle w:val="BodyText"/>
        <w:spacing w:before="3"/>
        <w:rPr>
          <w:sz w:val="20"/>
        </w:rPr>
      </w:pPr>
    </w:p>
    <w:p>
      <w:pPr>
        <w:pStyle w:val="ListParagraph"/>
        <w:numPr>
          <w:ilvl w:val="0"/>
          <w:numId w:val="19"/>
        </w:numPr>
        <w:tabs>
          <w:tab w:pos="527" w:val="left" w:leader="none"/>
        </w:tabs>
        <w:spacing w:line="316" w:lineRule="auto" w:before="0" w:after="0"/>
        <w:ind w:left="2523" w:right="137" w:hanging="2417"/>
        <w:jc w:val="both"/>
        <w:rPr>
          <w:sz w:val="18"/>
        </w:rPr>
      </w:pPr>
      <w:r>
        <w:rPr>
          <w:b/>
          <w:sz w:val="18"/>
        </w:rPr>
        <w:t>肌营养不良症         </w:t>
      </w:r>
      <w:r>
        <w:rPr>
          <w:spacing w:val="-3"/>
          <w:sz w:val="18"/>
        </w:rPr>
        <w:t>是一组原发于肌肉的遗传性疾病。主要临床特征为受累骨骼肌肉的无力和萎缩。经本公司认可的神经专科医生确认符合以下四项诊断指标中的三项：</w:t>
      </w:r>
    </w:p>
    <w:p>
      <w:pPr>
        <w:pStyle w:val="ListParagraph"/>
        <w:numPr>
          <w:ilvl w:val="1"/>
          <w:numId w:val="19"/>
        </w:numPr>
        <w:tabs>
          <w:tab w:pos="2944" w:val="left" w:leader="none"/>
        </w:tabs>
        <w:spacing w:line="240" w:lineRule="auto" w:before="18" w:after="0"/>
        <w:ind w:left="2943" w:right="0" w:hanging="420"/>
        <w:jc w:val="left"/>
        <w:rPr>
          <w:sz w:val="18"/>
        </w:rPr>
      </w:pPr>
      <w:r>
        <w:rPr>
          <w:sz w:val="18"/>
        </w:rPr>
        <w:t>家族史中有其他成员患相同疾病；</w:t>
      </w:r>
    </w:p>
    <w:p>
      <w:pPr>
        <w:pStyle w:val="ListParagraph"/>
        <w:numPr>
          <w:ilvl w:val="1"/>
          <w:numId w:val="19"/>
        </w:numPr>
        <w:tabs>
          <w:tab w:pos="2944" w:val="left" w:leader="none"/>
        </w:tabs>
        <w:spacing w:line="240" w:lineRule="auto" w:before="75" w:after="0"/>
        <w:ind w:left="2943" w:right="0" w:hanging="420"/>
        <w:jc w:val="left"/>
        <w:rPr>
          <w:sz w:val="18"/>
        </w:rPr>
      </w:pPr>
      <w:r>
        <w:rPr>
          <w:sz w:val="18"/>
        </w:rPr>
        <w:t>临床表现包括：无感觉神经紊乱，正常脑脊液及轻微腱反射的减退；</w:t>
      </w:r>
    </w:p>
    <w:p>
      <w:pPr>
        <w:pStyle w:val="ListParagraph"/>
        <w:numPr>
          <w:ilvl w:val="1"/>
          <w:numId w:val="19"/>
        </w:numPr>
        <w:tabs>
          <w:tab w:pos="2944" w:val="left" w:leader="none"/>
        </w:tabs>
        <w:spacing w:line="240" w:lineRule="auto" w:before="75" w:after="0"/>
        <w:ind w:left="2943" w:right="0" w:hanging="420"/>
        <w:jc w:val="left"/>
        <w:rPr>
          <w:sz w:val="18"/>
        </w:rPr>
      </w:pPr>
      <w:r>
        <w:rPr>
          <w:sz w:val="18"/>
        </w:rPr>
        <w:t>典型的肌电图；</w:t>
      </w:r>
    </w:p>
    <w:p>
      <w:pPr>
        <w:pStyle w:val="ListParagraph"/>
        <w:numPr>
          <w:ilvl w:val="1"/>
          <w:numId w:val="19"/>
        </w:numPr>
        <w:tabs>
          <w:tab w:pos="2974" w:val="left" w:leader="none"/>
        </w:tabs>
        <w:spacing w:line="240" w:lineRule="auto" w:before="75" w:after="0"/>
        <w:ind w:left="2973" w:right="0" w:hanging="450"/>
        <w:jc w:val="left"/>
        <w:rPr>
          <w:sz w:val="18"/>
        </w:rPr>
      </w:pPr>
      <w:r>
        <w:rPr>
          <w:sz w:val="18"/>
        </w:rPr>
        <w:t>临床推测必须有肌肉或组织检查加以证实。</w:t>
      </w:r>
    </w:p>
    <w:p>
      <w:pPr>
        <w:spacing w:after="0" w:line="240" w:lineRule="auto"/>
        <w:jc w:val="left"/>
        <w:rPr>
          <w:sz w:val="18"/>
        </w:rPr>
        <w:sectPr>
          <w:pgSz w:w="11910" w:h="16840"/>
          <w:pgMar w:header="877" w:footer="981" w:top="1100" w:bottom="1180" w:left="1080" w:right="820"/>
        </w:sectPr>
      </w:pPr>
    </w:p>
    <w:p>
      <w:pPr>
        <w:pStyle w:val="BodyText"/>
        <w:spacing w:before="3"/>
        <w:rPr>
          <w:sz w:val="20"/>
        </w:rPr>
      </w:pPr>
    </w:p>
    <w:p>
      <w:pPr>
        <w:pStyle w:val="ListParagraph"/>
        <w:numPr>
          <w:ilvl w:val="0"/>
          <w:numId w:val="19"/>
        </w:numPr>
        <w:tabs>
          <w:tab w:pos="527" w:val="left" w:leader="none"/>
          <w:tab w:pos="2523" w:val="left" w:leader="none"/>
        </w:tabs>
        <w:spacing w:line="316" w:lineRule="auto" w:before="44" w:after="0"/>
        <w:ind w:left="2523" w:right="197" w:hanging="2417"/>
        <w:jc w:val="left"/>
        <w:rPr>
          <w:sz w:val="18"/>
        </w:rPr>
      </w:pPr>
      <w:r>
        <w:rPr>
          <w:b/>
          <w:sz w:val="18"/>
        </w:rPr>
        <w:t>终末期肺病</w:t>
        <w:tab/>
      </w:r>
      <w:r>
        <w:rPr>
          <w:sz w:val="18"/>
        </w:rPr>
        <w:t>由本公司认可的呼吸专科医生确诊被保险人患有终末期肺病而出现慢性呼吸功能衰竭</w:t>
      </w:r>
      <w:r>
        <w:rPr>
          <w:spacing w:val="-39"/>
          <w:sz w:val="18"/>
        </w:rPr>
        <w:t>，</w:t>
      </w:r>
      <w:r>
        <w:rPr>
          <w:sz w:val="18"/>
        </w:rPr>
        <w:t>其诊断标准包括以下各项：</w:t>
      </w:r>
    </w:p>
    <w:p>
      <w:pPr>
        <w:pStyle w:val="ListParagraph"/>
        <w:numPr>
          <w:ilvl w:val="1"/>
          <w:numId w:val="19"/>
        </w:numPr>
        <w:tabs>
          <w:tab w:pos="2974" w:val="left" w:leader="none"/>
        </w:tabs>
        <w:spacing w:line="240" w:lineRule="auto" w:before="18" w:after="0"/>
        <w:ind w:left="2973" w:right="0" w:hanging="450"/>
        <w:jc w:val="left"/>
        <w:rPr>
          <w:sz w:val="18"/>
        </w:rPr>
      </w:pPr>
      <w:r>
        <w:rPr>
          <w:spacing w:val="6"/>
          <w:sz w:val="18"/>
        </w:rPr>
        <w:t>肺功能测试其</w:t>
      </w:r>
      <w:r>
        <w:rPr>
          <w:sz w:val="18"/>
        </w:rPr>
        <w:t>FEVl</w:t>
      </w:r>
      <w:r>
        <w:rPr>
          <w:spacing w:val="-16"/>
          <w:sz w:val="18"/>
        </w:rPr>
        <w:t> 持续低于 </w:t>
      </w:r>
      <w:r>
        <w:rPr>
          <w:sz w:val="18"/>
        </w:rPr>
        <w:t>0.75</w:t>
      </w:r>
      <w:r>
        <w:rPr>
          <w:spacing w:val="-16"/>
          <w:sz w:val="18"/>
        </w:rPr>
        <w:t> 升；</w:t>
      </w:r>
    </w:p>
    <w:p>
      <w:pPr>
        <w:pStyle w:val="ListParagraph"/>
        <w:numPr>
          <w:ilvl w:val="1"/>
          <w:numId w:val="19"/>
        </w:numPr>
        <w:tabs>
          <w:tab w:pos="2974" w:val="left" w:leader="none"/>
        </w:tabs>
        <w:spacing w:line="240" w:lineRule="auto" w:before="76" w:after="0"/>
        <w:ind w:left="2973" w:right="0" w:hanging="450"/>
        <w:jc w:val="left"/>
        <w:rPr>
          <w:sz w:val="18"/>
        </w:rPr>
      </w:pPr>
      <w:r>
        <w:rPr>
          <w:sz w:val="18"/>
        </w:rPr>
        <w:t>病人缺氧必须广泛而持续地进行输氧治疗；</w:t>
      </w:r>
    </w:p>
    <w:p>
      <w:pPr>
        <w:pStyle w:val="ListParagraph"/>
        <w:numPr>
          <w:ilvl w:val="1"/>
          <w:numId w:val="19"/>
        </w:numPr>
        <w:tabs>
          <w:tab w:pos="2974" w:val="left" w:leader="none"/>
        </w:tabs>
        <w:spacing w:line="240" w:lineRule="auto" w:before="76" w:after="0"/>
        <w:ind w:left="2973" w:right="0" w:hanging="450"/>
        <w:jc w:val="left"/>
        <w:rPr>
          <w:sz w:val="18"/>
        </w:rPr>
      </w:pPr>
      <w:r>
        <w:rPr>
          <w:spacing w:val="-4"/>
          <w:sz w:val="18"/>
        </w:rPr>
        <w:t>动脉血气分析氧分压低于 </w:t>
      </w:r>
      <w:r>
        <w:rPr>
          <w:sz w:val="18"/>
        </w:rPr>
        <w:t>55mmHg。</w:t>
      </w:r>
    </w:p>
    <w:p>
      <w:pPr>
        <w:pStyle w:val="BodyText"/>
        <w:ind w:left="2523"/>
      </w:pPr>
      <w:r>
        <w:rPr/>
        <w:t>理赔时必须提供以上各项中相应的医院证明文件或检查报告。</w:t>
      </w:r>
    </w:p>
    <w:p>
      <w:pPr>
        <w:pStyle w:val="BodyText"/>
        <w:spacing w:before="9"/>
        <w:rPr>
          <w:sz w:val="19"/>
        </w:rPr>
      </w:pPr>
    </w:p>
    <w:p>
      <w:pPr>
        <w:spacing w:after="0"/>
        <w:rPr>
          <w:sz w:val="19"/>
        </w:rPr>
        <w:sectPr>
          <w:pgSz w:w="11910" w:h="16840"/>
          <w:pgMar w:header="877" w:footer="981" w:top="1100" w:bottom="1180" w:left="1080" w:right="760"/>
        </w:sectPr>
      </w:pPr>
    </w:p>
    <w:p>
      <w:pPr>
        <w:pStyle w:val="Heading3"/>
        <w:numPr>
          <w:ilvl w:val="0"/>
          <w:numId w:val="19"/>
        </w:numPr>
        <w:tabs>
          <w:tab w:pos="527" w:val="left" w:leader="none"/>
        </w:tabs>
        <w:spacing w:line="316" w:lineRule="auto" w:before="45" w:after="0"/>
        <w:ind w:left="526" w:right="0" w:hanging="420"/>
        <w:jc w:val="left"/>
      </w:pPr>
      <w:r>
        <w:rPr>
          <w:spacing w:val="17"/>
          <w:w w:val="95"/>
        </w:rPr>
        <w:t>经输血感染艾滋病病</w:t>
      </w:r>
      <w:r>
        <w:rPr/>
        <w:t>毒</w:t>
      </w:r>
    </w:p>
    <w:p>
      <w:pPr>
        <w:pStyle w:val="BodyText"/>
        <w:spacing w:before="45"/>
        <w:ind w:left="106"/>
      </w:pPr>
      <w:r>
        <w:rPr/>
        <w:br w:type="column"/>
      </w:r>
      <w:r>
        <w:rPr/>
        <w:t>因输血而被艾滋病病毒（HIV）感染或成为艾滋病患者（AIDS</w:t>
      </w:r>
      <w:r>
        <w:rPr>
          <w:spacing w:val="-90"/>
        </w:rPr>
        <w:t>）</w:t>
      </w:r>
      <w:r>
        <w:rPr/>
        <w:t>，需要满足下列所有条件：</w:t>
      </w:r>
    </w:p>
    <w:p>
      <w:pPr>
        <w:pStyle w:val="ListParagraph"/>
        <w:numPr>
          <w:ilvl w:val="0"/>
          <w:numId w:val="25"/>
        </w:numPr>
        <w:tabs>
          <w:tab w:pos="527" w:val="left" w:leader="none"/>
        </w:tabs>
        <w:spacing w:line="316" w:lineRule="auto" w:before="76" w:after="0"/>
        <w:ind w:left="526" w:right="278" w:hanging="420"/>
        <w:jc w:val="left"/>
        <w:rPr>
          <w:sz w:val="18"/>
        </w:rPr>
      </w:pPr>
      <w:r>
        <w:rPr>
          <w:sz w:val="18"/>
        </w:rPr>
        <w:t>感染是由于必要的医疗性输血引起的，且医疗性输血是在保单生效日后或复效日后发生的；</w:t>
      </w:r>
    </w:p>
    <w:p>
      <w:pPr>
        <w:pStyle w:val="ListParagraph"/>
        <w:numPr>
          <w:ilvl w:val="0"/>
          <w:numId w:val="25"/>
        </w:numPr>
        <w:tabs>
          <w:tab w:pos="527" w:val="left" w:leader="none"/>
        </w:tabs>
        <w:spacing w:line="240" w:lineRule="auto" w:before="19" w:after="0"/>
        <w:ind w:left="526" w:right="0" w:hanging="420"/>
        <w:jc w:val="left"/>
        <w:rPr>
          <w:sz w:val="18"/>
        </w:rPr>
      </w:pPr>
      <w:r>
        <w:rPr>
          <w:sz w:val="18"/>
        </w:rPr>
        <w:t>提供输血的医疗机构承认该项输血感染为医疗责任事故；</w:t>
      </w:r>
    </w:p>
    <w:p>
      <w:pPr>
        <w:pStyle w:val="ListParagraph"/>
        <w:numPr>
          <w:ilvl w:val="0"/>
          <w:numId w:val="25"/>
        </w:numPr>
        <w:tabs>
          <w:tab w:pos="527" w:val="left" w:leader="none"/>
        </w:tabs>
        <w:spacing w:line="240" w:lineRule="auto" w:before="76" w:after="0"/>
        <w:ind w:left="526" w:right="0" w:hanging="420"/>
        <w:jc w:val="left"/>
        <w:rPr>
          <w:sz w:val="18"/>
        </w:rPr>
      </w:pPr>
      <w:r>
        <w:rPr>
          <w:sz w:val="18"/>
        </w:rPr>
        <w:t>被保险人不是血友病患者。</w:t>
      </w:r>
    </w:p>
    <w:p>
      <w:pPr>
        <w:spacing w:after="0" w:line="240" w:lineRule="auto"/>
        <w:jc w:val="left"/>
        <w:rPr>
          <w:sz w:val="18"/>
        </w:rPr>
        <w:sectPr>
          <w:type w:val="continuous"/>
          <w:pgSz w:w="11910" w:h="16840"/>
          <w:pgMar w:top="1040" w:bottom="1180" w:left="1080" w:right="760"/>
          <w:cols w:num="2" w:equalWidth="0">
            <w:col w:w="2328" w:space="88"/>
            <w:col w:w="7654"/>
          </w:cols>
        </w:sectPr>
      </w:pPr>
    </w:p>
    <w:p>
      <w:pPr>
        <w:pStyle w:val="BodyText"/>
        <w:spacing w:before="9"/>
        <w:rPr>
          <w:sz w:val="19"/>
        </w:rPr>
      </w:pPr>
    </w:p>
    <w:p>
      <w:pPr>
        <w:pStyle w:val="ListParagraph"/>
        <w:numPr>
          <w:ilvl w:val="0"/>
          <w:numId w:val="19"/>
        </w:numPr>
        <w:tabs>
          <w:tab w:pos="527" w:val="left" w:leader="none"/>
          <w:tab w:pos="2523" w:val="left" w:leader="none"/>
        </w:tabs>
        <w:spacing w:line="316" w:lineRule="auto" w:before="45" w:after="0"/>
        <w:ind w:left="2523" w:right="108" w:hanging="2417"/>
        <w:jc w:val="left"/>
        <w:rPr>
          <w:sz w:val="18"/>
        </w:rPr>
      </w:pPr>
      <w:r>
        <w:rPr>
          <w:b/>
          <w:sz w:val="18"/>
        </w:rPr>
        <w:t>严重类风湿性关节炎</w:t>
        <w:tab/>
      </w:r>
      <w:r>
        <w:rPr>
          <w:sz w:val="18"/>
        </w:rPr>
        <w:t>是指广泛的慢性渐进性的关节损害</w:t>
      </w:r>
      <w:r>
        <w:rPr>
          <w:spacing w:val="-44"/>
          <w:sz w:val="18"/>
        </w:rPr>
        <w:t>，</w:t>
      </w:r>
      <w:r>
        <w:rPr>
          <w:sz w:val="18"/>
        </w:rPr>
        <w:t>伴有明显的关节畸形</w:t>
      </w:r>
      <w:r>
        <w:rPr>
          <w:spacing w:val="-44"/>
          <w:sz w:val="18"/>
        </w:rPr>
        <w:t>，</w:t>
      </w:r>
      <w:r>
        <w:rPr>
          <w:sz w:val="18"/>
        </w:rPr>
        <w:t>至少累及三个或三个以上关</w:t>
      </w:r>
      <w:r>
        <w:rPr>
          <w:spacing w:val="-44"/>
          <w:sz w:val="18"/>
        </w:rPr>
        <w:t>节</w:t>
      </w:r>
      <w:r>
        <w:rPr>
          <w:sz w:val="18"/>
        </w:rPr>
        <w:t>（如：手，腕，肘，髋，膝，踝关节</w:t>
      </w:r>
      <w:r>
        <w:rPr>
          <w:spacing w:val="-89"/>
          <w:sz w:val="18"/>
        </w:rPr>
        <w:t>）</w:t>
      </w:r>
      <w:r>
        <w:rPr>
          <w:sz w:val="18"/>
        </w:rPr>
        <w:t>。此疾病必须已经导致了自主生活能力完全丧失，不能独立完成六项基本日常生活活动中的三项或三项以上的情形。</w:t>
      </w:r>
    </w:p>
    <w:p>
      <w:pPr>
        <w:pStyle w:val="BodyText"/>
        <w:spacing w:before="19"/>
        <w:ind w:left="2523"/>
      </w:pPr>
      <w:r>
        <w:rPr/>
        <w:t>上述疾病需由专科医生确诊，并提供相应医疗记录以证实上述病情已经存在至少 3 个月。</w:t>
      </w:r>
    </w:p>
    <w:p>
      <w:pPr>
        <w:pStyle w:val="BodyText"/>
        <w:spacing w:before="2"/>
        <w:rPr>
          <w:sz w:val="23"/>
        </w:rPr>
      </w:pPr>
    </w:p>
    <w:p>
      <w:pPr>
        <w:pStyle w:val="ListParagraph"/>
        <w:numPr>
          <w:ilvl w:val="0"/>
          <w:numId w:val="19"/>
        </w:numPr>
        <w:tabs>
          <w:tab w:pos="527" w:val="left" w:leader="none"/>
          <w:tab w:pos="2523" w:val="left" w:leader="none"/>
        </w:tabs>
        <w:spacing w:line="240" w:lineRule="auto" w:before="0" w:after="0"/>
        <w:ind w:left="2523" w:right="0" w:hanging="2417"/>
        <w:jc w:val="left"/>
        <w:rPr>
          <w:sz w:val="18"/>
        </w:rPr>
      </w:pPr>
      <w:r>
        <w:rPr>
          <w:b/>
          <w:sz w:val="18"/>
        </w:rPr>
        <w:t>肾髓质囊性病</w:t>
        <w:tab/>
      </w:r>
      <w:r>
        <w:rPr>
          <w:sz w:val="18"/>
        </w:rPr>
        <w:t>肾髓质囊性病的诊断必须同时符合下列要求：</w:t>
      </w:r>
    </w:p>
    <w:p>
      <w:pPr>
        <w:pStyle w:val="ListParagraph"/>
        <w:numPr>
          <w:ilvl w:val="1"/>
          <w:numId w:val="19"/>
        </w:numPr>
        <w:tabs>
          <w:tab w:pos="2944" w:val="left" w:leader="none"/>
        </w:tabs>
        <w:spacing w:line="240" w:lineRule="auto" w:before="76" w:after="0"/>
        <w:ind w:left="2943" w:right="0" w:hanging="420"/>
        <w:jc w:val="left"/>
        <w:rPr>
          <w:sz w:val="18"/>
        </w:rPr>
      </w:pPr>
      <w:r>
        <w:rPr>
          <w:sz w:val="18"/>
        </w:rPr>
        <w:t>肾髓质有囊肿、肾小管萎缩及间质纤维化等病理改变；</w:t>
      </w:r>
    </w:p>
    <w:p>
      <w:pPr>
        <w:pStyle w:val="ListParagraph"/>
        <w:numPr>
          <w:ilvl w:val="1"/>
          <w:numId w:val="19"/>
        </w:numPr>
        <w:tabs>
          <w:tab w:pos="2944" w:val="left" w:leader="none"/>
        </w:tabs>
        <w:spacing w:line="240" w:lineRule="auto" w:before="76" w:after="0"/>
        <w:ind w:left="2943" w:right="0" w:hanging="420"/>
        <w:jc w:val="left"/>
        <w:rPr>
          <w:sz w:val="18"/>
        </w:rPr>
      </w:pPr>
      <w:r>
        <w:rPr>
          <w:sz w:val="18"/>
        </w:rPr>
        <w:t>贫血、多尿及肾功能衰竭等临床表现；</w:t>
      </w:r>
    </w:p>
    <w:p>
      <w:pPr>
        <w:pStyle w:val="ListParagraph"/>
        <w:numPr>
          <w:ilvl w:val="1"/>
          <w:numId w:val="19"/>
        </w:numPr>
        <w:tabs>
          <w:tab w:pos="2944" w:val="left" w:leader="none"/>
        </w:tabs>
        <w:spacing w:line="240" w:lineRule="auto" w:before="76" w:after="0"/>
        <w:ind w:left="2943" w:right="0" w:hanging="420"/>
        <w:jc w:val="left"/>
        <w:rPr>
          <w:sz w:val="18"/>
        </w:rPr>
      </w:pPr>
      <w:r>
        <w:rPr>
          <w:sz w:val="18"/>
        </w:rPr>
        <w:t>诊断须由肾组织活检确定。</w:t>
      </w:r>
    </w:p>
    <w:p>
      <w:pPr>
        <w:pStyle w:val="BodyText"/>
        <w:spacing w:before="2"/>
        <w:rPr>
          <w:sz w:val="23"/>
        </w:rPr>
      </w:pPr>
    </w:p>
    <w:p>
      <w:pPr>
        <w:pStyle w:val="ListParagraph"/>
        <w:numPr>
          <w:ilvl w:val="0"/>
          <w:numId w:val="19"/>
        </w:numPr>
        <w:tabs>
          <w:tab w:pos="527" w:val="left" w:leader="none"/>
        </w:tabs>
        <w:spacing w:line="316" w:lineRule="auto" w:before="0" w:after="0"/>
        <w:ind w:left="2523" w:right="197" w:hanging="2417"/>
        <w:jc w:val="both"/>
        <w:rPr>
          <w:sz w:val="18"/>
        </w:rPr>
      </w:pPr>
      <w:r>
        <w:rPr>
          <w:b/>
          <w:sz w:val="18"/>
        </w:rPr>
        <w:t>主动脉夹层瘤         </w:t>
      </w:r>
      <w:r>
        <w:rPr>
          <w:spacing w:val="-3"/>
          <w:sz w:val="18"/>
        </w:rPr>
        <w:t>是指主动脉壁在受到某些病理因素的破坏后，高速、高压的主动脉血流将其内膜撕裂，以致主</w:t>
      </w:r>
      <w:r>
        <w:rPr>
          <w:spacing w:val="-5"/>
          <w:sz w:val="18"/>
        </w:rPr>
        <w:t>动脉腔内的血流通过主动脉内膜的破裂口进入主动脉内壁而形成血肿。被保险人需通过电脑断层扫描（CT</w:t>
      </w:r>
      <w:r>
        <w:rPr>
          <w:spacing w:val="-90"/>
          <w:sz w:val="18"/>
        </w:rPr>
        <w:t>）</w:t>
      </w:r>
      <w:r>
        <w:rPr>
          <w:sz w:val="18"/>
        </w:rPr>
        <w:t>、磁共振扫描（MRI</w:t>
      </w:r>
      <w:r>
        <w:rPr>
          <w:spacing w:val="-90"/>
          <w:sz w:val="18"/>
        </w:rPr>
        <w:t>）</w:t>
      </w:r>
      <w:r>
        <w:rPr>
          <w:sz w:val="18"/>
        </w:rPr>
        <w:t>、磁共振血管检验法（MRA）或血管扫描等检查,并须经本公司指定或认可的医疗机构的心血管专科医师确诊。</w:t>
      </w:r>
    </w:p>
    <w:p>
      <w:pPr>
        <w:pStyle w:val="BodyText"/>
        <w:spacing w:before="9"/>
      </w:pPr>
    </w:p>
    <w:p>
      <w:pPr>
        <w:pStyle w:val="ListParagraph"/>
        <w:numPr>
          <w:ilvl w:val="0"/>
          <w:numId w:val="19"/>
        </w:numPr>
        <w:tabs>
          <w:tab w:pos="527" w:val="left" w:leader="none"/>
          <w:tab w:pos="2523" w:val="left" w:leader="none"/>
        </w:tabs>
        <w:spacing w:line="240" w:lineRule="auto" w:before="1" w:after="0"/>
        <w:ind w:left="2523" w:right="0" w:hanging="2417"/>
        <w:jc w:val="left"/>
        <w:rPr>
          <w:sz w:val="18"/>
        </w:rPr>
      </w:pPr>
      <w:r>
        <w:rPr>
          <w:b/>
          <w:sz w:val="18"/>
        </w:rPr>
        <w:t>脑动脉瘤开颅手术</w:t>
        <w:tab/>
      </w:r>
      <w:r>
        <w:rPr>
          <w:sz w:val="18"/>
        </w:rPr>
        <w:t>指确已进行开颅手术以夹闭、修复或切除脑动脉瘤。</w:t>
      </w:r>
      <w:r>
        <w:rPr>
          <w:sz w:val="18"/>
          <w:shd w:fill="C0C0C0" w:color="auto" w:val="clear"/>
        </w:rPr>
        <w:t>但不包括导管及血管内手术。</w:t>
      </w:r>
    </w:p>
    <w:p>
      <w:pPr>
        <w:pStyle w:val="BodyText"/>
        <w:spacing w:before="0"/>
      </w:pPr>
    </w:p>
    <w:p>
      <w:pPr>
        <w:pStyle w:val="BodyText"/>
        <w:spacing w:before="0"/>
      </w:pPr>
    </w:p>
    <w:p>
      <w:pPr>
        <w:pStyle w:val="BodyText"/>
        <w:spacing w:before="0"/>
      </w:pPr>
    </w:p>
    <w:p>
      <w:pPr>
        <w:pStyle w:val="BodyText"/>
        <w:spacing w:before="144"/>
        <w:ind w:left="224"/>
      </w:pPr>
      <w:r>
        <w:rPr/>
        <w:t>注：</w:t>
      </w:r>
    </w:p>
    <w:p>
      <w:pPr>
        <w:pStyle w:val="ListParagraph"/>
        <w:numPr>
          <w:ilvl w:val="0"/>
          <w:numId w:val="26"/>
        </w:numPr>
        <w:tabs>
          <w:tab w:pos="644" w:val="left" w:leader="none"/>
          <w:tab w:pos="645" w:val="left" w:leader="none"/>
        </w:tabs>
        <w:spacing w:line="240" w:lineRule="auto" w:before="76" w:after="0"/>
        <w:ind w:left="644" w:right="0" w:hanging="420"/>
        <w:jc w:val="left"/>
        <w:rPr>
          <w:sz w:val="18"/>
        </w:rPr>
      </w:pPr>
      <w:r>
        <w:rPr>
          <w:sz w:val="18"/>
        </w:rPr>
        <w:t>专科医生</w:t>
      </w:r>
    </w:p>
    <w:p>
      <w:pPr>
        <w:pStyle w:val="BodyText"/>
        <w:ind w:left="644"/>
      </w:pPr>
      <w:r>
        <w:rPr/>
        <w:t>专科医生应当同时满足以下四项资格条件：</w:t>
      </w:r>
    </w:p>
    <w:p>
      <w:pPr>
        <w:pStyle w:val="ListParagraph"/>
        <w:numPr>
          <w:ilvl w:val="1"/>
          <w:numId w:val="26"/>
        </w:numPr>
        <w:tabs>
          <w:tab w:pos="1065" w:val="left" w:leader="none"/>
        </w:tabs>
        <w:spacing w:line="240" w:lineRule="auto" w:before="76" w:after="0"/>
        <w:ind w:left="1064" w:right="0" w:hanging="443"/>
        <w:jc w:val="left"/>
        <w:rPr>
          <w:sz w:val="18"/>
        </w:rPr>
      </w:pPr>
      <w:r>
        <w:rPr>
          <w:spacing w:val="-5"/>
          <w:sz w:val="18"/>
        </w:rPr>
        <w:t>具有有效的中华人民共和国《医师资格证书》；</w:t>
      </w:r>
    </w:p>
    <w:p>
      <w:pPr>
        <w:pStyle w:val="ListParagraph"/>
        <w:numPr>
          <w:ilvl w:val="1"/>
          <w:numId w:val="26"/>
        </w:numPr>
        <w:tabs>
          <w:tab w:pos="1065" w:val="left" w:leader="none"/>
        </w:tabs>
        <w:spacing w:line="240" w:lineRule="auto" w:before="76" w:after="0"/>
        <w:ind w:left="1064" w:right="0" w:hanging="443"/>
        <w:jc w:val="left"/>
        <w:rPr>
          <w:sz w:val="18"/>
        </w:rPr>
      </w:pPr>
      <w:r>
        <w:rPr>
          <w:spacing w:val="-5"/>
          <w:sz w:val="18"/>
        </w:rPr>
        <w:t>具有有效的中华人民共和国《医师执业证书》，并按期到相关部门登记注册；</w:t>
      </w:r>
    </w:p>
    <w:p>
      <w:pPr>
        <w:pStyle w:val="ListParagraph"/>
        <w:numPr>
          <w:ilvl w:val="1"/>
          <w:numId w:val="26"/>
        </w:numPr>
        <w:tabs>
          <w:tab w:pos="1065" w:val="left" w:leader="none"/>
        </w:tabs>
        <w:spacing w:line="240" w:lineRule="auto" w:before="76" w:after="0"/>
        <w:ind w:left="1064" w:right="0" w:hanging="443"/>
        <w:jc w:val="left"/>
        <w:rPr>
          <w:sz w:val="18"/>
        </w:rPr>
      </w:pPr>
      <w:r>
        <w:rPr>
          <w:spacing w:val="-3"/>
          <w:sz w:val="18"/>
        </w:rPr>
        <w:t>具有有效的中华人民共和国主治医师或主治医师以上职称的《医师职称证书》；</w:t>
      </w:r>
    </w:p>
    <w:p>
      <w:pPr>
        <w:pStyle w:val="ListParagraph"/>
        <w:numPr>
          <w:ilvl w:val="1"/>
          <w:numId w:val="26"/>
        </w:numPr>
        <w:tabs>
          <w:tab w:pos="1065" w:val="left" w:leader="none"/>
        </w:tabs>
        <w:spacing w:line="240" w:lineRule="auto" w:before="76" w:after="0"/>
        <w:ind w:left="1064" w:right="0" w:hanging="443"/>
        <w:jc w:val="left"/>
        <w:rPr>
          <w:sz w:val="18"/>
        </w:rPr>
      </w:pPr>
      <w:r>
        <w:rPr>
          <w:sz w:val="18"/>
        </w:rPr>
        <w:t>在二级或二级以上医院的相应科室从事临床工作三年以上。</w:t>
      </w:r>
    </w:p>
    <w:p>
      <w:pPr>
        <w:pStyle w:val="ListParagraph"/>
        <w:numPr>
          <w:ilvl w:val="0"/>
          <w:numId w:val="26"/>
        </w:numPr>
        <w:tabs>
          <w:tab w:pos="644" w:val="left" w:leader="none"/>
          <w:tab w:pos="645" w:val="left" w:leader="none"/>
        </w:tabs>
        <w:spacing w:line="240" w:lineRule="auto" w:before="76" w:after="0"/>
        <w:ind w:left="644" w:right="0" w:hanging="420"/>
        <w:jc w:val="left"/>
        <w:rPr>
          <w:sz w:val="18"/>
        </w:rPr>
      </w:pPr>
      <w:r>
        <w:rPr>
          <w:sz w:val="18"/>
        </w:rPr>
        <w:t>肢体机能完全丧失</w:t>
      </w:r>
    </w:p>
    <w:p>
      <w:pPr>
        <w:pStyle w:val="BodyText"/>
        <w:ind w:left="644"/>
      </w:pPr>
      <w:r>
        <w:rPr/>
        <w:t>指肢体的三大关节中的两大关节僵硬，或不能随意识活动。肢体是指包括肩关节的整个上肢或包括髋关节的整个下肢。</w:t>
      </w:r>
    </w:p>
    <w:p>
      <w:pPr>
        <w:pStyle w:val="ListParagraph"/>
        <w:numPr>
          <w:ilvl w:val="0"/>
          <w:numId w:val="26"/>
        </w:numPr>
        <w:tabs>
          <w:tab w:pos="644" w:val="left" w:leader="none"/>
          <w:tab w:pos="645" w:val="left" w:leader="none"/>
        </w:tabs>
        <w:spacing w:line="240" w:lineRule="auto" w:before="76" w:after="0"/>
        <w:ind w:left="644" w:right="0" w:hanging="420"/>
        <w:jc w:val="left"/>
        <w:rPr>
          <w:sz w:val="18"/>
        </w:rPr>
      </w:pPr>
      <w:r>
        <w:rPr>
          <w:sz w:val="18"/>
        </w:rPr>
        <w:t>咀嚼吞咽能力完全丧失</w:t>
      </w:r>
    </w:p>
    <w:p>
      <w:pPr>
        <w:pStyle w:val="BodyText"/>
        <w:ind w:left="644"/>
      </w:pPr>
      <w:r>
        <w:rPr/>
        <w:t>指因牙齿以外的原因导致器质障碍或机能障碍，以致不能作咀嚼吞咽运动，除流质食物外不能摄取或吞咽的状态。</w:t>
      </w:r>
    </w:p>
    <w:p>
      <w:pPr>
        <w:pStyle w:val="ListParagraph"/>
        <w:numPr>
          <w:ilvl w:val="0"/>
          <w:numId w:val="26"/>
        </w:numPr>
        <w:tabs>
          <w:tab w:pos="644" w:val="left" w:leader="none"/>
          <w:tab w:pos="645" w:val="left" w:leader="none"/>
        </w:tabs>
        <w:spacing w:line="240" w:lineRule="auto" w:before="76" w:after="0"/>
        <w:ind w:left="644" w:right="0" w:hanging="420"/>
        <w:jc w:val="left"/>
        <w:rPr>
          <w:sz w:val="18"/>
        </w:rPr>
      </w:pPr>
      <w:r>
        <w:rPr>
          <w:sz w:val="18"/>
        </w:rPr>
        <w:t>语言能力完全丧失</w:t>
      </w:r>
    </w:p>
    <w:p>
      <w:pPr>
        <w:pStyle w:val="BodyText"/>
        <w:spacing w:line="316" w:lineRule="auto"/>
        <w:ind w:left="644" w:right="240"/>
      </w:pPr>
      <w:r>
        <w:rPr/>
        <w:t>指无法发出四种语音（包括口唇音、齿舌音、口盖音和喉头音）中的任何三种、或声带全部切除，或因大脑语言中枢受伤害而患失语症。</w:t>
      </w:r>
    </w:p>
    <w:p>
      <w:pPr>
        <w:pStyle w:val="ListParagraph"/>
        <w:numPr>
          <w:ilvl w:val="0"/>
          <w:numId w:val="26"/>
        </w:numPr>
        <w:tabs>
          <w:tab w:pos="644" w:val="left" w:leader="none"/>
          <w:tab w:pos="645" w:val="left" w:leader="none"/>
        </w:tabs>
        <w:spacing w:line="240" w:lineRule="auto" w:before="19" w:after="0"/>
        <w:ind w:left="644" w:right="0" w:hanging="420"/>
        <w:jc w:val="left"/>
        <w:rPr>
          <w:sz w:val="18"/>
        </w:rPr>
      </w:pPr>
      <w:r>
        <w:rPr>
          <w:sz w:val="18"/>
        </w:rPr>
        <w:t>六项基本日常生活活动</w:t>
      </w:r>
    </w:p>
    <w:p>
      <w:pPr>
        <w:spacing w:after="0" w:line="240" w:lineRule="auto"/>
        <w:jc w:val="left"/>
        <w:rPr>
          <w:sz w:val="18"/>
        </w:rPr>
        <w:sectPr>
          <w:type w:val="continuous"/>
          <w:pgSz w:w="11910" w:h="16840"/>
          <w:pgMar w:top="1040" w:bottom="1180" w:left="1080" w:right="760"/>
        </w:sectPr>
      </w:pPr>
    </w:p>
    <w:p>
      <w:pPr>
        <w:pStyle w:val="BodyText"/>
        <w:spacing w:before="3"/>
        <w:rPr>
          <w:sz w:val="20"/>
        </w:rPr>
      </w:pPr>
    </w:p>
    <w:p>
      <w:pPr>
        <w:pStyle w:val="ListParagraph"/>
        <w:numPr>
          <w:ilvl w:val="1"/>
          <w:numId w:val="26"/>
        </w:numPr>
        <w:tabs>
          <w:tab w:pos="985" w:val="left" w:leader="none"/>
        </w:tabs>
        <w:spacing w:line="240" w:lineRule="auto" w:before="44" w:after="0"/>
        <w:ind w:left="984" w:right="0" w:hanging="443"/>
        <w:jc w:val="left"/>
        <w:rPr>
          <w:sz w:val="18"/>
        </w:rPr>
      </w:pPr>
      <w:r>
        <w:rPr>
          <w:sz w:val="18"/>
        </w:rPr>
        <w:t>穿衣：自己能够穿衣及脱衣；</w:t>
      </w:r>
    </w:p>
    <w:p>
      <w:pPr>
        <w:pStyle w:val="ListParagraph"/>
        <w:numPr>
          <w:ilvl w:val="1"/>
          <w:numId w:val="26"/>
        </w:numPr>
        <w:tabs>
          <w:tab w:pos="985" w:val="left" w:leader="none"/>
        </w:tabs>
        <w:spacing w:line="240" w:lineRule="auto" w:before="76" w:after="0"/>
        <w:ind w:left="984" w:right="0" w:hanging="443"/>
        <w:jc w:val="left"/>
        <w:rPr>
          <w:sz w:val="18"/>
        </w:rPr>
      </w:pPr>
      <w:r>
        <w:rPr>
          <w:sz w:val="18"/>
        </w:rPr>
        <w:t>移动：自己从一个房间到另一个房间；</w:t>
      </w:r>
    </w:p>
    <w:p>
      <w:pPr>
        <w:pStyle w:val="ListParagraph"/>
        <w:numPr>
          <w:ilvl w:val="1"/>
          <w:numId w:val="26"/>
        </w:numPr>
        <w:tabs>
          <w:tab w:pos="985" w:val="left" w:leader="none"/>
        </w:tabs>
        <w:spacing w:line="240" w:lineRule="auto" w:before="76" w:after="0"/>
        <w:ind w:left="984" w:right="0" w:hanging="443"/>
        <w:jc w:val="left"/>
        <w:rPr>
          <w:sz w:val="18"/>
        </w:rPr>
      </w:pPr>
      <w:r>
        <w:rPr>
          <w:sz w:val="18"/>
        </w:rPr>
        <w:t>行动：自己上下床或上下轮椅；</w:t>
      </w:r>
    </w:p>
    <w:p>
      <w:pPr>
        <w:pStyle w:val="ListParagraph"/>
        <w:numPr>
          <w:ilvl w:val="1"/>
          <w:numId w:val="26"/>
        </w:numPr>
        <w:tabs>
          <w:tab w:pos="985" w:val="left" w:leader="none"/>
        </w:tabs>
        <w:spacing w:line="240" w:lineRule="auto" w:before="76" w:after="0"/>
        <w:ind w:left="984" w:right="0" w:hanging="443"/>
        <w:jc w:val="left"/>
        <w:rPr>
          <w:sz w:val="18"/>
        </w:rPr>
      </w:pPr>
      <w:r>
        <w:rPr>
          <w:sz w:val="18"/>
        </w:rPr>
        <w:t>如厕：自己控制进行大小便；</w:t>
      </w:r>
    </w:p>
    <w:p>
      <w:pPr>
        <w:pStyle w:val="ListParagraph"/>
        <w:numPr>
          <w:ilvl w:val="1"/>
          <w:numId w:val="26"/>
        </w:numPr>
        <w:tabs>
          <w:tab w:pos="985" w:val="left" w:leader="none"/>
        </w:tabs>
        <w:spacing w:line="240" w:lineRule="auto" w:before="76" w:after="0"/>
        <w:ind w:left="984" w:right="0" w:hanging="443"/>
        <w:jc w:val="left"/>
        <w:rPr>
          <w:sz w:val="18"/>
        </w:rPr>
      </w:pPr>
      <w:r>
        <w:rPr>
          <w:sz w:val="18"/>
        </w:rPr>
        <w:t>进食：自己从已准备好的碗或碟中取食物放入口中；</w:t>
      </w:r>
    </w:p>
    <w:p>
      <w:pPr>
        <w:pStyle w:val="ListParagraph"/>
        <w:numPr>
          <w:ilvl w:val="1"/>
          <w:numId w:val="26"/>
        </w:numPr>
        <w:tabs>
          <w:tab w:pos="985" w:val="left" w:leader="none"/>
        </w:tabs>
        <w:spacing w:line="240" w:lineRule="auto" w:before="76" w:after="0"/>
        <w:ind w:left="984" w:right="0" w:hanging="443"/>
        <w:jc w:val="left"/>
        <w:rPr>
          <w:sz w:val="18"/>
        </w:rPr>
      </w:pPr>
      <w:r>
        <w:rPr>
          <w:sz w:val="18"/>
        </w:rPr>
        <w:t>洗澡：自己进行淋浴或盆浴。</w:t>
      </w:r>
    </w:p>
    <w:p>
      <w:pPr>
        <w:pStyle w:val="ListParagraph"/>
        <w:numPr>
          <w:ilvl w:val="0"/>
          <w:numId w:val="26"/>
        </w:numPr>
        <w:tabs>
          <w:tab w:pos="564" w:val="left" w:leader="none"/>
          <w:tab w:pos="565" w:val="left" w:leader="none"/>
        </w:tabs>
        <w:spacing w:line="240" w:lineRule="auto" w:before="76" w:after="0"/>
        <w:ind w:left="564" w:right="0" w:hanging="420"/>
        <w:jc w:val="left"/>
        <w:rPr>
          <w:sz w:val="18"/>
        </w:rPr>
      </w:pPr>
      <w:r>
        <w:rPr>
          <w:sz w:val="18"/>
        </w:rPr>
        <w:t>永久不可逆</w:t>
      </w:r>
    </w:p>
    <w:p>
      <w:pPr>
        <w:pStyle w:val="BodyText"/>
        <w:ind w:left="564"/>
      </w:pPr>
      <w:r>
        <w:rPr/>
        <w:t>指自疾病确诊或意外伤害发生之日起，经过积极治疗 180 天后，仍无法通过现有医疗手段恢复。</w:t>
      </w:r>
    </w:p>
    <w:sectPr>
      <w:pgSz w:w="11910" w:h="16840"/>
      <w:pgMar w:header="877" w:footer="981" w:top="1100" w:bottom="1180" w:left="116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Yu Gothic">
    <w:altName w:val="Yu Gothic"/>
    <w:charset w:val="0"/>
    <w:family w:val="swiss"/>
    <w:pitch w:val="variable"/>
  </w:font>
  <w:font w:name="宋体">
    <w:altName w:val="宋体"/>
    <w:charset w:val="86"/>
    <w:family w:val="auto"/>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8.799713pt;margin-top:781.95929pt;width:28.95pt;height:12pt;mso-position-horizontal-relative:page;mso-position-vertical-relative:page;z-index:-28120"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w:t>
                </w:r>
                <w:r>
                  <w:rPr/>
                  <w:fldChar w:fldCharType="end"/>
                </w:r>
                <w:r>
                  <w:rPr>
                    <w:rFonts w:ascii="Times New Roman" w:eastAsia="Times New Roman"/>
                  </w:rPr>
                  <w:t> </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8.799713pt;margin-top:781.95929pt;width:28.95pt;height:12pt;mso-position-horizontal-relative:page;mso-position-vertical-relative:page;z-index:-28024"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3</w:t>
                </w:r>
                <w:r>
                  <w:rPr/>
                  <w:fldChar w:fldCharType="end"/>
                </w:r>
                <w:r>
                  <w:rPr>
                    <w:rFonts w:ascii="Times New Roman" w:eastAsia="Times New Roman"/>
                  </w:rPr>
                  <w:t> </w:t>
                </w:r>
                <w:r>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580292pt;margin-top:781.95929pt;width:33.450pt;height:12pt;mso-position-horizontal-relative:page;mso-position-vertical-relative:page;z-index:-28000"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10</w:t>
                </w:r>
                <w:r>
                  <w:rPr/>
                  <w:fldChar w:fldCharType="end"/>
                </w:r>
                <w:r>
                  <w:rPr>
                    <w:rFonts w:ascii="Times New Roman" w:eastAsia="Times New Roman"/>
                  </w:rPr>
                  <w:t> </w:t>
                </w:r>
                <w:r>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580292pt;margin-top:781.95929pt;width:33.450pt;height:12pt;mso-position-horizontal-relative:page;mso-position-vertical-relative:page;z-index:-27976"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12</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64.220001pt;margin-top:42.865326pt;width:146pt;height:11pt;mso-position-horizontal-relative:page;mso-position-vertical-relative:page;z-index:-28168" type="#_x0000_t202" filled="false" stroked="false">
          <v:textbox inset="0,0,0,0">
            <w:txbxContent>
              <w:p>
                <w:pPr>
                  <w:pStyle w:val="BodyText"/>
                  <w:spacing w:line="200" w:lineRule="exact" w:before="0"/>
                  <w:ind w:left="20"/>
                </w:pPr>
                <w:r>
                  <w:rPr/>
                  <w:t>民生如意金康终身重大疾病保险条款</w:t>
                </w:r>
              </w:p>
            </w:txbxContent>
          </v:textbox>
          <w10:wrap type="none"/>
        </v:shape>
      </w:pict>
    </w:r>
    <w:r>
      <w:rPr/>
      <w:pict>
        <v:shape style="position:absolute;margin-left:432.5pt;margin-top:42.865326pt;width:110pt;height:11pt;mso-position-horizontal-relative:page;mso-position-vertical-relative:page;z-index:-28144"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8096" from="63.720001pt,55.619984pt" to="543.000001pt,55.619984pt" stroked="true" strokeweight=".72003pt" strokecolor="#000000">
          <v:stroke dashstyle="solid"/>
          <w10:wrap type="none"/>
        </v:line>
      </w:pict>
    </w:r>
    <w:r>
      <w:rPr/>
      <w:pict>
        <v:shape style="position:absolute;margin-left:64.220001pt;margin-top:42.865326pt;width:146pt;height:11pt;mso-position-horizontal-relative:page;mso-position-vertical-relative:page;z-index:-28072" type="#_x0000_t202" filled="false" stroked="false">
          <v:textbox inset="0,0,0,0">
            <w:txbxContent>
              <w:p>
                <w:pPr>
                  <w:pStyle w:val="BodyText"/>
                  <w:spacing w:line="200" w:lineRule="exact" w:before="0"/>
                  <w:ind w:left="20"/>
                </w:pPr>
                <w:r>
                  <w:rPr/>
                  <w:t>民生如意金康终身重大疾病保险条款</w:t>
                </w:r>
              </w:p>
            </w:txbxContent>
          </v:textbox>
          <w10:wrap type="none"/>
        </v:shape>
      </w:pict>
    </w:r>
    <w:r>
      <w:rPr/>
      <w:pict>
        <v:shape style="position:absolute;margin-left:432.5pt;margin-top:42.865326pt;width:110pt;height:11pt;mso-position-horizontal-relative:page;mso-position-vertical-relative:page;z-index:-28048"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1"/>
      <w:numFmt w:val="decimal"/>
      <w:lvlText w:val="%1"/>
      <w:lvlJc w:val="left"/>
      <w:pPr>
        <w:ind w:left="644" w:hanging="420"/>
        <w:jc w:val="right"/>
      </w:pPr>
      <w:rPr>
        <w:rFonts w:hint="default" w:ascii="宋体" w:hAnsi="宋体" w:eastAsia="宋体" w:cs="宋体"/>
        <w:w w:val="100"/>
        <w:sz w:val="18"/>
        <w:szCs w:val="18"/>
      </w:rPr>
    </w:lvl>
    <w:lvl w:ilvl="1">
      <w:start w:val="1"/>
      <w:numFmt w:val="decimal"/>
      <w:lvlText w:val="(%2)"/>
      <w:lvlJc w:val="left"/>
      <w:pPr>
        <w:ind w:left="1064" w:hanging="443"/>
        <w:jc w:val="left"/>
      </w:pPr>
      <w:rPr>
        <w:rFonts w:hint="default" w:ascii="宋体" w:hAnsi="宋体" w:eastAsia="宋体" w:cs="宋体"/>
        <w:spacing w:val="-90"/>
        <w:w w:val="100"/>
        <w:sz w:val="18"/>
        <w:szCs w:val="18"/>
      </w:rPr>
    </w:lvl>
    <w:lvl w:ilvl="2">
      <w:start w:val="0"/>
      <w:numFmt w:val="bullet"/>
      <w:lvlText w:val="•"/>
      <w:lvlJc w:val="left"/>
      <w:pPr>
        <w:ind w:left="1060" w:hanging="443"/>
      </w:pPr>
      <w:rPr>
        <w:rFonts w:hint="default"/>
      </w:rPr>
    </w:lvl>
    <w:lvl w:ilvl="3">
      <w:start w:val="0"/>
      <w:numFmt w:val="bullet"/>
      <w:lvlText w:val="•"/>
      <w:lvlJc w:val="left"/>
      <w:pPr>
        <w:ind w:left="2153" w:hanging="443"/>
      </w:pPr>
      <w:rPr>
        <w:rFonts w:hint="default"/>
      </w:rPr>
    </w:lvl>
    <w:lvl w:ilvl="4">
      <w:start w:val="0"/>
      <w:numFmt w:val="bullet"/>
      <w:lvlText w:val="•"/>
      <w:lvlJc w:val="left"/>
      <w:pPr>
        <w:ind w:left="3246" w:hanging="443"/>
      </w:pPr>
      <w:rPr>
        <w:rFonts w:hint="default"/>
      </w:rPr>
    </w:lvl>
    <w:lvl w:ilvl="5">
      <w:start w:val="0"/>
      <w:numFmt w:val="bullet"/>
      <w:lvlText w:val="•"/>
      <w:lvlJc w:val="left"/>
      <w:pPr>
        <w:ind w:left="4339" w:hanging="443"/>
      </w:pPr>
      <w:rPr>
        <w:rFonts w:hint="default"/>
      </w:rPr>
    </w:lvl>
    <w:lvl w:ilvl="6">
      <w:start w:val="0"/>
      <w:numFmt w:val="bullet"/>
      <w:lvlText w:val="•"/>
      <w:lvlJc w:val="left"/>
      <w:pPr>
        <w:ind w:left="5432" w:hanging="443"/>
      </w:pPr>
      <w:rPr>
        <w:rFonts w:hint="default"/>
      </w:rPr>
    </w:lvl>
    <w:lvl w:ilvl="7">
      <w:start w:val="0"/>
      <w:numFmt w:val="bullet"/>
      <w:lvlText w:val="•"/>
      <w:lvlJc w:val="left"/>
      <w:pPr>
        <w:ind w:left="6525" w:hanging="443"/>
      </w:pPr>
      <w:rPr>
        <w:rFonts w:hint="default"/>
      </w:rPr>
    </w:lvl>
    <w:lvl w:ilvl="8">
      <w:start w:val="0"/>
      <w:numFmt w:val="bullet"/>
      <w:lvlText w:val="•"/>
      <w:lvlJc w:val="left"/>
      <w:pPr>
        <w:ind w:left="7618" w:hanging="443"/>
      </w:pPr>
      <w:rPr>
        <w:rFonts w:hint="default"/>
      </w:rPr>
    </w:lvl>
  </w:abstractNum>
  <w:abstractNum w:abstractNumId="24">
    <w:multiLevelType w:val="hybridMultilevel"/>
    <w:lvl w:ilvl="0">
      <w:start w:val="1"/>
      <w:numFmt w:val="decimal"/>
      <w:lvlText w:val="(%1)"/>
      <w:lvlJc w:val="left"/>
      <w:pPr>
        <w:ind w:left="526" w:hanging="420"/>
        <w:jc w:val="left"/>
      </w:pPr>
      <w:rPr>
        <w:rFonts w:hint="default" w:ascii="宋体" w:hAnsi="宋体" w:eastAsia="宋体" w:cs="宋体"/>
        <w:spacing w:val="-31"/>
        <w:w w:val="100"/>
        <w:sz w:val="18"/>
        <w:szCs w:val="18"/>
      </w:rPr>
    </w:lvl>
    <w:lvl w:ilvl="1">
      <w:start w:val="0"/>
      <w:numFmt w:val="bullet"/>
      <w:lvlText w:val="•"/>
      <w:lvlJc w:val="left"/>
      <w:pPr>
        <w:ind w:left="1232" w:hanging="420"/>
      </w:pPr>
      <w:rPr>
        <w:rFonts w:hint="default"/>
      </w:rPr>
    </w:lvl>
    <w:lvl w:ilvl="2">
      <w:start w:val="0"/>
      <w:numFmt w:val="bullet"/>
      <w:lvlText w:val="•"/>
      <w:lvlJc w:val="left"/>
      <w:pPr>
        <w:ind w:left="1945" w:hanging="420"/>
      </w:pPr>
      <w:rPr>
        <w:rFonts w:hint="default"/>
      </w:rPr>
    </w:lvl>
    <w:lvl w:ilvl="3">
      <w:start w:val="0"/>
      <w:numFmt w:val="bullet"/>
      <w:lvlText w:val="•"/>
      <w:lvlJc w:val="left"/>
      <w:pPr>
        <w:ind w:left="2658" w:hanging="420"/>
      </w:pPr>
      <w:rPr>
        <w:rFonts w:hint="default"/>
      </w:rPr>
    </w:lvl>
    <w:lvl w:ilvl="4">
      <w:start w:val="0"/>
      <w:numFmt w:val="bullet"/>
      <w:lvlText w:val="•"/>
      <w:lvlJc w:val="left"/>
      <w:pPr>
        <w:ind w:left="3371" w:hanging="420"/>
      </w:pPr>
      <w:rPr>
        <w:rFonts w:hint="default"/>
      </w:rPr>
    </w:lvl>
    <w:lvl w:ilvl="5">
      <w:start w:val="0"/>
      <w:numFmt w:val="bullet"/>
      <w:lvlText w:val="•"/>
      <w:lvlJc w:val="left"/>
      <w:pPr>
        <w:ind w:left="4083" w:hanging="420"/>
      </w:pPr>
      <w:rPr>
        <w:rFonts w:hint="default"/>
      </w:rPr>
    </w:lvl>
    <w:lvl w:ilvl="6">
      <w:start w:val="0"/>
      <w:numFmt w:val="bullet"/>
      <w:lvlText w:val="•"/>
      <w:lvlJc w:val="left"/>
      <w:pPr>
        <w:ind w:left="4796" w:hanging="420"/>
      </w:pPr>
      <w:rPr>
        <w:rFonts w:hint="default"/>
      </w:rPr>
    </w:lvl>
    <w:lvl w:ilvl="7">
      <w:start w:val="0"/>
      <w:numFmt w:val="bullet"/>
      <w:lvlText w:val="•"/>
      <w:lvlJc w:val="left"/>
      <w:pPr>
        <w:ind w:left="5509" w:hanging="420"/>
      </w:pPr>
      <w:rPr>
        <w:rFonts w:hint="default"/>
      </w:rPr>
    </w:lvl>
    <w:lvl w:ilvl="8">
      <w:start w:val="0"/>
      <w:numFmt w:val="bullet"/>
      <w:lvlText w:val="•"/>
      <w:lvlJc w:val="left"/>
      <w:pPr>
        <w:ind w:left="6222" w:hanging="420"/>
      </w:pPr>
      <w:rPr>
        <w:rFonts w:hint="default"/>
      </w:rPr>
    </w:lvl>
  </w:abstractNum>
  <w:abstractNum w:abstractNumId="23">
    <w:multiLevelType w:val="hybridMultilevel"/>
    <w:lvl w:ilvl="0">
      <w:start w:val="1"/>
      <w:numFmt w:val="decimal"/>
      <w:lvlText w:val="(%1)"/>
      <w:lvlJc w:val="left"/>
      <w:pPr>
        <w:ind w:left="2943" w:hanging="420"/>
        <w:jc w:val="left"/>
      </w:pPr>
      <w:rPr>
        <w:rFonts w:hint="default" w:ascii="宋体" w:hAnsi="宋体" w:eastAsia="宋体" w:cs="宋体"/>
        <w:spacing w:val="-31"/>
        <w:w w:val="100"/>
        <w:sz w:val="18"/>
        <w:szCs w:val="18"/>
      </w:rPr>
    </w:lvl>
    <w:lvl w:ilvl="1">
      <w:start w:val="0"/>
      <w:numFmt w:val="bullet"/>
      <w:lvlText w:val="•"/>
      <w:lvlJc w:val="left"/>
      <w:pPr>
        <w:ind w:left="3646" w:hanging="420"/>
      </w:pPr>
      <w:rPr>
        <w:rFonts w:hint="default"/>
      </w:rPr>
    </w:lvl>
    <w:lvl w:ilvl="2">
      <w:start w:val="0"/>
      <w:numFmt w:val="bullet"/>
      <w:lvlText w:val="•"/>
      <w:lvlJc w:val="left"/>
      <w:pPr>
        <w:ind w:left="4352" w:hanging="420"/>
      </w:pPr>
      <w:rPr>
        <w:rFonts w:hint="default"/>
      </w:rPr>
    </w:lvl>
    <w:lvl w:ilvl="3">
      <w:start w:val="0"/>
      <w:numFmt w:val="bullet"/>
      <w:lvlText w:val="•"/>
      <w:lvlJc w:val="left"/>
      <w:pPr>
        <w:ind w:left="5059" w:hanging="420"/>
      </w:pPr>
      <w:rPr>
        <w:rFonts w:hint="default"/>
      </w:rPr>
    </w:lvl>
    <w:lvl w:ilvl="4">
      <w:start w:val="0"/>
      <w:numFmt w:val="bullet"/>
      <w:lvlText w:val="•"/>
      <w:lvlJc w:val="left"/>
      <w:pPr>
        <w:ind w:left="5765" w:hanging="420"/>
      </w:pPr>
      <w:rPr>
        <w:rFonts w:hint="default"/>
      </w:rPr>
    </w:lvl>
    <w:lvl w:ilvl="5">
      <w:start w:val="0"/>
      <w:numFmt w:val="bullet"/>
      <w:lvlText w:val="•"/>
      <w:lvlJc w:val="left"/>
      <w:pPr>
        <w:ind w:left="6472" w:hanging="420"/>
      </w:pPr>
      <w:rPr>
        <w:rFonts w:hint="default"/>
      </w:rPr>
    </w:lvl>
    <w:lvl w:ilvl="6">
      <w:start w:val="0"/>
      <w:numFmt w:val="bullet"/>
      <w:lvlText w:val="•"/>
      <w:lvlJc w:val="left"/>
      <w:pPr>
        <w:ind w:left="7178" w:hanging="420"/>
      </w:pPr>
      <w:rPr>
        <w:rFonts w:hint="default"/>
      </w:rPr>
    </w:lvl>
    <w:lvl w:ilvl="7">
      <w:start w:val="0"/>
      <w:numFmt w:val="bullet"/>
      <w:lvlText w:val="•"/>
      <w:lvlJc w:val="left"/>
      <w:pPr>
        <w:ind w:left="7885" w:hanging="420"/>
      </w:pPr>
      <w:rPr>
        <w:rFonts w:hint="default"/>
      </w:rPr>
    </w:lvl>
    <w:lvl w:ilvl="8">
      <w:start w:val="0"/>
      <w:numFmt w:val="bullet"/>
      <w:lvlText w:val="•"/>
      <w:lvlJc w:val="left"/>
      <w:pPr>
        <w:ind w:left="8591" w:hanging="420"/>
      </w:pPr>
      <w:rPr>
        <w:rFonts w:hint="default"/>
      </w:rPr>
    </w:lvl>
  </w:abstractNum>
  <w:abstractNum w:abstractNumId="22">
    <w:multiLevelType w:val="hybridMultilevel"/>
    <w:lvl w:ilvl="0">
      <w:start w:val="1"/>
      <w:numFmt w:val="decimal"/>
      <w:lvlText w:val="(%1)"/>
      <w:lvlJc w:val="left"/>
      <w:pPr>
        <w:ind w:left="526" w:hanging="420"/>
        <w:jc w:val="right"/>
      </w:pPr>
      <w:rPr>
        <w:rFonts w:hint="default" w:ascii="宋体" w:hAnsi="宋体" w:eastAsia="宋体" w:cs="宋体"/>
        <w:spacing w:val="-31"/>
        <w:w w:val="100"/>
        <w:sz w:val="18"/>
        <w:szCs w:val="18"/>
      </w:rPr>
    </w:lvl>
    <w:lvl w:ilvl="1">
      <w:start w:val="0"/>
      <w:numFmt w:val="bullet"/>
      <w:lvlText w:val="•"/>
      <w:lvlJc w:val="left"/>
      <w:pPr>
        <w:ind w:left="1232" w:hanging="420"/>
      </w:pPr>
      <w:rPr>
        <w:rFonts w:hint="default"/>
      </w:rPr>
    </w:lvl>
    <w:lvl w:ilvl="2">
      <w:start w:val="0"/>
      <w:numFmt w:val="bullet"/>
      <w:lvlText w:val="•"/>
      <w:lvlJc w:val="left"/>
      <w:pPr>
        <w:ind w:left="1945" w:hanging="420"/>
      </w:pPr>
      <w:rPr>
        <w:rFonts w:hint="default"/>
      </w:rPr>
    </w:lvl>
    <w:lvl w:ilvl="3">
      <w:start w:val="0"/>
      <w:numFmt w:val="bullet"/>
      <w:lvlText w:val="•"/>
      <w:lvlJc w:val="left"/>
      <w:pPr>
        <w:ind w:left="2658" w:hanging="420"/>
      </w:pPr>
      <w:rPr>
        <w:rFonts w:hint="default"/>
      </w:rPr>
    </w:lvl>
    <w:lvl w:ilvl="4">
      <w:start w:val="0"/>
      <w:numFmt w:val="bullet"/>
      <w:lvlText w:val="•"/>
      <w:lvlJc w:val="left"/>
      <w:pPr>
        <w:ind w:left="3371" w:hanging="420"/>
      </w:pPr>
      <w:rPr>
        <w:rFonts w:hint="default"/>
      </w:rPr>
    </w:lvl>
    <w:lvl w:ilvl="5">
      <w:start w:val="0"/>
      <w:numFmt w:val="bullet"/>
      <w:lvlText w:val="•"/>
      <w:lvlJc w:val="left"/>
      <w:pPr>
        <w:ind w:left="4083" w:hanging="420"/>
      </w:pPr>
      <w:rPr>
        <w:rFonts w:hint="default"/>
      </w:rPr>
    </w:lvl>
    <w:lvl w:ilvl="6">
      <w:start w:val="0"/>
      <w:numFmt w:val="bullet"/>
      <w:lvlText w:val="•"/>
      <w:lvlJc w:val="left"/>
      <w:pPr>
        <w:ind w:left="4796" w:hanging="420"/>
      </w:pPr>
      <w:rPr>
        <w:rFonts w:hint="default"/>
      </w:rPr>
    </w:lvl>
    <w:lvl w:ilvl="7">
      <w:start w:val="0"/>
      <w:numFmt w:val="bullet"/>
      <w:lvlText w:val="•"/>
      <w:lvlJc w:val="left"/>
      <w:pPr>
        <w:ind w:left="5509" w:hanging="420"/>
      </w:pPr>
      <w:rPr>
        <w:rFonts w:hint="default"/>
      </w:rPr>
    </w:lvl>
    <w:lvl w:ilvl="8">
      <w:start w:val="0"/>
      <w:numFmt w:val="bullet"/>
      <w:lvlText w:val="•"/>
      <w:lvlJc w:val="left"/>
      <w:pPr>
        <w:ind w:left="6222" w:hanging="420"/>
      </w:pPr>
      <w:rPr>
        <w:rFonts w:hint="default"/>
      </w:rPr>
    </w:lvl>
  </w:abstractNum>
  <w:abstractNum w:abstractNumId="21">
    <w:multiLevelType w:val="hybridMultilevel"/>
    <w:lvl w:ilvl="0">
      <w:start w:val="1"/>
      <w:numFmt w:val="decimal"/>
      <w:lvlText w:val="(%1)"/>
      <w:lvlJc w:val="left"/>
      <w:pPr>
        <w:ind w:left="504" w:hanging="398"/>
        <w:jc w:val="left"/>
      </w:pPr>
      <w:rPr>
        <w:rFonts w:hint="default" w:ascii="宋体" w:hAnsi="宋体" w:eastAsia="宋体" w:cs="宋体"/>
        <w:w w:val="100"/>
        <w:sz w:val="18"/>
        <w:szCs w:val="18"/>
      </w:rPr>
    </w:lvl>
    <w:lvl w:ilvl="1">
      <w:start w:val="0"/>
      <w:numFmt w:val="bullet"/>
      <w:lvlText w:val="•"/>
      <w:lvlJc w:val="left"/>
      <w:pPr>
        <w:ind w:left="1214" w:hanging="398"/>
      </w:pPr>
      <w:rPr>
        <w:rFonts w:hint="default"/>
      </w:rPr>
    </w:lvl>
    <w:lvl w:ilvl="2">
      <w:start w:val="0"/>
      <w:numFmt w:val="bullet"/>
      <w:lvlText w:val="•"/>
      <w:lvlJc w:val="left"/>
      <w:pPr>
        <w:ind w:left="1929" w:hanging="398"/>
      </w:pPr>
      <w:rPr>
        <w:rFonts w:hint="default"/>
      </w:rPr>
    </w:lvl>
    <w:lvl w:ilvl="3">
      <w:start w:val="0"/>
      <w:numFmt w:val="bullet"/>
      <w:lvlText w:val="•"/>
      <w:lvlJc w:val="left"/>
      <w:pPr>
        <w:ind w:left="2644" w:hanging="398"/>
      </w:pPr>
      <w:rPr>
        <w:rFonts w:hint="default"/>
      </w:rPr>
    </w:lvl>
    <w:lvl w:ilvl="4">
      <w:start w:val="0"/>
      <w:numFmt w:val="bullet"/>
      <w:lvlText w:val="•"/>
      <w:lvlJc w:val="left"/>
      <w:pPr>
        <w:ind w:left="3359" w:hanging="398"/>
      </w:pPr>
      <w:rPr>
        <w:rFonts w:hint="default"/>
      </w:rPr>
    </w:lvl>
    <w:lvl w:ilvl="5">
      <w:start w:val="0"/>
      <w:numFmt w:val="bullet"/>
      <w:lvlText w:val="•"/>
      <w:lvlJc w:val="left"/>
      <w:pPr>
        <w:ind w:left="4073" w:hanging="398"/>
      </w:pPr>
      <w:rPr>
        <w:rFonts w:hint="default"/>
      </w:rPr>
    </w:lvl>
    <w:lvl w:ilvl="6">
      <w:start w:val="0"/>
      <w:numFmt w:val="bullet"/>
      <w:lvlText w:val="•"/>
      <w:lvlJc w:val="left"/>
      <w:pPr>
        <w:ind w:left="4788" w:hanging="398"/>
      </w:pPr>
      <w:rPr>
        <w:rFonts w:hint="default"/>
      </w:rPr>
    </w:lvl>
    <w:lvl w:ilvl="7">
      <w:start w:val="0"/>
      <w:numFmt w:val="bullet"/>
      <w:lvlText w:val="•"/>
      <w:lvlJc w:val="left"/>
      <w:pPr>
        <w:ind w:left="5503" w:hanging="398"/>
      </w:pPr>
      <w:rPr>
        <w:rFonts w:hint="default"/>
      </w:rPr>
    </w:lvl>
    <w:lvl w:ilvl="8">
      <w:start w:val="0"/>
      <w:numFmt w:val="bullet"/>
      <w:lvlText w:val="•"/>
      <w:lvlJc w:val="left"/>
      <w:pPr>
        <w:ind w:left="6218" w:hanging="398"/>
      </w:pPr>
      <w:rPr>
        <w:rFonts w:hint="default"/>
      </w:rPr>
    </w:lvl>
  </w:abstractNum>
  <w:abstractNum w:abstractNumId="20">
    <w:multiLevelType w:val="hybridMultilevel"/>
    <w:lvl w:ilvl="0">
      <w:start w:val="1"/>
      <w:numFmt w:val="decimal"/>
      <w:lvlText w:val="(%1)"/>
      <w:lvlJc w:val="left"/>
      <w:pPr>
        <w:ind w:left="2523" w:hanging="398"/>
        <w:jc w:val="right"/>
      </w:pPr>
      <w:rPr>
        <w:rFonts w:hint="default" w:ascii="宋体" w:hAnsi="宋体" w:eastAsia="宋体" w:cs="宋体"/>
        <w:w w:val="100"/>
        <w:sz w:val="18"/>
        <w:szCs w:val="18"/>
      </w:rPr>
    </w:lvl>
    <w:lvl w:ilvl="1">
      <w:start w:val="0"/>
      <w:numFmt w:val="bullet"/>
      <w:lvlText w:val="•"/>
      <w:lvlJc w:val="left"/>
      <w:pPr>
        <w:ind w:left="3024" w:hanging="398"/>
      </w:pPr>
      <w:rPr>
        <w:rFonts w:hint="default"/>
      </w:rPr>
    </w:lvl>
    <w:lvl w:ilvl="2">
      <w:start w:val="0"/>
      <w:numFmt w:val="bullet"/>
      <w:lvlText w:val="•"/>
      <w:lvlJc w:val="left"/>
      <w:pPr>
        <w:ind w:left="3529" w:hanging="398"/>
      </w:pPr>
      <w:rPr>
        <w:rFonts w:hint="default"/>
      </w:rPr>
    </w:lvl>
    <w:lvl w:ilvl="3">
      <w:start w:val="0"/>
      <w:numFmt w:val="bullet"/>
      <w:lvlText w:val="•"/>
      <w:lvlJc w:val="left"/>
      <w:pPr>
        <w:ind w:left="4034" w:hanging="398"/>
      </w:pPr>
      <w:rPr>
        <w:rFonts w:hint="default"/>
      </w:rPr>
    </w:lvl>
    <w:lvl w:ilvl="4">
      <w:start w:val="0"/>
      <w:numFmt w:val="bullet"/>
      <w:lvlText w:val="•"/>
      <w:lvlJc w:val="left"/>
      <w:pPr>
        <w:ind w:left="4539" w:hanging="398"/>
      </w:pPr>
      <w:rPr>
        <w:rFonts w:hint="default"/>
      </w:rPr>
    </w:lvl>
    <w:lvl w:ilvl="5">
      <w:start w:val="0"/>
      <w:numFmt w:val="bullet"/>
      <w:lvlText w:val="•"/>
      <w:lvlJc w:val="left"/>
      <w:pPr>
        <w:ind w:left="5043" w:hanging="398"/>
      </w:pPr>
      <w:rPr>
        <w:rFonts w:hint="default"/>
      </w:rPr>
    </w:lvl>
    <w:lvl w:ilvl="6">
      <w:start w:val="0"/>
      <w:numFmt w:val="bullet"/>
      <w:lvlText w:val="•"/>
      <w:lvlJc w:val="left"/>
      <w:pPr>
        <w:ind w:left="5548" w:hanging="398"/>
      </w:pPr>
      <w:rPr>
        <w:rFonts w:hint="default"/>
      </w:rPr>
    </w:lvl>
    <w:lvl w:ilvl="7">
      <w:start w:val="0"/>
      <w:numFmt w:val="bullet"/>
      <w:lvlText w:val="•"/>
      <w:lvlJc w:val="left"/>
      <w:pPr>
        <w:ind w:left="6053" w:hanging="398"/>
      </w:pPr>
      <w:rPr>
        <w:rFonts w:hint="default"/>
      </w:rPr>
    </w:lvl>
    <w:lvl w:ilvl="8">
      <w:start w:val="0"/>
      <w:numFmt w:val="bullet"/>
      <w:lvlText w:val="•"/>
      <w:lvlJc w:val="left"/>
      <w:pPr>
        <w:ind w:left="6558" w:hanging="398"/>
      </w:pPr>
      <w:rPr>
        <w:rFonts w:hint="default"/>
      </w:rPr>
    </w:lvl>
  </w:abstractNum>
  <w:abstractNum w:abstractNumId="19">
    <w:multiLevelType w:val="hybridMultilevel"/>
    <w:lvl w:ilvl="0">
      <w:start w:val="1"/>
      <w:numFmt w:val="decimal"/>
      <w:lvlText w:val="(%1)"/>
      <w:lvlJc w:val="left"/>
      <w:pPr>
        <w:ind w:left="504" w:hanging="398"/>
        <w:jc w:val="left"/>
      </w:pPr>
      <w:rPr>
        <w:rFonts w:hint="default" w:ascii="宋体" w:hAnsi="宋体" w:eastAsia="宋体" w:cs="宋体"/>
        <w:w w:val="100"/>
        <w:sz w:val="18"/>
        <w:szCs w:val="18"/>
      </w:rPr>
    </w:lvl>
    <w:lvl w:ilvl="1">
      <w:start w:val="0"/>
      <w:numFmt w:val="bullet"/>
      <w:lvlText w:val="•"/>
      <w:lvlJc w:val="left"/>
      <w:pPr>
        <w:ind w:left="1206" w:hanging="398"/>
      </w:pPr>
      <w:rPr>
        <w:rFonts w:hint="default"/>
      </w:rPr>
    </w:lvl>
    <w:lvl w:ilvl="2">
      <w:start w:val="0"/>
      <w:numFmt w:val="bullet"/>
      <w:lvlText w:val="•"/>
      <w:lvlJc w:val="left"/>
      <w:pPr>
        <w:ind w:left="1913" w:hanging="398"/>
      </w:pPr>
      <w:rPr>
        <w:rFonts w:hint="default"/>
      </w:rPr>
    </w:lvl>
    <w:lvl w:ilvl="3">
      <w:start w:val="0"/>
      <w:numFmt w:val="bullet"/>
      <w:lvlText w:val="•"/>
      <w:lvlJc w:val="left"/>
      <w:pPr>
        <w:ind w:left="2620" w:hanging="398"/>
      </w:pPr>
      <w:rPr>
        <w:rFonts w:hint="default"/>
      </w:rPr>
    </w:lvl>
    <w:lvl w:ilvl="4">
      <w:start w:val="0"/>
      <w:numFmt w:val="bullet"/>
      <w:lvlText w:val="•"/>
      <w:lvlJc w:val="left"/>
      <w:pPr>
        <w:ind w:left="3327" w:hanging="398"/>
      </w:pPr>
      <w:rPr>
        <w:rFonts w:hint="default"/>
      </w:rPr>
    </w:lvl>
    <w:lvl w:ilvl="5">
      <w:start w:val="0"/>
      <w:numFmt w:val="bullet"/>
      <w:lvlText w:val="•"/>
      <w:lvlJc w:val="left"/>
      <w:pPr>
        <w:ind w:left="4033" w:hanging="398"/>
      </w:pPr>
      <w:rPr>
        <w:rFonts w:hint="default"/>
      </w:rPr>
    </w:lvl>
    <w:lvl w:ilvl="6">
      <w:start w:val="0"/>
      <w:numFmt w:val="bullet"/>
      <w:lvlText w:val="•"/>
      <w:lvlJc w:val="left"/>
      <w:pPr>
        <w:ind w:left="4740" w:hanging="398"/>
      </w:pPr>
      <w:rPr>
        <w:rFonts w:hint="default"/>
      </w:rPr>
    </w:lvl>
    <w:lvl w:ilvl="7">
      <w:start w:val="0"/>
      <w:numFmt w:val="bullet"/>
      <w:lvlText w:val="•"/>
      <w:lvlJc w:val="left"/>
      <w:pPr>
        <w:ind w:left="5447" w:hanging="398"/>
      </w:pPr>
      <w:rPr>
        <w:rFonts w:hint="default"/>
      </w:rPr>
    </w:lvl>
    <w:lvl w:ilvl="8">
      <w:start w:val="0"/>
      <w:numFmt w:val="bullet"/>
      <w:lvlText w:val="•"/>
      <w:lvlJc w:val="left"/>
      <w:pPr>
        <w:ind w:left="6154" w:hanging="398"/>
      </w:pPr>
      <w:rPr>
        <w:rFonts w:hint="default"/>
      </w:rPr>
    </w:lvl>
  </w:abstractNum>
  <w:abstractNum w:abstractNumId="18">
    <w:multiLevelType w:val="hybridMultilevel"/>
    <w:lvl w:ilvl="0">
      <w:start w:val="1"/>
      <w:numFmt w:val="decimal"/>
      <w:lvlText w:val="%1."/>
      <w:lvlJc w:val="left"/>
      <w:pPr>
        <w:ind w:left="2523" w:hanging="421"/>
        <w:jc w:val="left"/>
      </w:pPr>
      <w:rPr>
        <w:rFonts w:hint="default"/>
        <w:b/>
        <w:bCs/>
        <w:spacing w:val="0"/>
        <w:w w:val="99"/>
      </w:rPr>
    </w:lvl>
    <w:lvl w:ilvl="1">
      <w:start w:val="1"/>
      <w:numFmt w:val="decimal"/>
      <w:lvlText w:val="(%2)"/>
      <w:lvlJc w:val="left"/>
      <w:pPr>
        <w:ind w:left="2883" w:hanging="360"/>
        <w:jc w:val="left"/>
      </w:pPr>
      <w:rPr>
        <w:rFonts w:hint="default" w:ascii="宋体" w:hAnsi="宋体" w:eastAsia="宋体" w:cs="宋体"/>
        <w:w w:val="100"/>
        <w:sz w:val="18"/>
        <w:szCs w:val="18"/>
      </w:rPr>
    </w:lvl>
    <w:lvl w:ilvl="2">
      <w:start w:val="0"/>
      <w:numFmt w:val="bullet"/>
      <w:lvlText w:val="•"/>
      <w:lvlJc w:val="left"/>
      <w:pPr>
        <w:ind w:left="2880" w:hanging="360"/>
      </w:pPr>
      <w:rPr>
        <w:rFonts w:hint="default"/>
      </w:rPr>
    </w:lvl>
    <w:lvl w:ilvl="3">
      <w:start w:val="0"/>
      <w:numFmt w:val="bullet"/>
      <w:lvlText w:val="•"/>
      <w:lvlJc w:val="left"/>
      <w:pPr>
        <w:ind w:left="2920" w:hanging="360"/>
      </w:pPr>
      <w:rPr>
        <w:rFonts w:hint="default"/>
      </w:rPr>
    </w:lvl>
    <w:lvl w:ilvl="4">
      <w:start w:val="0"/>
      <w:numFmt w:val="bullet"/>
      <w:lvlText w:val="•"/>
      <w:lvlJc w:val="left"/>
      <w:pPr>
        <w:ind w:left="2940" w:hanging="360"/>
      </w:pPr>
      <w:rPr>
        <w:rFonts w:hint="default"/>
      </w:rPr>
    </w:lvl>
    <w:lvl w:ilvl="5">
      <w:start w:val="0"/>
      <w:numFmt w:val="bullet"/>
      <w:lvlText w:val="•"/>
      <w:lvlJc w:val="left"/>
      <w:pPr>
        <w:ind w:left="2980" w:hanging="360"/>
      </w:pPr>
      <w:rPr>
        <w:rFonts w:hint="default"/>
      </w:rPr>
    </w:lvl>
    <w:lvl w:ilvl="6">
      <w:start w:val="0"/>
      <w:numFmt w:val="bullet"/>
      <w:lvlText w:val="•"/>
      <w:lvlJc w:val="left"/>
      <w:pPr>
        <w:ind w:left="4380" w:hanging="360"/>
      </w:pPr>
      <w:rPr>
        <w:rFonts w:hint="default"/>
      </w:rPr>
    </w:lvl>
    <w:lvl w:ilvl="7">
      <w:start w:val="0"/>
      <w:numFmt w:val="bullet"/>
      <w:lvlText w:val="•"/>
      <w:lvlJc w:val="left"/>
      <w:pPr>
        <w:ind w:left="5781" w:hanging="360"/>
      </w:pPr>
      <w:rPr>
        <w:rFonts w:hint="default"/>
      </w:rPr>
    </w:lvl>
    <w:lvl w:ilvl="8">
      <w:start w:val="0"/>
      <w:numFmt w:val="bullet"/>
      <w:lvlText w:val="•"/>
      <w:lvlJc w:val="left"/>
      <w:pPr>
        <w:ind w:left="7182" w:hanging="360"/>
      </w:pPr>
      <w:rPr>
        <w:rFonts w:hint="default"/>
      </w:rPr>
    </w:lvl>
  </w:abstractNum>
  <w:abstractNum w:abstractNumId="17">
    <w:multiLevelType w:val="hybridMultilevel"/>
    <w:lvl w:ilvl="0">
      <w:start w:val="1"/>
      <w:numFmt w:val="decimal"/>
      <w:lvlText w:val="%1."/>
      <w:lvlJc w:val="left"/>
      <w:pPr>
        <w:ind w:left="526" w:hanging="421"/>
        <w:jc w:val="left"/>
      </w:pPr>
      <w:rPr>
        <w:rFonts w:hint="default" w:ascii="宋体" w:hAnsi="宋体" w:eastAsia="宋体" w:cs="宋体"/>
        <w:b/>
        <w:bCs/>
        <w:spacing w:val="0"/>
        <w:w w:val="99"/>
        <w:sz w:val="18"/>
        <w:szCs w:val="18"/>
      </w:rPr>
    </w:lvl>
    <w:lvl w:ilvl="1">
      <w:start w:val="0"/>
      <w:numFmt w:val="bullet"/>
      <w:lvlText w:val="•"/>
      <w:lvlJc w:val="left"/>
      <w:pPr>
        <w:ind w:left="700" w:hanging="421"/>
      </w:pPr>
      <w:rPr>
        <w:rFonts w:hint="default"/>
      </w:rPr>
    </w:lvl>
    <w:lvl w:ilvl="2">
      <w:start w:val="0"/>
      <w:numFmt w:val="bullet"/>
      <w:lvlText w:val="•"/>
      <w:lvlJc w:val="left"/>
      <w:pPr>
        <w:ind w:left="881" w:hanging="421"/>
      </w:pPr>
      <w:rPr>
        <w:rFonts w:hint="default"/>
      </w:rPr>
    </w:lvl>
    <w:lvl w:ilvl="3">
      <w:start w:val="0"/>
      <w:numFmt w:val="bullet"/>
      <w:lvlText w:val="•"/>
      <w:lvlJc w:val="left"/>
      <w:pPr>
        <w:ind w:left="1062" w:hanging="421"/>
      </w:pPr>
      <w:rPr>
        <w:rFonts w:hint="default"/>
      </w:rPr>
    </w:lvl>
    <w:lvl w:ilvl="4">
      <w:start w:val="0"/>
      <w:numFmt w:val="bullet"/>
      <w:lvlText w:val="•"/>
      <w:lvlJc w:val="left"/>
      <w:pPr>
        <w:ind w:left="1243" w:hanging="421"/>
      </w:pPr>
      <w:rPr>
        <w:rFonts w:hint="default"/>
      </w:rPr>
    </w:lvl>
    <w:lvl w:ilvl="5">
      <w:start w:val="0"/>
      <w:numFmt w:val="bullet"/>
      <w:lvlText w:val="•"/>
      <w:lvlJc w:val="left"/>
      <w:pPr>
        <w:ind w:left="1423" w:hanging="421"/>
      </w:pPr>
      <w:rPr>
        <w:rFonts w:hint="default"/>
      </w:rPr>
    </w:lvl>
    <w:lvl w:ilvl="6">
      <w:start w:val="0"/>
      <w:numFmt w:val="bullet"/>
      <w:lvlText w:val="•"/>
      <w:lvlJc w:val="left"/>
      <w:pPr>
        <w:ind w:left="1604" w:hanging="421"/>
      </w:pPr>
      <w:rPr>
        <w:rFonts w:hint="default"/>
      </w:rPr>
    </w:lvl>
    <w:lvl w:ilvl="7">
      <w:start w:val="0"/>
      <w:numFmt w:val="bullet"/>
      <w:lvlText w:val="•"/>
      <w:lvlJc w:val="left"/>
      <w:pPr>
        <w:ind w:left="1785" w:hanging="421"/>
      </w:pPr>
      <w:rPr>
        <w:rFonts w:hint="default"/>
      </w:rPr>
    </w:lvl>
    <w:lvl w:ilvl="8">
      <w:start w:val="0"/>
      <w:numFmt w:val="bullet"/>
      <w:lvlText w:val="•"/>
      <w:lvlJc w:val="left"/>
      <w:pPr>
        <w:ind w:left="1966" w:hanging="421"/>
      </w:pPr>
      <w:rPr>
        <w:rFonts w:hint="default"/>
      </w:rPr>
    </w:lvl>
  </w:abstractNum>
  <w:abstractNum w:abstractNumId="16">
    <w:multiLevelType w:val="hybridMultilevel"/>
    <w:lvl w:ilvl="0">
      <w:start w:val="8"/>
      <w:numFmt w:val="decimal"/>
      <w:lvlText w:val="%1"/>
      <w:lvlJc w:val="left"/>
      <w:pPr>
        <w:ind w:left="2613" w:hanging="684"/>
        <w:jc w:val="left"/>
      </w:pPr>
      <w:rPr>
        <w:rFonts w:hint="default"/>
      </w:rPr>
    </w:lvl>
    <w:lvl w:ilvl="1">
      <w:start w:val="10"/>
      <w:numFmt w:val="decimal"/>
      <w:lvlText w:val="%1.%2"/>
      <w:lvlJc w:val="left"/>
      <w:pPr>
        <w:ind w:left="2613" w:hanging="684"/>
        <w:jc w:val="left"/>
      </w:pPr>
      <w:rPr>
        <w:rFonts w:hint="default" w:ascii="宋体" w:hAnsi="宋体" w:eastAsia="宋体" w:cs="宋体"/>
        <w:b/>
        <w:bCs/>
        <w:w w:val="99"/>
        <w:sz w:val="21"/>
        <w:szCs w:val="21"/>
      </w:rPr>
    </w:lvl>
    <w:lvl w:ilvl="2">
      <w:start w:val="0"/>
      <w:numFmt w:val="bullet"/>
      <w:lvlText w:val="•"/>
      <w:lvlJc w:val="left"/>
      <w:pPr>
        <w:ind w:left="4108" w:hanging="684"/>
      </w:pPr>
      <w:rPr>
        <w:rFonts w:hint="default"/>
      </w:rPr>
    </w:lvl>
    <w:lvl w:ilvl="3">
      <w:start w:val="0"/>
      <w:numFmt w:val="bullet"/>
      <w:lvlText w:val="•"/>
      <w:lvlJc w:val="left"/>
      <w:pPr>
        <w:ind w:left="4853" w:hanging="684"/>
      </w:pPr>
      <w:rPr>
        <w:rFonts w:hint="default"/>
      </w:rPr>
    </w:lvl>
    <w:lvl w:ilvl="4">
      <w:start w:val="0"/>
      <w:numFmt w:val="bullet"/>
      <w:lvlText w:val="•"/>
      <w:lvlJc w:val="left"/>
      <w:pPr>
        <w:ind w:left="5597" w:hanging="684"/>
      </w:pPr>
      <w:rPr>
        <w:rFonts w:hint="default"/>
      </w:rPr>
    </w:lvl>
    <w:lvl w:ilvl="5">
      <w:start w:val="0"/>
      <w:numFmt w:val="bullet"/>
      <w:lvlText w:val="•"/>
      <w:lvlJc w:val="left"/>
      <w:pPr>
        <w:ind w:left="6342" w:hanging="684"/>
      </w:pPr>
      <w:rPr>
        <w:rFonts w:hint="default"/>
      </w:rPr>
    </w:lvl>
    <w:lvl w:ilvl="6">
      <w:start w:val="0"/>
      <w:numFmt w:val="bullet"/>
      <w:lvlText w:val="•"/>
      <w:lvlJc w:val="left"/>
      <w:pPr>
        <w:ind w:left="7086" w:hanging="684"/>
      </w:pPr>
      <w:rPr>
        <w:rFonts w:hint="default"/>
      </w:rPr>
    </w:lvl>
    <w:lvl w:ilvl="7">
      <w:start w:val="0"/>
      <w:numFmt w:val="bullet"/>
      <w:lvlText w:val="•"/>
      <w:lvlJc w:val="left"/>
      <w:pPr>
        <w:ind w:left="7831" w:hanging="684"/>
      </w:pPr>
      <w:rPr>
        <w:rFonts w:hint="default"/>
      </w:rPr>
    </w:lvl>
    <w:lvl w:ilvl="8">
      <w:start w:val="0"/>
      <w:numFmt w:val="bullet"/>
      <w:lvlText w:val="•"/>
      <w:lvlJc w:val="left"/>
      <w:pPr>
        <w:ind w:left="8575" w:hanging="684"/>
      </w:pPr>
      <w:rPr>
        <w:rFonts w:hint="default"/>
      </w:rPr>
    </w:lvl>
  </w:abstractNum>
  <w:abstractNum w:abstractNumId="15">
    <w:multiLevelType w:val="hybridMultilevel"/>
    <w:lvl w:ilvl="0">
      <w:start w:val="8"/>
      <w:numFmt w:val="decimal"/>
      <w:lvlText w:val="%1"/>
      <w:lvlJc w:val="left"/>
      <w:pPr>
        <w:ind w:left="2553" w:hanging="684"/>
        <w:jc w:val="left"/>
      </w:pPr>
      <w:rPr>
        <w:rFonts w:hint="default"/>
      </w:rPr>
    </w:lvl>
    <w:lvl w:ilvl="1">
      <w:start w:val="1"/>
      <w:numFmt w:val="decimal"/>
      <w:lvlText w:val="%1.%2"/>
      <w:lvlJc w:val="left"/>
      <w:pPr>
        <w:ind w:left="2553" w:hanging="684"/>
        <w:jc w:val="left"/>
      </w:pPr>
      <w:rPr>
        <w:rFonts w:hint="default" w:ascii="宋体" w:hAnsi="宋体" w:eastAsia="宋体" w:cs="宋体"/>
        <w:b/>
        <w:bCs/>
        <w:w w:val="99"/>
        <w:sz w:val="21"/>
        <w:szCs w:val="21"/>
      </w:rPr>
    </w:lvl>
    <w:lvl w:ilvl="2">
      <w:start w:val="1"/>
      <w:numFmt w:val="decimal"/>
      <w:lvlText w:val="(%3)"/>
      <w:lvlJc w:val="left"/>
      <w:pPr>
        <w:ind w:left="3010" w:hanging="398"/>
        <w:jc w:val="left"/>
      </w:pPr>
      <w:rPr>
        <w:rFonts w:hint="default" w:ascii="宋体" w:hAnsi="宋体" w:eastAsia="宋体" w:cs="宋体"/>
        <w:w w:val="100"/>
        <w:sz w:val="18"/>
        <w:szCs w:val="18"/>
      </w:rPr>
    </w:lvl>
    <w:lvl w:ilvl="3">
      <w:start w:val="0"/>
      <w:numFmt w:val="bullet"/>
      <w:lvlText w:val="•"/>
      <w:lvlJc w:val="left"/>
      <w:pPr>
        <w:ind w:left="4572" w:hanging="398"/>
      </w:pPr>
      <w:rPr>
        <w:rFonts w:hint="default"/>
      </w:rPr>
    </w:lvl>
    <w:lvl w:ilvl="4">
      <w:start w:val="0"/>
      <w:numFmt w:val="bullet"/>
      <w:lvlText w:val="•"/>
      <w:lvlJc w:val="left"/>
      <w:pPr>
        <w:ind w:left="5348" w:hanging="398"/>
      </w:pPr>
      <w:rPr>
        <w:rFonts w:hint="default"/>
      </w:rPr>
    </w:lvl>
    <w:lvl w:ilvl="5">
      <w:start w:val="0"/>
      <w:numFmt w:val="bullet"/>
      <w:lvlText w:val="•"/>
      <w:lvlJc w:val="left"/>
      <w:pPr>
        <w:ind w:left="6124" w:hanging="398"/>
      </w:pPr>
      <w:rPr>
        <w:rFonts w:hint="default"/>
      </w:rPr>
    </w:lvl>
    <w:lvl w:ilvl="6">
      <w:start w:val="0"/>
      <w:numFmt w:val="bullet"/>
      <w:lvlText w:val="•"/>
      <w:lvlJc w:val="left"/>
      <w:pPr>
        <w:ind w:left="6900" w:hanging="398"/>
      </w:pPr>
      <w:rPr>
        <w:rFonts w:hint="default"/>
      </w:rPr>
    </w:lvl>
    <w:lvl w:ilvl="7">
      <w:start w:val="0"/>
      <w:numFmt w:val="bullet"/>
      <w:lvlText w:val="•"/>
      <w:lvlJc w:val="left"/>
      <w:pPr>
        <w:ind w:left="7676" w:hanging="398"/>
      </w:pPr>
      <w:rPr>
        <w:rFonts w:hint="default"/>
      </w:rPr>
    </w:lvl>
    <w:lvl w:ilvl="8">
      <w:start w:val="0"/>
      <w:numFmt w:val="bullet"/>
      <w:lvlText w:val="•"/>
      <w:lvlJc w:val="left"/>
      <w:pPr>
        <w:ind w:left="8452" w:hanging="398"/>
      </w:pPr>
      <w:rPr>
        <w:rFonts w:hint="default"/>
      </w:rPr>
    </w:lvl>
  </w:abstractNum>
  <w:abstractNum w:abstractNumId="14">
    <w:multiLevelType w:val="hybridMultilevel"/>
    <w:lvl w:ilvl="0">
      <w:start w:val="7"/>
      <w:numFmt w:val="decimal"/>
      <w:lvlText w:val="%1"/>
      <w:lvlJc w:val="left"/>
      <w:pPr>
        <w:ind w:left="907" w:hanging="683"/>
        <w:jc w:val="left"/>
      </w:pPr>
      <w:rPr>
        <w:rFonts w:hint="default"/>
      </w:rPr>
    </w:lvl>
    <w:lvl w:ilvl="1">
      <w:start w:val="1"/>
      <w:numFmt w:val="decimal"/>
      <w:lvlText w:val="%1.%2"/>
      <w:lvlJc w:val="left"/>
      <w:pPr>
        <w:ind w:left="907" w:hanging="683"/>
        <w:jc w:val="left"/>
      </w:pPr>
      <w:rPr>
        <w:rFonts w:hint="default" w:ascii="宋体" w:hAnsi="宋体" w:eastAsia="宋体" w:cs="宋体"/>
        <w:b/>
        <w:bCs/>
        <w:spacing w:val="0"/>
        <w:w w:val="99"/>
        <w:sz w:val="21"/>
        <w:szCs w:val="21"/>
      </w:rPr>
    </w:lvl>
    <w:lvl w:ilvl="2">
      <w:start w:val="0"/>
      <w:numFmt w:val="bullet"/>
      <w:lvlText w:val="•"/>
      <w:lvlJc w:val="left"/>
      <w:pPr>
        <w:ind w:left="2756" w:hanging="683"/>
      </w:pPr>
      <w:rPr>
        <w:rFonts w:hint="default"/>
      </w:rPr>
    </w:lvl>
    <w:lvl w:ilvl="3">
      <w:start w:val="0"/>
      <w:numFmt w:val="bullet"/>
      <w:lvlText w:val="•"/>
      <w:lvlJc w:val="left"/>
      <w:pPr>
        <w:ind w:left="3685" w:hanging="683"/>
      </w:pPr>
      <w:rPr>
        <w:rFonts w:hint="default"/>
      </w:rPr>
    </w:lvl>
    <w:lvl w:ilvl="4">
      <w:start w:val="0"/>
      <w:numFmt w:val="bullet"/>
      <w:lvlText w:val="•"/>
      <w:lvlJc w:val="left"/>
      <w:pPr>
        <w:ind w:left="4613" w:hanging="683"/>
      </w:pPr>
      <w:rPr>
        <w:rFonts w:hint="default"/>
      </w:rPr>
    </w:lvl>
    <w:lvl w:ilvl="5">
      <w:start w:val="0"/>
      <w:numFmt w:val="bullet"/>
      <w:lvlText w:val="•"/>
      <w:lvlJc w:val="left"/>
      <w:pPr>
        <w:ind w:left="5542" w:hanging="683"/>
      </w:pPr>
      <w:rPr>
        <w:rFonts w:hint="default"/>
      </w:rPr>
    </w:lvl>
    <w:lvl w:ilvl="6">
      <w:start w:val="0"/>
      <w:numFmt w:val="bullet"/>
      <w:lvlText w:val="•"/>
      <w:lvlJc w:val="left"/>
      <w:pPr>
        <w:ind w:left="6470" w:hanging="683"/>
      </w:pPr>
      <w:rPr>
        <w:rFonts w:hint="default"/>
      </w:rPr>
    </w:lvl>
    <w:lvl w:ilvl="7">
      <w:start w:val="0"/>
      <w:numFmt w:val="bullet"/>
      <w:lvlText w:val="•"/>
      <w:lvlJc w:val="left"/>
      <w:pPr>
        <w:ind w:left="7399" w:hanging="683"/>
      </w:pPr>
      <w:rPr>
        <w:rFonts w:hint="default"/>
      </w:rPr>
    </w:lvl>
    <w:lvl w:ilvl="8">
      <w:start w:val="0"/>
      <w:numFmt w:val="bullet"/>
      <w:lvlText w:val="•"/>
      <w:lvlJc w:val="left"/>
      <w:pPr>
        <w:ind w:left="8327" w:hanging="683"/>
      </w:pPr>
      <w:rPr>
        <w:rFonts w:hint="default"/>
      </w:rPr>
    </w:lvl>
  </w:abstractNum>
  <w:abstractNum w:abstractNumId="13">
    <w:multiLevelType w:val="hybridMultilevel"/>
    <w:lvl w:ilvl="0">
      <w:start w:val="0"/>
      <w:numFmt w:val="bullet"/>
      <w:lvlText w:val="◉"/>
      <w:lvlJc w:val="left"/>
      <w:pPr>
        <w:ind w:left="907" w:hanging="683"/>
      </w:pPr>
      <w:rPr>
        <w:rFonts w:hint="default" w:ascii="Yu Gothic" w:hAnsi="Yu Gothic" w:eastAsia="Yu Gothic" w:cs="Yu Gothic"/>
        <w:b/>
        <w:bCs/>
        <w:w w:val="89"/>
        <w:position w:val="-3"/>
        <w:sz w:val="40"/>
        <w:szCs w:val="40"/>
      </w:rPr>
    </w:lvl>
    <w:lvl w:ilvl="1">
      <w:start w:val="0"/>
      <w:numFmt w:val="bullet"/>
      <w:lvlText w:val="•"/>
      <w:lvlJc w:val="left"/>
      <w:pPr>
        <w:ind w:left="1828" w:hanging="683"/>
      </w:pPr>
      <w:rPr>
        <w:rFonts w:hint="default"/>
      </w:rPr>
    </w:lvl>
    <w:lvl w:ilvl="2">
      <w:start w:val="0"/>
      <w:numFmt w:val="bullet"/>
      <w:lvlText w:val="•"/>
      <w:lvlJc w:val="left"/>
      <w:pPr>
        <w:ind w:left="2756" w:hanging="683"/>
      </w:pPr>
      <w:rPr>
        <w:rFonts w:hint="default"/>
      </w:rPr>
    </w:lvl>
    <w:lvl w:ilvl="3">
      <w:start w:val="0"/>
      <w:numFmt w:val="bullet"/>
      <w:lvlText w:val="•"/>
      <w:lvlJc w:val="left"/>
      <w:pPr>
        <w:ind w:left="3685" w:hanging="683"/>
      </w:pPr>
      <w:rPr>
        <w:rFonts w:hint="default"/>
      </w:rPr>
    </w:lvl>
    <w:lvl w:ilvl="4">
      <w:start w:val="0"/>
      <w:numFmt w:val="bullet"/>
      <w:lvlText w:val="•"/>
      <w:lvlJc w:val="left"/>
      <w:pPr>
        <w:ind w:left="4613" w:hanging="683"/>
      </w:pPr>
      <w:rPr>
        <w:rFonts w:hint="default"/>
      </w:rPr>
    </w:lvl>
    <w:lvl w:ilvl="5">
      <w:start w:val="0"/>
      <w:numFmt w:val="bullet"/>
      <w:lvlText w:val="•"/>
      <w:lvlJc w:val="left"/>
      <w:pPr>
        <w:ind w:left="5542" w:hanging="683"/>
      </w:pPr>
      <w:rPr>
        <w:rFonts w:hint="default"/>
      </w:rPr>
    </w:lvl>
    <w:lvl w:ilvl="6">
      <w:start w:val="0"/>
      <w:numFmt w:val="bullet"/>
      <w:lvlText w:val="•"/>
      <w:lvlJc w:val="left"/>
      <w:pPr>
        <w:ind w:left="6470" w:hanging="683"/>
      </w:pPr>
      <w:rPr>
        <w:rFonts w:hint="default"/>
      </w:rPr>
    </w:lvl>
    <w:lvl w:ilvl="7">
      <w:start w:val="0"/>
      <w:numFmt w:val="bullet"/>
      <w:lvlText w:val="•"/>
      <w:lvlJc w:val="left"/>
      <w:pPr>
        <w:ind w:left="7399" w:hanging="683"/>
      </w:pPr>
      <w:rPr>
        <w:rFonts w:hint="default"/>
      </w:rPr>
    </w:lvl>
    <w:lvl w:ilvl="8">
      <w:start w:val="0"/>
      <w:numFmt w:val="bullet"/>
      <w:lvlText w:val="•"/>
      <w:lvlJc w:val="left"/>
      <w:pPr>
        <w:ind w:left="8327" w:hanging="683"/>
      </w:pPr>
      <w:rPr>
        <w:rFonts w:hint="default"/>
      </w:rPr>
    </w:lvl>
  </w:abstractNum>
  <w:abstractNum w:abstractNumId="12">
    <w:multiLevelType w:val="hybridMultilevel"/>
    <w:lvl w:ilvl="0">
      <w:start w:val="5"/>
      <w:numFmt w:val="decimal"/>
      <w:lvlText w:val="%1"/>
      <w:lvlJc w:val="left"/>
      <w:pPr>
        <w:ind w:left="2613" w:hanging="683"/>
        <w:jc w:val="left"/>
      </w:pPr>
      <w:rPr>
        <w:rFonts w:hint="default"/>
      </w:rPr>
    </w:lvl>
    <w:lvl w:ilvl="1">
      <w:start w:val="1"/>
      <w:numFmt w:val="decimal"/>
      <w:lvlText w:val="%1.%2"/>
      <w:lvlJc w:val="left"/>
      <w:pPr>
        <w:ind w:left="2613" w:hanging="683"/>
        <w:jc w:val="left"/>
      </w:pPr>
      <w:rPr>
        <w:rFonts w:hint="default" w:ascii="宋体" w:hAnsi="宋体" w:eastAsia="宋体" w:cs="宋体"/>
        <w:b/>
        <w:bCs/>
        <w:w w:val="99"/>
        <w:sz w:val="21"/>
        <w:szCs w:val="21"/>
      </w:rPr>
    </w:lvl>
    <w:lvl w:ilvl="2">
      <w:start w:val="0"/>
      <w:numFmt w:val="bullet"/>
      <w:lvlText w:val="•"/>
      <w:lvlJc w:val="left"/>
      <w:pPr>
        <w:ind w:left="4132" w:hanging="683"/>
      </w:pPr>
      <w:rPr>
        <w:rFonts w:hint="default"/>
      </w:rPr>
    </w:lvl>
    <w:lvl w:ilvl="3">
      <w:start w:val="0"/>
      <w:numFmt w:val="bullet"/>
      <w:lvlText w:val="•"/>
      <w:lvlJc w:val="left"/>
      <w:pPr>
        <w:ind w:left="4889" w:hanging="683"/>
      </w:pPr>
      <w:rPr>
        <w:rFonts w:hint="default"/>
      </w:rPr>
    </w:lvl>
    <w:lvl w:ilvl="4">
      <w:start w:val="0"/>
      <w:numFmt w:val="bullet"/>
      <w:lvlText w:val="•"/>
      <w:lvlJc w:val="left"/>
      <w:pPr>
        <w:ind w:left="5645" w:hanging="683"/>
      </w:pPr>
      <w:rPr>
        <w:rFonts w:hint="default"/>
      </w:rPr>
    </w:lvl>
    <w:lvl w:ilvl="5">
      <w:start w:val="0"/>
      <w:numFmt w:val="bullet"/>
      <w:lvlText w:val="•"/>
      <w:lvlJc w:val="left"/>
      <w:pPr>
        <w:ind w:left="6402" w:hanging="683"/>
      </w:pPr>
      <w:rPr>
        <w:rFonts w:hint="default"/>
      </w:rPr>
    </w:lvl>
    <w:lvl w:ilvl="6">
      <w:start w:val="0"/>
      <w:numFmt w:val="bullet"/>
      <w:lvlText w:val="•"/>
      <w:lvlJc w:val="left"/>
      <w:pPr>
        <w:ind w:left="7158" w:hanging="683"/>
      </w:pPr>
      <w:rPr>
        <w:rFonts w:hint="default"/>
      </w:rPr>
    </w:lvl>
    <w:lvl w:ilvl="7">
      <w:start w:val="0"/>
      <w:numFmt w:val="bullet"/>
      <w:lvlText w:val="•"/>
      <w:lvlJc w:val="left"/>
      <w:pPr>
        <w:ind w:left="7915" w:hanging="683"/>
      </w:pPr>
      <w:rPr>
        <w:rFonts w:hint="default"/>
      </w:rPr>
    </w:lvl>
    <w:lvl w:ilvl="8">
      <w:start w:val="0"/>
      <w:numFmt w:val="bullet"/>
      <w:lvlText w:val="•"/>
      <w:lvlJc w:val="left"/>
      <w:pPr>
        <w:ind w:left="8671" w:hanging="683"/>
      </w:pPr>
      <w:rPr>
        <w:rFonts w:hint="default"/>
      </w:rPr>
    </w:lvl>
  </w:abstractNum>
  <w:abstractNum w:abstractNumId="11">
    <w:multiLevelType w:val="hybridMultilevel"/>
    <w:lvl w:ilvl="0">
      <w:start w:val="4"/>
      <w:numFmt w:val="decimal"/>
      <w:lvlText w:val="%1"/>
      <w:lvlJc w:val="left"/>
      <w:pPr>
        <w:ind w:left="2613" w:hanging="684"/>
        <w:jc w:val="left"/>
      </w:pPr>
      <w:rPr>
        <w:rFonts w:hint="default"/>
      </w:rPr>
    </w:lvl>
    <w:lvl w:ilvl="1">
      <w:start w:val="1"/>
      <w:numFmt w:val="decimal"/>
      <w:lvlText w:val="%1.%2"/>
      <w:lvlJc w:val="left"/>
      <w:pPr>
        <w:ind w:left="2613" w:hanging="684"/>
        <w:jc w:val="left"/>
      </w:pPr>
      <w:rPr>
        <w:rFonts w:hint="default" w:ascii="宋体" w:hAnsi="宋体" w:eastAsia="宋体" w:cs="宋体"/>
        <w:b/>
        <w:bCs/>
        <w:w w:val="99"/>
        <w:sz w:val="21"/>
        <w:szCs w:val="21"/>
      </w:rPr>
    </w:lvl>
    <w:lvl w:ilvl="2">
      <w:start w:val="0"/>
      <w:numFmt w:val="bullet"/>
      <w:lvlText w:val="•"/>
      <w:lvlJc w:val="left"/>
      <w:pPr>
        <w:ind w:left="4132" w:hanging="684"/>
      </w:pPr>
      <w:rPr>
        <w:rFonts w:hint="default"/>
      </w:rPr>
    </w:lvl>
    <w:lvl w:ilvl="3">
      <w:start w:val="0"/>
      <w:numFmt w:val="bullet"/>
      <w:lvlText w:val="•"/>
      <w:lvlJc w:val="left"/>
      <w:pPr>
        <w:ind w:left="4889" w:hanging="684"/>
      </w:pPr>
      <w:rPr>
        <w:rFonts w:hint="default"/>
      </w:rPr>
    </w:lvl>
    <w:lvl w:ilvl="4">
      <w:start w:val="0"/>
      <w:numFmt w:val="bullet"/>
      <w:lvlText w:val="•"/>
      <w:lvlJc w:val="left"/>
      <w:pPr>
        <w:ind w:left="5645" w:hanging="684"/>
      </w:pPr>
      <w:rPr>
        <w:rFonts w:hint="default"/>
      </w:rPr>
    </w:lvl>
    <w:lvl w:ilvl="5">
      <w:start w:val="0"/>
      <w:numFmt w:val="bullet"/>
      <w:lvlText w:val="•"/>
      <w:lvlJc w:val="left"/>
      <w:pPr>
        <w:ind w:left="6402" w:hanging="684"/>
      </w:pPr>
      <w:rPr>
        <w:rFonts w:hint="default"/>
      </w:rPr>
    </w:lvl>
    <w:lvl w:ilvl="6">
      <w:start w:val="0"/>
      <w:numFmt w:val="bullet"/>
      <w:lvlText w:val="•"/>
      <w:lvlJc w:val="left"/>
      <w:pPr>
        <w:ind w:left="7158" w:hanging="684"/>
      </w:pPr>
      <w:rPr>
        <w:rFonts w:hint="default"/>
      </w:rPr>
    </w:lvl>
    <w:lvl w:ilvl="7">
      <w:start w:val="0"/>
      <w:numFmt w:val="bullet"/>
      <w:lvlText w:val="•"/>
      <w:lvlJc w:val="left"/>
      <w:pPr>
        <w:ind w:left="7915" w:hanging="684"/>
      </w:pPr>
      <w:rPr>
        <w:rFonts w:hint="default"/>
      </w:rPr>
    </w:lvl>
    <w:lvl w:ilvl="8">
      <w:start w:val="0"/>
      <w:numFmt w:val="bullet"/>
      <w:lvlText w:val="•"/>
      <w:lvlJc w:val="left"/>
      <w:pPr>
        <w:ind w:left="8671" w:hanging="684"/>
      </w:pPr>
      <w:rPr>
        <w:rFonts w:hint="default"/>
      </w:rPr>
    </w:lvl>
  </w:abstractNum>
  <w:abstractNum w:abstractNumId="10">
    <w:multiLevelType w:val="hybridMultilevel"/>
    <w:lvl w:ilvl="0">
      <w:start w:val="1"/>
      <w:numFmt w:val="decimal"/>
      <w:lvlText w:val="(%1)"/>
      <w:lvlJc w:val="left"/>
      <w:pPr>
        <w:ind w:left="2953" w:hanging="420"/>
        <w:jc w:val="left"/>
      </w:pPr>
      <w:rPr>
        <w:rFonts w:hint="default" w:ascii="宋体" w:hAnsi="宋体" w:eastAsia="宋体" w:cs="宋体"/>
        <w:spacing w:val="-31"/>
        <w:w w:val="100"/>
        <w:sz w:val="18"/>
        <w:szCs w:val="18"/>
      </w:rPr>
    </w:lvl>
    <w:lvl w:ilvl="1">
      <w:start w:val="0"/>
      <w:numFmt w:val="bullet"/>
      <w:lvlText w:val="•"/>
      <w:lvlJc w:val="left"/>
      <w:pPr>
        <w:ind w:left="3666" w:hanging="420"/>
      </w:pPr>
      <w:rPr>
        <w:rFonts w:hint="default"/>
      </w:rPr>
    </w:lvl>
    <w:lvl w:ilvl="2">
      <w:start w:val="0"/>
      <w:numFmt w:val="bullet"/>
      <w:lvlText w:val="•"/>
      <w:lvlJc w:val="left"/>
      <w:pPr>
        <w:ind w:left="4372" w:hanging="420"/>
      </w:pPr>
      <w:rPr>
        <w:rFonts w:hint="default"/>
      </w:rPr>
    </w:lvl>
    <w:lvl w:ilvl="3">
      <w:start w:val="0"/>
      <w:numFmt w:val="bullet"/>
      <w:lvlText w:val="•"/>
      <w:lvlJc w:val="left"/>
      <w:pPr>
        <w:ind w:left="5079" w:hanging="420"/>
      </w:pPr>
      <w:rPr>
        <w:rFonts w:hint="default"/>
      </w:rPr>
    </w:lvl>
    <w:lvl w:ilvl="4">
      <w:start w:val="0"/>
      <w:numFmt w:val="bullet"/>
      <w:lvlText w:val="•"/>
      <w:lvlJc w:val="left"/>
      <w:pPr>
        <w:ind w:left="5785" w:hanging="420"/>
      </w:pPr>
      <w:rPr>
        <w:rFonts w:hint="default"/>
      </w:rPr>
    </w:lvl>
    <w:lvl w:ilvl="5">
      <w:start w:val="0"/>
      <w:numFmt w:val="bullet"/>
      <w:lvlText w:val="•"/>
      <w:lvlJc w:val="left"/>
      <w:pPr>
        <w:ind w:left="6492" w:hanging="420"/>
      </w:pPr>
      <w:rPr>
        <w:rFonts w:hint="default"/>
      </w:rPr>
    </w:lvl>
    <w:lvl w:ilvl="6">
      <w:start w:val="0"/>
      <w:numFmt w:val="bullet"/>
      <w:lvlText w:val="•"/>
      <w:lvlJc w:val="left"/>
      <w:pPr>
        <w:ind w:left="7198" w:hanging="420"/>
      </w:pPr>
      <w:rPr>
        <w:rFonts w:hint="default"/>
      </w:rPr>
    </w:lvl>
    <w:lvl w:ilvl="7">
      <w:start w:val="0"/>
      <w:numFmt w:val="bullet"/>
      <w:lvlText w:val="•"/>
      <w:lvlJc w:val="left"/>
      <w:pPr>
        <w:ind w:left="7905" w:hanging="420"/>
      </w:pPr>
      <w:rPr>
        <w:rFonts w:hint="default"/>
      </w:rPr>
    </w:lvl>
    <w:lvl w:ilvl="8">
      <w:start w:val="0"/>
      <w:numFmt w:val="bullet"/>
      <w:lvlText w:val="•"/>
      <w:lvlJc w:val="left"/>
      <w:pPr>
        <w:ind w:left="8611" w:hanging="420"/>
      </w:pPr>
      <w:rPr>
        <w:rFonts w:hint="default"/>
      </w:rPr>
    </w:lvl>
  </w:abstractNum>
  <w:abstractNum w:abstractNumId="9">
    <w:multiLevelType w:val="hybridMultilevel"/>
    <w:lvl w:ilvl="0">
      <w:start w:val="1"/>
      <w:numFmt w:val="decimal"/>
      <w:lvlText w:val="(%1)"/>
      <w:lvlJc w:val="left"/>
      <w:pPr>
        <w:ind w:left="2953" w:hanging="420"/>
        <w:jc w:val="left"/>
      </w:pPr>
      <w:rPr>
        <w:rFonts w:hint="default" w:ascii="宋体" w:hAnsi="宋体" w:eastAsia="宋体" w:cs="宋体"/>
        <w:spacing w:val="-31"/>
        <w:w w:val="100"/>
        <w:sz w:val="18"/>
        <w:szCs w:val="18"/>
      </w:rPr>
    </w:lvl>
    <w:lvl w:ilvl="1">
      <w:start w:val="0"/>
      <w:numFmt w:val="bullet"/>
      <w:lvlText w:val="•"/>
      <w:lvlJc w:val="left"/>
      <w:pPr>
        <w:ind w:left="3666" w:hanging="420"/>
      </w:pPr>
      <w:rPr>
        <w:rFonts w:hint="default"/>
      </w:rPr>
    </w:lvl>
    <w:lvl w:ilvl="2">
      <w:start w:val="0"/>
      <w:numFmt w:val="bullet"/>
      <w:lvlText w:val="•"/>
      <w:lvlJc w:val="left"/>
      <w:pPr>
        <w:ind w:left="4372" w:hanging="420"/>
      </w:pPr>
      <w:rPr>
        <w:rFonts w:hint="default"/>
      </w:rPr>
    </w:lvl>
    <w:lvl w:ilvl="3">
      <w:start w:val="0"/>
      <w:numFmt w:val="bullet"/>
      <w:lvlText w:val="•"/>
      <w:lvlJc w:val="left"/>
      <w:pPr>
        <w:ind w:left="5079" w:hanging="420"/>
      </w:pPr>
      <w:rPr>
        <w:rFonts w:hint="default"/>
      </w:rPr>
    </w:lvl>
    <w:lvl w:ilvl="4">
      <w:start w:val="0"/>
      <w:numFmt w:val="bullet"/>
      <w:lvlText w:val="•"/>
      <w:lvlJc w:val="left"/>
      <w:pPr>
        <w:ind w:left="5785" w:hanging="420"/>
      </w:pPr>
      <w:rPr>
        <w:rFonts w:hint="default"/>
      </w:rPr>
    </w:lvl>
    <w:lvl w:ilvl="5">
      <w:start w:val="0"/>
      <w:numFmt w:val="bullet"/>
      <w:lvlText w:val="•"/>
      <w:lvlJc w:val="left"/>
      <w:pPr>
        <w:ind w:left="6492" w:hanging="420"/>
      </w:pPr>
      <w:rPr>
        <w:rFonts w:hint="default"/>
      </w:rPr>
    </w:lvl>
    <w:lvl w:ilvl="6">
      <w:start w:val="0"/>
      <w:numFmt w:val="bullet"/>
      <w:lvlText w:val="•"/>
      <w:lvlJc w:val="left"/>
      <w:pPr>
        <w:ind w:left="7198" w:hanging="420"/>
      </w:pPr>
      <w:rPr>
        <w:rFonts w:hint="default"/>
      </w:rPr>
    </w:lvl>
    <w:lvl w:ilvl="7">
      <w:start w:val="0"/>
      <w:numFmt w:val="bullet"/>
      <w:lvlText w:val="•"/>
      <w:lvlJc w:val="left"/>
      <w:pPr>
        <w:ind w:left="7905" w:hanging="420"/>
      </w:pPr>
      <w:rPr>
        <w:rFonts w:hint="default"/>
      </w:rPr>
    </w:lvl>
    <w:lvl w:ilvl="8">
      <w:start w:val="0"/>
      <w:numFmt w:val="bullet"/>
      <w:lvlText w:val="•"/>
      <w:lvlJc w:val="left"/>
      <w:pPr>
        <w:ind w:left="8611" w:hanging="420"/>
      </w:pPr>
      <w:rPr>
        <w:rFonts w:hint="default"/>
      </w:rPr>
    </w:lvl>
  </w:abstractNum>
  <w:abstractNum w:abstractNumId="8">
    <w:multiLevelType w:val="hybridMultilevel"/>
    <w:lvl w:ilvl="0">
      <w:start w:val="3"/>
      <w:numFmt w:val="decimal"/>
      <w:lvlText w:val="%1"/>
      <w:lvlJc w:val="left"/>
      <w:pPr>
        <w:ind w:left="907" w:hanging="684"/>
        <w:jc w:val="left"/>
      </w:pPr>
      <w:rPr>
        <w:rFonts w:hint="default"/>
      </w:rPr>
    </w:lvl>
    <w:lvl w:ilvl="1">
      <w:start w:val="1"/>
      <w:numFmt w:val="decimal"/>
      <w:lvlText w:val="%1.%2"/>
      <w:lvlJc w:val="left"/>
      <w:pPr>
        <w:ind w:left="907" w:hanging="684"/>
        <w:jc w:val="right"/>
      </w:pPr>
      <w:rPr>
        <w:rFonts w:hint="default" w:ascii="宋体" w:hAnsi="宋体" w:eastAsia="宋体" w:cs="宋体"/>
        <w:b/>
        <w:bCs/>
        <w:w w:val="99"/>
        <w:sz w:val="21"/>
        <w:szCs w:val="21"/>
      </w:rPr>
    </w:lvl>
    <w:lvl w:ilvl="2">
      <w:start w:val="1"/>
      <w:numFmt w:val="decimal"/>
      <w:lvlText w:val="(%3)"/>
      <w:lvlJc w:val="left"/>
      <w:pPr>
        <w:ind w:left="2947" w:hanging="420"/>
        <w:jc w:val="left"/>
      </w:pPr>
      <w:rPr>
        <w:rFonts w:hint="default" w:ascii="宋体" w:hAnsi="宋体" w:eastAsia="宋体" w:cs="宋体"/>
        <w:spacing w:val="-31"/>
        <w:w w:val="100"/>
        <w:sz w:val="18"/>
        <w:szCs w:val="18"/>
      </w:rPr>
    </w:lvl>
    <w:lvl w:ilvl="3">
      <w:start w:val="0"/>
      <w:numFmt w:val="bullet"/>
      <w:lvlText w:val="•"/>
      <w:lvlJc w:val="left"/>
      <w:pPr>
        <w:ind w:left="2751" w:hanging="420"/>
      </w:pPr>
      <w:rPr>
        <w:rFonts w:hint="default"/>
      </w:rPr>
    </w:lvl>
    <w:lvl w:ilvl="4">
      <w:start w:val="0"/>
      <w:numFmt w:val="bullet"/>
      <w:lvlText w:val="•"/>
      <w:lvlJc w:val="left"/>
      <w:pPr>
        <w:ind w:left="2657" w:hanging="420"/>
      </w:pPr>
      <w:rPr>
        <w:rFonts w:hint="default"/>
      </w:rPr>
    </w:lvl>
    <w:lvl w:ilvl="5">
      <w:start w:val="0"/>
      <w:numFmt w:val="bullet"/>
      <w:lvlText w:val="•"/>
      <w:lvlJc w:val="left"/>
      <w:pPr>
        <w:ind w:left="2563" w:hanging="420"/>
      </w:pPr>
      <w:rPr>
        <w:rFonts w:hint="default"/>
      </w:rPr>
    </w:lvl>
    <w:lvl w:ilvl="6">
      <w:start w:val="0"/>
      <w:numFmt w:val="bullet"/>
      <w:lvlText w:val="•"/>
      <w:lvlJc w:val="left"/>
      <w:pPr>
        <w:ind w:left="2468" w:hanging="420"/>
      </w:pPr>
      <w:rPr>
        <w:rFonts w:hint="default"/>
      </w:rPr>
    </w:lvl>
    <w:lvl w:ilvl="7">
      <w:start w:val="0"/>
      <w:numFmt w:val="bullet"/>
      <w:lvlText w:val="•"/>
      <w:lvlJc w:val="left"/>
      <w:pPr>
        <w:ind w:left="2374" w:hanging="420"/>
      </w:pPr>
      <w:rPr>
        <w:rFonts w:hint="default"/>
      </w:rPr>
    </w:lvl>
    <w:lvl w:ilvl="8">
      <w:start w:val="0"/>
      <w:numFmt w:val="bullet"/>
      <w:lvlText w:val="•"/>
      <w:lvlJc w:val="left"/>
      <w:pPr>
        <w:ind w:left="2280" w:hanging="420"/>
      </w:pPr>
      <w:rPr>
        <w:rFonts w:hint="default"/>
      </w:rPr>
    </w:lvl>
  </w:abstractNum>
  <w:abstractNum w:abstractNumId="7">
    <w:multiLevelType w:val="hybridMultilevel"/>
    <w:lvl w:ilvl="0">
      <w:start w:val="2"/>
      <w:numFmt w:val="decimal"/>
      <w:lvlText w:val="%1"/>
      <w:lvlJc w:val="left"/>
      <w:pPr>
        <w:ind w:left="906" w:hanging="683"/>
        <w:jc w:val="left"/>
      </w:pPr>
      <w:rPr>
        <w:rFonts w:hint="default"/>
      </w:rPr>
    </w:lvl>
    <w:lvl w:ilvl="1">
      <w:start w:val="1"/>
      <w:numFmt w:val="decimal"/>
      <w:lvlText w:val="%1.%2"/>
      <w:lvlJc w:val="left"/>
      <w:pPr>
        <w:ind w:left="2613" w:hanging="683"/>
        <w:jc w:val="left"/>
      </w:pPr>
      <w:rPr>
        <w:rFonts w:hint="default" w:ascii="宋体" w:hAnsi="宋体" w:eastAsia="宋体" w:cs="宋体"/>
        <w:b/>
        <w:bCs/>
        <w:w w:val="99"/>
        <w:sz w:val="21"/>
        <w:szCs w:val="21"/>
      </w:rPr>
    </w:lvl>
    <w:lvl w:ilvl="2">
      <w:start w:val="1"/>
      <w:numFmt w:val="decimal"/>
      <w:lvlText w:val="(%3)"/>
      <w:lvlJc w:val="left"/>
      <w:pPr>
        <w:ind w:left="2917" w:hanging="304"/>
        <w:jc w:val="left"/>
      </w:pPr>
      <w:rPr>
        <w:rFonts w:hint="default"/>
        <w:highlight w:val="lightGray"/>
      </w:rPr>
    </w:lvl>
    <w:lvl w:ilvl="3">
      <w:start w:val="0"/>
      <w:numFmt w:val="bullet"/>
      <w:lvlText w:val="•"/>
      <w:lvlJc w:val="left"/>
      <w:pPr>
        <w:ind w:left="3828" w:hanging="304"/>
      </w:pPr>
      <w:rPr>
        <w:rFonts w:hint="default"/>
      </w:rPr>
    </w:lvl>
    <w:lvl w:ilvl="4">
      <w:start w:val="0"/>
      <w:numFmt w:val="bullet"/>
      <w:lvlText w:val="•"/>
      <w:lvlJc w:val="left"/>
      <w:pPr>
        <w:ind w:left="4736" w:hanging="304"/>
      </w:pPr>
      <w:rPr>
        <w:rFonts w:hint="default"/>
      </w:rPr>
    </w:lvl>
    <w:lvl w:ilvl="5">
      <w:start w:val="0"/>
      <w:numFmt w:val="bullet"/>
      <w:lvlText w:val="•"/>
      <w:lvlJc w:val="left"/>
      <w:pPr>
        <w:ind w:left="5644" w:hanging="304"/>
      </w:pPr>
      <w:rPr>
        <w:rFonts w:hint="default"/>
      </w:rPr>
    </w:lvl>
    <w:lvl w:ilvl="6">
      <w:start w:val="0"/>
      <w:numFmt w:val="bullet"/>
      <w:lvlText w:val="•"/>
      <w:lvlJc w:val="left"/>
      <w:pPr>
        <w:ind w:left="6552" w:hanging="304"/>
      </w:pPr>
      <w:rPr>
        <w:rFonts w:hint="default"/>
      </w:rPr>
    </w:lvl>
    <w:lvl w:ilvl="7">
      <w:start w:val="0"/>
      <w:numFmt w:val="bullet"/>
      <w:lvlText w:val="•"/>
      <w:lvlJc w:val="left"/>
      <w:pPr>
        <w:ind w:left="7460" w:hanging="304"/>
      </w:pPr>
      <w:rPr>
        <w:rFonts w:hint="default"/>
      </w:rPr>
    </w:lvl>
    <w:lvl w:ilvl="8">
      <w:start w:val="0"/>
      <w:numFmt w:val="bullet"/>
      <w:lvlText w:val="•"/>
      <w:lvlJc w:val="left"/>
      <w:pPr>
        <w:ind w:left="8368" w:hanging="304"/>
      </w:pPr>
      <w:rPr>
        <w:rFonts w:hint="default"/>
      </w:rPr>
    </w:lvl>
  </w:abstractNum>
  <w:abstractNum w:abstractNumId="6">
    <w:multiLevelType w:val="hybridMultilevel"/>
    <w:lvl w:ilvl="0">
      <w:start w:val="1"/>
      <w:numFmt w:val="decimal"/>
      <w:lvlText w:val="%1"/>
      <w:lvlJc w:val="left"/>
      <w:pPr>
        <w:ind w:left="2613" w:hanging="683"/>
        <w:jc w:val="left"/>
      </w:pPr>
      <w:rPr>
        <w:rFonts w:hint="default"/>
      </w:rPr>
    </w:lvl>
    <w:lvl w:ilvl="1">
      <w:start w:val="1"/>
      <w:numFmt w:val="decimal"/>
      <w:lvlText w:val="%1.%2"/>
      <w:lvlJc w:val="left"/>
      <w:pPr>
        <w:ind w:left="2613" w:hanging="683"/>
        <w:jc w:val="left"/>
      </w:pPr>
      <w:rPr>
        <w:rFonts w:hint="default" w:ascii="宋体" w:hAnsi="宋体" w:eastAsia="宋体" w:cs="宋体"/>
        <w:b/>
        <w:bCs/>
        <w:w w:val="99"/>
        <w:sz w:val="21"/>
        <w:szCs w:val="21"/>
      </w:rPr>
    </w:lvl>
    <w:lvl w:ilvl="2">
      <w:start w:val="0"/>
      <w:numFmt w:val="bullet"/>
      <w:lvlText w:val="•"/>
      <w:lvlJc w:val="left"/>
      <w:pPr>
        <w:ind w:left="4132" w:hanging="683"/>
      </w:pPr>
      <w:rPr>
        <w:rFonts w:hint="default"/>
      </w:rPr>
    </w:lvl>
    <w:lvl w:ilvl="3">
      <w:start w:val="0"/>
      <w:numFmt w:val="bullet"/>
      <w:lvlText w:val="•"/>
      <w:lvlJc w:val="left"/>
      <w:pPr>
        <w:ind w:left="4889" w:hanging="683"/>
      </w:pPr>
      <w:rPr>
        <w:rFonts w:hint="default"/>
      </w:rPr>
    </w:lvl>
    <w:lvl w:ilvl="4">
      <w:start w:val="0"/>
      <w:numFmt w:val="bullet"/>
      <w:lvlText w:val="•"/>
      <w:lvlJc w:val="left"/>
      <w:pPr>
        <w:ind w:left="5645" w:hanging="683"/>
      </w:pPr>
      <w:rPr>
        <w:rFonts w:hint="default"/>
      </w:rPr>
    </w:lvl>
    <w:lvl w:ilvl="5">
      <w:start w:val="0"/>
      <w:numFmt w:val="bullet"/>
      <w:lvlText w:val="•"/>
      <w:lvlJc w:val="left"/>
      <w:pPr>
        <w:ind w:left="6402" w:hanging="683"/>
      </w:pPr>
      <w:rPr>
        <w:rFonts w:hint="default"/>
      </w:rPr>
    </w:lvl>
    <w:lvl w:ilvl="6">
      <w:start w:val="0"/>
      <w:numFmt w:val="bullet"/>
      <w:lvlText w:val="•"/>
      <w:lvlJc w:val="left"/>
      <w:pPr>
        <w:ind w:left="7158" w:hanging="683"/>
      </w:pPr>
      <w:rPr>
        <w:rFonts w:hint="default"/>
      </w:rPr>
    </w:lvl>
    <w:lvl w:ilvl="7">
      <w:start w:val="0"/>
      <w:numFmt w:val="bullet"/>
      <w:lvlText w:val="•"/>
      <w:lvlJc w:val="left"/>
      <w:pPr>
        <w:ind w:left="7915" w:hanging="683"/>
      </w:pPr>
      <w:rPr>
        <w:rFonts w:hint="default"/>
      </w:rPr>
    </w:lvl>
    <w:lvl w:ilvl="8">
      <w:start w:val="0"/>
      <w:numFmt w:val="bullet"/>
      <w:lvlText w:val="•"/>
      <w:lvlJc w:val="left"/>
      <w:pPr>
        <w:ind w:left="8671" w:hanging="683"/>
      </w:pPr>
      <w:rPr>
        <w:rFonts w:hint="default"/>
      </w:rPr>
    </w:lvl>
  </w:abstractNum>
  <w:abstractNum w:abstractNumId="5">
    <w:multiLevelType w:val="hybridMultilevel"/>
    <w:lvl w:ilvl="0">
      <w:start w:val="8"/>
      <w:numFmt w:val="decimal"/>
      <w:lvlText w:val="%1"/>
      <w:lvlJc w:val="left"/>
      <w:pPr>
        <w:ind w:left="598" w:hanging="421"/>
        <w:jc w:val="left"/>
      </w:pPr>
      <w:rPr>
        <w:rFonts w:hint="default"/>
      </w:rPr>
    </w:lvl>
    <w:lvl w:ilvl="1">
      <w:start w:val="1"/>
      <w:numFmt w:val="decimal"/>
      <w:lvlText w:val="%1.%2"/>
      <w:lvlJc w:val="left"/>
      <w:pPr>
        <w:ind w:left="598" w:hanging="421"/>
        <w:jc w:val="left"/>
      </w:pPr>
      <w:rPr>
        <w:rFonts w:hint="default" w:ascii="宋体" w:hAnsi="宋体" w:eastAsia="宋体" w:cs="宋体"/>
        <w:spacing w:val="-2"/>
        <w:w w:val="100"/>
        <w:sz w:val="21"/>
        <w:szCs w:val="21"/>
      </w:rPr>
    </w:lvl>
    <w:lvl w:ilvl="2">
      <w:start w:val="0"/>
      <w:numFmt w:val="bullet"/>
      <w:lvlText w:val="•"/>
      <w:lvlJc w:val="left"/>
      <w:pPr>
        <w:ind w:left="1167" w:hanging="421"/>
      </w:pPr>
      <w:rPr>
        <w:rFonts w:hint="default"/>
      </w:rPr>
    </w:lvl>
    <w:lvl w:ilvl="3">
      <w:start w:val="0"/>
      <w:numFmt w:val="bullet"/>
      <w:lvlText w:val="•"/>
      <w:lvlJc w:val="left"/>
      <w:pPr>
        <w:ind w:left="1451" w:hanging="421"/>
      </w:pPr>
      <w:rPr>
        <w:rFonts w:hint="default"/>
      </w:rPr>
    </w:lvl>
    <w:lvl w:ilvl="4">
      <w:start w:val="0"/>
      <w:numFmt w:val="bullet"/>
      <w:lvlText w:val="•"/>
      <w:lvlJc w:val="left"/>
      <w:pPr>
        <w:ind w:left="1735" w:hanging="421"/>
      </w:pPr>
      <w:rPr>
        <w:rFonts w:hint="default"/>
      </w:rPr>
    </w:lvl>
    <w:lvl w:ilvl="5">
      <w:start w:val="0"/>
      <w:numFmt w:val="bullet"/>
      <w:lvlText w:val="•"/>
      <w:lvlJc w:val="left"/>
      <w:pPr>
        <w:ind w:left="2019" w:hanging="421"/>
      </w:pPr>
      <w:rPr>
        <w:rFonts w:hint="default"/>
      </w:rPr>
    </w:lvl>
    <w:lvl w:ilvl="6">
      <w:start w:val="0"/>
      <w:numFmt w:val="bullet"/>
      <w:lvlText w:val="•"/>
      <w:lvlJc w:val="left"/>
      <w:pPr>
        <w:ind w:left="2303" w:hanging="421"/>
      </w:pPr>
      <w:rPr>
        <w:rFonts w:hint="default"/>
      </w:rPr>
    </w:lvl>
    <w:lvl w:ilvl="7">
      <w:start w:val="0"/>
      <w:numFmt w:val="bullet"/>
      <w:lvlText w:val="•"/>
      <w:lvlJc w:val="left"/>
      <w:pPr>
        <w:ind w:left="2586" w:hanging="421"/>
      </w:pPr>
      <w:rPr>
        <w:rFonts w:hint="default"/>
      </w:rPr>
    </w:lvl>
    <w:lvl w:ilvl="8">
      <w:start w:val="0"/>
      <w:numFmt w:val="bullet"/>
      <w:lvlText w:val="•"/>
      <w:lvlJc w:val="left"/>
      <w:pPr>
        <w:ind w:left="2870" w:hanging="421"/>
      </w:pPr>
      <w:rPr>
        <w:rFonts w:hint="default"/>
      </w:rPr>
    </w:lvl>
  </w:abstractNum>
  <w:abstractNum w:abstractNumId="4">
    <w:multiLevelType w:val="hybridMultilevel"/>
    <w:lvl w:ilvl="0">
      <w:start w:val="7"/>
      <w:numFmt w:val="decimal"/>
      <w:lvlText w:val="%1"/>
      <w:lvlJc w:val="left"/>
      <w:pPr>
        <w:ind w:left="784" w:hanging="421"/>
        <w:jc w:val="left"/>
      </w:pPr>
      <w:rPr>
        <w:rFonts w:hint="default"/>
      </w:rPr>
    </w:lvl>
    <w:lvl w:ilvl="1">
      <w:start w:val="1"/>
      <w:numFmt w:val="decimal"/>
      <w:lvlText w:val="%1.%2"/>
      <w:lvlJc w:val="left"/>
      <w:pPr>
        <w:ind w:left="784" w:hanging="421"/>
        <w:jc w:val="left"/>
      </w:pPr>
      <w:rPr>
        <w:rFonts w:hint="default" w:ascii="宋体" w:hAnsi="宋体" w:eastAsia="宋体" w:cs="宋体"/>
        <w:spacing w:val="-2"/>
        <w:w w:val="100"/>
        <w:sz w:val="21"/>
        <w:szCs w:val="21"/>
      </w:rPr>
    </w:lvl>
    <w:lvl w:ilvl="2">
      <w:start w:val="0"/>
      <w:numFmt w:val="bullet"/>
      <w:lvlText w:val="•"/>
      <w:lvlJc w:val="left"/>
      <w:pPr>
        <w:ind w:left="1242" w:hanging="421"/>
      </w:pPr>
      <w:rPr>
        <w:rFonts w:hint="default"/>
      </w:rPr>
    </w:lvl>
    <w:lvl w:ilvl="3">
      <w:start w:val="0"/>
      <w:numFmt w:val="bullet"/>
      <w:lvlText w:val="•"/>
      <w:lvlJc w:val="left"/>
      <w:pPr>
        <w:ind w:left="1474" w:hanging="421"/>
      </w:pPr>
      <w:rPr>
        <w:rFonts w:hint="default"/>
      </w:rPr>
    </w:lvl>
    <w:lvl w:ilvl="4">
      <w:start w:val="0"/>
      <w:numFmt w:val="bullet"/>
      <w:lvlText w:val="•"/>
      <w:lvlJc w:val="left"/>
      <w:pPr>
        <w:ind w:left="1705" w:hanging="421"/>
      </w:pPr>
      <w:rPr>
        <w:rFonts w:hint="default"/>
      </w:rPr>
    </w:lvl>
    <w:lvl w:ilvl="5">
      <w:start w:val="0"/>
      <w:numFmt w:val="bullet"/>
      <w:lvlText w:val="•"/>
      <w:lvlJc w:val="left"/>
      <w:pPr>
        <w:ind w:left="1936" w:hanging="421"/>
      </w:pPr>
      <w:rPr>
        <w:rFonts w:hint="default"/>
      </w:rPr>
    </w:lvl>
    <w:lvl w:ilvl="6">
      <w:start w:val="0"/>
      <w:numFmt w:val="bullet"/>
      <w:lvlText w:val="•"/>
      <w:lvlJc w:val="left"/>
      <w:pPr>
        <w:ind w:left="2168" w:hanging="421"/>
      </w:pPr>
      <w:rPr>
        <w:rFonts w:hint="default"/>
      </w:rPr>
    </w:lvl>
    <w:lvl w:ilvl="7">
      <w:start w:val="0"/>
      <w:numFmt w:val="bullet"/>
      <w:lvlText w:val="•"/>
      <w:lvlJc w:val="left"/>
      <w:pPr>
        <w:ind w:left="2399" w:hanging="421"/>
      </w:pPr>
      <w:rPr>
        <w:rFonts w:hint="default"/>
      </w:rPr>
    </w:lvl>
    <w:lvl w:ilvl="8">
      <w:start w:val="0"/>
      <w:numFmt w:val="bullet"/>
      <w:lvlText w:val="•"/>
      <w:lvlJc w:val="left"/>
      <w:pPr>
        <w:ind w:left="2630" w:hanging="421"/>
      </w:pPr>
      <w:rPr>
        <w:rFonts w:hint="default"/>
      </w:rPr>
    </w:lvl>
  </w:abstractNum>
  <w:abstractNum w:abstractNumId="3">
    <w:multiLevelType w:val="hybridMultilevel"/>
    <w:lvl w:ilvl="0">
      <w:start w:val="5"/>
      <w:numFmt w:val="decimal"/>
      <w:lvlText w:val="%1"/>
      <w:lvlJc w:val="left"/>
      <w:pPr>
        <w:ind w:left="784" w:hanging="421"/>
        <w:jc w:val="left"/>
      </w:pPr>
      <w:rPr>
        <w:rFonts w:hint="default"/>
      </w:rPr>
    </w:lvl>
    <w:lvl w:ilvl="1">
      <w:start w:val="1"/>
      <w:numFmt w:val="decimal"/>
      <w:lvlText w:val="%1.%2"/>
      <w:lvlJc w:val="left"/>
      <w:pPr>
        <w:ind w:left="784" w:hanging="421"/>
        <w:jc w:val="left"/>
      </w:pPr>
      <w:rPr>
        <w:rFonts w:hint="default" w:ascii="宋体" w:hAnsi="宋体" w:eastAsia="宋体" w:cs="宋体"/>
        <w:spacing w:val="-2"/>
        <w:w w:val="100"/>
        <w:sz w:val="21"/>
        <w:szCs w:val="21"/>
      </w:rPr>
    </w:lvl>
    <w:lvl w:ilvl="2">
      <w:start w:val="0"/>
      <w:numFmt w:val="bullet"/>
      <w:lvlText w:val="•"/>
      <w:lvlJc w:val="left"/>
      <w:pPr>
        <w:ind w:left="1242" w:hanging="421"/>
      </w:pPr>
      <w:rPr>
        <w:rFonts w:hint="default"/>
      </w:rPr>
    </w:lvl>
    <w:lvl w:ilvl="3">
      <w:start w:val="0"/>
      <w:numFmt w:val="bullet"/>
      <w:lvlText w:val="•"/>
      <w:lvlJc w:val="left"/>
      <w:pPr>
        <w:ind w:left="1474" w:hanging="421"/>
      </w:pPr>
      <w:rPr>
        <w:rFonts w:hint="default"/>
      </w:rPr>
    </w:lvl>
    <w:lvl w:ilvl="4">
      <w:start w:val="0"/>
      <w:numFmt w:val="bullet"/>
      <w:lvlText w:val="•"/>
      <w:lvlJc w:val="left"/>
      <w:pPr>
        <w:ind w:left="1705" w:hanging="421"/>
      </w:pPr>
      <w:rPr>
        <w:rFonts w:hint="default"/>
      </w:rPr>
    </w:lvl>
    <w:lvl w:ilvl="5">
      <w:start w:val="0"/>
      <w:numFmt w:val="bullet"/>
      <w:lvlText w:val="•"/>
      <w:lvlJc w:val="left"/>
      <w:pPr>
        <w:ind w:left="1936" w:hanging="421"/>
      </w:pPr>
      <w:rPr>
        <w:rFonts w:hint="default"/>
      </w:rPr>
    </w:lvl>
    <w:lvl w:ilvl="6">
      <w:start w:val="0"/>
      <w:numFmt w:val="bullet"/>
      <w:lvlText w:val="•"/>
      <w:lvlJc w:val="left"/>
      <w:pPr>
        <w:ind w:left="2168" w:hanging="421"/>
      </w:pPr>
      <w:rPr>
        <w:rFonts w:hint="default"/>
      </w:rPr>
    </w:lvl>
    <w:lvl w:ilvl="7">
      <w:start w:val="0"/>
      <w:numFmt w:val="bullet"/>
      <w:lvlText w:val="•"/>
      <w:lvlJc w:val="left"/>
      <w:pPr>
        <w:ind w:left="2399" w:hanging="421"/>
      </w:pPr>
      <w:rPr>
        <w:rFonts w:hint="default"/>
      </w:rPr>
    </w:lvl>
    <w:lvl w:ilvl="8">
      <w:start w:val="0"/>
      <w:numFmt w:val="bullet"/>
      <w:lvlText w:val="•"/>
      <w:lvlJc w:val="left"/>
      <w:pPr>
        <w:ind w:left="2630" w:hanging="421"/>
      </w:pPr>
      <w:rPr>
        <w:rFonts w:hint="default"/>
      </w:rPr>
    </w:lvl>
  </w:abstractNum>
  <w:abstractNum w:abstractNumId="2">
    <w:multiLevelType w:val="hybridMultilevel"/>
    <w:lvl w:ilvl="0">
      <w:start w:val="3"/>
      <w:numFmt w:val="decimal"/>
      <w:lvlText w:val="%1"/>
      <w:lvlJc w:val="left"/>
      <w:pPr>
        <w:ind w:left="1502" w:hanging="421"/>
        <w:jc w:val="left"/>
      </w:pPr>
      <w:rPr>
        <w:rFonts w:hint="default"/>
      </w:rPr>
    </w:lvl>
    <w:lvl w:ilvl="1">
      <w:start w:val="1"/>
      <w:numFmt w:val="decimal"/>
      <w:lvlText w:val="%1.%2"/>
      <w:lvlJc w:val="left"/>
      <w:pPr>
        <w:ind w:left="1502" w:hanging="421"/>
        <w:jc w:val="left"/>
      </w:pPr>
      <w:rPr>
        <w:rFonts w:hint="default" w:ascii="宋体" w:hAnsi="宋体" w:eastAsia="宋体" w:cs="宋体"/>
        <w:spacing w:val="-2"/>
        <w:w w:val="100"/>
        <w:sz w:val="21"/>
        <w:szCs w:val="21"/>
      </w:rPr>
    </w:lvl>
    <w:lvl w:ilvl="2">
      <w:start w:val="0"/>
      <w:numFmt w:val="bullet"/>
      <w:lvlText w:val="•"/>
      <w:lvlJc w:val="left"/>
      <w:pPr>
        <w:ind w:left="1878" w:hanging="421"/>
      </w:pPr>
      <w:rPr>
        <w:rFonts w:hint="default"/>
      </w:rPr>
    </w:lvl>
    <w:lvl w:ilvl="3">
      <w:start w:val="0"/>
      <w:numFmt w:val="bullet"/>
      <w:lvlText w:val="•"/>
      <w:lvlJc w:val="left"/>
      <w:pPr>
        <w:ind w:left="2067" w:hanging="421"/>
      </w:pPr>
      <w:rPr>
        <w:rFonts w:hint="default"/>
      </w:rPr>
    </w:lvl>
    <w:lvl w:ilvl="4">
      <w:start w:val="0"/>
      <w:numFmt w:val="bullet"/>
      <w:lvlText w:val="•"/>
      <w:lvlJc w:val="left"/>
      <w:pPr>
        <w:ind w:left="2256" w:hanging="421"/>
      </w:pPr>
      <w:rPr>
        <w:rFonts w:hint="default"/>
      </w:rPr>
    </w:lvl>
    <w:lvl w:ilvl="5">
      <w:start w:val="0"/>
      <w:numFmt w:val="bullet"/>
      <w:lvlText w:val="•"/>
      <w:lvlJc w:val="left"/>
      <w:pPr>
        <w:ind w:left="2446" w:hanging="421"/>
      </w:pPr>
      <w:rPr>
        <w:rFonts w:hint="default"/>
      </w:rPr>
    </w:lvl>
    <w:lvl w:ilvl="6">
      <w:start w:val="0"/>
      <w:numFmt w:val="bullet"/>
      <w:lvlText w:val="•"/>
      <w:lvlJc w:val="left"/>
      <w:pPr>
        <w:ind w:left="2635" w:hanging="421"/>
      </w:pPr>
      <w:rPr>
        <w:rFonts w:hint="default"/>
      </w:rPr>
    </w:lvl>
    <w:lvl w:ilvl="7">
      <w:start w:val="0"/>
      <w:numFmt w:val="bullet"/>
      <w:lvlText w:val="•"/>
      <w:lvlJc w:val="left"/>
      <w:pPr>
        <w:ind w:left="2824" w:hanging="421"/>
      </w:pPr>
      <w:rPr>
        <w:rFonts w:hint="default"/>
      </w:rPr>
    </w:lvl>
    <w:lvl w:ilvl="8">
      <w:start w:val="0"/>
      <w:numFmt w:val="bullet"/>
      <w:lvlText w:val="•"/>
      <w:lvlJc w:val="left"/>
      <w:pPr>
        <w:ind w:left="3013" w:hanging="421"/>
      </w:pPr>
      <w:rPr>
        <w:rFonts w:hint="default"/>
      </w:rPr>
    </w:lvl>
  </w:abstractNum>
  <w:abstractNum w:abstractNumId="1">
    <w:multiLevelType w:val="hybridMultilevel"/>
    <w:lvl w:ilvl="0">
      <w:start w:val="2"/>
      <w:numFmt w:val="decimal"/>
      <w:lvlText w:val="%1"/>
      <w:lvlJc w:val="left"/>
      <w:pPr>
        <w:ind w:left="1502" w:hanging="421"/>
        <w:jc w:val="left"/>
      </w:pPr>
      <w:rPr>
        <w:rFonts w:hint="default"/>
      </w:rPr>
    </w:lvl>
    <w:lvl w:ilvl="1">
      <w:start w:val="1"/>
      <w:numFmt w:val="decimal"/>
      <w:lvlText w:val="%1.%2"/>
      <w:lvlJc w:val="left"/>
      <w:pPr>
        <w:ind w:left="1502" w:hanging="421"/>
        <w:jc w:val="left"/>
      </w:pPr>
      <w:rPr>
        <w:rFonts w:hint="default" w:ascii="宋体" w:hAnsi="宋体" w:eastAsia="宋体" w:cs="宋体"/>
        <w:spacing w:val="-2"/>
        <w:w w:val="100"/>
        <w:sz w:val="21"/>
        <w:szCs w:val="21"/>
      </w:rPr>
    </w:lvl>
    <w:lvl w:ilvl="2">
      <w:start w:val="0"/>
      <w:numFmt w:val="bullet"/>
      <w:lvlText w:val="•"/>
      <w:lvlJc w:val="left"/>
      <w:pPr>
        <w:ind w:left="1878" w:hanging="421"/>
      </w:pPr>
      <w:rPr>
        <w:rFonts w:hint="default"/>
      </w:rPr>
    </w:lvl>
    <w:lvl w:ilvl="3">
      <w:start w:val="0"/>
      <w:numFmt w:val="bullet"/>
      <w:lvlText w:val="•"/>
      <w:lvlJc w:val="left"/>
      <w:pPr>
        <w:ind w:left="2067" w:hanging="421"/>
      </w:pPr>
      <w:rPr>
        <w:rFonts w:hint="default"/>
      </w:rPr>
    </w:lvl>
    <w:lvl w:ilvl="4">
      <w:start w:val="0"/>
      <w:numFmt w:val="bullet"/>
      <w:lvlText w:val="•"/>
      <w:lvlJc w:val="left"/>
      <w:pPr>
        <w:ind w:left="2256" w:hanging="421"/>
      </w:pPr>
      <w:rPr>
        <w:rFonts w:hint="default"/>
      </w:rPr>
    </w:lvl>
    <w:lvl w:ilvl="5">
      <w:start w:val="0"/>
      <w:numFmt w:val="bullet"/>
      <w:lvlText w:val="•"/>
      <w:lvlJc w:val="left"/>
      <w:pPr>
        <w:ind w:left="2446" w:hanging="421"/>
      </w:pPr>
      <w:rPr>
        <w:rFonts w:hint="default"/>
      </w:rPr>
    </w:lvl>
    <w:lvl w:ilvl="6">
      <w:start w:val="0"/>
      <w:numFmt w:val="bullet"/>
      <w:lvlText w:val="•"/>
      <w:lvlJc w:val="left"/>
      <w:pPr>
        <w:ind w:left="2635" w:hanging="421"/>
      </w:pPr>
      <w:rPr>
        <w:rFonts w:hint="default"/>
      </w:rPr>
    </w:lvl>
    <w:lvl w:ilvl="7">
      <w:start w:val="0"/>
      <w:numFmt w:val="bullet"/>
      <w:lvlText w:val="•"/>
      <w:lvlJc w:val="left"/>
      <w:pPr>
        <w:ind w:left="2824" w:hanging="421"/>
      </w:pPr>
      <w:rPr>
        <w:rFonts w:hint="default"/>
      </w:rPr>
    </w:lvl>
    <w:lvl w:ilvl="8">
      <w:start w:val="0"/>
      <w:numFmt w:val="bullet"/>
      <w:lvlText w:val="•"/>
      <w:lvlJc w:val="left"/>
      <w:pPr>
        <w:ind w:left="3013" w:hanging="421"/>
      </w:pPr>
      <w:rPr>
        <w:rFonts w:hint="default"/>
      </w:rPr>
    </w:lvl>
  </w:abstractNum>
  <w:abstractNum w:abstractNumId="0">
    <w:multiLevelType w:val="hybridMultilevel"/>
    <w:lvl w:ilvl="0">
      <w:start w:val="0"/>
      <w:numFmt w:val="bullet"/>
      <w:lvlText w:val="❖"/>
      <w:lvlJc w:val="left"/>
      <w:pPr>
        <w:ind w:left="1783" w:hanging="440"/>
      </w:pPr>
      <w:rPr>
        <w:rFonts w:hint="default" w:ascii="MS UI Gothic" w:hAnsi="MS UI Gothic" w:eastAsia="MS UI Gothic" w:cs="MS UI Gothic"/>
        <w:w w:val="89"/>
        <w:sz w:val="21"/>
        <w:szCs w:val="21"/>
      </w:rPr>
    </w:lvl>
    <w:lvl w:ilvl="1">
      <w:start w:val="0"/>
      <w:numFmt w:val="bullet"/>
      <w:lvlText w:val="•"/>
      <w:lvlJc w:val="left"/>
      <w:pPr>
        <w:ind w:left="2602" w:hanging="440"/>
      </w:pPr>
      <w:rPr>
        <w:rFonts w:hint="default"/>
      </w:rPr>
    </w:lvl>
    <w:lvl w:ilvl="2">
      <w:start w:val="0"/>
      <w:numFmt w:val="bullet"/>
      <w:lvlText w:val="•"/>
      <w:lvlJc w:val="left"/>
      <w:pPr>
        <w:ind w:left="3424" w:hanging="440"/>
      </w:pPr>
      <w:rPr>
        <w:rFonts w:hint="default"/>
      </w:rPr>
    </w:lvl>
    <w:lvl w:ilvl="3">
      <w:start w:val="0"/>
      <w:numFmt w:val="bullet"/>
      <w:lvlText w:val="•"/>
      <w:lvlJc w:val="left"/>
      <w:pPr>
        <w:ind w:left="4247" w:hanging="440"/>
      </w:pPr>
      <w:rPr>
        <w:rFonts w:hint="default"/>
      </w:rPr>
    </w:lvl>
    <w:lvl w:ilvl="4">
      <w:start w:val="0"/>
      <w:numFmt w:val="bullet"/>
      <w:lvlText w:val="•"/>
      <w:lvlJc w:val="left"/>
      <w:pPr>
        <w:ind w:left="5069" w:hanging="440"/>
      </w:pPr>
      <w:rPr>
        <w:rFonts w:hint="default"/>
      </w:rPr>
    </w:lvl>
    <w:lvl w:ilvl="5">
      <w:start w:val="0"/>
      <w:numFmt w:val="bullet"/>
      <w:lvlText w:val="•"/>
      <w:lvlJc w:val="left"/>
      <w:pPr>
        <w:ind w:left="5892" w:hanging="440"/>
      </w:pPr>
      <w:rPr>
        <w:rFonts w:hint="default"/>
      </w:rPr>
    </w:lvl>
    <w:lvl w:ilvl="6">
      <w:start w:val="0"/>
      <w:numFmt w:val="bullet"/>
      <w:lvlText w:val="•"/>
      <w:lvlJc w:val="left"/>
      <w:pPr>
        <w:ind w:left="6714" w:hanging="440"/>
      </w:pPr>
      <w:rPr>
        <w:rFonts w:hint="default"/>
      </w:rPr>
    </w:lvl>
    <w:lvl w:ilvl="7">
      <w:start w:val="0"/>
      <w:numFmt w:val="bullet"/>
      <w:lvlText w:val="•"/>
      <w:lvlJc w:val="left"/>
      <w:pPr>
        <w:ind w:left="7537" w:hanging="440"/>
      </w:pPr>
      <w:rPr>
        <w:rFonts w:hint="default"/>
      </w:rPr>
    </w:lvl>
    <w:lvl w:ilvl="8">
      <w:start w:val="0"/>
      <w:numFmt w:val="bullet"/>
      <w:lvlText w:val="•"/>
      <w:lvlJc w:val="left"/>
      <w:pPr>
        <w:ind w:left="8359" w:hanging="440"/>
      </w:pPr>
      <w:rPr>
        <w:rFonts w:hint="default"/>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6"/>
    </w:pPr>
    <w:rPr>
      <w:rFonts w:ascii="宋体" w:hAnsi="宋体" w:eastAsia="宋体" w:cs="宋体"/>
      <w:sz w:val="18"/>
      <w:szCs w:val="18"/>
    </w:rPr>
  </w:style>
  <w:style w:styleId="Heading1" w:type="paragraph">
    <w:name w:val="Heading 1"/>
    <w:basedOn w:val="Normal"/>
    <w:uiPriority w:val="1"/>
    <w:qFormat/>
    <w:pPr>
      <w:ind w:left="224"/>
      <w:outlineLvl w:val="1"/>
    </w:pPr>
    <w:rPr>
      <w:rFonts w:ascii="宋体" w:hAnsi="宋体" w:eastAsia="宋体" w:cs="宋体"/>
      <w:b/>
      <w:bCs/>
      <w:sz w:val="24"/>
      <w:szCs w:val="24"/>
    </w:rPr>
  </w:style>
  <w:style w:styleId="Heading2" w:type="paragraph">
    <w:name w:val="Heading 2"/>
    <w:basedOn w:val="Normal"/>
    <w:uiPriority w:val="1"/>
    <w:qFormat/>
    <w:pPr>
      <w:spacing w:before="36"/>
      <w:ind w:left="907"/>
      <w:outlineLvl w:val="2"/>
    </w:pPr>
    <w:rPr>
      <w:rFonts w:ascii="宋体" w:hAnsi="宋体" w:eastAsia="宋体" w:cs="宋体"/>
      <w:b/>
      <w:bCs/>
      <w:sz w:val="21"/>
      <w:szCs w:val="21"/>
    </w:rPr>
  </w:style>
  <w:style w:styleId="Heading3" w:type="paragraph">
    <w:name w:val="Heading 3"/>
    <w:basedOn w:val="Normal"/>
    <w:uiPriority w:val="1"/>
    <w:qFormat/>
    <w:pPr>
      <w:spacing w:before="45"/>
      <w:ind w:left="526" w:hanging="420"/>
      <w:outlineLvl w:val="3"/>
    </w:pPr>
    <w:rPr>
      <w:rFonts w:ascii="宋体" w:hAnsi="宋体" w:eastAsia="宋体" w:cs="宋体"/>
      <w:b/>
      <w:bCs/>
      <w:sz w:val="18"/>
      <w:szCs w:val="18"/>
    </w:rPr>
  </w:style>
  <w:style w:styleId="ListParagraph" w:type="paragraph">
    <w:name w:val="List Paragraph"/>
    <w:basedOn w:val="Normal"/>
    <w:uiPriority w:val="1"/>
    <w:qFormat/>
    <w:pPr>
      <w:spacing w:before="76"/>
      <w:ind w:left="2523"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2018-10-20T08:25:33Z</dcterms:created>
  <dcterms:modified xsi:type="dcterms:W3CDTF">2018-10-20T08:25:33Z</dcterms:modified>
</cp:coreProperties>
</file>