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692" w:firstLine="0"/>
        <w:jc w:val="right"/>
        <w:rPr>
          <w:sz w:val="16"/>
        </w:rPr>
      </w:pPr>
      <w:r>
        <w:rPr/>
        <w:drawing>
          <wp:anchor distT="0" distB="0" distL="0" distR="0" allowOverlap="1" layoutInCell="1" locked="0" behindDoc="1" simplePos="0" relativeHeight="268397159">
            <wp:simplePos x="0" y="0"/>
            <wp:positionH relativeFrom="page">
              <wp:posOffset>5535586</wp:posOffset>
            </wp:positionH>
            <wp:positionV relativeFrom="paragraph">
              <wp:posOffset>175853</wp:posOffset>
            </wp:positionV>
            <wp:extent cx="720089"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89" cy="720089"/>
                    </a:xfrm>
                    <a:prstGeom prst="rect">
                      <a:avLst/>
                    </a:prstGeom>
                  </pic:spPr>
                </pic:pic>
              </a:graphicData>
            </a:graphic>
          </wp:anchor>
        </w:drawing>
      </w:r>
      <w:r>
        <w:rPr>
          <w:sz w:val="16"/>
        </w:rPr>
        <w:t>平安人寿[2014]疾病保险 012 号</w:t>
      </w:r>
    </w:p>
    <w:p>
      <w:pPr>
        <w:pStyle w:val="BodyText"/>
        <w:rPr>
          <w:sz w:val="20"/>
        </w:rPr>
      </w:pPr>
    </w:p>
    <w:p>
      <w:pPr>
        <w:pStyle w:val="BodyText"/>
        <w:rPr>
          <w:sz w:val="20"/>
        </w:rPr>
      </w:pPr>
    </w:p>
    <w:p>
      <w:pPr>
        <w:pStyle w:val="BodyText"/>
        <w:rPr>
          <w:sz w:val="22"/>
        </w:rPr>
      </w:pPr>
    </w:p>
    <w:p>
      <w:pPr>
        <w:spacing w:after="0"/>
        <w:rPr>
          <w:sz w:val="22"/>
        </w:rPr>
        <w:sectPr>
          <w:type w:val="continuous"/>
          <w:pgSz w:w="11910" w:h="16840"/>
          <w:pgMar w:top="660" w:bottom="280" w:left="840" w:right="800"/>
        </w:sectPr>
      </w:pPr>
    </w:p>
    <w:p>
      <w:pPr>
        <w:spacing w:line="557" w:lineRule="exact" w:before="0"/>
        <w:ind w:left="0" w:right="0" w:firstLine="0"/>
        <w:jc w:val="right"/>
        <w:rPr>
          <w:rFonts w:ascii="微软雅黑" w:eastAsia="微软雅黑" w:hint="eastAsia"/>
          <w:b/>
          <w:sz w:val="36"/>
        </w:rPr>
      </w:pPr>
      <w:r>
        <w:rPr>
          <w:rFonts w:ascii="微软雅黑" w:eastAsia="微软雅黑" w:hint="eastAsia"/>
          <w:b/>
          <w:sz w:val="36"/>
        </w:rPr>
        <w:t>阅  读  指 引</w:t>
      </w:r>
    </w:p>
    <w:p>
      <w:pPr>
        <w:pStyle w:val="BodyText"/>
        <w:spacing w:before="9"/>
        <w:rPr>
          <w:rFonts w:ascii="微软雅黑"/>
          <w:b/>
          <w:sz w:val="19"/>
        </w:rPr>
      </w:pPr>
      <w:r>
        <w:rPr/>
        <w:br w:type="column"/>
      </w:r>
      <w:r>
        <w:rPr>
          <w:rFonts w:ascii="微软雅黑"/>
          <w:b/>
          <w:sz w:val="19"/>
        </w:rPr>
      </w:r>
    </w:p>
    <w:p>
      <w:pPr>
        <w:spacing w:before="0"/>
        <w:ind w:left="1505" w:right="0" w:firstLine="0"/>
        <w:jc w:val="left"/>
        <w:rPr>
          <w:sz w:val="16"/>
        </w:rPr>
      </w:pPr>
      <w:r>
        <w:rPr>
          <w:w w:val="95"/>
          <w:sz w:val="16"/>
        </w:rPr>
        <w:t>请扫描以查询验证条款</w:t>
      </w:r>
    </w:p>
    <w:p>
      <w:pPr>
        <w:spacing w:after="0"/>
        <w:jc w:val="left"/>
        <w:rPr>
          <w:sz w:val="16"/>
        </w:rPr>
        <w:sectPr>
          <w:type w:val="continuous"/>
          <w:pgSz w:w="11910" w:h="16840"/>
          <w:pgMar w:top="660" w:bottom="280" w:left="840" w:right="800"/>
          <w:cols w:num="2" w:equalWidth="0">
            <w:col w:w="6105" w:space="40"/>
            <w:col w:w="4125"/>
          </w:cols>
        </w:sectPr>
      </w:pPr>
    </w:p>
    <w:p>
      <w:pPr>
        <w:spacing w:before="101"/>
        <w:ind w:left="181"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有</w:t>
      </w:r>
      <w:r>
        <w:rPr>
          <w:spacing w:val="-60"/>
          <w:w w:val="100"/>
          <w:position w:val="-7"/>
          <w:sz w:val="20"/>
        </w:rPr>
        <w:t>．</w:t>
      </w:r>
      <w:r>
        <w:rPr>
          <w:spacing w:val="-141"/>
          <w:w w:val="100"/>
          <w:sz w:val="20"/>
        </w:rPr>
        <w:t>助</w:t>
      </w:r>
      <w:r>
        <w:rPr>
          <w:spacing w:val="-60"/>
          <w:w w:val="100"/>
          <w:position w:val="-7"/>
          <w:sz w:val="20"/>
        </w:rPr>
        <w:t>．</w:t>
      </w:r>
      <w:r>
        <w:rPr>
          <w:spacing w:val="-141"/>
          <w:w w:val="100"/>
          <w:sz w:val="20"/>
        </w:rPr>
        <w:t>于</w:t>
      </w:r>
      <w:r>
        <w:rPr>
          <w:spacing w:val="-60"/>
          <w:w w:val="100"/>
          <w:position w:val="-7"/>
          <w:sz w:val="20"/>
        </w:rPr>
        <w:t>．</w:t>
      </w:r>
      <w:r>
        <w:rPr>
          <w:spacing w:val="-141"/>
          <w:w w:val="100"/>
          <w:sz w:val="20"/>
        </w:rPr>
        <w:t>您</w:t>
      </w:r>
      <w:r>
        <w:rPr>
          <w:spacing w:val="-60"/>
          <w:w w:val="100"/>
          <w:position w:val="-7"/>
          <w:sz w:val="20"/>
        </w:rPr>
        <w:t>．</w:t>
      </w:r>
      <w:r>
        <w:rPr>
          <w:spacing w:val="-142"/>
          <w:w w:val="100"/>
          <w:sz w:val="20"/>
        </w:rPr>
        <w:t>理</w:t>
      </w:r>
      <w:r>
        <w:rPr>
          <w:spacing w:val="-60"/>
          <w:w w:val="100"/>
          <w:position w:val="-7"/>
          <w:sz w:val="20"/>
        </w:rPr>
        <w:t>．</w:t>
      </w:r>
      <w:r>
        <w:rPr>
          <w:spacing w:val="-141"/>
          <w:w w:val="100"/>
          <w:sz w:val="20"/>
        </w:rPr>
        <w:t>解</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84"/>
          <w:w w:val="100"/>
          <w:sz w:val="20"/>
        </w:rPr>
        <w:t>，对</w:t>
      </w:r>
      <w:r>
        <w:rPr>
          <w:spacing w:val="-87"/>
          <w:w w:val="100"/>
          <w:position w:val="-7"/>
          <w:sz w:val="20"/>
        </w:rPr>
        <w:t>．</w:t>
      </w:r>
      <w:r>
        <w:rPr>
          <w:b/>
          <w:spacing w:val="-128"/>
          <w:w w:val="99"/>
          <w:sz w:val="20"/>
        </w:rPr>
        <w:t>“</w:t>
      </w:r>
      <w:r>
        <w:rPr>
          <w:spacing w:val="-74"/>
          <w:w w:val="100"/>
          <w:position w:val="-7"/>
          <w:sz w:val="20"/>
        </w:rPr>
        <w:t>．</w:t>
      </w:r>
      <w:r>
        <w:rPr>
          <w:b/>
          <w:spacing w:val="-141"/>
          <w:w w:val="99"/>
          <w:sz w:val="20"/>
        </w:rPr>
        <w:t>平</w:t>
      </w:r>
      <w:r>
        <w:rPr>
          <w:spacing w:val="-60"/>
          <w:w w:val="100"/>
          <w:position w:val="-7"/>
          <w:sz w:val="20"/>
        </w:rPr>
        <w:t>．</w:t>
      </w:r>
      <w:r>
        <w:rPr>
          <w:b/>
          <w:spacing w:val="-141"/>
          <w:w w:val="99"/>
          <w:sz w:val="20"/>
        </w:rPr>
        <w:t>安</w:t>
      </w:r>
      <w:r>
        <w:rPr>
          <w:spacing w:val="-60"/>
          <w:w w:val="100"/>
          <w:position w:val="-7"/>
          <w:sz w:val="20"/>
        </w:rPr>
        <w:t>．</w:t>
      </w:r>
      <w:r>
        <w:rPr>
          <w:b/>
          <w:spacing w:val="-141"/>
          <w:w w:val="99"/>
          <w:sz w:val="20"/>
        </w:rPr>
        <w:t>附</w:t>
      </w:r>
      <w:r>
        <w:rPr>
          <w:spacing w:val="-59"/>
          <w:w w:val="100"/>
          <w:position w:val="-7"/>
          <w:sz w:val="20"/>
        </w:rPr>
        <w:t>．</w:t>
      </w:r>
      <w:r>
        <w:rPr>
          <w:b/>
          <w:spacing w:val="-141"/>
          <w:w w:val="99"/>
          <w:sz w:val="20"/>
        </w:rPr>
        <w:t>加</w:t>
      </w:r>
      <w:r>
        <w:rPr>
          <w:spacing w:val="-60"/>
          <w:w w:val="100"/>
          <w:position w:val="-7"/>
          <w:sz w:val="20"/>
        </w:rPr>
        <w:t>．</w:t>
      </w:r>
      <w:r>
        <w:rPr>
          <w:b/>
          <w:spacing w:val="-141"/>
          <w:w w:val="99"/>
          <w:sz w:val="20"/>
        </w:rPr>
        <w:t>豁</w:t>
      </w:r>
      <w:r>
        <w:rPr>
          <w:spacing w:val="-60"/>
          <w:w w:val="100"/>
          <w:position w:val="-7"/>
          <w:sz w:val="20"/>
        </w:rPr>
        <w:t>．</w:t>
      </w:r>
      <w:r>
        <w:rPr>
          <w:b/>
          <w:spacing w:val="-141"/>
          <w:w w:val="99"/>
          <w:sz w:val="20"/>
        </w:rPr>
        <w:t>免</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60"/>
          <w:w w:val="100"/>
          <w:position w:val="-7"/>
          <w:sz w:val="20"/>
        </w:rPr>
        <w:t>．</w:t>
      </w:r>
      <w:r>
        <w:rPr>
          <w:b/>
          <w:spacing w:val="-141"/>
          <w:w w:val="99"/>
          <w:sz w:val="20"/>
        </w:rPr>
        <w:t>费</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1"/>
          <w:w w:val="100"/>
          <w:position w:val="-7"/>
          <w:sz w:val="20"/>
        </w:rPr>
        <w:t>．</w:t>
      </w:r>
      <w:r>
        <w:rPr>
          <w:b/>
          <w:spacing w:val="-141"/>
          <w:w w:val="99"/>
          <w:sz w:val="20"/>
        </w:rPr>
        <w:t>保</w:t>
      </w:r>
      <w:r>
        <w:rPr>
          <w:spacing w:val="-61"/>
          <w:w w:val="100"/>
          <w:position w:val="-7"/>
          <w:sz w:val="20"/>
        </w:rPr>
        <w:t>．</w:t>
      </w:r>
      <w:r>
        <w:rPr>
          <w:b/>
          <w:spacing w:val="-141"/>
          <w:w w:val="99"/>
          <w:sz w:val="20"/>
        </w:rPr>
        <w:t>险</w:t>
      </w:r>
      <w:r>
        <w:rPr>
          <w:spacing w:val="-86"/>
          <w:w w:val="100"/>
          <w:position w:val="-7"/>
          <w:sz w:val="20"/>
        </w:rPr>
        <w:t>．</w:t>
      </w:r>
      <w:r>
        <w:rPr>
          <w:b/>
          <w:spacing w:val="-128"/>
          <w:w w:val="99"/>
          <w:sz w:val="20"/>
        </w:rPr>
        <w:t>（</w:t>
      </w:r>
      <w:r>
        <w:rPr>
          <w:spacing w:val="-74"/>
          <w:w w:val="100"/>
          <w:position w:val="-7"/>
          <w:sz w:val="20"/>
        </w:rPr>
        <w:t>．</w:t>
      </w:r>
      <w:r>
        <w:rPr>
          <w:b/>
          <w:spacing w:val="-91"/>
          <w:w w:val="99"/>
          <w:sz w:val="20"/>
        </w:rPr>
        <w:t>B</w:t>
      </w:r>
      <w:r>
        <w:rPr>
          <w:spacing w:val="-110"/>
          <w:w w:val="100"/>
          <w:position w:val="-7"/>
          <w:sz w:val="20"/>
        </w:rPr>
        <w:t>．</w:t>
      </w:r>
      <w:r>
        <w:rPr>
          <w:b/>
          <w:spacing w:val="-154"/>
          <w:w w:val="99"/>
          <w:sz w:val="20"/>
        </w:rPr>
        <w:t>，</w:t>
      </w:r>
      <w:r>
        <w:rPr>
          <w:spacing w:val="-74"/>
          <w:w w:val="100"/>
          <w:position w:val="-7"/>
          <w:sz w:val="20"/>
        </w:rPr>
        <w:t>．</w:t>
      </w:r>
      <w:r>
        <w:rPr>
          <w:b/>
          <w:spacing w:val="-91"/>
          <w:w w:val="99"/>
          <w:sz w:val="20"/>
        </w:rPr>
        <w:t>2</w:t>
      </w:r>
      <w:r>
        <w:rPr>
          <w:spacing w:val="-110"/>
          <w:w w:val="100"/>
          <w:position w:val="-7"/>
          <w:sz w:val="20"/>
        </w:rPr>
        <w:t>．</w:t>
      </w:r>
      <w:r>
        <w:rPr>
          <w:b/>
          <w:spacing w:val="-91"/>
          <w:w w:val="99"/>
          <w:sz w:val="20"/>
        </w:rPr>
        <w:t>0</w:t>
      </w:r>
      <w:r>
        <w:rPr>
          <w:spacing w:val="-110"/>
          <w:w w:val="100"/>
          <w:position w:val="-7"/>
          <w:sz w:val="20"/>
        </w:rPr>
        <w:t>．</w:t>
      </w:r>
      <w:r>
        <w:rPr>
          <w:b/>
          <w:spacing w:val="-91"/>
          <w:w w:val="99"/>
          <w:sz w:val="20"/>
        </w:rPr>
        <w:t>1</w:t>
      </w:r>
      <w:r>
        <w:rPr>
          <w:spacing w:val="-110"/>
          <w:w w:val="100"/>
          <w:position w:val="-7"/>
          <w:sz w:val="20"/>
        </w:rPr>
        <w:t>．</w:t>
      </w:r>
      <w:r>
        <w:rPr>
          <w:b/>
          <w:spacing w:val="-91"/>
          <w:w w:val="99"/>
          <w:sz w:val="20"/>
        </w:rPr>
        <w:t>4</w:t>
      </w:r>
      <w:r>
        <w:rPr>
          <w:spacing w:val="-110"/>
          <w:w w:val="100"/>
          <w:position w:val="-7"/>
          <w:sz w:val="20"/>
        </w:rPr>
        <w:t>．</w:t>
      </w:r>
      <w:r>
        <w:rPr>
          <w:b/>
          <w:spacing w:val="-154"/>
          <w:w w:val="99"/>
          <w:sz w:val="20"/>
        </w:rPr>
        <w:t>）</w:t>
      </w:r>
      <w:r>
        <w:rPr>
          <w:spacing w:val="-72"/>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b/>
          <w:spacing w:val="-154"/>
          <w:w w:val="99"/>
          <w:sz w:val="20"/>
        </w:rPr>
        <w:t>”</w:t>
      </w:r>
      <w:r>
        <w:rPr>
          <w:spacing w:val="-74"/>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tabs>
          <w:tab w:pos="1355" w:val="left" w:leader="none"/>
        </w:tabs>
        <w:spacing w:line="516" w:lineRule="exact" w:before="230"/>
        <w:ind w:left="345" w:right="0" w:firstLine="0"/>
        <w:jc w:val="left"/>
        <w:rPr>
          <w:b/>
          <w:sz w:val="21"/>
        </w:rPr>
      </w:pPr>
      <w:r>
        <w:rPr/>
        <w:pict>
          <v:group style="position:absolute;margin-left:47.400002pt;margin-top:5.887681pt;width:502.05pt;height:623.65pt;mso-position-horizontal-relative:page;mso-position-vertical-relative:paragraph;z-index:-38320" coordorigin="948,118" coordsize="10041,12473">
            <v:shape style="position:absolute;left:948;top:117;width:10041;height:12473" type="#_x0000_t75" stroked="false">
              <v:imagedata r:id="rId6" o:title=""/>
            </v:shape>
            <v:rect style="position:absolute;left:2166;top:5110;width:8406;height:6878" filled="false" stroked="true" strokeweight=".75pt" strokecolor="#000000">
              <v:stroke dashstyle="dot"/>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1" w:val="right" w:leader="dot"/>
        </w:tabs>
        <w:spacing w:line="207" w:lineRule="exact" w:before="0" w:after="0"/>
        <w:ind w:left="1737" w:right="0" w:hanging="420"/>
        <w:jc w:val="left"/>
        <w:rPr>
          <w:sz w:val="21"/>
        </w:rPr>
      </w:pPr>
      <w:r>
        <w:rPr>
          <w:sz w:val="21"/>
        </w:rPr>
        <w:t>签收合同后10日内您可以要求全额退还保险费</w:t>
        <w:tab/>
        <w:t>1.5</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2.1</w:t>
      </w:r>
    </w:p>
    <w:p>
      <w:pPr>
        <w:pStyle w:val="ListParagraph"/>
        <w:numPr>
          <w:ilvl w:val="0"/>
          <w:numId w:val="1"/>
        </w:numPr>
        <w:tabs>
          <w:tab w:pos="1737" w:val="left" w:leader="none"/>
          <w:tab w:pos="1738" w:val="left" w:leader="none"/>
          <w:tab w:pos="9611" w:val="right" w:leader="dot"/>
        </w:tabs>
        <w:spacing w:line="284" w:lineRule="exact" w:before="22" w:after="0"/>
        <w:ind w:left="1737" w:right="0" w:hanging="420"/>
        <w:jc w:val="left"/>
        <w:rPr>
          <w:sz w:val="21"/>
        </w:rPr>
      </w:pPr>
      <w:r>
        <w:rPr>
          <w:sz w:val="21"/>
        </w:rPr>
        <w:t>您有退保的权利</w:t>
        <w:tab/>
        <w:t>7.1</w:t>
      </w:r>
    </w:p>
    <w:p>
      <w:pPr>
        <w:tabs>
          <w:tab w:pos="1355" w:val="left" w:leader="none"/>
        </w:tabs>
        <w:spacing w:line="510" w:lineRule="exact" w:before="0"/>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07" w:lineRule="exact" w:before="0" w:after="0"/>
        <w:ind w:left="1737" w:right="0" w:hanging="420"/>
        <w:jc w:val="left"/>
        <w:rPr>
          <w:sz w:val="21"/>
        </w:rPr>
      </w:pPr>
      <w:r>
        <w:rPr>
          <w:sz w:val="21"/>
        </w:rPr>
        <w:t>我们对免除保险人责任的条款作了特别提示，详见条款正文中背景突出显示的内容</w:t>
      </w:r>
    </w:p>
    <w:p>
      <w:pPr>
        <w:pStyle w:val="BodyText"/>
        <w:spacing w:before="22"/>
        <w:ind w:left="1741"/>
      </w:pPr>
      <w:r>
        <w:rPr/>
        <w:t>…………………………………………………………………………2.1、2.2、9.3、附表</w:t>
      </w:r>
    </w:p>
    <w:p>
      <w:pPr>
        <w:pStyle w:val="ListParagraph"/>
        <w:numPr>
          <w:ilvl w:val="0"/>
          <w:numId w:val="1"/>
        </w:numPr>
        <w:tabs>
          <w:tab w:pos="1737" w:val="left" w:leader="none"/>
          <w:tab w:pos="1738" w:val="left" w:leader="none"/>
          <w:tab w:pos="9611" w:val="right" w:leader="dot"/>
        </w:tabs>
        <w:spacing w:line="240" w:lineRule="auto" w:before="36" w:after="0"/>
        <w:ind w:left="1737" w:right="0" w:hanging="420"/>
        <w:jc w:val="left"/>
        <w:rPr>
          <w:sz w:val="21"/>
        </w:rPr>
      </w:pPr>
      <w:r>
        <w:rPr>
          <w:sz w:val="21"/>
        </w:rPr>
        <w:t>退保会给您造成一定的损失，请您慎重决策</w:t>
        <w:tab/>
        <w:t>7.1</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2" w:after="0"/>
        <w:ind w:left="1737" w:right="0" w:hanging="420"/>
        <w:jc w:val="left"/>
        <w:rPr>
          <w:sz w:val="21"/>
        </w:rPr>
      </w:pPr>
      <w:r>
        <w:rPr>
          <w:sz w:val="21"/>
        </w:rPr>
        <w:t>我们对一些重要术语进行了解释，并作了显著标识，请您注意</w:t>
        <w:tab/>
        <w:t>9</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保险条款有关于重大疾病的释义，请您留意</w:t>
        <w:tab/>
        <w:t>9.3</w:t>
      </w:r>
    </w:p>
    <w:p>
      <w:pPr>
        <w:pStyle w:val="ListParagraph"/>
        <w:numPr>
          <w:ilvl w:val="0"/>
          <w:numId w:val="1"/>
        </w:numPr>
        <w:tabs>
          <w:tab w:pos="1737" w:val="left" w:leader="none"/>
          <w:tab w:pos="1738" w:val="left" w:leader="none"/>
          <w:tab w:pos="9611" w:val="right" w:leader="dot"/>
        </w:tabs>
        <w:spacing w:line="284" w:lineRule="exact" w:before="22" w:after="0"/>
        <w:ind w:left="1737" w:right="0" w:hanging="420"/>
        <w:jc w:val="left"/>
        <w:rPr>
          <w:sz w:val="21"/>
        </w:rPr>
      </w:pPr>
      <w:r>
        <w:rPr>
          <w:sz w:val="21"/>
        </w:rPr>
        <w:t>主险合同的某些变动会导致本附加险合同效力终止</w:t>
        <w:tab/>
        <w:t>8.4</w:t>
      </w:r>
    </w:p>
    <w:p>
      <w:pPr>
        <w:tabs>
          <w:tab w:pos="1355" w:val="left" w:leader="none"/>
        </w:tabs>
        <w:spacing w:line="494" w:lineRule="exact" w:before="0"/>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line="499" w:lineRule="exact" w:before="0"/>
        <w:ind w:left="345" w:right="0" w:firstLine="0"/>
        <w:jc w:val="left"/>
        <w:rPr>
          <w:b/>
          <w:sz w:val="21"/>
        </w:rPr>
      </w:pPr>
      <w:r>
        <w:rPr>
          <w:rFonts w:ascii="Arial" w:hAnsi="Arial" w:eastAsia="Arial"/>
          <w:b/>
          <w:w w:val="110"/>
          <w:position w:val="-11"/>
          <w:sz w:val="52"/>
        </w:rPr>
        <w:t></w:t>
        <w:tab/>
      </w:r>
      <w:r>
        <w:rPr>
          <w:b/>
          <w:w w:val="95"/>
          <w:sz w:val="21"/>
        </w:rPr>
        <w:t>条款目录</w:t>
      </w:r>
    </w:p>
    <w:p>
      <w:pPr>
        <w:spacing w:after="0" w:line="499" w:lineRule="exact"/>
        <w:jc w:val="left"/>
        <w:rPr>
          <w:sz w:val="21"/>
        </w:rPr>
        <w:sectPr>
          <w:type w:val="continuous"/>
          <w:pgSz w:w="11910" w:h="16840"/>
          <w:pgMar w:top="660" w:bottom="280" w:left="840" w:right="800"/>
        </w:sectPr>
      </w:pPr>
    </w:p>
    <w:p>
      <w:pPr>
        <w:spacing w:line="289" w:lineRule="exact" w:before="0"/>
        <w:ind w:left="1852"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2483" w:val="left" w:leader="none"/>
        </w:tabs>
        <w:spacing w:line="228" w:lineRule="exact" w:before="0" w:after="0"/>
        <w:ind w:left="2482" w:right="0" w:hanging="420"/>
        <w:jc w:val="left"/>
        <w:rPr>
          <w:sz w:val="21"/>
        </w:rPr>
      </w:pPr>
      <w:r>
        <w:rPr>
          <w:sz w:val="21"/>
        </w:rPr>
        <w:t>合同订立</w:t>
      </w:r>
    </w:p>
    <w:p>
      <w:pPr>
        <w:pStyle w:val="ListParagraph"/>
        <w:numPr>
          <w:ilvl w:val="1"/>
          <w:numId w:val="2"/>
        </w:numPr>
        <w:tabs>
          <w:tab w:pos="2483" w:val="left" w:leader="none"/>
        </w:tabs>
        <w:spacing w:line="240" w:lineRule="exact" w:before="0" w:after="0"/>
        <w:ind w:left="2482" w:right="0" w:hanging="420"/>
        <w:jc w:val="left"/>
        <w:rPr>
          <w:sz w:val="21"/>
        </w:rPr>
      </w:pPr>
      <w:r>
        <w:rPr>
          <w:sz w:val="21"/>
        </w:rPr>
        <w:t>合同生效</w:t>
      </w:r>
    </w:p>
    <w:p>
      <w:pPr>
        <w:pStyle w:val="ListParagraph"/>
        <w:numPr>
          <w:ilvl w:val="1"/>
          <w:numId w:val="2"/>
        </w:numPr>
        <w:tabs>
          <w:tab w:pos="2483" w:val="left" w:leader="none"/>
        </w:tabs>
        <w:spacing w:line="240" w:lineRule="exact" w:before="0" w:after="0"/>
        <w:ind w:left="2482" w:right="0" w:hanging="420"/>
        <w:jc w:val="left"/>
        <w:rPr>
          <w:sz w:val="21"/>
        </w:rPr>
      </w:pPr>
      <w:r>
        <w:rPr>
          <w:sz w:val="21"/>
        </w:rPr>
        <w:t>投保对象</w:t>
      </w:r>
    </w:p>
    <w:p>
      <w:pPr>
        <w:pStyle w:val="ListParagraph"/>
        <w:numPr>
          <w:ilvl w:val="1"/>
          <w:numId w:val="2"/>
        </w:numPr>
        <w:tabs>
          <w:tab w:pos="2483" w:val="left" w:leader="none"/>
        </w:tabs>
        <w:spacing w:line="240" w:lineRule="exact" w:before="0" w:after="0"/>
        <w:ind w:left="2482" w:right="0" w:hanging="420"/>
        <w:jc w:val="left"/>
        <w:rPr>
          <w:sz w:val="21"/>
        </w:rPr>
      </w:pPr>
      <w:r>
        <w:rPr>
          <w:sz w:val="21"/>
        </w:rPr>
        <w:t>投保年龄</w:t>
      </w:r>
    </w:p>
    <w:p>
      <w:pPr>
        <w:pStyle w:val="ListParagraph"/>
        <w:numPr>
          <w:ilvl w:val="1"/>
          <w:numId w:val="2"/>
        </w:numPr>
        <w:tabs>
          <w:tab w:pos="2483" w:val="left" w:leader="none"/>
        </w:tabs>
        <w:spacing w:line="240" w:lineRule="exact" w:before="0" w:after="0"/>
        <w:ind w:left="2482" w:right="0" w:hanging="420"/>
        <w:jc w:val="left"/>
        <w:rPr>
          <w:sz w:val="21"/>
        </w:rPr>
      </w:pPr>
      <w:r>
        <w:rPr>
          <w:sz w:val="21"/>
        </w:rPr>
        <w:t>犹豫期</w:t>
      </w:r>
    </w:p>
    <w:p>
      <w:pPr>
        <w:pStyle w:val="ListParagraph"/>
        <w:numPr>
          <w:ilvl w:val="1"/>
          <w:numId w:val="2"/>
        </w:numPr>
        <w:tabs>
          <w:tab w:pos="2483" w:val="left" w:leader="none"/>
        </w:tabs>
        <w:spacing w:line="207" w:lineRule="exact" w:before="0" w:after="0"/>
        <w:ind w:left="2482" w:right="0" w:hanging="420"/>
        <w:jc w:val="left"/>
        <w:rPr>
          <w:sz w:val="21"/>
        </w:rPr>
      </w:pPr>
      <w:r>
        <w:rPr>
          <w:sz w:val="21"/>
        </w:rPr>
        <w:t>保险期间</w:t>
      </w:r>
    </w:p>
    <w:p>
      <w:pPr>
        <w:spacing w:line="285" w:lineRule="exact" w:before="0"/>
        <w:ind w:left="1852"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2483" w:val="left" w:leader="none"/>
        </w:tabs>
        <w:spacing w:line="228" w:lineRule="exact" w:before="0" w:after="0"/>
        <w:ind w:left="2482" w:right="0" w:hanging="420"/>
        <w:jc w:val="left"/>
        <w:rPr>
          <w:sz w:val="21"/>
        </w:rPr>
      </w:pPr>
      <w:r>
        <w:rPr>
          <w:sz w:val="21"/>
        </w:rPr>
        <w:t>保险责任</w:t>
      </w:r>
    </w:p>
    <w:p>
      <w:pPr>
        <w:pStyle w:val="ListParagraph"/>
        <w:numPr>
          <w:ilvl w:val="1"/>
          <w:numId w:val="3"/>
        </w:numPr>
        <w:tabs>
          <w:tab w:pos="2483" w:val="left" w:leader="none"/>
        </w:tabs>
        <w:spacing w:line="207" w:lineRule="exact" w:before="0" w:after="0"/>
        <w:ind w:left="2482" w:right="0" w:hanging="420"/>
        <w:jc w:val="left"/>
        <w:rPr>
          <w:sz w:val="21"/>
        </w:rPr>
      </w:pPr>
      <w:r>
        <w:rPr>
          <w:sz w:val="21"/>
        </w:rPr>
        <w:t>责任免除</w:t>
      </w:r>
    </w:p>
    <w:p>
      <w:pPr>
        <w:spacing w:line="285" w:lineRule="exact" w:before="0"/>
        <w:ind w:left="1852"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p>
      <w:pPr>
        <w:pStyle w:val="ListParagraph"/>
        <w:numPr>
          <w:ilvl w:val="1"/>
          <w:numId w:val="4"/>
        </w:numPr>
        <w:tabs>
          <w:tab w:pos="2483" w:val="left" w:leader="none"/>
        </w:tabs>
        <w:spacing w:line="228" w:lineRule="exact" w:before="0" w:after="0"/>
        <w:ind w:left="2482" w:right="0" w:hanging="420"/>
        <w:jc w:val="left"/>
        <w:rPr>
          <w:sz w:val="21"/>
        </w:rPr>
      </w:pPr>
      <w:r>
        <w:rPr>
          <w:sz w:val="21"/>
        </w:rPr>
        <w:t>豁免保险费申请</w:t>
      </w:r>
    </w:p>
    <w:p>
      <w:pPr>
        <w:pStyle w:val="ListParagraph"/>
        <w:numPr>
          <w:ilvl w:val="1"/>
          <w:numId w:val="4"/>
        </w:numPr>
        <w:tabs>
          <w:tab w:pos="2483" w:val="left" w:leader="none"/>
        </w:tabs>
        <w:spacing w:line="240" w:lineRule="exact" w:before="0" w:after="0"/>
        <w:ind w:left="2482" w:right="0" w:hanging="420"/>
        <w:jc w:val="left"/>
        <w:rPr>
          <w:sz w:val="21"/>
        </w:rPr>
      </w:pPr>
      <w:r>
        <w:rPr>
          <w:sz w:val="21"/>
        </w:rPr>
        <w:t>保险费的豁免</w:t>
      </w:r>
    </w:p>
    <w:p>
      <w:pPr>
        <w:pStyle w:val="ListParagraph"/>
        <w:numPr>
          <w:ilvl w:val="1"/>
          <w:numId w:val="4"/>
        </w:numPr>
        <w:tabs>
          <w:tab w:pos="2483" w:val="left" w:leader="none"/>
        </w:tabs>
        <w:spacing w:line="240" w:lineRule="exact" w:before="0" w:after="0"/>
        <w:ind w:left="2482" w:right="0" w:hanging="420"/>
        <w:jc w:val="left"/>
        <w:rPr>
          <w:sz w:val="21"/>
        </w:rPr>
      </w:pPr>
      <w:r>
        <w:rPr>
          <w:sz w:val="21"/>
        </w:rPr>
        <w:t>宣告死亡处理</w:t>
      </w:r>
    </w:p>
    <w:p>
      <w:pPr>
        <w:pStyle w:val="ListParagraph"/>
        <w:numPr>
          <w:ilvl w:val="1"/>
          <w:numId w:val="4"/>
        </w:numPr>
        <w:tabs>
          <w:tab w:pos="2483" w:val="left" w:leader="none"/>
        </w:tabs>
        <w:spacing w:line="207" w:lineRule="exact" w:before="0" w:after="0"/>
        <w:ind w:left="2482" w:right="0" w:hanging="420"/>
        <w:jc w:val="left"/>
        <w:rPr>
          <w:sz w:val="21"/>
        </w:rPr>
      </w:pPr>
      <w:r>
        <w:rPr>
          <w:sz w:val="21"/>
        </w:rPr>
        <w:t>诉讼时效</w:t>
      </w:r>
    </w:p>
    <w:p>
      <w:pPr>
        <w:spacing w:line="285" w:lineRule="exact" w:before="0"/>
        <w:ind w:left="1852"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ListParagraph"/>
        <w:numPr>
          <w:ilvl w:val="1"/>
          <w:numId w:val="5"/>
        </w:numPr>
        <w:tabs>
          <w:tab w:pos="2484" w:val="left" w:leader="none"/>
        </w:tabs>
        <w:spacing w:line="228" w:lineRule="exact" w:before="0" w:after="0"/>
        <w:ind w:left="2484" w:right="0" w:hanging="420"/>
        <w:jc w:val="left"/>
        <w:rPr>
          <w:sz w:val="21"/>
        </w:rPr>
      </w:pPr>
      <w:r>
        <w:rPr>
          <w:sz w:val="21"/>
        </w:rPr>
        <w:t>保险费的支付</w:t>
      </w:r>
    </w:p>
    <w:p>
      <w:pPr>
        <w:pStyle w:val="ListParagraph"/>
        <w:numPr>
          <w:ilvl w:val="1"/>
          <w:numId w:val="5"/>
        </w:numPr>
        <w:tabs>
          <w:tab w:pos="2483" w:val="left" w:leader="none"/>
        </w:tabs>
        <w:spacing w:line="240" w:lineRule="exact" w:before="0" w:after="0"/>
        <w:ind w:left="2482" w:right="0" w:hanging="418"/>
        <w:jc w:val="left"/>
        <w:rPr>
          <w:sz w:val="21"/>
        </w:rPr>
      </w:pPr>
      <w:r>
        <w:rPr>
          <w:sz w:val="21"/>
        </w:rPr>
        <w:t>宽限期</w:t>
      </w:r>
    </w:p>
    <w:p>
      <w:pPr>
        <w:pStyle w:val="ListParagraph"/>
        <w:numPr>
          <w:ilvl w:val="1"/>
          <w:numId w:val="5"/>
        </w:numPr>
        <w:tabs>
          <w:tab w:pos="2483" w:val="left" w:leader="none"/>
        </w:tabs>
        <w:spacing w:line="207" w:lineRule="exact" w:before="0" w:after="0"/>
        <w:ind w:left="2482" w:right="0" w:hanging="420"/>
        <w:jc w:val="left"/>
        <w:rPr>
          <w:sz w:val="21"/>
        </w:rPr>
      </w:pPr>
      <w:r>
        <w:rPr>
          <w:sz w:val="21"/>
        </w:rPr>
        <w:t>保险费率调整</w:t>
      </w:r>
    </w:p>
    <w:p>
      <w:pPr>
        <w:spacing w:line="285" w:lineRule="exact" w:before="0"/>
        <w:ind w:left="1852" w:right="0" w:firstLine="0"/>
        <w:jc w:val="left"/>
        <w:rPr>
          <w:rFonts w:ascii="Microsoft JhengHei" w:eastAsia="Microsoft JhengHei" w:hint="eastAsia"/>
          <w:b/>
          <w:sz w:val="21"/>
        </w:rPr>
      </w:pPr>
      <w:r>
        <w:rPr>
          <w:b/>
          <w:sz w:val="21"/>
        </w:rPr>
        <w:t>5.</w:t>
      </w:r>
      <w:r>
        <w:rPr>
          <w:rFonts w:ascii="Microsoft JhengHei" w:eastAsia="Microsoft JhengHei" w:hint="eastAsia"/>
          <w:b/>
          <w:sz w:val="21"/>
        </w:rPr>
        <w:t>现金价值权益</w:t>
      </w:r>
    </w:p>
    <w:p>
      <w:pPr>
        <w:pStyle w:val="BodyText"/>
        <w:spacing w:line="195" w:lineRule="exact"/>
        <w:ind w:left="2062"/>
      </w:pPr>
      <w:r>
        <w:rPr/>
        <w:t>5.1 现金价值</w:t>
      </w:r>
    </w:p>
    <w:p>
      <w:pPr>
        <w:spacing w:line="285" w:lineRule="exact" w:before="0"/>
        <w:ind w:left="1852"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合同效力的中止及恢复</w:t>
      </w:r>
    </w:p>
    <w:p>
      <w:pPr>
        <w:pStyle w:val="ListParagraph"/>
        <w:numPr>
          <w:ilvl w:val="1"/>
          <w:numId w:val="6"/>
        </w:numPr>
        <w:tabs>
          <w:tab w:pos="2484" w:val="left" w:leader="none"/>
        </w:tabs>
        <w:spacing w:line="228" w:lineRule="exact" w:before="0" w:after="0"/>
        <w:ind w:left="2484" w:right="0" w:hanging="420"/>
        <w:jc w:val="left"/>
        <w:rPr>
          <w:sz w:val="21"/>
        </w:rPr>
      </w:pPr>
      <w:r>
        <w:rPr>
          <w:sz w:val="21"/>
        </w:rPr>
        <w:t>效力中止</w:t>
      </w:r>
    </w:p>
    <w:p>
      <w:pPr>
        <w:pStyle w:val="ListParagraph"/>
        <w:numPr>
          <w:ilvl w:val="1"/>
          <w:numId w:val="6"/>
        </w:numPr>
        <w:tabs>
          <w:tab w:pos="2483" w:val="left" w:leader="none"/>
        </w:tabs>
        <w:spacing w:line="207" w:lineRule="exact" w:before="0" w:after="0"/>
        <w:ind w:left="2482" w:right="0" w:hanging="418"/>
        <w:jc w:val="left"/>
        <w:rPr>
          <w:sz w:val="21"/>
        </w:rPr>
      </w:pPr>
      <w:r>
        <w:rPr>
          <w:sz w:val="21"/>
        </w:rPr>
        <w:t>效力恢复</w:t>
      </w:r>
    </w:p>
    <w:p>
      <w:pPr>
        <w:spacing w:line="285" w:lineRule="exact" w:before="0"/>
        <w:ind w:left="1852"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line="195" w:lineRule="exact"/>
        <w:ind w:left="2062"/>
      </w:pPr>
      <w:r>
        <w:rPr/>
        <w:t>7.1 您解除合同的手续及风险</w:t>
      </w:r>
    </w:p>
    <w:p>
      <w:pPr>
        <w:spacing w:line="285" w:lineRule="exact" w:before="0"/>
        <w:ind w:left="1852" w:right="0" w:firstLine="0"/>
        <w:jc w:val="left"/>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ListParagraph"/>
        <w:numPr>
          <w:ilvl w:val="1"/>
          <w:numId w:val="7"/>
        </w:numPr>
        <w:tabs>
          <w:tab w:pos="2483" w:val="left" w:leader="none"/>
        </w:tabs>
        <w:spacing w:line="245" w:lineRule="exact" w:before="0" w:after="0"/>
        <w:ind w:left="2482" w:right="0" w:hanging="420"/>
        <w:jc w:val="left"/>
        <w:rPr>
          <w:sz w:val="21"/>
        </w:rPr>
      </w:pPr>
      <w:r>
        <w:rPr>
          <w:sz w:val="21"/>
        </w:rPr>
        <w:t>年龄错误</w:t>
      </w:r>
    </w:p>
    <w:p>
      <w:pPr>
        <w:pStyle w:val="ListParagraph"/>
        <w:numPr>
          <w:ilvl w:val="1"/>
          <w:numId w:val="7"/>
        </w:numPr>
        <w:tabs>
          <w:tab w:pos="1368" w:val="left" w:leader="none"/>
        </w:tabs>
        <w:spacing w:line="257" w:lineRule="exact" w:before="7" w:after="0"/>
        <w:ind w:left="1367" w:right="0" w:hanging="420"/>
        <w:jc w:val="left"/>
        <w:rPr>
          <w:sz w:val="21"/>
        </w:rPr>
      </w:pPr>
      <w:r>
        <w:rPr>
          <w:sz w:val="21"/>
        </w:rPr>
        <w:br w:type="column"/>
        <w:t>未还款项</w:t>
      </w:r>
    </w:p>
    <w:p>
      <w:pPr>
        <w:pStyle w:val="ListParagraph"/>
        <w:numPr>
          <w:ilvl w:val="1"/>
          <w:numId w:val="7"/>
        </w:numPr>
        <w:tabs>
          <w:tab w:pos="1368" w:val="left" w:leader="none"/>
        </w:tabs>
        <w:spacing w:line="240" w:lineRule="exact" w:before="0" w:after="0"/>
        <w:ind w:left="1367" w:right="0" w:hanging="420"/>
        <w:jc w:val="left"/>
        <w:rPr>
          <w:sz w:val="21"/>
        </w:rPr>
      </w:pPr>
      <w:r>
        <w:rPr>
          <w:sz w:val="21"/>
        </w:rPr>
        <w:t>合同内容变更</w:t>
      </w:r>
    </w:p>
    <w:p>
      <w:pPr>
        <w:pStyle w:val="ListParagraph"/>
        <w:numPr>
          <w:ilvl w:val="1"/>
          <w:numId w:val="7"/>
        </w:numPr>
        <w:tabs>
          <w:tab w:pos="1368" w:val="left" w:leader="none"/>
        </w:tabs>
        <w:spacing w:line="240" w:lineRule="exact" w:before="0" w:after="0"/>
        <w:ind w:left="1367" w:right="0" w:hanging="420"/>
        <w:jc w:val="left"/>
        <w:rPr>
          <w:sz w:val="21"/>
        </w:rPr>
      </w:pPr>
      <w:r>
        <w:rPr>
          <w:sz w:val="21"/>
        </w:rPr>
        <w:t>效力终止</w:t>
      </w:r>
    </w:p>
    <w:p>
      <w:pPr>
        <w:pStyle w:val="ListParagraph"/>
        <w:numPr>
          <w:ilvl w:val="1"/>
          <w:numId w:val="7"/>
        </w:numPr>
        <w:tabs>
          <w:tab w:pos="1368" w:val="left" w:leader="none"/>
        </w:tabs>
        <w:spacing w:line="207" w:lineRule="exact" w:before="0" w:after="0"/>
        <w:ind w:left="1367" w:right="0" w:hanging="420"/>
        <w:jc w:val="left"/>
        <w:rPr>
          <w:sz w:val="21"/>
        </w:rPr>
      </w:pPr>
      <w:r>
        <w:rPr>
          <w:sz w:val="21"/>
        </w:rPr>
        <w:t>适用主险合同条款</w:t>
      </w:r>
    </w:p>
    <w:p>
      <w:pPr>
        <w:spacing w:line="285" w:lineRule="exact" w:before="0"/>
        <w:ind w:left="737" w:right="0" w:firstLine="0"/>
        <w:jc w:val="left"/>
        <w:rPr>
          <w:rFonts w:ascii="Microsoft JhengHei" w:eastAsia="Microsoft JhengHei" w:hint="eastAsia"/>
          <w:b/>
          <w:sz w:val="21"/>
        </w:rPr>
      </w:pPr>
      <w:r>
        <w:rPr>
          <w:b/>
          <w:w w:val="110"/>
          <w:sz w:val="21"/>
        </w:rPr>
        <w:t>9</w:t>
      </w:r>
      <w:r>
        <w:rPr>
          <w:rFonts w:ascii="Microsoft JhengHei" w:eastAsia="Microsoft JhengHei" w:hint="eastAsia"/>
          <w:b/>
          <w:w w:val="110"/>
          <w:sz w:val="21"/>
        </w:rPr>
        <w:t>.释义</w:t>
      </w:r>
    </w:p>
    <w:p>
      <w:pPr>
        <w:pStyle w:val="ListParagraph"/>
        <w:numPr>
          <w:ilvl w:val="1"/>
          <w:numId w:val="8"/>
        </w:numPr>
        <w:tabs>
          <w:tab w:pos="1368" w:val="left" w:leader="none"/>
        </w:tabs>
        <w:spacing w:line="228" w:lineRule="exact" w:before="0" w:after="0"/>
        <w:ind w:left="1367" w:right="0" w:hanging="420"/>
        <w:jc w:val="left"/>
        <w:rPr>
          <w:sz w:val="21"/>
        </w:rPr>
      </w:pPr>
      <w:r>
        <w:rPr>
          <w:sz w:val="21"/>
        </w:rPr>
        <w:t>周岁</w:t>
      </w:r>
    </w:p>
    <w:p>
      <w:pPr>
        <w:pStyle w:val="ListParagraph"/>
        <w:numPr>
          <w:ilvl w:val="1"/>
          <w:numId w:val="8"/>
        </w:numPr>
        <w:tabs>
          <w:tab w:pos="1368" w:val="left" w:leader="none"/>
        </w:tabs>
        <w:spacing w:line="240" w:lineRule="exact" w:before="0" w:after="0"/>
        <w:ind w:left="1367" w:right="0" w:hanging="420"/>
        <w:jc w:val="left"/>
        <w:rPr>
          <w:sz w:val="21"/>
        </w:rPr>
      </w:pPr>
      <w:r>
        <w:rPr>
          <w:sz w:val="21"/>
        </w:rPr>
        <w:t>有效身份证件</w:t>
      </w:r>
    </w:p>
    <w:p>
      <w:pPr>
        <w:pStyle w:val="ListParagraph"/>
        <w:numPr>
          <w:ilvl w:val="1"/>
          <w:numId w:val="8"/>
        </w:numPr>
        <w:tabs>
          <w:tab w:pos="1315" w:val="left" w:leader="none"/>
        </w:tabs>
        <w:spacing w:line="240" w:lineRule="exact" w:before="0" w:after="0"/>
        <w:ind w:left="1314" w:right="0" w:hanging="367"/>
        <w:jc w:val="left"/>
        <w:rPr>
          <w:sz w:val="21"/>
        </w:rPr>
      </w:pPr>
      <w:r>
        <w:rPr>
          <w:sz w:val="21"/>
        </w:rPr>
        <w:t>重大疾病</w:t>
      </w:r>
    </w:p>
    <w:p>
      <w:pPr>
        <w:pStyle w:val="ListParagraph"/>
        <w:numPr>
          <w:ilvl w:val="1"/>
          <w:numId w:val="8"/>
        </w:numPr>
        <w:tabs>
          <w:tab w:pos="1315" w:val="left" w:leader="none"/>
        </w:tabs>
        <w:spacing w:line="240" w:lineRule="exact" w:before="0" w:after="0"/>
        <w:ind w:left="1314" w:right="0" w:hanging="367"/>
        <w:jc w:val="left"/>
        <w:rPr>
          <w:sz w:val="21"/>
        </w:rPr>
      </w:pPr>
      <w:r>
        <w:rPr>
          <w:sz w:val="21"/>
        </w:rPr>
        <w:t>专科医生</w:t>
      </w:r>
    </w:p>
    <w:p>
      <w:pPr>
        <w:pStyle w:val="ListParagraph"/>
        <w:numPr>
          <w:ilvl w:val="1"/>
          <w:numId w:val="8"/>
        </w:numPr>
        <w:tabs>
          <w:tab w:pos="1315" w:val="left" w:leader="none"/>
        </w:tabs>
        <w:spacing w:line="240" w:lineRule="exact" w:before="0" w:after="0"/>
        <w:ind w:left="1314" w:right="0" w:hanging="367"/>
        <w:jc w:val="left"/>
        <w:rPr>
          <w:sz w:val="21"/>
        </w:rPr>
      </w:pPr>
      <w:r>
        <w:rPr>
          <w:sz w:val="21"/>
        </w:rPr>
        <w:t>肢体机能完全丧失</w:t>
      </w:r>
    </w:p>
    <w:p>
      <w:pPr>
        <w:pStyle w:val="ListParagraph"/>
        <w:numPr>
          <w:ilvl w:val="1"/>
          <w:numId w:val="8"/>
        </w:numPr>
        <w:tabs>
          <w:tab w:pos="1315" w:val="left" w:leader="none"/>
        </w:tabs>
        <w:spacing w:line="240" w:lineRule="exact" w:before="0" w:after="0"/>
        <w:ind w:left="1314" w:right="0" w:hanging="367"/>
        <w:jc w:val="left"/>
        <w:rPr>
          <w:sz w:val="21"/>
        </w:rPr>
      </w:pPr>
      <w:r>
        <w:rPr>
          <w:sz w:val="21"/>
        </w:rPr>
        <w:t>语言能力或咀嚼吞咽能力完全丧失</w:t>
      </w:r>
    </w:p>
    <w:p>
      <w:pPr>
        <w:pStyle w:val="ListParagraph"/>
        <w:numPr>
          <w:ilvl w:val="1"/>
          <w:numId w:val="8"/>
        </w:numPr>
        <w:tabs>
          <w:tab w:pos="1315" w:val="left" w:leader="none"/>
        </w:tabs>
        <w:spacing w:line="240" w:lineRule="exact" w:before="0" w:after="0"/>
        <w:ind w:left="1314" w:right="0" w:hanging="367"/>
        <w:jc w:val="left"/>
        <w:rPr>
          <w:sz w:val="21"/>
        </w:rPr>
      </w:pPr>
      <w:r>
        <w:rPr>
          <w:sz w:val="21"/>
        </w:rPr>
        <w:t>六项基本日常生活活动</w:t>
      </w:r>
    </w:p>
    <w:p>
      <w:pPr>
        <w:pStyle w:val="ListParagraph"/>
        <w:numPr>
          <w:ilvl w:val="1"/>
          <w:numId w:val="8"/>
        </w:numPr>
        <w:tabs>
          <w:tab w:pos="1315" w:val="left" w:leader="none"/>
        </w:tabs>
        <w:spacing w:line="240" w:lineRule="exact" w:before="0" w:after="0"/>
        <w:ind w:left="1314" w:right="0" w:hanging="367"/>
        <w:jc w:val="left"/>
        <w:rPr>
          <w:sz w:val="21"/>
        </w:rPr>
      </w:pPr>
      <w:r>
        <w:rPr>
          <w:sz w:val="21"/>
        </w:rPr>
        <w:t>永久不可逆</w:t>
      </w:r>
    </w:p>
    <w:p>
      <w:pPr>
        <w:pStyle w:val="ListParagraph"/>
        <w:numPr>
          <w:ilvl w:val="1"/>
          <w:numId w:val="8"/>
        </w:numPr>
        <w:tabs>
          <w:tab w:pos="1315" w:val="left" w:leader="none"/>
        </w:tabs>
        <w:spacing w:line="240" w:lineRule="exact" w:before="0" w:after="0"/>
        <w:ind w:left="1314" w:right="0" w:hanging="367"/>
        <w:jc w:val="left"/>
        <w:rPr>
          <w:sz w:val="21"/>
        </w:rPr>
      </w:pPr>
      <w:r>
        <w:rPr>
          <w:sz w:val="21"/>
        </w:rPr>
        <w:t>心功能状态分级</w:t>
      </w:r>
    </w:p>
    <w:p>
      <w:pPr>
        <w:pStyle w:val="ListParagraph"/>
        <w:numPr>
          <w:ilvl w:val="1"/>
          <w:numId w:val="8"/>
        </w:numPr>
        <w:tabs>
          <w:tab w:pos="1421" w:val="left" w:leader="none"/>
        </w:tabs>
        <w:spacing w:line="240" w:lineRule="exact" w:before="0" w:after="0"/>
        <w:ind w:left="1420" w:right="0" w:hanging="473"/>
        <w:jc w:val="left"/>
        <w:rPr>
          <w:sz w:val="21"/>
        </w:rPr>
      </w:pPr>
      <w:r>
        <w:rPr>
          <w:sz w:val="21"/>
        </w:rPr>
        <w:t>意外伤害</w:t>
      </w:r>
    </w:p>
    <w:p>
      <w:pPr>
        <w:pStyle w:val="ListParagraph"/>
        <w:numPr>
          <w:ilvl w:val="1"/>
          <w:numId w:val="8"/>
        </w:numPr>
        <w:tabs>
          <w:tab w:pos="1421" w:val="left" w:leader="none"/>
        </w:tabs>
        <w:spacing w:line="240" w:lineRule="exact" w:before="0" w:after="0"/>
        <w:ind w:left="1420" w:right="0" w:hanging="473"/>
        <w:jc w:val="left"/>
        <w:rPr>
          <w:sz w:val="21"/>
        </w:rPr>
      </w:pPr>
      <w:r>
        <w:rPr>
          <w:sz w:val="21"/>
        </w:rPr>
        <w:t>医院</w:t>
      </w:r>
    </w:p>
    <w:p>
      <w:pPr>
        <w:pStyle w:val="ListParagraph"/>
        <w:numPr>
          <w:ilvl w:val="1"/>
          <w:numId w:val="8"/>
        </w:numPr>
        <w:tabs>
          <w:tab w:pos="1421" w:val="left" w:leader="none"/>
        </w:tabs>
        <w:spacing w:line="240" w:lineRule="exact" w:before="0" w:after="0"/>
        <w:ind w:left="1420" w:right="0" w:hanging="473"/>
        <w:jc w:val="left"/>
        <w:rPr>
          <w:sz w:val="21"/>
        </w:rPr>
      </w:pPr>
      <w:r>
        <w:rPr>
          <w:sz w:val="21"/>
        </w:rPr>
        <w:t>本条款约定确诊日</w:t>
      </w:r>
    </w:p>
    <w:p>
      <w:pPr>
        <w:pStyle w:val="ListParagraph"/>
        <w:numPr>
          <w:ilvl w:val="1"/>
          <w:numId w:val="8"/>
        </w:numPr>
        <w:tabs>
          <w:tab w:pos="1421" w:val="left" w:leader="none"/>
        </w:tabs>
        <w:spacing w:line="240" w:lineRule="exact" w:before="0" w:after="0"/>
        <w:ind w:left="1420" w:right="0" w:hanging="473"/>
        <w:jc w:val="left"/>
        <w:rPr>
          <w:sz w:val="21"/>
        </w:rPr>
      </w:pPr>
      <w:r>
        <w:rPr>
          <w:sz w:val="21"/>
        </w:rPr>
        <w:t>毒品</w:t>
      </w:r>
    </w:p>
    <w:p>
      <w:pPr>
        <w:pStyle w:val="ListParagraph"/>
        <w:numPr>
          <w:ilvl w:val="1"/>
          <w:numId w:val="8"/>
        </w:numPr>
        <w:tabs>
          <w:tab w:pos="1421" w:val="left" w:leader="none"/>
        </w:tabs>
        <w:spacing w:line="240" w:lineRule="exact" w:before="0" w:after="0"/>
        <w:ind w:left="1420" w:right="0" w:hanging="473"/>
        <w:jc w:val="left"/>
        <w:rPr>
          <w:sz w:val="21"/>
        </w:rPr>
      </w:pPr>
      <w:r>
        <w:rPr>
          <w:sz w:val="21"/>
        </w:rPr>
        <w:t>酒后驾驶</w:t>
      </w:r>
    </w:p>
    <w:p>
      <w:pPr>
        <w:pStyle w:val="ListParagraph"/>
        <w:numPr>
          <w:ilvl w:val="1"/>
          <w:numId w:val="8"/>
        </w:numPr>
        <w:tabs>
          <w:tab w:pos="1421" w:val="left" w:leader="none"/>
        </w:tabs>
        <w:spacing w:line="240" w:lineRule="exact" w:before="0" w:after="0"/>
        <w:ind w:left="1420" w:right="0" w:hanging="473"/>
        <w:jc w:val="left"/>
        <w:rPr>
          <w:sz w:val="21"/>
        </w:rPr>
      </w:pPr>
      <w:r>
        <w:rPr>
          <w:sz w:val="21"/>
        </w:rPr>
        <w:t>机动车</w:t>
      </w:r>
    </w:p>
    <w:p>
      <w:pPr>
        <w:pStyle w:val="ListParagraph"/>
        <w:numPr>
          <w:ilvl w:val="1"/>
          <w:numId w:val="8"/>
        </w:numPr>
        <w:tabs>
          <w:tab w:pos="1421" w:val="left" w:leader="none"/>
        </w:tabs>
        <w:spacing w:line="240" w:lineRule="exact" w:before="0" w:after="0"/>
        <w:ind w:left="1420" w:right="0" w:hanging="473"/>
        <w:jc w:val="left"/>
        <w:rPr>
          <w:sz w:val="21"/>
        </w:rPr>
      </w:pPr>
      <w:r>
        <w:rPr>
          <w:sz w:val="21"/>
        </w:rPr>
        <w:t>感染艾滋病病毒或患艾滋病</w:t>
      </w:r>
    </w:p>
    <w:p>
      <w:pPr>
        <w:pStyle w:val="ListParagraph"/>
        <w:numPr>
          <w:ilvl w:val="1"/>
          <w:numId w:val="8"/>
        </w:numPr>
        <w:tabs>
          <w:tab w:pos="1421" w:val="left" w:leader="none"/>
        </w:tabs>
        <w:spacing w:line="240" w:lineRule="exact" w:before="0" w:after="0"/>
        <w:ind w:left="1420" w:right="0" w:hanging="473"/>
        <w:jc w:val="left"/>
        <w:rPr>
          <w:sz w:val="21"/>
        </w:rPr>
      </w:pPr>
      <w:r>
        <w:rPr>
          <w:sz w:val="21"/>
        </w:rPr>
        <w:t>遗传性疾病</w:t>
      </w:r>
    </w:p>
    <w:p>
      <w:pPr>
        <w:pStyle w:val="ListParagraph"/>
        <w:numPr>
          <w:ilvl w:val="1"/>
          <w:numId w:val="8"/>
        </w:numPr>
        <w:tabs>
          <w:tab w:pos="1421" w:val="left" w:leader="none"/>
        </w:tabs>
        <w:spacing w:line="240" w:lineRule="exact" w:before="0" w:after="0"/>
        <w:ind w:left="1420" w:right="0" w:hanging="473"/>
        <w:jc w:val="left"/>
        <w:rPr>
          <w:sz w:val="21"/>
        </w:rPr>
      </w:pPr>
      <w:r>
        <w:rPr>
          <w:sz w:val="21"/>
        </w:rPr>
        <w:t>先天性畸形、变形或染色体异常</w:t>
      </w:r>
    </w:p>
    <w:p>
      <w:pPr>
        <w:pStyle w:val="ListParagraph"/>
        <w:numPr>
          <w:ilvl w:val="1"/>
          <w:numId w:val="8"/>
        </w:numPr>
        <w:tabs>
          <w:tab w:pos="1421" w:val="left" w:leader="none"/>
        </w:tabs>
        <w:spacing w:line="257" w:lineRule="exact" w:before="0" w:after="0"/>
        <w:ind w:left="1420" w:right="0" w:hanging="473"/>
        <w:jc w:val="left"/>
        <w:rPr>
          <w:sz w:val="21"/>
        </w:rPr>
      </w:pPr>
      <w:r>
        <w:rPr>
          <w:sz w:val="21"/>
        </w:rPr>
        <w:t>保险费约定支付日</w:t>
      </w:r>
    </w:p>
    <w:p>
      <w:pPr>
        <w:spacing w:before="137"/>
        <w:ind w:left="737" w:right="0" w:firstLine="0"/>
        <w:jc w:val="left"/>
        <w:rPr>
          <w:rFonts w:ascii="Microsoft JhengHei" w:eastAsia="Microsoft JhengHei" w:hint="eastAsia"/>
          <w:b/>
          <w:sz w:val="21"/>
        </w:rPr>
      </w:pPr>
      <w:r>
        <w:rPr>
          <w:rFonts w:ascii="Microsoft JhengHei" w:eastAsia="Microsoft JhengHei" w:hint="eastAsia"/>
          <w:b/>
          <w:sz w:val="21"/>
        </w:rPr>
        <w:t>附表</w:t>
      </w:r>
    </w:p>
    <w:p>
      <w:pPr>
        <w:pStyle w:val="BodyText"/>
        <w:rPr>
          <w:rFonts w:ascii="Microsoft JhengHei"/>
          <w:b/>
          <w:sz w:val="20"/>
        </w:rPr>
      </w:pPr>
    </w:p>
    <w:p>
      <w:pPr>
        <w:pStyle w:val="BodyText"/>
        <w:rPr>
          <w:rFonts w:ascii="Microsoft JhengHei"/>
          <w:b/>
          <w:sz w:val="20"/>
        </w:rPr>
      </w:pPr>
    </w:p>
    <w:p>
      <w:pPr>
        <w:pStyle w:val="BodyText"/>
        <w:spacing w:before="3"/>
        <w:rPr>
          <w:rFonts w:ascii="Microsoft JhengHei"/>
          <w:b/>
          <w:sz w:val="28"/>
        </w:rPr>
      </w:pPr>
    </w:p>
    <w:p>
      <w:pPr>
        <w:spacing w:before="0"/>
        <w:ind w:left="3288" w:right="0" w:firstLine="0"/>
        <w:jc w:val="left"/>
        <w:rPr>
          <w:rFonts w:ascii="Times New Roman" w:eastAsia="Times New Roman"/>
          <w:sz w:val="18"/>
        </w:rPr>
      </w:pPr>
      <w:r>
        <w:rPr>
          <w:sz w:val="18"/>
        </w:rPr>
        <w:t>险种简称：豁免重疾</w:t>
      </w:r>
      <w:r>
        <w:rPr>
          <w:rFonts w:ascii="Times New Roman" w:eastAsia="Times New Roman"/>
          <w:sz w:val="18"/>
        </w:rPr>
        <w:t>B14</w:t>
      </w:r>
    </w:p>
    <w:p>
      <w:pPr>
        <w:spacing w:before="62"/>
        <w:ind w:left="3288" w:right="0" w:firstLine="0"/>
        <w:jc w:val="left"/>
        <w:rPr>
          <w:rFonts w:ascii="Times New Roman" w:eastAsia="Times New Roman"/>
          <w:sz w:val="18"/>
        </w:rPr>
      </w:pPr>
      <w:r>
        <w:rPr>
          <w:sz w:val="18"/>
        </w:rPr>
        <w:t>险种代码：</w:t>
      </w:r>
      <w:r>
        <w:rPr>
          <w:rFonts w:ascii="Times New Roman" w:eastAsia="Times New Roman"/>
          <w:sz w:val="18"/>
        </w:rPr>
        <w:t>1125</w:t>
      </w:r>
    </w:p>
    <w:p>
      <w:pPr>
        <w:spacing w:after="0"/>
        <w:jc w:val="left"/>
        <w:rPr>
          <w:rFonts w:ascii="Times New Roman" w:eastAsia="Times New Roman"/>
          <w:sz w:val="18"/>
        </w:rPr>
        <w:sectPr>
          <w:type w:val="continuous"/>
          <w:pgSz w:w="11910" w:h="16840"/>
          <w:pgMar w:top="660" w:bottom="280" w:left="840" w:right="800"/>
          <w:cols w:num="2" w:equalWidth="0">
            <w:col w:w="4793" w:space="40"/>
            <w:col w:w="5437"/>
          </w:cols>
        </w:sectPr>
      </w:pPr>
    </w:p>
    <w:p>
      <w:pPr>
        <w:pStyle w:val="BodyText"/>
        <w:ind w:left="248"/>
        <w:rPr>
          <w:rFonts w:ascii="Times New Roman"/>
          <w:sz w:val="20"/>
        </w:rPr>
      </w:pPr>
      <w:r>
        <w:rPr>
          <w:rFonts w:ascii="Times New Roman"/>
          <w:sz w:val="20"/>
        </w:rPr>
        <w:drawing>
          <wp:inline distT="0" distB="0" distL="0" distR="0">
            <wp:extent cx="2052256"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56" cy="342042"/>
                    </a:xfrm>
                    <a:prstGeom prst="rect">
                      <a:avLst/>
                    </a:prstGeom>
                  </pic:spPr>
                </pic:pic>
              </a:graphicData>
            </a:graphic>
          </wp:inline>
        </w:drawing>
      </w:r>
      <w:r>
        <w:rPr>
          <w:rFonts w:ascii="Times New Roman"/>
          <w:sz w:val="20"/>
        </w:rPr>
      </w:r>
    </w:p>
    <w:p>
      <w:pPr>
        <w:pStyle w:val="BodyText"/>
        <w:spacing w:before="4"/>
        <w:rPr>
          <w:rFonts w:ascii="Times New Roman"/>
          <w:sz w:val="10"/>
        </w:rPr>
      </w:pPr>
      <w:r>
        <w:rPr/>
        <w:drawing>
          <wp:anchor distT="0" distB="0" distL="0" distR="0" allowOverlap="1" layoutInCell="1" locked="0" behindDoc="0" simplePos="0" relativeHeight="1072">
            <wp:simplePos x="0" y="0"/>
            <wp:positionH relativeFrom="page">
              <wp:posOffset>1442973</wp:posOffset>
            </wp:positionH>
            <wp:positionV relativeFrom="paragraph">
              <wp:posOffset>100343</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spacing w:before="2"/>
        <w:rPr>
          <w:rFonts w:ascii="Times New Roman"/>
          <w:sz w:val="11"/>
        </w:rPr>
      </w:pPr>
    </w:p>
    <w:p>
      <w:pPr>
        <w:spacing w:line="507" w:lineRule="exact" w:before="0"/>
        <w:ind w:left="1433" w:right="0" w:firstLine="0"/>
        <w:jc w:val="left"/>
        <w:rPr>
          <w:rFonts w:ascii="微软雅黑" w:eastAsia="微软雅黑" w:hint="eastAsia"/>
          <w:b/>
          <w:sz w:val="32"/>
        </w:rPr>
      </w:pPr>
      <w:r>
        <w:rPr>
          <w:rFonts w:ascii="微软雅黑" w:eastAsia="微软雅黑" w:hint="eastAsia"/>
          <w:b/>
          <w:sz w:val="32"/>
        </w:rPr>
        <w:t>平安附加豁免保险费重大疾病保险（B，2014）条款</w:t>
      </w:r>
    </w:p>
    <w:p>
      <w:pPr>
        <w:pStyle w:val="BodyText"/>
        <w:spacing w:before="2"/>
        <w:rPr>
          <w:rFonts w:ascii="微软雅黑"/>
          <w:b/>
          <w:sz w:val="60"/>
        </w:rPr>
      </w:pPr>
    </w:p>
    <w:p>
      <w:pPr>
        <w:pStyle w:val="BodyText"/>
        <w:ind w:left="221"/>
      </w:pPr>
      <w:r>
        <w:rPr/>
        <w:t>在本条款中，“您”指投保人，“我们”、“本公司”均指中国平安人寿保险股份有限公司。</w:t>
      </w:r>
    </w:p>
    <w:p>
      <w:pPr>
        <w:pStyle w:val="BodyText"/>
        <w:rPr>
          <w:sz w:val="20"/>
        </w:rPr>
      </w:pPr>
    </w:p>
    <w:p>
      <w:pPr>
        <w:pStyle w:val="BodyText"/>
        <w:spacing w:before="4" w:after="1"/>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646"/>
        <w:gridCol w:w="7576"/>
      </w:tblGrid>
      <w:tr>
        <w:trPr>
          <w:trHeight w:val="522" w:hRule="atLeast"/>
        </w:trPr>
        <w:tc>
          <w:tcPr>
            <w:tcW w:w="695"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9222" w:type="dxa"/>
            <w:gridSpan w:val="2"/>
            <w:tcBorders>
              <w:bottom w:val="single" w:sz="8" w:space="0" w:color="000000"/>
            </w:tcBorders>
          </w:tcPr>
          <w:p>
            <w:pPr>
              <w:pStyle w:val="TableParagraph"/>
              <w:spacing w:before="16"/>
              <w:ind w:left="230"/>
              <w:rPr>
                <w:b/>
                <w:sz w:val="24"/>
              </w:rPr>
            </w:pPr>
            <w:r>
              <w:rPr>
                <w:b/>
                <w:w w:val="95"/>
                <w:sz w:val="24"/>
              </w:rPr>
              <w:t>您与我们的合同</w:t>
            </w:r>
          </w:p>
        </w:tc>
      </w:tr>
      <w:tr>
        <w:trPr>
          <w:trHeight w:val="1340" w:hRule="atLeast"/>
        </w:trPr>
        <w:tc>
          <w:tcPr>
            <w:tcW w:w="695" w:type="dxa"/>
            <w:tcBorders>
              <w:top w:val="single" w:sz="8" w:space="0" w:color="000000"/>
            </w:tcBorders>
          </w:tcPr>
          <w:p>
            <w:pPr>
              <w:pStyle w:val="TableParagraph"/>
              <w:rPr>
                <w:sz w:val="19"/>
              </w:rPr>
            </w:pPr>
          </w:p>
          <w:p>
            <w:pPr>
              <w:pStyle w:val="TableParagraph"/>
              <w:ind w:left="108"/>
              <w:rPr>
                <w:b/>
                <w:sz w:val="21"/>
              </w:rPr>
            </w:pPr>
            <w:r>
              <w:rPr>
                <w:b/>
                <w:sz w:val="21"/>
              </w:rPr>
              <w:t>1.1</w:t>
            </w:r>
          </w:p>
        </w:tc>
        <w:tc>
          <w:tcPr>
            <w:tcW w:w="1646" w:type="dxa"/>
            <w:tcBorders>
              <w:top w:val="single" w:sz="8" w:space="0" w:color="000000"/>
            </w:tcBorders>
          </w:tcPr>
          <w:p>
            <w:pPr>
              <w:pStyle w:val="TableParagraph"/>
              <w:rPr>
                <w:sz w:val="19"/>
              </w:rPr>
            </w:pPr>
          </w:p>
          <w:p>
            <w:pPr>
              <w:pStyle w:val="TableParagraph"/>
              <w:ind w:left="230"/>
              <w:rPr>
                <w:b/>
                <w:sz w:val="21"/>
              </w:rPr>
            </w:pPr>
            <w:r>
              <w:rPr>
                <w:b/>
                <w:sz w:val="21"/>
              </w:rPr>
              <w:t>合同订立</w:t>
            </w:r>
          </w:p>
        </w:tc>
        <w:tc>
          <w:tcPr>
            <w:tcW w:w="7576" w:type="dxa"/>
            <w:tcBorders>
              <w:top w:val="single" w:sz="8" w:space="0" w:color="000000"/>
            </w:tcBorders>
          </w:tcPr>
          <w:p>
            <w:pPr>
              <w:pStyle w:val="TableParagraph"/>
              <w:rPr>
                <w:sz w:val="19"/>
              </w:rPr>
            </w:pPr>
          </w:p>
          <w:p>
            <w:pPr>
              <w:pStyle w:val="TableParagraph"/>
              <w:spacing w:line="273" w:lineRule="auto"/>
              <w:ind w:left="570" w:right="102"/>
              <w:jc w:val="both"/>
              <w:rPr>
                <w:sz w:val="21"/>
              </w:rPr>
            </w:pPr>
            <w:r>
              <w:rPr>
                <w:sz w:val="21"/>
              </w:rPr>
              <w:t>“平安附加豁免保险费重大疾病保险（B，2014）合同”（以下简称“本附</w:t>
            </w:r>
            <w:r>
              <w:rPr>
                <w:spacing w:val="-1"/>
                <w:sz w:val="21"/>
              </w:rPr>
              <w:t>加险合同”</w:t>
            </w:r>
            <w:r>
              <w:rPr>
                <w:spacing w:val="-5"/>
                <w:sz w:val="21"/>
              </w:rPr>
              <w:t>）</w:t>
            </w:r>
            <w:r>
              <w:rPr>
                <w:spacing w:val="-2"/>
                <w:sz w:val="21"/>
              </w:rPr>
              <w:t>由主保险合同</w:t>
            </w:r>
            <w:r>
              <w:rPr>
                <w:sz w:val="21"/>
              </w:rPr>
              <w:t>（</w:t>
            </w:r>
            <w:r>
              <w:rPr>
                <w:spacing w:val="-1"/>
                <w:sz w:val="21"/>
              </w:rPr>
              <w:t>以下简称“主险合同”</w:t>
            </w:r>
            <w:r>
              <w:rPr>
                <w:spacing w:val="-5"/>
                <w:sz w:val="21"/>
              </w:rPr>
              <w:t>）</w:t>
            </w:r>
            <w:r>
              <w:rPr>
                <w:spacing w:val="-2"/>
                <w:sz w:val="21"/>
              </w:rPr>
              <w:t>投保人提出申请，经我们同意而订立。</w:t>
            </w:r>
          </w:p>
        </w:tc>
      </w:tr>
      <w:tr>
        <w:trPr>
          <w:trHeight w:val="1844" w:hRule="atLeast"/>
        </w:trPr>
        <w:tc>
          <w:tcPr>
            <w:tcW w:w="695" w:type="dxa"/>
          </w:tcPr>
          <w:p>
            <w:pPr>
              <w:pStyle w:val="TableParagraph"/>
              <w:spacing w:before="128"/>
              <w:ind w:left="108"/>
              <w:rPr>
                <w:b/>
                <w:sz w:val="21"/>
              </w:rPr>
            </w:pPr>
            <w:r>
              <w:rPr>
                <w:b/>
                <w:sz w:val="21"/>
              </w:rPr>
              <w:t>1.2</w:t>
            </w:r>
          </w:p>
        </w:tc>
        <w:tc>
          <w:tcPr>
            <w:tcW w:w="1646" w:type="dxa"/>
          </w:tcPr>
          <w:p>
            <w:pPr>
              <w:pStyle w:val="TableParagraph"/>
              <w:spacing w:before="128"/>
              <w:ind w:left="230"/>
              <w:rPr>
                <w:b/>
                <w:sz w:val="21"/>
              </w:rPr>
            </w:pPr>
            <w:r>
              <w:rPr>
                <w:b/>
                <w:sz w:val="21"/>
              </w:rPr>
              <w:t>合同生效</w:t>
            </w:r>
          </w:p>
        </w:tc>
        <w:tc>
          <w:tcPr>
            <w:tcW w:w="7576" w:type="dxa"/>
          </w:tcPr>
          <w:p>
            <w:pPr>
              <w:pStyle w:val="TableParagraph"/>
              <w:spacing w:line="273" w:lineRule="auto" w:before="128"/>
              <w:ind w:left="570" w:right="50"/>
              <w:rPr>
                <w:sz w:val="21"/>
              </w:rPr>
            </w:pPr>
            <w:r>
              <w:rPr>
                <w:sz w:val="21"/>
              </w:rPr>
              <w:t>如果本附加险合同与主险合同同时投保，本附加险合同的生效日与主险合同相同。</w:t>
            </w:r>
          </w:p>
          <w:p>
            <w:pPr>
              <w:pStyle w:val="TableParagraph"/>
              <w:spacing w:line="273" w:lineRule="auto" w:before="7"/>
              <w:ind w:left="570" w:right="50"/>
              <w:rPr>
                <w:sz w:val="21"/>
              </w:rPr>
            </w:pPr>
            <w:r>
              <w:rPr>
                <w:sz w:val="21"/>
              </w:rPr>
              <w:t>如果您在主险合同保险期间内投保本附加险合同，本附加险合同生效日以批注所载的日期为准。</w:t>
            </w:r>
          </w:p>
          <w:p>
            <w:pPr>
              <w:pStyle w:val="TableParagraph"/>
              <w:spacing w:before="7"/>
              <w:ind w:left="570"/>
              <w:rPr>
                <w:sz w:val="21"/>
              </w:rPr>
            </w:pPr>
            <w:r>
              <w:rPr>
                <w:sz w:val="21"/>
              </w:rPr>
              <w:t>本附加险合同的保单周年日同主险合同的保单周年日。</w:t>
            </w:r>
          </w:p>
        </w:tc>
      </w:tr>
      <w:tr>
        <w:trPr>
          <w:trHeight w:val="1219" w:hRule="atLeast"/>
        </w:trPr>
        <w:tc>
          <w:tcPr>
            <w:tcW w:w="695" w:type="dxa"/>
          </w:tcPr>
          <w:p>
            <w:pPr>
              <w:pStyle w:val="TableParagraph"/>
              <w:spacing w:before="128"/>
              <w:ind w:left="108"/>
              <w:rPr>
                <w:b/>
                <w:sz w:val="21"/>
              </w:rPr>
            </w:pPr>
            <w:r>
              <w:rPr>
                <w:b/>
                <w:sz w:val="21"/>
              </w:rPr>
              <w:t>1.3</w:t>
            </w:r>
          </w:p>
        </w:tc>
        <w:tc>
          <w:tcPr>
            <w:tcW w:w="1646" w:type="dxa"/>
          </w:tcPr>
          <w:p>
            <w:pPr>
              <w:pStyle w:val="TableParagraph"/>
              <w:spacing w:before="128"/>
              <w:ind w:left="230"/>
              <w:rPr>
                <w:b/>
                <w:sz w:val="21"/>
              </w:rPr>
            </w:pPr>
            <w:r>
              <w:rPr>
                <w:b/>
                <w:sz w:val="21"/>
              </w:rPr>
              <w:t>投保对象</w:t>
            </w:r>
          </w:p>
        </w:tc>
        <w:tc>
          <w:tcPr>
            <w:tcW w:w="7576" w:type="dxa"/>
          </w:tcPr>
          <w:p>
            <w:pPr>
              <w:pStyle w:val="TableParagraph"/>
              <w:spacing w:line="273" w:lineRule="auto" w:before="128"/>
              <w:ind w:left="570" w:right="73"/>
              <w:jc w:val="both"/>
              <w:rPr>
                <w:sz w:val="21"/>
              </w:rPr>
            </w:pPr>
            <w:r>
              <w:rPr>
                <w:sz w:val="21"/>
              </w:rPr>
              <w:t>主险合同的投保人与被保险人不为同一人时，该投保人可以投保本附加险， 且作为本附加险合同的被保险人。本人投保时可选择同时为其配偶投保本附加险。</w:t>
            </w:r>
          </w:p>
        </w:tc>
      </w:tr>
      <w:tr>
        <w:trPr>
          <w:trHeight w:val="907" w:hRule="atLeast"/>
        </w:trPr>
        <w:tc>
          <w:tcPr>
            <w:tcW w:w="695" w:type="dxa"/>
          </w:tcPr>
          <w:p>
            <w:pPr>
              <w:pStyle w:val="TableParagraph"/>
              <w:spacing w:before="127"/>
              <w:ind w:left="108"/>
              <w:rPr>
                <w:b/>
                <w:sz w:val="21"/>
              </w:rPr>
            </w:pPr>
            <w:r>
              <w:rPr>
                <w:b/>
                <w:sz w:val="21"/>
              </w:rPr>
              <w:t>1.4</w:t>
            </w:r>
          </w:p>
        </w:tc>
        <w:tc>
          <w:tcPr>
            <w:tcW w:w="1646" w:type="dxa"/>
          </w:tcPr>
          <w:p>
            <w:pPr>
              <w:pStyle w:val="TableParagraph"/>
              <w:spacing w:before="127"/>
              <w:ind w:left="230"/>
              <w:rPr>
                <w:b/>
                <w:sz w:val="21"/>
              </w:rPr>
            </w:pPr>
            <w:r>
              <w:rPr>
                <w:b/>
                <w:sz w:val="21"/>
              </w:rPr>
              <w:t>投保年龄</w:t>
            </w:r>
          </w:p>
        </w:tc>
        <w:tc>
          <w:tcPr>
            <w:tcW w:w="7576" w:type="dxa"/>
          </w:tcPr>
          <w:p>
            <w:pPr>
              <w:pStyle w:val="TableParagraph"/>
              <w:spacing w:line="273" w:lineRule="auto" w:before="127"/>
              <w:ind w:left="570" w:right="50"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16 周岁至 60 周岁。</w:t>
            </w:r>
          </w:p>
        </w:tc>
      </w:tr>
      <w:tr>
        <w:trPr>
          <w:trHeight w:val="2780" w:hRule="atLeast"/>
        </w:trPr>
        <w:tc>
          <w:tcPr>
            <w:tcW w:w="695" w:type="dxa"/>
          </w:tcPr>
          <w:p>
            <w:pPr>
              <w:pStyle w:val="TableParagraph"/>
              <w:spacing w:before="128"/>
              <w:ind w:left="108"/>
              <w:rPr>
                <w:b/>
                <w:sz w:val="21"/>
              </w:rPr>
            </w:pPr>
            <w:r>
              <w:rPr>
                <w:b/>
                <w:sz w:val="21"/>
              </w:rPr>
              <w:t>1.5</w:t>
            </w:r>
          </w:p>
        </w:tc>
        <w:tc>
          <w:tcPr>
            <w:tcW w:w="1646" w:type="dxa"/>
          </w:tcPr>
          <w:p>
            <w:pPr>
              <w:pStyle w:val="TableParagraph"/>
              <w:spacing w:before="128"/>
              <w:ind w:left="230"/>
              <w:rPr>
                <w:b/>
                <w:sz w:val="21"/>
              </w:rPr>
            </w:pPr>
            <w:r>
              <w:rPr>
                <w:b/>
                <w:sz w:val="21"/>
              </w:rPr>
              <w:t>犹豫期</w:t>
            </w:r>
          </w:p>
        </w:tc>
        <w:tc>
          <w:tcPr>
            <w:tcW w:w="7576" w:type="dxa"/>
          </w:tcPr>
          <w:p>
            <w:pPr>
              <w:pStyle w:val="TableParagraph"/>
              <w:spacing w:line="273" w:lineRule="auto" w:before="128"/>
              <w:ind w:left="569" w:right="105"/>
              <w:rPr>
                <w:sz w:val="21"/>
              </w:rPr>
            </w:pPr>
            <w:r>
              <w:rPr>
                <w:spacing w:val="-4"/>
                <w:sz w:val="21"/>
              </w:rPr>
              <w:t>自您签收本附加险合同次日起，有 </w:t>
            </w:r>
            <w:r>
              <w:rPr>
                <w:sz w:val="21"/>
              </w:rPr>
              <w:t>10</w:t>
            </w:r>
            <w:r>
              <w:rPr>
                <w:spacing w:val="-8"/>
                <w:sz w:val="21"/>
              </w:rPr>
              <w:t> 日的犹豫期。在此期间请您认真审视</w:t>
            </w:r>
            <w:r>
              <w:rPr>
                <w:spacing w:val="-9"/>
                <w:sz w:val="21"/>
              </w:rPr>
              <w:t>本附加险合同，如果您认为本附加险合同与您的需求不相符，您可以在此期间提出解除本附加险合同，我们将无息退还您所支付的全部保险费。</w:t>
            </w:r>
          </w:p>
          <w:p>
            <w:pPr>
              <w:pStyle w:val="TableParagraph"/>
              <w:spacing w:line="273" w:lineRule="auto" w:before="7"/>
              <w:ind w:left="570" w:right="104"/>
              <w:jc w:val="both"/>
              <w:rPr>
                <w:sz w:val="21"/>
              </w:rPr>
            </w:pPr>
            <w:r>
              <w:rPr>
                <w:spacing w:val="-3"/>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4"/>
                <w:w w:val="99"/>
                <w:sz w:val="21"/>
              </w:rPr>
              <w:t>证件</w:t>
            </w:r>
            <w:r>
              <w:rPr>
                <w:sz w:val="21"/>
              </w:rPr>
              <w:t>（</w:t>
            </w:r>
            <w:r>
              <w:rPr>
                <w:spacing w:val="-27"/>
                <w:sz w:val="21"/>
              </w:rPr>
              <w:t>见 </w:t>
            </w:r>
            <w:r>
              <w:rPr>
                <w:spacing w:val="-1"/>
                <w:sz w:val="21"/>
              </w:rPr>
              <w:t>9</w:t>
            </w:r>
            <w:r>
              <w:rPr>
                <w:sz w:val="21"/>
              </w:rPr>
              <w:t>.</w:t>
            </w:r>
            <w:r>
              <w:rPr>
                <w:spacing w:val="-1"/>
                <w:sz w:val="21"/>
              </w:rPr>
              <w:t>2</w:t>
            </w:r>
            <w:r>
              <w:rPr>
                <w:spacing w:val="-105"/>
                <w:sz w:val="21"/>
              </w:rPr>
              <w:t>）</w:t>
            </w:r>
            <w:r>
              <w:rPr>
                <w:spacing w:val="-8"/>
                <w:sz w:val="21"/>
              </w:rPr>
              <w:t>。自我们收到您解除合同的书面申请时起，本附加险合同即被解除，合同解除前发生的保险事故我们不承担保险责任。</w:t>
            </w:r>
          </w:p>
          <w:p>
            <w:pPr>
              <w:pStyle w:val="TableParagraph"/>
              <w:spacing w:line="273" w:lineRule="auto" w:before="7"/>
              <w:ind w:left="570" w:right="73"/>
              <w:rPr>
                <w:sz w:val="21"/>
              </w:rPr>
            </w:pPr>
            <w:r>
              <w:rPr>
                <w:sz w:val="21"/>
              </w:rPr>
              <w:t>若您同时为自己和配偶投保本附加险，在此期间提出解除本附加险合同的， 必须同时申请解除。</w:t>
            </w:r>
          </w:p>
        </w:tc>
      </w:tr>
      <w:tr>
        <w:trPr>
          <w:trHeight w:val="1963" w:hRule="atLeast"/>
        </w:trPr>
        <w:tc>
          <w:tcPr>
            <w:tcW w:w="695" w:type="dxa"/>
          </w:tcPr>
          <w:p>
            <w:pPr>
              <w:pStyle w:val="TableParagraph"/>
              <w:spacing w:before="128"/>
              <w:ind w:left="108"/>
              <w:rPr>
                <w:b/>
                <w:sz w:val="21"/>
              </w:rPr>
            </w:pPr>
            <w:r>
              <w:rPr>
                <w:b/>
                <w:sz w:val="21"/>
              </w:rPr>
              <w:t>1.6</w:t>
            </w:r>
          </w:p>
        </w:tc>
        <w:tc>
          <w:tcPr>
            <w:tcW w:w="1646" w:type="dxa"/>
          </w:tcPr>
          <w:p>
            <w:pPr>
              <w:pStyle w:val="TableParagraph"/>
              <w:spacing w:before="128"/>
              <w:ind w:left="230"/>
              <w:rPr>
                <w:b/>
                <w:sz w:val="21"/>
              </w:rPr>
            </w:pPr>
            <w:r>
              <w:rPr>
                <w:b/>
                <w:sz w:val="21"/>
              </w:rPr>
              <w:t>保险期间</w:t>
            </w:r>
          </w:p>
        </w:tc>
        <w:tc>
          <w:tcPr>
            <w:tcW w:w="7576" w:type="dxa"/>
          </w:tcPr>
          <w:p>
            <w:pPr>
              <w:pStyle w:val="TableParagraph"/>
              <w:spacing w:before="128"/>
              <w:ind w:left="570"/>
              <w:rPr>
                <w:sz w:val="21"/>
              </w:rPr>
            </w:pPr>
            <w:r>
              <w:rPr>
                <w:sz w:val="21"/>
              </w:rPr>
              <w:t>本附加险合同可附加于主险合同或保险期间超过 1 年的附加险合同。</w:t>
            </w:r>
          </w:p>
          <w:p>
            <w:pPr>
              <w:pStyle w:val="TableParagraph"/>
              <w:spacing w:line="273" w:lineRule="auto" w:before="37"/>
              <w:ind w:left="569" w:right="106"/>
              <w:jc w:val="both"/>
              <w:rPr>
                <w:sz w:val="21"/>
              </w:rPr>
            </w:pPr>
            <w:r>
              <w:rPr>
                <w:spacing w:val="-2"/>
                <w:sz w:val="21"/>
              </w:rPr>
              <w:t>如果主险合同或附加险合同交费期间为终身的，本附加险合同的保险期间需要由您与我们约定并在保险单上载明。</w:t>
            </w:r>
          </w:p>
          <w:p>
            <w:pPr>
              <w:pStyle w:val="TableParagraph"/>
              <w:spacing w:line="312" w:lineRule="exact" w:before="3"/>
              <w:ind w:left="569" w:right="98"/>
              <w:jc w:val="both"/>
              <w:rPr>
                <w:sz w:val="21"/>
              </w:rPr>
            </w:pPr>
            <w:r>
              <w:rPr>
                <w:spacing w:val="-2"/>
                <w:sz w:val="21"/>
              </w:rPr>
              <w:t>如果主险合同或附加险合同交费期间不为终身的，本附加险合同的保险期间</w:t>
            </w:r>
            <w:r>
              <w:rPr>
                <w:spacing w:val="2"/>
                <w:sz w:val="21"/>
              </w:rPr>
              <w:t>自本附加险合同生效日起至主险合同或附加险合同最后一期保险费的约定</w:t>
            </w:r>
            <w:r>
              <w:rPr>
                <w:sz w:val="21"/>
              </w:rPr>
              <w:t>支付日止。</w:t>
            </w:r>
          </w:p>
        </w:tc>
      </w:tr>
    </w:tbl>
    <w:p>
      <w:pPr>
        <w:spacing w:after="0" w:line="312" w:lineRule="exact"/>
        <w:jc w:val="both"/>
        <w:rPr>
          <w:sz w:val="21"/>
        </w:rPr>
        <w:sectPr>
          <w:pgSz w:w="11910" w:h="16840"/>
          <w:pgMar w:top="840" w:bottom="280" w:left="80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2067"/>
        <w:gridCol w:w="7155"/>
      </w:tblGrid>
      <w:tr>
        <w:trPr>
          <w:trHeight w:val="522" w:hRule="atLeast"/>
        </w:trPr>
        <w:tc>
          <w:tcPr>
            <w:tcW w:w="695" w:type="dxa"/>
            <w:tcBorders>
              <w:bottom w:val="single" w:sz="8" w:space="0" w:color="000000"/>
            </w:tcBorders>
          </w:tcPr>
          <w:p>
            <w:pPr>
              <w:pStyle w:val="TableParagraph"/>
              <w:spacing w:line="418" w:lineRule="exact"/>
              <w:ind w:left="108"/>
              <w:rPr>
                <w:rFonts w:ascii="Arial" w:hAnsi="Arial"/>
                <w:b/>
                <w:sz w:val="40"/>
              </w:rPr>
            </w:pPr>
            <w:r>
              <w:rPr>
                <w:rFonts w:ascii="Arial" w:hAnsi="Arial"/>
                <w:b/>
                <w:w w:val="118"/>
                <w:sz w:val="40"/>
              </w:rPr>
              <w:t></w:t>
            </w:r>
          </w:p>
        </w:tc>
        <w:tc>
          <w:tcPr>
            <w:tcW w:w="2067" w:type="dxa"/>
            <w:tcBorders>
              <w:bottom w:val="single" w:sz="8" w:space="0" w:color="000000"/>
            </w:tcBorders>
          </w:tcPr>
          <w:p>
            <w:pPr>
              <w:pStyle w:val="TableParagraph"/>
              <w:spacing w:before="12"/>
              <w:ind w:left="230"/>
              <w:rPr>
                <w:b/>
                <w:sz w:val="24"/>
              </w:rPr>
            </w:pPr>
            <w:r>
              <w:rPr>
                <w:b/>
                <w:w w:val="95"/>
                <w:sz w:val="24"/>
              </w:rPr>
              <w:t>我们提供的保障</w:t>
            </w:r>
          </w:p>
        </w:tc>
        <w:tc>
          <w:tcPr>
            <w:tcW w:w="7155" w:type="dxa"/>
            <w:tcBorders>
              <w:bottom w:val="single" w:sz="8" w:space="0" w:color="000000"/>
            </w:tcBorders>
          </w:tcPr>
          <w:p>
            <w:pPr>
              <w:pStyle w:val="TableParagraph"/>
              <w:rPr>
                <w:rFonts w:ascii="Times New Roman"/>
                <w:sz w:val="20"/>
              </w:rPr>
            </w:pPr>
          </w:p>
        </w:tc>
      </w:tr>
      <w:tr>
        <w:trPr>
          <w:trHeight w:val="716" w:hRule="atLeast"/>
        </w:trPr>
        <w:tc>
          <w:tcPr>
            <w:tcW w:w="695" w:type="dxa"/>
            <w:tcBorders>
              <w:top w:val="single" w:sz="8" w:space="0" w:color="000000"/>
            </w:tcBorders>
          </w:tcPr>
          <w:p>
            <w:pPr>
              <w:pStyle w:val="TableParagraph"/>
              <w:spacing w:before="9"/>
              <w:rPr>
                <w:sz w:val="18"/>
              </w:rPr>
            </w:pPr>
          </w:p>
          <w:p>
            <w:pPr>
              <w:pStyle w:val="TableParagraph"/>
              <w:spacing w:before="1"/>
              <w:ind w:left="108"/>
              <w:rPr>
                <w:b/>
                <w:sz w:val="21"/>
              </w:rPr>
            </w:pPr>
            <w:r>
              <w:rPr>
                <w:b/>
                <w:sz w:val="21"/>
              </w:rPr>
              <w:t>2.1</w:t>
            </w:r>
          </w:p>
        </w:tc>
        <w:tc>
          <w:tcPr>
            <w:tcW w:w="2067" w:type="dxa"/>
            <w:tcBorders>
              <w:top w:val="single" w:sz="8" w:space="0" w:color="000000"/>
            </w:tcBorders>
          </w:tcPr>
          <w:p>
            <w:pPr>
              <w:pStyle w:val="TableParagraph"/>
              <w:spacing w:before="9"/>
              <w:rPr>
                <w:sz w:val="18"/>
              </w:rPr>
            </w:pPr>
          </w:p>
          <w:p>
            <w:pPr>
              <w:pStyle w:val="TableParagraph"/>
              <w:spacing w:before="1"/>
              <w:ind w:left="230"/>
              <w:rPr>
                <w:b/>
                <w:sz w:val="21"/>
              </w:rPr>
            </w:pPr>
            <w:r>
              <w:rPr>
                <w:b/>
                <w:sz w:val="21"/>
              </w:rPr>
              <w:t>保险责任</w:t>
            </w:r>
          </w:p>
        </w:tc>
        <w:tc>
          <w:tcPr>
            <w:tcW w:w="7155" w:type="dxa"/>
            <w:tcBorders>
              <w:top w:val="single" w:sz="8" w:space="0" w:color="000000"/>
            </w:tcBorders>
          </w:tcPr>
          <w:p>
            <w:pPr>
              <w:pStyle w:val="TableParagraph"/>
              <w:spacing w:before="9"/>
              <w:rPr>
                <w:sz w:val="18"/>
              </w:rPr>
            </w:pPr>
          </w:p>
          <w:p>
            <w:pPr>
              <w:pStyle w:val="TableParagraph"/>
              <w:spacing w:before="1"/>
              <w:ind w:left="149"/>
              <w:rPr>
                <w:sz w:val="21"/>
              </w:rPr>
            </w:pPr>
            <w:r>
              <w:rPr>
                <w:sz w:val="21"/>
              </w:rPr>
              <w:t>在本附加险合同保险期间内，我们承担如下保险责任：</w:t>
            </w:r>
          </w:p>
        </w:tc>
      </w:tr>
      <w:tr>
        <w:trPr>
          <w:trHeight w:val="626" w:hRule="atLeast"/>
        </w:trPr>
        <w:tc>
          <w:tcPr>
            <w:tcW w:w="695" w:type="dxa"/>
          </w:tcPr>
          <w:p>
            <w:pPr>
              <w:pStyle w:val="TableParagraph"/>
              <w:rPr>
                <w:rFonts w:ascii="Times New Roman"/>
                <w:sz w:val="20"/>
              </w:rPr>
            </w:pPr>
          </w:p>
        </w:tc>
        <w:tc>
          <w:tcPr>
            <w:tcW w:w="2067" w:type="dxa"/>
          </w:tcPr>
          <w:p>
            <w:pPr>
              <w:pStyle w:val="TableParagraph"/>
              <w:spacing w:before="123"/>
              <w:ind w:left="230"/>
              <w:rPr>
                <w:rFonts w:ascii="等线" w:eastAsia="等线" w:hint="eastAsia"/>
                <w:b/>
                <w:sz w:val="24"/>
              </w:rPr>
            </w:pPr>
            <w:r>
              <w:rPr>
                <w:rFonts w:ascii="等线" w:eastAsia="等线" w:hint="eastAsia"/>
                <w:b/>
                <w:sz w:val="24"/>
              </w:rPr>
              <w:t>身故豁免保险费</w:t>
            </w:r>
          </w:p>
        </w:tc>
        <w:tc>
          <w:tcPr>
            <w:tcW w:w="7155" w:type="dxa"/>
          </w:tcPr>
          <w:p>
            <w:pPr>
              <w:pStyle w:val="TableParagraph"/>
              <w:spacing w:before="124"/>
              <w:ind w:left="149"/>
              <w:rPr>
                <w:sz w:val="21"/>
              </w:rPr>
            </w:pPr>
            <w:r>
              <w:rPr>
                <w:sz w:val="21"/>
              </w:rPr>
              <w:t>被保险人身故，我们免予收取自身故日起保险期间内剩余的各期保险费。</w:t>
            </w:r>
          </w:p>
        </w:tc>
      </w:tr>
      <w:tr>
        <w:trPr>
          <w:trHeight w:val="744" w:hRule="atLeast"/>
        </w:trPr>
        <w:tc>
          <w:tcPr>
            <w:tcW w:w="695" w:type="dxa"/>
          </w:tcPr>
          <w:p>
            <w:pPr>
              <w:pStyle w:val="TableParagraph"/>
              <w:rPr>
                <w:rFonts w:ascii="Times New Roman"/>
                <w:sz w:val="20"/>
              </w:rPr>
            </w:pPr>
          </w:p>
        </w:tc>
        <w:tc>
          <w:tcPr>
            <w:tcW w:w="2067" w:type="dxa"/>
          </w:tcPr>
          <w:p>
            <w:pPr>
              <w:pStyle w:val="TableParagraph"/>
              <w:spacing w:before="102"/>
              <w:ind w:left="230"/>
              <w:rPr>
                <w:rFonts w:ascii="等线" w:eastAsia="等线" w:hint="eastAsia"/>
                <w:b/>
                <w:sz w:val="24"/>
              </w:rPr>
            </w:pPr>
            <w:r>
              <w:rPr>
                <w:rFonts w:ascii="等线" w:eastAsia="等线" w:hint="eastAsia"/>
                <w:b/>
                <w:sz w:val="24"/>
              </w:rPr>
              <w:t>等待期</w:t>
            </w:r>
          </w:p>
        </w:tc>
        <w:tc>
          <w:tcPr>
            <w:tcW w:w="7155" w:type="dxa"/>
          </w:tcPr>
          <w:p>
            <w:pPr>
              <w:pStyle w:val="TableParagraph"/>
              <w:spacing w:line="273" w:lineRule="auto" w:before="103"/>
              <w:ind w:left="149" w:right="104"/>
              <w:rPr>
                <w:sz w:val="21"/>
              </w:rPr>
            </w:pPr>
            <w:r>
              <w:rPr>
                <w:sz w:val="21"/>
                <w:shd w:fill="DADADA" w:color="auto" w:val="clear"/>
              </w:rPr>
              <w:t>从本附加险合同生效（或最后复效）</w:t>
            </w:r>
            <w:r>
              <w:rPr>
                <w:spacing w:val="-5"/>
                <w:sz w:val="21"/>
                <w:shd w:fill="DADADA" w:color="auto" w:val="clear"/>
              </w:rPr>
              <w:t>之日起 </w:t>
            </w:r>
            <w:r>
              <w:rPr>
                <w:sz w:val="21"/>
                <w:shd w:fill="DADADA" w:color="auto" w:val="clear"/>
              </w:rPr>
              <w:t>30</w:t>
            </w:r>
            <w:r>
              <w:rPr>
                <w:spacing w:val="-4"/>
                <w:sz w:val="21"/>
                <w:shd w:fill="DADADA" w:color="auto" w:val="clear"/>
              </w:rPr>
              <w:t> 日内，被保险人因疾病发生</w:t>
            </w:r>
            <w:r>
              <w:rPr>
                <w:spacing w:val="-13"/>
                <w:sz w:val="21"/>
                <w:shd w:fill="DADADA" w:color="auto" w:val="clear"/>
              </w:rPr>
              <w:t>下列情形之一的：</w:t>
            </w:r>
            <w:r>
              <w:rPr>
                <w:spacing w:val="1"/>
                <w:sz w:val="21"/>
                <w:shd w:fill="DADADA" w:color="auto" w:val="clear"/>
              </w:rPr>
              <w:t>（一）</w:t>
            </w:r>
            <w:r>
              <w:rPr>
                <w:spacing w:val="0"/>
                <w:sz w:val="21"/>
                <w:shd w:fill="DADADA" w:color="auto" w:val="clear"/>
              </w:rPr>
              <w:t>本附加险合</w:t>
            </w:r>
            <w:r>
              <w:rPr>
                <w:spacing w:val="-215"/>
                <w:sz w:val="21"/>
                <w:shd w:fill="DADADA" w:color="auto" w:val="clear"/>
              </w:rPr>
              <w:t>同</w:t>
            </w:r>
            <w:r>
              <w:rPr>
                <w:spacing w:val="-21"/>
                <w:sz w:val="21"/>
                <w:shd w:fill="DADADA" w:color="auto" w:val="clear"/>
              </w:rPr>
              <w:t>附表所列的“全残”，</w:t>
            </w:r>
            <w:r>
              <w:rPr>
                <w:spacing w:val="1"/>
                <w:sz w:val="21"/>
                <w:shd w:fill="DADADA" w:color="auto" w:val="clear"/>
              </w:rPr>
              <w:t>（二）</w:t>
            </w:r>
            <w:r>
              <w:rPr>
                <w:sz w:val="21"/>
                <w:shd w:fill="DADADA" w:color="auto" w:val="clear"/>
              </w:rPr>
              <w:t>因导致本</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附加险合同附表所列的“全残”的相关疾病就诊，我们不承担全残豁免保险</w:t>
            </w:r>
          </w:p>
        </w:tc>
      </w:tr>
      <w:tr>
        <w:trPr>
          <w:trHeight w:val="311"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费的责任，退还本附加险合同的现金价值，本附加险合同终止。这 30 日的</w:t>
            </w:r>
          </w:p>
        </w:tc>
      </w:tr>
      <w:tr>
        <w:trPr>
          <w:trHeight w:val="311"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时间称为全残等待期。</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从本附加险合同生效（或最后复效）之日起 90 日内，被保险人因疾病发生</w:t>
            </w:r>
          </w:p>
        </w:tc>
      </w:tr>
      <w:tr>
        <w:trPr>
          <w:trHeight w:val="311"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下列情形之一的</w:t>
            </w:r>
            <w:r>
              <w:rPr>
                <w:spacing w:val="-123"/>
                <w:sz w:val="21"/>
                <w:shd w:fill="DADADA" w:color="auto" w:val="clear"/>
              </w:rPr>
              <w:t>：</w:t>
            </w:r>
            <w:r>
              <w:rPr>
                <w:sz w:val="21"/>
                <w:shd w:fill="DADADA" w:color="auto" w:val="clear"/>
              </w:rPr>
              <w:t>（一</w:t>
            </w:r>
            <w:r>
              <w:rPr>
                <w:spacing w:val="-123"/>
                <w:sz w:val="21"/>
                <w:shd w:fill="DADADA" w:color="auto" w:val="clear"/>
              </w:rPr>
              <w:t>）</w:t>
            </w:r>
            <w:r>
              <w:rPr>
                <w:rFonts w:ascii="黑体" w:hAnsi="黑体" w:eastAsia="黑体" w:hint="eastAsia"/>
                <w:b/>
                <w:spacing w:val="-21"/>
                <w:w w:val="99"/>
                <w:sz w:val="21"/>
                <w:shd w:fill="DADADA" w:color="auto" w:val="clear"/>
              </w:rPr>
              <w:t>“重大疾病”</w:t>
            </w:r>
            <w:r>
              <w:rPr>
                <w:spacing w:val="-2"/>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3</w:t>
            </w:r>
            <w:r>
              <w:rPr>
                <w:spacing w:val="-106"/>
                <w:sz w:val="21"/>
                <w:shd w:fill="DADADA" w:color="auto" w:val="clear"/>
              </w:rPr>
              <w:t>）</w:t>
            </w:r>
            <w:r>
              <w:rPr>
                <w:spacing w:val="-123"/>
                <w:sz w:val="21"/>
                <w:shd w:fill="DADADA" w:color="auto" w:val="clear"/>
              </w:rPr>
              <w:t>，</w:t>
            </w:r>
            <w:r>
              <w:rPr>
                <w:sz w:val="21"/>
                <w:shd w:fill="DADADA" w:color="auto" w:val="clear"/>
              </w:rPr>
              <w:t>（</w:t>
            </w:r>
            <w:r>
              <w:rPr>
                <w:spacing w:val="-2"/>
                <w:sz w:val="21"/>
                <w:shd w:fill="DADADA" w:color="auto" w:val="clear"/>
              </w:rPr>
              <w:t>二</w:t>
            </w:r>
            <w:r>
              <w:rPr>
                <w:spacing w:val="-18"/>
                <w:sz w:val="21"/>
                <w:shd w:fill="DADADA" w:color="auto" w:val="clear"/>
              </w:rPr>
              <w:t>）</w:t>
            </w:r>
            <w:r>
              <w:rPr>
                <w:spacing w:val="-1"/>
                <w:sz w:val="21"/>
                <w:shd w:fill="DADADA" w:color="auto" w:val="clear"/>
              </w:rPr>
              <w:t>因导致“重大疾病”的</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相关疾病就诊，我们不承担重疾豁免保险费的责任，退还本附加险合同的现</w:t>
            </w:r>
          </w:p>
        </w:tc>
      </w:tr>
      <w:tr>
        <w:trPr>
          <w:trHeight w:val="311"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金价值，本附加险合同终止。这 90 日的时间称为重大疾病等待期</w:t>
            </w:r>
            <w:r>
              <w:rPr>
                <w:sz w:val="21"/>
              </w:rPr>
              <w:t>。</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rPr>
              <w:t>被保险人因</w:t>
            </w:r>
            <w:r>
              <w:rPr>
                <w:rFonts w:ascii="黑体" w:eastAsia="黑体" w:hint="eastAsia"/>
                <w:b/>
                <w:sz w:val="21"/>
              </w:rPr>
              <w:t>意外伤害</w:t>
            </w:r>
            <w:r>
              <w:rPr>
                <w:sz w:val="21"/>
              </w:rPr>
              <w:t>（见 9.10）发生上述情形之一的，无等待期。</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pacing w:val="-5"/>
                <w:sz w:val="21"/>
              </w:rPr>
              <w:t>如果在等待期后发生“全残”或者“重大疾病”，我们按照下列方式豁免保</w:t>
            </w:r>
          </w:p>
        </w:tc>
      </w:tr>
      <w:tr>
        <w:trPr>
          <w:trHeight w:val="450"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rPr>
              <w:t>险费：</w:t>
            </w:r>
          </w:p>
        </w:tc>
      </w:tr>
      <w:tr>
        <w:trPr>
          <w:trHeight w:val="762" w:hRule="atLeast"/>
        </w:trPr>
        <w:tc>
          <w:tcPr>
            <w:tcW w:w="695" w:type="dxa"/>
          </w:tcPr>
          <w:p>
            <w:pPr>
              <w:pStyle w:val="TableParagraph"/>
              <w:rPr>
                <w:rFonts w:ascii="Times New Roman"/>
                <w:sz w:val="20"/>
              </w:rPr>
            </w:pPr>
          </w:p>
        </w:tc>
        <w:tc>
          <w:tcPr>
            <w:tcW w:w="2067" w:type="dxa"/>
          </w:tcPr>
          <w:p>
            <w:pPr>
              <w:pStyle w:val="TableParagraph"/>
              <w:spacing w:before="120"/>
              <w:ind w:left="230"/>
              <w:rPr>
                <w:rFonts w:ascii="等线" w:eastAsia="等线" w:hint="eastAsia"/>
                <w:b/>
                <w:sz w:val="24"/>
              </w:rPr>
            </w:pPr>
            <w:r>
              <w:rPr>
                <w:rFonts w:ascii="等线" w:eastAsia="等线" w:hint="eastAsia"/>
                <w:b/>
                <w:sz w:val="24"/>
              </w:rPr>
              <w:t>全残豁免保险费</w:t>
            </w:r>
          </w:p>
        </w:tc>
        <w:tc>
          <w:tcPr>
            <w:tcW w:w="7155" w:type="dxa"/>
          </w:tcPr>
          <w:p>
            <w:pPr>
              <w:pStyle w:val="TableParagraph"/>
              <w:spacing w:line="273" w:lineRule="auto" w:before="121"/>
              <w:ind w:left="149" w:right="50" w:hanging="1"/>
              <w:rPr>
                <w:sz w:val="21"/>
              </w:rPr>
            </w:pPr>
            <w:r>
              <w:rPr>
                <w:sz w:val="21"/>
              </w:rPr>
              <w:t>被保险人因疾病造成本附加险合同附表所列的“全残”的，我们免予收取自全残确定日起保险期间内剩余的各期保险费。</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pacing w:val="-6"/>
                <w:sz w:val="21"/>
              </w:rPr>
              <w:t>被保险人因遭受意外伤害，并自该意外伤害发生之日起 </w:t>
            </w:r>
            <w:r>
              <w:rPr>
                <w:sz w:val="21"/>
              </w:rPr>
              <w:t>180</w:t>
            </w:r>
            <w:r>
              <w:rPr>
                <w:spacing w:val="-8"/>
                <w:sz w:val="21"/>
              </w:rPr>
              <w:t> 日内造成本附加</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rPr>
              <w:t>险合同附表所列的“全残”的，我们免予收取自意外伤害发生日起保险期间</w:t>
            </w:r>
          </w:p>
        </w:tc>
      </w:tr>
      <w:tr>
        <w:trPr>
          <w:trHeight w:val="454"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rPr>
              <w:t>内剩余的各期保险费。</w:t>
            </w:r>
          </w:p>
        </w:tc>
      </w:tr>
      <w:tr>
        <w:trPr>
          <w:trHeight w:val="908" w:hRule="atLeast"/>
        </w:trPr>
        <w:tc>
          <w:tcPr>
            <w:tcW w:w="695" w:type="dxa"/>
          </w:tcPr>
          <w:p>
            <w:pPr>
              <w:pStyle w:val="TableParagraph"/>
              <w:rPr>
                <w:rFonts w:ascii="Times New Roman"/>
                <w:sz w:val="20"/>
              </w:rPr>
            </w:pPr>
          </w:p>
        </w:tc>
        <w:tc>
          <w:tcPr>
            <w:tcW w:w="2067" w:type="dxa"/>
          </w:tcPr>
          <w:p>
            <w:pPr>
              <w:pStyle w:val="TableParagraph"/>
              <w:spacing w:before="124"/>
              <w:ind w:left="230"/>
              <w:rPr>
                <w:rFonts w:ascii="等线" w:eastAsia="等线" w:hint="eastAsia"/>
                <w:b/>
                <w:sz w:val="24"/>
              </w:rPr>
            </w:pPr>
            <w:r>
              <w:rPr>
                <w:rFonts w:ascii="等线" w:eastAsia="等线" w:hint="eastAsia"/>
                <w:b/>
                <w:sz w:val="24"/>
              </w:rPr>
              <w:t>重疾豁免保险费</w:t>
            </w:r>
          </w:p>
        </w:tc>
        <w:tc>
          <w:tcPr>
            <w:tcW w:w="7155" w:type="dxa"/>
          </w:tcPr>
          <w:p>
            <w:pPr>
              <w:pStyle w:val="TableParagraph"/>
              <w:spacing w:line="273" w:lineRule="auto" w:before="125"/>
              <w:ind w:left="149" w:right="107"/>
              <w:rPr>
                <w:sz w:val="21"/>
              </w:rPr>
            </w:pPr>
            <w:r>
              <w:rPr>
                <w:sz w:val="21"/>
              </w:rPr>
              <w:t>被保险人经</w:t>
            </w:r>
            <w:r>
              <w:rPr>
                <w:rFonts w:ascii="黑体" w:hAnsi="黑体" w:eastAsia="黑体" w:hint="eastAsia"/>
                <w:b/>
                <w:spacing w:val="0"/>
                <w:w w:val="99"/>
                <w:sz w:val="21"/>
              </w:rPr>
              <w:t>医院</w:t>
            </w:r>
            <w:r>
              <w:rPr>
                <w:sz w:val="21"/>
              </w:rPr>
              <w:t>（</w:t>
            </w:r>
            <w:r>
              <w:rPr>
                <w:spacing w:val="-18"/>
                <w:sz w:val="21"/>
              </w:rPr>
              <w:t>见 </w:t>
            </w:r>
            <w:r>
              <w:rPr>
                <w:spacing w:val="-1"/>
                <w:sz w:val="21"/>
              </w:rPr>
              <w:t>9</w:t>
            </w:r>
            <w:r>
              <w:rPr>
                <w:sz w:val="21"/>
              </w:rPr>
              <w:t>.</w:t>
            </w:r>
            <w:r>
              <w:rPr>
                <w:spacing w:val="-1"/>
                <w:sz w:val="21"/>
              </w:rPr>
              <w:t>1</w:t>
            </w:r>
            <w:r>
              <w:rPr>
                <w:sz w:val="21"/>
              </w:rPr>
              <w:t>1）</w:t>
            </w:r>
            <w:r>
              <w:rPr>
                <w:spacing w:val="-10"/>
                <w:sz w:val="21"/>
              </w:rPr>
              <w:t>确诊初次发生“重大疾病”，我们免予收取自</w:t>
            </w:r>
            <w:r>
              <w:rPr>
                <w:rFonts w:ascii="黑体" w:hAnsi="黑体" w:eastAsia="黑体" w:hint="eastAsia"/>
                <w:b/>
                <w:w w:val="99"/>
                <w:sz w:val="21"/>
              </w:rPr>
              <w:t>本</w:t>
            </w:r>
            <w:r>
              <w:rPr>
                <w:rFonts w:ascii="黑体" w:hAnsi="黑体" w:eastAsia="黑体" w:hint="eastAsia"/>
                <w:b/>
                <w:sz w:val="21"/>
              </w:rPr>
              <w:t>条款约定确诊日</w:t>
            </w:r>
            <w:r>
              <w:rPr>
                <w:sz w:val="21"/>
              </w:rPr>
              <w:t>（</w:t>
            </w:r>
            <w:r>
              <w:rPr>
                <w:spacing w:val="-30"/>
                <w:sz w:val="21"/>
              </w:rPr>
              <w:t>见 </w:t>
            </w:r>
            <w:r>
              <w:rPr>
                <w:sz w:val="21"/>
              </w:rPr>
              <w:t>9.12）起保险期间内剩余的各期保险费。</w:t>
            </w:r>
          </w:p>
        </w:tc>
      </w:tr>
      <w:tr>
        <w:trPr>
          <w:trHeight w:val="454"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before="125"/>
              <w:ind w:left="149"/>
              <w:rPr>
                <w:sz w:val="21"/>
              </w:rPr>
            </w:pPr>
            <w:r>
              <w:rPr>
                <w:sz w:val="21"/>
              </w:rPr>
              <w:t>本附加险合同所豁免保险费的金额将在保险单上载明，</w:t>
            </w:r>
            <w:r>
              <w:rPr>
                <w:sz w:val="21"/>
                <w:shd w:fill="DADADA" w:color="auto" w:val="clear"/>
              </w:rPr>
              <w:t>所豁免保险费的金额</w:t>
            </w:r>
          </w:p>
        </w:tc>
      </w:tr>
      <w:tr>
        <w:trPr>
          <w:trHeight w:val="468"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不包含保险期间不超过 1 年的附加险的保险费。</w:t>
            </w:r>
          </w:p>
        </w:tc>
      </w:tr>
      <w:tr>
        <w:trPr>
          <w:trHeight w:val="609"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before="139"/>
              <w:ind w:left="149"/>
              <w:rPr>
                <w:sz w:val="21"/>
              </w:rPr>
            </w:pPr>
            <w:r>
              <w:rPr>
                <w:sz w:val="21"/>
              </w:rPr>
              <w:t>已获豁免保险费的保险合同，其权益与正常交费的保险合同相同。</w:t>
            </w:r>
          </w:p>
        </w:tc>
      </w:tr>
      <w:tr>
        <w:trPr>
          <w:trHeight w:val="453" w:hRule="atLeast"/>
        </w:trPr>
        <w:tc>
          <w:tcPr>
            <w:tcW w:w="695" w:type="dxa"/>
          </w:tcPr>
          <w:p>
            <w:pPr>
              <w:pStyle w:val="TableParagraph"/>
              <w:spacing w:before="124"/>
              <w:ind w:left="108"/>
              <w:rPr>
                <w:b/>
                <w:sz w:val="21"/>
              </w:rPr>
            </w:pPr>
            <w:r>
              <w:rPr>
                <w:b/>
                <w:sz w:val="21"/>
              </w:rPr>
              <w:t>2.2</w:t>
            </w:r>
          </w:p>
        </w:tc>
        <w:tc>
          <w:tcPr>
            <w:tcW w:w="2067" w:type="dxa"/>
          </w:tcPr>
          <w:p>
            <w:pPr>
              <w:pStyle w:val="TableParagraph"/>
              <w:spacing w:before="124"/>
              <w:ind w:left="230"/>
              <w:rPr>
                <w:b/>
                <w:sz w:val="21"/>
              </w:rPr>
            </w:pPr>
            <w:r>
              <w:rPr>
                <w:b/>
                <w:sz w:val="21"/>
              </w:rPr>
              <w:t>责任免除</w:t>
            </w:r>
          </w:p>
        </w:tc>
        <w:tc>
          <w:tcPr>
            <w:tcW w:w="7155" w:type="dxa"/>
          </w:tcPr>
          <w:p>
            <w:pPr>
              <w:pStyle w:val="TableParagraph"/>
              <w:spacing w:before="124"/>
              <w:ind w:left="149"/>
              <w:rPr>
                <w:sz w:val="21"/>
              </w:rPr>
            </w:pPr>
            <w:r>
              <w:rPr>
                <w:sz w:val="21"/>
                <w:shd w:fill="DADADA" w:color="auto" w:val="clear"/>
              </w:rPr>
              <w:t>因下列情形之一导致被保险人身故、“全残”或初次发生“重大疾病”的，</w:t>
            </w:r>
          </w:p>
        </w:tc>
      </w:tr>
      <w:tr>
        <w:trPr>
          <w:trHeight w:val="311"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我们不承担豁免保险费的责任：</w:t>
            </w:r>
          </w:p>
        </w:tc>
      </w:tr>
      <w:tr>
        <w:trPr>
          <w:trHeight w:val="31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（1）投保人对被保险人的故意杀害、故意伤害；</w:t>
            </w:r>
          </w:p>
        </w:tc>
      </w:tr>
      <w:tr>
        <w:trPr>
          <w:trHeight w:val="311"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（2）被保险人故意自伤、故意犯罪或者抗拒依法采取的刑事强制措施；</w:t>
            </w:r>
          </w:p>
        </w:tc>
      </w:tr>
      <w:tr>
        <w:trPr>
          <w:trHeight w:val="332" w:hRule="atLeast"/>
        </w:trPr>
        <w:tc>
          <w:tcPr>
            <w:tcW w:w="695"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8" w:lineRule="exact"/>
              <w:ind w:left="149"/>
              <w:rPr>
                <w:sz w:val="21"/>
              </w:rPr>
            </w:pPr>
            <w:r>
              <w:rPr>
                <w:sz w:val="21"/>
                <w:shd w:fill="DADADA" w:color="auto" w:val="clear"/>
              </w:rPr>
              <w:t>（3）被保险人自本附加险合同成立或者合同效力恢复之日起 2 年内自杀，</w:t>
            </w:r>
          </w:p>
        </w:tc>
      </w:tr>
    </w:tbl>
    <w:p>
      <w:pPr>
        <w:pStyle w:val="BodyText"/>
        <w:spacing w:line="237" w:lineRule="exact"/>
        <w:ind w:left="3550"/>
      </w:pPr>
      <w:r>
        <w:rPr>
          <w:shd w:fill="DADADA" w:color="auto" w:val="clear"/>
        </w:rPr>
        <w:t>但被保险人自杀时为无民事行为能力人的除外；</w:t>
      </w:r>
    </w:p>
    <w:p>
      <w:pPr>
        <w:pStyle w:val="BodyText"/>
        <w:spacing w:before="37"/>
        <w:ind w:left="3024"/>
      </w:pPr>
      <w:r>
        <w:rPr>
          <w:shd w:fill="DADADA" w:color="auto" w:val="clear"/>
        </w:rPr>
        <w:t>（4）</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3</w:t>
      </w:r>
      <w:r>
        <w:rPr>
          <w:spacing w:val="-105"/>
          <w:shd w:fill="DADADA" w:color="auto" w:val="clear"/>
        </w:rPr>
        <w:t>）</w:t>
      </w:r>
      <w:r>
        <w:rPr>
          <w:shd w:fill="DADADA" w:color="auto" w:val="clear"/>
        </w:rPr>
        <w:t>；</w:t>
      </w:r>
    </w:p>
    <w:p>
      <w:pPr>
        <w:spacing w:before="37"/>
        <w:ind w:left="302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14</w:t>
      </w:r>
      <w:r>
        <w:rPr>
          <w:spacing w:val="-2"/>
          <w:sz w:val="21"/>
          <w:shd w:fill="DADADA" w:color="auto" w:val="clear"/>
        </w:rPr>
        <w:t>）</w:t>
      </w:r>
      <w:r>
        <w:rPr>
          <w:rFonts w:ascii="黑体" w:eastAsia="黑体" w:hint="eastAsia"/>
          <w:b/>
          <w:spacing w:val="0"/>
          <w:w w:val="99"/>
          <w:sz w:val="21"/>
          <w:shd w:fill="DADADA" w:color="auto" w:val="clear"/>
        </w:rPr>
        <w:t>机动车</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w:t>
      </w:r>
      <w:r>
        <w:rPr>
          <w:spacing w:val="-105"/>
          <w:sz w:val="21"/>
          <w:shd w:fill="DADADA" w:color="auto" w:val="clear"/>
        </w:rPr>
        <w:t>）</w:t>
      </w:r>
      <w:r>
        <w:rPr>
          <w:sz w:val="21"/>
          <w:shd w:fill="DADADA" w:color="auto" w:val="clear"/>
        </w:rPr>
        <w:t>；</w:t>
      </w:r>
    </w:p>
    <w:p>
      <w:pPr>
        <w:spacing w:before="37"/>
        <w:ind w:left="3024" w:right="0" w:firstLine="0"/>
        <w:jc w:val="left"/>
        <w:rPr>
          <w:sz w:val="21"/>
        </w:rPr>
      </w:pPr>
      <w:r>
        <w:rPr>
          <w:sz w:val="21"/>
          <w:shd w:fill="DADADA" w:color="auto" w:val="clear"/>
        </w:rPr>
        <w:t>（6）</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pacing w:val="-2"/>
          <w:sz w:val="21"/>
          <w:shd w:fill="DADADA" w:color="auto" w:val="clear"/>
        </w:rPr>
        <w:t>；</w:t>
      </w:r>
    </w:p>
    <w:p>
      <w:pPr>
        <w:pStyle w:val="BodyText"/>
        <w:spacing w:before="37"/>
        <w:ind w:left="3024"/>
      </w:pPr>
      <w:r>
        <w:rPr>
          <w:shd w:fill="DADADA" w:color="auto" w:val="clear"/>
        </w:rPr>
        <w:t>（7）战争、军事冲突、暴乱或武装叛乱；</w:t>
      </w:r>
    </w:p>
    <w:p>
      <w:pPr>
        <w:pStyle w:val="BodyText"/>
        <w:spacing w:before="37"/>
        <w:ind w:left="3024"/>
      </w:pPr>
      <w:r>
        <w:rPr>
          <w:shd w:fill="DADADA" w:color="auto" w:val="clear"/>
        </w:rPr>
        <w:t>（8）核爆炸、核辐射或核污染；</w:t>
      </w:r>
    </w:p>
    <w:p>
      <w:pPr>
        <w:spacing w:line="273" w:lineRule="auto" w:before="37"/>
        <w:ind w:left="3024" w:right="280" w:firstLine="0"/>
        <w:jc w:val="left"/>
        <w:rPr>
          <w:sz w:val="21"/>
        </w:rPr>
      </w:pPr>
      <w:r>
        <w:rPr>
          <w:sz w:val="21"/>
          <w:shd w:fill="DADADA" w:color="auto" w:val="clear"/>
        </w:rPr>
        <w:t>（9）</w:t>
      </w:r>
      <w:r>
        <w:rPr>
          <w:rFonts w:ascii="黑体" w:eastAsia="黑体" w:hint="eastAsia"/>
          <w:b/>
          <w:w w:val="99"/>
          <w:sz w:val="21"/>
          <w:shd w:fill="DADADA" w:color="auto" w:val="clear"/>
        </w:rPr>
        <w:t>遗传性疾病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7</w:t>
      </w:r>
      <w:r>
        <w:rPr>
          <w:spacing w:val="-105"/>
          <w:sz w:val="21"/>
          <w:shd w:fill="DADADA" w:color="auto" w:val="clear"/>
        </w:rPr>
        <w:t>）</w:t>
      </w:r>
      <w:r>
        <w:rPr>
          <w:spacing w:val="-1"/>
          <w:sz w:val="21"/>
          <w:shd w:fill="DADADA" w:color="auto" w:val="clear"/>
        </w:rPr>
        <w:t>，</w:t>
      </w:r>
      <w:r>
        <w:rPr>
          <w:rFonts w:ascii="黑体" w:eastAsia="黑体" w:hint="eastAsia"/>
          <w:b/>
          <w:w w:val="99"/>
          <w:sz w:val="21"/>
          <w:shd w:fill="DADADA" w:color="auto" w:val="clear"/>
        </w:rPr>
        <w:t>先天性畸形、变形或染色体异常</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8</w:t>
      </w:r>
      <w:r>
        <w:rPr>
          <w:spacing w:val="-106"/>
          <w:sz w:val="21"/>
          <w:shd w:fill="DADADA" w:color="auto" w:val="clear"/>
        </w:rPr>
        <w:t>）。</w:t>
      </w:r>
      <w:r>
        <w:rPr>
          <w:sz w:val="21"/>
          <w:shd w:fill="DADADA" w:color="auto" w:val="clear"/>
        </w:rPr>
        <w:t>发生上述情形，本附加险合同终止，我们退还本附加险合同的现金价值。</w:t>
      </w:r>
    </w:p>
    <w:p>
      <w:pPr>
        <w:spacing w:after="0" w:line="273" w:lineRule="auto"/>
        <w:jc w:val="left"/>
        <w:rPr>
          <w:sz w:val="21"/>
        </w:rPr>
        <w:sectPr>
          <w:pgSz w:w="11910" w:h="16840"/>
          <w:pgMar w:top="1220" w:bottom="280" w:left="80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962"/>
        <w:gridCol w:w="7261"/>
      </w:tblGrid>
      <w:tr>
        <w:trPr>
          <w:trHeight w:val="522" w:hRule="atLeast"/>
        </w:trPr>
        <w:tc>
          <w:tcPr>
            <w:tcW w:w="695" w:type="dxa"/>
            <w:tcBorders>
              <w:bottom w:val="single" w:sz="8" w:space="0" w:color="000000"/>
            </w:tcBorders>
          </w:tcPr>
          <w:p>
            <w:pPr>
              <w:pStyle w:val="TableParagraph"/>
              <w:spacing w:line="418" w:lineRule="exact"/>
              <w:ind w:left="108"/>
              <w:rPr>
                <w:rFonts w:ascii="Arial" w:hAnsi="Arial"/>
                <w:b/>
                <w:sz w:val="40"/>
              </w:rPr>
            </w:pPr>
            <w:r>
              <w:rPr>
                <w:rFonts w:ascii="Arial" w:hAnsi="Arial"/>
                <w:b/>
                <w:w w:val="118"/>
                <w:sz w:val="40"/>
              </w:rPr>
              <w:t></w:t>
            </w:r>
          </w:p>
        </w:tc>
        <w:tc>
          <w:tcPr>
            <w:tcW w:w="9223" w:type="dxa"/>
            <w:gridSpan w:val="2"/>
            <w:tcBorders>
              <w:bottom w:val="single" w:sz="8" w:space="0" w:color="000000"/>
            </w:tcBorders>
          </w:tcPr>
          <w:p>
            <w:pPr>
              <w:pStyle w:val="TableParagraph"/>
              <w:spacing w:before="12"/>
              <w:ind w:left="230"/>
              <w:rPr>
                <w:b/>
                <w:sz w:val="24"/>
              </w:rPr>
            </w:pPr>
            <w:r>
              <w:rPr>
                <w:b/>
                <w:w w:val="95"/>
                <w:sz w:val="24"/>
              </w:rPr>
              <w:t>如何申请豁免保险费</w:t>
            </w:r>
          </w:p>
        </w:tc>
      </w:tr>
      <w:tr>
        <w:trPr>
          <w:trHeight w:val="5397" w:hRule="atLeast"/>
        </w:trPr>
        <w:tc>
          <w:tcPr>
            <w:tcW w:w="695" w:type="dxa"/>
            <w:tcBorders>
              <w:top w:val="single" w:sz="8" w:space="0" w:color="000000"/>
            </w:tcBorders>
          </w:tcPr>
          <w:p>
            <w:pPr>
              <w:pStyle w:val="TableParagraph"/>
              <w:spacing w:before="11"/>
              <w:rPr>
                <w:sz w:val="18"/>
              </w:rPr>
            </w:pPr>
          </w:p>
          <w:p>
            <w:pPr>
              <w:pStyle w:val="TableParagraph"/>
              <w:ind w:left="108"/>
              <w:rPr>
                <w:b/>
                <w:sz w:val="21"/>
              </w:rPr>
            </w:pPr>
            <w:r>
              <w:rPr>
                <w:b/>
                <w:sz w:val="21"/>
              </w:rPr>
              <w:t>3.1</w:t>
            </w:r>
          </w:p>
        </w:tc>
        <w:tc>
          <w:tcPr>
            <w:tcW w:w="1962" w:type="dxa"/>
            <w:tcBorders>
              <w:top w:val="single" w:sz="8" w:space="0" w:color="000000"/>
            </w:tcBorders>
          </w:tcPr>
          <w:p>
            <w:pPr>
              <w:pStyle w:val="TableParagraph"/>
              <w:spacing w:before="11"/>
              <w:rPr>
                <w:sz w:val="18"/>
              </w:rPr>
            </w:pPr>
          </w:p>
          <w:p>
            <w:pPr>
              <w:pStyle w:val="TableParagraph"/>
              <w:ind w:left="230"/>
              <w:rPr>
                <w:b/>
                <w:sz w:val="21"/>
              </w:rPr>
            </w:pPr>
            <w:r>
              <w:rPr>
                <w:b/>
                <w:w w:val="95"/>
                <w:sz w:val="21"/>
              </w:rPr>
              <w:t>豁免保险费申请</w:t>
            </w:r>
          </w:p>
        </w:tc>
        <w:tc>
          <w:tcPr>
            <w:tcW w:w="7261" w:type="dxa"/>
            <w:tcBorders>
              <w:top w:val="single" w:sz="8" w:space="0" w:color="000000"/>
            </w:tcBorders>
          </w:tcPr>
          <w:p>
            <w:pPr>
              <w:pStyle w:val="TableParagraph"/>
              <w:spacing w:before="11"/>
              <w:rPr>
                <w:sz w:val="18"/>
              </w:rPr>
            </w:pPr>
          </w:p>
          <w:p>
            <w:pPr>
              <w:pStyle w:val="TableParagraph"/>
              <w:ind w:left="254"/>
              <w:rPr>
                <w:sz w:val="21"/>
              </w:rPr>
            </w:pPr>
            <w:r>
              <w:rPr>
                <w:sz w:val="21"/>
              </w:rPr>
              <w:t>在申请豁免保险费时，请按照下列方式办理：</w:t>
            </w:r>
          </w:p>
          <w:p>
            <w:pPr>
              <w:pStyle w:val="TableParagraph"/>
              <w:spacing w:line="273" w:lineRule="auto" w:before="37"/>
              <w:ind w:left="254" w:right="51"/>
              <w:rPr>
                <w:sz w:val="21"/>
              </w:rPr>
            </w:pPr>
            <w:r>
              <w:rPr>
                <w:sz w:val="21"/>
              </w:rPr>
              <w:t>由您或主险合同的被保险人、受益人填写豁免保险费申请书，并提供下列证明和资料：</w:t>
            </w:r>
          </w:p>
          <w:p>
            <w:pPr>
              <w:pStyle w:val="TableParagraph"/>
              <w:spacing w:before="7"/>
              <w:ind w:left="254"/>
              <w:rPr>
                <w:sz w:val="21"/>
              </w:rPr>
            </w:pPr>
            <w:r>
              <w:rPr>
                <w:sz w:val="21"/>
              </w:rPr>
              <w:t>（1）保险合同；</w:t>
            </w:r>
          </w:p>
          <w:p>
            <w:pPr>
              <w:pStyle w:val="TableParagraph"/>
              <w:spacing w:before="36"/>
              <w:ind w:left="254"/>
              <w:rPr>
                <w:sz w:val="21"/>
              </w:rPr>
            </w:pPr>
            <w:r>
              <w:rPr>
                <w:sz w:val="21"/>
              </w:rPr>
              <w:t>（2）申请人的有效身份证件；</w:t>
            </w:r>
          </w:p>
          <w:p>
            <w:pPr>
              <w:pStyle w:val="TableParagraph"/>
              <w:spacing w:line="273" w:lineRule="auto" w:before="36"/>
              <w:ind w:left="794" w:right="107" w:hanging="52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273" w:lineRule="auto" w:before="7"/>
              <w:ind w:left="758" w:right="107" w:hanging="504"/>
              <w:jc w:val="both"/>
              <w:rPr>
                <w:sz w:val="21"/>
              </w:rPr>
            </w:pPr>
            <w:r>
              <w:rPr>
                <w:sz w:val="21"/>
              </w:rPr>
              <w:t>（4）因被保险人全残要求豁免保险费的，须提供由双方认可的医疗机构或有资质的鉴定机构根据本附加险合同附表出具的被保险人全残程度的资料或身体全残程度鉴定书；</w:t>
            </w:r>
          </w:p>
          <w:p>
            <w:pPr>
              <w:pStyle w:val="TableParagraph"/>
              <w:spacing w:line="273" w:lineRule="auto" w:before="7"/>
              <w:ind w:left="757" w:right="109" w:hanging="504"/>
              <w:rPr>
                <w:sz w:val="21"/>
              </w:rPr>
            </w:pPr>
            <w:r>
              <w:rPr>
                <w:sz w:val="21"/>
              </w:rPr>
              <w:t>（5）因被保险人重疾要求豁免保险费的，须提供由医院出具的附有病理显微镜检查、血液检验及其他科学方法检验报告的疾病诊断证明书；</w:t>
            </w:r>
          </w:p>
          <w:p>
            <w:pPr>
              <w:pStyle w:val="TableParagraph"/>
              <w:spacing w:line="273" w:lineRule="auto" w:before="7"/>
              <w:ind w:left="757" w:right="110" w:hanging="504"/>
              <w:rPr>
                <w:sz w:val="21"/>
              </w:rPr>
            </w:pPr>
            <w:r>
              <w:rPr>
                <w:sz w:val="21"/>
              </w:rPr>
              <w:t>（6）所能提供的与确认保险事故的性质、原因、伤害程度等有关的其他证明和资料。</w:t>
            </w:r>
          </w:p>
          <w:p>
            <w:pPr>
              <w:pStyle w:val="TableParagraph"/>
              <w:spacing w:line="273" w:lineRule="auto" w:before="7"/>
              <w:ind w:left="253" w:right="52"/>
              <w:rPr>
                <w:sz w:val="21"/>
              </w:rPr>
            </w:pPr>
            <w:r>
              <w:rPr>
                <w:sz w:val="21"/>
              </w:rPr>
              <w:t>以上证明和资料不完整的，我们将一次性通知申请人补充提供有关证明和资料。</w:t>
            </w:r>
          </w:p>
        </w:tc>
      </w:tr>
      <w:tr>
        <w:trPr>
          <w:trHeight w:val="3715" w:hRule="atLeast"/>
        </w:trPr>
        <w:tc>
          <w:tcPr>
            <w:tcW w:w="695" w:type="dxa"/>
          </w:tcPr>
          <w:p>
            <w:pPr>
              <w:pStyle w:val="TableParagraph"/>
              <w:spacing w:before="124"/>
              <w:ind w:left="108"/>
              <w:rPr>
                <w:b/>
                <w:sz w:val="21"/>
              </w:rPr>
            </w:pPr>
            <w:r>
              <w:rPr>
                <w:b/>
                <w:sz w:val="21"/>
              </w:rPr>
              <w:t>3.2</w:t>
            </w:r>
          </w:p>
        </w:tc>
        <w:tc>
          <w:tcPr>
            <w:tcW w:w="1962" w:type="dxa"/>
          </w:tcPr>
          <w:p>
            <w:pPr>
              <w:pStyle w:val="TableParagraph"/>
              <w:spacing w:before="124"/>
              <w:ind w:left="230"/>
              <w:rPr>
                <w:b/>
                <w:sz w:val="21"/>
              </w:rPr>
            </w:pPr>
            <w:r>
              <w:rPr>
                <w:b/>
                <w:w w:val="95"/>
                <w:sz w:val="21"/>
              </w:rPr>
              <w:t>保险费的豁免</w:t>
            </w:r>
          </w:p>
        </w:tc>
        <w:tc>
          <w:tcPr>
            <w:tcW w:w="7261" w:type="dxa"/>
          </w:tcPr>
          <w:p>
            <w:pPr>
              <w:pStyle w:val="TableParagraph"/>
              <w:spacing w:before="124"/>
              <w:ind w:left="254"/>
              <w:rPr>
                <w:sz w:val="21"/>
              </w:rPr>
            </w:pPr>
            <w:r>
              <w:rPr>
                <w:spacing w:val="-4"/>
                <w:sz w:val="21"/>
              </w:rPr>
              <w:t>我们在收到豁免保险费申请书及上述有关证明和资料后，将在 </w:t>
            </w:r>
            <w:r>
              <w:rPr>
                <w:sz w:val="21"/>
              </w:rPr>
              <w:t>5</w:t>
            </w:r>
            <w:r>
              <w:rPr>
                <w:spacing w:val="-10"/>
                <w:sz w:val="21"/>
              </w:rPr>
              <w:t> 日内作出核</w:t>
            </w:r>
          </w:p>
          <w:p>
            <w:pPr>
              <w:pStyle w:val="TableParagraph"/>
              <w:spacing w:before="37"/>
              <w:ind w:left="254"/>
              <w:rPr>
                <w:sz w:val="21"/>
              </w:rPr>
            </w:pPr>
            <w:r>
              <w:rPr>
                <w:sz w:val="21"/>
              </w:rPr>
              <w:t>定；情形复杂的，在 30 日内作出核定。</w:t>
            </w:r>
          </w:p>
          <w:p>
            <w:pPr>
              <w:pStyle w:val="TableParagraph"/>
              <w:spacing w:line="273" w:lineRule="auto" w:before="37"/>
              <w:ind w:left="253" w:right="2"/>
              <w:rPr>
                <w:sz w:val="21"/>
              </w:rPr>
            </w:pPr>
            <w:r>
              <w:rPr>
                <w:spacing w:val="-6"/>
                <w:sz w:val="21"/>
              </w:rPr>
              <w:t>对属于保险责任的，我们在与申请人达成有关豁免保险费的协议后 </w:t>
            </w:r>
            <w:r>
              <w:rPr>
                <w:sz w:val="21"/>
              </w:rPr>
              <w:t>10</w:t>
            </w:r>
            <w:r>
              <w:rPr>
                <w:spacing w:val="-14"/>
                <w:sz w:val="21"/>
              </w:rPr>
              <w:t> 日内， </w:t>
            </w:r>
            <w:r>
              <w:rPr>
                <w:spacing w:val="-13"/>
                <w:sz w:val="21"/>
              </w:rPr>
              <w:t>履行豁免保险费义务；若我们在收到豁免保险费申请书及上述有关证明和资</w:t>
            </w:r>
            <w:r>
              <w:rPr>
                <w:spacing w:val="-24"/>
                <w:sz w:val="21"/>
              </w:rPr>
              <w:t>料后第 </w:t>
            </w:r>
            <w:r>
              <w:rPr>
                <w:sz w:val="21"/>
              </w:rPr>
              <w:t>30</w:t>
            </w:r>
            <w:r>
              <w:rPr>
                <w:spacing w:val="-12"/>
                <w:sz w:val="21"/>
              </w:rPr>
              <w:t> 日仍未作出核定，除豁免保险费外，我们将从第 </w:t>
            </w:r>
            <w:r>
              <w:rPr>
                <w:sz w:val="21"/>
              </w:rPr>
              <w:t>31</w:t>
            </w:r>
            <w:r>
              <w:rPr>
                <w:spacing w:val="-9"/>
                <w:sz w:val="21"/>
              </w:rPr>
              <w:t> 日起按超过天数赔偿申请人因此受到的利息损失。利息按照我们公示的利率按单利计算， </w:t>
            </w:r>
            <w:r>
              <w:rPr>
                <w:spacing w:val="2"/>
                <w:sz w:val="21"/>
              </w:rPr>
              <w:t>且保证该利率不低于中国人民银行公布的同期金融机构人民币活期存款基</w:t>
            </w:r>
            <w:r>
              <w:rPr>
                <w:spacing w:val="-5"/>
                <w:sz w:val="21"/>
              </w:rPr>
              <w:t>准利率。若我们要求投保人、被保险人或者受益人补充提供有关证明和资料</w:t>
            </w:r>
            <w:r>
              <w:rPr>
                <w:spacing w:val="-13"/>
                <w:sz w:val="21"/>
              </w:rPr>
              <w:t>的，则上述的 </w:t>
            </w:r>
            <w:r>
              <w:rPr>
                <w:rFonts w:ascii="Times New Roman" w:eastAsia="Times New Roman"/>
                <w:sz w:val="21"/>
              </w:rPr>
              <w:t>30 </w:t>
            </w:r>
            <w:r>
              <w:rPr>
                <w:sz w:val="21"/>
              </w:rPr>
              <w:t>日不包括补充提供有关证明和资料的期间。</w:t>
            </w:r>
          </w:p>
          <w:p>
            <w:pPr>
              <w:pStyle w:val="TableParagraph"/>
              <w:spacing w:line="273" w:lineRule="auto"/>
              <w:ind w:left="253" w:right="107"/>
              <w:rPr>
                <w:sz w:val="21"/>
              </w:rPr>
            </w:pPr>
            <w:r>
              <w:rPr>
                <w:spacing w:val="-7"/>
                <w:sz w:val="21"/>
              </w:rPr>
              <w:t>对不属于保险责任的，我们自作出核定之日起 </w:t>
            </w:r>
            <w:r>
              <w:rPr>
                <w:sz w:val="21"/>
              </w:rPr>
              <w:t>3</w:t>
            </w:r>
            <w:r>
              <w:rPr>
                <w:spacing w:val="-8"/>
                <w:sz w:val="21"/>
              </w:rPr>
              <w:t> 日内向申请人发出拒绝豁免保险费通知书并说明理由。</w:t>
            </w:r>
          </w:p>
        </w:tc>
      </w:tr>
      <w:tr>
        <w:trPr>
          <w:trHeight w:val="2156" w:hRule="atLeast"/>
        </w:trPr>
        <w:tc>
          <w:tcPr>
            <w:tcW w:w="695" w:type="dxa"/>
          </w:tcPr>
          <w:p>
            <w:pPr>
              <w:pStyle w:val="TableParagraph"/>
              <w:spacing w:before="125"/>
              <w:ind w:left="108"/>
              <w:rPr>
                <w:b/>
                <w:sz w:val="21"/>
              </w:rPr>
            </w:pPr>
            <w:r>
              <w:rPr>
                <w:b/>
                <w:sz w:val="21"/>
              </w:rPr>
              <w:t>3.3</w:t>
            </w:r>
          </w:p>
        </w:tc>
        <w:tc>
          <w:tcPr>
            <w:tcW w:w="1962" w:type="dxa"/>
          </w:tcPr>
          <w:p>
            <w:pPr>
              <w:pStyle w:val="TableParagraph"/>
              <w:spacing w:before="125"/>
              <w:ind w:left="230"/>
              <w:rPr>
                <w:b/>
                <w:sz w:val="21"/>
              </w:rPr>
            </w:pPr>
            <w:r>
              <w:rPr>
                <w:b/>
                <w:w w:val="95"/>
                <w:sz w:val="21"/>
              </w:rPr>
              <w:t>宣告死亡处理</w:t>
            </w:r>
          </w:p>
        </w:tc>
        <w:tc>
          <w:tcPr>
            <w:tcW w:w="7261" w:type="dxa"/>
          </w:tcPr>
          <w:p>
            <w:pPr>
              <w:pStyle w:val="TableParagraph"/>
              <w:spacing w:line="273" w:lineRule="auto" w:before="125"/>
              <w:ind w:left="254" w:right="106"/>
              <w:jc w:val="both"/>
              <w:rPr>
                <w:sz w:val="21"/>
              </w:rPr>
            </w:pPr>
            <w:r>
              <w:rPr>
                <w:spacing w:val="-3"/>
                <w:sz w:val="21"/>
              </w:rPr>
              <w:t>在本附加险合同保险期间内，如果被保险人失踪且被法院宣告死亡，我们以</w:t>
            </w:r>
            <w:r>
              <w:rPr>
                <w:spacing w:val="-5"/>
                <w:sz w:val="21"/>
              </w:rPr>
              <w:t>法院判决宣告死亡之日作为被保险人的死亡时间，按本附加险合同的约定履行豁免保险费义务。</w:t>
            </w:r>
          </w:p>
          <w:p>
            <w:pPr>
              <w:pStyle w:val="TableParagraph"/>
              <w:spacing w:line="273" w:lineRule="auto" w:before="8"/>
              <w:ind w:left="254" w:right="107"/>
              <w:jc w:val="both"/>
              <w:rPr>
                <w:sz w:val="21"/>
              </w:rPr>
            </w:pPr>
            <w:r>
              <w:rPr>
                <w:spacing w:val="-2"/>
                <w:sz w:val="21"/>
              </w:rPr>
              <w:t>如果被保险人在宣告死亡后重新出现或者申请人确知其没有死亡的，申请人</w:t>
            </w:r>
            <w:r>
              <w:rPr>
                <w:spacing w:val="-5"/>
                <w:sz w:val="21"/>
              </w:rPr>
              <w:t>应于知道后 </w:t>
            </w:r>
            <w:r>
              <w:rPr>
                <w:sz w:val="21"/>
              </w:rPr>
              <w:t>30</w:t>
            </w:r>
            <w:r>
              <w:rPr>
                <w:spacing w:val="-4"/>
                <w:sz w:val="21"/>
              </w:rPr>
              <w:t> 日内向我们退还已豁免的保险费，本附加险合同的效力依法确定。</w:t>
            </w:r>
          </w:p>
        </w:tc>
      </w:tr>
      <w:tr>
        <w:trPr>
          <w:trHeight w:val="933" w:hRule="atLeast"/>
        </w:trPr>
        <w:tc>
          <w:tcPr>
            <w:tcW w:w="695" w:type="dxa"/>
          </w:tcPr>
          <w:p>
            <w:pPr>
              <w:pStyle w:val="TableParagraph"/>
              <w:spacing w:before="125"/>
              <w:ind w:left="108"/>
              <w:rPr>
                <w:b/>
                <w:sz w:val="21"/>
              </w:rPr>
            </w:pPr>
            <w:r>
              <w:rPr>
                <w:b/>
                <w:sz w:val="21"/>
              </w:rPr>
              <w:t>3.4</w:t>
            </w:r>
          </w:p>
        </w:tc>
        <w:tc>
          <w:tcPr>
            <w:tcW w:w="1962" w:type="dxa"/>
          </w:tcPr>
          <w:p>
            <w:pPr>
              <w:pStyle w:val="TableParagraph"/>
              <w:spacing w:before="125"/>
              <w:ind w:left="230"/>
              <w:rPr>
                <w:b/>
                <w:sz w:val="21"/>
              </w:rPr>
            </w:pPr>
            <w:r>
              <w:rPr>
                <w:b/>
                <w:sz w:val="21"/>
              </w:rPr>
              <w:t>诉讼时效</w:t>
            </w:r>
          </w:p>
        </w:tc>
        <w:tc>
          <w:tcPr>
            <w:tcW w:w="7261" w:type="dxa"/>
          </w:tcPr>
          <w:p>
            <w:pPr>
              <w:pStyle w:val="TableParagraph"/>
              <w:spacing w:line="273" w:lineRule="auto" w:before="125"/>
              <w:ind w:left="254" w:right="107"/>
              <w:rPr>
                <w:sz w:val="21"/>
              </w:rPr>
            </w:pPr>
            <w:r>
              <w:rPr>
                <w:spacing w:val="-3"/>
                <w:sz w:val="21"/>
              </w:rPr>
              <w:t>申请人向我们请求豁免保险费的诉讼时效期间为 </w:t>
            </w:r>
            <w:r>
              <w:rPr>
                <w:sz w:val="21"/>
              </w:rPr>
              <w:t>2</w:t>
            </w:r>
            <w:r>
              <w:rPr>
                <w:spacing w:val="-10"/>
                <w:sz w:val="21"/>
              </w:rPr>
              <w:t> 年，自其知道或者应当知道保险事故发生之日起计算。</w:t>
            </w:r>
          </w:p>
        </w:tc>
      </w:tr>
      <w:tr>
        <w:trPr>
          <w:trHeight w:val="740" w:hRule="atLeast"/>
        </w:trPr>
        <w:tc>
          <w:tcPr>
            <w:tcW w:w="695" w:type="dxa"/>
            <w:tcBorders>
              <w:bottom w:val="single" w:sz="8" w:space="0" w:color="000000"/>
            </w:tcBorders>
          </w:tcPr>
          <w:p>
            <w:pPr>
              <w:pStyle w:val="TableParagraph"/>
              <w:spacing w:before="176"/>
              <w:ind w:left="108"/>
              <w:rPr>
                <w:rFonts w:ascii="Arial" w:hAnsi="Arial"/>
                <w:b/>
                <w:sz w:val="40"/>
              </w:rPr>
            </w:pPr>
            <w:r>
              <w:rPr>
                <w:rFonts w:ascii="Arial" w:hAnsi="Arial"/>
                <w:b/>
                <w:w w:val="118"/>
                <w:sz w:val="40"/>
              </w:rPr>
              <w:t></w:t>
            </w:r>
          </w:p>
        </w:tc>
        <w:tc>
          <w:tcPr>
            <w:tcW w:w="1962" w:type="dxa"/>
            <w:tcBorders>
              <w:bottom w:val="single" w:sz="8" w:space="0" w:color="000000"/>
            </w:tcBorders>
          </w:tcPr>
          <w:p>
            <w:pPr>
              <w:pStyle w:val="TableParagraph"/>
              <w:spacing w:before="8"/>
              <w:rPr>
                <w:sz w:val="17"/>
              </w:rPr>
            </w:pPr>
          </w:p>
          <w:p>
            <w:pPr>
              <w:pStyle w:val="TableParagraph"/>
              <w:ind w:left="230"/>
              <w:rPr>
                <w:b/>
                <w:sz w:val="24"/>
              </w:rPr>
            </w:pPr>
            <w:r>
              <w:rPr>
                <w:b/>
                <w:w w:val="95"/>
                <w:sz w:val="24"/>
              </w:rPr>
              <w:t>如何支付保险费</w:t>
            </w:r>
          </w:p>
        </w:tc>
        <w:tc>
          <w:tcPr>
            <w:tcW w:w="7261" w:type="dxa"/>
            <w:tcBorders>
              <w:bottom w:val="single" w:sz="8" w:space="0" w:color="000000"/>
            </w:tcBorders>
          </w:tcPr>
          <w:p>
            <w:pPr>
              <w:pStyle w:val="TableParagraph"/>
              <w:rPr>
                <w:rFonts w:ascii="Times New Roman"/>
                <w:sz w:val="20"/>
              </w:rPr>
            </w:pPr>
          </w:p>
        </w:tc>
      </w:tr>
      <w:tr>
        <w:trPr>
          <w:trHeight w:val="836" w:hRule="atLeast"/>
        </w:trPr>
        <w:tc>
          <w:tcPr>
            <w:tcW w:w="695" w:type="dxa"/>
            <w:tcBorders>
              <w:top w:val="single" w:sz="8" w:space="0" w:color="000000"/>
            </w:tcBorders>
          </w:tcPr>
          <w:p>
            <w:pPr>
              <w:pStyle w:val="TableParagraph"/>
              <w:spacing w:before="11"/>
              <w:rPr>
                <w:sz w:val="18"/>
              </w:rPr>
            </w:pPr>
          </w:p>
          <w:p>
            <w:pPr>
              <w:pStyle w:val="TableParagraph"/>
              <w:ind w:left="108"/>
              <w:rPr>
                <w:b/>
                <w:sz w:val="21"/>
              </w:rPr>
            </w:pPr>
            <w:r>
              <w:rPr>
                <w:b/>
                <w:sz w:val="21"/>
              </w:rPr>
              <w:t>4.1</w:t>
            </w:r>
          </w:p>
        </w:tc>
        <w:tc>
          <w:tcPr>
            <w:tcW w:w="1962" w:type="dxa"/>
            <w:tcBorders>
              <w:top w:val="single" w:sz="8" w:space="0" w:color="000000"/>
            </w:tcBorders>
          </w:tcPr>
          <w:p>
            <w:pPr>
              <w:pStyle w:val="TableParagraph"/>
              <w:spacing w:before="11"/>
              <w:rPr>
                <w:sz w:val="18"/>
              </w:rPr>
            </w:pPr>
          </w:p>
          <w:p>
            <w:pPr>
              <w:pStyle w:val="TableParagraph"/>
              <w:ind w:left="230"/>
              <w:rPr>
                <w:b/>
                <w:sz w:val="21"/>
              </w:rPr>
            </w:pPr>
            <w:r>
              <w:rPr>
                <w:b/>
                <w:w w:val="95"/>
                <w:sz w:val="21"/>
              </w:rPr>
              <w:t>保险费的支付</w:t>
            </w:r>
          </w:p>
        </w:tc>
        <w:tc>
          <w:tcPr>
            <w:tcW w:w="7261" w:type="dxa"/>
            <w:tcBorders>
              <w:top w:val="single" w:sz="8" w:space="0" w:color="000000"/>
            </w:tcBorders>
          </w:tcPr>
          <w:p>
            <w:pPr>
              <w:pStyle w:val="TableParagraph"/>
              <w:spacing w:before="1"/>
              <w:rPr>
                <w:sz w:val="16"/>
              </w:rPr>
            </w:pPr>
          </w:p>
          <w:p>
            <w:pPr>
              <w:pStyle w:val="TableParagraph"/>
              <w:spacing w:line="310" w:lineRule="atLeast" w:before="1"/>
              <w:ind w:left="254" w:right="108"/>
              <w:rPr>
                <w:sz w:val="21"/>
              </w:rPr>
            </w:pPr>
            <w:r>
              <w:rPr>
                <w:sz w:val="21"/>
              </w:rPr>
              <w:t>本附加险合同的交费方式和交费期间由您和我们约定并在保险单上载明。</w:t>
            </w:r>
            <w:r>
              <w:rPr>
                <w:w w:val="95"/>
                <w:sz w:val="21"/>
              </w:rPr>
              <w:t>分期支付保险费的，在支付首期保险费后，您应当在</w:t>
            </w:r>
            <w:r>
              <w:rPr>
                <w:rFonts w:ascii="黑体" w:eastAsia="黑体" w:hint="eastAsia"/>
                <w:b/>
                <w:w w:val="95"/>
                <w:sz w:val="21"/>
              </w:rPr>
              <w:t>保险费约定支付日</w:t>
            </w:r>
            <w:r>
              <w:rPr>
                <w:w w:val="95"/>
                <w:sz w:val="21"/>
              </w:rPr>
              <w:t>（见</w:t>
            </w:r>
          </w:p>
        </w:tc>
      </w:tr>
    </w:tbl>
    <w:p>
      <w:pPr>
        <w:spacing w:after="0" w:line="310" w:lineRule="atLeast"/>
        <w:rPr>
          <w:sz w:val="21"/>
        </w:rPr>
        <w:sectPr>
          <w:pgSz w:w="11910" w:h="16840"/>
          <w:pgMar w:top="1220" w:bottom="280" w:left="80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2115"/>
        <w:gridCol w:w="7108"/>
      </w:tblGrid>
      <w:tr>
        <w:trPr>
          <w:trHeight w:val="1347" w:hRule="atLeast"/>
        </w:trPr>
        <w:tc>
          <w:tcPr>
            <w:tcW w:w="695" w:type="dxa"/>
          </w:tcPr>
          <w:p>
            <w:pPr>
              <w:pStyle w:val="TableParagraph"/>
              <w:rPr>
                <w:rFonts w:ascii="Times New Roman"/>
                <w:sz w:val="20"/>
              </w:rPr>
            </w:pPr>
          </w:p>
        </w:tc>
        <w:tc>
          <w:tcPr>
            <w:tcW w:w="2115" w:type="dxa"/>
          </w:tcPr>
          <w:p>
            <w:pPr>
              <w:pStyle w:val="TableParagraph"/>
              <w:rPr>
                <w:rFonts w:ascii="Times New Roman"/>
                <w:sz w:val="20"/>
              </w:rPr>
            </w:pPr>
          </w:p>
        </w:tc>
        <w:tc>
          <w:tcPr>
            <w:tcW w:w="7108" w:type="dxa"/>
          </w:tcPr>
          <w:p>
            <w:pPr>
              <w:pStyle w:val="TableParagraph"/>
              <w:spacing w:line="210" w:lineRule="exact"/>
              <w:ind w:left="101"/>
              <w:rPr>
                <w:sz w:val="21"/>
              </w:rPr>
            </w:pPr>
            <w:r>
              <w:rPr>
                <w:sz w:val="21"/>
              </w:rPr>
              <w:t>9.19）支付其余各期的保险费，且必须随被附加保险合同保险费一同支付，</w:t>
            </w:r>
          </w:p>
          <w:p>
            <w:pPr>
              <w:pStyle w:val="TableParagraph"/>
              <w:spacing w:before="37"/>
              <w:ind w:left="101"/>
              <w:rPr>
                <w:sz w:val="21"/>
              </w:rPr>
            </w:pPr>
            <w:r>
              <w:rPr>
                <w:sz w:val="21"/>
              </w:rPr>
              <w:t>不能单独支付。</w:t>
            </w:r>
          </w:p>
          <w:p>
            <w:pPr>
              <w:pStyle w:val="TableParagraph"/>
              <w:spacing w:line="273" w:lineRule="auto" w:before="37"/>
              <w:ind w:left="101" w:right="51"/>
              <w:rPr>
                <w:sz w:val="21"/>
              </w:rPr>
            </w:pPr>
            <w:r>
              <w:rPr>
                <w:sz w:val="21"/>
              </w:rPr>
              <w:t>若您同时为自己和配偶投保本附加险合同，分别对应的保险费为按照各自年龄、性别、保险期间确定的保险费的 </w:t>
            </w:r>
            <w:r>
              <w:rPr>
                <w:rFonts w:ascii="Times New Roman" w:eastAsia="Times New Roman"/>
                <w:sz w:val="21"/>
              </w:rPr>
              <w:t>90%</w:t>
            </w:r>
            <w:r>
              <w:rPr>
                <w:sz w:val="21"/>
              </w:rPr>
              <w:t>。</w:t>
            </w:r>
          </w:p>
        </w:tc>
      </w:tr>
      <w:tr>
        <w:trPr>
          <w:trHeight w:val="2147" w:hRule="atLeast"/>
        </w:trPr>
        <w:tc>
          <w:tcPr>
            <w:tcW w:w="695" w:type="dxa"/>
          </w:tcPr>
          <w:p>
            <w:pPr>
              <w:pStyle w:val="TableParagraph"/>
              <w:spacing w:before="120"/>
              <w:ind w:left="108"/>
              <w:rPr>
                <w:b/>
                <w:sz w:val="21"/>
              </w:rPr>
            </w:pPr>
            <w:r>
              <w:rPr>
                <w:b/>
                <w:sz w:val="21"/>
              </w:rPr>
              <w:t>4.2</w:t>
            </w:r>
          </w:p>
        </w:tc>
        <w:tc>
          <w:tcPr>
            <w:tcW w:w="2115" w:type="dxa"/>
          </w:tcPr>
          <w:p>
            <w:pPr>
              <w:pStyle w:val="TableParagraph"/>
              <w:spacing w:before="120"/>
              <w:ind w:left="230"/>
              <w:rPr>
                <w:b/>
                <w:sz w:val="21"/>
              </w:rPr>
            </w:pPr>
            <w:r>
              <w:rPr>
                <w:b/>
                <w:sz w:val="21"/>
              </w:rPr>
              <w:t>宽限期</w:t>
            </w:r>
          </w:p>
        </w:tc>
        <w:tc>
          <w:tcPr>
            <w:tcW w:w="7108" w:type="dxa"/>
          </w:tcPr>
          <w:p>
            <w:pPr>
              <w:pStyle w:val="TableParagraph"/>
              <w:spacing w:line="273" w:lineRule="auto" w:before="120"/>
              <w:ind w:left="101" w:right="2"/>
              <w:rPr>
                <w:sz w:val="21"/>
              </w:rPr>
            </w:pPr>
            <w:r>
              <w:rPr>
                <w:spacing w:val="-4"/>
                <w:sz w:val="21"/>
              </w:rPr>
              <w:t>分期支付保险费的，在支付首期保险费后，除本附加险合同另有约定外，如</w:t>
            </w:r>
            <w:r>
              <w:rPr>
                <w:spacing w:val="-9"/>
                <w:sz w:val="21"/>
              </w:rPr>
              <w:t>果您到期未支付保险费，自保险费约定支付日的次日零时起 </w:t>
            </w:r>
            <w:r>
              <w:rPr>
                <w:sz w:val="21"/>
              </w:rPr>
              <w:t>60</w:t>
            </w:r>
            <w:r>
              <w:rPr>
                <w:spacing w:val="-9"/>
                <w:sz w:val="21"/>
              </w:rPr>
              <w:t> 日为宽限期。</w:t>
            </w:r>
          </w:p>
          <w:p>
            <w:pPr>
              <w:pStyle w:val="TableParagraph"/>
              <w:spacing w:line="273" w:lineRule="auto" w:before="7"/>
              <w:ind w:left="101" w:right="106"/>
              <w:rPr>
                <w:sz w:val="21"/>
              </w:rPr>
            </w:pPr>
            <w:r>
              <w:rPr>
                <w:spacing w:val="-5"/>
                <w:sz w:val="21"/>
              </w:rPr>
              <w:t>如果宽限期内发生保险事故，在您补交主险合同、保险期间超过 </w:t>
            </w:r>
            <w:r>
              <w:rPr>
                <w:sz w:val="21"/>
              </w:rPr>
              <w:t>1</w:t>
            </w:r>
            <w:r>
              <w:rPr>
                <w:spacing w:val="-12"/>
                <w:sz w:val="21"/>
              </w:rPr>
              <w:t> 年的附加险合同以及本附加险合同当期应付保险费后，我们仍然会承担保险责任。</w:t>
            </w:r>
            <w:r>
              <w:rPr>
                <w:spacing w:val="-14"/>
                <w:sz w:val="21"/>
              </w:rPr>
              <w:t>如果您宽限期结束之后仍未支付保险费，则本附加险合同自宽限期满的次日零时起效力中止。</w:t>
            </w:r>
          </w:p>
        </w:tc>
      </w:tr>
      <w:tr>
        <w:trPr>
          <w:trHeight w:val="2212" w:hRule="atLeast"/>
        </w:trPr>
        <w:tc>
          <w:tcPr>
            <w:tcW w:w="695" w:type="dxa"/>
          </w:tcPr>
          <w:p>
            <w:pPr>
              <w:pStyle w:val="TableParagraph"/>
              <w:spacing w:before="127"/>
              <w:ind w:left="108"/>
              <w:rPr>
                <w:b/>
                <w:sz w:val="21"/>
              </w:rPr>
            </w:pPr>
            <w:r>
              <w:rPr>
                <w:b/>
                <w:sz w:val="21"/>
              </w:rPr>
              <w:t>4.3</w:t>
            </w:r>
          </w:p>
        </w:tc>
        <w:tc>
          <w:tcPr>
            <w:tcW w:w="2115" w:type="dxa"/>
          </w:tcPr>
          <w:p>
            <w:pPr>
              <w:pStyle w:val="TableParagraph"/>
              <w:spacing w:before="127"/>
              <w:ind w:left="230"/>
              <w:rPr>
                <w:b/>
                <w:sz w:val="21"/>
              </w:rPr>
            </w:pPr>
            <w:r>
              <w:rPr>
                <w:b/>
                <w:w w:val="95"/>
                <w:sz w:val="21"/>
              </w:rPr>
              <w:t>保险费率调整</w:t>
            </w:r>
          </w:p>
        </w:tc>
        <w:tc>
          <w:tcPr>
            <w:tcW w:w="7108" w:type="dxa"/>
          </w:tcPr>
          <w:p>
            <w:pPr>
              <w:pStyle w:val="TableParagraph"/>
              <w:spacing w:line="273" w:lineRule="auto" w:before="127"/>
              <w:ind w:left="101" w:right="98"/>
              <w:jc w:val="both"/>
              <w:rPr>
                <w:sz w:val="21"/>
              </w:rPr>
            </w:pPr>
            <w:r>
              <w:rPr>
                <w:spacing w:val="2"/>
                <w:sz w:val="21"/>
              </w:rPr>
              <w:t>我们将根据本附加险合同计算费率所用的重大疾病发生率与实际情况的偏</w:t>
            </w:r>
            <w:r>
              <w:rPr>
                <w:spacing w:val="-5"/>
                <w:sz w:val="21"/>
              </w:rPr>
              <w:t>差程度，决定保险费率是否调整。本附加险合同的费率调整针对所有被保险</w:t>
            </w:r>
            <w:r>
              <w:rPr>
                <w:spacing w:val="-7"/>
                <w:sz w:val="21"/>
              </w:rPr>
              <w:t>人或同一投保年龄的所有被保险人。如果您不同意费率调整，可以申请解除合同。自我们收到解除合同申请书时起，本附加险合同终止，我们向您退还本附加险合同的现金价值。</w:t>
            </w:r>
          </w:p>
          <w:p>
            <w:pPr>
              <w:pStyle w:val="TableParagraph"/>
              <w:spacing w:before="7"/>
              <w:ind w:left="101"/>
              <w:jc w:val="both"/>
              <w:rPr>
                <w:sz w:val="21"/>
              </w:rPr>
            </w:pPr>
            <w:r>
              <w:rPr>
                <w:sz w:val="21"/>
              </w:rPr>
              <w:t>我们进行保险费率调整后，您须按调整后的保险费率支付续期保险费。</w:t>
            </w:r>
          </w:p>
        </w:tc>
      </w:tr>
      <w:tr>
        <w:trPr>
          <w:trHeight w:val="771" w:hRule="atLeast"/>
        </w:trPr>
        <w:tc>
          <w:tcPr>
            <w:tcW w:w="695" w:type="dxa"/>
            <w:tcBorders>
              <w:bottom w:val="single" w:sz="8" w:space="0" w:color="000000"/>
            </w:tcBorders>
          </w:tcPr>
          <w:p>
            <w:pPr>
              <w:pStyle w:val="TableParagraph"/>
              <w:spacing w:before="211"/>
              <w:ind w:left="108"/>
              <w:rPr>
                <w:rFonts w:ascii="Arial" w:hAnsi="Arial"/>
                <w:b/>
                <w:sz w:val="40"/>
              </w:rPr>
            </w:pPr>
            <w:r>
              <w:rPr>
                <w:rFonts w:ascii="Arial" w:hAnsi="Arial"/>
                <w:b/>
                <w:w w:val="118"/>
                <w:sz w:val="40"/>
              </w:rPr>
              <w:t></w:t>
            </w:r>
          </w:p>
        </w:tc>
        <w:tc>
          <w:tcPr>
            <w:tcW w:w="2115" w:type="dxa"/>
            <w:tcBorders>
              <w:bottom w:val="single" w:sz="8" w:space="0" w:color="000000"/>
            </w:tcBorders>
          </w:tcPr>
          <w:p>
            <w:pPr>
              <w:pStyle w:val="TableParagraph"/>
              <w:spacing w:before="3"/>
              <w:rPr>
                <w:sz w:val="20"/>
              </w:rPr>
            </w:pPr>
          </w:p>
          <w:p>
            <w:pPr>
              <w:pStyle w:val="TableParagraph"/>
              <w:ind w:left="230"/>
              <w:rPr>
                <w:b/>
                <w:sz w:val="24"/>
              </w:rPr>
            </w:pPr>
            <w:r>
              <w:rPr>
                <w:b/>
                <w:w w:val="95"/>
                <w:sz w:val="24"/>
              </w:rPr>
              <w:t>现金价值权益</w:t>
            </w:r>
          </w:p>
        </w:tc>
        <w:tc>
          <w:tcPr>
            <w:tcW w:w="7108" w:type="dxa"/>
            <w:tcBorders>
              <w:bottom w:val="single" w:sz="8" w:space="0" w:color="000000"/>
            </w:tcBorders>
          </w:tcPr>
          <w:p>
            <w:pPr>
              <w:pStyle w:val="TableParagraph"/>
              <w:rPr>
                <w:rFonts w:ascii="Times New Roman"/>
                <w:sz w:val="20"/>
              </w:rPr>
            </w:pPr>
          </w:p>
        </w:tc>
      </w:tr>
      <w:tr>
        <w:trPr>
          <w:trHeight w:val="1054" w:hRule="atLeast"/>
        </w:trPr>
        <w:tc>
          <w:tcPr>
            <w:tcW w:w="695" w:type="dxa"/>
            <w:tcBorders>
              <w:top w:val="single" w:sz="8" w:space="0" w:color="000000"/>
            </w:tcBorders>
          </w:tcPr>
          <w:p>
            <w:pPr>
              <w:pStyle w:val="TableParagraph"/>
              <w:rPr>
                <w:sz w:val="19"/>
              </w:rPr>
            </w:pPr>
          </w:p>
          <w:p>
            <w:pPr>
              <w:pStyle w:val="TableParagraph"/>
              <w:ind w:left="108"/>
              <w:rPr>
                <w:b/>
                <w:sz w:val="21"/>
              </w:rPr>
            </w:pPr>
            <w:r>
              <w:rPr>
                <w:b/>
                <w:sz w:val="21"/>
              </w:rPr>
              <w:t>5.1</w:t>
            </w:r>
          </w:p>
        </w:tc>
        <w:tc>
          <w:tcPr>
            <w:tcW w:w="2115" w:type="dxa"/>
            <w:tcBorders>
              <w:top w:val="single" w:sz="8" w:space="0" w:color="000000"/>
            </w:tcBorders>
          </w:tcPr>
          <w:p>
            <w:pPr>
              <w:pStyle w:val="TableParagraph"/>
              <w:rPr>
                <w:sz w:val="19"/>
              </w:rPr>
            </w:pPr>
          </w:p>
          <w:p>
            <w:pPr>
              <w:pStyle w:val="TableParagraph"/>
              <w:ind w:left="230"/>
              <w:rPr>
                <w:b/>
                <w:sz w:val="21"/>
              </w:rPr>
            </w:pPr>
            <w:r>
              <w:rPr>
                <w:b/>
                <w:sz w:val="21"/>
              </w:rPr>
              <w:t>现金价值</w:t>
            </w:r>
          </w:p>
        </w:tc>
        <w:tc>
          <w:tcPr>
            <w:tcW w:w="7108" w:type="dxa"/>
            <w:tcBorders>
              <w:top w:val="single" w:sz="8" w:space="0" w:color="000000"/>
            </w:tcBorders>
          </w:tcPr>
          <w:p>
            <w:pPr>
              <w:pStyle w:val="TableParagraph"/>
              <w:rPr>
                <w:sz w:val="19"/>
              </w:rPr>
            </w:pPr>
          </w:p>
          <w:p>
            <w:pPr>
              <w:pStyle w:val="TableParagraph"/>
              <w:spacing w:line="273" w:lineRule="auto"/>
              <w:ind w:left="101" w:right="51"/>
              <w:rPr>
                <w:sz w:val="21"/>
              </w:rPr>
            </w:pPr>
            <w:r>
              <w:rPr>
                <w:sz w:val="21"/>
              </w:rPr>
              <w:t>本附加险合同保单年度末的现金价值会在保险单上载明。保单年度内的现金价值，您可以向我们咨询。</w:t>
            </w:r>
          </w:p>
        </w:tc>
      </w:tr>
      <w:tr>
        <w:trPr>
          <w:trHeight w:val="741" w:hRule="atLeast"/>
        </w:trPr>
        <w:tc>
          <w:tcPr>
            <w:tcW w:w="695" w:type="dxa"/>
            <w:tcBorders>
              <w:bottom w:val="single" w:sz="8" w:space="0" w:color="000000"/>
            </w:tcBorders>
          </w:tcPr>
          <w:p>
            <w:pPr>
              <w:pStyle w:val="TableParagraph"/>
              <w:spacing w:before="180"/>
              <w:ind w:left="108"/>
              <w:rPr>
                <w:rFonts w:ascii="Arial" w:hAnsi="Arial"/>
                <w:b/>
                <w:sz w:val="40"/>
              </w:rPr>
            </w:pPr>
            <w:r>
              <w:rPr>
                <w:rFonts w:ascii="Arial" w:hAnsi="Arial"/>
                <w:b/>
                <w:w w:val="118"/>
                <w:sz w:val="40"/>
              </w:rPr>
              <w:t></w:t>
            </w:r>
          </w:p>
        </w:tc>
        <w:tc>
          <w:tcPr>
            <w:tcW w:w="9223" w:type="dxa"/>
            <w:gridSpan w:val="2"/>
            <w:tcBorders>
              <w:bottom w:val="single" w:sz="8" w:space="0" w:color="000000"/>
            </w:tcBorders>
          </w:tcPr>
          <w:p>
            <w:pPr>
              <w:pStyle w:val="TableParagraph"/>
              <w:spacing w:before="12"/>
              <w:rPr>
                <w:sz w:val="17"/>
              </w:rPr>
            </w:pPr>
          </w:p>
          <w:p>
            <w:pPr>
              <w:pStyle w:val="TableParagraph"/>
              <w:ind w:left="230"/>
              <w:rPr>
                <w:b/>
                <w:sz w:val="24"/>
              </w:rPr>
            </w:pPr>
            <w:r>
              <w:rPr>
                <w:b/>
                <w:w w:val="95"/>
                <w:sz w:val="24"/>
              </w:rPr>
              <w:t>合同效力的中止及恢复</w:t>
            </w:r>
          </w:p>
        </w:tc>
      </w:tr>
      <w:tr>
        <w:trPr>
          <w:trHeight w:val="717" w:hRule="atLeast"/>
        </w:trPr>
        <w:tc>
          <w:tcPr>
            <w:tcW w:w="695" w:type="dxa"/>
            <w:tcBorders>
              <w:top w:val="single" w:sz="8" w:space="0" w:color="000000"/>
            </w:tcBorders>
          </w:tcPr>
          <w:p>
            <w:pPr>
              <w:pStyle w:val="TableParagraph"/>
              <w:spacing w:before="1"/>
              <w:rPr>
                <w:sz w:val="19"/>
              </w:rPr>
            </w:pPr>
          </w:p>
          <w:p>
            <w:pPr>
              <w:pStyle w:val="TableParagraph"/>
              <w:ind w:left="108"/>
              <w:rPr>
                <w:b/>
                <w:sz w:val="21"/>
              </w:rPr>
            </w:pPr>
            <w:r>
              <w:rPr>
                <w:b/>
                <w:sz w:val="21"/>
              </w:rPr>
              <w:t>6.1</w:t>
            </w:r>
          </w:p>
        </w:tc>
        <w:tc>
          <w:tcPr>
            <w:tcW w:w="2115" w:type="dxa"/>
            <w:tcBorders>
              <w:top w:val="single" w:sz="8" w:space="0" w:color="000000"/>
            </w:tcBorders>
          </w:tcPr>
          <w:p>
            <w:pPr>
              <w:pStyle w:val="TableParagraph"/>
              <w:spacing w:before="1"/>
              <w:rPr>
                <w:sz w:val="19"/>
              </w:rPr>
            </w:pPr>
          </w:p>
          <w:p>
            <w:pPr>
              <w:pStyle w:val="TableParagraph"/>
              <w:ind w:left="230"/>
              <w:rPr>
                <w:b/>
                <w:sz w:val="21"/>
              </w:rPr>
            </w:pPr>
            <w:r>
              <w:rPr>
                <w:b/>
                <w:sz w:val="21"/>
              </w:rPr>
              <w:t>效力中止</w:t>
            </w:r>
          </w:p>
        </w:tc>
        <w:tc>
          <w:tcPr>
            <w:tcW w:w="7108" w:type="dxa"/>
            <w:tcBorders>
              <w:top w:val="single" w:sz="8" w:space="0" w:color="000000"/>
            </w:tcBorders>
          </w:tcPr>
          <w:p>
            <w:pPr>
              <w:pStyle w:val="TableParagraph"/>
              <w:spacing w:before="1"/>
              <w:rPr>
                <w:sz w:val="19"/>
              </w:rPr>
            </w:pPr>
          </w:p>
          <w:p>
            <w:pPr>
              <w:pStyle w:val="TableParagraph"/>
              <w:ind w:left="101"/>
              <w:rPr>
                <w:sz w:val="21"/>
              </w:rPr>
            </w:pPr>
            <w:r>
              <w:rPr>
                <w:sz w:val="21"/>
              </w:rPr>
              <w:t>在本附加险合同效力中止期间，我们不承担保险责任。</w:t>
            </w:r>
          </w:p>
        </w:tc>
      </w:tr>
      <w:tr>
        <w:trPr>
          <w:trHeight w:val="2181" w:hRule="atLeast"/>
        </w:trPr>
        <w:tc>
          <w:tcPr>
            <w:tcW w:w="695" w:type="dxa"/>
          </w:tcPr>
          <w:p>
            <w:pPr>
              <w:pStyle w:val="TableParagraph"/>
              <w:spacing w:before="127"/>
              <w:ind w:left="108"/>
              <w:rPr>
                <w:b/>
                <w:sz w:val="21"/>
              </w:rPr>
            </w:pPr>
            <w:r>
              <w:rPr>
                <w:b/>
                <w:sz w:val="21"/>
              </w:rPr>
              <w:t>6.2</w:t>
            </w:r>
          </w:p>
        </w:tc>
        <w:tc>
          <w:tcPr>
            <w:tcW w:w="2115" w:type="dxa"/>
          </w:tcPr>
          <w:p>
            <w:pPr>
              <w:pStyle w:val="TableParagraph"/>
              <w:spacing w:before="127"/>
              <w:ind w:left="230"/>
              <w:rPr>
                <w:b/>
                <w:sz w:val="21"/>
              </w:rPr>
            </w:pPr>
            <w:r>
              <w:rPr>
                <w:b/>
                <w:sz w:val="21"/>
              </w:rPr>
              <w:t>效力恢复</w:t>
            </w:r>
          </w:p>
        </w:tc>
        <w:tc>
          <w:tcPr>
            <w:tcW w:w="7108" w:type="dxa"/>
          </w:tcPr>
          <w:p>
            <w:pPr>
              <w:pStyle w:val="TableParagraph"/>
              <w:spacing w:line="273" w:lineRule="auto" w:before="127"/>
              <w:ind w:left="101" w:right="106"/>
              <w:jc w:val="both"/>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年内，您可以申请恢复合同效力。经您与我们协商并达成协议，在您补交保险费之日起，合同效力恢复。</w:t>
            </w:r>
          </w:p>
          <w:p>
            <w:pPr>
              <w:pStyle w:val="TableParagraph"/>
              <w:spacing w:before="7"/>
              <w:ind w:left="101"/>
              <w:rPr>
                <w:sz w:val="21"/>
              </w:rPr>
            </w:pPr>
            <w:r>
              <w:rPr>
                <w:sz w:val="21"/>
              </w:rPr>
              <w:t>主险合同效力中止期间，本附加险合同不得单独申请复效。</w:t>
            </w:r>
          </w:p>
          <w:p>
            <w:pPr>
              <w:pStyle w:val="TableParagraph"/>
              <w:spacing w:line="273" w:lineRule="auto" w:before="37"/>
              <w:ind w:left="100" w:right="106"/>
              <w:jc w:val="both"/>
              <w:rPr>
                <w:sz w:val="21"/>
              </w:rPr>
            </w:pPr>
            <w:r>
              <w:rPr>
                <w:spacing w:val="-4"/>
                <w:sz w:val="21"/>
              </w:rPr>
              <w:t>自本附加险合同效力中止之日起满 </w:t>
            </w:r>
            <w:r>
              <w:rPr>
                <w:sz w:val="21"/>
              </w:rPr>
              <w:t>2</w:t>
            </w:r>
            <w:r>
              <w:rPr>
                <w:spacing w:val="-10"/>
                <w:sz w:val="21"/>
              </w:rPr>
              <w:t> 年您和我们未达成协议的，我们有权解</w:t>
            </w:r>
            <w:r>
              <w:rPr>
                <w:spacing w:val="-8"/>
                <w:sz w:val="21"/>
              </w:rPr>
              <w:t>除合同。我们解除合同的，向您退还合同效力中止时本附加险合同的现金价值。</w:t>
            </w:r>
          </w:p>
        </w:tc>
      </w:tr>
      <w:tr>
        <w:trPr>
          <w:trHeight w:val="741" w:hRule="atLeast"/>
        </w:trPr>
        <w:tc>
          <w:tcPr>
            <w:tcW w:w="695" w:type="dxa"/>
            <w:tcBorders>
              <w:bottom w:val="single" w:sz="8" w:space="0" w:color="000000"/>
            </w:tcBorders>
          </w:tcPr>
          <w:p>
            <w:pPr>
              <w:pStyle w:val="TableParagraph"/>
              <w:spacing w:before="180"/>
              <w:ind w:left="108"/>
              <w:rPr>
                <w:rFonts w:ascii="Arial" w:hAnsi="Arial"/>
                <w:b/>
                <w:sz w:val="40"/>
              </w:rPr>
            </w:pPr>
            <w:r>
              <w:rPr>
                <w:rFonts w:ascii="Arial" w:hAnsi="Arial"/>
                <w:b/>
                <w:w w:val="118"/>
                <w:sz w:val="40"/>
              </w:rPr>
              <w:t></w:t>
            </w:r>
          </w:p>
        </w:tc>
        <w:tc>
          <w:tcPr>
            <w:tcW w:w="2115" w:type="dxa"/>
            <w:tcBorders>
              <w:bottom w:val="single" w:sz="8" w:space="0" w:color="000000"/>
            </w:tcBorders>
          </w:tcPr>
          <w:p>
            <w:pPr>
              <w:pStyle w:val="TableParagraph"/>
              <w:spacing w:before="11"/>
              <w:rPr>
                <w:sz w:val="17"/>
              </w:rPr>
            </w:pPr>
          </w:p>
          <w:p>
            <w:pPr>
              <w:pStyle w:val="TableParagraph"/>
              <w:spacing w:before="1"/>
              <w:ind w:left="230" w:right="-58"/>
              <w:rPr>
                <w:b/>
                <w:sz w:val="24"/>
              </w:rPr>
            </w:pPr>
            <w:r>
              <w:rPr>
                <w:b/>
                <w:w w:val="95"/>
                <w:sz w:val="24"/>
              </w:rPr>
              <w:t>如何解除保险合同</w:t>
            </w:r>
          </w:p>
        </w:tc>
        <w:tc>
          <w:tcPr>
            <w:tcW w:w="7108" w:type="dxa"/>
            <w:tcBorders>
              <w:bottom w:val="single" w:sz="8" w:space="0" w:color="000000"/>
            </w:tcBorders>
          </w:tcPr>
          <w:p>
            <w:pPr>
              <w:pStyle w:val="TableParagraph"/>
              <w:rPr>
                <w:rFonts w:ascii="Times New Roman"/>
                <w:sz w:val="20"/>
              </w:rPr>
            </w:pPr>
          </w:p>
        </w:tc>
      </w:tr>
      <w:tr>
        <w:trPr>
          <w:trHeight w:val="2395" w:hRule="atLeast"/>
        </w:trPr>
        <w:tc>
          <w:tcPr>
            <w:tcW w:w="695" w:type="dxa"/>
            <w:tcBorders>
              <w:top w:val="single" w:sz="8" w:space="0" w:color="000000"/>
            </w:tcBorders>
          </w:tcPr>
          <w:p>
            <w:pPr>
              <w:pStyle w:val="TableParagraph"/>
              <w:rPr>
                <w:sz w:val="19"/>
              </w:rPr>
            </w:pPr>
          </w:p>
          <w:p>
            <w:pPr>
              <w:pStyle w:val="TableParagraph"/>
              <w:ind w:left="108"/>
              <w:rPr>
                <w:b/>
                <w:sz w:val="21"/>
              </w:rPr>
            </w:pPr>
            <w:r>
              <w:rPr>
                <w:b/>
                <w:sz w:val="21"/>
              </w:rPr>
              <w:t>7.1</w:t>
            </w:r>
          </w:p>
        </w:tc>
        <w:tc>
          <w:tcPr>
            <w:tcW w:w="2115" w:type="dxa"/>
            <w:tcBorders>
              <w:top w:val="single" w:sz="8" w:space="0" w:color="000000"/>
            </w:tcBorders>
          </w:tcPr>
          <w:p>
            <w:pPr>
              <w:pStyle w:val="TableParagraph"/>
              <w:rPr>
                <w:sz w:val="19"/>
              </w:rPr>
            </w:pPr>
          </w:p>
          <w:p>
            <w:pPr>
              <w:pStyle w:val="TableParagraph"/>
              <w:spacing w:line="273" w:lineRule="auto"/>
              <w:ind w:left="230" w:right="100"/>
              <w:rPr>
                <w:b/>
                <w:sz w:val="21"/>
              </w:rPr>
            </w:pPr>
            <w:r>
              <w:rPr>
                <w:b/>
                <w:sz w:val="21"/>
              </w:rPr>
              <w:t>您解除合同的手续及风险</w:t>
            </w:r>
          </w:p>
        </w:tc>
        <w:tc>
          <w:tcPr>
            <w:tcW w:w="7108" w:type="dxa"/>
            <w:tcBorders>
              <w:top w:val="single" w:sz="8" w:space="0" w:color="000000"/>
            </w:tcBorders>
          </w:tcPr>
          <w:p>
            <w:pPr>
              <w:pStyle w:val="TableParagraph"/>
              <w:rPr>
                <w:sz w:val="19"/>
              </w:rPr>
            </w:pPr>
          </w:p>
          <w:p>
            <w:pPr>
              <w:pStyle w:val="TableParagraph"/>
              <w:spacing w:line="273" w:lineRule="auto"/>
              <w:ind w:left="101" w:right="51"/>
              <w:rPr>
                <w:sz w:val="21"/>
              </w:rPr>
            </w:pPr>
            <w:r>
              <w:rPr>
                <w:sz w:val="21"/>
              </w:rPr>
              <w:t>您在犹豫期后可以申请解除本附加险合同，请填写解除合同申请书并向我们提供下列资料：</w:t>
            </w:r>
          </w:p>
          <w:p>
            <w:pPr>
              <w:pStyle w:val="TableParagraph"/>
              <w:spacing w:before="7"/>
              <w:ind w:left="101"/>
              <w:rPr>
                <w:sz w:val="21"/>
              </w:rPr>
            </w:pPr>
            <w:r>
              <w:rPr>
                <w:sz w:val="21"/>
              </w:rPr>
              <w:t>（1）保险合同；</w:t>
            </w:r>
          </w:p>
          <w:p>
            <w:pPr>
              <w:pStyle w:val="TableParagraph"/>
              <w:spacing w:before="36"/>
              <w:ind w:left="101"/>
              <w:rPr>
                <w:sz w:val="21"/>
              </w:rPr>
            </w:pPr>
            <w:r>
              <w:rPr>
                <w:sz w:val="21"/>
              </w:rPr>
              <w:t>（2）您的有效身份证件。</w:t>
            </w:r>
          </w:p>
          <w:p>
            <w:pPr>
              <w:pStyle w:val="TableParagraph"/>
              <w:spacing w:line="273" w:lineRule="auto" w:before="36"/>
              <w:ind w:left="101" w:right="51"/>
              <w:rPr>
                <w:sz w:val="21"/>
              </w:rPr>
            </w:pPr>
            <w:r>
              <w:rPr>
                <w:sz w:val="21"/>
              </w:rPr>
              <w:t>自我们收到解除合同申请书时起，本附加险合同终止。我们自收到解除合同申请书之日起 30 日内向您退还本附加险合同的现金价值。</w:t>
            </w:r>
          </w:p>
          <w:p>
            <w:pPr>
              <w:pStyle w:val="TableParagraph"/>
              <w:spacing w:line="255" w:lineRule="exact" w:before="7"/>
              <w:ind w:left="100"/>
              <w:rPr>
                <w:sz w:val="21"/>
              </w:rPr>
            </w:pPr>
            <w:r>
              <w:rPr>
                <w:sz w:val="21"/>
              </w:rPr>
              <w:t>您在犹豫期后解除合同会遭受一定损失。</w:t>
            </w:r>
          </w:p>
        </w:tc>
      </w:tr>
    </w:tbl>
    <w:p>
      <w:pPr>
        <w:spacing w:after="0" w:line="255" w:lineRule="exact"/>
        <w:rPr>
          <w:sz w:val="21"/>
        </w:rPr>
        <w:sectPr>
          <w:pgSz w:w="11910" w:h="16840"/>
          <w:pgMar w:top="1160" w:bottom="280" w:left="80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855"/>
        <w:gridCol w:w="7367"/>
      </w:tblGrid>
      <w:tr>
        <w:trPr>
          <w:trHeight w:val="522" w:hRule="atLeast"/>
        </w:trPr>
        <w:tc>
          <w:tcPr>
            <w:tcW w:w="695"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9222" w:type="dxa"/>
            <w:gridSpan w:val="2"/>
            <w:tcBorders>
              <w:bottom w:val="single" w:sz="8" w:space="0" w:color="000000"/>
            </w:tcBorders>
          </w:tcPr>
          <w:p>
            <w:pPr>
              <w:pStyle w:val="TableParagraph"/>
              <w:spacing w:before="16"/>
              <w:ind w:left="230"/>
              <w:rPr>
                <w:b/>
                <w:sz w:val="24"/>
              </w:rPr>
            </w:pPr>
            <w:r>
              <w:rPr>
                <w:b/>
                <w:w w:val="95"/>
                <w:sz w:val="24"/>
              </w:rPr>
              <w:t>其他需要关注的事项</w:t>
            </w:r>
          </w:p>
        </w:tc>
      </w:tr>
      <w:tr>
        <w:trPr>
          <w:trHeight w:val="3522" w:hRule="atLeast"/>
        </w:trPr>
        <w:tc>
          <w:tcPr>
            <w:tcW w:w="695" w:type="dxa"/>
            <w:tcBorders>
              <w:top w:val="single" w:sz="8" w:space="0" w:color="000000"/>
            </w:tcBorders>
          </w:tcPr>
          <w:p>
            <w:pPr>
              <w:pStyle w:val="TableParagraph"/>
              <w:spacing w:before="11"/>
              <w:rPr>
                <w:sz w:val="18"/>
              </w:rPr>
            </w:pPr>
          </w:p>
          <w:p>
            <w:pPr>
              <w:pStyle w:val="TableParagraph"/>
              <w:spacing w:before="1"/>
              <w:ind w:left="108"/>
              <w:rPr>
                <w:b/>
                <w:sz w:val="21"/>
              </w:rPr>
            </w:pPr>
            <w:r>
              <w:rPr>
                <w:b/>
                <w:sz w:val="21"/>
              </w:rPr>
              <w:t>8.1</w:t>
            </w:r>
          </w:p>
        </w:tc>
        <w:tc>
          <w:tcPr>
            <w:tcW w:w="1855" w:type="dxa"/>
            <w:tcBorders>
              <w:top w:val="single" w:sz="8" w:space="0" w:color="000000"/>
            </w:tcBorders>
          </w:tcPr>
          <w:p>
            <w:pPr>
              <w:pStyle w:val="TableParagraph"/>
              <w:spacing w:before="11"/>
              <w:rPr>
                <w:sz w:val="18"/>
              </w:rPr>
            </w:pPr>
          </w:p>
          <w:p>
            <w:pPr>
              <w:pStyle w:val="TableParagraph"/>
              <w:spacing w:before="1"/>
              <w:ind w:left="230"/>
              <w:rPr>
                <w:b/>
                <w:sz w:val="21"/>
              </w:rPr>
            </w:pPr>
            <w:r>
              <w:rPr>
                <w:b/>
                <w:sz w:val="21"/>
              </w:rPr>
              <w:t>年龄错误</w:t>
            </w:r>
          </w:p>
        </w:tc>
        <w:tc>
          <w:tcPr>
            <w:tcW w:w="7367" w:type="dxa"/>
            <w:tcBorders>
              <w:top w:val="single" w:sz="8" w:space="0" w:color="000000"/>
            </w:tcBorders>
          </w:tcPr>
          <w:p>
            <w:pPr>
              <w:pStyle w:val="TableParagraph"/>
              <w:spacing w:before="11"/>
              <w:rPr>
                <w:sz w:val="18"/>
              </w:rPr>
            </w:pPr>
          </w:p>
          <w:p>
            <w:pPr>
              <w:pStyle w:val="TableParagraph"/>
              <w:spacing w:line="273" w:lineRule="auto" w:before="1"/>
              <w:ind w:left="361" w:right="5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864" w:right="103" w:hanging="504"/>
              <w:jc w:val="both"/>
              <w:rPr>
                <w:sz w:val="21"/>
              </w:rPr>
            </w:pPr>
            <w:r>
              <w:rPr>
                <w:sz w:val="21"/>
              </w:rPr>
              <w:t>（1）您申报的被保险人年龄不真实，并且其真实年龄不符合本附加险合同约定投保年龄限制的，我们有权解除合同，并向您退还本附加险合同的现金价值。我们行使合同解除权适用“8.5（3）本公司合同解除权的限制”的规定。</w:t>
            </w:r>
          </w:p>
          <w:p>
            <w:pPr>
              <w:pStyle w:val="TableParagraph"/>
              <w:spacing w:line="271" w:lineRule="auto" w:before="8"/>
              <w:ind w:left="865" w:hanging="505"/>
              <w:rPr>
                <w:sz w:val="21"/>
              </w:rPr>
            </w:pPr>
            <w:r>
              <w:rPr>
                <w:spacing w:val="-6"/>
                <w:sz w:val="21"/>
              </w:rPr>
              <w:t>（2）</w:t>
            </w:r>
            <w:r>
              <w:rPr>
                <w:spacing w:val="-2"/>
                <w:sz w:val="21"/>
              </w:rPr>
              <w:t>您申报的被保险人年龄不真实，致使您实付保险费少于应付保险费的， 我们有权更正并要求您补交保险费。</w:t>
            </w:r>
          </w:p>
          <w:p>
            <w:pPr>
              <w:pStyle w:val="TableParagraph"/>
              <w:spacing w:line="273" w:lineRule="auto" w:before="10"/>
              <w:ind w:left="865" w:hanging="504"/>
              <w:rPr>
                <w:sz w:val="21"/>
              </w:rPr>
            </w:pPr>
            <w:r>
              <w:rPr>
                <w:spacing w:val="-6"/>
                <w:sz w:val="21"/>
              </w:rPr>
              <w:t>（3）</w:t>
            </w:r>
            <w:r>
              <w:rPr>
                <w:spacing w:val="-2"/>
                <w:sz w:val="21"/>
              </w:rPr>
              <w:t>您申报的被保险人年龄不真实，致使您实付保险费多于应付保险费的， 我们会将多收的保险费退还给您。</w:t>
            </w:r>
          </w:p>
        </w:tc>
      </w:tr>
      <w:tr>
        <w:trPr>
          <w:trHeight w:val="907" w:hRule="atLeast"/>
        </w:trPr>
        <w:tc>
          <w:tcPr>
            <w:tcW w:w="695" w:type="dxa"/>
          </w:tcPr>
          <w:p>
            <w:pPr>
              <w:pStyle w:val="TableParagraph"/>
              <w:spacing w:before="127"/>
              <w:ind w:left="108"/>
              <w:rPr>
                <w:b/>
                <w:sz w:val="21"/>
              </w:rPr>
            </w:pPr>
            <w:r>
              <w:rPr>
                <w:b/>
                <w:sz w:val="21"/>
              </w:rPr>
              <w:t>8.2</w:t>
            </w:r>
          </w:p>
        </w:tc>
        <w:tc>
          <w:tcPr>
            <w:tcW w:w="1855" w:type="dxa"/>
          </w:tcPr>
          <w:p>
            <w:pPr>
              <w:pStyle w:val="TableParagraph"/>
              <w:spacing w:before="127"/>
              <w:ind w:left="230"/>
              <w:rPr>
                <w:b/>
                <w:sz w:val="21"/>
              </w:rPr>
            </w:pPr>
            <w:r>
              <w:rPr>
                <w:b/>
                <w:sz w:val="21"/>
              </w:rPr>
              <w:t>未还款项</w:t>
            </w:r>
          </w:p>
        </w:tc>
        <w:tc>
          <w:tcPr>
            <w:tcW w:w="7367" w:type="dxa"/>
          </w:tcPr>
          <w:p>
            <w:pPr>
              <w:pStyle w:val="TableParagraph"/>
              <w:spacing w:line="273" w:lineRule="auto" w:before="127"/>
              <w:ind w:left="361" w:right="73"/>
              <w:rPr>
                <w:sz w:val="21"/>
              </w:rPr>
            </w:pPr>
            <w:r>
              <w:rPr>
                <w:sz w:val="21"/>
              </w:rPr>
              <w:t>我们在承担豁免保险费责任时，如果您有欠交的保险费或其他未还清款项， 您应先补交上述欠款及应付利息。</w:t>
            </w:r>
          </w:p>
        </w:tc>
      </w:tr>
      <w:tr>
        <w:trPr>
          <w:trHeight w:val="2155" w:hRule="atLeast"/>
        </w:trPr>
        <w:tc>
          <w:tcPr>
            <w:tcW w:w="695" w:type="dxa"/>
          </w:tcPr>
          <w:p>
            <w:pPr>
              <w:pStyle w:val="TableParagraph"/>
              <w:spacing w:before="127"/>
              <w:ind w:left="108"/>
              <w:rPr>
                <w:b/>
                <w:sz w:val="21"/>
              </w:rPr>
            </w:pPr>
            <w:r>
              <w:rPr>
                <w:b/>
                <w:sz w:val="21"/>
              </w:rPr>
              <w:t>8.3</w:t>
            </w:r>
          </w:p>
        </w:tc>
        <w:tc>
          <w:tcPr>
            <w:tcW w:w="1855" w:type="dxa"/>
          </w:tcPr>
          <w:p>
            <w:pPr>
              <w:pStyle w:val="TableParagraph"/>
              <w:spacing w:before="127"/>
              <w:ind w:left="230"/>
              <w:rPr>
                <w:b/>
                <w:sz w:val="21"/>
              </w:rPr>
            </w:pPr>
            <w:r>
              <w:rPr>
                <w:b/>
                <w:w w:val="95"/>
                <w:sz w:val="21"/>
              </w:rPr>
              <w:t>合同内容变更</w:t>
            </w:r>
          </w:p>
        </w:tc>
        <w:tc>
          <w:tcPr>
            <w:tcW w:w="7367" w:type="dxa"/>
          </w:tcPr>
          <w:p>
            <w:pPr>
              <w:pStyle w:val="TableParagraph"/>
              <w:spacing w:line="273" w:lineRule="auto" w:before="127"/>
              <w:ind w:left="361" w:right="105"/>
              <w:jc w:val="both"/>
              <w:rPr>
                <w:sz w:val="21"/>
              </w:rPr>
            </w:pPr>
            <w:r>
              <w:rPr>
                <w:spacing w:val="-3"/>
                <w:sz w:val="21"/>
              </w:rPr>
              <w:t>在本附加险合同保险期间内，经您与我们协商一致，可以变更本附加险合同</w:t>
            </w:r>
            <w:r>
              <w:rPr>
                <w:spacing w:val="-7"/>
                <w:sz w:val="21"/>
              </w:rPr>
              <w:t>的有关内容。变更本附加险合同的，应当由我们在保险单或者其他保险凭证上批注或者附贴批单，或者由您与我们订立书面的变更协议。</w:t>
            </w:r>
          </w:p>
          <w:p>
            <w:pPr>
              <w:pStyle w:val="TableParagraph"/>
              <w:spacing w:line="273" w:lineRule="auto" w:before="7"/>
              <w:ind w:left="361" w:right="104"/>
              <w:jc w:val="both"/>
              <w:rPr>
                <w:sz w:val="21"/>
              </w:rPr>
            </w:pPr>
            <w:r>
              <w:rPr>
                <w:spacing w:val="-2"/>
                <w:sz w:val="21"/>
              </w:rPr>
              <w:t>当主险合同或附加险合同已豁免保险费时，您不得变更本附加险合同的保险</w:t>
            </w:r>
            <w:r>
              <w:rPr>
                <w:spacing w:val="-6"/>
                <w:sz w:val="21"/>
              </w:rPr>
              <w:t>期间。对于已豁免保险费的主险合同或附加险合同，您不得变更主险合同及附加险合同的基本保险金额、交费年期、档次、份数等。</w:t>
            </w:r>
          </w:p>
        </w:tc>
      </w:tr>
      <w:tr>
        <w:trPr>
          <w:trHeight w:val="1843" w:hRule="atLeast"/>
        </w:trPr>
        <w:tc>
          <w:tcPr>
            <w:tcW w:w="695" w:type="dxa"/>
          </w:tcPr>
          <w:p>
            <w:pPr>
              <w:pStyle w:val="TableParagraph"/>
              <w:spacing w:before="127"/>
              <w:ind w:left="108"/>
              <w:rPr>
                <w:b/>
                <w:sz w:val="21"/>
              </w:rPr>
            </w:pPr>
            <w:r>
              <w:rPr>
                <w:b/>
                <w:sz w:val="21"/>
              </w:rPr>
              <w:t>8.4</w:t>
            </w:r>
          </w:p>
        </w:tc>
        <w:tc>
          <w:tcPr>
            <w:tcW w:w="1855" w:type="dxa"/>
          </w:tcPr>
          <w:p>
            <w:pPr>
              <w:pStyle w:val="TableParagraph"/>
              <w:spacing w:before="127"/>
              <w:ind w:left="230"/>
              <w:rPr>
                <w:b/>
                <w:sz w:val="21"/>
              </w:rPr>
            </w:pPr>
            <w:r>
              <w:rPr>
                <w:b/>
                <w:sz w:val="21"/>
              </w:rPr>
              <w:t>效力终止</w:t>
            </w:r>
          </w:p>
        </w:tc>
        <w:tc>
          <w:tcPr>
            <w:tcW w:w="7367" w:type="dxa"/>
          </w:tcPr>
          <w:p>
            <w:pPr>
              <w:pStyle w:val="TableParagraph"/>
              <w:spacing w:before="127"/>
              <w:ind w:left="361"/>
              <w:rPr>
                <w:sz w:val="21"/>
              </w:rPr>
            </w:pPr>
            <w:r>
              <w:rPr>
                <w:sz w:val="21"/>
              </w:rPr>
              <w:t>当发生下列情形之一时，本附加险合同效力终止：</w:t>
            </w:r>
          </w:p>
          <w:p>
            <w:pPr>
              <w:pStyle w:val="TableParagraph"/>
              <w:spacing w:before="36"/>
              <w:ind w:left="361"/>
              <w:rPr>
                <w:sz w:val="21"/>
              </w:rPr>
            </w:pPr>
            <w:r>
              <w:rPr>
                <w:sz w:val="21"/>
              </w:rPr>
              <w:t>（1）主险合同效力终止；</w:t>
            </w:r>
          </w:p>
          <w:p>
            <w:pPr>
              <w:pStyle w:val="TableParagraph"/>
              <w:spacing w:before="36"/>
              <w:ind w:left="361"/>
              <w:rPr>
                <w:sz w:val="21"/>
              </w:rPr>
            </w:pPr>
            <w:r>
              <w:rPr>
                <w:sz w:val="21"/>
              </w:rPr>
              <w:t>（2）主险合同办理减额交清；</w:t>
            </w:r>
          </w:p>
          <w:p>
            <w:pPr>
              <w:pStyle w:val="TableParagraph"/>
              <w:spacing w:before="36"/>
              <w:ind w:left="361"/>
              <w:rPr>
                <w:sz w:val="21"/>
              </w:rPr>
            </w:pPr>
            <w:r>
              <w:rPr>
                <w:sz w:val="21"/>
              </w:rPr>
              <w:t>（3）主险合同保险费已豁免；</w:t>
            </w:r>
          </w:p>
          <w:p>
            <w:pPr>
              <w:pStyle w:val="TableParagraph"/>
              <w:spacing w:before="36"/>
              <w:ind w:left="361"/>
              <w:rPr>
                <w:sz w:val="21"/>
              </w:rPr>
            </w:pPr>
            <w:r>
              <w:rPr>
                <w:sz w:val="21"/>
              </w:rPr>
              <w:t>（4）您申请解除本附加险合同。</w:t>
            </w:r>
          </w:p>
        </w:tc>
      </w:tr>
      <w:tr>
        <w:trPr>
          <w:trHeight w:val="2180" w:hRule="atLeast"/>
        </w:trPr>
        <w:tc>
          <w:tcPr>
            <w:tcW w:w="695" w:type="dxa"/>
          </w:tcPr>
          <w:p>
            <w:pPr>
              <w:pStyle w:val="TableParagraph"/>
              <w:spacing w:before="127"/>
              <w:ind w:left="108"/>
              <w:rPr>
                <w:b/>
                <w:sz w:val="21"/>
              </w:rPr>
            </w:pPr>
            <w:r>
              <w:rPr>
                <w:b/>
                <w:sz w:val="21"/>
              </w:rPr>
              <w:t>8.5</w:t>
            </w:r>
          </w:p>
        </w:tc>
        <w:tc>
          <w:tcPr>
            <w:tcW w:w="1855" w:type="dxa"/>
          </w:tcPr>
          <w:p>
            <w:pPr>
              <w:pStyle w:val="TableParagraph"/>
              <w:spacing w:line="273" w:lineRule="auto" w:before="127"/>
              <w:ind w:left="230" w:right="359"/>
              <w:rPr>
                <w:b/>
                <w:sz w:val="21"/>
              </w:rPr>
            </w:pPr>
            <w:r>
              <w:rPr>
                <w:b/>
                <w:sz w:val="21"/>
              </w:rPr>
              <w:t>适用主险合同条款</w:t>
            </w:r>
          </w:p>
        </w:tc>
        <w:tc>
          <w:tcPr>
            <w:tcW w:w="7367" w:type="dxa"/>
          </w:tcPr>
          <w:p>
            <w:pPr>
              <w:pStyle w:val="TableParagraph"/>
              <w:spacing w:before="127"/>
              <w:ind w:left="361"/>
              <w:rPr>
                <w:sz w:val="21"/>
              </w:rPr>
            </w:pPr>
            <w:r>
              <w:rPr>
                <w:sz w:val="21"/>
              </w:rPr>
              <w:t>下列各项条款，适用主险合同条款：</w:t>
            </w:r>
          </w:p>
          <w:p>
            <w:pPr>
              <w:pStyle w:val="TableParagraph"/>
              <w:spacing w:before="36"/>
              <w:ind w:left="361"/>
              <w:rPr>
                <w:sz w:val="21"/>
              </w:rPr>
            </w:pPr>
            <w:r>
              <w:rPr>
                <w:sz w:val="21"/>
              </w:rPr>
              <w:t>（1）保险事故通知；</w:t>
            </w:r>
          </w:p>
          <w:p>
            <w:pPr>
              <w:pStyle w:val="TableParagraph"/>
              <w:spacing w:before="36"/>
              <w:ind w:left="361"/>
              <w:rPr>
                <w:sz w:val="21"/>
              </w:rPr>
            </w:pPr>
            <w:r>
              <w:rPr>
                <w:sz w:val="21"/>
              </w:rPr>
              <w:t>（2）明确说明与如实告知；</w:t>
            </w:r>
          </w:p>
          <w:p>
            <w:pPr>
              <w:pStyle w:val="TableParagraph"/>
              <w:spacing w:before="36"/>
              <w:ind w:left="361"/>
              <w:rPr>
                <w:sz w:val="21"/>
              </w:rPr>
            </w:pPr>
            <w:r>
              <w:rPr>
                <w:sz w:val="21"/>
              </w:rPr>
              <w:t>（3）本公司合同解除权的限制；</w:t>
            </w:r>
          </w:p>
          <w:p>
            <w:pPr>
              <w:pStyle w:val="TableParagraph"/>
              <w:spacing w:before="36"/>
              <w:ind w:left="361"/>
              <w:rPr>
                <w:sz w:val="21"/>
              </w:rPr>
            </w:pPr>
            <w:r>
              <w:rPr>
                <w:sz w:val="21"/>
              </w:rPr>
              <w:t>（4）联系方式变更；</w:t>
            </w:r>
          </w:p>
          <w:p>
            <w:pPr>
              <w:pStyle w:val="TableParagraph"/>
              <w:spacing w:before="36"/>
              <w:ind w:left="361"/>
              <w:rPr>
                <w:sz w:val="21"/>
              </w:rPr>
            </w:pPr>
            <w:r>
              <w:rPr>
                <w:sz w:val="21"/>
              </w:rPr>
              <w:t>（5）争议处理。</w:t>
            </w:r>
          </w:p>
        </w:tc>
      </w:tr>
      <w:tr>
        <w:trPr>
          <w:trHeight w:val="740" w:hRule="atLeast"/>
        </w:trPr>
        <w:tc>
          <w:tcPr>
            <w:tcW w:w="695" w:type="dxa"/>
            <w:tcBorders>
              <w:bottom w:val="single" w:sz="8" w:space="0" w:color="000000"/>
            </w:tcBorders>
          </w:tcPr>
          <w:p>
            <w:pPr>
              <w:pStyle w:val="TableParagraph"/>
              <w:spacing w:before="179"/>
              <w:ind w:left="108"/>
              <w:rPr>
                <w:rFonts w:ascii="Arial" w:hAnsi="Arial"/>
                <w:b/>
                <w:sz w:val="40"/>
              </w:rPr>
            </w:pPr>
            <w:r>
              <w:rPr>
                <w:rFonts w:ascii="Arial" w:hAnsi="Arial"/>
                <w:b/>
                <w:w w:val="118"/>
                <w:sz w:val="40"/>
              </w:rPr>
              <w:t></w:t>
            </w:r>
          </w:p>
        </w:tc>
        <w:tc>
          <w:tcPr>
            <w:tcW w:w="1855" w:type="dxa"/>
            <w:tcBorders>
              <w:bottom w:val="single" w:sz="8" w:space="0" w:color="000000"/>
            </w:tcBorders>
          </w:tcPr>
          <w:p>
            <w:pPr>
              <w:pStyle w:val="TableParagraph"/>
              <w:spacing w:before="11"/>
              <w:rPr>
                <w:sz w:val="17"/>
              </w:rPr>
            </w:pPr>
          </w:p>
          <w:p>
            <w:pPr>
              <w:pStyle w:val="TableParagraph"/>
              <w:ind w:left="230"/>
              <w:rPr>
                <w:b/>
                <w:sz w:val="24"/>
              </w:rPr>
            </w:pPr>
            <w:r>
              <w:rPr>
                <w:b/>
                <w:sz w:val="24"/>
              </w:rPr>
              <w:t>释义</w:t>
            </w:r>
          </w:p>
        </w:tc>
        <w:tc>
          <w:tcPr>
            <w:tcW w:w="7367" w:type="dxa"/>
            <w:tcBorders>
              <w:bottom w:val="single" w:sz="8" w:space="0" w:color="000000"/>
            </w:tcBorders>
          </w:tcPr>
          <w:p>
            <w:pPr>
              <w:pStyle w:val="TableParagraph"/>
              <w:rPr>
                <w:rFonts w:ascii="Times New Roman"/>
                <w:sz w:val="20"/>
              </w:rPr>
            </w:pPr>
          </w:p>
        </w:tc>
      </w:tr>
      <w:tr>
        <w:trPr>
          <w:trHeight w:val="1029" w:hRule="atLeast"/>
        </w:trPr>
        <w:tc>
          <w:tcPr>
            <w:tcW w:w="695" w:type="dxa"/>
            <w:tcBorders>
              <w:top w:val="single" w:sz="8" w:space="0" w:color="000000"/>
            </w:tcBorders>
          </w:tcPr>
          <w:p>
            <w:pPr>
              <w:pStyle w:val="TableParagraph"/>
              <w:spacing w:before="1"/>
              <w:rPr>
                <w:sz w:val="19"/>
              </w:rPr>
            </w:pPr>
          </w:p>
          <w:p>
            <w:pPr>
              <w:pStyle w:val="TableParagraph"/>
              <w:ind w:left="108"/>
              <w:rPr>
                <w:b/>
                <w:sz w:val="21"/>
              </w:rPr>
            </w:pPr>
            <w:r>
              <w:rPr>
                <w:b/>
                <w:sz w:val="21"/>
              </w:rPr>
              <w:t>9.1</w:t>
            </w:r>
          </w:p>
        </w:tc>
        <w:tc>
          <w:tcPr>
            <w:tcW w:w="1855" w:type="dxa"/>
            <w:tcBorders>
              <w:top w:val="single" w:sz="8" w:space="0" w:color="000000"/>
            </w:tcBorders>
          </w:tcPr>
          <w:p>
            <w:pPr>
              <w:pStyle w:val="TableParagraph"/>
              <w:rPr>
                <w:sz w:val="21"/>
              </w:rPr>
            </w:pPr>
          </w:p>
          <w:p>
            <w:pPr>
              <w:pStyle w:val="TableParagraph"/>
              <w:ind w:left="230"/>
              <w:rPr>
                <w:b/>
                <w:sz w:val="21"/>
              </w:rPr>
            </w:pPr>
            <w:r>
              <w:rPr>
                <w:b/>
                <w:sz w:val="21"/>
              </w:rPr>
              <w:t>周岁</w:t>
            </w:r>
          </w:p>
        </w:tc>
        <w:tc>
          <w:tcPr>
            <w:tcW w:w="7367" w:type="dxa"/>
            <w:tcBorders>
              <w:top w:val="single" w:sz="8" w:space="0" w:color="000000"/>
            </w:tcBorders>
          </w:tcPr>
          <w:p>
            <w:pPr>
              <w:pStyle w:val="TableParagraph"/>
              <w:spacing w:before="1"/>
              <w:rPr>
                <w:sz w:val="19"/>
              </w:rPr>
            </w:pPr>
          </w:p>
          <w:p>
            <w:pPr>
              <w:pStyle w:val="TableParagraph"/>
              <w:spacing w:line="273" w:lineRule="auto"/>
              <w:ind w:left="361" w:right="73"/>
              <w:rPr>
                <w:sz w:val="21"/>
              </w:rPr>
            </w:pPr>
            <w:r>
              <w:rPr>
                <w:sz w:val="21"/>
              </w:rPr>
              <w:t>指按有效身份证件中记载的出生日期计算的年龄，自出生之日起为零周岁， 每经过一年增加一岁，不足一年的不计。</w:t>
            </w:r>
          </w:p>
        </w:tc>
      </w:tr>
      <w:tr>
        <w:trPr>
          <w:trHeight w:val="715" w:hRule="atLeast"/>
        </w:trPr>
        <w:tc>
          <w:tcPr>
            <w:tcW w:w="695" w:type="dxa"/>
          </w:tcPr>
          <w:p>
            <w:pPr>
              <w:pStyle w:val="TableParagraph"/>
              <w:spacing w:before="128"/>
              <w:ind w:left="108"/>
              <w:rPr>
                <w:b/>
                <w:sz w:val="21"/>
              </w:rPr>
            </w:pPr>
            <w:r>
              <w:rPr>
                <w:b/>
                <w:sz w:val="21"/>
              </w:rPr>
              <w:t>9.2</w:t>
            </w:r>
          </w:p>
        </w:tc>
        <w:tc>
          <w:tcPr>
            <w:tcW w:w="1855" w:type="dxa"/>
          </w:tcPr>
          <w:p>
            <w:pPr>
              <w:pStyle w:val="TableParagraph"/>
              <w:spacing w:before="153"/>
              <w:ind w:left="230"/>
              <w:rPr>
                <w:b/>
                <w:sz w:val="21"/>
              </w:rPr>
            </w:pPr>
            <w:r>
              <w:rPr>
                <w:b/>
                <w:w w:val="95"/>
                <w:sz w:val="21"/>
              </w:rPr>
              <w:t>有效身份证件</w:t>
            </w:r>
          </w:p>
        </w:tc>
        <w:tc>
          <w:tcPr>
            <w:tcW w:w="7367" w:type="dxa"/>
          </w:tcPr>
          <w:p>
            <w:pPr>
              <w:pStyle w:val="TableParagraph"/>
              <w:spacing w:line="310" w:lineRule="atLeast" w:before="93"/>
              <w:ind w:left="361" w:right="50"/>
              <w:rPr>
                <w:sz w:val="21"/>
              </w:rPr>
            </w:pPr>
            <w:r>
              <w:rPr>
                <w:sz w:val="21"/>
              </w:rPr>
              <w:t>指由政府主管部门规定的证明个人身份的证件，如：居民身份证、按规定可使用的有效护照、军官证、警官证、士兵证等证件。</w:t>
            </w:r>
          </w:p>
        </w:tc>
      </w:tr>
    </w:tbl>
    <w:p>
      <w:pPr>
        <w:spacing w:after="0" w:line="310" w:lineRule="atLeast"/>
        <w:rPr>
          <w:sz w:val="21"/>
        </w:rPr>
        <w:sectPr>
          <w:pgSz w:w="11910" w:h="16840"/>
          <w:pgMar w:top="1500" w:bottom="280" w:left="800" w:right="960"/>
        </w:sectPr>
      </w:pPr>
    </w:p>
    <w:p>
      <w:pPr>
        <w:pStyle w:val="BodyText"/>
        <w:tabs>
          <w:tab w:pos="918" w:val="left" w:leader="none"/>
          <w:tab w:pos="2904" w:val="left" w:leader="none"/>
        </w:tabs>
        <w:spacing w:line="273" w:lineRule="auto" w:before="20"/>
        <w:ind w:left="2904" w:right="222" w:hanging="2804"/>
      </w:pPr>
      <w:r>
        <w:rPr>
          <w:b/>
        </w:rPr>
        <w:t>9.3</w:t>
        <w:tab/>
        <w:t>重大疾病</w:t>
        <w:tab/>
      </w:r>
      <w:r>
        <w:rPr/>
        <w:t>重大疾病是指被保险人初次发生符合下列定义的疾病</w:t>
      </w:r>
      <w:r>
        <w:rPr>
          <w:spacing w:val="-33"/>
        </w:rPr>
        <w:t>，</w:t>
      </w:r>
      <w:r>
        <w:rPr/>
        <w:t>或初次接受符合下列定义的手术。该疾病或手术应当由</w:t>
      </w:r>
      <w:r>
        <w:rPr>
          <w:rFonts w:ascii="黑体" w:eastAsia="黑体" w:hint="eastAsia"/>
          <w:b/>
        </w:rPr>
        <w:t>专科医Th</w:t>
      </w:r>
      <w:r>
        <w:rPr/>
        <w:t>（见</w:t>
      </w:r>
      <w:r>
        <w:rPr>
          <w:spacing w:val="-58"/>
        </w:rPr>
        <w:t> </w:t>
      </w:r>
      <w:r>
        <w:rPr/>
        <w:t>9.4）明确诊断。</w:t>
      </w:r>
    </w:p>
    <w:p>
      <w:pPr>
        <w:pStyle w:val="BodyText"/>
        <w:spacing w:before="3"/>
        <w:rPr>
          <w:sz w:val="22"/>
        </w:rPr>
      </w:pPr>
    </w:p>
    <w:p>
      <w:pPr>
        <w:pStyle w:val="BodyText"/>
        <w:ind w:left="918" w:firstLine="1986"/>
      </w:pPr>
      <w:r>
        <w:rPr/>
        <w:t>以下重大疾病是中国保险行业协会与中国医师协会制定了规范定义的疾病。</w:t>
      </w:r>
    </w:p>
    <w:p>
      <w:pPr>
        <w:pStyle w:val="BodyText"/>
        <w:spacing w:before="1"/>
        <w:rPr>
          <w:sz w:val="24"/>
        </w:rPr>
      </w:pPr>
    </w:p>
    <w:p>
      <w:pPr>
        <w:pStyle w:val="BodyText"/>
        <w:tabs>
          <w:tab w:pos="2904" w:val="left" w:leader="none"/>
        </w:tabs>
        <w:spacing w:line="312" w:lineRule="exact"/>
        <w:ind w:left="2904" w:right="221" w:hanging="1986"/>
        <w:jc w:val="both"/>
      </w:pPr>
      <w:r>
        <w:rPr>
          <w:rFonts w:ascii="等线" w:eastAsia="等线" w:hint="eastAsia"/>
          <w:b/>
          <w:position w:val="-2"/>
          <w:sz w:val="24"/>
        </w:rPr>
        <w:t>恶性肿瘤</w:t>
        <w:tab/>
      </w:r>
      <w:r>
        <w:rPr/>
        <w:t>指恶性细胞不受控制的进行性增长和扩散</w:t>
      </w:r>
      <w:r>
        <w:rPr>
          <w:spacing w:val="-16"/>
        </w:rPr>
        <w:t>，</w:t>
      </w:r>
      <w:r>
        <w:rPr/>
        <w:t>浸润和破坏周围正常组织</w:t>
      </w:r>
      <w:r>
        <w:rPr>
          <w:spacing w:val="-16"/>
        </w:rPr>
        <w:t>，</w:t>
      </w:r>
      <w:r>
        <w:rPr/>
        <w:t>可以经血管</w:t>
      </w:r>
      <w:r>
        <w:rPr>
          <w:spacing w:val="-16"/>
        </w:rPr>
        <w:t>、</w:t>
      </w:r>
      <w:r>
        <w:rPr/>
        <w:t>淋巴管和体腔扩散转移到身体其它部位的疾病</w:t>
      </w:r>
      <w:r>
        <w:rPr>
          <w:spacing w:val="-16"/>
        </w:rPr>
        <w:t>。</w:t>
      </w:r>
      <w:r>
        <w:rPr/>
        <w:t>经病理学检查结果明确诊断</w:t>
      </w:r>
      <w:r>
        <w:rPr>
          <w:spacing w:val="-16"/>
        </w:rPr>
        <w:t>，</w:t>
      </w:r>
      <w:r>
        <w:rPr/>
        <w:t>临床诊断属于世界卫生组</w:t>
      </w:r>
      <w:r>
        <w:rPr>
          <w:spacing w:val="-16"/>
        </w:rPr>
        <w:t>织</w:t>
      </w:r>
      <w:r>
        <w:rPr/>
        <w:t>《疾病和有关健康问题的国际统计分</w:t>
      </w:r>
      <w:r>
        <w:rPr>
          <w:spacing w:val="-1"/>
        </w:rPr>
        <w:t>类</w:t>
      </w:r>
      <w:r>
        <w:rPr>
          <w:spacing w:val="-105"/>
        </w:rPr>
        <w:t>》</w:t>
      </w:r>
      <w:r>
        <w:rPr>
          <w:spacing w:val="-1"/>
        </w:rPr>
        <w:t>（ICD-10）</w:t>
      </w:r>
      <w:r>
        <w:rPr/>
        <w:t>的恶性肿瘤范畴。</w:t>
      </w:r>
      <w:r>
        <w:rPr>
          <w:shd w:fill="DADADA" w:color="auto" w:val="clear"/>
        </w:rPr>
        <w:t>下列疾病不在保障范围内：</w:t>
      </w:r>
    </w:p>
    <w:p>
      <w:pPr>
        <w:pStyle w:val="BodyText"/>
        <w:spacing w:before="4"/>
        <w:ind w:left="2904"/>
      </w:pPr>
      <w:r>
        <w:rPr>
          <w:shd w:fill="DADADA" w:color="auto" w:val="clear"/>
        </w:rPr>
        <w:t>（1）原位癌；</w:t>
      </w:r>
    </w:p>
    <w:p>
      <w:pPr>
        <w:pStyle w:val="BodyText"/>
        <w:spacing w:before="37"/>
        <w:ind w:left="2904"/>
      </w:pPr>
      <w:r>
        <w:rPr>
          <w:shd w:fill="DADADA" w:color="auto" w:val="clear"/>
        </w:rPr>
        <w:t>（2）相当于Binet 分期方案 A 期程度的慢性淋巴细胞白血病；</w:t>
      </w:r>
    </w:p>
    <w:p>
      <w:pPr>
        <w:pStyle w:val="BodyText"/>
        <w:spacing w:before="37"/>
        <w:ind w:left="2904"/>
      </w:pPr>
      <w:r>
        <w:rPr>
          <w:shd w:fill="DADADA" w:color="auto" w:val="clear"/>
        </w:rPr>
        <w:t>（3）相当于Ann Arbor 分期方案 I 期程度的何杰金氏病；</w:t>
      </w:r>
    </w:p>
    <w:p>
      <w:pPr>
        <w:pStyle w:val="BodyText"/>
        <w:spacing w:before="37"/>
        <w:ind w:left="2904"/>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2904"/>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904"/>
      </w:pPr>
      <w:r>
        <w:rPr>
          <w:shd w:fill="DADADA" w:color="auto" w:val="clear"/>
        </w:rPr>
        <w:t>（6）感染艾滋病病毒或患艾滋病期间所患恶性肿瘤。</w:t>
      </w:r>
    </w:p>
    <w:p>
      <w:pPr>
        <w:pStyle w:val="BodyText"/>
        <w:spacing w:before="12"/>
        <w:rPr>
          <w:sz w:val="25"/>
        </w:rPr>
      </w:pPr>
    </w:p>
    <w:p>
      <w:pPr>
        <w:spacing w:line="225" w:lineRule="auto" w:before="0"/>
        <w:ind w:left="2904" w:right="222" w:hanging="1986"/>
        <w:jc w:val="both"/>
        <w:rPr>
          <w:sz w:val="21"/>
        </w:rPr>
      </w:pPr>
      <w:r>
        <w:rPr>
          <w:rFonts w:ascii="等线" w:eastAsia="等线" w:hint="eastAsia"/>
          <w:b/>
          <w:position w:val="-2"/>
          <w:sz w:val="24"/>
        </w:rPr>
        <w:t>急性心ft</w:t>
      </w:r>
      <w:r>
        <w:rPr>
          <w:rFonts w:ascii="等线" w:eastAsia="等线" w:hint="eastAsia"/>
          <w:b/>
          <w:spacing w:val="1"/>
          <w:position w:val="-2"/>
          <w:sz w:val="24"/>
        </w:rPr>
        <w:t>梗塞      </w:t>
      </w:r>
      <w:r>
        <w:rPr>
          <w:spacing w:val="-2"/>
          <w:sz w:val="21"/>
        </w:rPr>
        <w:t>指因冠状动脉阻塞导致的相应区域供血不足造成部分心肌坏死。须满足下列至少三项条件：</w:t>
      </w:r>
    </w:p>
    <w:p>
      <w:pPr>
        <w:pStyle w:val="BodyText"/>
        <w:spacing w:before="37"/>
        <w:ind w:left="2904"/>
      </w:pPr>
      <w:r>
        <w:rPr>
          <w:spacing w:val="-38"/>
        </w:rPr>
        <w:t>( </w:t>
      </w:r>
      <w:r>
        <w:rPr>
          <w:spacing w:val="13"/>
        </w:rPr>
        <w:t>1</w:t>
      </w:r>
      <w:r>
        <w:rPr>
          <w:spacing w:val="-7"/>
        </w:rPr>
        <w:t>) 典型临床表现，例如急性胸痛等；</w:t>
      </w:r>
    </w:p>
    <w:p>
      <w:pPr>
        <w:pStyle w:val="BodyText"/>
        <w:spacing w:before="37"/>
        <w:ind w:left="2904"/>
      </w:pPr>
      <w:r>
        <w:rPr>
          <w:spacing w:val="-38"/>
        </w:rPr>
        <w:t>( </w:t>
      </w:r>
      <w:r>
        <w:rPr>
          <w:spacing w:val="13"/>
        </w:rPr>
        <w:t>2</w:t>
      </w:r>
      <w:r>
        <w:rPr>
          <w:spacing w:val="-7"/>
        </w:rPr>
        <w:t>) 新近的心电图改变提示急性心肌梗塞；</w:t>
      </w:r>
    </w:p>
    <w:p>
      <w:pPr>
        <w:pStyle w:val="BodyText"/>
        <w:spacing w:line="273" w:lineRule="auto" w:before="37"/>
        <w:ind w:left="3324" w:right="222" w:hanging="420"/>
      </w:pPr>
      <w:r>
        <w:rPr>
          <w:spacing w:val="-38"/>
        </w:rPr>
        <w:t>( </w:t>
      </w:r>
      <w:r>
        <w:rPr>
          <w:spacing w:val="13"/>
        </w:rPr>
        <w:t>3</w:t>
      </w:r>
      <w:r>
        <w:rPr>
          <w:spacing w:val="-9"/>
        </w:rPr>
        <w:t>) 心肌酶或肌钙蛋白有诊断意义的升高，或呈符合急性心肌梗塞的动态性变化；</w:t>
      </w:r>
    </w:p>
    <w:p>
      <w:pPr>
        <w:pStyle w:val="BodyText"/>
        <w:spacing w:before="7"/>
        <w:ind w:left="2904"/>
      </w:pPr>
      <w:r>
        <w:rPr>
          <w:spacing w:val="-38"/>
        </w:rPr>
        <w:t>( </w:t>
      </w:r>
      <w:r>
        <w:rPr>
          <w:spacing w:val="13"/>
        </w:rPr>
        <w:t>4</w:t>
      </w:r>
      <w:r>
        <w:rPr>
          <w:spacing w:val="-21"/>
        </w:rPr>
        <w:t>) 发病 </w:t>
      </w:r>
      <w:r>
        <w:rPr/>
        <w:t>90</w:t>
      </w:r>
      <w:r>
        <w:rPr>
          <w:spacing w:val="-20"/>
        </w:rPr>
        <w:t> 日后，经检查证实左心室功能降低，如左心室射血分数低于 </w:t>
      </w:r>
      <w:r>
        <w:rPr/>
        <w:t>50%。</w:t>
      </w:r>
    </w:p>
    <w:p>
      <w:pPr>
        <w:pStyle w:val="BodyText"/>
        <w:spacing w:before="2"/>
        <w:rPr>
          <w:sz w:val="24"/>
        </w:rPr>
      </w:pPr>
    </w:p>
    <w:p>
      <w:pPr>
        <w:pStyle w:val="BodyText"/>
        <w:spacing w:line="312" w:lineRule="exact"/>
        <w:ind w:left="2904" w:right="221" w:hanging="1986"/>
        <w:jc w:val="both"/>
      </w:pPr>
      <w:r>
        <w:rPr>
          <w:rFonts w:ascii="等线" w:eastAsia="等线" w:hint="eastAsia"/>
          <w:b/>
          <w:spacing w:val="0"/>
          <w:position w:val="-2"/>
          <w:sz w:val="24"/>
        </w:rPr>
        <w:t>脑中风后遗症     </w:t>
      </w:r>
      <w:r>
        <w:rPr>
          <w:spacing w:val="-2"/>
        </w:rPr>
        <w:t>指因脑血管的突发病变引起脑血管出血、栓塞或梗塞，并导致神经系统永久</w:t>
      </w:r>
      <w:r>
        <w:rPr>
          <w:spacing w:val="-7"/>
        </w:rPr>
        <w:t>性的功能障碍。神经系统永久性的功能障碍，指疾病确诊 </w:t>
      </w:r>
      <w:r>
        <w:rPr/>
        <w:t>180</w:t>
      </w:r>
      <w:r>
        <w:rPr>
          <w:spacing w:val="-11"/>
        </w:rPr>
        <w:t> 日后，仍遗留下列一种或一种以上障碍：</w:t>
      </w:r>
    </w:p>
    <w:p>
      <w:pPr>
        <w:spacing w:line="271" w:lineRule="auto" w:before="4"/>
        <w:ind w:left="2904" w:right="2535" w:firstLine="0"/>
        <w:jc w:val="left"/>
        <w:rPr>
          <w:sz w:val="21"/>
        </w:rPr>
      </w:pPr>
      <w:r>
        <w:rPr>
          <w:spacing w:val="-38"/>
          <w:sz w:val="21"/>
        </w:rPr>
        <w:t>( </w:t>
      </w:r>
      <w:r>
        <w:rPr>
          <w:spacing w:val="28"/>
          <w:sz w:val="21"/>
        </w:rPr>
        <w:t>1</w:t>
      </w:r>
      <w:r>
        <w:rPr>
          <w:spacing w:val="-8"/>
          <w:sz w:val="21"/>
        </w:rPr>
        <w:t>) 一肢或一肢以上</w:t>
      </w:r>
      <w:r>
        <w:rPr>
          <w:rFonts w:ascii="黑体" w:eastAsia="黑体" w:hint="eastAsia"/>
          <w:b/>
          <w:spacing w:val="-1"/>
          <w:w w:val="99"/>
          <w:sz w:val="21"/>
        </w:rPr>
        <w:t>肢体机能完全丧失</w:t>
      </w:r>
      <w:r>
        <w:rPr>
          <w:sz w:val="21"/>
        </w:rPr>
        <w:t>（</w:t>
      </w:r>
      <w:r>
        <w:rPr>
          <w:spacing w:val="-27"/>
          <w:sz w:val="21"/>
        </w:rPr>
        <w:t>见 </w:t>
      </w:r>
      <w:r>
        <w:rPr>
          <w:sz w:val="21"/>
        </w:rPr>
        <w:t>9</w:t>
      </w:r>
      <w:r>
        <w:rPr>
          <w:spacing w:val="-1"/>
          <w:sz w:val="21"/>
        </w:rPr>
        <w:t>.</w:t>
      </w:r>
      <w:r>
        <w:rPr>
          <w:sz w:val="21"/>
        </w:rPr>
        <w:t>5</w:t>
      </w:r>
      <w:r>
        <w:rPr>
          <w:spacing w:val="-105"/>
          <w:sz w:val="21"/>
        </w:rPr>
        <w:t>）； </w:t>
      </w:r>
      <w:r>
        <w:rPr>
          <w:spacing w:val="-38"/>
          <w:sz w:val="21"/>
        </w:rPr>
        <w:t>( </w:t>
      </w:r>
      <w:r>
        <w:rPr>
          <w:spacing w:val="28"/>
          <w:sz w:val="21"/>
        </w:rPr>
        <w:t>2</w:t>
      </w:r>
      <w:r>
        <w:rPr>
          <w:spacing w:val="-30"/>
          <w:sz w:val="21"/>
        </w:rPr>
        <w:t>) </w:t>
      </w:r>
      <w:r>
        <w:rPr>
          <w:rFonts w:ascii="黑体" w:eastAsia="黑体" w:hint="eastAsia"/>
          <w:b/>
          <w:spacing w:val="-1"/>
          <w:w w:val="99"/>
          <w:sz w:val="21"/>
        </w:rPr>
        <w:t>语言能力或咀嚼吞咽能力完全丧失</w:t>
      </w:r>
      <w:r>
        <w:rPr>
          <w:sz w:val="21"/>
        </w:rPr>
        <w:t>（</w:t>
      </w:r>
      <w:r>
        <w:rPr>
          <w:spacing w:val="-27"/>
          <w:sz w:val="21"/>
        </w:rPr>
        <w:t>见 </w:t>
      </w:r>
      <w:r>
        <w:rPr>
          <w:sz w:val="21"/>
        </w:rPr>
        <w:t>9</w:t>
      </w:r>
      <w:r>
        <w:rPr>
          <w:spacing w:val="-1"/>
          <w:sz w:val="21"/>
        </w:rPr>
        <w:t>.</w:t>
      </w:r>
      <w:r>
        <w:rPr>
          <w:sz w:val="21"/>
        </w:rPr>
        <w:t>6</w:t>
      </w:r>
      <w:r>
        <w:rPr>
          <w:spacing w:val="-105"/>
          <w:sz w:val="21"/>
        </w:rPr>
        <w:t>）；</w:t>
      </w:r>
    </w:p>
    <w:p>
      <w:pPr>
        <w:spacing w:line="273" w:lineRule="auto" w:before="9"/>
        <w:ind w:left="3324" w:right="116" w:hanging="421"/>
        <w:jc w:val="left"/>
        <w:rPr>
          <w:sz w:val="21"/>
        </w:rPr>
      </w:pPr>
      <w:r>
        <w:rPr>
          <w:spacing w:val="-38"/>
          <w:sz w:val="21"/>
        </w:rPr>
        <w:t>( </w:t>
      </w:r>
      <w:r>
        <w:rPr>
          <w:spacing w:val="13"/>
          <w:sz w:val="21"/>
        </w:rPr>
        <w:t>3</w:t>
      </w:r>
      <w:r>
        <w:rPr>
          <w:spacing w:val="-11"/>
          <w:sz w:val="21"/>
        </w:rPr>
        <w:t>) 自主生活能力完全丧失，无法独立完成</w:t>
      </w:r>
      <w:r>
        <w:rPr>
          <w:rFonts w:ascii="黑体" w:eastAsia="黑体" w:hint="eastAsia"/>
          <w:b/>
          <w:sz w:val="21"/>
        </w:rPr>
        <w:t>六项基本日常Th</w:t>
      </w:r>
      <w:r>
        <w:rPr>
          <w:rFonts w:ascii="黑体" w:eastAsia="黑体" w:hint="eastAsia"/>
          <w:b/>
          <w:spacing w:val="-16"/>
          <w:sz w:val="21"/>
        </w:rPr>
        <w:t>活活动</w:t>
      </w:r>
      <w:r>
        <w:rPr>
          <w:sz w:val="21"/>
        </w:rPr>
        <w:t>（</w:t>
      </w:r>
      <w:r>
        <w:rPr>
          <w:spacing w:val="-27"/>
          <w:sz w:val="21"/>
        </w:rPr>
        <w:t>见 </w:t>
      </w:r>
      <w:r>
        <w:rPr>
          <w:sz w:val="21"/>
        </w:rPr>
        <w:t>9.7） 中的三项或三项以上。</w:t>
      </w:r>
    </w:p>
    <w:p>
      <w:pPr>
        <w:pStyle w:val="BodyText"/>
        <w:spacing w:before="6"/>
        <w:rPr>
          <w:sz w:val="19"/>
        </w:rPr>
      </w:pPr>
    </w:p>
    <w:p>
      <w:pPr>
        <w:spacing w:after="0"/>
        <w:rPr>
          <w:sz w:val="19"/>
        </w:rPr>
        <w:sectPr>
          <w:pgSz w:w="11910" w:h="16840"/>
          <w:pgMar w:top="1080" w:bottom="280" w:left="920" w:right="960"/>
        </w:sectPr>
      </w:pPr>
    </w:p>
    <w:p>
      <w:pPr>
        <w:pStyle w:val="Heading1"/>
        <w:spacing w:line="235" w:lineRule="auto"/>
        <w:jc w:val="both"/>
      </w:pPr>
      <w:r>
        <w:rPr/>
        <w:t>重大器官移植术或造血干细胞移植术</w:t>
      </w:r>
    </w:p>
    <w:p>
      <w:pPr>
        <w:pStyle w:val="BodyText"/>
        <w:spacing w:line="273" w:lineRule="auto" w:before="35"/>
        <w:ind w:left="162" w:right="222"/>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62" w:right="221"/>
        <w:jc w:val="both"/>
      </w:pPr>
      <w:r>
        <w:rPr>
          <w:spacing w:val="-3"/>
        </w:rPr>
        <w:t>造血干细胞移植术，指因造血功能损害或造血系统恶性肿瘤，已经实施了造</w:t>
      </w:r>
      <w:r>
        <w:rPr>
          <w:spacing w:val="-5"/>
        </w:rPr>
        <w:t>血干细胞</w:t>
      </w:r>
      <w:r>
        <w:rPr/>
        <w:t>（</w:t>
      </w:r>
      <w:r>
        <w:rPr>
          <w:spacing w:val="-2"/>
        </w:rPr>
        <w:t>包括骨髓造血干细胞、外周血造血干细胞和脐血造血干细胞</w:t>
      </w:r>
      <w:r>
        <w:rPr>
          <w:spacing w:val="-11"/>
        </w:rPr>
        <w:t>）</w:t>
      </w:r>
      <w:r>
        <w:rPr/>
        <w:t>的异体移植手术。</w:t>
      </w:r>
    </w:p>
    <w:p>
      <w:pPr>
        <w:spacing w:after="0" w:line="273" w:lineRule="auto"/>
        <w:jc w:val="both"/>
        <w:sectPr>
          <w:type w:val="continuous"/>
          <w:pgSz w:w="11910" w:h="16840"/>
          <w:pgMar w:top="660" w:bottom="280" w:left="920" w:right="960"/>
          <w:cols w:num="2" w:equalWidth="0">
            <w:col w:w="2702" w:space="40"/>
            <w:col w:w="7288"/>
          </w:cols>
        </w:sectPr>
      </w:pPr>
    </w:p>
    <w:p>
      <w:pPr>
        <w:pStyle w:val="BodyText"/>
        <w:spacing w:before="8"/>
        <w:rPr>
          <w:sz w:val="19"/>
        </w:rPr>
      </w:pPr>
    </w:p>
    <w:p>
      <w:pPr>
        <w:spacing w:after="0"/>
        <w:rPr>
          <w:sz w:val="19"/>
        </w:rPr>
        <w:sectPr>
          <w:type w:val="continuous"/>
          <w:pgSz w:w="11910" w:h="16840"/>
          <w:pgMar w:top="660" w:bottom="280" w:left="920" w:right="960"/>
        </w:sectPr>
      </w:pPr>
    </w:p>
    <w:p>
      <w:pPr>
        <w:pStyle w:val="Heading1"/>
        <w:spacing w:line="324" w:lineRule="exact" w:before="34"/>
      </w:pPr>
      <w:r>
        <w:rPr/>
        <w:t>冠状动脉搭桥术</w:t>
      </w:r>
    </w:p>
    <w:p>
      <w:pPr>
        <w:spacing w:line="235" w:lineRule="auto" w:before="3"/>
        <w:ind w:left="918"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5"/>
        <w:ind w:left="162" w:right="168"/>
      </w:pPr>
      <w:r>
        <w:rPr/>
        <w:br w:type="column"/>
      </w:r>
      <w:r>
        <w:rPr/>
        <w:t>指为治疗严重的冠心病，实际实施了开胸进行的冠状动脉血管旁路移植的手术。</w:t>
      </w:r>
    </w:p>
    <w:p>
      <w:pPr>
        <w:pStyle w:val="BodyText"/>
        <w:spacing w:line="273" w:lineRule="auto" w:before="7"/>
        <w:ind w:left="162" w:right="168"/>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660" w:bottom="280" w:left="920" w:right="960"/>
          <w:cols w:num="2" w:equalWidth="0">
            <w:col w:w="2702" w:space="40"/>
            <w:col w:w="7288"/>
          </w:cols>
        </w:sectPr>
      </w:pPr>
    </w:p>
    <w:p>
      <w:pPr>
        <w:pStyle w:val="BodyText"/>
        <w:spacing w:before="7"/>
        <w:rPr>
          <w:sz w:val="19"/>
        </w:rPr>
      </w:pPr>
    </w:p>
    <w:p>
      <w:pPr>
        <w:spacing w:after="0"/>
        <w:rPr>
          <w:sz w:val="19"/>
        </w:rPr>
        <w:sectPr>
          <w:type w:val="continuous"/>
          <w:pgSz w:w="11910" w:h="16840"/>
          <w:pgMar w:top="660" w:bottom="280" w:left="920" w:right="960"/>
        </w:sectPr>
      </w:pPr>
    </w:p>
    <w:p>
      <w:pPr>
        <w:pStyle w:val="Heading1"/>
        <w:spacing w:line="235" w:lineRule="auto"/>
        <w:jc w:val="both"/>
      </w:pPr>
      <w:r>
        <w:rPr/>
        <w:t>终末期肾病（或称慢性肾功能衰竭尿毒症期）</w:t>
      </w:r>
    </w:p>
    <w:p>
      <w:pPr>
        <w:pStyle w:val="BodyText"/>
        <w:spacing w:before="36"/>
        <w:ind w:left="162"/>
      </w:pPr>
      <w:r>
        <w:rPr/>
        <w:br w:type="column"/>
      </w:r>
      <w:r>
        <w:rPr/>
        <w:t>指双肾功能慢性不可逆性衰竭，达到尿毒症期，经诊断后已经进行了至少 90</w:t>
      </w:r>
    </w:p>
    <w:p>
      <w:pPr>
        <w:pStyle w:val="BodyText"/>
        <w:spacing w:before="37"/>
        <w:ind w:left="162"/>
      </w:pPr>
      <w:r>
        <w:rPr/>
        <w:t>日的规律性透析治疗或实施了肾脏移植手术。</w:t>
      </w:r>
    </w:p>
    <w:p>
      <w:pPr>
        <w:spacing w:after="0"/>
        <w:sectPr>
          <w:type w:val="continuous"/>
          <w:pgSz w:w="11910" w:h="16840"/>
          <w:pgMar w:top="660" w:bottom="280" w:left="920" w:right="960"/>
          <w:cols w:num="2" w:equalWidth="0">
            <w:col w:w="2702" w:space="40"/>
            <w:col w:w="7288"/>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303"/>
      </w:tblGrid>
      <w:tr>
        <w:trPr>
          <w:trHeight w:val="715" w:hRule="atLeast"/>
        </w:trPr>
        <w:tc>
          <w:tcPr>
            <w:tcW w:w="2084" w:type="dxa"/>
          </w:tcPr>
          <w:p>
            <w:pPr>
              <w:pStyle w:val="TableParagraph"/>
              <w:spacing w:line="261" w:lineRule="exact"/>
              <w:ind w:left="200"/>
              <w:rPr>
                <w:rFonts w:ascii="等线" w:eastAsia="等线" w:hint="eastAsia"/>
                <w:b/>
                <w:sz w:val="24"/>
              </w:rPr>
            </w:pPr>
            <w:r>
              <w:rPr>
                <w:rFonts w:ascii="等线" w:eastAsia="等线" w:hint="eastAsia"/>
                <w:b/>
                <w:sz w:val="24"/>
              </w:rPr>
              <w:t>多个肢体缺失</w:t>
            </w:r>
          </w:p>
        </w:tc>
        <w:tc>
          <w:tcPr>
            <w:tcW w:w="7303" w:type="dxa"/>
          </w:tcPr>
          <w:p>
            <w:pPr>
              <w:pStyle w:val="TableParagraph"/>
              <w:spacing w:line="210" w:lineRule="exact"/>
              <w:ind w:left="101"/>
              <w:rPr>
                <w:sz w:val="21"/>
              </w:rPr>
            </w:pPr>
            <w:r>
              <w:rPr>
                <w:sz w:val="21"/>
              </w:rPr>
              <w:t>指因疾病或意外伤害导致两个或两个以上肢体自腕关节或踝关节近端（靠近</w:t>
            </w:r>
          </w:p>
          <w:p>
            <w:pPr>
              <w:pStyle w:val="TableParagraph"/>
              <w:spacing w:before="37"/>
              <w:ind w:left="101"/>
              <w:rPr>
                <w:sz w:val="21"/>
              </w:rPr>
            </w:pPr>
            <w:r>
              <w:rPr>
                <w:sz w:val="21"/>
              </w:rPr>
              <w:t>躯干端）以上完全性断离。</w:t>
            </w:r>
          </w:p>
        </w:tc>
      </w:tr>
      <w:tr>
        <w:trPr>
          <w:trHeight w:val="2155" w:hRule="atLeast"/>
        </w:trPr>
        <w:tc>
          <w:tcPr>
            <w:tcW w:w="2084" w:type="dxa"/>
          </w:tcPr>
          <w:p>
            <w:pPr>
              <w:pStyle w:val="TableParagraph"/>
              <w:spacing w:line="235" w:lineRule="auto" w:before="133"/>
              <w:ind w:left="200" w:right="98"/>
              <w:rPr>
                <w:rFonts w:ascii="等线" w:eastAsia="等线" w:hint="eastAsia"/>
                <w:b/>
                <w:sz w:val="24"/>
              </w:rPr>
            </w:pPr>
            <w:r>
              <w:rPr>
                <w:rFonts w:ascii="等线" w:eastAsia="等线" w:hint="eastAsia"/>
                <w:b/>
                <w:sz w:val="24"/>
              </w:rPr>
              <w:t>急性或亚急性重症肝炎</w:t>
            </w:r>
          </w:p>
        </w:tc>
        <w:tc>
          <w:tcPr>
            <w:tcW w:w="7303" w:type="dxa"/>
          </w:tcPr>
          <w:p>
            <w:pPr>
              <w:pStyle w:val="TableParagraph"/>
              <w:spacing w:line="273" w:lineRule="auto" w:before="128"/>
              <w:ind w:left="101" w:right="24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1"/>
              <w:rPr>
                <w:sz w:val="21"/>
              </w:rPr>
            </w:pPr>
            <w:r>
              <w:rPr>
                <w:sz w:val="21"/>
              </w:rPr>
              <w:t>（1）重度黄疸或黄疸迅速加重；</w:t>
            </w:r>
          </w:p>
          <w:p>
            <w:pPr>
              <w:pStyle w:val="TableParagraph"/>
              <w:spacing w:before="36"/>
              <w:ind w:left="101"/>
              <w:rPr>
                <w:sz w:val="21"/>
              </w:rPr>
            </w:pPr>
            <w:r>
              <w:rPr>
                <w:sz w:val="21"/>
              </w:rPr>
              <w:t>（2）肝性脑病；</w:t>
            </w:r>
          </w:p>
          <w:p>
            <w:pPr>
              <w:pStyle w:val="TableParagraph"/>
              <w:spacing w:before="36"/>
              <w:ind w:left="101"/>
              <w:rPr>
                <w:sz w:val="21"/>
              </w:rPr>
            </w:pPr>
            <w:r>
              <w:rPr>
                <w:sz w:val="21"/>
              </w:rPr>
              <w:t>（3）B 超或其它影像学检查显示肝脏体积急速萎缩；</w:t>
            </w:r>
          </w:p>
          <w:p>
            <w:pPr>
              <w:pStyle w:val="TableParagraph"/>
              <w:spacing w:before="36"/>
              <w:ind w:left="101"/>
              <w:rPr>
                <w:sz w:val="21"/>
              </w:rPr>
            </w:pPr>
            <w:r>
              <w:rPr>
                <w:sz w:val="21"/>
              </w:rPr>
              <w:t>（4）肝功能指标进行性恶化。</w:t>
            </w:r>
          </w:p>
        </w:tc>
      </w:tr>
      <w:tr>
        <w:trPr>
          <w:trHeight w:val="2467" w:hRule="atLeast"/>
        </w:trPr>
        <w:tc>
          <w:tcPr>
            <w:tcW w:w="2084"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303" w:type="dxa"/>
          </w:tcPr>
          <w:p>
            <w:pPr>
              <w:pStyle w:val="TableParagraph"/>
              <w:spacing w:line="273" w:lineRule="auto" w:before="127"/>
              <w:ind w:left="101" w:right="300"/>
              <w:jc w:val="both"/>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5"/>
                <w:sz w:val="21"/>
              </w:rPr>
              <w:t>T</w:t>
            </w:r>
            <w:r>
              <w:rPr>
                <w:spacing w:val="-104"/>
                <w:sz w:val="21"/>
              </w:rPr>
              <w:t>）</w:t>
            </w:r>
            <w:r>
              <w:rPr>
                <w:spacing w:val="0"/>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before="37"/>
              <w:ind w:left="101"/>
              <w:jc w:val="both"/>
              <w:rPr>
                <w:sz w:val="21"/>
              </w:rPr>
            </w:pPr>
            <w:r>
              <w:rPr>
                <w:sz w:val="21"/>
                <w:shd w:fill="DADADA" w:color="auto" w:val="clear"/>
              </w:rPr>
              <w:t>脑垂体瘤、脑囊肿、脑血管性疾病不在保障范围内。</w:t>
            </w:r>
          </w:p>
        </w:tc>
      </w:tr>
      <w:tr>
        <w:trPr>
          <w:trHeight w:val="2156" w:hRule="atLeast"/>
        </w:trPr>
        <w:tc>
          <w:tcPr>
            <w:tcW w:w="2084" w:type="dxa"/>
          </w:tcPr>
          <w:p>
            <w:pPr>
              <w:pStyle w:val="TableParagraph"/>
              <w:spacing w:line="235" w:lineRule="auto" w:before="134"/>
              <w:ind w:left="200" w:right="98"/>
              <w:rPr>
                <w:rFonts w:ascii="等线" w:eastAsia="等线" w:hint="eastAsia"/>
                <w:b/>
                <w:sz w:val="24"/>
              </w:rPr>
            </w:pPr>
            <w:r>
              <w:rPr>
                <w:rFonts w:ascii="等线" w:eastAsia="等线" w:hint="eastAsia"/>
                <w:b/>
                <w:sz w:val="24"/>
              </w:rPr>
              <w:t>慢性肝功能衰竭失代偿期</w:t>
            </w:r>
          </w:p>
        </w:tc>
        <w:tc>
          <w:tcPr>
            <w:tcW w:w="7303" w:type="dxa"/>
          </w:tcPr>
          <w:p>
            <w:pPr>
              <w:pStyle w:val="TableParagraph"/>
              <w:spacing w:before="128"/>
              <w:ind w:left="101"/>
              <w:rPr>
                <w:sz w:val="21"/>
              </w:rPr>
            </w:pPr>
            <w:r>
              <w:rPr>
                <w:sz w:val="21"/>
              </w:rPr>
              <w:t>指因慢性肝脏疾病导致肝功能衰竭。须满足下列全部条件：</w:t>
            </w:r>
          </w:p>
          <w:p>
            <w:pPr>
              <w:pStyle w:val="TableParagraph"/>
              <w:spacing w:before="37"/>
              <w:ind w:left="101"/>
              <w:rPr>
                <w:sz w:val="21"/>
              </w:rPr>
            </w:pPr>
            <w:r>
              <w:rPr>
                <w:sz w:val="21"/>
              </w:rPr>
              <w:t>（1）持续性黄疸；</w:t>
            </w:r>
          </w:p>
          <w:p>
            <w:pPr>
              <w:pStyle w:val="TableParagraph"/>
              <w:spacing w:before="37"/>
              <w:ind w:left="101"/>
              <w:rPr>
                <w:sz w:val="21"/>
              </w:rPr>
            </w:pPr>
            <w:r>
              <w:rPr>
                <w:sz w:val="21"/>
              </w:rPr>
              <w:t>（2）腹水；</w:t>
            </w:r>
          </w:p>
          <w:p>
            <w:pPr>
              <w:pStyle w:val="TableParagraph"/>
              <w:spacing w:before="37"/>
              <w:ind w:left="101"/>
              <w:rPr>
                <w:sz w:val="21"/>
              </w:rPr>
            </w:pPr>
            <w:r>
              <w:rPr>
                <w:sz w:val="21"/>
              </w:rPr>
              <w:t>（3）肝性脑病；</w:t>
            </w:r>
          </w:p>
          <w:p>
            <w:pPr>
              <w:pStyle w:val="TableParagraph"/>
              <w:spacing w:line="271" w:lineRule="auto" w:before="37"/>
              <w:ind w:left="101" w:right="205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4" w:type="dxa"/>
          </w:tcPr>
          <w:p>
            <w:pPr>
              <w:pStyle w:val="TableParagraph"/>
              <w:spacing w:line="235" w:lineRule="auto" w:before="134"/>
              <w:ind w:left="200" w:right="98"/>
              <w:rPr>
                <w:rFonts w:ascii="等线" w:eastAsia="等线" w:hint="eastAsia"/>
                <w:b/>
                <w:sz w:val="24"/>
              </w:rPr>
            </w:pPr>
            <w:r>
              <w:rPr>
                <w:rFonts w:ascii="等线" w:eastAsia="等线" w:hint="eastAsia"/>
                <w:b/>
                <w:sz w:val="24"/>
              </w:rPr>
              <w:t>脑炎后遗症或脑膜炎后遗症</w:t>
            </w:r>
          </w:p>
        </w:tc>
        <w:tc>
          <w:tcPr>
            <w:tcW w:w="7303" w:type="dxa"/>
          </w:tcPr>
          <w:p>
            <w:pPr>
              <w:pStyle w:val="TableParagraph"/>
              <w:spacing w:line="273" w:lineRule="auto" w:before="128"/>
              <w:ind w:left="101" w:right="246"/>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73" w:lineRule="auto" w:before="7"/>
              <w:ind w:left="101" w:right="3440"/>
              <w:rPr>
                <w:sz w:val="21"/>
              </w:rPr>
            </w:pPr>
            <w:r>
              <w:rPr>
                <w:spacing w:val="-38"/>
                <w:sz w:val="21"/>
              </w:rPr>
              <w:t>( </w:t>
            </w:r>
            <w:r>
              <w:rPr>
                <w:spacing w:val="13"/>
                <w:sz w:val="21"/>
              </w:rPr>
              <w:t>1</w:t>
            </w:r>
            <w:r>
              <w:rPr>
                <w:spacing w:val="-7"/>
                <w:sz w:val="21"/>
              </w:rPr>
              <w:t>) 一肢或一肢以上肢体机能完全丧失； </w:t>
            </w:r>
            <w:r>
              <w:rPr>
                <w:spacing w:val="-41"/>
                <w:sz w:val="21"/>
              </w:rPr>
              <w:t>( </w:t>
            </w:r>
            <w:r>
              <w:rPr>
                <w:spacing w:val="13"/>
                <w:sz w:val="21"/>
              </w:rPr>
              <w:t>2</w:t>
            </w:r>
            <w:r>
              <w:rPr>
                <w:spacing w:val="-7"/>
                <w:sz w:val="21"/>
              </w:rPr>
              <w:t>) 语言能力或咀嚼吞咽能力完全丧失；</w:t>
            </w:r>
          </w:p>
          <w:p>
            <w:pPr>
              <w:pStyle w:val="TableParagraph"/>
              <w:spacing w:line="273" w:lineRule="auto" w:before="7"/>
              <w:ind w:left="521" w:right="301" w:hanging="420"/>
              <w:rPr>
                <w:sz w:val="21"/>
              </w:rPr>
            </w:pPr>
            <w:r>
              <w:rPr>
                <w:spacing w:val="-38"/>
                <w:sz w:val="21"/>
              </w:rPr>
              <w:t>( </w:t>
            </w:r>
            <w:r>
              <w:rPr>
                <w:spacing w:val="13"/>
                <w:sz w:val="21"/>
              </w:rPr>
              <w:t>3</w:t>
            </w:r>
            <w:r>
              <w:rPr>
                <w:spacing w:val="-9"/>
                <w:sz w:val="21"/>
              </w:rPr>
              <w:t>) 自主生活能力完全丧失，无法独立完成六项基本日常生活活动中的三项或三项以上。</w:t>
            </w:r>
          </w:p>
        </w:tc>
      </w:tr>
      <w:tr>
        <w:trPr>
          <w:trHeight w:val="1531" w:hRule="atLeast"/>
        </w:trPr>
        <w:tc>
          <w:tcPr>
            <w:tcW w:w="2084"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03" w:type="dxa"/>
          </w:tcPr>
          <w:p>
            <w:pPr>
              <w:pStyle w:val="TableParagraph"/>
              <w:spacing w:line="273" w:lineRule="auto" w:before="127"/>
              <w:ind w:left="101" w:right="196"/>
              <w:rPr>
                <w:sz w:val="21"/>
              </w:rPr>
            </w:pPr>
            <w:r>
              <w:rPr>
                <w:spacing w:val="-2"/>
                <w:sz w:val="21"/>
              </w:rPr>
              <w:t>指因疾病或意外伤害导致意识丧失，对外界刺激和体内需求均无反应，昏迷</w:t>
            </w:r>
            <w:r>
              <w:rPr>
                <w:spacing w:val="-4"/>
                <w:sz w:val="21"/>
              </w:rPr>
              <w:t>程度按照格拉斯哥昏迷分级</w:t>
            </w:r>
            <w:r>
              <w:rPr>
                <w:sz w:val="21"/>
              </w:rPr>
              <w:t>（Glasgow</w:t>
            </w:r>
            <w:r>
              <w:rPr>
                <w:spacing w:val="-54"/>
                <w:sz w:val="21"/>
              </w:rPr>
              <w:t> </w:t>
            </w:r>
            <w:r>
              <w:rPr>
                <w:sz w:val="21"/>
              </w:rPr>
              <w:t>coma</w:t>
            </w:r>
            <w:r>
              <w:rPr>
                <w:spacing w:val="-54"/>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15"/>
                <w:sz w:val="21"/>
              </w:rPr>
              <w:t>且已经持续使用呼吸机及其它生命维持系统 </w:t>
            </w:r>
            <w:r>
              <w:rPr>
                <w:sz w:val="21"/>
              </w:rPr>
              <w:t>96</w:t>
            </w:r>
            <w:r>
              <w:rPr>
                <w:spacing w:val="-10"/>
                <w:sz w:val="21"/>
              </w:rPr>
              <w:t> 小时以上。</w:t>
            </w:r>
          </w:p>
          <w:p>
            <w:pPr>
              <w:pStyle w:val="TableParagraph"/>
              <w:spacing w:before="7"/>
              <w:ind w:left="101"/>
              <w:rPr>
                <w:sz w:val="21"/>
              </w:rPr>
            </w:pPr>
            <w:r>
              <w:rPr>
                <w:sz w:val="21"/>
                <w:shd w:fill="DADADA" w:color="auto" w:val="clear"/>
              </w:rPr>
              <w:t>因酗酒或药物滥用导致的深度昏迷不在保障范围内。</w:t>
            </w:r>
          </w:p>
        </w:tc>
      </w:tr>
      <w:tr>
        <w:trPr>
          <w:trHeight w:val="1220" w:hRule="atLeast"/>
        </w:trPr>
        <w:tc>
          <w:tcPr>
            <w:tcW w:w="2084" w:type="dxa"/>
          </w:tcPr>
          <w:p>
            <w:pPr>
              <w:pStyle w:val="TableParagraph"/>
              <w:spacing w:before="127"/>
              <w:ind w:left="200"/>
              <w:rPr>
                <w:rFonts w:ascii="等线" w:eastAsia="等线" w:hint="eastAsia"/>
                <w:b/>
                <w:sz w:val="24"/>
              </w:rPr>
            </w:pPr>
            <w:r>
              <w:rPr>
                <w:rFonts w:ascii="等线" w:eastAsia="等线" w:hint="eastAsia"/>
                <w:b/>
                <w:sz w:val="24"/>
              </w:rPr>
              <w:t>双耳失聪</w:t>
            </w:r>
          </w:p>
        </w:tc>
        <w:tc>
          <w:tcPr>
            <w:tcW w:w="7303" w:type="dxa"/>
          </w:tcPr>
          <w:p>
            <w:pPr>
              <w:pStyle w:val="TableParagraph"/>
              <w:spacing w:before="128"/>
              <w:ind w:left="101"/>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6"/>
              <w:ind w:left="101" w:right="196"/>
              <w:rPr>
                <w:sz w:val="21"/>
              </w:rPr>
            </w:pPr>
            <w:r>
              <w:rPr>
                <w:sz w:val="21"/>
              </w:rPr>
              <w:t>1000赫兹和2000</w:t>
            </w:r>
            <w:r>
              <w:rPr>
                <w:spacing w:val="-8"/>
                <w:sz w:val="21"/>
              </w:rPr>
              <w:t>赫兹语音频率下，平均听阈大于</w:t>
            </w:r>
            <w:r>
              <w:rPr>
                <w:sz w:val="21"/>
              </w:rPr>
              <w:t>90</w:t>
            </w:r>
            <w:r>
              <w:rPr>
                <w:spacing w:val="-9"/>
                <w:sz w:val="21"/>
              </w:rPr>
              <w:t>分贝，且经纯音听力测试、声导抗检测或听觉诱发电位检测等证实。</w:t>
            </w:r>
          </w:p>
        </w:tc>
      </w:tr>
      <w:tr>
        <w:trPr>
          <w:trHeight w:val="1963" w:hRule="atLeast"/>
        </w:trPr>
        <w:tc>
          <w:tcPr>
            <w:tcW w:w="2084" w:type="dxa"/>
          </w:tcPr>
          <w:p>
            <w:pPr>
              <w:pStyle w:val="TableParagraph"/>
              <w:spacing w:before="127"/>
              <w:ind w:left="200"/>
              <w:rPr>
                <w:rFonts w:ascii="等线" w:eastAsia="等线" w:hint="eastAsia"/>
                <w:b/>
                <w:sz w:val="24"/>
              </w:rPr>
            </w:pPr>
            <w:r>
              <w:rPr>
                <w:rFonts w:ascii="等线" w:eastAsia="等线" w:hint="eastAsia"/>
                <w:b/>
                <w:sz w:val="24"/>
              </w:rPr>
              <w:t>双目失明</w:t>
            </w:r>
          </w:p>
        </w:tc>
        <w:tc>
          <w:tcPr>
            <w:tcW w:w="7303" w:type="dxa"/>
          </w:tcPr>
          <w:p>
            <w:pPr>
              <w:pStyle w:val="TableParagraph"/>
              <w:spacing w:line="273" w:lineRule="auto" w:before="128"/>
              <w:ind w:left="101" w:right="246"/>
              <w:rPr>
                <w:sz w:val="21"/>
              </w:rPr>
            </w:pPr>
            <w:r>
              <w:rPr>
                <w:sz w:val="21"/>
              </w:rPr>
              <w:t>指因疾病或意外伤害导致双眼视力永久不可逆性丧失，双眼中较好眼须满足下列至少一项条件：</w:t>
            </w:r>
          </w:p>
          <w:p>
            <w:pPr>
              <w:pStyle w:val="TableParagraph"/>
              <w:spacing w:before="7"/>
              <w:ind w:left="101"/>
              <w:rPr>
                <w:sz w:val="21"/>
              </w:rPr>
            </w:pPr>
            <w:r>
              <w:rPr>
                <w:sz w:val="21"/>
              </w:rPr>
              <w:t>（1）眼球缺失或摘除；</w:t>
            </w:r>
          </w:p>
          <w:p>
            <w:pPr>
              <w:pStyle w:val="TableParagraph"/>
              <w:spacing w:line="273" w:lineRule="auto" w:before="36"/>
              <w:ind w:left="627" w:right="301" w:hanging="526"/>
              <w:rPr>
                <w:sz w:val="21"/>
              </w:rPr>
            </w:pPr>
            <w:r>
              <w:rPr>
                <w:sz w:val="21"/>
              </w:rPr>
              <w:t>（2）</w:t>
            </w:r>
            <w:r>
              <w:rPr>
                <w:spacing w:val="-6"/>
                <w:sz w:val="21"/>
              </w:rPr>
              <w:t>矫正视力低于 </w:t>
            </w:r>
            <w:r>
              <w:rPr>
                <w:sz w:val="21"/>
              </w:rPr>
              <w:t>0.02（采用国际标准视力表，如果使用其它视力表应进行换算</w:t>
            </w:r>
            <w:r>
              <w:rPr>
                <w:spacing w:val="-105"/>
                <w:sz w:val="21"/>
              </w:rPr>
              <w:t>）</w:t>
            </w:r>
            <w:r>
              <w:rPr>
                <w:sz w:val="21"/>
              </w:rPr>
              <w:t>；</w:t>
            </w:r>
          </w:p>
          <w:p>
            <w:pPr>
              <w:pStyle w:val="TableParagraph"/>
              <w:spacing w:line="255" w:lineRule="exact" w:before="7"/>
              <w:ind w:left="101"/>
              <w:rPr>
                <w:sz w:val="21"/>
              </w:rPr>
            </w:pPr>
            <w:r>
              <w:rPr>
                <w:sz w:val="21"/>
              </w:rPr>
              <w:t>（3）视野半径小于 5 度。</w:t>
            </w:r>
          </w:p>
        </w:tc>
      </w:tr>
    </w:tbl>
    <w:p>
      <w:pPr>
        <w:spacing w:after="0" w:line="255" w:lineRule="exact"/>
        <w:rPr>
          <w:sz w:val="21"/>
        </w:rPr>
        <w:sectPr>
          <w:pgSz w:w="11910" w:h="16840"/>
          <w:pgMar w:top="1160" w:bottom="280" w:left="152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7302"/>
      </w:tblGrid>
      <w:tr>
        <w:trPr>
          <w:trHeight w:val="1026" w:hRule="atLeast"/>
        </w:trPr>
        <w:tc>
          <w:tcPr>
            <w:tcW w:w="2085" w:type="dxa"/>
          </w:tcPr>
          <w:p>
            <w:pPr>
              <w:pStyle w:val="TableParagraph"/>
              <w:spacing w:line="261" w:lineRule="exact"/>
              <w:ind w:left="200"/>
              <w:rPr>
                <w:rFonts w:ascii="等线" w:eastAsia="等线" w:hint="eastAsia"/>
                <w:b/>
                <w:sz w:val="24"/>
              </w:rPr>
            </w:pPr>
            <w:r>
              <w:rPr>
                <w:rFonts w:ascii="等线" w:eastAsia="等线" w:hint="eastAsia"/>
                <w:b/>
                <w:sz w:val="24"/>
              </w:rPr>
              <w:t>瘫痪</w:t>
            </w:r>
          </w:p>
        </w:tc>
        <w:tc>
          <w:tcPr>
            <w:tcW w:w="7302" w:type="dxa"/>
          </w:tcPr>
          <w:p>
            <w:pPr>
              <w:pStyle w:val="TableParagraph"/>
              <w:spacing w:line="210" w:lineRule="exact"/>
              <w:ind w:left="100"/>
              <w:rPr>
                <w:sz w:val="21"/>
              </w:rPr>
            </w:pPr>
            <w:r>
              <w:rPr>
                <w:sz w:val="21"/>
              </w:rPr>
              <w:t>指因疾病或意外伤害导致两肢或两肢以上肢体机能永久完全丧失。肢体机能</w:t>
            </w:r>
          </w:p>
          <w:p>
            <w:pPr>
              <w:pStyle w:val="TableParagraph"/>
              <w:spacing w:line="273" w:lineRule="auto" w:before="37"/>
              <w:ind w:left="101" w:right="300"/>
              <w:rPr>
                <w:sz w:val="21"/>
              </w:rPr>
            </w:pPr>
            <w:r>
              <w:rPr>
                <w:spacing w:val="-7"/>
                <w:sz w:val="21"/>
              </w:rPr>
              <w:t>永久完全丧失，指疾病确诊 </w:t>
            </w:r>
            <w:r>
              <w:rPr>
                <w:sz w:val="21"/>
              </w:rPr>
              <w:t>180</w:t>
            </w:r>
            <w:r>
              <w:rPr>
                <w:spacing w:val="-13"/>
                <w:sz w:val="21"/>
              </w:rPr>
              <w:t> 日后或意外伤害发生 </w:t>
            </w:r>
            <w:r>
              <w:rPr>
                <w:sz w:val="21"/>
              </w:rPr>
              <w:t>180</w:t>
            </w:r>
            <w:r>
              <w:rPr>
                <w:spacing w:val="-10"/>
                <w:sz w:val="21"/>
              </w:rPr>
              <w:t> 日后，每肢三大关节中的两大关节仍然完全僵硬，或不能随意识活动。</w:t>
            </w:r>
          </w:p>
        </w:tc>
      </w:tr>
      <w:tr>
        <w:trPr>
          <w:trHeight w:val="907" w:hRule="atLeast"/>
        </w:trPr>
        <w:tc>
          <w:tcPr>
            <w:tcW w:w="2085"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302" w:type="dxa"/>
          </w:tcPr>
          <w:p>
            <w:pPr>
              <w:pStyle w:val="TableParagraph"/>
              <w:spacing w:line="273" w:lineRule="auto" w:before="127"/>
              <w:ind w:left="100" w:right="292"/>
              <w:rPr>
                <w:sz w:val="21"/>
              </w:rPr>
            </w:pPr>
            <w:r>
              <w:rPr>
                <w:sz w:val="21"/>
              </w:rPr>
              <w:t>指为治疗心脏瓣膜疾病，实际实施了开胸进行的心脏瓣膜置换或修复的手术。</w:t>
            </w:r>
          </w:p>
        </w:tc>
      </w:tr>
      <w:tr>
        <w:trPr>
          <w:trHeight w:val="2156" w:hRule="atLeast"/>
        </w:trPr>
        <w:tc>
          <w:tcPr>
            <w:tcW w:w="2085"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严重阿尔茨海默病</w:t>
            </w:r>
          </w:p>
        </w:tc>
        <w:tc>
          <w:tcPr>
            <w:tcW w:w="7302" w:type="dxa"/>
          </w:tcPr>
          <w:p>
            <w:pPr>
              <w:pStyle w:val="TableParagraph"/>
              <w:spacing w:line="273" w:lineRule="auto" w:before="128"/>
              <w:ind w:left="100" w:right="300"/>
              <w:jc w:val="both"/>
              <w:rPr>
                <w:sz w:val="21"/>
              </w:rPr>
            </w:pPr>
            <w:r>
              <w:rPr>
                <w:spacing w:val="-3"/>
                <w:sz w:val="21"/>
              </w:rPr>
              <w:t>指因大脑进行性、不可逆性改变导致智能严重衰退或丧失，临床表现为明显</w:t>
            </w:r>
            <w:r>
              <w:rPr>
                <w:spacing w:val="-6"/>
                <w:sz w:val="21"/>
              </w:rPr>
              <w:t>的认知能力障碍、行为异常和社交能力减退，其日常生活必须持续受到他人监护。须由头颅断层扫描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7"/>
                <w:sz w:val="21"/>
              </w:rPr>
              <w:t>）</w:t>
            </w:r>
            <w:r>
              <w:rPr>
                <w:spacing w:val="-1"/>
                <w:sz w:val="21"/>
              </w:rPr>
              <w:t>或正电子发射断层扫描（PET）等影像学检查证实，且自主生活能力完全丧失，无法独立完成六项基本日常生活活动中的三项或三项以上。</w:t>
            </w:r>
          </w:p>
          <w:p>
            <w:pPr>
              <w:pStyle w:val="TableParagraph"/>
              <w:spacing w:before="7"/>
              <w:ind w:left="100"/>
              <w:jc w:val="both"/>
              <w:rPr>
                <w:sz w:val="21"/>
              </w:rPr>
            </w:pPr>
            <w:r>
              <w:rPr>
                <w:sz w:val="21"/>
                <w:shd w:fill="DADADA" w:color="auto" w:val="clear"/>
              </w:rPr>
              <w:t>神经官能症和精神疾病不在保障范围内。</w:t>
            </w:r>
          </w:p>
        </w:tc>
      </w:tr>
      <w:tr>
        <w:trPr>
          <w:trHeight w:val="2780" w:hRule="atLeast"/>
        </w:trPr>
        <w:tc>
          <w:tcPr>
            <w:tcW w:w="2085"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302" w:type="dxa"/>
          </w:tcPr>
          <w:p>
            <w:pPr>
              <w:pStyle w:val="TableParagraph"/>
              <w:spacing w:line="273" w:lineRule="auto" w:before="128"/>
              <w:ind w:left="100" w:right="300"/>
              <w:jc w:val="both"/>
              <w:rPr>
                <w:sz w:val="21"/>
              </w:rPr>
            </w:pPr>
            <w:r>
              <w:rPr>
                <w:spacing w:val="-3"/>
                <w:sz w:val="21"/>
              </w:rPr>
              <w:t>指因头部遭受机械性外力，引起脑重要部位损伤，导致神经系统永久性的功</w:t>
            </w:r>
            <w:r>
              <w:rPr>
                <w:spacing w:val="-5"/>
                <w:sz w:val="21"/>
              </w:rPr>
              <w:t>能障碍。须由头颅断层扫描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7"/>
                <w:sz w:val="21"/>
              </w:rPr>
              <w:t>）</w:t>
            </w:r>
            <w:r>
              <w:rPr>
                <w:spacing w:val="-1"/>
                <w:sz w:val="21"/>
              </w:rPr>
              <w:t>或正电子发射断层</w:t>
            </w:r>
            <w:r>
              <w:rPr>
                <w:spacing w:val="-12"/>
                <w:sz w:val="21"/>
              </w:rPr>
              <w:t>扫描</w:t>
            </w:r>
            <w:r>
              <w:rPr>
                <w:spacing w:val="-5"/>
                <w:sz w:val="21"/>
              </w:rPr>
              <w:t>（PET）</w:t>
            </w:r>
            <w:r>
              <w:rPr>
                <w:spacing w:val="-6"/>
                <w:sz w:val="21"/>
              </w:rPr>
              <w:t>等影像学检查证实。神经系统永久性的功能障碍，指脑损伤 </w:t>
            </w:r>
            <w:r>
              <w:rPr>
                <w:sz w:val="21"/>
              </w:rPr>
              <w:t>180 日后，仍遗留下列一种或一种以上障碍：</w:t>
            </w:r>
          </w:p>
          <w:p>
            <w:pPr>
              <w:pStyle w:val="TableParagraph"/>
              <w:spacing w:line="273" w:lineRule="auto" w:before="7"/>
              <w:ind w:left="101" w:right="3439"/>
              <w:rPr>
                <w:sz w:val="21"/>
              </w:rPr>
            </w:pPr>
            <w:r>
              <w:rPr>
                <w:spacing w:val="-38"/>
                <w:sz w:val="21"/>
              </w:rPr>
              <w:t>( </w:t>
            </w:r>
            <w:r>
              <w:rPr>
                <w:spacing w:val="13"/>
                <w:sz w:val="21"/>
              </w:rPr>
              <w:t>1</w:t>
            </w:r>
            <w:r>
              <w:rPr>
                <w:spacing w:val="-7"/>
                <w:sz w:val="21"/>
              </w:rPr>
              <w:t>) 一肢或一肢以上肢体机能完全丧失； </w:t>
            </w:r>
            <w:r>
              <w:rPr>
                <w:spacing w:val="-41"/>
                <w:sz w:val="21"/>
              </w:rPr>
              <w:t>( </w:t>
            </w:r>
            <w:r>
              <w:rPr>
                <w:spacing w:val="13"/>
                <w:sz w:val="21"/>
              </w:rPr>
              <w:t>2</w:t>
            </w:r>
            <w:r>
              <w:rPr>
                <w:spacing w:val="-7"/>
                <w:sz w:val="21"/>
              </w:rPr>
              <w:t>) 语言能力或咀嚼吞咽能力完全丧失；</w:t>
            </w:r>
          </w:p>
          <w:p>
            <w:pPr>
              <w:pStyle w:val="TableParagraph"/>
              <w:spacing w:line="273" w:lineRule="auto" w:before="7"/>
              <w:ind w:left="521" w:right="301" w:hanging="420"/>
              <w:rPr>
                <w:sz w:val="21"/>
              </w:rPr>
            </w:pPr>
            <w:r>
              <w:rPr>
                <w:spacing w:val="-38"/>
                <w:sz w:val="21"/>
              </w:rPr>
              <w:t>( </w:t>
            </w:r>
            <w:r>
              <w:rPr>
                <w:spacing w:val="13"/>
                <w:sz w:val="21"/>
              </w:rPr>
              <w:t>3</w:t>
            </w:r>
            <w:r>
              <w:rPr>
                <w:spacing w:val="-9"/>
                <w:sz w:val="21"/>
              </w:rPr>
              <w:t>) 自主生活能力完全丧失，无法独立完成六项基本日常生活活动中的三项或三项以上。</w:t>
            </w:r>
          </w:p>
        </w:tc>
      </w:tr>
      <w:tr>
        <w:trPr>
          <w:trHeight w:val="2155" w:hRule="atLeast"/>
        </w:trPr>
        <w:tc>
          <w:tcPr>
            <w:tcW w:w="2085"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302" w:type="dxa"/>
          </w:tcPr>
          <w:p>
            <w:pPr>
              <w:pStyle w:val="TableParagraph"/>
              <w:spacing w:line="273" w:lineRule="auto" w:before="127"/>
              <w:ind w:left="100" w:right="246"/>
              <w:rPr>
                <w:sz w:val="21"/>
              </w:rPr>
            </w:pPr>
            <w:r>
              <w:rPr>
                <w:sz w:val="21"/>
              </w:rPr>
              <w:t>是一种中枢神经系统的退行性疾病，临床表现为震颤麻痹、共济失调等。须满足下列全部条件：</w:t>
            </w:r>
          </w:p>
          <w:p>
            <w:pPr>
              <w:pStyle w:val="TableParagraph"/>
              <w:spacing w:before="7"/>
              <w:ind w:left="100"/>
              <w:rPr>
                <w:sz w:val="21"/>
              </w:rPr>
            </w:pPr>
            <w:r>
              <w:rPr>
                <w:sz w:val="21"/>
              </w:rPr>
              <w:t>（1）药物治疗无法控制病情；</w:t>
            </w:r>
          </w:p>
          <w:p>
            <w:pPr>
              <w:pStyle w:val="TableParagraph"/>
              <w:spacing w:line="273" w:lineRule="auto" w:before="37"/>
              <w:ind w:left="626" w:right="304" w:hanging="526"/>
              <w:rPr>
                <w:sz w:val="21"/>
              </w:rPr>
            </w:pPr>
            <w:r>
              <w:rPr>
                <w:sz w:val="21"/>
              </w:rPr>
              <w:t>（2）自主生活能力完全丧失，无法独立完成六项基本日常生活活动中的三项或三项以上。</w:t>
            </w:r>
          </w:p>
          <w:p>
            <w:pPr>
              <w:pStyle w:val="TableParagraph"/>
              <w:spacing w:before="7"/>
              <w:ind w:left="100"/>
              <w:rPr>
                <w:sz w:val="21"/>
              </w:rPr>
            </w:pPr>
            <w:r>
              <w:rPr>
                <w:sz w:val="21"/>
                <w:shd w:fill="DADADA" w:color="auto" w:val="clear"/>
              </w:rPr>
              <w:t>继发性帕金森综合征不在保障范围内。</w:t>
            </w:r>
          </w:p>
        </w:tc>
      </w:tr>
      <w:tr>
        <w:trPr>
          <w:trHeight w:val="908" w:hRule="atLeast"/>
        </w:trPr>
        <w:tc>
          <w:tcPr>
            <w:tcW w:w="2085"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302" w:type="dxa"/>
          </w:tcPr>
          <w:p>
            <w:pPr>
              <w:pStyle w:val="TableParagraph"/>
              <w:spacing w:line="273" w:lineRule="auto" w:before="128"/>
              <w:ind w:left="100" w:right="198"/>
              <w:rPr>
                <w:sz w:val="21"/>
              </w:rPr>
            </w:pPr>
            <w:r>
              <w:rPr>
                <w:spacing w:val="-6"/>
                <w:sz w:val="21"/>
              </w:rPr>
              <w:t>指烧伤程度为Ⅲ度，且Ⅲ度烧伤的面积达到全身体表面积的 </w:t>
            </w:r>
            <w:r>
              <w:rPr>
                <w:sz w:val="21"/>
              </w:rPr>
              <w:t>20%</w:t>
            </w:r>
            <w:r>
              <w:rPr>
                <w:spacing w:val="-29"/>
                <w:sz w:val="21"/>
              </w:rPr>
              <w:t>或 </w:t>
            </w:r>
            <w:r>
              <w:rPr>
                <w:sz w:val="21"/>
              </w:rPr>
              <w:t>20%以上。体表面积根据《中国新九分法》计算。</w:t>
            </w:r>
          </w:p>
        </w:tc>
      </w:tr>
      <w:tr>
        <w:trPr>
          <w:trHeight w:val="1219" w:hRule="atLeast"/>
        </w:trPr>
        <w:tc>
          <w:tcPr>
            <w:tcW w:w="2085" w:type="dxa"/>
          </w:tcPr>
          <w:p>
            <w:pPr>
              <w:pStyle w:val="TableParagraph"/>
              <w:spacing w:line="235" w:lineRule="auto" w:before="134"/>
              <w:ind w:left="200" w:right="99"/>
              <w:rPr>
                <w:rFonts w:ascii="等线" w:eastAsia="等线" w:hint="eastAsia"/>
                <w:b/>
                <w:sz w:val="24"/>
              </w:rPr>
            </w:pPr>
            <w:r>
              <w:rPr>
                <w:rFonts w:ascii="等线" w:eastAsia="等线" w:hint="eastAsia"/>
                <w:b/>
                <w:sz w:val="24"/>
              </w:rPr>
              <w:t>严重原发性肺动脉高压</w:t>
            </w:r>
          </w:p>
        </w:tc>
        <w:tc>
          <w:tcPr>
            <w:tcW w:w="7302" w:type="dxa"/>
          </w:tcPr>
          <w:p>
            <w:pPr>
              <w:pStyle w:val="TableParagraph"/>
              <w:spacing w:line="273" w:lineRule="auto" w:before="128"/>
              <w:ind w:left="100" w:right="300"/>
              <w:jc w:val="both"/>
              <w:rPr>
                <w:sz w:val="21"/>
              </w:rPr>
            </w:pPr>
            <w:r>
              <w:rPr>
                <w:spacing w:val="-2"/>
                <w:sz w:val="21"/>
              </w:rPr>
              <w:t>指不明原因的肺动脉压力持续性增高，进行性发展而导致的慢性疾病，已经</w:t>
            </w:r>
            <w:r>
              <w:rPr>
                <w:spacing w:val="-4"/>
                <w:sz w:val="21"/>
              </w:rPr>
              <w:t>造成永久不可逆性的体力活动能力受限，达到美国纽约心脏病学会</w:t>
            </w:r>
            <w:r>
              <w:rPr>
                <w:rFonts w:ascii="黑体" w:eastAsia="黑体" w:hint="eastAsia"/>
                <w:b/>
                <w:sz w:val="21"/>
              </w:rPr>
              <w:t>心功能状态分级</w:t>
            </w:r>
            <w:r>
              <w:rPr>
                <w:sz w:val="21"/>
              </w:rPr>
              <w:t>（</w:t>
            </w:r>
            <w:r>
              <w:rPr>
                <w:spacing w:val="-29"/>
                <w:sz w:val="21"/>
              </w:rPr>
              <w:t>见 </w:t>
            </w:r>
            <w:r>
              <w:rPr>
                <w:sz w:val="21"/>
              </w:rPr>
              <w:t>9.9）IV</w:t>
            </w:r>
            <w:r>
              <w:rPr>
                <w:spacing w:val="-11"/>
                <w:sz w:val="21"/>
              </w:rPr>
              <w:t> 级，且静息状态下肺动脉平均压超过 </w:t>
            </w:r>
            <w:r>
              <w:rPr>
                <w:sz w:val="21"/>
              </w:rPr>
              <w:t>30mmHg。</w:t>
            </w:r>
          </w:p>
        </w:tc>
      </w:tr>
      <w:tr>
        <w:trPr>
          <w:trHeight w:val="1531" w:hRule="atLeast"/>
        </w:trPr>
        <w:tc>
          <w:tcPr>
            <w:tcW w:w="2085"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严重运动神经元病</w:t>
            </w:r>
          </w:p>
        </w:tc>
        <w:tc>
          <w:tcPr>
            <w:tcW w:w="7302" w:type="dxa"/>
          </w:tcPr>
          <w:p>
            <w:pPr>
              <w:pStyle w:val="TableParagraph"/>
              <w:spacing w:line="273" w:lineRule="auto" w:before="127"/>
              <w:ind w:left="100" w:right="292"/>
              <w:jc w:val="both"/>
              <w:rPr>
                <w:sz w:val="21"/>
              </w:rPr>
            </w:pPr>
            <w:r>
              <w:rPr>
                <w:spacing w:val="2"/>
                <w:sz w:val="21"/>
              </w:rPr>
              <w:t>是一组中枢神经系统运动神经元的进行性变性疾病，包括进行性脊肌萎缩</w:t>
            </w:r>
            <w:r>
              <w:rPr>
                <w:spacing w:val="-6"/>
                <w:sz w:val="21"/>
              </w:rPr>
              <w:t>症、进行性延髓麻痹症、原发性侧索硬化症、肌萎缩性侧索硬化症。须满足</w:t>
            </w:r>
            <w:r>
              <w:rPr>
                <w:spacing w:val="-9"/>
                <w:sz w:val="21"/>
              </w:rPr>
              <w:t>自主生活能力完全丧失，无法独立完成六项基本日常生活活动中的三项或三项以上的条件。</w:t>
            </w:r>
          </w:p>
        </w:tc>
      </w:tr>
      <w:tr>
        <w:trPr>
          <w:trHeight w:val="1027" w:hRule="atLeast"/>
        </w:trPr>
        <w:tc>
          <w:tcPr>
            <w:tcW w:w="2085" w:type="dxa"/>
          </w:tcPr>
          <w:p>
            <w:pPr>
              <w:pStyle w:val="TableParagraph"/>
              <w:spacing w:before="127"/>
              <w:ind w:left="200"/>
              <w:rPr>
                <w:rFonts w:ascii="等线" w:eastAsia="等线" w:hint="eastAsia"/>
                <w:b/>
                <w:sz w:val="24"/>
              </w:rPr>
            </w:pPr>
            <w:r>
              <w:rPr>
                <w:rFonts w:ascii="等线" w:eastAsia="等线" w:hint="eastAsia"/>
                <w:b/>
                <w:sz w:val="24"/>
              </w:rPr>
              <w:t>语言能力丧失</w:t>
            </w:r>
          </w:p>
        </w:tc>
        <w:tc>
          <w:tcPr>
            <w:tcW w:w="7302" w:type="dxa"/>
          </w:tcPr>
          <w:p>
            <w:pPr>
              <w:pStyle w:val="TableParagraph"/>
              <w:spacing w:line="273" w:lineRule="auto" w:before="128"/>
              <w:ind w:left="100" w:right="301"/>
              <w:rPr>
                <w:sz w:val="21"/>
              </w:rPr>
            </w:pPr>
            <w:r>
              <w:rPr>
                <w:spacing w:val="-6"/>
                <w:sz w:val="21"/>
              </w:rPr>
              <w:t>指因疾病或意外伤害导致完全丧失语言能力，经过积极治疗至少 </w:t>
            </w:r>
            <w:r>
              <w:rPr>
                <w:sz w:val="21"/>
              </w:rPr>
              <w:t>12</w:t>
            </w:r>
            <w:r>
              <w:rPr>
                <w:spacing w:val="-42"/>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line="255" w:lineRule="exact" w:before="7"/>
              <w:ind w:left="100"/>
              <w:rPr>
                <w:sz w:val="21"/>
              </w:rPr>
            </w:pPr>
            <w:r>
              <w:rPr>
                <w:sz w:val="21"/>
                <w:shd w:fill="DADADA" w:color="auto" w:val="clear"/>
              </w:rPr>
              <w:t>精神心理因素所致的语言能力丧失不在保障范围内。</w:t>
            </w:r>
          </w:p>
        </w:tc>
      </w:tr>
    </w:tbl>
    <w:p>
      <w:pPr>
        <w:spacing w:after="0" w:line="255" w:lineRule="exact"/>
        <w:rPr>
          <w:sz w:val="21"/>
        </w:rPr>
        <w:sectPr>
          <w:pgSz w:w="11910" w:h="16840"/>
          <w:pgMar w:top="1440" w:bottom="28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7279"/>
      </w:tblGrid>
      <w:tr>
        <w:trPr>
          <w:trHeight w:val="2260" w:hRule="atLeast"/>
        </w:trPr>
        <w:tc>
          <w:tcPr>
            <w:tcW w:w="2110" w:type="dxa"/>
          </w:tcPr>
          <w:p>
            <w:pPr>
              <w:pStyle w:val="TableParagraph"/>
              <w:spacing w:line="258" w:lineRule="exact"/>
              <w:ind w:left="200"/>
              <w:rPr>
                <w:rFonts w:ascii="等线" w:eastAsia="等线" w:hint="eastAsia"/>
                <w:b/>
                <w:sz w:val="24"/>
              </w:rPr>
            </w:pPr>
            <w:r>
              <w:rPr>
                <w:rFonts w:ascii="等线" w:eastAsia="等线" w:hint="eastAsia"/>
                <w:b/>
                <w:sz w:val="24"/>
              </w:rPr>
              <w:t>重型再生障碍性</w:t>
            </w:r>
          </w:p>
          <w:p>
            <w:pPr>
              <w:pStyle w:val="TableParagraph"/>
              <w:spacing w:line="324" w:lineRule="exact"/>
              <w:ind w:left="200"/>
              <w:rPr>
                <w:rFonts w:ascii="等线" w:eastAsia="等线" w:hint="eastAsia"/>
                <w:b/>
                <w:sz w:val="24"/>
              </w:rPr>
            </w:pPr>
            <w:r>
              <w:rPr>
                <w:rFonts w:ascii="等线" w:eastAsia="等线" w:hint="eastAsia"/>
                <w:b/>
                <w:sz w:val="24"/>
              </w:rPr>
              <w:t>贫血</w:t>
            </w:r>
          </w:p>
        </w:tc>
        <w:tc>
          <w:tcPr>
            <w:tcW w:w="7279" w:type="dxa"/>
          </w:tcPr>
          <w:p>
            <w:pPr>
              <w:pStyle w:val="TableParagraph"/>
              <w:spacing w:line="210" w:lineRule="exact"/>
              <w:ind w:left="75"/>
              <w:rPr>
                <w:sz w:val="21"/>
              </w:rPr>
            </w:pPr>
            <w:r>
              <w:rPr>
                <w:sz w:val="21"/>
              </w:rPr>
              <w:t>指因骨髓造血功能慢性持续性衰竭导致的贫血、中性粒细胞减少及血小板减</w:t>
            </w:r>
          </w:p>
          <w:p>
            <w:pPr>
              <w:pStyle w:val="TableParagraph"/>
              <w:spacing w:before="37"/>
              <w:ind w:left="75"/>
              <w:rPr>
                <w:sz w:val="21"/>
              </w:rPr>
            </w:pPr>
            <w:r>
              <w:rPr>
                <w:sz w:val="21"/>
              </w:rPr>
              <w:t>少。须满足下列全部条件：</w:t>
            </w:r>
          </w:p>
          <w:p>
            <w:pPr>
              <w:pStyle w:val="TableParagraph"/>
              <w:spacing w:before="37"/>
              <w:ind w:left="75"/>
              <w:rPr>
                <w:sz w:val="21"/>
              </w:rPr>
            </w:pPr>
            <w:r>
              <w:rPr>
                <w:sz w:val="21"/>
              </w:rPr>
              <w:t>（1）骨髓穿刺检查或骨髓活检结果支持诊断；</w:t>
            </w:r>
          </w:p>
          <w:p>
            <w:pPr>
              <w:pStyle w:val="TableParagraph"/>
              <w:spacing w:before="37"/>
              <w:ind w:left="75"/>
              <w:rPr>
                <w:sz w:val="21"/>
              </w:rPr>
            </w:pPr>
            <w:r>
              <w:rPr>
                <w:sz w:val="21"/>
              </w:rPr>
              <w:t>（2）外周血象须具备以下三项条件：</w:t>
            </w:r>
          </w:p>
          <w:p>
            <w:pPr>
              <w:pStyle w:val="TableParagraph"/>
              <w:spacing w:before="37"/>
              <w:ind w:left="285"/>
              <w:rPr>
                <w:sz w:val="21"/>
              </w:rPr>
            </w:pPr>
            <w:r>
              <w:rPr>
                <w:sz w:val="21"/>
              </w:rPr>
              <w:t>① 中性粒细胞绝对值≤0.5×10</w:t>
            </w:r>
            <w:r>
              <w:rPr>
                <w:position w:val="11"/>
                <w:sz w:val="11"/>
              </w:rPr>
              <w:t>9</w:t>
            </w:r>
            <w:r>
              <w:rPr>
                <w:sz w:val="21"/>
              </w:rPr>
              <w:t>/L；</w:t>
            </w:r>
          </w:p>
          <w:p>
            <w:pPr>
              <w:pStyle w:val="TableParagraph"/>
              <w:spacing w:before="37"/>
              <w:ind w:left="286"/>
              <w:rPr>
                <w:sz w:val="21"/>
              </w:rPr>
            </w:pPr>
            <w:r>
              <w:rPr>
                <w:sz w:val="21"/>
              </w:rPr>
              <w:t>② 网织红细胞＜1%；</w:t>
            </w:r>
          </w:p>
          <w:p>
            <w:pPr>
              <w:pStyle w:val="TableParagraph"/>
              <w:spacing w:before="37"/>
              <w:ind w:left="286"/>
              <w:rPr>
                <w:sz w:val="21"/>
              </w:rPr>
            </w:pPr>
            <w:r>
              <w:rPr>
                <w:sz w:val="21"/>
              </w:rPr>
              <w:t>③ 血小板绝对值≤20×10</w:t>
            </w:r>
            <w:r>
              <w:rPr>
                <w:position w:val="11"/>
                <w:sz w:val="11"/>
              </w:rPr>
              <w:t>9</w:t>
            </w:r>
            <w:r>
              <w:rPr>
                <w:sz w:val="21"/>
              </w:rPr>
              <w:t>/L。</w:t>
            </w:r>
          </w:p>
        </w:tc>
      </w:tr>
      <w:tr>
        <w:trPr>
          <w:trHeight w:val="1502" w:hRule="atLeast"/>
        </w:trPr>
        <w:tc>
          <w:tcPr>
            <w:tcW w:w="2110" w:type="dxa"/>
          </w:tcPr>
          <w:p>
            <w:pPr>
              <w:pStyle w:val="TableParagraph"/>
              <w:spacing w:before="112"/>
              <w:ind w:left="200"/>
              <w:rPr>
                <w:rFonts w:ascii="等线" w:eastAsia="等线" w:hint="eastAsia"/>
                <w:b/>
                <w:sz w:val="24"/>
              </w:rPr>
            </w:pPr>
            <w:r>
              <w:rPr>
                <w:rFonts w:ascii="等线" w:eastAsia="等线" w:hint="eastAsia"/>
                <w:b/>
                <w:sz w:val="24"/>
              </w:rPr>
              <w:t>主动脉手术</w:t>
            </w:r>
          </w:p>
        </w:tc>
        <w:tc>
          <w:tcPr>
            <w:tcW w:w="7279" w:type="dxa"/>
          </w:tcPr>
          <w:p>
            <w:pPr>
              <w:pStyle w:val="TableParagraph"/>
              <w:spacing w:line="273" w:lineRule="auto" w:before="113"/>
              <w:ind w:left="75" w:right="302"/>
              <w:jc w:val="both"/>
              <w:rPr>
                <w:sz w:val="21"/>
              </w:rPr>
            </w:pP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TableParagraph"/>
              <w:spacing w:before="7"/>
              <w:ind w:left="75"/>
              <w:jc w:val="both"/>
              <w:rPr>
                <w:sz w:val="21"/>
              </w:rPr>
            </w:pPr>
            <w:r>
              <w:rPr>
                <w:sz w:val="21"/>
                <w:shd w:fill="DADADA" w:color="auto" w:val="clear"/>
              </w:rPr>
              <w:t>动脉内血管成形术不在保障范围内。</w:t>
            </w:r>
          </w:p>
        </w:tc>
      </w:tr>
      <w:tr>
        <w:trPr>
          <w:trHeight w:val="879" w:hRule="atLeast"/>
        </w:trPr>
        <w:tc>
          <w:tcPr>
            <w:tcW w:w="2110" w:type="dxa"/>
          </w:tcPr>
          <w:p>
            <w:pPr>
              <w:pStyle w:val="TableParagraph"/>
              <w:rPr>
                <w:rFonts w:ascii="Times New Roman"/>
                <w:sz w:val="20"/>
              </w:rPr>
            </w:pPr>
          </w:p>
        </w:tc>
        <w:tc>
          <w:tcPr>
            <w:tcW w:w="7279" w:type="dxa"/>
          </w:tcPr>
          <w:p>
            <w:pPr>
              <w:pStyle w:val="TableParagraph"/>
              <w:spacing w:line="273" w:lineRule="auto" w:before="114"/>
              <w:ind w:left="75" w:right="294"/>
              <w:rPr>
                <w:sz w:val="21"/>
              </w:rPr>
            </w:pPr>
            <w:r>
              <w:rPr>
                <w:sz w:val="21"/>
              </w:rPr>
              <w:t>以下重大疾病是本公司在中国保险行业协会与中国医师协会制定了规范定义的疾病范围之外增加的疾病。</w:t>
            </w:r>
          </w:p>
        </w:tc>
      </w:tr>
      <w:tr>
        <w:trPr>
          <w:trHeight w:val="2751" w:hRule="atLeast"/>
        </w:trPr>
        <w:tc>
          <w:tcPr>
            <w:tcW w:w="2110" w:type="dxa"/>
          </w:tcPr>
          <w:p>
            <w:pPr>
              <w:pStyle w:val="TableParagraph"/>
              <w:spacing w:line="235" w:lineRule="auto" w:before="118"/>
              <w:ind w:left="200" w:right="124"/>
              <w:rPr>
                <w:rFonts w:ascii="等线" w:eastAsia="等线" w:hint="eastAsia"/>
                <w:b/>
                <w:sz w:val="24"/>
              </w:rPr>
            </w:pPr>
            <w:r>
              <w:rPr>
                <w:rFonts w:ascii="等线" w:eastAsia="等线" w:hint="eastAsia"/>
                <w:b/>
                <w:sz w:val="24"/>
              </w:rPr>
              <w:t>严重的多发性硬化</w:t>
            </w:r>
          </w:p>
        </w:tc>
        <w:tc>
          <w:tcPr>
            <w:tcW w:w="7279" w:type="dxa"/>
          </w:tcPr>
          <w:p>
            <w:pPr>
              <w:pStyle w:val="TableParagraph"/>
              <w:spacing w:line="273" w:lineRule="auto" w:before="113"/>
              <w:ind w:left="75" w:right="150"/>
              <w:rPr>
                <w:sz w:val="21"/>
              </w:rPr>
            </w:pPr>
            <w:r>
              <w:rPr>
                <w:sz w:val="21"/>
              </w:rPr>
              <w:t>指因中枢神经系统脱髓鞘而导致的不可逆的身体部位的功能障碍，需由神经科专科医生提供明确诊断，并有头颅断层扫描（CT）或核磁共振检查（MRI） 结果诊断报告。不可逆的身体部位功能障碍指诊断为功能障碍后需已经持续</w:t>
            </w:r>
          </w:p>
          <w:p>
            <w:pPr>
              <w:pStyle w:val="TableParagraph"/>
              <w:spacing w:before="7"/>
              <w:ind w:left="75"/>
              <w:rPr>
                <w:sz w:val="21"/>
              </w:rPr>
            </w:pPr>
            <w:r>
              <w:rPr>
                <w:sz w:val="21"/>
              </w:rPr>
              <w:t>180 日以上。</w:t>
            </w:r>
          </w:p>
          <w:p>
            <w:pPr>
              <w:pStyle w:val="TableParagraph"/>
              <w:spacing w:before="37"/>
              <w:ind w:left="75"/>
              <w:rPr>
                <w:sz w:val="21"/>
              </w:rPr>
            </w:pPr>
            <w:r>
              <w:rPr>
                <w:sz w:val="21"/>
              </w:rPr>
              <w:t>由神经科专科医生提供的明确诊断必须同时包含下列内容：</w:t>
            </w:r>
          </w:p>
          <w:p>
            <w:pPr>
              <w:pStyle w:val="TableParagraph"/>
              <w:spacing w:before="37"/>
              <w:ind w:left="75"/>
              <w:rPr>
                <w:sz w:val="21"/>
              </w:rPr>
            </w:pPr>
            <w:r>
              <w:rPr>
                <w:sz w:val="21"/>
              </w:rPr>
              <w:t>（1）明确出现因视神经、脑干和脊髓损伤而导致的临床表现；</w:t>
            </w:r>
          </w:p>
          <w:p>
            <w:pPr>
              <w:pStyle w:val="TableParagraph"/>
              <w:spacing w:before="37"/>
              <w:ind w:left="75"/>
              <w:rPr>
                <w:sz w:val="21"/>
              </w:rPr>
            </w:pPr>
            <w:r>
              <w:rPr>
                <w:sz w:val="21"/>
              </w:rPr>
              <w:t>（2）神经系统散在的多部位病变；</w:t>
            </w:r>
          </w:p>
          <w:p>
            <w:pPr>
              <w:pStyle w:val="TableParagraph"/>
              <w:spacing w:before="37"/>
              <w:ind w:left="75"/>
              <w:rPr>
                <w:sz w:val="21"/>
              </w:rPr>
            </w:pPr>
            <w:r>
              <w:rPr>
                <w:sz w:val="21"/>
              </w:rPr>
              <w:t>（3）有明确的上述症状及神经损伤反复恶化、减轻的病史纪录。</w:t>
            </w:r>
          </w:p>
        </w:tc>
      </w:tr>
      <w:tr>
        <w:trPr>
          <w:trHeight w:val="2439" w:hRule="atLeast"/>
        </w:trPr>
        <w:tc>
          <w:tcPr>
            <w:tcW w:w="2110" w:type="dxa"/>
          </w:tcPr>
          <w:p>
            <w:pPr>
              <w:pStyle w:val="TableParagraph"/>
              <w:spacing w:line="235" w:lineRule="auto" w:before="119"/>
              <w:ind w:left="200" w:right="139"/>
              <w:rPr>
                <w:rFonts w:ascii="等线" w:eastAsia="等线" w:hint="eastAsia"/>
                <w:b/>
                <w:sz w:val="24"/>
              </w:rPr>
            </w:pPr>
            <w:r>
              <w:rPr>
                <w:rFonts w:ascii="等线" w:eastAsia="等线" w:hint="eastAsia"/>
                <w:b/>
                <w:sz w:val="24"/>
              </w:rPr>
              <w:t>严重的 1 型糖尿病</w:t>
            </w:r>
          </w:p>
        </w:tc>
        <w:tc>
          <w:tcPr>
            <w:tcW w:w="7279" w:type="dxa"/>
          </w:tcPr>
          <w:p>
            <w:pPr>
              <w:pStyle w:val="TableParagraph"/>
              <w:spacing w:line="273" w:lineRule="auto" w:before="114"/>
              <w:ind w:left="75" w:right="271"/>
              <w:jc w:val="both"/>
              <w:rPr>
                <w:sz w:val="21"/>
              </w:rPr>
            </w:pPr>
            <w:r>
              <w:rPr>
                <w:spacing w:val="-2"/>
                <w:sz w:val="21"/>
              </w:rPr>
              <w:t>指由于胰岛素分泌绝对不足引起的慢性血糖升高，且已经持续性地依赖外源</w:t>
            </w:r>
            <w:r>
              <w:rPr>
                <w:spacing w:val="-10"/>
                <w:sz w:val="21"/>
              </w:rPr>
              <w:t>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2"/>
                <w:sz w:val="21"/>
              </w:rPr>
              <w:t> 肽测定， </w:t>
            </w:r>
            <w:r>
              <w:rPr>
                <w:spacing w:val="-9"/>
                <w:sz w:val="21"/>
              </w:rPr>
              <w:t>结果异常，并由内分泌科专科医生明确诊断。并须在本附加险合同保险期间</w:t>
            </w:r>
            <w:r>
              <w:rPr>
                <w:spacing w:val="-14"/>
                <w:sz w:val="21"/>
              </w:rPr>
              <w:t>内，满足下述至少 </w:t>
            </w:r>
            <w:r>
              <w:rPr>
                <w:sz w:val="21"/>
              </w:rPr>
              <w:t>1</w:t>
            </w:r>
            <w:r>
              <w:rPr>
                <w:spacing w:val="-12"/>
                <w:sz w:val="21"/>
              </w:rPr>
              <w:t> 个条件：</w:t>
            </w:r>
          </w:p>
          <w:p>
            <w:pPr>
              <w:pStyle w:val="TableParagraph"/>
              <w:spacing w:before="8"/>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237" w:hRule="atLeast"/>
        </w:trPr>
        <w:tc>
          <w:tcPr>
            <w:tcW w:w="2110" w:type="dxa"/>
          </w:tcPr>
          <w:p>
            <w:pPr>
              <w:pStyle w:val="TableParagraph"/>
              <w:spacing w:line="324" w:lineRule="exact" w:before="112"/>
              <w:ind w:left="200"/>
              <w:rPr>
                <w:rFonts w:ascii="等线" w:eastAsia="等线" w:hint="eastAsia"/>
                <w:b/>
                <w:sz w:val="24"/>
              </w:rPr>
            </w:pPr>
            <w:r>
              <w:rPr>
                <w:rFonts w:ascii="等线" w:eastAsia="等线" w:hint="eastAsia"/>
                <w:b/>
                <w:sz w:val="24"/>
              </w:rPr>
              <w:t>侵 蚀 性 葡 萄 胎 </w:t>
            </w:r>
          </w:p>
          <w:p>
            <w:pPr>
              <w:pStyle w:val="TableParagraph"/>
              <w:spacing w:line="235" w:lineRule="auto" w:before="3"/>
              <w:ind w:left="200" w:right="124"/>
              <w:rPr>
                <w:rFonts w:ascii="等线" w:eastAsia="等线" w:hint="eastAsia"/>
                <w:b/>
                <w:sz w:val="24"/>
              </w:rPr>
            </w:pPr>
            <w:r>
              <w:rPr>
                <w:rFonts w:ascii="等线" w:eastAsia="等线" w:hint="eastAsia"/>
                <w:b/>
                <w:sz w:val="24"/>
              </w:rPr>
              <w:t>（或称恶性葡萄胎）</w:t>
            </w:r>
          </w:p>
        </w:tc>
        <w:tc>
          <w:tcPr>
            <w:tcW w:w="7279" w:type="dxa"/>
          </w:tcPr>
          <w:p>
            <w:pPr>
              <w:pStyle w:val="TableParagraph"/>
              <w:spacing w:line="273" w:lineRule="auto" w:before="113"/>
              <w:ind w:left="76" w:right="295"/>
              <w:rPr>
                <w:sz w:val="21"/>
              </w:rPr>
            </w:pPr>
            <w:r>
              <w:rPr>
                <w:sz w:val="21"/>
              </w:rPr>
              <w:t>指异常增生的绒毛组织浸润性生长浸入子宫肌层或转移至其他器官或组织的葡萄胎，并已经进行化疗或手术治疗的。</w:t>
            </w:r>
          </w:p>
        </w:tc>
      </w:tr>
      <w:tr>
        <w:trPr>
          <w:trHeight w:val="3174" w:hRule="atLeast"/>
        </w:trPr>
        <w:tc>
          <w:tcPr>
            <w:tcW w:w="2110" w:type="dxa"/>
          </w:tcPr>
          <w:p>
            <w:pPr>
              <w:pStyle w:val="TableParagraph"/>
              <w:spacing w:line="235" w:lineRule="auto" w:before="97"/>
              <w:ind w:left="200" w:right="124"/>
              <w:jc w:val="both"/>
              <w:rPr>
                <w:rFonts w:ascii="等线" w:eastAsia="等线" w:hint="eastAsia"/>
                <w:b/>
                <w:sz w:val="24"/>
              </w:rPr>
            </w:pPr>
            <w:r>
              <w:rPr>
                <w:rFonts w:ascii="等线" w:eastAsia="等线" w:hint="eastAsia"/>
                <w:b/>
                <w:sz w:val="24"/>
              </w:rPr>
              <w:t>系统性红斑狼疮并发重度的肾功能损害</w:t>
            </w:r>
          </w:p>
        </w:tc>
        <w:tc>
          <w:tcPr>
            <w:tcW w:w="7279" w:type="dxa"/>
          </w:tcPr>
          <w:p>
            <w:pPr>
              <w:pStyle w:val="TableParagraph"/>
              <w:spacing w:line="273" w:lineRule="auto" w:before="91"/>
              <w:ind w:left="75" w:right="294"/>
              <w:jc w:val="both"/>
              <w:rPr>
                <w:sz w:val="21"/>
              </w:rPr>
            </w:pPr>
            <w:r>
              <w:rPr>
                <w:spacing w:val="2"/>
                <w:sz w:val="21"/>
              </w:rPr>
              <w:t>指一种自身免疫性结缔组织病，于体内有大量致病性自身抗体和免疫复合</w:t>
            </w:r>
            <w:r>
              <w:rPr>
                <w:spacing w:val="-5"/>
                <w:sz w:val="21"/>
              </w:rPr>
              <w:t>物，造成组织损伤。系统性红斑狼疮的诊断必须经专科医生明确诊断，并须同时满足下列条件：</w:t>
            </w:r>
          </w:p>
          <w:p>
            <w:pPr>
              <w:pStyle w:val="TableParagraph"/>
              <w:spacing w:before="7"/>
              <w:ind w:left="75"/>
              <w:jc w:val="both"/>
              <w:rPr>
                <w:sz w:val="21"/>
              </w:rPr>
            </w:pPr>
            <w:r>
              <w:rPr>
                <w:sz w:val="21"/>
              </w:rPr>
              <w:t>（1）临床表现至少具备下列条件中的 4 个：</w:t>
            </w:r>
          </w:p>
          <w:p>
            <w:pPr>
              <w:pStyle w:val="TableParagraph"/>
              <w:spacing w:before="37"/>
              <w:ind w:left="285"/>
              <w:rPr>
                <w:sz w:val="21"/>
              </w:rPr>
            </w:pPr>
            <w:r>
              <w:rPr>
                <w:sz w:val="21"/>
              </w:rPr>
              <w:t>① 蝶形红斑或盘形红斑；</w:t>
            </w:r>
          </w:p>
          <w:p>
            <w:pPr>
              <w:pStyle w:val="TableParagraph"/>
              <w:spacing w:before="37"/>
              <w:ind w:left="285"/>
              <w:rPr>
                <w:sz w:val="21"/>
              </w:rPr>
            </w:pPr>
            <w:r>
              <w:rPr>
                <w:sz w:val="21"/>
              </w:rPr>
              <w:t>② 光敏感；</w:t>
            </w:r>
          </w:p>
          <w:p>
            <w:pPr>
              <w:pStyle w:val="TableParagraph"/>
              <w:spacing w:before="37"/>
              <w:ind w:left="285"/>
              <w:rPr>
                <w:sz w:val="21"/>
              </w:rPr>
            </w:pPr>
            <w:r>
              <w:rPr>
                <w:sz w:val="21"/>
              </w:rPr>
              <w:t>③ 口鼻腔黏膜溃疡；</w:t>
            </w:r>
          </w:p>
          <w:p>
            <w:pPr>
              <w:pStyle w:val="TableParagraph"/>
              <w:spacing w:before="37"/>
              <w:ind w:left="285"/>
              <w:rPr>
                <w:sz w:val="21"/>
              </w:rPr>
            </w:pPr>
            <w:r>
              <w:rPr>
                <w:sz w:val="21"/>
              </w:rPr>
              <w:t>④ 非畸形性关节炎或多关节痛；</w:t>
            </w:r>
          </w:p>
          <w:p>
            <w:pPr>
              <w:pStyle w:val="TableParagraph"/>
              <w:spacing w:before="37"/>
              <w:ind w:left="285"/>
              <w:rPr>
                <w:sz w:val="21"/>
              </w:rPr>
            </w:pPr>
            <w:r>
              <w:rPr>
                <w:sz w:val="21"/>
              </w:rPr>
              <w:t>⑤ 胸膜炎或心包炎；</w:t>
            </w:r>
          </w:p>
          <w:p>
            <w:pPr>
              <w:pStyle w:val="TableParagraph"/>
              <w:spacing w:line="255" w:lineRule="exact" w:before="37"/>
              <w:ind w:left="285"/>
              <w:rPr>
                <w:sz w:val="21"/>
              </w:rPr>
            </w:pPr>
            <w:r>
              <w:rPr>
                <w:spacing w:val="-1"/>
                <w:sz w:val="21"/>
              </w:rPr>
              <w:t>⑥ 神经系统损伤</w:t>
            </w:r>
            <w:r>
              <w:rPr>
                <w:sz w:val="21"/>
              </w:rPr>
              <w:t>（癫痫或精神症状</w:t>
            </w:r>
            <w:r>
              <w:rPr>
                <w:spacing w:val="-106"/>
                <w:sz w:val="21"/>
              </w:rPr>
              <w:t>）</w:t>
            </w:r>
            <w:r>
              <w:rPr>
                <w:sz w:val="21"/>
              </w:rPr>
              <w:t>；</w:t>
            </w:r>
          </w:p>
        </w:tc>
      </w:tr>
    </w:tbl>
    <w:p>
      <w:pPr>
        <w:spacing w:after="0" w:line="255" w:lineRule="exact"/>
        <w:rPr>
          <w:sz w:val="21"/>
        </w:rPr>
        <w:sectPr>
          <w:pgSz w:w="11910" w:h="16840"/>
          <w:pgMar w:top="1160" w:bottom="280" w:left="152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134"/>
        <w:gridCol w:w="7201"/>
      </w:tblGrid>
      <w:tr>
        <w:trPr>
          <w:trHeight w:val="2899" w:hRule="atLeast"/>
        </w:trPr>
        <w:tc>
          <w:tcPr>
            <w:tcW w:w="767" w:type="dxa"/>
          </w:tcPr>
          <w:p>
            <w:pPr>
              <w:pStyle w:val="TableParagraph"/>
              <w:rPr>
                <w:rFonts w:ascii="Times New Roman"/>
                <w:sz w:val="20"/>
              </w:rPr>
            </w:pPr>
          </w:p>
        </w:tc>
        <w:tc>
          <w:tcPr>
            <w:tcW w:w="2134" w:type="dxa"/>
          </w:tcPr>
          <w:p>
            <w:pPr>
              <w:pStyle w:val="TableParagraph"/>
              <w:rPr>
                <w:rFonts w:ascii="Times New Roman"/>
                <w:sz w:val="20"/>
              </w:rPr>
            </w:pPr>
          </w:p>
        </w:tc>
        <w:tc>
          <w:tcPr>
            <w:tcW w:w="7201" w:type="dxa"/>
          </w:tcPr>
          <w:p>
            <w:pPr>
              <w:pStyle w:val="TableParagraph"/>
              <w:spacing w:line="210" w:lineRule="exact"/>
              <w:ind w:left="340"/>
              <w:rPr>
                <w:sz w:val="21"/>
              </w:rPr>
            </w:pPr>
            <w:r>
              <w:rPr>
                <w:sz w:val="21"/>
              </w:rPr>
              <w:t>⑦ 血象异常（白细胞小于 4000/μl 或血小板小于 100000/μl 或溶血性</w:t>
            </w:r>
          </w:p>
          <w:p>
            <w:pPr>
              <w:pStyle w:val="TableParagraph"/>
              <w:spacing w:before="37"/>
              <w:ind w:left="656"/>
              <w:rPr>
                <w:sz w:val="21"/>
              </w:rPr>
            </w:pPr>
            <w:r>
              <w:rPr>
                <w:sz w:val="21"/>
              </w:rPr>
              <w:t>贫血</w:t>
            </w:r>
            <w:r>
              <w:rPr>
                <w:spacing w:val="-105"/>
                <w:sz w:val="21"/>
              </w:rPr>
              <w:t>）</w:t>
            </w:r>
            <w:r>
              <w:rPr>
                <w:sz w:val="21"/>
              </w:rPr>
              <w:t>。</w:t>
            </w:r>
          </w:p>
          <w:p>
            <w:pPr>
              <w:pStyle w:val="TableParagraph"/>
              <w:spacing w:before="37"/>
              <w:ind w:left="102"/>
              <w:rPr>
                <w:sz w:val="21"/>
              </w:rPr>
            </w:pPr>
            <w:r>
              <w:rPr>
                <w:sz w:val="21"/>
              </w:rPr>
              <w:t>（2）检测结果至少具备下列条件中的 2 个：</w:t>
            </w:r>
          </w:p>
          <w:p>
            <w:pPr>
              <w:pStyle w:val="TableParagraph"/>
              <w:spacing w:before="37"/>
              <w:ind w:left="312"/>
              <w:rPr>
                <w:sz w:val="21"/>
              </w:rPr>
            </w:pPr>
            <w:r>
              <w:rPr>
                <w:sz w:val="21"/>
              </w:rPr>
              <w:t>① 抗 dsDNA 抗体阳性；</w:t>
            </w:r>
          </w:p>
          <w:p>
            <w:pPr>
              <w:pStyle w:val="TableParagraph"/>
              <w:spacing w:before="37"/>
              <w:ind w:left="312"/>
              <w:rPr>
                <w:sz w:val="21"/>
              </w:rPr>
            </w:pPr>
            <w:r>
              <w:rPr>
                <w:sz w:val="21"/>
              </w:rPr>
              <w:t>② 抗 Sm 抗体阳性；</w:t>
            </w:r>
          </w:p>
          <w:p>
            <w:pPr>
              <w:pStyle w:val="TableParagraph"/>
              <w:spacing w:before="37"/>
              <w:ind w:left="312"/>
              <w:rPr>
                <w:sz w:val="21"/>
              </w:rPr>
            </w:pPr>
            <w:r>
              <w:rPr>
                <w:sz w:val="21"/>
              </w:rPr>
              <w:t>③ 抗核抗体阳性；</w:t>
            </w:r>
          </w:p>
          <w:p>
            <w:pPr>
              <w:pStyle w:val="TableParagraph"/>
              <w:spacing w:before="37"/>
              <w:ind w:left="312"/>
              <w:rPr>
                <w:sz w:val="21"/>
              </w:rPr>
            </w:pPr>
            <w:r>
              <w:rPr>
                <w:sz w:val="21"/>
              </w:rPr>
              <w:t>④ 皮肤狼疮带试验（非病损部位）或肾活检阳性；</w:t>
            </w:r>
          </w:p>
          <w:p>
            <w:pPr>
              <w:pStyle w:val="TableParagraph"/>
              <w:spacing w:before="37"/>
              <w:ind w:left="312"/>
              <w:rPr>
                <w:sz w:val="21"/>
              </w:rPr>
            </w:pPr>
            <w:r>
              <w:rPr>
                <w:sz w:val="21"/>
              </w:rPr>
              <w:t>⑤ C3 低于正常值。</w:t>
            </w:r>
          </w:p>
          <w:p>
            <w:pPr>
              <w:pStyle w:val="TableParagraph"/>
              <w:spacing w:before="37"/>
              <w:ind w:left="102"/>
              <w:rPr>
                <w:sz w:val="21"/>
              </w:rPr>
            </w:pPr>
            <w:r>
              <w:rPr>
                <w:sz w:val="21"/>
              </w:rPr>
              <w:t>（3）狼疮肾炎致使肾功能减弱，内生肌酐清除率低于每分钟 30ml。</w:t>
            </w:r>
          </w:p>
        </w:tc>
      </w:tr>
      <w:tr>
        <w:trPr>
          <w:trHeight w:val="2155" w:hRule="atLeast"/>
        </w:trPr>
        <w:tc>
          <w:tcPr>
            <w:tcW w:w="767" w:type="dxa"/>
          </w:tcPr>
          <w:p>
            <w:pPr>
              <w:pStyle w:val="TableParagraph"/>
              <w:rPr>
                <w:rFonts w:ascii="Times New Roman"/>
                <w:sz w:val="20"/>
              </w:rPr>
            </w:pPr>
          </w:p>
        </w:tc>
        <w:tc>
          <w:tcPr>
            <w:tcW w:w="2134" w:type="dxa"/>
          </w:tcPr>
          <w:p>
            <w:pPr>
              <w:pStyle w:val="TableParagraph"/>
              <w:spacing w:line="235" w:lineRule="auto" w:before="133"/>
              <w:ind w:left="250" w:right="98"/>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01" w:type="dxa"/>
          </w:tcPr>
          <w:p>
            <w:pPr>
              <w:pStyle w:val="TableParagraph"/>
              <w:spacing w:line="273" w:lineRule="auto" w:before="128"/>
              <w:ind w:left="101" w:right="197"/>
              <w:jc w:val="both"/>
              <w:rPr>
                <w:sz w:val="21"/>
              </w:rPr>
            </w:pPr>
            <w:r>
              <w:rPr>
                <w:spacing w:val="-3"/>
                <w:sz w:val="21"/>
              </w:rPr>
              <w:t>指不明原因引起的一类心肌病变，包括原发性扩张型心肌病、原发性肥厚型</w:t>
            </w:r>
            <w:r>
              <w:rPr>
                <w:spacing w:val="-5"/>
                <w:sz w:val="21"/>
              </w:rPr>
              <w:t>心肌病及原发性限制型心肌病三种，病变必须已造成事实上心室功能障碍而</w:t>
            </w:r>
            <w:r>
              <w:rPr>
                <w:spacing w:val="-8"/>
                <w:sz w:val="21"/>
              </w:rPr>
              <w:t>出现明显的心功能衰竭</w:t>
            </w:r>
            <w:r>
              <w:rPr>
                <w:sz w:val="21"/>
              </w:rPr>
              <w:t>（指按照美国纽约心脏病学会提出的心功能状态分级的标准判定，心功能状态已达到Ⅳ级</w:t>
            </w:r>
            <w:r>
              <w:rPr>
                <w:spacing w:val="-104"/>
                <w:sz w:val="21"/>
              </w:rPr>
              <w:t>）</w:t>
            </w:r>
            <w:r>
              <w:rPr>
                <w:sz w:val="21"/>
              </w:rPr>
              <w:t>，且有相关住院医疗记录显示Ⅳ级心</w:t>
            </w:r>
            <w:r>
              <w:rPr>
                <w:spacing w:val="-5"/>
                <w:sz w:val="21"/>
              </w:rPr>
              <w:t>功能衰竭状态已持续至少 </w:t>
            </w:r>
            <w:r>
              <w:rPr>
                <w:sz w:val="21"/>
              </w:rPr>
              <w:t>180</w:t>
            </w:r>
            <w:r>
              <w:rPr>
                <w:spacing w:val="-8"/>
                <w:sz w:val="21"/>
              </w:rPr>
              <w:t> 日。本病须经专科医生明确诊断。</w:t>
            </w:r>
          </w:p>
          <w:p>
            <w:pPr>
              <w:pStyle w:val="TableParagraph"/>
              <w:spacing w:before="7"/>
              <w:ind w:left="102"/>
              <w:jc w:val="both"/>
              <w:rPr>
                <w:sz w:val="21"/>
              </w:rPr>
            </w:pPr>
            <w:r>
              <w:rPr>
                <w:sz w:val="21"/>
                <w:shd w:fill="DADADA" w:color="auto" w:val="clear"/>
              </w:rPr>
              <w:t>继发于全身性疾病或其它器官系统疾病造成的心肌病变不在保障范围内。</w:t>
            </w:r>
          </w:p>
        </w:tc>
      </w:tr>
      <w:tr>
        <w:trPr>
          <w:trHeight w:val="2467" w:hRule="atLeast"/>
        </w:trPr>
        <w:tc>
          <w:tcPr>
            <w:tcW w:w="767" w:type="dxa"/>
          </w:tcPr>
          <w:p>
            <w:pPr>
              <w:pStyle w:val="TableParagraph"/>
              <w:spacing w:before="127"/>
              <w:ind w:left="181" w:right="228"/>
              <w:jc w:val="center"/>
              <w:rPr>
                <w:b/>
                <w:sz w:val="21"/>
              </w:rPr>
            </w:pPr>
            <w:r>
              <w:rPr>
                <w:b/>
                <w:sz w:val="21"/>
              </w:rPr>
              <w:t>9.4</w:t>
            </w:r>
          </w:p>
        </w:tc>
        <w:tc>
          <w:tcPr>
            <w:tcW w:w="2134" w:type="dxa"/>
          </w:tcPr>
          <w:p>
            <w:pPr>
              <w:pStyle w:val="TableParagraph"/>
              <w:spacing w:before="127"/>
              <w:ind w:left="250"/>
              <w:rPr>
                <w:b/>
                <w:sz w:val="21"/>
              </w:rPr>
            </w:pPr>
            <w:r>
              <w:rPr>
                <w:b/>
                <w:sz w:val="21"/>
              </w:rPr>
              <w:t>专科医生</w:t>
            </w:r>
          </w:p>
        </w:tc>
        <w:tc>
          <w:tcPr>
            <w:tcW w:w="7201" w:type="dxa"/>
          </w:tcPr>
          <w:p>
            <w:pPr>
              <w:pStyle w:val="TableParagraph"/>
              <w:spacing w:before="127"/>
              <w:ind w:left="102"/>
              <w:rPr>
                <w:sz w:val="21"/>
              </w:rPr>
            </w:pPr>
            <w:r>
              <w:rPr>
                <w:sz w:val="21"/>
              </w:rPr>
              <w:t>专科医生应当同时满足以下四项资格条件：</w:t>
            </w:r>
          </w:p>
          <w:p>
            <w:pPr>
              <w:pStyle w:val="TableParagraph"/>
              <w:spacing w:before="36"/>
              <w:ind w:left="102"/>
              <w:rPr>
                <w:sz w:val="21"/>
              </w:rPr>
            </w:pPr>
            <w:r>
              <w:rPr>
                <w:sz w:val="21"/>
              </w:rPr>
              <w:t>（1）具有有效的中华人民共和国《医师资格证书》；</w:t>
            </w:r>
          </w:p>
          <w:p>
            <w:pPr>
              <w:pStyle w:val="TableParagraph"/>
              <w:spacing w:line="271" w:lineRule="auto" w:before="36"/>
              <w:ind w:left="627" w:right="197" w:hanging="526"/>
              <w:rPr>
                <w:sz w:val="21"/>
              </w:rPr>
            </w:pPr>
            <w:r>
              <w:rPr>
                <w:spacing w:val="-4"/>
                <w:sz w:val="21"/>
              </w:rPr>
              <w:t>（2）</w:t>
            </w:r>
            <w:r>
              <w:rPr>
                <w:spacing w:val="-8"/>
                <w:sz w:val="21"/>
              </w:rPr>
              <w:t>具有有效的中华人民共和国《医师执业证书》，并按期到相关部门登记注册；</w:t>
            </w:r>
          </w:p>
          <w:p>
            <w:pPr>
              <w:pStyle w:val="TableParagraph"/>
              <w:spacing w:line="273" w:lineRule="auto" w:before="9"/>
              <w:ind w:left="627" w:right="202" w:hanging="526"/>
              <w:rPr>
                <w:sz w:val="21"/>
              </w:rPr>
            </w:pPr>
            <w:r>
              <w:rPr>
                <w:sz w:val="21"/>
              </w:rPr>
              <w:t>（3）具有有效的中华人民共和国主治医师或主治医师以上职称的《医师职称证书》；</w:t>
            </w:r>
          </w:p>
          <w:p>
            <w:pPr>
              <w:pStyle w:val="TableParagraph"/>
              <w:spacing w:before="7"/>
              <w:ind w:left="101"/>
              <w:rPr>
                <w:sz w:val="21"/>
              </w:rPr>
            </w:pPr>
            <w:r>
              <w:rPr>
                <w:sz w:val="21"/>
              </w:rPr>
              <w:t>（4）在二级或二级以上医院的相应科室从事临床工作三年以上。</w:t>
            </w:r>
          </w:p>
        </w:tc>
      </w:tr>
      <w:tr>
        <w:trPr>
          <w:trHeight w:val="908" w:hRule="atLeast"/>
        </w:trPr>
        <w:tc>
          <w:tcPr>
            <w:tcW w:w="767" w:type="dxa"/>
          </w:tcPr>
          <w:p>
            <w:pPr>
              <w:pStyle w:val="TableParagraph"/>
              <w:spacing w:before="128"/>
              <w:ind w:left="181" w:right="228"/>
              <w:jc w:val="center"/>
              <w:rPr>
                <w:b/>
                <w:sz w:val="21"/>
              </w:rPr>
            </w:pPr>
            <w:r>
              <w:rPr>
                <w:b/>
                <w:sz w:val="21"/>
              </w:rPr>
              <w:t>9.5</w:t>
            </w:r>
          </w:p>
        </w:tc>
        <w:tc>
          <w:tcPr>
            <w:tcW w:w="2134" w:type="dxa"/>
          </w:tcPr>
          <w:p>
            <w:pPr>
              <w:pStyle w:val="TableParagraph"/>
              <w:spacing w:before="128"/>
              <w:ind w:left="250"/>
              <w:rPr>
                <w:b/>
                <w:sz w:val="21"/>
              </w:rPr>
            </w:pPr>
            <w:r>
              <w:rPr>
                <w:b/>
                <w:w w:val="95"/>
                <w:sz w:val="21"/>
              </w:rPr>
              <w:t>肢体机能完全丧失</w:t>
            </w:r>
          </w:p>
        </w:tc>
        <w:tc>
          <w:tcPr>
            <w:tcW w:w="7201" w:type="dxa"/>
          </w:tcPr>
          <w:p>
            <w:pPr>
              <w:pStyle w:val="TableParagraph"/>
              <w:spacing w:line="273" w:lineRule="auto" w:before="128"/>
              <w:ind w:left="102" w:right="143"/>
              <w:rPr>
                <w:sz w:val="21"/>
              </w:rPr>
            </w:pPr>
            <w:r>
              <w:rPr>
                <w:sz w:val="21"/>
              </w:rPr>
              <w:t>指肢体的三大关节中的两大关节僵硬，或不能随意识活动。肢体是指包括肩关节的整个上肢或包括髋关节的整个下肢。</w:t>
            </w:r>
          </w:p>
        </w:tc>
      </w:tr>
      <w:tr>
        <w:trPr>
          <w:trHeight w:val="1843" w:hRule="atLeast"/>
        </w:trPr>
        <w:tc>
          <w:tcPr>
            <w:tcW w:w="767" w:type="dxa"/>
          </w:tcPr>
          <w:p>
            <w:pPr>
              <w:pStyle w:val="TableParagraph"/>
              <w:spacing w:before="128"/>
              <w:ind w:left="181" w:right="228"/>
              <w:jc w:val="center"/>
              <w:rPr>
                <w:b/>
                <w:sz w:val="21"/>
              </w:rPr>
            </w:pPr>
            <w:r>
              <w:rPr>
                <w:b/>
                <w:sz w:val="21"/>
              </w:rPr>
              <w:t>9.6</w:t>
            </w:r>
          </w:p>
        </w:tc>
        <w:tc>
          <w:tcPr>
            <w:tcW w:w="2134" w:type="dxa"/>
          </w:tcPr>
          <w:p>
            <w:pPr>
              <w:pStyle w:val="TableParagraph"/>
              <w:spacing w:line="273" w:lineRule="auto" w:before="128"/>
              <w:ind w:left="250" w:right="99"/>
              <w:rPr>
                <w:b/>
                <w:sz w:val="21"/>
              </w:rPr>
            </w:pPr>
            <w:r>
              <w:rPr>
                <w:b/>
                <w:sz w:val="21"/>
              </w:rPr>
              <w:t>语言能力或咀嚼吞</w:t>
            </w:r>
            <w:r>
              <w:rPr>
                <w:b/>
                <w:w w:val="95"/>
                <w:sz w:val="21"/>
              </w:rPr>
              <w:t>咽能力完全丧失</w:t>
            </w:r>
          </w:p>
        </w:tc>
        <w:tc>
          <w:tcPr>
            <w:tcW w:w="7201" w:type="dxa"/>
          </w:tcPr>
          <w:p>
            <w:pPr>
              <w:pStyle w:val="TableParagraph"/>
              <w:spacing w:line="273" w:lineRule="auto" w:before="128"/>
              <w:ind w:left="102" w:right="199"/>
              <w:jc w:val="both"/>
              <w:rPr>
                <w:sz w:val="21"/>
              </w:rPr>
            </w:pPr>
            <w:r>
              <w:rPr>
                <w:spacing w:val="-2"/>
                <w:sz w:val="21"/>
              </w:rPr>
              <w:t>语言能力完全丧失，指无法发出四种语音</w:t>
            </w:r>
            <w:r>
              <w:rPr>
                <w:sz w:val="21"/>
              </w:rPr>
              <w:t>（</w:t>
            </w:r>
            <w:r>
              <w:rPr>
                <w:spacing w:val="-3"/>
                <w:sz w:val="21"/>
              </w:rPr>
              <w:t>包括口唇音、齿舌音、口盖音和喉头音</w:t>
            </w:r>
            <w:r>
              <w:rPr>
                <w:spacing w:val="-11"/>
                <w:sz w:val="21"/>
              </w:rPr>
              <w:t>）</w:t>
            </w:r>
            <w:r>
              <w:rPr>
                <w:spacing w:val="-3"/>
                <w:sz w:val="21"/>
              </w:rPr>
              <w:t>中的任何三种、或声带全部切除，或因大脑语言中枢受伤害而患失语症。</w:t>
            </w:r>
          </w:p>
          <w:p>
            <w:pPr>
              <w:pStyle w:val="TableParagraph"/>
              <w:spacing w:line="273" w:lineRule="auto" w:before="7"/>
              <w:ind w:left="102" w:right="198"/>
              <w:jc w:val="both"/>
              <w:rPr>
                <w:sz w:val="21"/>
              </w:rPr>
            </w:pPr>
            <w:r>
              <w:rPr>
                <w:spacing w:val="-3"/>
                <w:sz w:val="21"/>
              </w:rPr>
              <w:t>咀嚼吞咽能力完全丧失，指因牙齿以外的原因导致器质障碍或机能障碍，以致不能作咀嚼吞咽运动，除流质食物外不能摄取或吞咽的状态。</w:t>
            </w:r>
          </w:p>
        </w:tc>
      </w:tr>
      <w:tr>
        <w:trPr>
          <w:trHeight w:val="2467" w:hRule="atLeast"/>
        </w:trPr>
        <w:tc>
          <w:tcPr>
            <w:tcW w:w="767" w:type="dxa"/>
          </w:tcPr>
          <w:p>
            <w:pPr>
              <w:pStyle w:val="TableParagraph"/>
              <w:spacing w:before="127"/>
              <w:ind w:left="181" w:right="228"/>
              <w:jc w:val="center"/>
              <w:rPr>
                <w:b/>
                <w:sz w:val="21"/>
              </w:rPr>
            </w:pPr>
            <w:r>
              <w:rPr>
                <w:b/>
                <w:sz w:val="21"/>
              </w:rPr>
              <w:t>9.7</w:t>
            </w:r>
          </w:p>
        </w:tc>
        <w:tc>
          <w:tcPr>
            <w:tcW w:w="2134" w:type="dxa"/>
          </w:tcPr>
          <w:p>
            <w:pPr>
              <w:pStyle w:val="TableParagraph"/>
              <w:spacing w:line="273" w:lineRule="auto" w:before="127"/>
              <w:ind w:left="250" w:right="99"/>
              <w:rPr>
                <w:b/>
                <w:sz w:val="21"/>
              </w:rPr>
            </w:pPr>
            <w:r>
              <w:rPr>
                <w:b/>
                <w:sz w:val="21"/>
              </w:rPr>
              <w:t>六项基本日常生活活动</w:t>
            </w:r>
          </w:p>
        </w:tc>
        <w:tc>
          <w:tcPr>
            <w:tcW w:w="7201" w:type="dxa"/>
          </w:tcPr>
          <w:p>
            <w:pPr>
              <w:pStyle w:val="TableParagraph"/>
              <w:spacing w:before="127"/>
              <w:ind w:left="102"/>
              <w:rPr>
                <w:sz w:val="21"/>
              </w:rPr>
            </w:pPr>
            <w:r>
              <w:rPr>
                <w:sz w:val="21"/>
              </w:rPr>
              <w:t>六项基本日常生活活动是指：</w:t>
            </w:r>
          </w:p>
          <w:p>
            <w:pPr>
              <w:pStyle w:val="TableParagraph"/>
              <w:spacing w:before="36"/>
              <w:ind w:left="102"/>
              <w:rPr>
                <w:sz w:val="21"/>
              </w:rPr>
            </w:pPr>
            <w:r>
              <w:rPr>
                <w:sz w:val="21"/>
              </w:rPr>
              <w:t>（1）穿衣：自己能够穿衣及脱衣；</w:t>
            </w:r>
          </w:p>
          <w:p>
            <w:pPr>
              <w:pStyle w:val="TableParagraph"/>
              <w:spacing w:before="36"/>
              <w:ind w:left="102"/>
              <w:rPr>
                <w:sz w:val="21"/>
              </w:rPr>
            </w:pPr>
            <w:r>
              <w:rPr>
                <w:sz w:val="21"/>
              </w:rPr>
              <w:t>（2）移动：自己从一个房间到另一个房间；</w:t>
            </w:r>
          </w:p>
          <w:p>
            <w:pPr>
              <w:pStyle w:val="TableParagraph"/>
              <w:spacing w:before="36"/>
              <w:ind w:left="102"/>
              <w:rPr>
                <w:sz w:val="21"/>
              </w:rPr>
            </w:pPr>
            <w:r>
              <w:rPr>
                <w:sz w:val="21"/>
              </w:rPr>
              <w:t>（3）行动：自己上下床或上下轮椅；</w:t>
            </w:r>
          </w:p>
          <w:p>
            <w:pPr>
              <w:pStyle w:val="TableParagraph"/>
              <w:spacing w:before="36"/>
              <w:ind w:left="102"/>
              <w:rPr>
                <w:sz w:val="21"/>
              </w:rPr>
            </w:pPr>
            <w:r>
              <w:rPr>
                <w:sz w:val="21"/>
              </w:rPr>
              <w:t>（4）如厕：自己控制进行大小便；</w:t>
            </w:r>
          </w:p>
          <w:p>
            <w:pPr>
              <w:pStyle w:val="TableParagraph"/>
              <w:spacing w:before="36"/>
              <w:ind w:left="102"/>
              <w:rPr>
                <w:sz w:val="21"/>
              </w:rPr>
            </w:pPr>
            <w:r>
              <w:rPr>
                <w:sz w:val="21"/>
              </w:rPr>
              <w:t>（5）进食：自己从已准备好的碗或碟中取食物放入口中；</w:t>
            </w:r>
          </w:p>
          <w:p>
            <w:pPr>
              <w:pStyle w:val="TableParagraph"/>
              <w:spacing w:before="36"/>
              <w:ind w:left="102"/>
              <w:rPr>
                <w:sz w:val="21"/>
              </w:rPr>
            </w:pPr>
            <w:r>
              <w:rPr>
                <w:sz w:val="21"/>
              </w:rPr>
              <w:t>（6）洗澡：自己进行淋浴或盆浴。</w:t>
            </w:r>
          </w:p>
        </w:tc>
      </w:tr>
      <w:tr>
        <w:trPr>
          <w:trHeight w:val="908" w:hRule="atLeast"/>
        </w:trPr>
        <w:tc>
          <w:tcPr>
            <w:tcW w:w="767" w:type="dxa"/>
          </w:tcPr>
          <w:p>
            <w:pPr>
              <w:pStyle w:val="TableParagraph"/>
              <w:spacing w:before="128"/>
              <w:ind w:left="181" w:right="228"/>
              <w:jc w:val="center"/>
              <w:rPr>
                <w:b/>
                <w:sz w:val="21"/>
              </w:rPr>
            </w:pPr>
            <w:r>
              <w:rPr>
                <w:b/>
                <w:sz w:val="21"/>
              </w:rPr>
              <w:t>9.8</w:t>
            </w:r>
          </w:p>
        </w:tc>
        <w:tc>
          <w:tcPr>
            <w:tcW w:w="2134" w:type="dxa"/>
          </w:tcPr>
          <w:p>
            <w:pPr>
              <w:pStyle w:val="TableParagraph"/>
              <w:spacing w:before="128"/>
              <w:ind w:left="250"/>
              <w:rPr>
                <w:b/>
                <w:sz w:val="21"/>
              </w:rPr>
            </w:pPr>
            <w:r>
              <w:rPr>
                <w:b/>
                <w:w w:val="95"/>
                <w:sz w:val="21"/>
              </w:rPr>
              <w:t>永久不可逆</w:t>
            </w:r>
          </w:p>
        </w:tc>
        <w:tc>
          <w:tcPr>
            <w:tcW w:w="7201" w:type="dxa"/>
          </w:tcPr>
          <w:p>
            <w:pPr>
              <w:pStyle w:val="TableParagraph"/>
              <w:spacing w:line="273" w:lineRule="auto" w:before="128"/>
              <w:ind w:left="102" w:right="197"/>
              <w:rPr>
                <w:sz w:val="21"/>
              </w:rPr>
            </w:pPr>
            <w:r>
              <w:rPr>
                <w:spacing w:val="-4"/>
                <w:sz w:val="21"/>
              </w:rPr>
              <w:t>指自疾病确诊或意外伤害发生之日起，经过积极治疗 </w:t>
            </w:r>
            <w:r>
              <w:rPr>
                <w:sz w:val="21"/>
              </w:rPr>
              <w:t>180</w:t>
            </w:r>
            <w:r>
              <w:rPr>
                <w:spacing w:val="-10"/>
                <w:sz w:val="21"/>
              </w:rPr>
              <w:t> 日后，仍无法通过现有医疗手段恢复。</w:t>
            </w:r>
          </w:p>
        </w:tc>
      </w:tr>
      <w:tr>
        <w:trPr>
          <w:trHeight w:val="715" w:hRule="atLeast"/>
        </w:trPr>
        <w:tc>
          <w:tcPr>
            <w:tcW w:w="767" w:type="dxa"/>
          </w:tcPr>
          <w:p>
            <w:pPr>
              <w:pStyle w:val="TableParagraph"/>
              <w:spacing w:before="128"/>
              <w:ind w:left="181" w:right="228"/>
              <w:jc w:val="center"/>
              <w:rPr>
                <w:b/>
                <w:sz w:val="21"/>
              </w:rPr>
            </w:pPr>
            <w:r>
              <w:rPr>
                <w:b/>
                <w:sz w:val="21"/>
              </w:rPr>
              <w:t>9.9</w:t>
            </w:r>
          </w:p>
        </w:tc>
        <w:tc>
          <w:tcPr>
            <w:tcW w:w="2134" w:type="dxa"/>
          </w:tcPr>
          <w:p>
            <w:pPr>
              <w:pStyle w:val="TableParagraph"/>
              <w:spacing w:before="128"/>
              <w:ind w:left="250"/>
              <w:rPr>
                <w:b/>
                <w:sz w:val="21"/>
              </w:rPr>
            </w:pPr>
            <w:r>
              <w:rPr>
                <w:b/>
                <w:w w:val="95"/>
                <w:sz w:val="21"/>
              </w:rPr>
              <w:t>心功能状态分级</w:t>
            </w:r>
          </w:p>
        </w:tc>
        <w:tc>
          <w:tcPr>
            <w:tcW w:w="7201" w:type="dxa"/>
          </w:tcPr>
          <w:p>
            <w:pPr>
              <w:pStyle w:val="TableParagraph"/>
              <w:spacing w:before="128"/>
              <w:ind w:left="102"/>
              <w:rPr>
                <w:sz w:val="21"/>
              </w:rPr>
            </w:pPr>
            <w:r>
              <w:rPr>
                <w:sz w:val="21"/>
              </w:rPr>
              <w:t>指美国纽约心脏病学会心功能状态的分级标准：</w:t>
            </w:r>
          </w:p>
          <w:p>
            <w:pPr>
              <w:pStyle w:val="TableParagraph"/>
              <w:spacing w:line="255" w:lineRule="exact" w:before="37"/>
              <w:ind w:left="102"/>
              <w:rPr>
                <w:sz w:val="21"/>
              </w:rPr>
            </w:pPr>
            <w:r>
              <w:rPr>
                <w:sz w:val="21"/>
              </w:rPr>
              <w:t>Ⅰ级：体力活动不受限制，日常活动不引起乏力、心悸、呼吸困难或心绞痛</w:t>
            </w:r>
          </w:p>
        </w:tc>
      </w:tr>
    </w:tbl>
    <w:p>
      <w:pPr>
        <w:spacing w:after="0" w:line="255" w:lineRule="exact"/>
        <w:rPr>
          <w:sz w:val="21"/>
        </w:rPr>
        <w:sectPr>
          <w:pgSz w:w="11910" w:h="16840"/>
          <w:pgMar w:top="1160" w:bottom="280" w:left="720" w:right="8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2080"/>
        <w:gridCol w:w="7320"/>
      </w:tblGrid>
      <w:tr>
        <w:trPr>
          <w:trHeight w:val="1963" w:hRule="atLeast"/>
        </w:trPr>
        <w:tc>
          <w:tcPr>
            <w:tcW w:w="820" w:type="dxa"/>
          </w:tcPr>
          <w:p>
            <w:pPr>
              <w:pStyle w:val="TableParagraph"/>
              <w:rPr>
                <w:rFonts w:ascii="Times New Roman"/>
                <w:sz w:val="20"/>
              </w:rPr>
            </w:pPr>
          </w:p>
        </w:tc>
        <w:tc>
          <w:tcPr>
            <w:tcW w:w="2080" w:type="dxa"/>
          </w:tcPr>
          <w:p>
            <w:pPr>
              <w:pStyle w:val="TableParagraph"/>
              <w:rPr>
                <w:rFonts w:ascii="Times New Roman"/>
                <w:sz w:val="20"/>
              </w:rPr>
            </w:pPr>
          </w:p>
        </w:tc>
        <w:tc>
          <w:tcPr>
            <w:tcW w:w="7320" w:type="dxa"/>
          </w:tcPr>
          <w:p>
            <w:pPr>
              <w:pStyle w:val="TableParagraph"/>
              <w:spacing w:line="210" w:lineRule="exact"/>
              <w:ind w:left="733"/>
              <w:rPr>
                <w:sz w:val="21"/>
              </w:rPr>
            </w:pPr>
            <w:r>
              <w:rPr>
                <w:sz w:val="21"/>
              </w:rPr>
              <w:t>等症状。</w:t>
            </w:r>
          </w:p>
          <w:p>
            <w:pPr>
              <w:pStyle w:val="TableParagraph"/>
              <w:spacing w:line="273" w:lineRule="auto" w:before="37"/>
              <w:ind w:left="733" w:right="284" w:hanging="630"/>
              <w:rPr>
                <w:sz w:val="21"/>
              </w:rPr>
            </w:pPr>
            <w:r>
              <w:rPr>
                <w:sz w:val="21"/>
              </w:rPr>
              <w:t>Ⅱ级：体力活动轻度受限，休息时无症状，日常活动即可引起乏力、心悸、呼吸困难或心绞痛等症状。</w:t>
            </w:r>
          </w:p>
          <w:p>
            <w:pPr>
              <w:pStyle w:val="TableParagraph"/>
              <w:spacing w:line="273" w:lineRule="auto" w:before="7"/>
              <w:ind w:left="733" w:right="267" w:hanging="630"/>
              <w:rPr>
                <w:sz w:val="21"/>
              </w:rPr>
            </w:pPr>
            <w:r>
              <w:rPr>
                <w:sz w:val="21"/>
              </w:rPr>
              <w:t>Ⅲ级：体力活动明显受限，休息时无症状，轻于日常的活动即可引起上述症状。</w:t>
            </w:r>
          </w:p>
          <w:p>
            <w:pPr>
              <w:pStyle w:val="TableParagraph"/>
              <w:spacing w:before="7"/>
              <w:ind w:left="103"/>
              <w:rPr>
                <w:sz w:val="21"/>
              </w:rPr>
            </w:pPr>
            <w:r>
              <w:rPr>
                <w:sz w:val="21"/>
              </w:rPr>
              <w:t>Ⅳ级：不能从事任何体力活动，休息时亦有症状，体力活动后加重。</w:t>
            </w:r>
          </w:p>
        </w:tc>
      </w:tr>
      <w:tr>
        <w:trPr>
          <w:trHeight w:val="595" w:hRule="atLeast"/>
        </w:trPr>
        <w:tc>
          <w:tcPr>
            <w:tcW w:w="820" w:type="dxa"/>
          </w:tcPr>
          <w:p>
            <w:pPr>
              <w:pStyle w:val="TableParagraph"/>
              <w:spacing w:before="128"/>
              <w:ind w:left="179" w:right="176"/>
              <w:jc w:val="center"/>
              <w:rPr>
                <w:b/>
                <w:sz w:val="21"/>
              </w:rPr>
            </w:pPr>
            <w:r>
              <w:rPr>
                <w:b/>
                <w:sz w:val="21"/>
              </w:rPr>
              <w:t>9.10</w:t>
            </w:r>
          </w:p>
        </w:tc>
        <w:tc>
          <w:tcPr>
            <w:tcW w:w="2080" w:type="dxa"/>
          </w:tcPr>
          <w:p>
            <w:pPr>
              <w:pStyle w:val="TableParagraph"/>
              <w:spacing w:before="128"/>
              <w:ind w:left="197"/>
              <w:rPr>
                <w:b/>
                <w:sz w:val="21"/>
              </w:rPr>
            </w:pPr>
            <w:r>
              <w:rPr>
                <w:b/>
                <w:sz w:val="21"/>
              </w:rPr>
              <w:t>意外伤害</w:t>
            </w:r>
          </w:p>
        </w:tc>
        <w:tc>
          <w:tcPr>
            <w:tcW w:w="7320" w:type="dxa"/>
          </w:tcPr>
          <w:p>
            <w:pPr>
              <w:pStyle w:val="TableParagraph"/>
              <w:spacing w:before="128"/>
              <w:ind w:left="103"/>
              <w:rPr>
                <w:sz w:val="21"/>
              </w:rPr>
            </w:pPr>
            <w:r>
              <w:rPr>
                <w:sz w:val="21"/>
              </w:rPr>
              <w:t>指遭受外来的、突发的、非本意的、非疾病的使身体受到伤害的客观事件。</w:t>
            </w:r>
          </w:p>
        </w:tc>
      </w:tr>
      <w:tr>
        <w:trPr>
          <w:trHeight w:val="1843" w:hRule="atLeast"/>
        </w:trPr>
        <w:tc>
          <w:tcPr>
            <w:tcW w:w="820" w:type="dxa"/>
          </w:tcPr>
          <w:p>
            <w:pPr>
              <w:pStyle w:val="TableParagraph"/>
              <w:spacing w:before="127"/>
              <w:ind w:left="179" w:right="176"/>
              <w:jc w:val="center"/>
              <w:rPr>
                <w:b/>
                <w:sz w:val="21"/>
              </w:rPr>
            </w:pPr>
            <w:r>
              <w:rPr>
                <w:b/>
                <w:sz w:val="21"/>
              </w:rPr>
              <w:t>9.11</w:t>
            </w:r>
          </w:p>
        </w:tc>
        <w:tc>
          <w:tcPr>
            <w:tcW w:w="2080" w:type="dxa"/>
          </w:tcPr>
          <w:p>
            <w:pPr>
              <w:pStyle w:val="TableParagraph"/>
              <w:spacing w:before="127"/>
              <w:ind w:left="197"/>
              <w:rPr>
                <w:b/>
                <w:sz w:val="21"/>
              </w:rPr>
            </w:pPr>
            <w:r>
              <w:rPr>
                <w:b/>
                <w:sz w:val="21"/>
              </w:rPr>
              <w:t>医院</w:t>
            </w:r>
          </w:p>
        </w:tc>
        <w:tc>
          <w:tcPr>
            <w:tcW w:w="7320" w:type="dxa"/>
          </w:tcPr>
          <w:p>
            <w:pPr>
              <w:pStyle w:val="TableParagraph"/>
              <w:spacing w:line="273" w:lineRule="auto" w:before="127"/>
              <w:ind w:left="103" w:right="317"/>
              <w:jc w:val="both"/>
              <w:rPr>
                <w:sz w:val="21"/>
              </w:rPr>
            </w:pPr>
            <w:r>
              <w:rPr>
                <w:spacing w:val="-2"/>
                <w:sz w:val="21"/>
              </w:rPr>
              <w:t>指经中华人民共和国卫生部门评审确定的二级或二级以上的公立医院，但不</w:t>
            </w:r>
            <w:r>
              <w:rPr>
                <w:spacing w:val="-7"/>
                <w:sz w:val="21"/>
              </w:rPr>
              <w:t>包括精神病院及专供康复、休养、戒毒、戒酒、护理、养老等非以直接诊治</w:t>
            </w:r>
            <w:r>
              <w:rPr>
                <w:spacing w:val="-10"/>
                <w:sz w:val="21"/>
              </w:rPr>
              <w:t>病人为目的的医疗机构。该医院必须具有符合国家有关医院管理规则设置标准的医疗设备，且全天二十四小时有合格医师及护士驻院提供医疗及护理服务。</w:t>
            </w:r>
          </w:p>
        </w:tc>
      </w:tr>
      <w:tr>
        <w:trPr>
          <w:trHeight w:val="596" w:hRule="atLeast"/>
        </w:trPr>
        <w:tc>
          <w:tcPr>
            <w:tcW w:w="820" w:type="dxa"/>
          </w:tcPr>
          <w:p>
            <w:pPr>
              <w:pStyle w:val="TableParagraph"/>
              <w:spacing w:before="128"/>
              <w:ind w:left="179" w:right="176"/>
              <w:jc w:val="center"/>
              <w:rPr>
                <w:b/>
                <w:sz w:val="21"/>
              </w:rPr>
            </w:pPr>
            <w:r>
              <w:rPr>
                <w:b/>
                <w:sz w:val="21"/>
              </w:rPr>
              <w:t>9.12</w:t>
            </w:r>
          </w:p>
        </w:tc>
        <w:tc>
          <w:tcPr>
            <w:tcW w:w="2080" w:type="dxa"/>
          </w:tcPr>
          <w:p>
            <w:pPr>
              <w:pStyle w:val="TableParagraph"/>
              <w:spacing w:before="128"/>
              <w:ind w:left="197"/>
              <w:rPr>
                <w:b/>
                <w:sz w:val="21"/>
              </w:rPr>
            </w:pPr>
            <w:r>
              <w:rPr>
                <w:b/>
                <w:w w:val="95"/>
                <w:sz w:val="21"/>
              </w:rPr>
              <w:t>本条款约定确诊日</w:t>
            </w:r>
          </w:p>
        </w:tc>
        <w:tc>
          <w:tcPr>
            <w:tcW w:w="7320" w:type="dxa"/>
          </w:tcPr>
          <w:p>
            <w:pPr>
              <w:pStyle w:val="TableParagraph"/>
              <w:spacing w:before="128"/>
              <w:ind w:left="103"/>
              <w:rPr>
                <w:sz w:val="21"/>
              </w:rPr>
            </w:pPr>
            <w:r>
              <w:rPr>
                <w:sz w:val="21"/>
              </w:rPr>
              <w:t>指满足本附加险合同“重大疾病”定义所有条件之日。</w:t>
            </w:r>
          </w:p>
        </w:tc>
      </w:tr>
      <w:tr>
        <w:trPr>
          <w:trHeight w:val="1531" w:hRule="atLeast"/>
        </w:trPr>
        <w:tc>
          <w:tcPr>
            <w:tcW w:w="820" w:type="dxa"/>
          </w:tcPr>
          <w:p>
            <w:pPr>
              <w:pStyle w:val="TableParagraph"/>
              <w:spacing w:before="128"/>
              <w:ind w:left="179" w:right="176"/>
              <w:jc w:val="center"/>
              <w:rPr>
                <w:b/>
                <w:sz w:val="21"/>
              </w:rPr>
            </w:pPr>
            <w:r>
              <w:rPr>
                <w:b/>
                <w:sz w:val="21"/>
              </w:rPr>
              <w:t>9.13</w:t>
            </w:r>
          </w:p>
        </w:tc>
        <w:tc>
          <w:tcPr>
            <w:tcW w:w="2080" w:type="dxa"/>
          </w:tcPr>
          <w:p>
            <w:pPr>
              <w:pStyle w:val="TableParagraph"/>
              <w:spacing w:before="128"/>
              <w:ind w:left="197"/>
              <w:rPr>
                <w:b/>
                <w:sz w:val="21"/>
              </w:rPr>
            </w:pPr>
            <w:r>
              <w:rPr>
                <w:b/>
                <w:sz w:val="21"/>
              </w:rPr>
              <w:t>毒品</w:t>
            </w:r>
          </w:p>
        </w:tc>
        <w:tc>
          <w:tcPr>
            <w:tcW w:w="7320" w:type="dxa"/>
          </w:tcPr>
          <w:p>
            <w:pPr>
              <w:pStyle w:val="TableParagraph"/>
              <w:spacing w:line="273" w:lineRule="auto" w:before="128"/>
              <w:ind w:left="103" w:right="317"/>
              <w:jc w:val="both"/>
              <w:rPr>
                <w:sz w:val="21"/>
              </w:rPr>
            </w:pPr>
            <w:r>
              <w:rPr>
                <w:sz w:val="21"/>
              </w:rPr>
              <w:t>指《中华人民共和国刑法》规定的鸦片、海洛因、甲基苯丙胺（冰毒</w:t>
            </w:r>
            <w:r>
              <w:rPr>
                <w:spacing w:val="-104"/>
                <w:sz w:val="21"/>
              </w:rPr>
              <w:t>）</w:t>
            </w:r>
            <w:r>
              <w:rPr>
                <w:sz w:val="21"/>
              </w:rPr>
              <w:t>、吗</w:t>
            </w:r>
            <w:r>
              <w:rPr>
                <w:spacing w:val="-6"/>
                <w:sz w:val="21"/>
              </w:rPr>
              <w:t>啡、大麻、可卡因以及国家规定管制的其他能够使人形成瘾癖的麻醉药品和</w:t>
            </w:r>
            <w:r>
              <w:rPr>
                <w:spacing w:val="-8"/>
                <w:sz w:val="21"/>
              </w:rPr>
              <w:t>精神药品，但不包括由医生开具并遵医嘱使用的用于治疗疾病但含有毒品成分的处方药品。</w:t>
            </w:r>
          </w:p>
        </w:tc>
      </w:tr>
      <w:tr>
        <w:trPr>
          <w:trHeight w:val="1219" w:hRule="atLeast"/>
        </w:trPr>
        <w:tc>
          <w:tcPr>
            <w:tcW w:w="820" w:type="dxa"/>
          </w:tcPr>
          <w:p>
            <w:pPr>
              <w:pStyle w:val="TableParagraph"/>
              <w:spacing w:before="127"/>
              <w:ind w:left="179" w:right="176"/>
              <w:jc w:val="center"/>
              <w:rPr>
                <w:b/>
                <w:sz w:val="21"/>
              </w:rPr>
            </w:pPr>
            <w:r>
              <w:rPr>
                <w:b/>
                <w:sz w:val="21"/>
              </w:rPr>
              <w:t>9.14</w:t>
            </w:r>
          </w:p>
        </w:tc>
        <w:tc>
          <w:tcPr>
            <w:tcW w:w="2080" w:type="dxa"/>
          </w:tcPr>
          <w:p>
            <w:pPr>
              <w:pStyle w:val="TableParagraph"/>
              <w:spacing w:before="127"/>
              <w:ind w:left="197"/>
              <w:rPr>
                <w:b/>
                <w:sz w:val="21"/>
              </w:rPr>
            </w:pPr>
            <w:r>
              <w:rPr>
                <w:b/>
                <w:sz w:val="21"/>
              </w:rPr>
              <w:t>酒后驾驶</w:t>
            </w:r>
          </w:p>
        </w:tc>
        <w:tc>
          <w:tcPr>
            <w:tcW w:w="7320" w:type="dxa"/>
          </w:tcPr>
          <w:p>
            <w:pPr>
              <w:pStyle w:val="TableParagraph"/>
              <w:spacing w:line="273" w:lineRule="auto" w:before="127"/>
              <w:ind w:left="103" w:right="315"/>
              <w:jc w:val="both"/>
              <w:rPr>
                <w:sz w:val="21"/>
              </w:rPr>
            </w:pPr>
            <w:r>
              <w:rPr>
                <w:spacing w:val="-5"/>
                <w:sz w:val="21"/>
              </w:rPr>
              <w:t>指经检测或鉴定，发生事故时车辆驾驶人员每百毫升血液中的酒精含量达到</w:t>
            </w:r>
            <w:r>
              <w:rPr>
                <w:spacing w:val="-8"/>
                <w:sz w:val="21"/>
              </w:rPr>
              <w:t>或超过一定的标准，公安机关交通管理部门依据《中华人民共和国道路交通安全法》的规定认定为饮酒后驾驶或醉酒后驾驶。</w:t>
            </w:r>
          </w:p>
        </w:tc>
      </w:tr>
      <w:tr>
        <w:trPr>
          <w:trHeight w:val="922" w:hRule="atLeast"/>
        </w:trPr>
        <w:tc>
          <w:tcPr>
            <w:tcW w:w="820" w:type="dxa"/>
          </w:tcPr>
          <w:p>
            <w:pPr>
              <w:pStyle w:val="TableParagraph"/>
              <w:spacing w:before="128"/>
              <w:ind w:left="179" w:right="176"/>
              <w:jc w:val="center"/>
              <w:rPr>
                <w:b/>
                <w:sz w:val="21"/>
              </w:rPr>
            </w:pPr>
            <w:r>
              <w:rPr>
                <w:b/>
                <w:sz w:val="21"/>
              </w:rPr>
              <w:t>9.15</w:t>
            </w:r>
          </w:p>
        </w:tc>
        <w:tc>
          <w:tcPr>
            <w:tcW w:w="2080" w:type="dxa"/>
          </w:tcPr>
          <w:p>
            <w:pPr>
              <w:pStyle w:val="TableParagraph"/>
              <w:spacing w:before="128"/>
              <w:ind w:left="197"/>
              <w:rPr>
                <w:b/>
                <w:sz w:val="21"/>
              </w:rPr>
            </w:pPr>
            <w:r>
              <w:rPr>
                <w:b/>
                <w:sz w:val="21"/>
              </w:rPr>
              <w:t>机动车</w:t>
            </w:r>
          </w:p>
        </w:tc>
        <w:tc>
          <w:tcPr>
            <w:tcW w:w="7320" w:type="dxa"/>
          </w:tcPr>
          <w:p>
            <w:pPr>
              <w:pStyle w:val="TableParagraph"/>
              <w:spacing w:line="273" w:lineRule="auto" w:before="128"/>
              <w:ind w:left="103" w:right="261"/>
              <w:rPr>
                <w:sz w:val="21"/>
              </w:rPr>
            </w:pPr>
            <w:r>
              <w:rPr>
                <w:sz w:val="21"/>
              </w:rPr>
              <w:t>指以动力装置驱动或者牵引，上道路行驶的供人员乘用或者用于运送物品以及进行工程专项作业的轮式车辆。</w:t>
            </w:r>
          </w:p>
        </w:tc>
      </w:tr>
      <w:tr>
        <w:trPr>
          <w:trHeight w:val="1857" w:hRule="atLeast"/>
        </w:trPr>
        <w:tc>
          <w:tcPr>
            <w:tcW w:w="820" w:type="dxa"/>
          </w:tcPr>
          <w:p>
            <w:pPr>
              <w:pStyle w:val="TableParagraph"/>
              <w:spacing w:before="142"/>
              <w:ind w:left="179" w:right="176"/>
              <w:jc w:val="center"/>
              <w:rPr>
                <w:b/>
                <w:sz w:val="21"/>
              </w:rPr>
            </w:pPr>
            <w:r>
              <w:rPr>
                <w:b/>
                <w:sz w:val="21"/>
              </w:rPr>
              <w:t>9.16</w:t>
            </w:r>
          </w:p>
        </w:tc>
        <w:tc>
          <w:tcPr>
            <w:tcW w:w="2080" w:type="dxa"/>
          </w:tcPr>
          <w:p>
            <w:pPr>
              <w:pStyle w:val="TableParagraph"/>
              <w:spacing w:line="273" w:lineRule="auto" w:before="142"/>
              <w:ind w:left="197" w:right="98"/>
              <w:rPr>
                <w:b/>
                <w:sz w:val="21"/>
              </w:rPr>
            </w:pPr>
            <w:r>
              <w:rPr>
                <w:b/>
                <w:sz w:val="21"/>
              </w:rPr>
              <w:t>感染艾滋病病毒或患艾滋病</w:t>
            </w:r>
          </w:p>
        </w:tc>
        <w:tc>
          <w:tcPr>
            <w:tcW w:w="7320" w:type="dxa"/>
          </w:tcPr>
          <w:p>
            <w:pPr>
              <w:pStyle w:val="TableParagraph"/>
              <w:spacing w:line="273" w:lineRule="auto" w:before="142"/>
              <w:ind w:left="103" w:right="262" w:hanging="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3" w:right="211"/>
              <w:rPr>
                <w:sz w:val="21"/>
              </w:rPr>
            </w:pPr>
            <w:r>
              <w:rPr>
                <w:spacing w:val="-2"/>
                <w:sz w:val="21"/>
              </w:rPr>
              <w:t>在人体血液或其它样本中检测到艾滋病病毒或其抗体呈阳性，没有出现临床</w:t>
            </w:r>
            <w:r>
              <w:rPr>
                <w:spacing w:val="-13"/>
                <w:sz w:val="21"/>
              </w:rPr>
              <w:t>症状或体征的，为感染艾滋病病毒；如果同时出现了明显临床症状或体征的， 为患艾滋病。</w:t>
            </w:r>
          </w:p>
        </w:tc>
      </w:tr>
      <w:tr>
        <w:trPr>
          <w:trHeight w:val="907" w:hRule="atLeast"/>
        </w:trPr>
        <w:tc>
          <w:tcPr>
            <w:tcW w:w="820" w:type="dxa"/>
          </w:tcPr>
          <w:p>
            <w:pPr>
              <w:pStyle w:val="TableParagraph"/>
              <w:spacing w:before="127"/>
              <w:ind w:left="179" w:right="176"/>
              <w:jc w:val="center"/>
              <w:rPr>
                <w:b/>
                <w:sz w:val="21"/>
              </w:rPr>
            </w:pPr>
            <w:r>
              <w:rPr>
                <w:b/>
                <w:sz w:val="21"/>
              </w:rPr>
              <w:t>9.17</w:t>
            </w:r>
          </w:p>
        </w:tc>
        <w:tc>
          <w:tcPr>
            <w:tcW w:w="2080" w:type="dxa"/>
          </w:tcPr>
          <w:p>
            <w:pPr>
              <w:pStyle w:val="TableParagraph"/>
              <w:spacing w:before="127"/>
              <w:ind w:left="197"/>
              <w:rPr>
                <w:b/>
                <w:sz w:val="21"/>
              </w:rPr>
            </w:pPr>
            <w:r>
              <w:rPr>
                <w:b/>
                <w:w w:val="95"/>
                <w:sz w:val="21"/>
              </w:rPr>
              <w:t>遗传性疾病</w:t>
            </w:r>
          </w:p>
        </w:tc>
        <w:tc>
          <w:tcPr>
            <w:tcW w:w="7320" w:type="dxa"/>
          </w:tcPr>
          <w:p>
            <w:pPr>
              <w:pStyle w:val="TableParagraph"/>
              <w:spacing w:line="273" w:lineRule="auto" w:before="127"/>
              <w:ind w:left="103" w:right="261"/>
              <w:rPr>
                <w:sz w:val="21"/>
              </w:rPr>
            </w:pPr>
            <w:r>
              <w:rPr>
                <w:sz w:val="21"/>
              </w:rPr>
              <w:t>指生殖细胞或受精卵的遗传物质（染色体和基因）发生突变或畸变所引起的疾病，通常具有由亲代传至后代的垂直传递的特征。</w:t>
            </w:r>
          </w:p>
        </w:tc>
      </w:tr>
      <w:tr>
        <w:trPr>
          <w:trHeight w:val="1219" w:hRule="atLeast"/>
        </w:trPr>
        <w:tc>
          <w:tcPr>
            <w:tcW w:w="820" w:type="dxa"/>
          </w:tcPr>
          <w:p>
            <w:pPr>
              <w:pStyle w:val="TableParagraph"/>
              <w:spacing w:before="127"/>
              <w:ind w:left="179" w:right="176"/>
              <w:jc w:val="center"/>
              <w:rPr>
                <w:b/>
                <w:sz w:val="21"/>
              </w:rPr>
            </w:pPr>
            <w:r>
              <w:rPr>
                <w:b/>
                <w:sz w:val="21"/>
              </w:rPr>
              <w:t>9.18</w:t>
            </w:r>
          </w:p>
        </w:tc>
        <w:tc>
          <w:tcPr>
            <w:tcW w:w="2080" w:type="dxa"/>
          </w:tcPr>
          <w:p>
            <w:pPr>
              <w:pStyle w:val="TableParagraph"/>
              <w:spacing w:line="273" w:lineRule="auto" w:before="127"/>
              <w:ind w:left="197" w:right="98"/>
              <w:rPr>
                <w:b/>
                <w:sz w:val="21"/>
              </w:rPr>
            </w:pPr>
            <w:r>
              <w:rPr>
                <w:b/>
                <w:sz w:val="21"/>
              </w:rPr>
              <w:t>先天性畸形、变形</w:t>
            </w:r>
            <w:r>
              <w:rPr>
                <w:b/>
                <w:w w:val="95"/>
                <w:sz w:val="21"/>
              </w:rPr>
              <w:t>或染色体异常</w:t>
            </w:r>
          </w:p>
        </w:tc>
        <w:tc>
          <w:tcPr>
            <w:tcW w:w="7320" w:type="dxa"/>
          </w:tcPr>
          <w:p>
            <w:pPr>
              <w:pStyle w:val="TableParagraph"/>
              <w:spacing w:line="273" w:lineRule="auto" w:before="127"/>
              <w:ind w:left="103" w:right="196"/>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3"/>
              <w:rPr>
                <w:sz w:val="21"/>
              </w:rPr>
            </w:pPr>
            <w:r>
              <w:rPr>
                <w:sz w:val="21"/>
              </w:rPr>
              <w:t>（ICD-10）确定。</w:t>
            </w:r>
          </w:p>
        </w:tc>
      </w:tr>
      <w:tr>
        <w:trPr>
          <w:trHeight w:val="715" w:hRule="atLeast"/>
        </w:trPr>
        <w:tc>
          <w:tcPr>
            <w:tcW w:w="820" w:type="dxa"/>
          </w:tcPr>
          <w:p>
            <w:pPr>
              <w:pStyle w:val="TableParagraph"/>
              <w:spacing w:before="128"/>
              <w:ind w:left="179" w:right="176"/>
              <w:jc w:val="center"/>
              <w:rPr>
                <w:b/>
                <w:sz w:val="21"/>
              </w:rPr>
            </w:pPr>
            <w:r>
              <w:rPr>
                <w:b/>
                <w:sz w:val="21"/>
              </w:rPr>
              <w:t>9.19</w:t>
            </w:r>
          </w:p>
        </w:tc>
        <w:tc>
          <w:tcPr>
            <w:tcW w:w="2080" w:type="dxa"/>
          </w:tcPr>
          <w:p>
            <w:pPr>
              <w:pStyle w:val="TableParagraph"/>
              <w:spacing w:before="128"/>
              <w:ind w:left="197"/>
              <w:rPr>
                <w:b/>
                <w:sz w:val="21"/>
              </w:rPr>
            </w:pPr>
            <w:r>
              <w:rPr>
                <w:b/>
                <w:w w:val="95"/>
                <w:sz w:val="21"/>
              </w:rPr>
              <w:t>保险费约定支付日</w:t>
            </w:r>
          </w:p>
        </w:tc>
        <w:tc>
          <w:tcPr>
            <w:tcW w:w="7320" w:type="dxa"/>
          </w:tcPr>
          <w:p>
            <w:pPr>
              <w:pStyle w:val="TableParagraph"/>
              <w:spacing w:line="310" w:lineRule="atLeast" w:before="93"/>
              <w:ind w:left="103" w:right="261"/>
              <w:rPr>
                <w:sz w:val="21"/>
              </w:rPr>
            </w:pPr>
            <w:r>
              <w:rPr>
                <w:sz w:val="21"/>
              </w:rPr>
              <w:t>指保险合同生效日在每月、每季、每半年或每年（根据交费方式确定）的对应日。如果当月无对应的同一日，则以该月最后一日为对应日。</w:t>
            </w:r>
          </w:p>
        </w:tc>
      </w:tr>
    </w:tbl>
    <w:p>
      <w:pPr>
        <w:spacing w:after="0" w:line="310" w:lineRule="atLeast"/>
        <w:rPr>
          <w:sz w:val="21"/>
        </w:rPr>
        <w:sectPr>
          <w:pgSz w:w="11910" w:h="16840"/>
          <w:pgMar w:top="1160" w:bottom="280" w:left="720" w:right="760"/>
        </w:sectPr>
      </w:pPr>
    </w:p>
    <w:p>
      <w:pPr>
        <w:pStyle w:val="Heading1"/>
        <w:spacing w:line="311" w:lineRule="exact" w:before="0" w:after="37"/>
        <w:ind w:left="121"/>
        <w:rPr>
          <w:rFonts w:ascii="宋体" w:eastAsia="宋体" w:hint="eastAsia"/>
        </w:rPr>
      </w:pPr>
      <w:r>
        <w:rPr>
          <w:rFonts w:ascii="宋体" w:eastAsia="宋体" w:hint="eastAsia"/>
        </w:rPr>
        <w:t>附表：</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6"/>
      </w:tblGrid>
      <w:tr>
        <w:trPr>
          <w:trHeight w:val="311" w:hRule="atLeast"/>
        </w:trPr>
        <w:tc>
          <w:tcPr>
            <w:tcW w:w="9886" w:type="dxa"/>
          </w:tcPr>
          <w:p>
            <w:pPr>
              <w:pStyle w:val="TableParagraph"/>
              <w:spacing w:line="275" w:lineRule="exact"/>
              <w:ind w:left="4350" w:right="4336"/>
              <w:jc w:val="center"/>
              <w:rPr>
                <w:b/>
                <w:sz w:val="24"/>
              </w:rPr>
            </w:pPr>
            <w:r>
              <w:rPr>
                <w:b/>
                <w:w w:val="95"/>
                <w:sz w:val="24"/>
              </w:rPr>
              <w:t>全残项目表</w:t>
            </w:r>
          </w:p>
        </w:tc>
      </w:tr>
      <w:tr>
        <w:trPr>
          <w:trHeight w:val="312" w:hRule="atLeast"/>
        </w:trPr>
        <w:tc>
          <w:tcPr>
            <w:tcW w:w="9886" w:type="dxa"/>
          </w:tcPr>
          <w:p>
            <w:pPr>
              <w:pStyle w:val="TableParagraph"/>
              <w:spacing w:line="272" w:lineRule="exact"/>
              <w:ind w:left="107"/>
              <w:rPr>
                <w:sz w:val="20"/>
              </w:rPr>
            </w:pPr>
            <w:r>
              <w:rPr>
                <w:sz w:val="20"/>
              </w:rPr>
              <w:t>颅脑损伤导致极度智力缺损（智商小于等于 </w:t>
            </w:r>
            <w:r>
              <w:rPr>
                <w:rFonts w:ascii="Times New Roman" w:eastAsia="Times New Roman"/>
                <w:sz w:val="20"/>
              </w:rPr>
              <w:t>20</w:t>
            </w:r>
            <w:r>
              <w:rPr>
                <w:sz w:val="20"/>
              </w:rPr>
              <w:t>），日常生活完全不能自理，处于完全护理依赖状态</w:t>
            </w:r>
          </w:p>
        </w:tc>
      </w:tr>
      <w:tr>
        <w:trPr>
          <w:trHeight w:val="311" w:hRule="atLeast"/>
        </w:trPr>
        <w:tc>
          <w:tcPr>
            <w:tcW w:w="9886" w:type="dxa"/>
          </w:tcPr>
          <w:p>
            <w:pPr>
              <w:pStyle w:val="TableParagraph"/>
              <w:spacing w:line="271" w:lineRule="exact"/>
              <w:ind w:left="107"/>
              <w:rPr>
                <w:sz w:val="20"/>
              </w:rPr>
            </w:pPr>
            <w:r>
              <w:rPr>
                <w:sz w:val="20"/>
              </w:rPr>
              <w:t>颅脑损伤导致重度智力缺损（智商小于等于 </w:t>
            </w:r>
            <w:r>
              <w:rPr>
                <w:rFonts w:ascii="Times New Roman" w:eastAsia="Times New Roman"/>
                <w:sz w:val="20"/>
              </w:rPr>
              <w:t>34</w:t>
            </w:r>
            <w:r>
              <w:rPr>
                <w:sz w:val="20"/>
              </w:rPr>
              <w:t>），日常生活需随时有人帮助才能完成，处于完全护理依赖状态</w:t>
            </w:r>
          </w:p>
        </w:tc>
      </w:tr>
      <w:tr>
        <w:trPr>
          <w:trHeight w:val="624" w:hRule="atLeast"/>
        </w:trPr>
        <w:tc>
          <w:tcPr>
            <w:tcW w:w="9886" w:type="dxa"/>
          </w:tcPr>
          <w:p>
            <w:pPr>
              <w:pStyle w:val="TableParagraph"/>
              <w:spacing w:line="271" w:lineRule="auto"/>
              <w:ind w:left="107" w:right="46"/>
              <w:rPr>
                <w:sz w:val="20"/>
              </w:rPr>
            </w:pPr>
            <w:r>
              <w:rPr>
                <w:sz w:val="20"/>
              </w:rPr>
              <w:t>颅脑损伤导致重度智力缺损（智商小于等于 </w:t>
            </w:r>
            <w:r>
              <w:rPr>
                <w:rFonts w:ascii="Times New Roman" w:eastAsia="Times New Roman"/>
                <w:sz w:val="20"/>
              </w:rPr>
              <w:t>34</w:t>
            </w:r>
            <w:r>
              <w:rPr>
                <w:sz w:val="20"/>
              </w:rPr>
              <w:t>），不能完全独立生活，需经常有人监护，处于大部分护理依赖状态</w:t>
            </w:r>
          </w:p>
        </w:tc>
      </w:tr>
      <w:tr>
        <w:trPr>
          <w:trHeight w:val="311" w:hRule="atLeast"/>
        </w:trPr>
        <w:tc>
          <w:tcPr>
            <w:tcW w:w="9886" w:type="dxa"/>
          </w:tcPr>
          <w:p>
            <w:pPr>
              <w:pStyle w:val="TableParagraph"/>
              <w:spacing w:line="260" w:lineRule="exact"/>
              <w:ind w:left="107"/>
              <w:rPr>
                <w:sz w:val="21"/>
              </w:rPr>
            </w:pPr>
            <w:r>
              <w:rPr>
                <w:sz w:val="21"/>
              </w:rPr>
              <w:t>颅脑损伤导致植物状态</w:t>
            </w:r>
          </w:p>
        </w:tc>
      </w:tr>
      <w:tr>
        <w:trPr>
          <w:trHeight w:val="312" w:hRule="atLeast"/>
        </w:trPr>
        <w:tc>
          <w:tcPr>
            <w:tcW w:w="9886" w:type="dxa"/>
          </w:tcPr>
          <w:p>
            <w:pPr>
              <w:pStyle w:val="TableParagraph"/>
              <w:spacing w:line="261" w:lineRule="exact"/>
              <w:ind w:left="107"/>
              <w:rPr>
                <w:sz w:val="21"/>
              </w:rPr>
            </w:pPr>
            <w:r>
              <w:rPr>
                <w:sz w:val="21"/>
              </w:rPr>
              <w:t>双侧眼球缺失</w:t>
            </w:r>
          </w:p>
        </w:tc>
      </w:tr>
      <w:tr>
        <w:trPr>
          <w:trHeight w:val="311" w:hRule="atLeast"/>
        </w:trPr>
        <w:tc>
          <w:tcPr>
            <w:tcW w:w="9886" w:type="dxa"/>
          </w:tcPr>
          <w:p>
            <w:pPr>
              <w:pStyle w:val="TableParagraph"/>
              <w:spacing w:line="276" w:lineRule="exact"/>
              <w:ind w:left="107"/>
              <w:rPr>
                <w:sz w:val="21"/>
              </w:rPr>
            </w:pPr>
            <w:r>
              <w:rPr>
                <w:sz w:val="21"/>
              </w:rPr>
              <w:t>一侧眼球缺失，且另一侧眼盲目 </w:t>
            </w:r>
            <w:r>
              <w:rPr>
                <w:rFonts w:ascii="Times New Roman" w:eastAsia="Times New Roman"/>
                <w:sz w:val="21"/>
              </w:rPr>
              <w:t>5 </w:t>
            </w:r>
            <w:r>
              <w:rPr>
                <w:sz w:val="21"/>
              </w:rPr>
              <w:t>级</w:t>
            </w:r>
          </w:p>
        </w:tc>
      </w:tr>
      <w:tr>
        <w:trPr>
          <w:trHeight w:val="312" w:hRule="atLeast"/>
        </w:trPr>
        <w:tc>
          <w:tcPr>
            <w:tcW w:w="9886" w:type="dxa"/>
          </w:tcPr>
          <w:p>
            <w:pPr>
              <w:pStyle w:val="TableParagraph"/>
              <w:spacing w:line="277" w:lineRule="exact"/>
              <w:ind w:left="107"/>
              <w:rPr>
                <w:sz w:val="21"/>
              </w:rPr>
            </w:pPr>
            <w:r>
              <w:rPr>
                <w:sz w:val="21"/>
              </w:rPr>
              <w:t>一侧眼球缺失，且另一侧眼盲目 </w:t>
            </w:r>
            <w:r>
              <w:rPr>
                <w:rFonts w:ascii="Times New Roman" w:eastAsia="Times New Roman"/>
                <w:sz w:val="21"/>
              </w:rPr>
              <w:t>4 </w:t>
            </w:r>
            <w:r>
              <w:rPr>
                <w:sz w:val="21"/>
              </w:rPr>
              <w:t>级</w:t>
            </w:r>
          </w:p>
        </w:tc>
      </w:tr>
      <w:tr>
        <w:trPr>
          <w:trHeight w:val="311" w:hRule="atLeast"/>
        </w:trPr>
        <w:tc>
          <w:tcPr>
            <w:tcW w:w="9886" w:type="dxa"/>
          </w:tcPr>
          <w:p>
            <w:pPr>
              <w:pStyle w:val="TableParagraph"/>
              <w:spacing w:line="276" w:lineRule="exact"/>
              <w:ind w:left="107"/>
              <w:rPr>
                <w:sz w:val="21"/>
              </w:rPr>
            </w:pPr>
            <w:r>
              <w:rPr>
                <w:sz w:val="21"/>
              </w:rPr>
              <w:t>一侧眼球缺失，且另一侧眼盲目 </w:t>
            </w:r>
            <w:r>
              <w:rPr>
                <w:rFonts w:ascii="Times New Roman" w:eastAsia="Times New Roman"/>
                <w:sz w:val="21"/>
              </w:rPr>
              <w:t>3 </w:t>
            </w:r>
            <w:r>
              <w:rPr>
                <w:sz w:val="21"/>
              </w:rPr>
              <w:t>级</w:t>
            </w:r>
          </w:p>
        </w:tc>
      </w:tr>
      <w:tr>
        <w:trPr>
          <w:trHeight w:val="312" w:hRule="atLeast"/>
        </w:trPr>
        <w:tc>
          <w:tcPr>
            <w:tcW w:w="9886" w:type="dxa"/>
          </w:tcPr>
          <w:p>
            <w:pPr>
              <w:pStyle w:val="TableParagraph"/>
              <w:spacing w:line="277" w:lineRule="exact"/>
              <w:ind w:left="107"/>
              <w:rPr>
                <w:sz w:val="21"/>
              </w:rPr>
            </w:pPr>
            <w:r>
              <w:rPr>
                <w:sz w:val="21"/>
              </w:rPr>
              <w:t>双眼盲目 </w:t>
            </w:r>
            <w:r>
              <w:rPr>
                <w:rFonts w:ascii="Times New Roman" w:eastAsia="Times New Roman"/>
                <w:sz w:val="21"/>
              </w:rPr>
              <w:t>5 </w:t>
            </w:r>
            <w:r>
              <w:rPr>
                <w:sz w:val="21"/>
              </w:rPr>
              <w:t>级</w:t>
            </w:r>
          </w:p>
        </w:tc>
      </w:tr>
      <w:tr>
        <w:trPr>
          <w:trHeight w:val="311" w:hRule="atLeast"/>
        </w:trPr>
        <w:tc>
          <w:tcPr>
            <w:tcW w:w="9886" w:type="dxa"/>
          </w:tcPr>
          <w:p>
            <w:pPr>
              <w:pStyle w:val="TableParagraph"/>
              <w:spacing w:line="276" w:lineRule="exact"/>
              <w:ind w:left="107"/>
              <w:rPr>
                <w:sz w:val="21"/>
              </w:rPr>
            </w:pPr>
            <w:r>
              <w:rPr>
                <w:sz w:val="21"/>
              </w:rPr>
              <w:t>双眼视野缺损，直径小于 </w:t>
            </w:r>
            <w:r>
              <w:rPr>
                <w:rFonts w:ascii="Times New Roman" w:hAnsi="Times New Roman" w:eastAsia="Times New Roman"/>
                <w:sz w:val="21"/>
              </w:rPr>
              <w:t>5</w:t>
            </w:r>
            <w:r>
              <w:rPr>
                <w:sz w:val="21"/>
              </w:rPr>
              <w:t>°</w:t>
            </w:r>
          </w:p>
        </w:tc>
      </w:tr>
      <w:tr>
        <w:trPr>
          <w:trHeight w:val="312" w:hRule="atLeast"/>
        </w:trPr>
        <w:tc>
          <w:tcPr>
            <w:tcW w:w="9886" w:type="dxa"/>
          </w:tcPr>
          <w:p>
            <w:pPr>
              <w:pStyle w:val="TableParagraph"/>
              <w:spacing w:line="277" w:lineRule="exact"/>
              <w:ind w:left="107"/>
              <w:rPr>
                <w:sz w:val="21"/>
              </w:rPr>
            </w:pPr>
            <w:r>
              <w:rPr>
                <w:sz w:val="21"/>
              </w:rPr>
              <w:t>双眼盲目大于等于 </w:t>
            </w:r>
            <w:r>
              <w:rPr>
                <w:rFonts w:ascii="Times New Roman" w:eastAsia="Times New Roman"/>
                <w:sz w:val="21"/>
              </w:rPr>
              <w:t>4 </w:t>
            </w:r>
            <w:r>
              <w:rPr>
                <w:sz w:val="21"/>
              </w:rPr>
              <w:t>级</w:t>
            </w:r>
          </w:p>
        </w:tc>
      </w:tr>
      <w:tr>
        <w:trPr>
          <w:trHeight w:val="311" w:hRule="atLeast"/>
        </w:trPr>
        <w:tc>
          <w:tcPr>
            <w:tcW w:w="9886" w:type="dxa"/>
          </w:tcPr>
          <w:p>
            <w:pPr>
              <w:pStyle w:val="TableParagraph"/>
              <w:spacing w:line="276" w:lineRule="exact"/>
              <w:ind w:left="107"/>
              <w:rPr>
                <w:sz w:val="21"/>
              </w:rPr>
            </w:pPr>
            <w:r>
              <w:rPr>
                <w:sz w:val="21"/>
              </w:rPr>
              <w:t>双眼视野缺损，直径小于 </w:t>
            </w:r>
            <w:r>
              <w:rPr>
                <w:rFonts w:ascii="Times New Roman" w:hAnsi="Times New Roman" w:eastAsia="Times New Roman"/>
                <w:sz w:val="21"/>
              </w:rPr>
              <w:t>10</w:t>
            </w:r>
            <w:r>
              <w:rPr>
                <w:sz w:val="21"/>
              </w:rPr>
              <w:t>°</w:t>
            </w:r>
          </w:p>
        </w:tc>
      </w:tr>
      <w:tr>
        <w:trPr>
          <w:trHeight w:val="312" w:hRule="atLeast"/>
        </w:trPr>
        <w:tc>
          <w:tcPr>
            <w:tcW w:w="9886" w:type="dxa"/>
          </w:tcPr>
          <w:p>
            <w:pPr>
              <w:pStyle w:val="TableParagraph"/>
              <w:spacing w:line="277" w:lineRule="exact"/>
              <w:ind w:left="107"/>
              <w:rPr>
                <w:sz w:val="21"/>
              </w:rPr>
            </w:pPr>
            <w:r>
              <w:rPr>
                <w:sz w:val="21"/>
              </w:rPr>
              <w:t>双耳听力损失大于等于 </w:t>
            </w:r>
            <w:r>
              <w:rPr>
                <w:rFonts w:ascii="Times New Roman" w:eastAsia="Times New Roman"/>
                <w:sz w:val="21"/>
              </w:rPr>
              <w:t>91dB</w:t>
            </w:r>
            <w:r>
              <w:rPr>
                <w:sz w:val="21"/>
              </w:rPr>
              <w:t>，且双侧耳廓缺失</w:t>
            </w:r>
          </w:p>
        </w:tc>
      </w:tr>
      <w:tr>
        <w:trPr>
          <w:trHeight w:val="311" w:hRule="atLeast"/>
        </w:trPr>
        <w:tc>
          <w:tcPr>
            <w:tcW w:w="9886" w:type="dxa"/>
          </w:tcPr>
          <w:p>
            <w:pPr>
              <w:pStyle w:val="TableParagraph"/>
              <w:spacing w:line="276" w:lineRule="exact"/>
              <w:ind w:left="107"/>
              <w:rPr>
                <w:sz w:val="21"/>
              </w:rPr>
            </w:pPr>
            <w:r>
              <w:rPr>
                <w:sz w:val="21"/>
              </w:rPr>
              <w:t>双耳听力损失大于等于 </w:t>
            </w:r>
            <w:r>
              <w:rPr>
                <w:rFonts w:ascii="Times New Roman" w:eastAsia="Times New Roman"/>
                <w:sz w:val="21"/>
              </w:rPr>
              <w:t>91dB</w:t>
            </w:r>
            <w:r>
              <w:rPr>
                <w:sz w:val="21"/>
              </w:rPr>
              <w:t>，且一侧耳廓缺失</w:t>
            </w:r>
          </w:p>
        </w:tc>
      </w:tr>
      <w:tr>
        <w:trPr>
          <w:trHeight w:val="624" w:hRule="atLeast"/>
        </w:trPr>
        <w:tc>
          <w:tcPr>
            <w:tcW w:w="9886" w:type="dxa"/>
          </w:tcPr>
          <w:p>
            <w:pPr>
              <w:pStyle w:val="TableParagraph"/>
              <w:spacing w:line="277" w:lineRule="exact"/>
              <w:ind w:left="107"/>
              <w:rPr>
                <w:sz w:val="21"/>
              </w:rPr>
            </w:pPr>
            <w:r>
              <w:rPr>
                <w:sz w:val="21"/>
              </w:rPr>
              <w:t>一耳听力损失大于等于 </w:t>
            </w:r>
            <w:r>
              <w:rPr>
                <w:rFonts w:ascii="Times New Roman" w:eastAsia="Times New Roman"/>
                <w:sz w:val="21"/>
              </w:rPr>
              <w:t>91dB</w:t>
            </w:r>
            <w:r>
              <w:rPr>
                <w:sz w:val="21"/>
              </w:rPr>
              <w:t>，另一耳听力损失大于等于 </w:t>
            </w:r>
            <w:r>
              <w:rPr>
                <w:rFonts w:ascii="Times New Roman" w:eastAsia="Times New Roman"/>
                <w:sz w:val="21"/>
              </w:rPr>
              <w:t>71dB</w:t>
            </w:r>
            <w:r>
              <w:rPr>
                <w:sz w:val="21"/>
              </w:rPr>
              <w:t>，且一侧耳廓缺失，另一侧耳廓缺失大于等</w:t>
            </w:r>
          </w:p>
          <w:p>
            <w:pPr>
              <w:pStyle w:val="TableParagraph"/>
              <w:spacing w:before="21"/>
              <w:ind w:left="107"/>
              <w:rPr>
                <w:rFonts w:ascii="Times New Roman" w:eastAsia="Times New Roman"/>
                <w:sz w:val="21"/>
              </w:rPr>
            </w:pPr>
            <w:r>
              <w:rPr>
                <w:sz w:val="21"/>
              </w:rPr>
              <w:t>于 </w:t>
            </w:r>
            <w:r>
              <w:rPr>
                <w:rFonts w:ascii="Times New Roman" w:eastAsia="Times New Roman"/>
                <w:sz w:val="21"/>
              </w:rPr>
              <w:t>50%</w:t>
            </w:r>
          </w:p>
        </w:tc>
      </w:tr>
      <w:tr>
        <w:trPr>
          <w:trHeight w:val="311" w:hRule="atLeast"/>
        </w:trPr>
        <w:tc>
          <w:tcPr>
            <w:tcW w:w="9886" w:type="dxa"/>
          </w:tcPr>
          <w:p>
            <w:pPr>
              <w:pStyle w:val="TableParagraph"/>
              <w:spacing w:line="276" w:lineRule="exact"/>
              <w:ind w:left="107"/>
              <w:rPr>
                <w:sz w:val="21"/>
              </w:rPr>
            </w:pPr>
            <w:r>
              <w:rPr>
                <w:sz w:val="21"/>
              </w:rPr>
              <w:t>双耳听力损失大于等于 </w:t>
            </w:r>
            <w:r>
              <w:rPr>
                <w:rFonts w:ascii="Times New Roman" w:eastAsia="Times New Roman"/>
                <w:sz w:val="21"/>
              </w:rPr>
              <w:t>71dB</w:t>
            </w:r>
            <w:r>
              <w:rPr>
                <w:sz w:val="21"/>
              </w:rPr>
              <w:t>，且双侧耳廓缺失</w:t>
            </w:r>
          </w:p>
        </w:tc>
      </w:tr>
      <w:tr>
        <w:trPr>
          <w:trHeight w:val="312" w:hRule="atLeast"/>
        </w:trPr>
        <w:tc>
          <w:tcPr>
            <w:tcW w:w="9886" w:type="dxa"/>
          </w:tcPr>
          <w:p>
            <w:pPr>
              <w:pStyle w:val="TableParagraph"/>
              <w:spacing w:line="277" w:lineRule="exact"/>
              <w:ind w:left="107"/>
              <w:rPr>
                <w:rFonts w:ascii="Times New Roman" w:eastAsia="Times New Roman"/>
                <w:sz w:val="21"/>
              </w:rPr>
            </w:pPr>
            <w:r>
              <w:rPr>
                <w:sz w:val="21"/>
              </w:rPr>
              <w:t>舌缺损大于全舌的 </w:t>
            </w:r>
            <w:r>
              <w:rPr>
                <w:rFonts w:ascii="Times New Roman" w:eastAsia="Times New Roman"/>
                <w:sz w:val="21"/>
              </w:rPr>
              <w:t>2/3</w:t>
            </w:r>
          </w:p>
        </w:tc>
      </w:tr>
      <w:tr>
        <w:trPr>
          <w:trHeight w:val="311" w:hRule="atLeast"/>
        </w:trPr>
        <w:tc>
          <w:tcPr>
            <w:tcW w:w="9886" w:type="dxa"/>
          </w:tcPr>
          <w:p>
            <w:pPr>
              <w:pStyle w:val="TableParagraph"/>
              <w:spacing w:line="260" w:lineRule="exact"/>
              <w:ind w:left="107"/>
              <w:rPr>
                <w:sz w:val="21"/>
              </w:rPr>
            </w:pPr>
            <w:r>
              <w:rPr>
                <w:sz w:val="21"/>
              </w:rPr>
              <w:t>胸部损伤导致心肺联合移植</w:t>
            </w:r>
          </w:p>
        </w:tc>
      </w:tr>
      <w:tr>
        <w:trPr>
          <w:trHeight w:val="312" w:hRule="atLeast"/>
        </w:trPr>
        <w:tc>
          <w:tcPr>
            <w:tcW w:w="9886" w:type="dxa"/>
          </w:tcPr>
          <w:p>
            <w:pPr>
              <w:pStyle w:val="TableParagraph"/>
              <w:spacing w:line="261" w:lineRule="exact"/>
              <w:ind w:left="107"/>
              <w:rPr>
                <w:sz w:val="21"/>
              </w:rPr>
            </w:pPr>
            <w:r>
              <w:rPr>
                <w:sz w:val="21"/>
              </w:rPr>
              <w:t>胸部损伤导致心脏贯通伤修补术后，心电图有明显改变</w:t>
            </w:r>
          </w:p>
        </w:tc>
      </w:tr>
      <w:tr>
        <w:trPr>
          <w:trHeight w:val="311" w:hRule="atLeast"/>
        </w:trPr>
        <w:tc>
          <w:tcPr>
            <w:tcW w:w="9886" w:type="dxa"/>
          </w:tcPr>
          <w:p>
            <w:pPr>
              <w:pStyle w:val="TableParagraph"/>
              <w:spacing w:line="260" w:lineRule="exact"/>
              <w:ind w:left="107"/>
              <w:rPr>
                <w:sz w:val="21"/>
              </w:rPr>
            </w:pPr>
            <w:r>
              <w:rPr>
                <w:sz w:val="21"/>
              </w:rPr>
              <w:t>咀嚼、吞咽功能完全丧失</w:t>
            </w:r>
          </w:p>
        </w:tc>
      </w:tr>
      <w:tr>
        <w:trPr>
          <w:trHeight w:val="312" w:hRule="atLeast"/>
        </w:trPr>
        <w:tc>
          <w:tcPr>
            <w:tcW w:w="9886" w:type="dxa"/>
          </w:tcPr>
          <w:p>
            <w:pPr>
              <w:pStyle w:val="TableParagraph"/>
              <w:spacing w:line="277" w:lineRule="exact"/>
              <w:ind w:left="107"/>
              <w:rPr>
                <w:rFonts w:ascii="Times New Roman" w:eastAsia="Times New Roman"/>
                <w:sz w:val="21"/>
              </w:rPr>
            </w:pPr>
            <w:r>
              <w:rPr>
                <w:sz w:val="21"/>
              </w:rPr>
              <w:t>腹部损伤导致小肠切除大于等于 </w:t>
            </w:r>
            <w:r>
              <w:rPr>
                <w:rFonts w:ascii="Times New Roman" w:eastAsia="Times New Roman"/>
                <w:sz w:val="21"/>
              </w:rPr>
              <w:t>90%</w:t>
            </w:r>
          </w:p>
        </w:tc>
      </w:tr>
      <w:tr>
        <w:trPr>
          <w:trHeight w:val="311" w:hRule="atLeast"/>
        </w:trPr>
        <w:tc>
          <w:tcPr>
            <w:tcW w:w="9886" w:type="dxa"/>
          </w:tcPr>
          <w:p>
            <w:pPr>
              <w:pStyle w:val="TableParagraph"/>
              <w:spacing w:line="276" w:lineRule="exact"/>
              <w:ind w:left="107"/>
              <w:rPr>
                <w:sz w:val="21"/>
              </w:rPr>
            </w:pPr>
            <w:r>
              <w:rPr>
                <w:sz w:val="21"/>
              </w:rPr>
              <w:t>腹部损伤导致小肠切除大于等于 </w:t>
            </w:r>
            <w:r>
              <w:rPr>
                <w:rFonts w:ascii="Times New Roman" w:eastAsia="Times New Roman"/>
                <w:sz w:val="21"/>
              </w:rPr>
              <w:t>75%</w:t>
            </w:r>
            <w:r>
              <w:rPr>
                <w:sz w:val="21"/>
              </w:rPr>
              <w:t>，合并短肠综合症</w:t>
            </w:r>
          </w:p>
        </w:tc>
      </w:tr>
      <w:tr>
        <w:trPr>
          <w:trHeight w:val="312" w:hRule="atLeast"/>
        </w:trPr>
        <w:tc>
          <w:tcPr>
            <w:tcW w:w="9886" w:type="dxa"/>
          </w:tcPr>
          <w:p>
            <w:pPr>
              <w:pStyle w:val="TableParagraph"/>
              <w:spacing w:line="261" w:lineRule="exact"/>
              <w:ind w:left="107"/>
              <w:rPr>
                <w:sz w:val="21"/>
              </w:rPr>
            </w:pPr>
            <w:r>
              <w:rPr>
                <w:sz w:val="21"/>
              </w:rPr>
              <w:t>腹部损伤导致胰完全切除</w:t>
            </w:r>
          </w:p>
        </w:tc>
      </w:tr>
      <w:tr>
        <w:trPr>
          <w:trHeight w:val="311" w:hRule="atLeast"/>
        </w:trPr>
        <w:tc>
          <w:tcPr>
            <w:tcW w:w="9886" w:type="dxa"/>
          </w:tcPr>
          <w:p>
            <w:pPr>
              <w:pStyle w:val="TableParagraph"/>
              <w:spacing w:line="276" w:lineRule="exact"/>
              <w:ind w:left="107"/>
              <w:rPr>
                <w:sz w:val="21"/>
              </w:rPr>
            </w:pPr>
            <w:r>
              <w:rPr>
                <w:sz w:val="21"/>
              </w:rPr>
              <w:t>腹部损伤导致胰切除大于等于 </w:t>
            </w:r>
            <w:r>
              <w:rPr>
                <w:rFonts w:ascii="Times New Roman" w:eastAsia="Times New Roman"/>
                <w:sz w:val="21"/>
              </w:rPr>
              <w:t>50%</w:t>
            </w:r>
            <w:r>
              <w:rPr>
                <w:sz w:val="21"/>
              </w:rPr>
              <w:t>，且伴有胰岛素依赖</w:t>
            </w:r>
          </w:p>
        </w:tc>
      </w:tr>
      <w:tr>
        <w:trPr>
          <w:trHeight w:val="312" w:hRule="atLeast"/>
        </w:trPr>
        <w:tc>
          <w:tcPr>
            <w:tcW w:w="9886" w:type="dxa"/>
          </w:tcPr>
          <w:p>
            <w:pPr>
              <w:pStyle w:val="TableParagraph"/>
              <w:spacing w:line="277" w:lineRule="exact"/>
              <w:ind w:left="107"/>
              <w:rPr>
                <w:rFonts w:ascii="Times New Roman" w:eastAsia="Times New Roman"/>
                <w:sz w:val="21"/>
              </w:rPr>
            </w:pPr>
            <w:r>
              <w:rPr>
                <w:sz w:val="21"/>
              </w:rPr>
              <w:t>腹部损伤导致肝切除大于等于 </w:t>
            </w:r>
            <w:r>
              <w:rPr>
                <w:rFonts w:ascii="Times New Roman" w:eastAsia="Times New Roman"/>
                <w:sz w:val="21"/>
              </w:rPr>
              <w:t>75%</w:t>
            </w:r>
          </w:p>
        </w:tc>
      </w:tr>
      <w:tr>
        <w:trPr>
          <w:trHeight w:val="311" w:hRule="atLeast"/>
        </w:trPr>
        <w:tc>
          <w:tcPr>
            <w:tcW w:w="9886" w:type="dxa"/>
          </w:tcPr>
          <w:p>
            <w:pPr>
              <w:pStyle w:val="TableParagraph"/>
              <w:spacing w:line="260" w:lineRule="exact"/>
              <w:ind w:left="107"/>
              <w:rPr>
                <w:sz w:val="21"/>
              </w:rPr>
            </w:pPr>
            <w:r>
              <w:rPr>
                <w:sz w:val="21"/>
              </w:rPr>
              <w:t>腹部损伤导致双侧肾切除</w:t>
            </w:r>
          </w:p>
        </w:tc>
      </w:tr>
      <w:tr>
        <w:trPr>
          <w:trHeight w:val="312" w:hRule="atLeast"/>
        </w:trPr>
        <w:tc>
          <w:tcPr>
            <w:tcW w:w="9886" w:type="dxa"/>
          </w:tcPr>
          <w:p>
            <w:pPr>
              <w:pStyle w:val="TableParagraph"/>
              <w:spacing w:line="261" w:lineRule="exact"/>
              <w:ind w:left="107"/>
              <w:rPr>
                <w:sz w:val="21"/>
              </w:rPr>
            </w:pPr>
            <w:r>
              <w:rPr>
                <w:sz w:val="21"/>
              </w:rPr>
              <w:t>腹部损伤导致孤肾切除</w:t>
            </w:r>
          </w:p>
        </w:tc>
      </w:tr>
      <w:tr>
        <w:trPr>
          <w:trHeight w:val="311" w:hRule="atLeast"/>
        </w:trPr>
        <w:tc>
          <w:tcPr>
            <w:tcW w:w="9886" w:type="dxa"/>
          </w:tcPr>
          <w:p>
            <w:pPr>
              <w:pStyle w:val="TableParagraph"/>
              <w:spacing w:line="260" w:lineRule="exact"/>
              <w:ind w:left="107"/>
              <w:rPr>
                <w:sz w:val="21"/>
              </w:rPr>
            </w:pPr>
            <w:r>
              <w:rPr>
                <w:sz w:val="21"/>
              </w:rPr>
              <w:t>会阴部损伤导致双侧睾丸缺失</w:t>
            </w:r>
          </w:p>
        </w:tc>
      </w:tr>
      <w:tr>
        <w:trPr>
          <w:trHeight w:val="312" w:hRule="atLeast"/>
        </w:trPr>
        <w:tc>
          <w:tcPr>
            <w:tcW w:w="9886" w:type="dxa"/>
          </w:tcPr>
          <w:p>
            <w:pPr>
              <w:pStyle w:val="TableParagraph"/>
              <w:spacing w:line="261" w:lineRule="exact"/>
              <w:ind w:left="107"/>
              <w:rPr>
                <w:sz w:val="21"/>
              </w:rPr>
            </w:pPr>
            <w:r>
              <w:rPr>
                <w:sz w:val="21"/>
              </w:rPr>
              <w:t>会阴部损伤导致双侧睾丸完全萎缩</w:t>
            </w:r>
          </w:p>
        </w:tc>
      </w:tr>
      <w:tr>
        <w:trPr>
          <w:trHeight w:val="311" w:hRule="atLeast"/>
        </w:trPr>
        <w:tc>
          <w:tcPr>
            <w:tcW w:w="9886" w:type="dxa"/>
          </w:tcPr>
          <w:p>
            <w:pPr>
              <w:pStyle w:val="TableParagraph"/>
              <w:spacing w:line="260" w:lineRule="exact"/>
              <w:ind w:left="107"/>
              <w:rPr>
                <w:sz w:val="21"/>
              </w:rPr>
            </w:pPr>
            <w:r>
              <w:rPr>
                <w:sz w:val="21"/>
              </w:rPr>
              <w:t>会阴部损伤导致一侧睾丸缺失，另一侧睾丸完全萎缩</w:t>
            </w:r>
          </w:p>
        </w:tc>
      </w:tr>
      <w:tr>
        <w:trPr>
          <w:trHeight w:val="312" w:hRule="atLeast"/>
        </w:trPr>
        <w:tc>
          <w:tcPr>
            <w:tcW w:w="9886" w:type="dxa"/>
          </w:tcPr>
          <w:p>
            <w:pPr>
              <w:pStyle w:val="TableParagraph"/>
              <w:spacing w:line="261" w:lineRule="exact"/>
              <w:ind w:left="107"/>
              <w:rPr>
                <w:sz w:val="21"/>
              </w:rPr>
            </w:pPr>
            <w:r>
              <w:rPr>
                <w:sz w:val="21"/>
              </w:rPr>
              <w:t>双侧上颌骨完全缺失</w:t>
            </w:r>
          </w:p>
        </w:tc>
      </w:tr>
      <w:tr>
        <w:trPr>
          <w:trHeight w:val="311" w:hRule="atLeast"/>
        </w:trPr>
        <w:tc>
          <w:tcPr>
            <w:tcW w:w="9886" w:type="dxa"/>
          </w:tcPr>
          <w:p>
            <w:pPr>
              <w:pStyle w:val="TableParagraph"/>
              <w:spacing w:line="260" w:lineRule="exact"/>
              <w:ind w:left="107"/>
              <w:rPr>
                <w:sz w:val="21"/>
              </w:rPr>
            </w:pPr>
            <w:r>
              <w:rPr>
                <w:sz w:val="21"/>
              </w:rPr>
              <w:t>双侧下颌骨完全缺失</w:t>
            </w:r>
          </w:p>
        </w:tc>
      </w:tr>
      <w:tr>
        <w:trPr>
          <w:trHeight w:val="312" w:hRule="atLeast"/>
        </w:trPr>
        <w:tc>
          <w:tcPr>
            <w:tcW w:w="9886" w:type="dxa"/>
          </w:tcPr>
          <w:p>
            <w:pPr>
              <w:pStyle w:val="TableParagraph"/>
              <w:spacing w:line="261" w:lineRule="exact"/>
              <w:ind w:left="107"/>
              <w:rPr>
                <w:sz w:val="21"/>
              </w:rPr>
            </w:pPr>
            <w:r>
              <w:rPr>
                <w:sz w:val="21"/>
              </w:rPr>
              <w:t>一侧上颌骨及对侧下颌骨完全缺失</w:t>
            </w:r>
          </w:p>
        </w:tc>
      </w:tr>
      <w:tr>
        <w:trPr>
          <w:trHeight w:val="311" w:hRule="atLeast"/>
        </w:trPr>
        <w:tc>
          <w:tcPr>
            <w:tcW w:w="9886" w:type="dxa"/>
          </w:tcPr>
          <w:p>
            <w:pPr>
              <w:pStyle w:val="TableParagraph"/>
              <w:spacing w:line="260" w:lineRule="exact"/>
              <w:ind w:left="107"/>
              <w:rPr>
                <w:sz w:val="21"/>
              </w:rPr>
            </w:pPr>
            <w:r>
              <w:rPr>
                <w:sz w:val="21"/>
              </w:rPr>
              <w:t>同侧上、下颌骨完全缺失</w:t>
            </w:r>
          </w:p>
        </w:tc>
      </w:tr>
      <w:tr>
        <w:trPr>
          <w:trHeight w:val="312" w:hRule="atLeast"/>
        </w:trPr>
        <w:tc>
          <w:tcPr>
            <w:tcW w:w="9886" w:type="dxa"/>
          </w:tcPr>
          <w:p>
            <w:pPr>
              <w:pStyle w:val="TableParagraph"/>
              <w:spacing w:line="277" w:lineRule="exact"/>
              <w:ind w:left="107"/>
              <w:rPr>
                <w:sz w:val="21"/>
              </w:rPr>
            </w:pPr>
            <w:r>
              <w:rPr>
                <w:sz w:val="21"/>
              </w:rPr>
              <w:t>上颌骨、下颌骨缺损，且牙齿脱落大于等于 </w:t>
            </w:r>
            <w:r>
              <w:rPr>
                <w:rFonts w:ascii="Times New Roman" w:eastAsia="Times New Roman"/>
                <w:sz w:val="21"/>
              </w:rPr>
              <w:t>24 </w:t>
            </w:r>
            <w:r>
              <w:rPr>
                <w:sz w:val="21"/>
              </w:rPr>
              <w:t>枚</w:t>
            </w:r>
          </w:p>
        </w:tc>
      </w:tr>
      <w:tr>
        <w:trPr>
          <w:trHeight w:val="311" w:hRule="atLeast"/>
        </w:trPr>
        <w:tc>
          <w:tcPr>
            <w:tcW w:w="9886" w:type="dxa"/>
          </w:tcPr>
          <w:p>
            <w:pPr>
              <w:pStyle w:val="TableParagraph"/>
              <w:spacing w:line="260" w:lineRule="exact"/>
              <w:ind w:left="107"/>
              <w:rPr>
                <w:sz w:val="21"/>
              </w:rPr>
            </w:pPr>
            <w:r>
              <w:rPr>
                <w:sz w:val="21"/>
              </w:rPr>
              <w:t>一侧上颌骨完全缺失</w:t>
            </w:r>
          </w:p>
        </w:tc>
      </w:tr>
      <w:tr>
        <w:trPr>
          <w:trHeight w:val="312" w:hRule="atLeast"/>
        </w:trPr>
        <w:tc>
          <w:tcPr>
            <w:tcW w:w="9886" w:type="dxa"/>
          </w:tcPr>
          <w:p>
            <w:pPr>
              <w:pStyle w:val="TableParagraph"/>
              <w:spacing w:line="261" w:lineRule="exact"/>
              <w:ind w:left="107"/>
              <w:rPr>
                <w:sz w:val="21"/>
              </w:rPr>
            </w:pPr>
            <w:r>
              <w:rPr>
                <w:sz w:val="21"/>
              </w:rPr>
              <w:t>一侧下颌骨完全缺失</w:t>
            </w:r>
          </w:p>
        </w:tc>
      </w:tr>
      <w:tr>
        <w:trPr>
          <w:trHeight w:val="311" w:hRule="atLeast"/>
        </w:trPr>
        <w:tc>
          <w:tcPr>
            <w:tcW w:w="9886" w:type="dxa"/>
          </w:tcPr>
          <w:p>
            <w:pPr>
              <w:pStyle w:val="TableParagraph"/>
              <w:spacing w:line="276" w:lineRule="exact"/>
              <w:ind w:left="107"/>
              <w:rPr>
                <w:rFonts w:ascii="Times New Roman" w:eastAsia="Times New Roman"/>
                <w:sz w:val="21"/>
              </w:rPr>
            </w:pPr>
            <w:r>
              <w:rPr>
                <w:sz w:val="21"/>
              </w:rPr>
              <w:t>三肢以上缺失</w:t>
            </w:r>
            <w:r>
              <w:rPr>
                <w:rFonts w:ascii="Times New Roman" w:eastAsia="Times New Roman"/>
                <w:sz w:val="21"/>
              </w:rPr>
              <w:t>(</w:t>
            </w:r>
            <w:r>
              <w:rPr>
                <w:sz w:val="21"/>
              </w:rPr>
              <w:t>上肢在腕关节以上</w:t>
            </w:r>
            <w:r>
              <w:rPr>
                <w:rFonts w:ascii="Times New Roman" w:eastAsia="Times New Roman"/>
                <w:sz w:val="21"/>
              </w:rPr>
              <w:t>,</w:t>
            </w:r>
            <w:r>
              <w:rPr>
                <w:sz w:val="21"/>
              </w:rPr>
              <w:t>下肢在踝关节以上</w:t>
            </w:r>
            <w:r>
              <w:rPr>
                <w:rFonts w:ascii="Times New Roman" w:eastAsia="Times New Roman"/>
                <w:sz w:val="21"/>
              </w:rPr>
              <w:t>)</w:t>
            </w:r>
          </w:p>
        </w:tc>
      </w:tr>
      <w:tr>
        <w:trPr>
          <w:trHeight w:val="312" w:hRule="atLeast"/>
        </w:trPr>
        <w:tc>
          <w:tcPr>
            <w:tcW w:w="9886" w:type="dxa"/>
          </w:tcPr>
          <w:p>
            <w:pPr>
              <w:pStyle w:val="TableParagraph"/>
              <w:spacing w:line="261" w:lineRule="exact"/>
              <w:ind w:left="107"/>
              <w:rPr>
                <w:sz w:val="21"/>
              </w:rPr>
            </w:pPr>
            <w:r>
              <w:rPr>
                <w:sz w:val="21"/>
              </w:rPr>
              <w:t>三肢以上完全丧失功能</w:t>
            </w:r>
          </w:p>
        </w:tc>
      </w:tr>
      <w:tr>
        <w:trPr>
          <w:trHeight w:val="311" w:hRule="atLeast"/>
        </w:trPr>
        <w:tc>
          <w:tcPr>
            <w:tcW w:w="9886" w:type="dxa"/>
          </w:tcPr>
          <w:p>
            <w:pPr>
              <w:pStyle w:val="TableParagraph"/>
              <w:spacing w:line="260" w:lineRule="exact"/>
              <w:ind w:left="107"/>
              <w:rPr>
                <w:sz w:val="21"/>
              </w:rPr>
            </w:pPr>
            <w:r>
              <w:rPr>
                <w:sz w:val="21"/>
              </w:rPr>
              <w:t>二肢缺失（上肢在腕关节以上，下肢在踝关节以上），且第三肢完全丧失功能</w:t>
            </w:r>
          </w:p>
        </w:tc>
      </w:tr>
    </w:tbl>
    <w:p>
      <w:pPr>
        <w:spacing w:after="0" w:line="260" w:lineRule="exact"/>
        <w:rPr>
          <w:sz w:val="21"/>
        </w:rPr>
        <w:sectPr>
          <w:pgSz w:w="11910" w:h="16840"/>
          <w:pgMar w:top="1080" w:bottom="280" w:left="900" w:right="880"/>
        </w:sect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6"/>
      </w:tblGrid>
      <w:tr>
        <w:trPr>
          <w:trHeight w:val="311" w:hRule="atLeast"/>
        </w:trPr>
        <w:tc>
          <w:tcPr>
            <w:tcW w:w="9886" w:type="dxa"/>
          </w:tcPr>
          <w:p>
            <w:pPr>
              <w:pStyle w:val="TableParagraph"/>
              <w:spacing w:line="255" w:lineRule="exact"/>
              <w:ind w:left="107"/>
              <w:rPr>
                <w:sz w:val="21"/>
              </w:rPr>
            </w:pPr>
            <w:r>
              <w:rPr>
                <w:sz w:val="21"/>
              </w:rPr>
              <w:t>一肢缺失（上肢在腕关节以上，下肢在踝关节以上），且另二肢完全丧失功能</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二肢缺失</w:t>
            </w:r>
            <w:r>
              <w:rPr>
                <w:rFonts w:ascii="Times New Roman" w:eastAsia="Times New Roman"/>
                <w:sz w:val="21"/>
              </w:rPr>
              <w:t>(</w:t>
            </w:r>
            <w:r>
              <w:rPr>
                <w:sz w:val="21"/>
              </w:rPr>
              <w:t>上肢在肘关节以上，下肢在膝关节以上</w:t>
            </w:r>
            <w:r>
              <w:rPr>
                <w:rFonts w:ascii="Times New Roman" w:eastAsia="Times New Roman"/>
                <w:sz w:val="21"/>
              </w:rPr>
              <w:t>)</w:t>
            </w:r>
          </w:p>
        </w:tc>
      </w:tr>
      <w:tr>
        <w:trPr>
          <w:trHeight w:val="311" w:hRule="atLeast"/>
        </w:trPr>
        <w:tc>
          <w:tcPr>
            <w:tcW w:w="9886" w:type="dxa"/>
          </w:tcPr>
          <w:p>
            <w:pPr>
              <w:pStyle w:val="TableParagraph"/>
              <w:spacing w:line="255" w:lineRule="exact"/>
              <w:ind w:left="107"/>
              <w:rPr>
                <w:sz w:val="21"/>
              </w:rPr>
            </w:pPr>
            <w:r>
              <w:rPr>
                <w:sz w:val="21"/>
              </w:rPr>
              <w:t>一肢缺失（上肢在肘关节以上，下肢在膝关节以上），且另一肢完全丧失功能</w:t>
            </w:r>
          </w:p>
        </w:tc>
      </w:tr>
      <w:tr>
        <w:trPr>
          <w:trHeight w:val="312" w:hRule="atLeast"/>
        </w:trPr>
        <w:tc>
          <w:tcPr>
            <w:tcW w:w="9886" w:type="dxa"/>
          </w:tcPr>
          <w:p>
            <w:pPr>
              <w:pStyle w:val="TableParagraph"/>
              <w:spacing w:line="256" w:lineRule="exact"/>
              <w:ind w:left="107"/>
              <w:rPr>
                <w:sz w:val="21"/>
              </w:rPr>
            </w:pPr>
            <w:r>
              <w:rPr>
                <w:sz w:val="21"/>
              </w:rPr>
              <w:t>二肢完全丧失功能</w:t>
            </w:r>
          </w:p>
        </w:tc>
      </w:tr>
      <w:tr>
        <w:trPr>
          <w:trHeight w:val="311" w:hRule="atLeast"/>
        </w:trPr>
        <w:tc>
          <w:tcPr>
            <w:tcW w:w="9886" w:type="dxa"/>
          </w:tcPr>
          <w:p>
            <w:pPr>
              <w:pStyle w:val="TableParagraph"/>
              <w:spacing w:line="255" w:lineRule="exact"/>
              <w:ind w:left="107"/>
              <w:rPr>
                <w:sz w:val="21"/>
              </w:rPr>
            </w:pPr>
            <w:r>
              <w:rPr>
                <w:sz w:val="21"/>
              </w:rPr>
              <w:t>一肢缺失（上肢在腕关节以上，下肢在踝关节以上），且另一肢完全丧失功能</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二肢缺失</w:t>
            </w:r>
            <w:r>
              <w:rPr>
                <w:rFonts w:ascii="Times New Roman" w:eastAsia="Times New Roman"/>
                <w:sz w:val="21"/>
              </w:rPr>
              <w:t>(</w:t>
            </w:r>
            <w:r>
              <w:rPr>
                <w:sz w:val="21"/>
              </w:rPr>
              <w:t>上肢在腕关节以上，下肢在踝关节以上</w:t>
            </w:r>
            <w:r>
              <w:rPr>
                <w:rFonts w:ascii="Times New Roman" w:eastAsia="Times New Roman"/>
                <w:sz w:val="21"/>
              </w:rPr>
              <w:t>)</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四肢瘫（三肢以上肌力小于等于 </w:t>
            </w:r>
            <w:r>
              <w:rPr>
                <w:rFonts w:ascii="Times New Roman" w:eastAsia="Times New Roman"/>
                <w:sz w:val="21"/>
              </w:rPr>
              <w:t>3 </w:t>
            </w:r>
            <w:r>
              <w:rPr>
                <w:sz w:val="21"/>
              </w:rPr>
              <w:t>级</w:t>
            </w:r>
            <w:r>
              <w:rPr>
                <w:rFonts w:ascii="Times New Roman" w:eastAsia="Times New Roman"/>
                <w:sz w:val="21"/>
              </w:rPr>
              <w:t>)</w:t>
            </w:r>
          </w:p>
        </w:tc>
      </w:tr>
      <w:tr>
        <w:trPr>
          <w:trHeight w:val="312" w:hRule="atLeast"/>
        </w:trPr>
        <w:tc>
          <w:tcPr>
            <w:tcW w:w="9886" w:type="dxa"/>
          </w:tcPr>
          <w:p>
            <w:pPr>
              <w:pStyle w:val="TableParagraph"/>
              <w:spacing w:line="272" w:lineRule="exact"/>
              <w:ind w:left="107"/>
              <w:rPr>
                <w:sz w:val="21"/>
              </w:rPr>
            </w:pPr>
            <w:r>
              <w:rPr>
                <w:sz w:val="21"/>
              </w:rPr>
              <w:t>截瘫</w:t>
            </w:r>
            <w:r>
              <w:rPr>
                <w:rFonts w:ascii="Times New Roman" w:eastAsia="Times New Roman"/>
                <w:sz w:val="21"/>
              </w:rPr>
              <w:t>(</w:t>
            </w:r>
            <w:r>
              <w:rPr>
                <w:sz w:val="21"/>
              </w:rPr>
              <w:t>肌力小于等于 </w:t>
            </w:r>
            <w:r>
              <w:rPr>
                <w:rFonts w:ascii="Times New Roman" w:eastAsia="Times New Roman"/>
                <w:sz w:val="21"/>
              </w:rPr>
              <w:t>2 </w:t>
            </w:r>
            <w:r>
              <w:rPr>
                <w:sz w:val="21"/>
              </w:rPr>
              <w:t>级</w:t>
            </w:r>
            <w:r>
              <w:rPr>
                <w:rFonts w:ascii="Times New Roman" w:eastAsia="Times New Roman"/>
                <w:sz w:val="21"/>
              </w:rPr>
              <w:t>)</w:t>
            </w:r>
            <w:r>
              <w:rPr>
                <w:sz w:val="21"/>
              </w:rPr>
              <w:t>且大便和小便失禁</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四肢瘫（二肢以上肌力小于等于 </w:t>
            </w:r>
            <w:r>
              <w:rPr>
                <w:rFonts w:ascii="Times New Roman" w:eastAsia="Times New Roman"/>
                <w:sz w:val="21"/>
              </w:rPr>
              <w:t>2 </w:t>
            </w:r>
            <w:r>
              <w:rPr>
                <w:sz w:val="21"/>
              </w:rPr>
              <w:t>级</w:t>
            </w:r>
            <w:r>
              <w:rPr>
                <w:rFonts w:ascii="Times New Roman" w:eastAsia="Times New Roman"/>
                <w:sz w:val="21"/>
              </w:rPr>
              <w:t>)</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偏瘫（肌力小于等于 </w:t>
            </w:r>
            <w:r>
              <w:rPr>
                <w:rFonts w:ascii="Times New Roman" w:eastAsia="Times New Roman"/>
                <w:sz w:val="21"/>
              </w:rPr>
              <w:t>2 </w:t>
            </w:r>
            <w:r>
              <w:rPr>
                <w:sz w:val="21"/>
              </w:rPr>
              <w:t>级</w:t>
            </w:r>
            <w:r>
              <w:rPr>
                <w:rFonts w:ascii="Times New Roman" w:eastAsia="Times New Roman"/>
                <w:sz w:val="21"/>
              </w:rPr>
              <w:t>)</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截瘫（肌力小于等于 </w:t>
            </w:r>
            <w:r>
              <w:rPr>
                <w:rFonts w:ascii="Times New Roman" w:eastAsia="Times New Roman"/>
                <w:sz w:val="21"/>
              </w:rPr>
              <w:t>2 </w:t>
            </w:r>
            <w:r>
              <w:rPr>
                <w:sz w:val="21"/>
              </w:rPr>
              <w:t>级</w:t>
            </w:r>
            <w:r>
              <w:rPr>
                <w:rFonts w:ascii="Times New Roman" w:eastAsia="Times New Roman"/>
                <w:sz w:val="21"/>
              </w:rPr>
              <w:t>)</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四肢瘫（二肢以上肌力小于等于 </w:t>
            </w:r>
            <w:r>
              <w:rPr>
                <w:rFonts w:ascii="Times New Roman" w:eastAsia="Times New Roman"/>
                <w:sz w:val="21"/>
              </w:rPr>
              <w:t>3 </w:t>
            </w:r>
            <w:r>
              <w:rPr>
                <w:sz w:val="21"/>
              </w:rPr>
              <w:t>级</w:t>
            </w:r>
            <w:r>
              <w:rPr>
                <w:rFonts w:ascii="Times New Roman" w:eastAsia="Times New Roman"/>
                <w:sz w:val="21"/>
              </w:rPr>
              <w:t>)</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偏瘫（肌力小于等于 </w:t>
            </w:r>
            <w:r>
              <w:rPr>
                <w:rFonts w:ascii="Times New Roman" w:eastAsia="Times New Roman"/>
                <w:sz w:val="21"/>
              </w:rPr>
              <w:t>3 </w:t>
            </w:r>
            <w:r>
              <w:rPr>
                <w:sz w:val="21"/>
              </w:rPr>
              <w:t>级</w:t>
            </w:r>
            <w:r>
              <w:rPr>
                <w:rFonts w:ascii="Times New Roman" w:eastAsia="Times New Roman"/>
                <w:sz w:val="21"/>
              </w:rPr>
              <w:t>)</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截瘫（肌力小于等于 </w:t>
            </w:r>
            <w:r>
              <w:rPr>
                <w:rFonts w:ascii="Times New Roman" w:eastAsia="Times New Roman"/>
                <w:sz w:val="21"/>
              </w:rPr>
              <w:t>3 </w:t>
            </w:r>
            <w:r>
              <w:rPr>
                <w:sz w:val="21"/>
              </w:rPr>
              <w:t>级</w:t>
            </w:r>
            <w:r>
              <w:rPr>
                <w:rFonts w:ascii="Times New Roman" w:eastAsia="Times New Roman"/>
                <w:sz w:val="21"/>
              </w:rPr>
              <w:t>)</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头颈部 </w:t>
            </w:r>
            <w:r>
              <w:rPr>
                <w:rFonts w:ascii="Times New Roman" w:eastAsia="Times New Roman"/>
                <w:sz w:val="21"/>
              </w:rPr>
              <w:t>III </w:t>
            </w:r>
            <w:r>
              <w:rPr>
                <w:sz w:val="21"/>
              </w:rPr>
              <w:t>度烧伤，面积大于等于全身体表面积的 </w:t>
            </w:r>
            <w:r>
              <w:rPr>
                <w:rFonts w:ascii="Times New Roman" w:eastAsia="Times New Roman"/>
                <w:sz w:val="21"/>
              </w:rPr>
              <w:t>8%</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90%</w:t>
            </w:r>
          </w:p>
        </w:tc>
      </w:tr>
      <w:tr>
        <w:trPr>
          <w:trHeight w:val="311" w:hRule="atLeast"/>
        </w:trPr>
        <w:tc>
          <w:tcPr>
            <w:tcW w:w="9886" w:type="dxa"/>
          </w:tcPr>
          <w:p>
            <w:pPr>
              <w:pStyle w:val="TableParagraph"/>
              <w:spacing w:line="255" w:lineRule="exact"/>
              <w:ind w:left="107"/>
              <w:rPr>
                <w:sz w:val="21"/>
              </w:rPr>
            </w:pPr>
            <w:r>
              <w:rPr>
                <w:sz w:val="21"/>
              </w:rPr>
              <w:t>颈部皮肤损伤导致瘢痕形成，颈部活动度完全丧失</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80%</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90%</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60%</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80%</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70%</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40%</w:t>
            </w:r>
          </w:p>
        </w:tc>
      </w:tr>
    </w:tbl>
    <w:p>
      <w:pPr>
        <w:pStyle w:val="BodyText"/>
        <w:spacing w:line="257" w:lineRule="exact"/>
        <w:ind w:left="121"/>
      </w:pPr>
      <w:r>
        <w:rPr/>
        <w:t>注：1、护理依赖：应用“基本日常生活活动能力”的丧失程度来判断护理依赖程度。</w:t>
      </w:r>
    </w:p>
    <w:p>
      <w:pPr>
        <w:pStyle w:val="BodyText"/>
        <w:spacing w:line="273" w:lineRule="auto" w:before="37"/>
        <w:ind w:left="120" w:right="643" w:firstLine="447"/>
        <w:jc w:val="both"/>
      </w:pPr>
      <w:r>
        <w:rPr>
          <w:spacing w:val="-1"/>
        </w:rPr>
        <w:t>2、基本日常生活活动是指：</w:t>
      </w:r>
      <w:r>
        <w:rPr/>
        <w:t>（1）穿衣：自己能够穿衣及脱衣；（2）移动：自己从一个房间到另一个房间；（3）行动：自己上下床或上下轮椅；（4）如厕：自己控制进行大小便；（5）进食：自己</w:t>
      </w:r>
      <w:r>
        <w:rPr>
          <w:spacing w:val="-1"/>
        </w:rPr>
        <w:t>从已准备好的碗或碟中取食物放入口中</w:t>
      </w:r>
      <w:r>
        <w:rPr/>
        <w:t>；（6）洗澡：自己进行淋浴或盆浴。</w:t>
      </w:r>
    </w:p>
    <w:p>
      <w:pPr>
        <w:pStyle w:val="BodyText"/>
        <w:spacing w:line="273" w:lineRule="auto" w:before="7"/>
        <w:ind w:left="120" w:right="659" w:firstLine="447"/>
      </w:pPr>
      <w:r>
        <w:rPr/>
        <w:t>3、护理依赖的程度分三级：（1）完全护理依赖指生活完全不能自理，上述六项基本日常生活活动均需护理者；（2）大部分护理依赖指生活大部不能自理，上述六项基本日常生活活动中三项或三项以上需要护理者；（3）部分护理依赖指部分生活不能自理，上述六项基本日常生活活动中一项或一项以上需要护理者。</w:t>
      </w:r>
    </w:p>
    <w:p>
      <w:pPr>
        <w:pStyle w:val="BodyText"/>
        <w:spacing w:line="273" w:lineRule="auto" w:before="7"/>
        <w:ind w:left="120" w:right="644" w:firstLine="447"/>
        <w:jc w:val="both"/>
      </w:pPr>
      <w:r>
        <w:rPr/>
        <w:t>4</w:t>
      </w:r>
      <w:r>
        <w:rPr>
          <w:spacing w:val="-4"/>
        </w:rPr>
        <w:t>、植物状态指由于严重颅脑损伤造成认知功能丧失，无意识活动，不能执行命令，保持自主呼吸和血压，有睡眠-醒觉周期，不能理解和表达语言，能自动睁眼或刺激下睁眼，可有无目的性眼球跟踪运动，丘脑下部及脑干功能基本保存。</w:t>
      </w:r>
    </w:p>
    <w:p>
      <w:pPr>
        <w:pStyle w:val="BodyText"/>
        <w:spacing w:before="7" w:after="40"/>
        <w:ind w:left="568"/>
      </w:pPr>
      <w:r>
        <w:rPr/>
        <w:t>5、视力和视野</w:t>
      </w: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771"/>
        <w:gridCol w:w="2552"/>
        <w:gridCol w:w="3806"/>
      </w:tblGrid>
      <w:tr>
        <w:trPr>
          <w:trHeight w:val="239" w:hRule="atLeast"/>
        </w:trPr>
        <w:tc>
          <w:tcPr>
            <w:tcW w:w="3473" w:type="dxa"/>
            <w:gridSpan w:val="2"/>
            <w:vMerge w:val="restart"/>
          </w:tcPr>
          <w:p>
            <w:pPr>
              <w:pStyle w:val="TableParagraph"/>
              <w:spacing w:before="12"/>
              <w:rPr>
                <w:sz w:val="15"/>
              </w:rPr>
            </w:pPr>
          </w:p>
          <w:p>
            <w:pPr>
              <w:pStyle w:val="TableParagraph"/>
              <w:ind w:left="1505" w:right="1497"/>
              <w:jc w:val="center"/>
              <w:rPr>
                <w:sz w:val="21"/>
              </w:rPr>
            </w:pPr>
            <w:r>
              <w:rPr>
                <w:sz w:val="21"/>
              </w:rPr>
              <w:t>级别</w:t>
            </w:r>
          </w:p>
        </w:tc>
        <w:tc>
          <w:tcPr>
            <w:tcW w:w="6358" w:type="dxa"/>
            <w:gridSpan w:val="2"/>
          </w:tcPr>
          <w:p>
            <w:pPr>
              <w:pStyle w:val="TableParagraph"/>
              <w:spacing w:line="220" w:lineRule="exact"/>
              <w:ind w:left="2109" w:right="2098"/>
              <w:jc w:val="center"/>
              <w:rPr>
                <w:sz w:val="21"/>
              </w:rPr>
            </w:pPr>
            <w:r>
              <w:rPr>
                <w:sz w:val="21"/>
              </w:rPr>
              <w:t>低视力及盲目分级标准</w:t>
            </w:r>
          </w:p>
        </w:tc>
      </w:tr>
      <w:tr>
        <w:trPr>
          <w:trHeight w:val="240" w:hRule="atLeast"/>
        </w:trPr>
        <w:tc>
          <w:tcPr>
            <w:tcW w:w="3473" w:type="dxa"/>
            <w:gridSpan w:val="2"/>
            <w:vMerge/>
            <w:tcBorders>
              <w:top w:val="nil"/>
            </w:tcBorders>
          </w:tcPr>
          <w:p>
            <w:pPr>
              <w:rPr>
                <w:sz w:val="2"/>
                <w:szCs w:val="2"/>
              </w:rPr>
            </w:pPr>
          </w:p>
        </w:tc>
        <w:tc>
          <w:tcPr>
            <w:tcW w:w="6358" w:type="dxa"/>
            <w:gridSpan w:val="2"/>
          </w:tcPr>
          <w:p>
            <w:pPr>
              <w:pStyle w:val="TableParagraph"/>
              <w:spacing w:line="221" w:lineRule="exact"/>
              <w:ind w:left="2109" w:right="2098"/>
              <w:jc w:val="center"/>
              <w:rPr>
                <w:sz w:val="21"/>
              </w:rPr>
            </w:pPr>
            <w:r>
              <w:rPr>
                <w:sz w:val="21"/>
              </w:rPr>
              <w:t>最好矫正视力</w:t>
            </w:r>
          </w:p>
        </w:tc>
      </w:tr>
      <w:tr>
        <w:trPr>
          <w:trHeight w:val="239" w:hRule="atLeast"/>
        </w:trPr>
        <w:tc>
          <w:tcPr>
            <w:tcW w:w="3473" w:type="dxa"/>
            <w:gridSpan w:val="2"/>
            <w:vMerge/>
            <w:tcBorders>
              <w:top w:val="nil"/>
            </w:tcBorders>
          </w:tcPr>
          <w:p>
            <w:pPr>
              <w:rPr>
                <w:sz w:val="2"/>
                <w:szCs w:val="2"/>
              </w:rPr>
            </w:pPr>
          </w:p>
        </w:tc>
        <w:tc>
          <w:tcPr>
            <w:tcW w:w="2552" w:type="dxa"/>
          </w:tcPr>
          <w:p>
            <w:pPr>
              <w:pStyle w:val="TableParagraph"/>
              <w:spacing w:line="220" w:lineRule="exact"/>
              <w:ind w:left="416" w:right="406"/>
              <w:jc w:val="center"/>
              <w:rPr>
                <w:sz w:val="21"/>
              </w:rPr>
            </w:pPr>
            <w:r>
              <w:rPr>
                <w:sz w:val="21"/>
              </w:rPr>
              <w:t>最好矫正视力低于</w:t>
            </w:r>
          </w:p>
        </w:tc>
        <w:tc>
          <w:tcPr>
            <w:tcW w:w="3806" w:type="dxa"/>
          </w:tcPr>
          <w:p>
            <w:pPr>
              <w:pStyle w:val="TableParagraph"/>
              <w:spacing w:line="220" w:lineRule="exact"/>
              <w:ind w:left="728" w:right="717"/>
              <w:jc w:val="center"/>
              <w:rPr>
                <w:sz w:val="21"/>
              </w:rPr>
            </w:pPr>
            <w:r>
              <w:rPr>
                <w:sz w:val="21"/>
              </w:rPr>
              <w:t>最低矫正视力等于或优于</w:t>
            </w:r>
          </w:p>
        </w:tc>
      </w:tr>
      <w:tr>
        <w:trPr>
          <w:trHeight w:val="239" w:hRule="atLeast"/>
        </w:trPr>
        <w:tc>
          <w:tcPr>
            <w:tcW w:w="2702" w:type="dxa"/>
            <w:vMerge w:val="restart"/>
          </w:tcPr>
          <w:p>
            <w:pPr>
              <w:pStyle w:val="TableParagraph"/>
              <w:spacing w:before="81"/>
              <w:ind w:left="1015" w:right="1007"/>
              <w:jc w:val="center"/>
              <w:rPr>
                <w:sz w:val="21"/>
              </w:rPr>
            </w:pPr>
            <w:r>
              <w:rPr>
                <w:sz w:val="21"/>
              </w:rPr>
              <w:t>低视力</w:t>
            </w:r>
          </w:p>
        </w:tc>
        <w:tc>
          <w:tcPr>
            <w:tcW w:w="771" w:type="dxa"/>
          </w:tcPr>
          <w:p>
            <w:pPr>
              <w:pStyle w:val="TableParagraph"/>
              <w:spacing w:line="220" w:lineRule="exact"/>
              <w:ind w:left="11"/>
              <w:jc w:val="center"/>
              <w:rPr>
                <w:sz w:val="21"/>
              </w:rPr>
            </w:pPr>
            <w:r>
              <w:rPr>
                <w:sz w:val="21"/>
              </w:rPr>
              <w:t>1</w:t>
            </w:r>
          </w:p>
        </w:tc>
        <w:tc>
          <w:tcPr>
            <w:tcW w:w="2552" w:type="dxa"/>
          </w:tcPr>
          <w:p>
            <w:pPr>
              <w:pStyle w:val="TableParagraph"/>
              <w:spacing w:line="220" w:lineRule="exact"/>
              <w:ind w:left="416" w:right="406"/>
              <w:jc w:val="center"/>
              <w:rPr>
                <w:sz w:val="21"/>
              </w:rPr>
            </w:pPr>
            <w:r>
              <w:rPr>
                <w:sz w:val="21"/>
              </w:rPr>
              <w:t>0.3</w:t>
            </w:r>
          </w:p>
        </w:tc>
        <w:tc>
          <w:tcPr>
            <w:tcW w:w="3806" w:type="dxa"/>
          </w:tcPr>
          <w:p>
            <w:pPr>
              <w:pStyle w:val="TableParagraph"/>
              <w:spacing w:line="220" w:lineRule="exact"/>
              <w:ind w:left="728" w:right="716"/>
              <w:jc w:val="center"/>
              <w:rPr>
                <w:sz w:val="21"/>
              </w:rPr>
            </w:pPr>
            <w:r>
              <w:rPr>
                <w:sz w:val="21"/>
              </w:rPr>
              <w:t>0.1</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2</w:t>
            </w:r>
          </w:p>
        </w:tc>
        <w:tc>
          <w:tcPr>
            <w:tcW w:w="2552" w:type="dxa"/>
          </w:tcPr>
          <w:p>
            <w:pPr>
              <w:pStyle w:val="TableParagraph"/>
              <w:spacing w:line="221" w:lineRule="exact"/>
              <w:ind w:left="416" w:right="406"/>
              <w:jc w:val="center"/>
              <w:rPr>
                <w:sz w:val="21"/>
              </w:rPr>
            </w:pPr>
            <w:r>
              <w:rPr>
                <w:sz w:val="21"/>
              </w:rPr>
              <w:t>0.1</w:t>
            </w:r>
          </w:p>
        </w:tc>
        <w:tc>
          <w:tcPr>
            <w:tcW w:w="3806" w:type="dxa"/>
          </w:tcPr>
          <w:p>
            <w:pPr>
              <w:pStyle w:val="TableParagraph"/>
              <w:spacing w:line="221" w:lineRule="exact"/>
              <w:ind w:left="728" w:right="716"/>
              <w:jc w:val="center"/>
              <w:rPr>
                <w:sz w:val="21"/>
              </w:rPr>
            </w:pPr>
            <w:r>
              <w:rPr>
                <w:sz w:val="21"/>
              </w:rPr>
              <w:t>0.05（三米指数）</w:t>
            </w:r>
          </w:p>
        </w:tc>
      </w:tr>
      <w:tr>
        <w:trPr>
          <w:trHeight w:val="239" w:hRule="atLeast"/>
        </w:trPr>
        <w:tc>
          <w:tcPr>
            <w:tcW w:w="2702" w:type="dxa"/>
            <w:vMerge w:val="restart"/>
          </w:tcPr>
          <w:p>
            <w:pPr>
              <w:pStyle w:val="TableParagraph"/>
              <w:spacing w:before="10"/>
              <w:rPr>
                <w:sz w:val="15"/>
              </w:rPr>
            </w:pPr>
          </w:p>
          <w:p>
            <w:pPr>
              <w:pStyle w:val="TableParagraph"/>
              <w:ind w:left="1014" w:right="1007"/>
              <w:jc w:val="center"/>
              <w:rPr>
                <w:sz w:val="21"/>
              </w:rPr>
            </w:pPr>
            <w:r>
              <w:rPr>
                <w:sz w:val="21"/>
              </w:rPr>
              <w:t>盲目</w:t>
            </w:r>
          </w:p>
        </w:tc>
        <w:tc>
          <w:tcPr>
            <w:tcW w:w="771" w:type="dxa"/>
          </w:tcPr>
          <w:p>
            <w:pPr>
              <w:pStyle w:val="TableParagraph"/>
              <w:spacing w:line="220" w:lineRule="exact"/>
              <w:ind w:left="11"/>
              <w:jc w:val="center"/>
              <w:rPr>
                <w:sz w:val="21"/>
              </w:rPr>
            </w:pPr>
            <w:r>
              <w:rPr>
                <w:sz w:val="21"/>
              </w:rPr>
              <w:t>3</w:t>
            </w:r>
          </w:p>
        </w:tc>
        <w:tc>
          <w:tcPr>
            <w:tcW w:w="2552" w:type="dxa"/>
          </w:tcPr>
          <w:p>
            <w:pPr>
              <w:pStyle w:val="TableParagraph"/>
              <w:spacing w:line="220" w:lineRule="exact"/>
              <w:ind w:left="416" w:right="404"/>
              <w:jc w:val="center"/>
              <w:rPr>
                <w:sz w:val="21"/>
              </w:rPr>
            </w:pPr>
            <w:r>
              <w:rPr>
                <w:sz w:val="21"/>
              </w:rPr>
              <w:t>0.05</w:t>
            </w:r>
          </w:p>
        </w:tc>
        <w:tc>
          <w:tcPr>
            <w:tcW w:w="3806" w:type="dxa"/>
          </w:tcPr>
          <w:p>
            <w:pPr>
              <w:pStyle w:val="TableParagraph"/>
              <w:spacing w:line="220" w:lineRule="exact"/>
              <w:ind w:left="728" w:right="715"/>
              <w:jc w:val="center"/>
              <w:rPr>
                <w:sz w:val="21"/>
              </w:rPr>
            </w:pPr>
            <w:r>
              <w:rPr>
                <w:sz w:val="21"/>
              </w:rPr>
              <w:t>0.02（一米指数）</w:t>
            </w:r>
          </w:p>
        </w:tc>
      </w:tr>
      <w:tr>
        <w:trPr>
          <w:trHeight w:val="239" w:hRule="atLeast"/>
        </w:trPr>
        <w:tc>
          <w:tcPr>
            <w:tcW w:w="2702" w:type="dxa"/>
            <w:vMerge/>
            <w:tcBorders>
              <w:top w:val="nil"/>
            </w:tcBorders>
          </w:tcPr>
          <w:p>
            <w:pPr>
              <w:rPr>
                <w:sz w:val="2"/>
                <w:szCs w:val="2"/>
              </w:rPr>
            </w:pPr>
          </w:p>
        </w:tc>
        <w:tc>
          <w:tcPr>
            <w:tcW w:w="771" w:type="dxa"/>
          </w:tcPr>
          <w:p>
            <w:pPr>
              <w:pStyle w:val="TableParagraph"/>
              <w:spacing w:line="220" w:lineRule="exact"/>
              <w:ind w:left="11"/>
              <w:jc w:val="center"/>
              <w:rPr>
                <w:sz w:val="21"/>
              </w:rPr>
            </w:pPr>
            <w:r>
              <w:rPr>
                <w:sz w:val="21"/>
              </w:rPr>
              <w:t>4</w:t>
            </w:r>
          </w:p>
        </w:tc>
        <w:tc>
          <w:tcPr>
            <w:tcW w:w="2552" w:type="dxa"/>
          </w:tcPr>
          <w:p>
            <w:pPr>
              <w:pStyle w:val="TableParagraph"/>
              <w:spacing w:line="220" w:lineRule="exact"/>
              <w:ind w:left="416" w:right="404"/>
              <w:jc w:val="center"/>
              <w:rPr>
                <w:sz w:val="21"/>
              </w:rPr>
            </w:pPr>
            <w:r>
              <w:rPr>
                <w:sz w:val="21"/>
              </w:rPr>
              <w:t>0.02</w:t>
            </w:r>
          </w:p>
        </w:tc>
        <w:tc>
          <w:tcPr>
            <w:tcW w:w="3806" w:type="dxa"/>
          </w:tcPr>
          <w:p>
            <w:pPr>
              <w:pStyle w:val="TableParagraph"/>
              <w:spacing w:line="220" w:lineRule="exact"/>
              <w:ind w:left="728" w:right="716"/>
              <w:jc w:val="center"/>
              <w:rPr>
                <w:sz w:val="21"/>
              </w:rPr>
            </w:pPr>
            <w:r>
              <w:rPr>
                <w:sz w:val="21"/>
              </w:rPr>
              <w:t>光感</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5</w:t>
            </w:r>
          </w:p>
        </w:tc>
        <w:tc>
          <w:tcPr>
            <w:tcW w:w="6358" w:type="dxa"/>
            <w:gridSpan w:val="2"/>
          </w:tcPr>
          <w:p>
            <w:pPr>
              <w:pStyle w:val="TableParagraph"/>
              <w:spacing w:line="221" w:lineRule="exact"/>
              <w:ind w:left="2108" w:right="2098"/>
              <w:jc w:val="center"/>
              <w:rPr>
                <w:sz w:val="21"/>
              </w:rPr>
            </w:pPr>
            <w:r>
              <w:rPr>
                <w:sz w:val="21"/>
              </w:rPr>
              <w:t>无光感</w:t>
            </w:r>
          </w:p>
        </w:tc>
      </w:tr>
    </w:tbl>
    <w:p>
      <w:pPr>
        <w:pStyle w:val="BodyText"/>
        <w:spacing w:line="273" w:lineRule="auto"/>
        <w:ind w:left="120" w:right="538" w:firstLine="420"/>
      </w:pPr>
      <w:r>
        <w:rPr>
          <w:spacing w:val="-8"/>
        </w:rPr>
        <w:t>如果中心视力好而视野缩小，以中央注视点为中心，视野直径小于 </w:t>
      </w:r>
      <w:r>
        <w:rPr/>
        <w:t>20</w:t>
      </w:r>
      <w:r>
        <w:rPr>
          <w:spacing w:val="-11"/>
        </w:rPr>
        <w:t>°而大于 </w:t>
      </w:r>
      <w:r>
        <w:rPr/>
        <w:t>10</w:t>
      </w:r>
      <w:r>
        <w:rPr>
          <w:spacing w:val="-9"/>
        </w:rPr>
        <w:t>°者为盲目 </w:t>
      </w:r>
      <w:r>
        <w:rPr/>
        <w:t>3</w:t>
      </w:r>
      <w:r>
        <w:rPr>
          <w:spacing w:val="-18"/>
        </w:rPr>
        <w:t> 级； </w:t>
      </w:r>
      <w:r>
        <w:rPr>
          <w:spacing w:val="-24"/>
        </w:rPr>
        <w:t>如直径小于 </w:t>
      </w:r>
      <w:r>
        <w:rPr/>
        <w:t>10</w:t>
      </w:r>
      <w:r>
        <w:rPr>
          <w:spacing w:val="-9"/>
        </w:rPr>
        <w:t>°者为盲目 </w:t>
      </w:r>
      <w:r>
        <w:rPr/>
        <w:t>4</w:t>
      </w:r>
      <w:r>
        <w:rPr>
          <w:spacing w:val="-18"/>
        </w:rPr>
        <w:t> 级。</w:t>
      </w:r>
    </w:p>
    <w:p>
      <w:pPr>
        <w:pStyle w:val="BodyText"/>
        <w:spacing w:before="8"/>
        <w:ind w:left="540"/>
      </w:pPr>
      <w:r>
        <w:rPr/>
        <w:t>本标准视力以矫正视力为准，经治疗而无法恢复者。</w:t>
      </w:r>
    </w:p>
    <w:p>
      <w:pPr>
        <w:spacing w:after="0"/>
        <w:sectPr>
          <w:pgSz w:w="11910" w:h="16840"/>
          <w:pgMar w:top="1120" w:bottom="280" w:left="900" w:right="880"/>
        </w:sectPr>
      </w:pPr>
    </w:p>
    <w:p>
      <w:pPr>
        <w:pStyle w:val="BodyText"/>
        <w:spacing w:line="273" w:lineRule="auto" w:before="20"/>
        <w:ind w:left="101" w:right="597" w:firstLine="447"/>
      </w:pPr>
      <w:r>
        <w:rPr/>
        <w:t>6、视野缺损指因损伤导致眼球注视前方而不转动所能看到的空间范围缩窄，以致难以从事正常工作、学习或其他活动。</w:t>
      </w:r>
    </w:p>
    <w:p>
      <w:pPr>
        <w:pStyle w:val="BodyText"/>
        <w:spacing w:line="273" w:lineRule="auto" w:before="7"/>
        <w:ind w:left="101" w:right="597" w:firstLine="447"/>
      </w:pPr>
      <w:r>
        <w:rPr/>
        <w:t>7、咀嚼、吞咽功能丧失指由于牙齿以外的原因引起器质障碍或机能障碍，以致不能作咀嚼、吞咽运动，除流质食物外不能摄取或吞咽的状态。</w:t>
      </w:r>
    </w:p>
    <w:p>
      <w:pPr>
        <w:pStyle w:val="BodyText"/>
        <w:spacing w:line="273" w:lineRule="auto" w:before="7"/>
        <w:ind w:left="101" w:right="579" w:firstLine="447"/>
      </w:pPr>
      <w:r>
        <w:rPr/>
        <w:t>8、肢体丧失功能指意外损伤导致肢体三大关节（上肢腕关节、肘关节、肩关节或下肢踝关节、膝关节、髋关节）功能的丧失。</w:t>
      </w:r>
    </w:p>
    <w:p>
      <w:pPr>
        <w:pStyle w:val="BodyText"/>
        <w:spacing w:before="7"/>
        <w:ind w:left="548"/>
      </w:pPr>
      <w:r>
        <w:rPr/>
        <w:t>9、关节功能的丧失指关节永久完全僵硬、或麻痹、或关节不能随意识活动。</w:t>
      </w:r>
    </w:p>
    <w:p>
      <w:pPr>
        <w:pStyle w:val="BodyText"/>
        <w:spacing w:before="37"/>
        <w:ind w:left="548"/>
      </w:pPr>
      <w:r>
        <w:rPr/>
        <w:t>10、偏瘫指一侧上下肢的瘫痪。</w:t>
      </w:r>
    </w:p>
    <w:p>
      <w:pPr>
        <w:pStyle w:val="BodyText"/>
        <w:spacing w:line="273" w:lineRule="auto" w:before="37"/>
        <w:ind w:left="101" w:right="715" w:firstLine="447"/>
      </w:pPr>
      <w:r>
        <w:rPr/>
        <w:t>11、截瘫指脊髓损伤后，受伤平面以下双侧肢体感觉、运动、反射等消失和膀胱、肛门括约肌功能丧失的病症。</w:t>
      </w:r>
    </w:p>
    <w:p>
      <w:pPr>
        <w:pStyle w:val="BodyText"/>
        <w:spacing w:before="7"/>
        <w:ind w:left="548"/>
      </w:pPr>
      <w:r>
        <w:rPr/>
        <w:t>12、肌力：为判断肢体瘫痪程度，将肌力分级划分为 0-5 级。</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级：肌肉完全瘫痪，毫无收缩。</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级：可看到或触及肌肉轻微收缩，但不能产生动作。</w:t>
      </w:r>
    </w:p>
    <w:p>
      <w:pPr>
        <w:pStyle w:val="ListParagraph"/>
        <w:numPr>
          <w:ilvl w:val="0"/>
          <w:numId w:val="9"/>
        </w:numPr>
        <w:tabs>
          <w:tab w:pos="1309" w:val="left" w:leader="none"/>
        </w:tabs>
        <w:spacing w:line="240" w:lineRule="auto" w:before="36" w:after="0"/>
        <w:ind w:left="1308" w:right="0" w:hanging="158"/>
        <w:jc w:val="left"/>
        <w:rPr>
          <w:sz w:val="21"/>
        </w:rPr>
      </w:pPr>
      <w:r>
        <w:rPr>
          <w:sz w:val="21"/>
        </w:rPr>
        <w:t>级：肌肉在不受重力影响下，可进行运动，即肢体能在床面上移动，但不能抬高。</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级：在和地心引力相反的方向中尚能完成其动作，但不能对抗外加的阻力。</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级：能对抗一定的阻力，但较正常人为低。</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级：正常肌力。</w:t>
      </w:r>
    </w:p>
    <w:p>
      <w:pPr>
        <w:pStyle w:val="BodyText"/>
        <w:spacing w:before="35"/>
        <w:ind w:left="548"/>
      </w:pPr>
      <w:r>
        <w:rPr/>
        <w:t>13、瘢痕：指创面愈合后的增生性瘢痕，</w:t>
      </w:r>
      <w:r>
        <w:rPr>
          <w:shd w:fill="DADADA" w:color="auto" w:val="clear"/>
        </w:rPr>
        <w:t>不包括皮肤平整、无明显质地改变的萎缩性瘢痕或疤痕。</w:t>
      </w:r>
    </w:p>
    <w:p>
      <w:pPr>
        <w:pStyle w:val="BodyText"/>
        <w:spacing w:line="273" w:lineRule="auto" w:before="36"/>
        <w:ind w:left="101" w:right="113" w:firstLine="447"/>
        <w:jc w:val="both"/>
      </w:pPr>
      <w:r>
        <w:rPr/>
        <w:t>14</w:t>
      </w:r>
      <w:r>
        <w:rPr>
          <w:spacing w:val="-6"/>
        </w:rPr>
        <w:t>、面部的范围和瘢痕面积的计算：面部的范围指上至发际、下至下颌下缘、两侧至下颌支后缘之间的</w:t>
      </w:r>
      <w:r>
        <w:rPr>
          <w:spacing w:val="-1"/>
        </w:rPr>
        <w:t>区域，包括额部、眼部、眶部、鼻部、口唇部、颏部、颧部、颊部和腮腺咬肌部。面部瘢痕面积的计算采用</w:t>
      </w:r>
      <w:r>
        <w:rPr>
          <w:spacing w:val="-12"/>
        </w:rPr>
        <w:t>全面部和 </w:t>
      </w:r>
      <w:r>
        <w:rPr/>
        <w:t>5</w:t>
      </w:r>
      <w:r>
        <w:rPr>
          <w:spacing w:val="-8"/>
        </w:rPr>
        <w:t> 等分面部以及实测瘢痕面积的方法，分别计算瘢痕面积。面部多处瘢痕，其面积可以累加计算。</w:t>
      </w:r>
    </w:p>
    <w:p>
      <w:pPr>
        <w:pStyle w:val="BodyText"/>
        <w:spacing w:before="7"/>
        <w:ind w:left="548"/>
      </w:pPr>
      <w:r>
        <w:rPr/>
        <w:t>15、全身皮肤瘢痕面积的计算：按皮肤瘢痕面积占全身体表面积的百分数来计算，即中国新九分法：在</w:t>
      </w:r>
    </w:p>
    <w:p>
      <w:pPr>
        <w:pStyle w:val="BodyText"/>
        <w:spacing w:before="37"/>
        <w:ind w:left="101"/>
      </w:pPr>
      <w:r>
        <w:rPr/>
        <w:t>100</w:t>
      </w:r>
      <w:r>
        <w:rPr>
          <w:spacing w:val="-5"/>
        </w:rPr>
        <w:t>%的体表总面积中：头颈部占 </w:t>
      </w:r>
      <w:r>
        <w:rPr>
          <w:spacing w:val="-3"/>
        </w:rPr>
        <w:t>9%（9×1）（</w:t>
      </w:r>
      <w:r>
        <w:rPr>
          <w:spacing w:val="-8"/>
        </w:rPr>
        <w:t>头部、面部、颈部各占 </w:t>
      </w:r>
      <w:r>
        <w:rPr>
          <w:spacing w:val="-3"/>
        </w:rPr>
        <w:t>3%）；</w:t>
      </w:r>
      <w:r>
        <w:rPr>
          <w:spacing w:val="-10"/>
        </w:rPr>
        <w:t>双上肢占 </w:t>
      </w:r>
      <w:r>
        <w:rPr>
          <w:spacing w:val="-3"/>
        </w:rPr>
        <w:t>18%（9×2）（</w:t>
      </w:r>
      <w:r>
        <w:rPr/>
        <w:t>双上臂</w:t>
      </w:r>
    </w:p>
    <w:p>
      <w:pPr>
        <w:pStyle w:val="BodyText"/>
        <w:spacing w:line="273" w:lineRule="auto" w:before="37"/>
        <w:ind w:left="101" w:right="120"/>
      </w:pPr>
      <w:r>
        <w:rPr>
          <w:spacing w:val="-7"/>
        </w:rPr>
        <w:t>7</w:t>
      </w:r>
      <w:r>
        <w:rPr>
          <w:spacing w:val="-12"/>
        </w:rPr>
        <w:t>%，双前臂 </w:t>
      </w:r>
      <w:r>
        <w:rPr>
          <w:spacing w:val="-7"/>
        </w:rPr>
        <w:t>6%</w:t>
      </w:r>
      <w:r>
        <w:rPr>
          <w:spacing w:val="-15"/>
        </w:rPr>
        <w:t>，双手 </w:t>
      </w:r>
      <w:r>
        <w:rPr>
          <w:spacing w:val="-10"/>
        </w:rPr>
        <w:t>5%）；</w:t>
      </w:r>
      <w:r>
        <w:rPr>
          <w:spacing w:val="-6"/>
        </w:rPr>
        <w:t>躯干前后包括会阴占 </w:t>
      </w:r>
      <w:r>
        <w:rPr>
          <w:spacing w:val="-7"/>
        </w:rPr>
        <w:t>27%（9×3）（</w:t>
      </w:r>
      <w:r>
        <w:rPr>
          <w:spacing w:val="-17"/>
        </w:rPr>
        <w:t>前躯 </w:t>
      </w:r>
      <w:r>
        <w:rPr>
          <w:spacing w:val="-6"/>
        </w:rPr>
        <w:t>13%</w:t>
      </w:r>
      <w:r>
        <w:rPr>
          <w:spacing w:val="-15"/>
        </w:rPr>
        <w:t>，后躯 </w:t>
      </w:r>
      <w:r>
        <w:rPr>
          <w:spacing w:val="-6"/>
        </w:rPr>
        <w:t>13%</w:t>
      </w:r>
      <w:r>
        <w:rPr>
          <w:spacing w:val="-15"/>
        </w:rPr>
        <w:t>，会阴 </w:t>
      </w:r>
      <w:r>
        <w:rPr>
          <w:spacing w:val="-10"/>
        </w:rPr>
        <w:t>1%）；</w:t>
      </w:r>
      <w:r>
        <w:rPr>
          <w:spacing w:val="-7"/>
        </w:rPr>
        <w:t>双下肢</w:t>
      </w:r>
      <w:r>
        <w:rPr/>
        <w:t>（含臀部）</w:t>
      </w:r>
      <w:r>
        <w:rPr>
          <w:spacing w:val="-28"/>
        </w:rPr>
        <w:t>占 </w:t>
      </w:r>
      <w:r>
        <w:rPr/>
        <w:t>46%（</w:t>
      </w:r>
      <w:r>
        <w:rPr>
          <w:spacing w:val="-19"/>
        </w:rPr>
        <w:t>双臀 </w:t>
      </w:r>
      <w:r>
        <w:rPr/>
        <w:t>5</w:t>
      </w:r>
      <w:r>
        <w:rPr>
          <w:spacing w:val="-10"/>
        </w:rPr>
        <w:t>%，双大腿 </w:t>
      </w:r>
      <w:r>
        <w:rPr/>
        <w:t>21%</w:t>
      </w:r>
      <w:r>
        <w:rPr>
          <w:spacing w:val="-11"/>
        </w:rPr>
        <w:t>，双小腿 </w:t>
      </w:r>
      <w:r>
        <w:rPr/>
        <w:t>13%</w:t>
      </w:r>
      <w:r>
        <w:rPr>
          <w:spacing w:val="-14"/>
        </w:rPr>
        <w:t>，双足 </w:t>
      </w:r>
      <w:r>
        <w:rPr/>
        <w:t>7%）（9×5+1）（</w:t>
      </w:r>
      <w:r>
        <w:rPr>
          <w:spacing w:val="-7"/>
        </w:rPr>
        <w:t>女性双足和臀各占 </w:t>
      </w:r>
      <w:r>
        <w:rPr/>
        <w:t>6%）。</w:t>
      </w:r>
    </w:p>
    <w:p>
      <w:pPr>
        <w:pStyle w:val="BodyText"/>
        <w:spacing w:line="271" w:lineRule="auto" w:before="7"/>
        <w:ind w:left="101" w:right="119" w:firstLine="447"/>
        <w:jc w:val="both"/>
      </w:pPr>
      <w:r>
        <w:rPr/>
        <w:t>16、烧伤面积和烧伤深度：烧伤面积的计算按中国新九分法，烧伤深度按三度四分法。III</w:t>
      </w:r>
      <w:r>
        <w:rPr>
          <w:spacing w:val="-10"/>
        </w:rPr>
        <w:t> 度烧伤指烧</w:t>
      </w:r>
      <w:r>
        <w:rPr>
          <w:spacing w:val="-1"/>
        </w:rPr>
        <w:t>伤深达皮肤全层甚至达到皮下、肌肉和骨骼。</w:t>
      </w:r>
      <w:r>
        <w:rPr>
          <w:shd w:fill="DADADA" w:color="auto" w:val="clear"/>
        </w:rPr>
        <w:t>烧伤事故不包括冻伤、吸入性损伤（又称呼吸道烧伤）和电击</w:t>
      </w:r>
      <w:r>
        <w:rPr>
          <w:spacing w:val="-106"/>
          <w:shd w:fill="DADADA" w:color="auto" w:val="clear"/>
        </w:rPr>
        <w:t>伤。</w:t>
      </w:r>
      <w:r>
        <w:rPr>
          <w:spacing w:val="-1"/>
        </w:rPr>
        <w:t>烧伤后按烧伤面积、深度评定伤残等级，待医疗终结后，可以依据造成的功能障碍程度、皮肤瘢痕面积大小评定伤残等级，最终的伤残等级以严重者为准。</w:t>
      </w:r>
    </w:p>
    <w:sectPr>
      <w:pgSz w:w="11910" w:h="16840"/>
      <w:pgMar w:top="108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decimal"/>
      <w:lvlText w:val="%1"/>
      <w:lvlJc w:val="left"/>
      <w:pPr>
        <w:ind w:left="1308" w:hanging="158"/>
        <w:jc w:val="left"/>
      </w:pPr>
      <w:rPr>
        <w:rFonts w:hint="default" w:ascii="宋体" w:hAnsi="宋体" w:eastAsia="宋体" w:cs="宋体"/>
        <w:w w:val="100"/>
        <w:sz w:val="21"/>
        <w:szCs w:val="21"/>
      </w:rPr>
    </w:lvl>
    <w:lvl w:ilvl="1">
      <w:start w:val="0"/>
      <w:numFmt w:val="bullet"/>
      <w:lvlText w:val="•"/>
      <w:lvlJc w:val="left"/>
      <w:pPr>
        <w:ind w:left="2178" w:hanging="158"/>
      </w:pPr>
      <w:rPr>
        <w:rFonts w:hint="default"/>
      </w:rPr>
    </w:lvl>
    <w:lvl w:ilvl="2">
      <w:start w:val="0"/>
      <w:numFmt w:val="bullet"/>
      <w:lvlText w:val="•"/>
      <w:lvlJc w:val="left"/>
      <w:pPr>
        <w:ind w:left="3057" w:hanging="158"/>
      </w:pPr>
      <w:rPr>
        <w:rFonts w:hint="default"/>
      </w:rPr>
    </w:lvl>
    <w:lvl w:ilvl="3">
      <w:start w:val="0"/>
      <w:numFmt w:val="bullet"/>
      <w:lvlText w:val="•"/>
      <w:lvlJc w:val="left"/>
      <w:pPr>
        <w:ind w:left="3935" w:hanging="158"/>
      </w:pPr>
      <w:rPr>
        <w:rFonts w:hint="default"/>
      </w:rPr>
    </w:lvl>
    <w:lvl w:ilvl="4">
      <w:start w:val="0"/>
      <w:numFmt w:val="bullet"/>
      <w:lvlText w:val="•"/>
      <w:lvlJc w:val="left"/>
      <w:pPr>
        <w:ind w:left="4814" w:hanging="158"/>
      </w:pPr>
      <w:rPr>
        <w:rFonts w:hint="default"/>
      </w:rPr>
    </w:lvl>
    <w:lvl w:ilvl="5">
      <w:start w:val="0"/>
      <w:numFmt w:val="bullet"/>
      <w:lvlText w:val="•"/>
      <w:lvlJc w:val="left"/>
      <w:pPr>
        <w:ind w:left="5693" w:hanging="158"/>
      </w:pPr>
      <w:rPr>
        <w:rFonts w:hint="default"/>
      </w:rPr>
    </w:lvl>
    <w:lvl w:ilvl="6">
      <w:start w:val="0"/>
      <w:numFmt w:val="bullet"/>
      <w:lvlText w:val="•"/>
      <w:lvlJc w:val="left"/>
      <w:pPr>
        <w:ind w:left="6571" w:hanging="158"/>
      </w:pPr>
      <w:rPr>
        <w:rFonts w:hint="default"/>
      </w:rPr>
    </w:lvl>
    <w:lvl w:ilvl="7">
      <w:start w:val="0"/>
      <w:numFmt w:val="bullet"/>
      <w:lvlText w:val="•"/>
      <w:lvlJc w:val="left"/>
      <w:pPr>
        <w:ind w:left="7450" w:hanging="158"/>
      </w:pPr>
      <w:rPr>
        <w:rFonts w:hint="default"/>
      </w:rPr>
    </w:lvl>
    <w:lvl w:ilvl="8">
      <w:start w:val="0"/>
      <w:numFmt w:val="bullet"/>
      <w:lvlText w:val="•"/>
      <w:lvlJc w:val="left"/>
      <w:pPr>
        <w:ind w:left="8329" w:hanging="158"/>
      </w:pPr>
      <w:rPr>
        <w:rFonts w:hint="default"/>
      </w:rPr>
    </w:lvl>
  </w:abstractNum>
  <w:abstractNum w:abstractNumId="7">
    <w:multiLevelType w:val="hybridMultilevel"/>
    <w:lvl w:ilvl="0">
      <w:start w:val="9"/>
      <w:numFmt w:val="decimal"/>
      <w:lvlText w:val="%1"/>
      <w:lvlJc w:val="left"/>
      <w:pPr>
        <w:ind w:left="1367" w:hanging="420"/>
        <w:jc w:val="left"/>
      </w:pPr>
      <w:rPr>
        <w:rFonts w:hint="default"/>
      </w:rPr>
    </w:lvl>
    <w:lvl w:ilvl="1">
      <w:start w:val="1"/>
      <w:numFmt w:val="decimal"/>
      <w:lvlText w:val="%1.%2"/>
      <w:lvlJc w:val="left"/>
      <w:pPr>
        <w:ind w:left="1367" w:hanging="420"/>
        <w:jc w:val="left"/>
      </w:pPr>
      <w:rPr>
        <w:rFonts w:hint="default" w:ascii="宋体" w:hAnsi="宋体" w:eastAsia="宋体" w:cs="宋体"/>
        <w:spacing w:val="-1"/>
        <w:w w:val="100"/>
        <w:sz w:val="21"/>
        <w:szCs w:val="21"/>
      </w:rPr>
    </w:lvl>
    <w:lvl w:ilvl="2">
      <w:start w:val="0"/>
      <w:numFmt w:val="bullet"/>
      <w:lvlText w:val="•"/>
      <w:lvlJc w:val="left"/>
      <w:pPr>
        <w:ind w:left="2174" w:hanging="420"/>
      </w:pPr>
      <w:rPr>
        <w:rFonts w:hint="default"/>
      </w:rPr>
    </w:lvl>
    <w:lvl w:ilvl="3">
      <w:start w:val="0"/>
      <w:numFmt w:val="bullet"/>
      <w:lvlText w:val="•"/>
      <w:lvlJc w:val="left"/>
      <w:pPr>
        <w:ind w:left="2582" w:hanging="420"/>
      </w:pPr>
      <w:rPr>
        <w:rFonts w:hint="default"/>
      </w:rPr>
    </w:lvl>
    <w:lvl w:ilvl="4">
      <w:start w:val="0"/>
      <w:numFmt w:val="bullet"/>
      <w:lvlText w:val="•"/>
      <w:lvlJc w:val="left"/>
      <w:pPr>
        <w:ind w:left="2989" w:hanging="420"/>
      </w:pPr>
      <w:rPr>
        <w:rFonts w:hint="default"/>
      </w:rPr>
    </w:lvl>
    <w:lvl w:ilvl="5">
      <w:start w:val="0"/>
      <w:numFmt w:val="bullet"/>
      <w:lvlText w:val="•"/>
      <w:lvlJc w:val="left"/>
      <w:pPr>
        <w:ind w:left="3396" w:hanging="420"/>
      </w:pPr>
      <w:rPr>
        <w:rFonts w:hint="default"/>
      </w:rPr>
    </w:lvl>
    <w:lvl w:ilvl="6">
      <w:start w:val="0"/>
      <w:numFmt w:val="bullet"/>
      <w:lvlText w:val="•"/>
      <w:lvlJc w:val="left"/>
      <w:pPr>
        <w:ind w:left="3804" w:hanging="420"/>
      </w:pPr>
      <w:rPr>
        <w:rFonts w:hint="default"/>
      </w:rPr>
    </w:lvl>
    <w:lvl w:ilvl="7">
      <w:start w:val="0"/>
      <w:numFmt w:val="bullet"/>
      <w:lvlText w:val="•"/>
      <w:lvlJc w:val="left"/>
      <w:pPr>
        <w:ind w:left="4211" w:hanging="420"/>
      </w:pPr>
      <w:rPr>
        <w:rFonts w:hint="default"/>
      </w:rPr>
    </w:lvl>
    <w:lvl w:ilvl="8">
      <w:start w:val="0"/>
      <w:numFmt w:val="bullet"/>
      <w:lvlText w:val="•"/>
      <w:lvlJc w:val="left"/>
      <w:pPr>
        <w:ind w:left="4618" w:hanging="420"/>
      </w:pPr>
      <w:rPr>
        <w:rFonts w:hint="default"/>
      </w:rPr>
    </w:lvl>
  </w:abstractNum>
  <w:abstractNum w:abstractNumId="6">
    <w:multiLevelType w:val="hybridMultilevel"/>
    <w:lvl w:ilvl="0">
      <w:start w:val="8"/>
      <w:numFmt w:val="decimal"/>
      <w:lvlText w:val="%1"/>
      <w:lvlJc w:val="left"/>
      <w:pPr>
        <w:ind w:left="2482" w:hanging="420"/>
        <w:jc w:val="left"/>
      </w:pPr>
      <w:rPr>
        <w:rFonts w:hint="default"/>
      </w:rPr>
    </w:lvl>
    <w:lvl w:ilvl="1">
      <w:start w:val="1"/>
      <w:numFmt w:val="decimal"/>
      <w:lvlText w:val="%1.%2"/>
      <w:lvlJc w:val="left"/>
      <w:pPr>
        <w:ind w:left="2482" w:hanging="420"/>
        <w:jc w:val="right"/>
      </w:pPr>
      <w:rPr>
        <w:rFonts w:hint="default" w:ascii="宋体" w:hAnsi="宋体" w:eastAsia="宋体" w:cs="宋体"/>
        <w:spacing w:val="-1"/>
        <w:w w:val="100"/>
        <w:sz w:val="21"/>
        <w:szCs w:val="21"/>
      </w:rPr>
    </w:lvl>
    <w:lvl w:ilvl="2">
      <w:start w:val="0"/>
      <w:numFmt w:val="bullet"/>
      <w:lvlText w:val="•"/>
      <w:lvlJc w:val="left"/>
      <w:pPr>
        <w:ind w:left="2942"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3405" w:hanging="420"/>
      </w:pPr>
      <w:rPr>
        <w:rFonts w:hint="default"/>
      </w:rPr>
    </w:lvl>
    <w:lvl w:ilvl="5">
      <w:start w:val="0"/>
      <w:numFmt w:val="bullet"/>
      <w:lvlText w:val="•"/>
      <w:lvlJc w:val="left"/>
      <w:pPr>
        <w:ind w:left="3636" w:hanging="420"/>
      </w:pPr>
      <w:rPr>
        <w:rFonts w:hint="default"/>
      </w:rPr>
    </w:lvl>
    <w:lvl w:ilvl="6">
      <w:start w:val="0"/>
      <w:numFmt w:val="bullet"/>
      <w:lvlText w:val="•"/>
      <w:lvlJc w:val="left"/>
      <w:pPr>
        <w:ind w:left="3867" w:hanging="420"/>
      </w:pPr>
      <w:rPr>
        <w:rFonts w:hint="default"/>
      </w:rPr>
    </w:lvl>
    <w:lvl w:ilvl="7">
      <w:start w:val="0"/>
      <w:numFmt w:val="bullet"/>
      <w:lvlText w:val="•"/>
      <w:lvlJc w:val="left"/>
      <w:pPr>
        <w:ind w:left="4098" w:hanging="420"/>
      </w:pPr>
      <w:rPr>
        <w:rFonts w:hint="default"/>
      </w:rPr>
    </w:lvl>
    <w:lvl w:ilvl="8">
      <w:start w:val="0"/>
      <w:numFmt w:val="bullet"/>
      <w:lvlText w:val="•"/>
      <w:lvlJc w:val="left"/>
      <w:pPr>
        <w:ind w:left="4330" w:hanging="420"/>
      </w:pPr>
      <w:rPr>
        <w:rFonts w:hint="default"/>
      </w:rPr>
    </w:lvl>
  </w:abstractNum>
  <w:abstractNum w:abstractNumId="5">
    <w:multiLevelType w:val="hybridMultilevel"/>
    <w:lvl w:ilvl="0">
      <w:start w:val="6"/>
      <w:numFmt w:val="decimal"/>
      <w:lvlText w:val="%1"/>
      <w:lvlJc w:val="left"/>
      <w:pPr>
        <w:ind w:left="2484" w:hanging="420"/>
        <w:jc w:val="left"/>
      </w:pPr>
      <w:rPr>
        <w:rFonts w:hint="default"/>
      </w:rPr>
    </w:lvl>
    <w:lvl w:ilvl="1">
      <w:start w:val="1"/>
      <w:numFmt w:val="decimal"/>
      <w:lvlText w:val="%1.%2"/>
      <w:lvlJc w:val="left"/>
      <w:pPr>
        <w:ind w:left="2484" w:hanging="420"/>
        <w:jc w:val="left"/>
      </w:pPr>
      <w:rPr>
        <w:rFonts w:hint="default" w:ascii="宋体" w:hAnsi="宋体" w:eastAsia="宋体" w:cs="宋体"/>
        <w:spacing w:val="-1"/>
        <w:w w:val="100"/>
        <w:sz w:val="21"/>
        <w:szCs w:val="21"/>
      </w:rPr>
    </w:lvl>
    <w:lvl w:ilvl="2">
      <w:start w:val="0"/>
      <w:numFmt w:val="bullet"/>
      <w:lvlText w:val="•"/>
      <w:lvlJc w:val="left"/>
      <w:pPr>
        <w:ind w:left="2942"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3405" w:hanging="420"/>
      </w:pPr>
      <w:rPr>
        <w:rFonts w:hint="default"/>
      </w:rPr>
    </w:lvl>
    <w:lvl w:ilvl="5">
      <w:start w:val="0"/>
      <w:numFmt w:val="bullet"/>
      <w:lvlText w:val="•"/>
      <w:lvlJc w:val="left"/>
      <w:pPr>
        <w:ind w:left="3636" w:hanging="420"/>
      </w:pPr>
      <w:rPr>
        <w:rFonts w:hint="default"/>
      </w:rPr>
    </w:lvl>
    <w:lvl w:ilvl="6">
      <w:start w:val="0"/>
      <w:numFmt w:val="bullet"/>
      <w:lvlText w:val="•"/>
      <w:lvlJc w:val="left"/>
      <w:pPr>
        <w:ind w:left="3867" w:hanging="420"/>
      </w:pPr>
      <w:rPr>
        <w:rFonts w:hint="default"/>
      </w:rPr>
    </w:lvl>
    <w:lvl w:ilvl="7">
      <w:start w:val="0"/>
      <w:numFmt w:val="bullet"/>
      <w:lvlText w:val="•"/>
      <w:lvlJc w:val="left"/>
      <w:pPr>
        <w:ind w:left="4098" w:hanging="420"/>
      </w:pPr>
      <w:rPr>
        <w:rFonts w:hint="default"/>
      </w:rPr>
    </w:lvl>
    <w:lvl w:ilvl="8">
      <w:start w:val="0"/>
      <w:numFmt w:val="bullet"/>
      <w:lvlText w:val="•"/>
      <w:lvlJc w:val="left"/>
      <w:pPr>
        <w:ind w:left="4330" w:hanging="420"/>
      </w:pPr>
      <w:rPr>
        <w:rFonts w:hint="default"/>
      </w:rPr>
    </w:lvl>
  </w:abstractNum>
  <w:abstractNum w:abstractNumId="4">
    <w:multiLevelType w:val="hybridMultilevel"/>
    <w:lvl w:ilvl="0">
      <w:start w:val="4"/>
      <w:numFmt w:val="decimal"/>
      <w:lvlText w:val="%1"/>
      <w:lvlJc w:val="left"/>
      <w:pPr>
        <w:ind w:left="2484" w:hanging="420"/>
        <w:jc w:val="left"/>
      </w:pPr>
      <w:rPr>
        <w:rFonts w:hint="default"/>
      </w:rPr>
    </w:lvl>
    <w:lvl w:ilvl="1">
      <w:start w:val="1"/>
      <w:numFmt w:val="decimal"/>
      <w:lvlText w:val="%1.%2"/>
      <w:lvlJc w:val="left"/>
      <w:pPr>
        <w:ind w:left="2484" w:hanging="420"/>
        <w:jc w:val="left"/>
      </w:pPr>
      <w:rPr>
        <w:rFonts w:hint="default" w:ascii="宋体" w:hAnsi="宋体" w:eastAsia="宋体" w:cs="宋体"/>
        <w:spacing w:val="-1"/>
        <w:w w:val="100"/>
        <w:sz w:val="21"/>
        <w:szCs w:val="21"/>
      </w:rPr>
    </w:lvl>
    <w:lvl w:ilvl="2">
      <w:start w:val="0"/>
      <w:numFmt w:val="bullet"/>
      <w:lvlText w:val="•"/>
      <w:lvlJc w:val="left"/>
      <w:pPr>
        <w:ind w:left="2942"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3405" w:hanging="420"/>
      </w:pPr>
      <w:rPr>
        <w:rFonts w:hint="default"/>
      </w:rPr>
    </w:lvl>
    <w:lvl w:ilvl="5">
      <w:start w:val="0"/>
      <w:numFmt w:val="bullet"/>
      <w:lvlText w:val="•"/>
      <w:lvlJc w:val="left"/>
      <w:pPr>
        <w:ind w:left="3636" w:hanging="420"/>
      </w:pPr>
      <w:rPr>
        <w:rFonts w:hint="default"/>
      </w:rPr>
    </w:lvl>
    <w:lvl w:ilvl="6">
      <w:start w:val="0"/>
      <w:numFmt w:val="bullet"/>
      <w:lvlText w:val="•"/>
      <w:lvlJc w:val="left"/>
      <w:pPr>
        <w:ind w:left="3867" w:hanging="420"/>
      </w:pPr>
      <w:rPr>
        <w:rFonts w:hint="default"/>
      </w:rPr>
    </w:lvl>
    <w:lvl w:ilvl="7">
      <w:start w:val="0"/>
      <w:numFmt w:val="bullet"/>
      <w:lvlText w:val="•"/>
      <w:lvlJc w:val="left"/>
      <w:pPr>
        <w:ind w:left="4098" w:hanging="420"/>
      </w:pPr>
      <w:rPr>
        <w:rFonts w:hint="default"/>
      </w:rPr>
    </w:lvl>
    <w:lvl w:ilvl="8">
      <w:start w:val="0"/>
      <w:numFmt w:val="bullet"/>
      <w:lvlText w:val="•"/>
      <w:lvlJc w:val="left"/>
      <w:pPr>
        <w:ind w:left="4330" w:hanging="420"/>
      </w:pPr>
      <w:rPr>
        <w:rFonts w:hint="default"/>
      </w:rPr>
    </w:lvl>
  </w:abstractNum>
  <w:abstractNum w:abstractNumId="3">
    <w:multiLevelType w:val="hybridMultilevel"/>
    <w:lvl w:ilvl="0">
      <w:start w:val="3"/>
      <w:numFmt w:val="decimal"/>
      <w:lvlText w:val="%1"/>
      <w:lvlJc w:val="left"/>
      <w:pPr>
        <w:ind w:left="2482" w:hanging="420"/>
        <w:jc w:val="left"/>
      </w:pPr>
      <w:rPr>
        <w:rFonts w:hint="default"/>
      </w:rPr>
    </w:lvl>
    <w:lvl w:ilvl="1">
      <w:start w:val="1"/>
      <w:numFmt w:val="decimal"/>
      <w:lvlText w:val="%1.%2"/>
      <w:lvlJc w:val="left"/>
      <w:pPr>
        <w:ind w:left="2482" w:hanging="420"/>
        <w:jc w:val="left"/>
      </w:pPr>
      <w:rPr>
        <w:rFonts w:hint="default" w:ascii="宋体" w:hAnsi="宋体" w:eastAsia="宋体" w:cs="宋体"/>
        <w:spacing w:val="-1"/>
        <w:w w:val="100"/>
        <w:sz w:val="21"/>
        <w:szCs w:val="21"/>
      </w:rPr>
    </w:lvl>
    <w:lvl w:ilvl="2">
      <w:start w:val="0"/>
      <w:numFmt w:val="bullet"/>
      <w:lvlText w:val="•"/>
      <w:lvlJc w:val="left"/>
      <w:pPr>
        <w:ind w:left="2942"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3405" w:hanging="420"/>
      </w:pPr>
      <w:rPr>
        <w:rFonts w:hint="default"/>
      </w:rPr>
    </w:lvl>
    <w:lvl w:ilvl="5">
      <w:start w:val="0"/>
      <w:numFmt w:val="bullet"/>
      <w:lvlText w:val="•"/>
      <w:lvlJc w:val="left"/>
      <w:pPr>
        <w:ind w:left="3636" w:hanging="420"/>
      </w:pPr>
      <w:rPr>
        <w:rFonts w:hint="default"/>
      </w:rPr>
    </w:lvl>
    <w:lvl w:ilvl="6">
      <w:start w:val="0"/>
      <w:numFmt w:val="bullet"/>
      <w:lvlText w:val="•"/>
      <w:lvlJc w:val="left"/>
      <w:pPr>
        <w:ind w:left="3867" w:hanging="420"/>
      </w:pPr>
      <w:rPr>
        <w:rFonts w:hint="default"/>
      </w:rPr>
    </w:lvl>
    <w:lvl w:ilvl="7">
      <w:start w:val="0"/>
      <w:numFmt w:val="bullet"/>
      <w:lvlText w:val="•"/>
      <w:lvlJc w:val="left"/>
      <w:pPr>
        <w:ind w:left="4098" w:hanging="420"/>
      </w:pPr>
      <w:rPr>
        <w:rFonts w:hint="default"/>
      </w:rPr>
    </w:lvl>
    <w:lvl w:ilvl="8">
      <w:start w:val="0"/>
      <w:numFmt w:val="bullet"/>
      <w:lvlText w:val="•"/>
      <w:lvlJc w:val="left"/>
      <w:pPr>
        <w:ind w:left="4330" w:hanging="420"/>
      </w:pPr>
      <w:rPr>
        <w:rFonts w:hint="default"/>
      </w:rPr>
    </w:lvl>
  </w:abstractNum>
  <w:abstractNum w:abstractNumId="2">
    <w:multiLevelType w:val="hybridMultilevel"/>
    <w:lvl w:ilvl="0">
      <w:start w:val="2"/>
      <w:numFmt w:val="decimal"/>
      <w:lvlText w:val="%1"/>
      <w:lvlJc w:val="left"/>
      <w:pPr>
        <w:ind w:left="2482" w:hanging="420"/>
        <w:jc w:val="left"/>
      </w:pPr>
      <w:rPr>
        <w:rFonts w:hint="default"/>
      </w:rPr>
    </w:lvl>
    <w:lvl w:ilvl="1">
      <w:start w:val="1"/>
      <w:numFmt w:val="decimal"/>
      <w:lvlText w:val="%1.%2"/>
      <w:lvlJc w:val="left"/>
      <w:pPr>
        <w:ind w:left="2482" w:hanging="420"/>
        <w:jc w:val="left"/>
      </w:pPr>
      <w:rPr>
        <w:rFonts w:hint="default" w:ascii="宋体" w:hAnsi="宋体" w:eastAsia="宋体" w:cs="宋体"/>
        <w:spacing w:val="-1"/>
        <w:w w:val="100"/>
        <w:sz w:val="21"/>
        <w:szCs w:val="21"/>
      </w:rPr>
    </w:lvl>
    <w:lvl w:ilvl="2">
      <w:start w:val="0"/>
      <w:numFmt w:val="bullet"/>
      <w:lvlText w:val="•"/>
      <w:lvlJc w:val="left"/>
      <w:pPr>
        <w:ind w:left="2942"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3405" w:hanging="420"/>
      </w:pPr>
      <w:rPr>
        <w:rFonts w:hint="default"/>
      </w:rPr>
    </w:lvl>
    <w:lvl w:ilvl="5">
      <w:start w:val="0"/>
      <w:numFmt w:val="bullet"/>
      <w:lvlText w:val="•"/>
      <w:lvlJc w:val="left"/>
      <w:pPr>
        <w:ind w:left="3636" w:hanging="420"/>
      </w:pPr>
      <w:rPr>
        <w:rFonts w:hint="default"/>
      </w:rPr>
    </w:lvl>
    <w:lvl w:ilvl="6">
      <w:start w:val="0"/>
      <w:numFmt w:val="bullet"/>
      <w:lvlText w:val="•"/>
      <w:lvlJc w:val="left"/>
      <w:pPr>
        <w:ind w:left="3867" w:hanging="420"/>
      </w:pPr>
      <w:rPr>
        <w:rFonts w:hint="default"/>
      </w:rPr>
    </w:lvl>
    <w:lvl w:ilvl="7">
      <w:start w:val="0"/>
      <w:numFmt w:val="bullet"/>
      <w:lvlText w:val="•"/>
      <w:lvlJc w:val="left"/>
      <w:pPr>
        <w:ind w:left="4098" w:hanging="420"/>
      </w:pPr>
      <w:rPr>
        <w:rFonts w:hint="default"/>
      </w:rPr>
    </w:lvl>
    <w:lvl w:ilvl="8">
      <w:start w:val="0"/>
      <w:numFmt w:val="bullet"/>
      <w:lvlText w:val="•"/>
      <w:lvlJc w:val="left"/>
      <w:pPr>
        <w:ind w:left="4330" w:hanging="420"/>
      </w:pPr>
      <w:rPr>
        <w:rFonts w:hint="default"/>
      </w:rPr>
    </w:lvl>
  </w:abstractNum>
  <w:abstractNum w:abstractNumId="1">
    <w:multiLevelType w:val="hybridMultilevel"/>
    <w:lvl w:ilvl="0">
      <w:start w:val="1"/>
      <w:numFmt w:val="decimal"/>
      <w:lvlText w:val="%1"/>
      <w:lvlJc w:val="left"/>
      <w:pPr>
        <w:ind w:left="2482" w:hanging="420"/>
        <w:jc w:val="left"/>
      </w:pPr>
      <w:rPr>
        <w:rFonts w:hint="default"/>
      </w:rPr>
    </w:lvl>
    <w:lvl w:ilvl="1">
      <w:start w:val="1"/>
      <w:numFmt w:val="decimal"/>
      <w:lvlText w:val="%1.%2"/>
      <w:lvlJc w:val="left"/>
      <w:pPr>
        <w:ind w:left="2482" w:hanging="420"/>
        <w:jc w:val="left"/>
      </w:pPr>
      <w:rPr>
        <w:rFonts w:hint="default" w:ascii="宋体" w:hAnsi="宋体" w:eastAsia="宋体" w:cs="宋体"/>
        <w:spacing w:val="-1"/>
        <w:w w:val="100"/>
        <w:sz w:val="21"/>
        <w:szCs w:val="21"/>
      </w:rPr>
    </w:lvl>
    <w:lvl w:ilvl="2">
      <w:start w:val="0"/>
      <w:numFmt w:val="bullet"/>
      <w:lvlText w:val="•"/>
      <w:lvlJc w:val="left"/>
      <w:pPr>
        <w:ind w:left="2942"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3405" w:hanging="420"/>
      </w:pPr>
      <w:rPr>
        <w:rFonts w:hint="default"/>
      </w:rPr>
    </w:lvl>
    <w:lvl w:ilvl="5">
      <w:start w:val="0"/>
      <w:numFmt w:val="bullet"/>
      <w:lvlText w:val="•"/>
      <w:lvlJc w:val="left"/>
      <w:pPr>
        <w:ind w:left="3636" w:hanging="420"/>
      </w:pPr>
      <w:rPr>
        <w:rFonts w:hint="default"/>
      </w:rPr>
    </w:lvl>
    <w:lvl w:ilvl="6">
      <w:start w:val="0"/>
      <w:numFmt w:val="bullet"/>
      <w:lvlText w:val="•"/>
      <w:lvlJc w:val="left"/>
      <w:pPr>
        <w:ind w:left="3867" w:hanging="420"/>
      </w:pPr>
      <w:rPr>
        <w:rFonts w:hint="default"/>
      </w:rPr>
    </w:lvl>
    <w:lvl w:ilvl="7">
      <w:start w:val="0"/>
      <w:numFmt w:val="bullet"/>
      <w:lvlText w:val="•"/>
      <w:lvlJc w:val="left"/>
      <w:pPr>
        <w:ind w:left="4098" w:hanging="420"/>
      </w:pPr>
      <w:rPr>
        <w:rFonts w:hint="default"/>
      </w:rPr>
    </w:lvl>
    <w:lvl w:ilvl="8">
      <w:start w:val="0"/>
      <w:numFmt w:val="bullet"/>
      <w:lvlText w:val="•"/>
      <w:lvlJc w:val="left"/>
      <w:pPr>
        <w:ind w:left="4330" w:hanging="42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1"/>
      <w:ind w:left="918"/>
      <w:outlineLvl w:val="1"/>
    </w:pPr>
    <w:rPr>
      <w:rFonts w:ascii="等线" w:hAnsi="等线" w:eastAsia="等线" w:cs="等线"/>
      <w:b/>
      <w:bCs/>
      <w:sz w:val="24"/>
      <w:szCs w:val="24"/>
    </w:rPr>
  </w:style>
  <w:style w:styleId="ListParagraph" w:type="paragraph">
    <w:name w:val="List Paragraph"/>
    <w:basedOn w:val="Normal"/>
    <w:uiPriority w:val="1"/>
    <w:qFormat/>
    <w:pPr>
      <w:spacing w:line="240" w:lineRule="exact"/>
      <w:ind w:left="248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2018-10-19T21:26:35Z</dcterms:created>
  <dcterms:modified xsi:type="dcterms:W3CDTF">2018-10-19T21:26:35Z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Acrobat PDFMaker 11 Word 版</vt:lpwstr>
  </property>
  <property fmtid="{D5CDD505-2E9C-101B-9397-08002B2CF9AE}" pid="4" name="LastSaved">
    <vt:filetime>2018-10-19T00:00:00Z</vt:filetime>
  </property>
</Properties>
</file>