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62"/>
        <w:rPr>
          <w:rFonts w:ascii="Times New Roman"/>
          <w:sz w:val="2"/>
        </w:rPr>
      </w:pPr>
      <w:r>
        <w:rPr>
          <w:rFonts w:ascii="Times New Roman"/>
          <w:spacing w:val="5"/>
          <w:sz w:val="2"/>
        </w:rPr>
        <w:t> </w:t>
      </w:r>
      <w:r>
        <w:rPr>
          <w:rFonts w:ascii="Times New Roman"/>
          <w:spacing w:val="5"/>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rPr>
          <w:rFonts w:ascii="Times New Roman"/>
          <w:spacing w:val="5"/>
          <w:sz w:val="2"/>
        </w:rPr>
      </w:r>
    </w:p>
    <w:p>
      <w:pPr>
        <w:pStyle w:val="BodyText"/>
        <w:spacing w:before="1"/>
        <w:rPr>
          <w:rFonts w:ascii="Times New Roman"/>
          <w:sz w:val="23"/>
        </w:rPr>
      </w:pPr>
    </w:p>
    <w:p>
      <w:pPr>
        <w:pStyle w:val="BodyText"/>
        <w:spacing w:before="36" w:after="49"/>
        <w:ind w:left="6329"/>
      </w:pPr>
      <w:r>
        <w:rPr/>
        <w:t>阳光人寿[2011]疾病保险 046 号</w:t>
      </w:r>
    </w:p>
    <w:p>
      <w:pPr>
        <w:pStyle w:val="BodyText"/>
        <w:ind w:left="759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780" w:bottom="280" w:left="1220" w:right="780"/>
        </w:sectPr>
      </w:pPr>
    </w:p>
    <w:p>
      <w:pPr>
        <w:pStyle w:val="Heading1"/>
        <w:spacing w:before="150"/>
        <w:ind w:left="2762"/>
      </w:pPr>
      <w:r>
        <w:rPr/>
        <w:t>阳光人寿保险股份有限公司</w:t>
      </w:r>
    </w:p>
    <w:p>
      <w:pPr>
        <w:pStyle w:val="BodyText"/>
        <w:spacing w:line="241" w:lineRule="exact"/>
        <w:ind w:left="486"/>
      </w:pPr>
      <w:r>
        <w:rPr/>
        <w:br w:type="column"/>
      </w:r>
      <w:r>
        <w:rPr/>
        <w:t>请扫描以查询验证条款</w:t>
      </w:r>
    </w:p>
    <w:p>
      <w:pPr>
        <w:spacing w:after="0" w:line="241" w:lineRule="exact"/>
        <w:sectPr>
          <w:type w:val="continuous"/>
          <w:pgSz w:w="11910" w:h="16840"/>
          <w:pgMar w:top="780" w:bottom="280" w:left="1220" w:right="780"/>
          <w:cols w:num="2" w:equalWidth="0">
            <w:col w:w="6605" w:space="40"/>
            <w:col w:w="3265"/>
          </w:cols>
        </w:sectPr>
      </w:pPr>
    </w:p>
    <w:p>
      <w:pPr>
        <w:pStyle w:val="BodyText"/>
        <w:rPr>
          <w:sz w:val="27"/>
        </w:rPr>
      </w:pPr>
    </w:p>
    <w:p>
      <w:pPr>
        <w:pStyle w:val="Heading1"/>
        <w:spacing w:line="505" w:lineRule="exact"/>
        <w:ind w:left="2158" w:right="2591"/>
        <w:jc w:val="center"/>
      </w:pPr>
      <w:r>
        <w:rPr/>
        <w:t>阳光人寿呵护人生重大疾病保险条款</w:t>
      </w:r>
    </w:p>
    <w:p>
      <w:pPr>
        <w:pStyle w:val="BodyText"/>
        <w:rPr>
          <w:rFonts w:ascii="微软雅黑"/>
          <w:b/>
          <w:sz w:val="20"/>
        </w:rPr>
      </w:pPr>
    </w:p>
    <w:p>
      <w:pPr>
        <w:pStyle w:val="BodyText"/>
        <w:spacing w:before="10"/>
        <w:rPr>
          <w:rFonts w:ascii="微软雅黑"/>
          <w:b/>
          <w:sz w:val="15"/>
        </w:rPr>
      </w:pPr>
      <w:r>
        <w:rPr/>
        <w:pict>
          <v:line style="position:absolute;mso-position-horizontal-relative:page;mso-position-vertical-relative:paragraph;z-index:1048;mso-wrap-distance-left:0;mso-wrap-distance-right:0" from="81.400002pt,15.811353pt" to="543.400002pt,15.811353pt" stroked="true" strokeweight=".75pt" strokecolor="#000000">
            <v:stroke dashstyle="solid"/>
            <w10:wrap type="topAndBottom"/>
          </v:line>
        </w:pict>
      </w:r>
    </w:p>
    <w:p>
      <w:pPr>
        <w:spacing w:before="309"/>
        <w:ind w:left="2071" w:right="2591"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149"/>
        <w:gridCol w:w="3411"/>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投保人与本公司订立的合同</w:t>
            </w:r>
          </w:p>
        </w:tc>
        <w:tc>
          <w:tcPr>
            <w:tcW w:w="314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411" w:type="dxa"/>
            <w:tcBorders>
              <w:left w:val="single" w:sz="2" w:space="0" w:color="000000"/>
            </w:tcBorders>
          </w:tcPr>
          <w:p>
            <w:pPr>
              <w:pStyle w:val="TableParagraph"/>
              <w:spacing w:line="262" w:lineRule="exact"/>
              <w:ind w:left="105"/>
              <w:rPr>
                <w:b/>
                <w:sz w:val="21"/>
              </w:rPr>
            </w:pPr>
            <w:r>
              <w:rPr>
                <w:b/>
                <w:sz w:val="21"/>
              </w:rPr>
              <w:t>9 释义</w:t>
            </w:r>
          </w:p>
        </w:tc>
      </w:tr>
      <w:tr>
        <w:trPr>
          <w:trHeight w:val="404" w:hRule="atLeast"/>
        </w:trPr>
        <w:tc>
          <w:tcPr>
            <w:tcW w:w="3138" w:type="dxa"/>
            <w:tcBorders>
              <w:right w:val="single" w:sz="2" w:space="0" w:color="000000"/>
            </w:tcBorders>
          </w:tcPr>
          <w:p>
            <w:pPr>
              <w:pStyle w:val="TableParagraph"/>
              <w:spacing w:before="66"/>
              <w:ind w:left="411"/>
              <w:rPr>
                <w:sz w:val="21"/>
              </w:rPr>
            </w:pPr>
            <w:r>
              <w:rPr>
                <w:sz w:val="21"/>
              </w:rPr>
              <w:t>1.1 合同构成</w:t>
            </w:r>
          </w:p>
        </w:tc>
        <w:tc>
          <w:tcPr>
            <w:tcW w:w="314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411" w:type="dxa"/>
            <w:tcBorders>
              <w:left w:val="single" w:sz="2" w:space="0" w:color="000000"/>
            </w:tcBorders>
          </w:tcPr>
          <w:p>
            <w:pPr>
              <w:pStyle w:val="TableParagraph"/>
              <w:spacing w:before="66"/>
              <w:ind w:left="317"/>
              <w:rPr>
                <w:sz w:val="21"/>
              </w:rPr>
            </w:pPr>
            <w:r>
              <w:rPr>
                <w:sz w:val="21"/>
              </w:rPr>
              <w:t>9.1 周岁</w:t>
            </w:r>
          </w:p>
        </w:tc>
      </w:tr>
      <w:tr>
        <w:trPr>
          <w:trHeight w:val="339" w:hRule="atLeast"/>
        </w:trPr>
        <w:tc>
          <w:tcPr>
            <w:tcW w:w="3138" w:type="dxa"/>
            <w:tcBorders>
              <w:right w:val="single" w:sz="2" w:space="0" w:color="000000"/>
            </w:tcBorders>
          </w:tcPr>
          <w:p>
            <w:pPr>
              <w:pStyle w:val="TableParagraph"/>
              <w:ind w:left="411"/>
              <w:rPr>
                <w:sz w:val="21"/>
              </w:rPr>
            </w:pPr>
            <w:r>
              <w:rPr>
                <w:sz w:val="21"/>
              </w:rPr>
              <w:t>1.2 合同生效</w:t>
            </w: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ind w:left="317"/>
              <w:rPr>
                <w:sz w:val="21"/>
              </w:rPr>
            </w:pPr>
            <w:r>
              <w:rPr>
                <w:sz w:val="21"/>
              </w:rPr>
              <w:t>9.2 意外伤害</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before="1"/>
              <w:ind w:left="317"/>
              <w:rPr>
                <w:sz w:val="21"/>
              </w:rPr>
            </w:pPr>
            <w:r>
              <w:rPr>
                <w:sz w:val="21"/>
              </w:rPr>
              <w:t>9.3 本公司认可的医院</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before="1"/>
              <w:ind w:left="317"/>
              <w:rPr>
                <w:sz w:val="21"/>
              </w:rPr>
            </w:pPr>
            <w:r>
              <w:rPr>
                <w:sz w:val="21"/>
              </w:rPr>
              <w:t>9.4 专科医生</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ind w:left="317"/>
              <w:rPr>
                <w:sz w:val="21"/>
              </w:rPr>
            </w:pPr>
            <w:r>
              <w:rPr>
                <w:sz w:val="21"/>
              </w:rPr>
              <w:t>9.5 毒品</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before="1"/>
              <w:ind w:right="197"/>
              <w:jc w:val="right"/>
              <w:rPr>
                <w:sz w:val="21"/>
              </w:rPr>
            </w:pPr>
            <w:r>
              <w:rPr>
                <w:sz w:val="21"/>
              </w:rPr>
              <w:t>9.6 患艾滋病或感染艾滋病病毒</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2 本公司提供的保障</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6.合同解除</w:t>
            </w:r>
          </w:p>
        </w:tc>
        <w:tc>
          <w:tcPr>
            <w:tcW w:w="3411" w:type="dxa"/>
            <w:tcBorders>
              <w:left w:val="single" w:sz="2" w:space="0" w:color="000000"/>
            </w:tcBorders>
          </w:tcPr>
          <w:p>
            <w:pPr>
              <w:pStyle w:val="TableParagraph"/>
              <w:spacing w:before="1"/>
              <w:ind w:left="317"/>
              <w:rPr>
                <w:sz w:val="21"/>
              </w:rPr>
            </w:pPr>
            <w:r>
              <w:rPr>
                <w:sz w:val="21"/>
              </w:rPr>
              <w:t>9.7 遗传性疾病</w:t>
            </w:r>
          </w:p>
        </w:tc>
      </w:tr>
      <w:tr>
        <w:trPr>
          <w:trHeight w:val="339" w:hRule="atLeast"/>
        </w:trPr>
        <w:tc>
          <w:tcPr>
            <w:tcW w:w="3138" w:type="dxa"/>
            <w:tcBorders>
              <w:right w:val="single" w:sz="2" w:space="0" w:color="000000"/>
            </w:tcBorders>
          </w:tcPr>
          <w:p>
            <w:pPr>
              <w:pStyle w:val="TableParagraph"/>
              <w:ind w:left="411"/>
              <w:rPr>
                <w:sz w:val="21"/>
              </w:rPr>
            </w:pPr>
            <w:r>
              <w:rPr>
                <w:sz w:val="21"/>
              </w:rPr>
              <w:t>2.1 保险金额</w:t>
            </w:r>
          </w:p>
        </w:tc>
        <w:tc>
          <w:tcPr>
            <w:tcW w:w="3149" w:type="dxa"/>
            <w:tcBorders>
              <w:left w:val="single" w:sz="2" w:space="0" w:color="000000"/>
              <w:right w:val="single" w:sz="2" w:space="0" w:color="000000"/>
            </w:tcBorders>
          </w:tcPr>
          <w:p>
            <w:pPr>
              <w:pStyle w:val="TableParagraph"/>
              <w:ind w:left="316"/>
              <w:rPr>
                <w:sz w:val="21"/>
              </w:rPr>
            </w:pPr>
            <w:r>
              <w:rPr>
                <w:sz w:val="21"/>
              </w:rPr>
              <w:t>6.1 解除合同（退保）的手续</w:t>
            </w:r>
          </w:p>
        </w:tc>
        <w:tc>
          <w:tcPr>
            <w:tcW w:w="3411" w:type="dxa"/>
            <w:tcBorders>
              <w:left w:val="single" w:sz="2" w:space="0" w:color="000000"/>
            </w:tcBorders>
          </w:tcPr>
          <w:p>
            <w:pPr>
              <w:pStyle w:val="TableParagraph"/>
              <w:ind w:right="197"/>
              <w:jc w:val="right"/>
              <w:rPr>
                <w:sz w:val="21"/>
              </w:rPr>
            </w:pPr>
            <w:r>
              <w:rPr>
                <w:sz w:val="21"/>
              </w:rPr>
              <w:t>9.8 先天性畸形、变形或染色体</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149" w:type="dxa"/>
            <w:tcBorders>
              <w:left w:val="single" w:sz="2" w:space="0" w:color="000000"/>
              <w:right w:val="single" w:sz="2" w:space="0" w:color="000000"/>
            </w:tcBorders>
          </w:tcPr>
          <w:p>
            <w:pPr>
              <w:pStyle w:val="TableParagraph"/>
              <w:spacing w:before="1"/>
              <w:ind w:left="624"/>
              <w:rPr>
                <w:sz w:val="21"/>
              </w:rPr>
            </w:pPr>
            <w:r>
              <w:rPr>
                <w:sz w:val="21"/>
              </w:rPr>
              <w:t>及风险</w:t>
            </w:r>
          </w:p>
        </w:tc>
        <w:tc>
          <w:tcPr>
            <w:tcW w:w="3411" w:type="dxa"/>
            <w:tcBorders>
              <w:left w:val="single" w:sz="2" w:space="0" w:color="000000"/>
            </w:tcBorders>
          </w:tcPr>
          <w:p>
            <w:pPr>
              <w:pStyle w:val="TableParagraph"/>
              <w:spacing w:before="1"/>
              <w:ind w:left="631"/>
              <w:rPr>
                <w:sz w:val="21"/>
              </w:rPr>
            </w:pPr>
            <w:r>
              <w:rPr>
                <w:sz w:val="21"/>
              </w:rPr>
              <w:t>异常</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before="1"/>
              <w:ind w:left="317"/>
              <w:rPr>
                <w:sz w:val="21"/>
              </w:rPr>
            </w:pPr>
            <w:r>
              <w:rPr>
                <w:sz w:val="21"/>
              </w:rPr>
              <w:t>9.9 酒后驾驶</w:t>
            </w:r>
          </w:p>
        </w:tc>
      </w:tr>
      <w:tr>
        <w:trPr>
          <w:trHeight w:val="326" w:hRule="atLeast"/>
        </w:trPr>
        <w:tc>
          <w:tcPr>
            <w:tcW w:w="3138" w:type="dxa"/>
            <w:tcBorders>
              <w:right w:val="single" w:sz="2" w:space="0" w:color="000000"/>
            </w:tcBorders>
          </w:tcPr>
          <w:p>
            <w:pPr>
              <w:pStyle w:val="TableParagraph"/>
              <w:ind w:left="411"/>
              <w:rPr>
                <w:sz w:val="21"/>
              </w:rPr>
            </w:pPr>
            <w:r>
              <w:rPr>
                <w:sz w:val="21"/>
              </w:rPr>
              <w:t>2.4 责任免除</w:t>
            </w: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ind w:left="317"/>
              <w:rPr>
                <w:sz w:val="21"/>
              </w:rPr>
            </w:pPr>
            <w:r>
              <w:rPr>
                <w:sz w:val="21"/>
              </w:rPr>
              <w:t>9.10 无合法有效驾驶证驾驶</w:t>
            </w:r>
          </w:p>
        </w:tc>
      </w:tr>
      <w:tr>
        <w:trPr>
          <w:trHeight w:val="327"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line="263" w:lineRule="exact"/>
              <w:ind w:left="317"/>
              <w:rPr>
                <w:sz w:val="21"/>
              </w:rPr>
            </w:pPr>
            <w:r>
              <w:rPr>
                <w:sz w:val="21"/>
              </w:rPr>
              <w:t>9.11 无有效行驶证</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spacing w:before="1"/>
              <w:ind w:left="317"/>
              <w:rPr>
                <w:sz w:val="21"/>
              </w:rPr>
            </w:pPr>
            <w:r>
              <w:rPr>
                <w:sz w:val="21"/>
              </w:rPr>
              <w:t>9.12 净保险费</w:t>
            </w:r>
          </w:p>
        </w:tc>
      </w:tr>
      <w:tr>
        <w:trPr>
          <w:trHeight w:val="325" w:hRule="atLeast"/>
        </w:trPr>
        <w:tc>
          <w:tcPr>
            <w:tcW w:w="3138" w:type="dxa"/>
            <w:tcBorders>
              <w:right w:val="single" w:sz="2" w:space="0" w:color="000000"/>
            </w:tcBorders>
          </w:tcPr>
          <w:p>
            <w:pPr>
              <w:pStyle w:val="TableParagraph"/>
              <w:ind w:left="200"/>
              <w:rPr>
                <w:b/>
                <w:sz w:val="21"/>
              </w:rPr>
            </w:pPr>
            <w:r>
              <w:rPr>
                <w:b/>
                <w:sz w:val="21"/>
              </w:rPr>
              <w:t>3 重大疾病</w:t>
            </w:r>
          </w:p>
        </w:tc>
        <w:tc>
          <w:tcPr>
            <w:tcW w:w="3149" w:type="dxa"/>
            <w:tcBorders>
              <w:left w:val="single" w:sz="2" w:space="0" w:color="000000"/>
              <w:right w:val="single" w:sz="2" w:space="0" w:color="000000"/>
            </w:tcBorders>
          </w:tcPr>
          <w:p>
            <w:pPr>
              <w:pStyle w:val="TableParagraph"/>
              <w:ind w:left="105"/>
              <w:rPr>
                <w:b/>
                <w:sz w:val="21"/>
              </w:rPr>
            </w:pPr>
            <w:r>
              <w:rPr>
                <w:b/>
                <w:sz w:val="21"/>
              </w:rPr>
              <w:t>7 如实告知</w:t>
            </w:r>
          </w:p>
        </w:tc>
        <w:tc>
          <w:tcPr>
            <w:tcW w:w="3411" w:type="dxa"/>
            <w:tcBorders>
              <w:left w:val="single" w:sz="2" w:space="0" w:color="000000"/>
            </w:tcBorders>
          </w:tcPr>
          <w:p>
            <w:pPr>
              <w:pStyle w:val="TableParagraph"/>
              <w:ind w:left="317"/>
              <w:rPr>
                <w:sz w:val="21"/>
              </w:rPr>
            </w:pPr>
            <w:r>
              <w:rPr>
                <w:sz w:val="21"/>
              </w:rPr>
              <w:t>9.13 未满期净保险费</w:t>
            </w:r>
          </w:p>
        </w:tc>
      </w:tr>
      <w:tr>
        <w:trPr>
          <w:trHeight w:val="326" w:hRule="atLeast"/>
        </w:trPr>
        <w:tc>
          <w:tcPr>
            <w:tcW w:w="3138" w:type="dxa"/>
            <w:tcBorders>
              <w:right w:val="single" w:sz="2" w:space="0" w:color="000000"/>
            </w:tcBorders>
          </w:tcPr>
          <w:p>
            <w:pPr>
              <w:pStyle w:val="TableParagraph"/>
              <w:spacing w:line="262" w:lineRule="exact"/>
              <w:ind w:left="411"/>
              <w:rPr>
                <w:sz w:val="21"/>
              </w:rPr>
            </w:pPr>
            <w:r>
              <w:rPr>
                <w:sz w:val="21"/>
              </w:rPr>
              <w:t>3.1 重大疾病的范围</w:t>
            </w:r>
          </w:p>
        </w:tc>
        <w:tc>
          <w:tcPr>
            <w:tcW w:w="3149" w:type="dxa"/>
            <w:tcBorders>
              <w:left w:val="single" w:sz="2" w:space="0" w:color="000000"/>
              <w:right w:val="single" w:sz="2" w:space="0" w:color="000000"/>
            </w:tcBorders>
          </w:tcPr>
          <w:p>
            <w:pPr>
              <w:pStyle w:val="TableParagraph"/>
              <w:spacing w:line="262" w:lineRule="exact"/>
              <w:ind w:left="316"/>
              <w:rPr>
                <w:sz w:val="21"/>
              </w:rPr>
            </w:pPr>
            <w:r>
              <w:rPr>
                <w:sz w:val="21"/>
              </w:rPr>
              <w:t>7.1 明确说明与如实告知</w:t>
            </w:r>
          </w:p>
        </w:tc>
        <w:tc>
          <w:tcPr>
            <w:tcW w:w="3411" w:type="dxa"/>
            <w:tcBorders>
              <w:left w:val="single" w:sz="2" w:space="0" w:color="000000"/>
            </w:tcBorders>
          </w:tcPr>
          <w:p>
            <w:pPr>
              <w:pStyle w:val="TableParagraph"/>
              <w:spacing w:line="262" w:lineRule="exact"/>
              <w:ind w:left="317"/>
              <w:rPr>
                <w:sz w:val="21"/>
              </w:rPr>
            </w:pPr>
            <w:r>
              <w:rPr>
                <w:sz w:val="21"/>
              </w:rPr>
              <w:t>9.14 六项基本日常生活活动</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3.2 重大疾病的定义</w:t>
            </w:r>
          </w:p>
        </w:tc>
        <w:tc>
          <w:tcPr>
            <w:tcW w:w="3149" w:type="dxa"/>
            <w:tcBorders>
              <w:left w:val="single" w:sz="2" w:space="0" w:color="000000"/>
              <w:right w:val="single" w:sz="2" w:space="0" w:color="000000"/>
            </w:tcBorders>
          </w:tcPr>
          <w:p>
            <w:pPr>
              <w:pStyle w:val="TableParagraph"/>
              <w:spacing w:before="1"/>
              <w:ind w:left="316"/>
              <w:rPr>
                <w:sz w:val="21"/>
              </w:rPr>
            </w:pPr>
            <w:r>
              <w:rPr>
                <w:sz w:val="21"/>
              </w:rPr>
              <w:t>7.2 本公司合同解除权的限</w:t>
            </w:r>
          </w:p>
        </w:tc>
        <w:tc>
          <w:tcPr>
            <w:tcW w:w="3411" w:type="dxa"/>
            <w:tcBorders>
              <w:left w:val="single" w:sz="2" w:space="0" w:color="000000"/>
            </w:tcBorders>
          </w:tcPr>
          <w:p>
            <w:pPr>
              <w:pStyle w:val="TableParagraph"/>
              <w:spacing w:before="1"/>
              <w:ind w:left="317"/>
              <w:rPr>
                <w:sz w:val="21"/>
              </w:rPr>
            </w:pPr>
            <w:r>
              <w:rPr>
                <w:sz w:val="21"/>
              </w:rPr>
              <w:t>9.15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spacing w:before="1"/>
              <w:ind w:left="736"/>
              <w:rPr>
                <w:sz w:val="21"/>
              </w:rPr>
            </w:pPr>
            <w:r>
              <w:rPr>
                <w:w w:val="100"/>
                <w:sz w:val="21"/>
              </w:rPr>
              <w:t>制</w:t>
            </w:r>
          </w:p>
        </w:tc>
        <w:tc>
          <w:tcPr>
            <w:tcW w:w="3411" w:type="dxa"/>
            <w:tcBorders>
              <w:left w:val="single" w:sz="2" w:space="0" w:color="000000"/>
            </w:tcBorders>
          </w:tcPr>
          <w:p>
            <w:pPr>
              <w:pStyle w:val="TableParagraph"/>
              <w:spacing w:before="1"/>
              <w:ind w:left="317"/>
              <w:rPr>
                <w:sz w:val="21"/>
              </w:rPr>
            </w:pPr>
            <w:r>
              <w:rPr>
                <w:sz w:val="21"/>
              </w:rPr>
              <w:t>9.16 语言能力或咀嚼吞咽能力</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ind w:left="840"/>
              <w:rPr>
                <w:sz w:val="21"/>
              </w:rPr>
            </w:pPr>
            <w:r>
              <w:rPr>
                <w:sz w:val="21"/>
              </w:rPr>
              <w:t>完全丧失</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411" w:type="dxa"/>
            <w:tcBorders>
              <w:left w:val="single" w:sz="2" w:space="0" w:color="000000"/>
            </w:tcBorders>
          </w:tcPr>
          <w:p>
            <w:pPr>
              <w:pStyle w:val="TableParagraph"/>
              <w:spacing w:before="1"/>
              <w:ind w:left="317"/>
              <w:rPr>
                <w:sz w:val="21"/>
              </w:rPr>
            </w:pPr>
            <w:r>
              <w:rPr>
                <w:sz w:val="21"/>
              </w:rPr>
              <w:t>9.17 永久不可逆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149" w:type="dxa"/>
            <w:tcBorders>
              <w:left w:val="single" w:sz="2" w:space="0" w:color="000000"/>
              <w:right w:val="single" w:sz="2" w:space="0" w:color="000000"/>
            </w:tcBorders>
          </w:tcPr>
          <w:p>
            <w:pPr>
              <w:pStyle w:val="TableParagraph"/>
              <w:spacing w:before="1"/>
              <w:ind w:left="316"/>
              <w:rPr>
                <w:sz w:val="21"/>
              </w:rPr>
            </w:pPr>
            <w:r>
              <w:rPr>
                <w:sz w:val="21"/>
              </w:rPr>
              <w:t>8.1 年龄错误处理</w:t>
            </w:r>
          </w:p>
        </w:tc>
        <w:tc>
          <w:tcPr>
            <w:tcW w:w="3411"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保险事故通知</w:t>
            </w:r>
          </w:p>
        </w:tc>
        <w:tc>
          <w:tcPr>
            <w:tcW w:w="3149" w:type="dxa"/>
            <w:tcBorders>
              <w:left w:val="single" w:sz="2" w:space="0" w:color="000000"/>
              <w:right w:val="single" w:sz="2" w:space="0" w:color="000000"/>
            </w:tcBorders>
          </w:tcPr>
          <w:p>
            <w:pPr>
              <w:pStyle w:val="TableParagraph"/>
              <w:ind w:left="316"/>
              <w:rPr>
                <w:sz w:val="21"/>
              </w:rPr>
            </w:pPr>
            <w:r>
              <w:rPr>
                <w:sz w:val="21"/>
              </w:rPr>
              <w:t>8.2 合同内容变更</w:t>
            </w:r>
          </w:p>
        </w:tc>
        <w:tc>
          <w:tcPr>
            <w:tcW w:w="3411"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保险金申请</w:t>
            </w:r>
          </w:p>
        </w:tc>
        <w:tc>
          <w:tcPr>
            <w:tcW w:w="3149" w:type="dxa"/>
            <w:tcBorders>
              <w:left w:val="single" w:sz="2" w:space="0" w:color="000000"/>
              <w:right w:val="single" w:sz="2" w:space="0" w:color="000000"/>
            </w:tcBorders>
          </w:tcPr>
          <w:p>
            <w:pPr>
              <w:pStyle w:val="TableParagraph"/>
              <w:spacing w:before="1"/>
              <w:ind w:left="316"/>
              <w:rPr>
                <w:sz w:val="21"/>
              </w:rPr>
            </w:pPr>
            <w:r>
              <w:rPr>
                <w:sz w:val="21"/>
              </w:rPr>
              <w:t>8.3 联系方式变更</w:t>
            </w:r>
          </w:p>
        </w:tc>
        <w:tc>
          <w:tcPr>
            <w:tcW w:w="3411"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4.4 保险金给付</w:t>
            </w:r>
          </w:p>
        </w:tc>
        <w:tc>
          <w:tcPr>
            <w:tcW w:w="3149" w:type="dxa"/>
            <w:tcBorders>
              <w:left w:val="single" w:sz="2" w:space="0" w:color="000000"/>
              <w:right w:val="single" w:sz="2" w:space="0" w:color="000000"/>
            </w:tcBorders>
          </w:tcPr>
          <w:p>
            <w:pPr>
              <w:pStyle w:val="TableParagraph"/>
              <w:spacing w:before="1"/>
              <w:ind w:left="316"/>
              <w:rPr>
                <w:sz w:val="21"/>
              </w:rPr>
            </w:pPr>
            <w:r>
              <w:rPr>
                <w:sz w:val="21"/>
              </w:rPr>
              <w:t>8.4 争议处理</w:t>
            </w:r>
          </w:p>
        </w:tc>
        <w:tc>
          <w:tcPr>
            <w:tcW w:w="3411" w:type="dxa"/>
            <w:tcBorders>
              <w:left w:val="single" w:sz="2" w:space="0" w:color="000000"/>
            </w:tcBorders>
          </w:tcPr>
          <w:p>
            <w:pPr>
              <w:pStyle w:val="TableParagraph"/>
              <w:rPr>
                <w:rFonts w:ascii="Times New Roman"/>
                <w:sz w:val="20"/>
              </w:rPr>
            </w:pPr>
          </w:p>
        </w:tc>
      </w:tr>
      <w:tr>
        <w:trPr>
          <w:trHeight w:val="694" w:hRule="atLeast"/>
        </w:trPr>
        <w:tc>
          <w:tcPr>
            <w:tcW w:w="3138" w:type="dxa"/>
            <w:tcBorders>
              <w:right w:val="single" w:sz="2" w:space="0" w:color="000000"/>
            </w:tcBorders>
          </w:tcPr>
          <w:p>
            <w:pPr>
              <w:pStyle w:val="TableParagraph"/>
              <w:ind w:left="411"/>
              <w:rPr>
                <w:sz w:val="21"/>
              </w:rPr>
            </w:pPr>
            <w:r>
              <w:rPr>
                <w:sz w:val="21"/>
              </w:rPr>
              <w:t>4.5 诉讼时效</w:t>
            </w:r>
          </w:p>
        </w:tc>
        <w:tc>
          <w:tcPr>
            <w:tcW w:w="3149" w:type="dxa"/>
            <w:tcBorders>
              <w:left w:val="single" w:sz="2" w:space="0" w:color="000000"/>
              <w:right w:val="single" w:sz="2" w:space="0" w:color="000000"/>
            </w:tcBorders>
          </w:tcPr>
          <w:p>
            <w:pPr>
              <w:pStyle w:val="TableParagraph"/>
              <w:rPr>
                <w:rFonts w:ascii="Times New Roman"/>
                <w:sz w:val="20"/>
              </w:rPr>
            </w:pPr>
          </w:p>
        </w:tc>
        <w:tc>
          <w:tcPr>
            <w:tcW w:w="3411" w:type="dxa"/>
            <w:tcBorders>
              <w:left w:val="single" w:sz="2"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80" w:bottom="280" w:left="1220" w:right="780"/>
        </w:sectPr>
      </w:pPr>
    </w:p>
    <w:p>
      <w:pPr>
        <w:pStyle w:val="BodyText"/>
        <w:spacing w:before="1"/>
        <w:rPr>
          <w:rFonts w:ascii="微软雅黑"/>
          <w:b/>
          <w:sz w:val="22"/>
        </w:rPr>
      </w:pPr>
    </w:p>
    <w:p>
      <w:pPr>
        <w:pStyle w:val="Heading1"/>
        <w:spacing w:before="1"/>
        <w:ind w:left="2934"/>
        <w:rPr>
          <w:rFonts w:ascii="黑体" w:eastAsia="黑体" w:hint="eastAsia"/>
        </w:rPr>
      </w:pPr>
      <w:r>
        <w:rPr>
          <w:rFonts w:ascii="黑体" w:eastAsia="黑体" w:hint="eastAsia"/>
          <w:w w:val="95"/>
        </w:rPr>
        <w:t>阳光人寿呵护人Th重大疾病保险条款</w:t>
      </w:r>
    </w:p>
    <w:p>
      <w:pPr>
        <w:pStyle w:val="BodyText"/>
        <w:spacing w:before="9"/>
        <w:rPr>
          <w:rFonts w:ascii="黑体"/>
          <w:b/>
          <w:sz w:val="34"/>
        </w:rPr>
      </w:pPr>
    </w:p>
    <w:p>
      <w:pPr>
        <w:pStyle w:val="BodyText"/>
        <w:spacing w:line="273" w:lineRule="auto"/>
        <w:ind w:left="220" w:right="318"/>
      </w:pPr>
      <w:r>
        <w:rPr>
          <w:spacing w:val="-5"/>
          <w:w w:val="100"/>
        </w:rPr>
        <w:t>在本条款中，“本公司”指阳光人寿保险股份有限公司，“本合同”指投保人与本公司之间订立的“阳光人</w:t>
      </w:r>
      <w:r>
        <w:rPr>
          <w:spacing w:val="-4"/>
        </w:rPr>
        <w:t>寿呵护人生重大疾病保险合同”。</w:t>
      </w:r>
    </w:p>
    <w:p>
      <w:pPr>
        <w:pStyle w:val="BodyText"/>
        <w:rPr>
          <w:sz w:val="20"/>
        </w:rPr>
      </w:pPr>
    </w:p>
    <w:p>
      <w:pPr>
        <w:pStyle w:val="BodyText"/>
        <w:spacing w:before="9"/>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315"/>
        <w:gridCol w:w="8185"/>
      </w:tblGrid>
      <w:tr>
        <w:trPr>
          <w:trHeight w:val="451" w:hRule="atLeast"/>
        </w:trPr>
        <w:tc>
          <w:tcPr>
            <w:tcW w:w="691" w:type="dxa"/>
            <w:tcBorders>
              <w:bottom w:val="double" w:sz="1" w:space="0" w:color="000000"/>
            </w:tcBorders>
          </w:tcPr>
          <w:p>
            <w:pPr>
              <w:pStyle w:val="TableParagraph"/>
              <w:spacing w:line="281" w:lineRule="exact"/>
              <w:ind w:left="110"/>
              <w:rPr>
                <w:b/>
                <w:sz w:val="28"/>
              </w:rPr>
            </w:pPr>
            <w:r>
              <w:rPr>
                <w:b/>
                <w:w w:val="99"/>
                <w:sz w:val="28"/>
              </w:rPr>
              <w:t>1</w:t>
            </w:r>
          </w:p>
        </w:tc>
        <w:tc>
          <w:tcPr>
            <w:tcW w:w="9500" w:type="dxa"/>
            <w:gridSpan w:val="2"/>
            <w:tcBorders>
              <w:bottom w:val="double" w:sz="1" w:space="0" w:color="000000"/>
            </w:tcBorders>
          </w:tcPr>
          <w:p>
            <w:pPr>
              <w:pStyle w:val="TableParagraph"/>
              <w:spacing w:line="281" w:lineRule="exact"/>
              <w:ind w:left="264"/>
              <w:rPr>
                <w:b/>
                <w:sz w:val="28"/>
              </w:rPr>
            </w:pPr>
            <w:r>
              <w:rPr>
                <w:b/>
                <w:sz w:val="28"/>
              </w:rPr>
              <w:t>投保人与本公司订立的合同</w:t>
            </w:r>
          </w:p>
        </w:tc>
      </w:tr>
      <w:tr>
        <w:trPr>
          <w:trHeight w:val="1248" w:hRule="atLeast"/>
        </w:trPr>
        <w:tc>
          <w:tcPr>
            <w:tcW w:w="691" w:type="dxa"/>
            <w:tcBorders>
              <w:top w:val="double" w:sz="1" w:space="0" w:color="000000"/>
            </w:tcBorders>
          </w:tcPr>
          <w:p>
            <w:pPr>
              <w:pStyle w:val="TableParagraph"/>
              <w:spacing w:before="2"/>
              <w:rPr>
                <w:sz w:val="14"/>
              </w:rPr>
            </w:pPr>
          </w:p>
          <w:p>
            <w:pPr>
              <w:pStyle w:val="TableParagraph"/>
              <w:spacing w:before="1"/>
              <w:ind w:left="110"/>
              <w:rPr>
                <w:b/>
                <w:sz w:val="21"/>
              </w:rPr>
            </w:pPr>
            <w:r>
              <w:rPr>
                <w:b/>
                <w:sz w:val="21"/>
              </w:rPr>
              <w:t>1.1</w:t>
            </w:r>
          </w:p>
        </w:tc>
        <w:tc>
          <w:tcPr>
            <w:tcW w:w="1315" w:type="dxa"/>
            <w:tcBorders>
              <w:top w:val="double" w:sz="1" w:space="0" w:color="000000"/>
            </w:tcBorders>
          </w:tcPr>
          <w:p>
            <w:pPr>
              <w:pStyle w:val="TableParagraph"/>
              <w:spacing w:before="2"/>
              <w:rPr>
                <w:sz w:val="14"/>
              </w:rPr>
            </w:pPr>
          </w:p>
          <w:p>
            <w:pPr>
              <w:pStyle w:val="TableParagraph"/>
              <w:spacing w:before="1"/>
              <w:ind w:right="203"/>
              <w:jc w:val="right"/>
              <w:rPr>
                <w:b/>
                <w:sz w:val="21"/>
              </w:rPr>
            </w:pPr>
            <w:r>
              <w:rPr>
                <w:b/>
                <w:sz w:val="21"/>
              </w:rPr>
              <w:t>合同构成</w:t>
            </w:r>
          </w:p>
        </w:tc>
        <w:tc>
          <w:tcPr>
            <w:tcW w:w="8185" w:type="dxa"/>
            <w:tcBorders>
              <w:top w:val="double" w:sz="1" w:space="0" w:color="000000"/>
            </w:tcBorders>
          </w:tcPr>
          <w:p>
            <w:pPr>
              <w:pStyle w:val="TableParagraph"/>
              <w:spacing w:before="2"/>
              <w:rPr>
                <w:sz w:val="14"/>
              </w:rPr>
            </w:pPr>
          </w:p>
          <w:p>
            <w:pPr>
              <w:pStyle w:val="TableParagraph"/>
              <w:spacing w:line="273" w:lineRule="auto" w:before="1"/>
              <w:ind w:left="207" w:right="198"/>
              <w:jc w:val="both"/>
              <w:rPr>
                <w:sz w:val="21"/>
              </w:rPr>
            </w:pPr>
            <w:r>
              <w:rPr>
                <w:sz w:val="21"/>
              </w:rPr>
              <w:t>本合同是投保人与本公司约定保险权利义务关系的协议，包括本保险条款、保险单、投保单、与保险合同有关的投保文件、被保险人名册、合法有效的声明、批注、批单及投保人与本公司共同认可的其他书面协议。</w:t>
            </w:r>
          </w:p>
        </w:tc>
      </w:tr>
      <w:tr>
        <w:trPr>
          <w:trHeight w:val="911" w:hRule="atLeast"/>
        </w:trPr>
        <w:tc>
          <w:tcPr>
            <w:tcW w:w="691" w:type="dxa"/>
          </w:tcPr>
          <w:p>
            <w:pPr>
              <w:pStyle w:val="TableParagraph"/>
              <w:spacing w:before="99"/>
              <w:ind w:left="110"/>
              <w:rPr>
                <w:b/>
                <w:sz w:val="21"/>
              </w:rPr>
            </w:pPr>
            <w:r>
              <w:rPr>
                <w:b/>
                <w:sz w:val="21"/>
              </w:rPr>
              <w:t>1.2</w:t>
            </w:r>
          </w:p>
        </w:tc>
        <w:tc>
          <w:tcPr>
            <w:tcW w:w="1315" w:type="dxa"/>
          </w:tcPr>
          <w:p>
            <w:pPr>
              <w:pStyle w:val="TableParagraph"/>
              <w:spacing w:before="99"/>
              <w:ind w:right="203"/>
              <w:jc w:val="right"/>
              <w:rPr>
                <w:b/>
                <w:sz w:val="21"/>
              </w:rPr>
            </w:pPr>
            <w:r>
              <w:rPr>
                <w:b/>
                <w:sz w:val="21"/>
              </w:rPr>
              <w:t>合同生效</w:t>
            </w:r>
          </w:p>
        </w:tc>
        <w:tc>
          <w:tcPr>
            <w:tcW w:w="8185" w:type="dxa"/>
          </w:tcPr>
          <w:p>
            <w:pPr>
              <w:pStyle w:val="TableParagraph"/>
              <w:spacing w:line="273" w:lineRule="auto" w:before="99"/>
              <w:ind w:left="207" w:right="109"/>
              <w:rPr>
                <w:sz w:val="21"/>
              </w:rPr>
            </w:pPr>
            <w:r>
              <w:rPr>
                <w:sz w:val="21"/>
              </w:rPr>
              <w:t>本合同自本公司同意承保、收取保险费并签发保险单后开始生效，生效日载于保险单上。本公司自生效日零时起开始承担本合同约定的保险责任。</w:t>
            </w:r>
          </w:p>
        </w:tc>
      </w:tr>
      <w:tr>
        <w:trPr>
          <w:trHeight w:val="676" w:hRule="atLeast"/>
        </w:trPr>
        <w:tc>
          <w:tcPr>
            <w:tcW w:w="691" w:type="dxa"/>
            <w:tcBorders>
              <w:bottom w:val="double" w:sz="1" w:space="0" w:color="000000"/>
            </w:tcBorders>
          </w:tcPr>
          <w:p>
            <w:pPr>
              <w:pStyle w:val="TableParagraph"/>
              <w:spacing w:before="138"/>
              <w:ind w:left="110"/>
              <w:rPr>
                <w:b/>
                <w:sz w:val="28"/>
              </w:rPr>
            </w:pPr>
            <w:r>
              <w:rPr>
                <w:b/>
                <w:w w:val="99"/>
                <w:sz w:val="28"/>
              </w:rPr>
              <w:t>2</w:t>
            </w:r>
          </w:p>
        </w:tc>
        <w:tc>
          <w:tcPr>
            <w:tcW w:w="9500" w:type="dxa"/>
            <w:gridSpan w:val="2"/>
            <w:tcBorders>
              <w:bottom w:val="double" w:sz="1" w:space="0" w:color="000000"/>
            </w:tcBorders>
          </w:tcPr>
          <w:p>
            <w:pPr>
              <w:pStyle w:val="TableParagraph"/>
              <w:spacing w:before="138"/>
              <w:ind w:left="264"/>
              <w:rPr>
                <w:b/>
                <w:sz w:val="28"/>
              </w:rPr>
            </w:pPr>
            <w:r>
              <w:rPr>
                <w:b/>
                <w:w w:val="95"/>
                <w:sz w:val="28"/>
              </w:rPr>
              <w:t>本公司提供的保障</w:t>
            </w:r>
          </w:p>
        </w:tc>
      </w:tr>
      <w:tr>
        <w:trPr>
          <w:trHeight w:val="884" w:hRule="atLeast"/>
        </w:trPr>
        <w:tc>
          <w:tcPr>
            <w:tcW w:w="691" w:type="dxa"/>
            <w:tcBorders>
              <w:top w:val="double" w:sz="1" w:space="0" w:color="000000"/>
            </w:tcBorders>
          </w:tcPr>
          <w:p>
            <w:pPr>
              <w:pStyle w:val="TableParagraph"/>
              <w:spacing w:before="133"/>
              <w:ind w:left="110"/>
              <w:rPr>
                <w:b/>
                <w:sz w:val="21"/>
              </w:rPr>
            </w:pPr>
            <w:r>
              <w:rPr>
                <w:b/>
                <w:sz w:val="21"/>
              </w:rPr>
              <w:t>2.1</w:t>
            </w:r>
          </w:p>
        </w:tc>
        <w:tc>
          <w:tcPr>
            <w:tcW w:w="1315" w:type="dxa"/>
            <w:tcBorders>
              <w:top w:val="double" w:sz="1" w:space="0" w:color="000000"/>
            </w:tcBorders>
          </w:tcPr>
          <w:p>
            <w:pPr>
              <w:pStyle w:val="TableParagraph"/>
              <w:spacing w:before="133"/>
              <w:ind w:right="203"/>
              <w:jc w:val="right"/>
              <w:rPr>
                <w:b/>
                <w:sz w:val="21"/>
              </w:rPr>
            </w:pPr>
            <w:r>
              <w:rPr>
                <w:b/>
                <w:sz w:val="21"/>
              </w:rPr>
              <w:t>保险金额</w:t>
            </w:r>
          </w:p>
        </w:tc>
        <w:tc>
          <w:tcPr>
            <w:tcW w:w="8185" w:type="dxa"/>
            <w:tcBorders>
              <w:top w:val="double" w:sz="1" w:space="0" w:color="000000"/>
            </w:tcBorders>
          </w:tcPr>
          <w:p>
            <w:pPr>
              <w:pStyle w:val="TableParagraph"/>
              <w:spacing w:line="273" w:lineRule="auto" w:before="133"/>
              <w:ind w:left="207" w:right="-15"/>
              <w:rPr>
                <w:sz w:val="21"/>
              </w:rPr>
            </w:pPr>
            <w:r>
              <w:rPr>
                <w:spacing w:val="-4"/>
                <w:sz w:val="21"/>
              </w:rPr>
              <w:t>本合同每一被保险人的保险金额由投保人在投保时与本公司约定，并在保险单上载明。</w:t>
            </w:r>
            <w:r>
              <w:rPr>
                <w:spacing w:val="-3"/>
                <w:sz w:val="21"/>
              </w:rPr>
              <w:t>若该金额发生变更，则以变更后的金额为保险金额。</w:t>
            </w:r>
          </w:p>
        </w:tc>
      </w:tr>
      <w:tr>
        <w:trPr>
          <w:trHeight w:val="851" w:hRule="atLeast"/>
        </w:trPr>
        <w:tc>
          <w:tcPr>
            <w:tcW w:w="691" w:type="dxa"/>
          </w:tcPr>
          <w:p>
            <w:pPr>
              <w:pStyle w:val="TableParagraph"/>
              <w:spacing w:before="100"/>
              <w:ind w:left="110"/>
              <w:rPr>
                <w:b/>
                <w:sz w:val="21"/>
              </w:rPr>
            </w:pPr>
            <w:r>
              <w:rPr>
                <w:b/>
                <w:sz w:val="21"/>
              </w:rPr>
              <w:t>2.2</w:t>
            </w:r>
          </w:p>
        </w:tc>
        <w:tc>
          <w:tcPr>
            <w:tcW w:w="1315" w:type="dxa"/>
          </w:tcPr>
          <w:p>
            <w:pPr>
              <w:pStyle w:val="TableParagraph"/>
              <w:spacing w:before="100"/>
              <w:ind w:right="203"/>
              <w:jc w:val="right"/>
              <w:rPr>
                <w:b/>
                <w:sz w:val="21"/>
              </w:rPr>
            </w:pPr>
            <w:r>
              <w:rPr>
                <w:b/>
                <w:sz w:val="21"/>
              </w:rPr>
              <w:t>保险期间</w:t>
            </w:r>
          </w:p>
        </w:tc>
        <w:tc>
          <w:tcPr>
            <w:tcW w:w="8185" w:type="dxa"/>
          </w:tcPr>
          <w:p>
            <w:pPr>
              <w:pStyle w:val="TableParagraph"/>
              <w:spacing w:line="273" w:lineRule="auto" w:before="100"/>
              <w:ind w:left="207" w:right="102"/>
              <w:rPr>
                <w:sz w:val="21"/>
              </w:rPr>
            </w:pPr>
            <w:r>
              <w:rPr>
                <w:sz w:val="21"/>
              </w:rPr>
              <w:t>本合同的保险期间为 1 年，自本合同生效日零时起至约定终止日二十四时止。本合同保险期间以保险单上所载为准。</w:t>
            </w:r>
          </w:p>
        </w:tc>
      </w:tr>
      <w:tr>
        <w:trPr>
          <w:trHeight w:val="443" w:hRule="atLeast"/>
        </w:trPr>
        <w:tc>
          <w:tcPr>
            <w:tcW w:w="691" w:type="dxa"/>
          </w:tcPr>
          <w:p>
            <w:pPr>
              <w:pStyle w:val="TableParagraph"/>
              <w:spacing w:before="99"/>
              <w:ind w:left="110"/>
              <w:rPr>
                <w:b/>
                <w:sz w:val="21"/>
              </w:rPr>
            </w:pPr>
            <w:r>
              <w:rPr>
                <w:b/>
                <w:sz w:val="21"/>
              </w:rPr>
              <w:t>2.3</w:t>
            </w:r>
          </w:p>
        </w:tc>
        <w:tc>
          <w:tcPr>
            <w:tcW w:w="1315" w:type="dxa"/>
          </w:tcPr>
          <w:p>
            <w:pPr>
              <w:pStyle w:val="TableParagraph"/>
              <w:spacing w:before="99"/>
              <w:ind w:right="203"/>
              <w:jc w:val="right"/>
              <w:rPr>
                <w:b/>
                <w:sz w:val="21"/>
              </w:rPr>
            </w:pPr>
            <w:r>
              <w:rPr>
                <w:b/>
                <w:sz w:val="21"/>
              </w:rPr>
              <w:t>保险责任</w:t>
            </w:r>
          </w:p>
        </w:tc>
        <w:tc>
          <w:tcPr>
            <w:tcW w:w="8185" w:type="dxa"/>
          </w:tcPr>
          <w:p>
            <w:pPr>
              <w:pStyle w:val="TableParagraph"/>
              <w:spacing w:before="126"/>
              <w:ind w:left="207"/>
              <w:rPr>
                <w:sz w:val="21"/>
              </w:rPr>
            </w:pPr>
            <w:r>
              <w:rPr>
                <w:sz w:val="21"/>
              </w:rPr>
              <w:t>在本合同有效期内，本公司承担如下保险责任：</w:t>
            </w:r>
          </w:p>
        </w:tc>
      </w:tr>
      <w:tr>
        <w:trPr>
          <w:trHeight w:val="2288" w:hRule="atLeast"/>
        </w:trPr>
        <w:tc>
          <w:tcPr>
            <w:tcW w:w="691" w:type="dxa"/>
          </w:tcPr>
          <w:p>
            <w:pPr>
              <w:pStyle w:val="TableParagraph"/>
              <w:rPr>
                <w:rFonts w:ascii="Times New Roman"/>
                <w:sz w:val="20"/>
              </w:rPr>
            </w:pPr>
          </w:p>
        </w:tc>
        <w:tc>
          <w:tcPr>
            <w:tcW w:w="1315" w:type="dxa"/>
          </w:tcPr>
          <w:p>
            <w:pPr>
              <w:pStyle w:val="TableParagraph"/>
              <w:rPr>
                <w:rFonts w:ascii="Times New Roman"/>
                <w:sz w:val="20"/>
              </w:rPr>
            </w:pPr>
          </w:p>
        </w:tc>
        <w:tc>
          <w:tcPr>
            <w:tcW w:w="8185" w:type="dxa"/>
          </w:tcPr>
          <w:p>
            <w:pPr>
              <w:pStyle w:val="TableParagraph"/>
              <w:spacing w:line="253" w:lineRule="exact"/>
              <w:ind w:left="207"/>
              <w:rPr>
                <w:sz w:val="21"/>
              </w:rPr>
            </w:pPr>
            <w:r>
              <w:rPr>
                <w:spacing w:val="-3"/>
                <w:w w:val="100"/>
                <w:sz w:val="21"/>
              </w:rPr>
              <w:t>自本合同生效之日起</w:t>
            </w:r>
            <w:r>
              <w:rPr>
                <w:spacing w:val="-53"/>
                <w:sz w:val="21"/>
              </w:rPr>
              <w:t> </w:t>
            </w:r>
            <w:r>
              <w:rPr>
                <w:w w:val="100"/>
                <w:sz w:val="21"/>
              </w:rPr>
              <w:t>90</w:t>
            </w:r>
            <w:r>
              <w:rPr>
                <w:spacing w:val="-55"/>
                <w:sz w:val="21"/>
              </w:rPr>
              <w:t> </w:t>
            </w:r>
            <w:r>
              <w:rPr>
                <w:spacing w:val="-10"/>
                <w:w w:val="100"/>
                <w:sz w:val="21"/>
              </w:rPr>
              <w:t>天内，被保险人发生下列情形之一的：</w:t>
            </w:r>
            <w:r>
              <w:rPr>
                <w:w w:val="100"/>
                <w:sz w:val="21"/>
              </w:rPr>
              <w:t>（</w:t>
            </w:r>
            <w:r>
              <w:rPr>
                <w:spacing w:val="-3"/>
                <w:w w:val="100"/>
                <w:sz w:val="21"/>
              </w:rPr>
              <w:t>一</w:t>
            </w:r>
            <w:r>
              <w:rPr>
                <w:w w:val="100"/>
                <w:sz w:val="21"/>
              </w:rPr>
              <w:t>）</w:t>
            </w:r>
            <w:r>
              <w:rPr>
                <w:spacing w:val="-24"/>
                <w:w w:val="100"/>
                <w:sz w:val="21"/>
              </w:rPr>
              <w:t>重大疾病，</w:t>
            </w:r>
            <w:r>
              <w:rPr>
                <w:w w:val="100"/>
                <w:sz w:val="21"/>
              </w:rPr>
              <w:t>（二）</w:t>
            </w:r>
          </w:p>
          <w:p>
            <w:pPr>
              <w:pStyle w:val="TableParagraph"/>
              <w:spacing w:line="273" w:lineRule="auto" w:before="37"/>
              <w:ind w:left="207" w:right="102"/>
              <w:jc w:val="both"/>
              <w:rPr>
                <w:sz w:val="21"/>
              </w:rPr>
            </w:pPr>
            <w:r>
              <w:rPr>
                <w:sz w:val="21"/>
              </w:rPr>
              <w:t>因导致重大疾病的相关疾病就诊；我们不承担保险责任，本合同效力终止，我们将无</w:t>
            </w:r>
            <w:r>
              <w:rPr>
                <w:spacing w:val="-6"/>
                <w:sz w:val="21"/>
              </w:rPr>
              <w:t>息全额退还投保人为该被保险人所交的保险费。这 </w:t>
            </w:r>
            <w:r>
              <w:rPr>
                <w:sz w:val="21"/>
              </w:rPr>
              <w:t>90</w:t>
            </w:r>
            <w:r>
              <w:rPr>
                <w:spacing w:val="-7"/>
                <w:sz w:val="21"/>
              </w:rPr>
              <w:t> 天的时间称为等待期；被保险人</w:t>
            </w:r>
            <w:r>
              <w:rPr>
                <w:spacing w:val="-3"/>
                <w:sz w:val="21"/>
              </w:rPr>
              <w:t>因</w:t>
            </w:r>
            <w:r>
              <w:rPr>
                <w:b/>
                <w:sz w:val="21"/>
              </w:rPr>
              <w:t>意外伤害</w:t>
            </w:r>
            <w:r>
              <w:rPr>
                <w:spacing w:val="-3"/>
                <w:sz w:val="21"/>
              </w:rPr>
              <w:t>发生上述两项情形之一的，无等待期。</w:t>
            </w:r>
          </w:p>
          <w:p>
            <w:pPr>
              <w:pStyle w:val="TableParagraph"/>
              <w:spacing w:line="273" w:lineRule="auto" w:before="7"/>
              <w:ind w:left="207" w:right="92"/>
              <w:jc w:val="both"/>
              <w:rPr>
                <w:sz w:val="21"/>
              </w:rPr>
            </w:pPr>
            <w:r>
              <w:rPr>
                <w:sz w:val="21"/>
              </w:rPr>
              <w:t>被保险人因意外伤害或于等待期后经</w:t>
            </w:r>
            <w:r>
              <w:rPr>
                <w:b/>
                <w:sz w:val="21"/>
              </w:rPr>
              <w:t>本公司认可的医院专科医生</w:t>
            </w:r>
            <w:r>
              <w:rPr>
                <w:sz w:val="21"/>
              </w:rPr>
              <w:t>确诊首次患本合同约</w:t>
            </w:r>
            <w:r>
              <w:rPr>
                <w:spacing w:val="-2"/>
                <w:w w:val="100"/>
                <w:sz w:val="21"/>
              </w:rPr>
              <w:t>定的重大疾病</w:t>
            </w:r>
            <w:r>
              <w:rPr>
                <w:spacing w:val="-3"/>
                <w:w w:val="100"/>
                <w:sz w:val="21"/>
              </w:rPr>
              <w:t>（无论一种或多种</w:t>
            </w:r>
            <w:r>
              <w:rPr>
                <w:spacing w:val="-106"/>
                <w:w w:val="100"/>
                <w:sz w:val="21"/>
              </w:rPr>
              <w:t>）</w:t>
            </w:r>
            <w:r>
              <w:rPr>
                <w:spacing w:val="-3"/>
                <w:w w:val="100"/>
                <w:sz w:val="21"/>
              </w:rPr>
              <w:t>，则我们按本合同的保险金额给付重大疾病保险金，</w:t>
            </w:r>
            <w:r>
              <w:rPr>
                <w:spacing w:val="-3"/>
                <w:sz w:val="21"/>
              </w:rPr>
              <w:t>本合同对该被保险人的保险责任终止。</w:t>
            </w:r>
          </w:p>
        </w:tc>
      </w:tr>
      <w:tr>
        <w:trPr>
          <w:trHeight w:val="3824" w:hRule="atLeast"/>
        </w:trPr>
        <w:tc>
          <w:tcPr>
            <w:tcW w:w="691" w:type="dxa"/>
          </w:tcPr>
          <w:p>
            <w:pPr>
              <w:pStyle w:val="TableParagraph"/>
              <w:spacing w:before="99"/>
              <w:ind w:left="110"/>
              <w:rPr>
                <w:b/>
                <w:sz w:val="21"/>
              </w:rPr>
            </w:pPr>
            <w:r>
              <w:rPr>
                <w:b/>
                <w:sz w:val="21"/>
              </w:rPr>
              <w:t>2.4</w:t>
            </w:r>
          </w:p>
        </w:tc>
        <w:tc>
          <w:tcPr>
            <w:tcW w:w="1315" w:type="dxa"/>
          </w:tcPr>
          <w:p>
            <w:pPr>
              <w:pStyle w:val="TableParagraph"/>
              <w:spacing w:before="99"/>
              <w:ind w:right="203"/>
              <w:jc w:val="right"/>
              <w:rPr>
                <w:b/>
                <w:sz w:val="21"/>
              </w:rPr>
            </w:pPr>
            <w:r>
              <w:rPr>
                <w:b/>
                <w:sz w:val="21"/>
              </w:rPr>
              <w:t>责任免除</w:t>
            </w:r>
          </w:p>
        </w:tc>
        <w:tc>
          <w:tcPr>
            <w:tcW w:w="8185" w:type="dxa"/>
          </w:tcPr>
          <w:p>
            <w:pPr>
              <w:pStyle w:val="TableParagraph"/>
              <w:spacing w:line="280" w:lineRule="auto" w:before="123"/>
              <w:ind w:left="207" w:right="104"/>
              <w:rPr>
                <w:rFonts w:ascii="黑体" w:eastAsia="黑体" w:hint="eastAsia"/>
                <w:sz w:val="21"/>
              </w:rPr>
            </w:pPr>
            <w:r>
              <w:rPr>
                <w:rFonts w:ascii="黑体" w:eastAsia="黑体" w:hint="eastAsia"/>
                <w:sz w:val="21"/>
              </w:rPr>
              <w:t>因下列情形之一，导致被保险人发Th重大疾病的，本公司不承担给付重大疾病保险金的责任：</w:t>
            </w:r>
          </w:p>
          <w:p>
            <w:pPr>
              <w:pStyle w:val="TableParagraph"/>
              <w:spacing w:before="8"/>
              <w:ind w:left="207"/>
              <w:rPr>
                <w:rFonts w:ascii="黑体" w:eastAsia="黑体" w:hint="eastAsia"/>
                <w:sz w:val="21"/>
              </w:rPr>
            </w:pPr>
            <w:r>
              <w:rPr>
                <w:rFonts w:ascii="黑体" w:eastAsia="黑体" w:hint="eastAsia"/>
                <w:sz w:val="21"/>
              </w:rPr>
              <w:t>1、投保人对被保险人的故意杀害、故意伤害；</w:t>
            </w:r>
          </w:p>
          <w:p>
            <w:pPr>
              <w:pStyle w:val="TableParagraph"/>
              <w:spacing w:before="44"/>
              <w:ind w:left="207"/>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ind w:left="207"/>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207"/>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ind w:left="207"/>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207"/>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207"/>
              <w:rPr>
                <w:rFonts w:ascii="黑体" w:eastAsia="黑体" w:hint="eastAsia"/>
                <w:sz w:val="21"/>
              </w:rPr>
            </w:pPr>
            <w:r>
              <w:rPr>
                <w:rFonts w:ascii="黑体" w:eastAsia="黑体" w:hint="eastAsia"/>
                <w:sz w:val="21"/>
              </w:rPr>
              <w:t>7、战争、军事冲突、暴乱或武装叛乱；</w:t>
            </w:r>
          </w:p>
          <w:p>
            <w:pPr>
              <w:pStyle w:val="TableParagraph"/>
              <w:spacing w:before="46"/>
              <w:ind w:left="207"/>
              <w:rPr>
                <w:rFonts w:ascii="黑体" w:eastAsia="黑体" w:hint="eastAsia"/>
                <w:sz w:val="21"/>
              </w:rPr>
            </w:pPr>
            <w:r>
              <w:rPr>
                <w:rFonts w:ascii="黑体" w:eastAsia="黑体" w:hint="eastAsia"/>
                <w:sz w:val="21"/>
              </w:rPr>
              <w:t>8、核爆炸、核辐射或核污染。</w:t>
            </w:r>
          </w:p>
          <w:p>
            <w:pPr>
              <w:pStyle w:val="TableParagraph"/>
              <w:spacing w:line="320" w:lineRule="exact" w:before="33"/>
              <w:ind w:left="207" w:right="-15"/>
              <w:rPr>
                <w:rFonts w:ascii="黑体" w:eastAsia="黑体" w:hint="eastAsia"/>
                <w:sz w:val="21"/>
              </w:rPr>
            </w:pPr>
            <w:r>
              <w:rPr>
                <w:rFonts w:ascii="黑体" w:eastAsia="黑体" w:hint="eastAsia"/>
                <w:sz w:val="21"/>
              </w:rPr>
              <w:t>发Th</w:t>
            </w:r>
            <w:r>
              <w:rPr>
                <w:rFonts w:ascii="黑体" w:eastAsia="黑体" w:hint="eastAsia"/>
                <w:spacing w:val="-3"/>
                <w:sz w:val="21"/>
              </w:rPr>
              <w:t>上述情形，导致被保险人发</w:t>
            </w:r>
            <w:r>
              <w:rPr>
                <w:rFonts w:ascii="黑体" w:eastAsia="黑体" w:hint="eastAsia"/>
                <w:sz w:val="21"/>
              </w:rPr>
              <w:t>Th</w:t>
            </w:r>
            <w:r>
              <w:rPr>
                <w:rFonts w:ascii="黑体" w:eastAsia="黑体" w:hint="eastAsia"/>
                <w:spacing w:val="-4"/>
                <w:sz w:val="21"/>
              </w:rPr>
              <w:t>重大疾病的，本合同对该被保险人的保险责任终止， </w:t>
            </w:r>
            <w:r>
              <w:rPr>
                <w:rFonts w:ascii="黑体" w:eastAsia="黑体" w:hint="eastAsia"/>
                <w:spacing w:val="-2"/>
                <w:sz w:val="21"/>
              </w:rPr>
              <w:t>本公司退还</w:t>
            </w:r>
            <w:r>
              <w:rPr>
                <w:rFonts w:ascii="黑体" w:eastAsia="黑体" w:hint="eastAsia"/>
                <w:b/>
                <w:spacing w:val="-1"/>
                <w:sz w:val="21"/>
              </w:rPr>
              <w:t>未满期净保险费</w:t>
            </w:r>
            <w:r>
              <w:rPr>
                <w:rFonts w:ascii="黑体" w:eastAsia="黑体" w:hint="eastAsia"/>
                <w:sz w:val="21"/>
              </w:rPr>
              <w:t>。</w:t>
            </w:r>
          </w:p>
        </w:tc>
      </w:tr>
    </w:tbl>
    <w:p>
      <w:pPr>
        <w:spacing w:after="0" w:line="320" w:lineRule="exact"/>
        <w:rPr>
          <w:rFonts w:ascii="黑体" w:eastAsia="黑体" w:hint="eastAsia"/>
          <w:sz w:val="21"/>
        </w:rPr>
        <w:sectPr>
          <w:headerReference w:type="default" r:id="rId6"/>
          <w:pgSz w:w="11910" w:h="16840"/>
          <w:pgMar w:header="568" w:footer="0" w:top="800" w:bottom="280" w:left="800" w:right="700"/>
          <w:pgNumType w:start="1"/>
        </w:sectPr>
      </w:pPr>
    </w:p>
    <w:p>
      <w:pPr>
        <w:pStyle w:val="BodyText"/>
        <w:rPr>
          <w:sz w:val="20"/>
        </w:rPr>
      </w:pPr>
    </w:p>
    <w:p>
      <w:pPr>
        <w:tabs>
          <w:tab w:pos="1067" w:val="left" w:leader="none"/>
        </w:tabs>
        <w:spacing w:before="155"/>
        <w:ind w:left="222" w:right="0" w:firstLine="0"/>
        <w:jc w:val="left"/>
        <w:rPr>
          <w:b/>
          <w:sz w:val="28"/>
        </w:rPr>
      </w:pPr>
      <w:r>
        <w:rPr>
          <w:b/>
          <w:sz w:val="28"/>
        </w:rPr>
        <w:t>3</w:t>
        <w:tab/>
        <w:t>重大疾病</w:t>
      </w:r>
    </w:p>
    <w:p>
      <w:pPr>
        <w:pStyle w:val="BodyText"/>
        <w:spacing w:before="2"/>
        <w:rPr>
          <w:b/>
          <w:sz w:val="10"/>
        </w:rPr>
      </w:pPr>
      <w:r>
        <w:rPr/>
        <w:pict>
          <v:group style="position:absolute;margin-left:45.599998pt;margin-top:8.602998pt;width:509.5pt;height:1.45pt;mso-position-horizontal-relative:page;mso-position-vertical-relative:paragraph;z-index:1072;mso-wrap-distance-left:0;mso-wrap-distance-right:0" coordorigin="912,172" coordsize="10190,29">
            <v:line style="position:absolute" from="912,177" to="1757,177" stroked="true" strokeweight=".48pt" strokecolor="#000000">
              <v:stroke dashstyle="solid"/>
            </v:line>
            <v:line style="position:absolute" from="912,196" to="1757,196" stroked="true" strokeweight=".48pt" strokecolor="#000000">
              <v:stroke dashstyle="solid"/>
            </v:line>
            <v:rect style="position:absolute;left:1757;top:172;width:29;height:10" filled="true" fillcolor="#000000" stroked="false">
              <v:fill type="solid"/>
            </v:rect>
            <v:rect style="position:absolute;left:1757;top:191;width:29;height:10" filled="true" fillcolor="#000000" stroked="false">
              <v:fill type="solid"/>
            </v:rect>
            <v:line style="position:absolute" from="1786,177" to="3017,177" stroked="true" strokeweight=".48pt" strokecolor="#000000">
              <v:stroke dashstyle="solid"/>
            </v:line>
            <v:line style="position:absolute" from="1786,196" to="3017,196" stroked="true" strokeweight=".48pt" strokecolor="#000000">
              <v:stroke dashstyle="solid"/>
            </v:line>
            <v:rect style="position:absolute;left:3017;top:172;width:29;height:10" filled="true" fillcolor="#000000" stroked="false">
              <v:fill type="solid"/>
            </v:rect>
            <v:rect style="position:absolute;left:3017;top:191;width:29;height:10" filled="true" fillcolor="#000000" stroked="false">
              <v:fill type="solid"/>
            </v:rect>
            <v:line style="position:absolute" from="3046,177" to="11102,177" stroked="true" strokeweight=".48pt" strokecolor="#000000">
              <v:stroke dashstyle="solid"/>
            </v:line>
            <v:line style="position:absolute" from="3046,196" to="11102,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tabs>
          <w:tab w:pos="1067" w:val="left" w:leader="none"/>
        </w:tabs>
        <w:spacing w:line="273" w:lineRule="auto" w:before="0"/>
        <w:ind w:left="1067" w:right="0" w:hanging="846"/>
        <w:jc w:val="left"/>
        <w:rPr>
          <w:b/>
          <w:sz w:val="21"/>
        </w:rPr>
      </w:pPr>
      <w:r>
        <w:rPr>
          <w:b/>
          <w:sz w:val="21"/>
        </w:rPr>
        <w:t>3.1</w:t>
        <w:tab/>
      </w:r>
      <w:r>
        <w:rPr>
          <w:b/>
          <w:spacing w:val="48"/>
          <w:sz w:val="21"/>
        </w:rPr>
        <w:t>重大疾病 的范围</w:t>
      </w:r>
    </w:p>
    <w:p>
      <w:pPr>
        <w:pStyle w:val="BodyText"/>
        <w:spacing w:line="278" w:lineRule="auto" w:before="16"/>
        <w:ind w:left="103" w:right="208"/>
        <w:jc w:val="both"/>
      </w:pPr>
      <w:r>
        <w:rPr/>
        <w:br w:type="column"/>
      </w:r>
      <w:r>
        <w:rPr/>
        <w:t>本合同所指的重大疾病在本合同中有确定的含义，不仅包括部分一般意义上的重大疾病，还包括某些重大手术，本合同所指的重大疾病可能与临床医学所指的重大疾病在概念和范围上有所不同，本公司将在本合同重大疾病定义中详细列明，投保人投保本合同即表明认可并遵从本合同中对重大疾病的定义。</w:t>
      </w:r>
    </w:p>
    <w:p>
      <w:pPr>
        <w:spacing w:after="0" w:line="278" w:lineRule="auto"/>
        <w:jc w:val="both"/>
        <w:sectPr>
          <w:type w:val="continuous"/>
          <w:pgSz w:w="11910" w:h="16840"/>
          <w:pgMar w:top="780" w:bottom="280" w:left="800" w:right="700"/>
          <w:cols w:num="2" w:equalWidth="0">
            <w:col w:w="2182" w:space="40"/>
            <w:col w:w="8188"/>
          </w:cols>
        </w:sectPr>
      </w:pPr>
    </w:p>
    <w:p>
      <w:pPr>
        <w:pStyle w:val="BodyText"/>
        <w:spacing w:before="11"/>
        <w:rPr>
          <w:sz w:val="5"/>
        </w:rPr>
      </w:pPr>
    </w:p>
    <w:tbl>
      <w:tblPr>
        <w:tblW w:w="0" w:type="auto"/>
        <w:jc w:val="left"/>
        <w:tblInd w:w="2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3141" w:type="dxa"/>
          </w:tcPr>
          <w:p>
            <w:pPr>
              <w:pStyle w:val="TableParagraph"/>
              <w:spacing w:line="180" w:lineRule="exact"/>
              <w:ind w:left="60"/>
              <w:rPr>
                <w:sz w:val="18"/>
              </w:rPr>
            </w:pPr>
            <w:r>
              <w:rPr>
                <w:sz w:val="18"/>
              </w:rPr>
              <w:t>瘫痪</w:t>
            </w:r>
          </w:p>
        </w:tc>
      </w:tr>
      <w:tr>
        <w:trPr>
          <w:trHeight w:val="327"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29" w:right="40"/>
              <w:jc w:val="center"/>
              <w:rPr>
                <w:sz w:val="18"/>
              </w:rPr>
            </w:pPr>
            <w:r>
              <w:rPr>
                <w:sz w:val="18"/>
              </w:rPr>
              <w:t>16</w:t>
            </w:r>
          </w:p>
        </w:tc>
        <w:tc>
          <w:tcPr>
            <w:tcW w:w="3141" w:type="dxa"/>
          </w:tcPr>
          <w:p>
            <w:pPr>
              <w:pStyle w:val="TableParagraph"/>
              <w:spacing w:before="17"/>
              <w:ind w:left="60"/>
              <w:rPr>
                <w:sz w:val="18"/>
              </w:rPr>
            </w:pPr>
            <w:r>
              <w:rPr>
                <w:sz w:val="18"/>
              </w:rPr>
              <w:t>心脏瓣膜手术</w:t>
            </w:r>
          </w:p>
        </w:tc>
      </w:tr>
      <w:tr>
        <w:trPr>
          <w:trHeight w:val="327" w:hRule="atLeast"/>
        </w:trPr>
        <w:tc>
          <w:tcPr>
            <w:tcW w:w="441" w:type="dxa"/>
          </w:tcPr>
          <w:p>
            <w:pPr>
              <w:pStyle w:val="TableParagraph"/>
              <w:spacing w:before="19"/>
              <w:ind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90" w:type="dxa"/>
          </w:tcPr>
          <w:p>
            <w:pPr>
              <w:pStyle w:val="TableParagraph"/>
              <w:spacing w:before="19"/>
              <w:ind w:left="29" w:right="40"/>
              <w:jc w:val="center"/>
              <w:rPr>
                <w:sz w:val="18"/>
              </w:rPr>
            </w:pPr>
            <w:r>
              <w:rPr>
                <w:sz w:val="18"/>
              </w:rPr>
              <w:t>17</w:t>
            </w:r>
          </w:p>
        </w:tc>
        <w:tc>
          <w:tcPr>
            <w:tcW w:w="3141" w:type="dxa"/>
          </w:tcPr>
          <w:p>
            <w:pPr>
              <w:pStyle w:val="TableParagraph"/>
              <w:spacing w:before="19"/>
              <w:ind w:left="60"/>
              <w:rPr>
                <w:sz w:val="18"/>
              </w:rPr>
            </w:pPr>
            <w:r>
              <w:rPr>
                <w:sz w:val="18"/>
              </w:rPr>
              <w:t>严重阿尔茨海默病</w:t>
            </w:r>
          </w:p>
        </w:tc>
      </w:tr>
      <w:tr>
        <w:trPr>
          <w:trHeight w:val="326"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3141" w:type="dxa"/>
          </w:tcPr>
          <w:p>
            <w:pPr>
              <w:pStyle w:val="TableParagraph"/>
              <w:spacing w:before="17"/>
              <w:ind w:left="60"/>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3141" w:type="dxa"/>
          </w:tcPr>
          <w:p>
            <w:pPr>
              <w:pStyle w:val="TableParagraph"/>
              <w:spacing w:before="17"/>
              <w:ind w:left="60"/>
              <w:rPr>
                <w:sz w:val="18"/>
              </w:rPr>
            </w:pPr>
            <w:r>
              <w:rPr>
                <w:sz w:val="18"/>
              </w:rPr>
              <w:t>严重帕金森病</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8"/>
              <w:ind w:left="58"/>
              <w:rPr>
                <w:sz w:val="18"/>
              </w:rPr>
            </w:pPr>
            <w:r>
              <w:rPr>
                <w:sz w:val="18"/>
              </w:rPr>
              <w:t>（或称冠状动脉旁路移植术）</w:t>
            </w:r>
          </w:p>
        </w:tc>
        <w:tc>
          <w:tcPr>
            <w:tcW w:w="290" w:type="dxa"/>
          </w:tcPr>
          <w:p>
            <w:pPr>
              <w:pStyle w:val="TableParagraph"/>
              <w:spacing w:before="18"/>
              <w:ind w:left="29" w:right="40"/>
              <w:jc w:val="center"/>
              <w:rPr>
                <w:sz w:val="18"/>
              </w:rPr>
            </w:pPr>
            <w:r>
              <w:rPr>
                <w:sz w:val="18"/>
              </w:rPr>
              <w:t>20</w:t>
            </w:r>
          </w:p>
        </w:tc>
        <w:tc>
          <w:tcPr>
            <w:tcW w:w="3141" w:type="dxa"/>
          </w:tcPr>
          <w:p>
            <w:pPr>
              <w:pStyle w:val="TableParagraph"/>
              <w:spacing w:before="18"/>
              <w:ind w:left="60"/>
              <w:rPr>
                <w:sz w:val="18"/>
              </w:rPr>
            </w:pPr>
            <w:r>
              <w:rPr>
                <w:sz w:val="18"/>
              </w:rPr>
              <w:t>严重Ⅲ度烧伤</w:t>
            </w:r>
          </w:p>
        </w:tc>
      </w:tr>
      <w:tr>
        <w:trPr>
          <w:trHeight w:val="327" w:hRule="atLeast"/>
        </w:trPr>
        <w:tc>
          <w:tcPr>
            <w:tcW w:w="441" w:type="dxa"/>
          </w:tcPr>
          <w:p>
            <w:pPr>
              <w:pStyle w:val="TableParagraph"/>
              <w:spacing w:before="19"/>
              <w:ind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90" w:type="dxa"/>
          </w:tcPr>
          <w:p>
            <w:pPr>
              <w:pStyle w:val="TableParagraph"/>
              <w:spacing w:before="19"/>
              <w:ind w:left="29" w:right="40"/>
              <w:jc w:val="center"/>
              <w:rPr>
                <w:sz w:val="18"/>
              </w:rPr>
            </w:pPr>
            <w:r>
              <w:rPr>
                <w:sz w:val="18"/>
              </w:rPr>
              <w:t>21</w:t>
            </w:r>
          </w:p>
        </w:tc>
        <w:tc>
          <w:tcPr>
            <w:tcW w:w="3141" w:type="dxa"/>
          </w:tcPr>
          <w:p>
            <w:pPr>
              <w:pStyle w:val="TableParagraph"/>
              <w:spacing w:before="19"/>
              <w:ind w:left="60"/>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3141" w:type="dxa"/>
          </w:tcPr>
          <w:p>
            <w:pPr>
              <w:pStyle w:val="TableParagraph"/>
              <w:spacing w:before="17"/>
              <w:ind w:left="60"/>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29" w:right="40"/>
              <w:jc w:val="center"/>
              <w:rPr>
                <w:sz w:val="18"/>
              </w:rPr>
            </w:pPr>
            <w:r>
              <w:rPr>
                <w:sz w:val="18"/>
              </w:rPr>
              <w:t>23</w:t>
            </w:r>
          </w:p>
        </w:tc>
        <w:tc>
          <w:tcPr>
            <w:tcW w:w="3141" w:type="dxa"/>
          </w:tcPr>
          <w:p>
            <w:pPr>
              <w:pStyle w:val="TableParagraph"/>
              <w:spacing w:before="17"/>
              <w:ind w:left="60"/>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9" w:right="40"/>
              <w:jc w:val="center"/>
              <w:rPr>
                <w:sz w:val="18"/>
              </w:rPr>
            </w:pPr>
            <w:r>
              <w:rPr>
                <w:sz w:val="18"/>
              </w:rPr>
              <w:t>24</w:t>
            </w:r>
          </w:p>
        </w:tc>
        <w:tc>
          <w:tcPr>
            <w:tcW w:w="3141" w:type="dxa"/>
          </w:tcPr>
          <w:p>
            <w:pPr>
              <w:pStyle w:val="TableParagraph"/>
              <w:spacing w:before="17"/>
              <w:ind w:left="60"/>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90" w:type="dxa"/>
          </w:tcPr>
          <w:p>
            <w:pPr>
              <w:pStyle w:val="TableParagraph"/>
              <w:spacing w:before="19"/>
              <w:ind w:left="29" w:right="40"/>
              <w:jc w:val="center"/>
              <w:rPr>
                <w:sz w:val="18"/>
              </w:rPr>
            </w:pPr>
            <w:r>
              <w:rPr>
                <w:sz w:val="18"/>
              </w:rPr>
              <w:t>25</w:t>
            </w:r>
          </w:p>
        </w:tc>
        <w:tc>
          <w:tcPr>
            <w:tcW w:w="3141" w:type="dxa"/>
          </w:tcPr>
          <w:p>
            <w:pPr>
              <w:pStyle w:val="TableParagraph"/>
              <w:spacing w:before="19"/>
              <w:ind w:left="60"/>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3141" w:type="dxa"/>
          </w:tcPr>
          <w:p>
            <w:pPr>
              <w:pStyle w:val="TableParagraph"/>
              <w:spacing w:before="17"/>
              <w:ind w:left="60"/>
              <w:rPr>
                <w:sz w:val="18"/>
              </w:rPr>
            </w:pPr>
            <w:r>
              <w:rPr>
                <w:sz w:val="18"/>
              </w:rPr>
              <w:t>多发性硬化</w:t>
            </w: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29" w:right="40"/>
              <w:jc w:val="center"/>
              <w:rPr>
                <w:sz w:val="18"/>
              </w:rPr>
            </w:pPr>
            <w:r>
              <w:rPr>
                <w:sz w:val="18"/>
              </w:rPr>
              <w:t>27</w:t>
            </w:r>
          </w:p>
        </w:tc>
        <w:tc>
          <w:tcPr>
            <w:tcW w:w="3141" w:type="dxa"/>
          </w:tcPr>
          <w:p>
            <w:pPr>
              <w:pStyle w:val="TableParagraph"/>
              <w:spacing w:before="17"/>
              <w:ind w:left="60"/>
              <w:rPr>
                <w:sz w:val="18"/>
              </w:rPr>
            </w:pPr>
            <w:r>
              <w:rPr>
                <w:sz w:val="18"/>
              </w:rPr>
              <w:t>经输血导致的人类免疫缺陷病毒感染</w:t>
            </w:r>
          </w:p>
        </w:tc>
      </w:tr>
      <w:tr>
        <w:trPr>
          <w:trHeight w:val="327"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90" w:type="dxa"/>
          </w:tcPr>
          <w:p>
            <w:pPr>
              <w:pStyle w:val="TableParagraph"/>
              <w:spacing w:before="17"/>
              <w:ind w:left="29" w:right="40"/>
              <w:jc w:val="center"/>
              <w:rPr>
                <w:sz w:val="18"/>
              </w:rPr>
            </w:pPr>
            <w:r>
              <w:rPr>
                <w:sz w:val="18"/>
              </w:rPr>
              <w:t>28</w:t>
            </w:r>
          </w:p>
        </w:tc>
        <w:tc>
          <w:tcPr>
            <w:tcW w:w="3141" w:type="dxa"/>
          </w:tcPr>
          <w:p>
            <w:pPr>
              <w:pStyle w:val="TableParagraph"/>
              <w:spacing w:before="17"/>
              <w:ind w:left="60"/>
              <w:rPr>
                <w:sz w:val="18"/>
              </w:rPr>
            </w:pPr>
            <w:r>
              <w:rPr>
                <w:sz w:val="18"/>
              </w:rPr>
              <w:t>终末期肺病</w:t>
            </w:r>
          </w:p>
        </w:tc>
      </w:tr>
      <w:tr>
        <w:trPr>
          <w:trHeight w:val="327" w:hRule="atLeast"/>
        </w:trPr>
        <w:tc>
          <w:tcPr>
            <w:tcW w:w="441" w:type="dxa"/>
          </w:tcPr>
          <w:p>
            <w:pPr>
              <w:pStyle w:val="TableParagraph"/>
              <w:spacing w:before="19"/>
              <w:ind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90" w:type="dxa"/>
          </w:tcPr>
          <w:p>
            <w:pPr>
              <w:pStyle w:val="TableParagraph"/>
              <w:spacing w:before="19"/>
              <w:ind w:left="29" w:right="40"/>
              <w:jc w:val="center"/>
              <w:rPr>
                <w:sz w:val="18"/>
              </w:rPr>
            </w:pPr>
            <w:r>
              <w:rPr>
                <w:sz w:val="18"/>
              </w:rPr>
              <w:t>29</w:t>
            </w:r>
          </w:p>
        </w:tc>
        <w:tc>
          <w:tcPr>
            <w:tcW w:w="3141" w:type="dxa"/>
          </w:tcPr>
          <w:p>
            <w:pPr>
              <w:pStyle w:val="TableParagraph"/>
              <w:spacing w:before="19"/>
              <w:ind w:left="60"/>
              <w:rPr>
                <w:sz w:val="18"/>
              </w:rPr>
            </w:pPr>
            <w:r>
              <w:rPr>
                <w:sz w:val="18"/>
              </w:rPr>
              <w:t>严重类风湿性关节炎</w:t>
            </w:r>
          </w:p>
        </w:tc>
      </w:tr>
      <w:tr>
        <w:trPr>
          <w:trHeight w:val="253" w:hRule="atLeast"/>
        </w:trPr>
        <w:tc>
          <w:tcPr>
            <w:tcW w:w="441" w:type="dxa"/>
          </w:tcPr>
          <w:p>
            <w:pPr>
              <w:pStyle w:val="TableParagraph"/>
              <w:spacing w:line="216" w:lineRule="exact" w:before="18"/>
              <w:ind w:right="56"/>
              <w:jc w:val="right"/>
              <w:rPr>
                <w:sz w:val="18"/>
              </w:rPr>
            </w:pPr>
            <w:r>
              <w:rPr>
                <w:sz w:val="18"/>
              </w:rPr>
              <w:t>14</w:t>
            </w:r>
          </w:p>
        </w:tc>
        <w:tc>
          <w:tcPr>
            <w:tcW w:w="2986" w:type="dxa"/>
          </w:tcPr>
          <w:p>
            <w:pPr>
              <w:pStyle w:val="TableParagraph"/>
              <w:spacing w:line="216" w:lineRule="exact" w:before="18"/>
              <w:ind w:left="58"/>
              <w:rPr>
                <w:sz w:val="18"/>
              </w:rPr>
            </w:pPr>
            <w:r>
              <w:rPr>
                <w:sz w:val="18"/>
              </w:rPr>
              <w:t>双目失明</w:t>
            </w:r>
          </w:p>
        </w:tc>
        <w:tc>
          <w:tcPr>
            <w:tcW w:w="290" w:type="dxa"/>
          </w:tcPr>
          <w:p>
            <w:pPr>
              <w:pStyle w:val="TableParagraph"/>
              <w:spacing w:line="216" w:lineRule="exact" w:before="18"/>
              <w:ind w:left="29" w:right="40"/>
              <w:jc w:val="center"/>
              <w:rPr>
                <w:sz w:val="18"/>
              </w:rPr>
            </w:pPr>
            <w:r>
              <w:rPr>
                <w:sz w:val="18"/>
              </w:rPr>
              <w:t>30</w:t>
            </w:r>
          </w:p>
        </w:tc>
        <w:tc>
          <w:tcPr>
            <w:tcW w:w="3141" w:type="dxa"/>
          </w:tcPr>
          <w:p>
            <w:pPr>
              <w:pStyle w:val="TableParagraph"/>
              <w:spacing w:line="216" w:lineRule="exact" w:before="18"/>
              <w:ind w:left="60"/>
              <w:rPr>
                <w:sz w:val="18"/>
              </w:rPr>
            </w:pPr>
            <w:r>
              <w:rPr>
                <w:sz w:val="18"/>
              </w:rPr>
              <w:t>系统性红斑狼疮</w:t>
            </w:r>
          </w:p>
        </w:tc>
      </w:tr>
    </w:tbl>
    <w:p>
      <w:pPr>
        <w:pStyle w:val="BodyText"/>
        <w:spacing w:before="8"/>
        <w:rPr>
          <w:sz w:val="26"/>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45"/>
        <w:gridCol w:w="7998"/>
      </w:tblGrid>
      <w:tr>
        <w:trPr>
          <w:trHeight w:val="261" w:hRule="atLeast"/>
        </w:trPr>
        <w:tc>
          <w:tcPr>
            <w:tcW w:w="737" w:type="dxa"/>
          </w:tcPr>
          <w:p>
            <w:pPr>
              <w:pStyle w:val="TableParagraph"/>
              <w:spacing w:line="211" w:lineRule="exact"/>
              <w:ind w:left="50"/>
              <w:rPr>
                <w:b/>
                <w:sz w:val="21"/>
              </w:rPr>
            </w:pPr>
            <w:r>
              <w:rPr>
                <w:b/>
                <w:sz w:val="21"/>
              </w:rPr>
              <w:t>3.2</w:t>
            </w:r>
          </w:p>
        </w:tc>
        <w:tc>
          <w:tcPr>
            <w:tcW w:w="1345" w:type="dxa"/>
          </w:tcPr>
          <w:p>
            <w:pPr>
              <w:pStyle w:val="TableParagraph"/>
              <w:spacing w:line="211" w:lineRule="exact"/>
              <w:ind w:left="158"/>
              <w:rPr>
                <w:b/>
                <w:sz w:val="21"/>
              </w:rPr>
            </w:pPr>
            <w:r>
              <w:rPr>
                <w:b/>
                <w:sz w:val="21"/>
              </w:rPr>
              <w:t>重大疾病 </w:t>
            </w:r>
          </w:p>
        </w:tc>
        <w:tc>
          <w:tcPr>
            <w:tcW w:w="7998" w:type="dxa"/>
          </w:tcPr>
          <w:p>
            <w:pPr>
              <w:pStyle w:val="TableParagraph"/>
              <w:spacing w:line="211" w:lineRule="exact"/>
              <w:ind w:left="70"/>
              <w:rPr>
                <w:sz w:val="21"/>
              </w:rPr>
            </w:pPr>
            <w:r>
              <w:rPr>
                <w:sz w:val="21"/>
              </w:rPr>
              <w:t>以上各种重大疾病须本公司认可的医院专科医生明确诊断，符合以下定义（其中，前</w:t>
            </w:r>
          </w:p>
        </w:tc>
      </w:tr>
      <w:tr>
        <w:trPr>
          <w:trHeight w:val="311" w:hRule="atLeast"/>
        </w:trPr>
        <w:tc>
          <w:tcPr>
            <w:tcW w:w="737" w:type="dxa"/>
          </w:tcPr>
          <w:p>
            <w:pPr>
              <w:pStyle w:val="TableParagraph"/>
              <w:rPr>
                <w:rFonts w:ascii="Times New Roman"/>
                <w:sz w:val="20"/>
              </w:rPr>
            </w:pPr>
          </w:p>
        </w:tc>
        <w:tc>
          <w:tcPr>
            <w:tcW w:w="1345" w:type="dxa"/>
          </w:tcPr>
          <w:p>
            <w:pPr>
              <w:pStyle w:val="TableParagraph"/>
              <w:spacing w:line="261" w:lineRule="exact"/>
              <w:ind w:left="158"/>
              <w:rPr>
                <w:b/>
                <w:sz w:val="21"/>
              </w:rPr>
            </w:pPr>
            <w:r>
              <w:rPr>
                <w:b/>
                <w:sz w:val="21"/>
              </w:rPr>
              <w:t>的定义</w:t>
            </w:r>
          </w:p>
        </w:tc>
        <w:tc>
          <w:tcPr>
            <w:tcW w:w="7998" w:type="dxa"/>
          </w:tcPr>
          <w:p>
            <w:pPr>
              <w:pStyle w:val="TableParagraph"/>
              <w:spacing w:line="261" w:lineRule="exact"/>
              <w:ind w:left="70"/>
              <w:rPr>
                <w:sz w:val="21"/>
              </w:rPr>
            </w:pPr>
            <w:r>
              <w:rPr>
                <w:sz w:val="21"/>
              </w:rPr>
              <w:t>25 种重大疾病定义完全采用了中国保险行业协会发布的《重大疾病保险的疾病定义使</w:t>
            </w:r>
          </w:p>
        </w:tc>
      </w:tr>
      <w:tr>
        <w:trPr>
          <w:trHeight w:val="419"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pacing w:val="-3"/>
                <w:w w:val="100"/>
                <w:sz w:val="21"/>
              </w:rPr>
              <w:t>用规范》中的疾病定义</w:t>
            </w:r>
            <w:r>
              <w:rPr>
                <w:spacing w:val="-108"/>
                <w:w w:val="100"/>
                <w:sz w:val="21"/>
              </w:rPr>
              <w:t>）</w:t>
            </w:r>
            <w:r>
              <w:rPr>
                <w:w w:val="100"/>
                <w:sz w:val="21"/>
              </w:rPr>
              <w:t>：</w:t>
            </w:r>
          </w:p>
        </w:tc>
      </w:tr>
      <w:tr>
        <w:trPr>
          <w:trHeight w:val="430" w:hRule="atLeast"/>
        </w:trPr>
        <w:tc>
          <w:tcPr>
            <w:tcW w:w="737" w:type="dxa"/>
          </w:tcPr>
          <w:p>
            <w:pPr>
              <w:pStyle w:val="TableParagraph"/>
              <w:spacing w:before="92"/>
              <w:ind w:left="50"/>
              <w:rPr>
                <w:i/>
                <w:sz w:val="22"/>
              </w:rPr>
            </w:pPr>
            <w:r>
              <w:rPr>
                <w:i/>
                <w:sz w:val="22"/>
              </w:rPr>
              <w:t>3.2.1</w:t>
            </w:r>
          </w:p>
        </w:tc>
        <w:tc>
          <w:tcPr>
            <w:tcW w:w="1345" w:type="dxa"/>
          </w:tcPr>
          <w:p>
            <w:pPr>
              <w:pStyle w:val="TableParagraph"/>
              <w:spacing w:before="92"/>
              <w:ind w:left="163"/>
              <w:rPr>
                <w:i/>
                <w:sz w:val="22"/>
              </w:rPr>
            </w:pPr>
            <w:r>
              <w:rPr>
                <w:i/>
                <w:w w:val="95"/>
                <w:sz w:val="22"/>
              </w:rPr>
              <w:t>恶性肿瘤</w:t>
            </w:r>
          </w:p>
        </w:tc>
        <w:tc>
          <w:tcPr>
            <w:tcW w:w="7998" w:type="dxa"/>
          </w:tcPr>
          <w:p>
            <w:pPr>
              <w:pStyle w:val="TableParagraph"/>
              <w:spacing w:before="104"/>
              <w:ind w:left="70"/>
              <w:rPr>
                <w:sz w:val="21"/>
              </w:rPr>
            </w:pPr>
            <w:r>
              <w:rPr>
                <w:sz w:val="21"/>
              </w:rPr>
              <w:t>指恶性细胞不受控制的进行性增长和扩散，浸润和破坏周围正常组织，可以经血管、</w:t>
            </w:r>
          </w:p>
        </w:tc>
      </w:tr>
      <w:tr>
        <w:trPr>
          <w:trHeight w:val="311"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淋巴管和体腔扩散转移到身体其它部位的疾病。经病理学检查结果明确诊断，临床诊</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断属于世界卫生组织《 疾病和有关健康问题的国际统计分类》（ICD-10）的恶性肿瘤</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范畴。</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下列疾病不在保障范围内：</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2" w:lineRule="exact"/>
              <w:ind w:left="70"/>
              <w:rPr>
                <w:sz w:val="21"/>
              </w:rPr>
            </w:pPr>
            <w:r>
              <w:rPr>
                <w:sz w:val="21"/>
              </w:rPr>
              <w:t>（1）原位癌；</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（2）相当于 Binet 分期方案 A 期程度的慢性淋巴细胞白血病；</w:t>
            </w:r>
          </w:p>
        </w:tc>
      </w:tr>
      <w:tr>
        <w:trPr>
          <w:trHeight w:val="311"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（3）相当于 Ann Arbor 分期方案 I 期程度的何杰金氏病；</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（6）感染艾滋病病毒或患艾滋病期间所患恶性肿瘤。</w:t>
            </w:r>
          </w:p>
        </w:tc>
      </w:tr>
      <w:tr>
        <w:trPr>
          <w:trHeight w:val="714" w:hRule="atLeast"/>
        </w:trPr>
        <w:tc>
          <w:tcPr>
            <w:tcW w:w="737" w:type="dxa"/>
          </w:tcPr>
          <w:p>
            <w:pPr>
              <w:pStyle w:val="TableParagraph"/>
              <w:spacing w:before="65"/>
              <w:ind w:left="50"/>
              <w:rPr>
                <w:i/>
                <w:sz w:val="22"/>
              </w:rPr>
            </w:pPr>
            <w:r>
              <w:rPr>
                <w:i/>
                <w:sz w:val="22"/>
              </w:rPr>
              <w:t>3.2.2</w:t>
            </w:r>
          </w:p>
        </w:tc>
        <w:tc>
          <w:tcPr>
            <w:tcW w:w="1345" w:type="dxa"/>
          </w:tcPr>
          <w:p>
            <w:pPr>
              <w:pStyle w:val="TableParagraph"/>
              <w:spacing w:line="259" w:lineRule="auto" w:before="65"/>
              <w:ind w:left="163" w:right="337"/>
              <w:rPr>
                <w:i/>
                <w:sz w:val="22"/>
              </w:rPr>
            </w:pPr>
            <w:r>
              <w:rPr>
                <w:i/>
                <w:w w:val="95"/>
                <w:sz w:val="22"/>
              </w:rPr>
              <w:t>急性心肌梗塞</w:t>
            </w:r>
          </w:p>
        </w:tc>
        <w:tc>
          <w:tcPr>
            <w:tcW w:w="7998" w:type="dxa"/>
          </w:tcPr>
          <w:p>
            <w:pPr>
              <w:pStyle w:val="TableParagraph"/>
              <w:spacing w:line="273" w:lineRule="auto" w:before="76"/>
              <w:ind w:left="70" w:right="62"/>
              <w:rPr>
                <w:sz w:val="21"/>
              </w:rPr>
            </w:pPr>
            <w:r>
              <w:rPr>
                <w:sz w:val="21"/>
              </w:rPr>
              <w:t>指因冠状动脉阻塞导致的相应区域供血不足造成部分心肌坏死。须满足下列至少三项条件：</w:t>
            </w:r>
          </w:p>
        </w:tc>
      </w:tr>
      <w:tr>
        <w:trPr>
          <w:trHeight w:val="311"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（1）典型临床表现，例如急性胸痛等；</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1" w:lineRule="exact"/>
              <w:ind w:left="70"/>
              <w:rPr>
                <w:sz w:val="21"/>
              </w:rPr>
            </w:pPr>
            <w:r>
              <w:rPr>
                <w:sz w:val="21"/>
              </w:rPr>
              <w:t>（2）新近的心电图改变提示急性心肌梗塞；</w:t>
            </w:r>
          </w:p>
        </w:tc>
      </w:tr>
      <w:tr>
        <w:trPr>
          <w:trHeight w:val="312" w:hRule="atLeast"/>
        </w:trPr>
        <w:tc>
          <w:tcPr>
            <w:tcW w:w="737" w:type="dxa"/>
          </w:tcPr>
          <w:p>
            <w:pPr>
              <w:pStyle w:val="TableParagraph"/>
              <w:rPr>
                <w:rFonts w:ascii="Times New Roman"/>
                <w:sz w:val="20"/>
              </w:rPr>
            </w:pPr>
          </w:p>
        </w:tc>
        <w:tc>
          <w:tcPr>
            <w:tcW w:w="1345" w:type="dxa"/>
          </w:tcPr>
          <w:p>
            <w:pPr>
              <w:pStyle w:val="TableParagraph"/>
              <w:rPr>
                <w:rFonts w:ascii="Times New Roman"/>
                <w:sz w:val="20"/>
              </w:rPr>
            </w:pPr>
          </w:p>
        </w:tc>
        <w:tc>
          <w:tcPr>
            <w:tcW w:w="7998" w:type="dxa"/>
          </w:tcPr>
          <w:p>
            <w:pPr>
              <w:pStyle w:val="TableParagraph"/>
              <w:spacing w:line="262" w:lineRule="exact"/>
              <w:ind w:left="70"/>
              <w:rPr>
                <w:sz w:val="21"/>
              </w:rPr>
            </w:pPr>
            <w:r>
              <w:rPr>
                <w:sz w:val="21"/>
              </w:rPr>
              <w:t>（3）心肌酶或肌钙蛋白有诊断意义的升高，或呈符合急性心肌梗塞的动态性变化；</w:t>
            </w:r>
          </w:p>
        </w:tc>
      </w:tr>
      <w:tr>
        <w:trPr>
          <w:trHeight w:val="261" w:hRule="atLeast"/>
        </w:trPr>
        <w:tc>
          <w:tcPr>
            <w:tcW w:w="737" w:type="dxa"/>
          </w:tcPr>
          <w:p>
            <w:pPr>
              <w:pStyle w:val="TableParagraph"/>
              <w:rPr>
                <w:rFonts w:ascii="Times New Roman"/>
                <w:sz w:val="18"/>
              </w:rPr>
            </w:pPr>
          </w:p>
        </w:tc>
        <w:tc>
          <w:tcPr>
            <w:tcW w:w="1345" w:type="dxa"/>
          </w:tcPr>
          <w:p>
            <w:pPr>
              <w:pStyle w:val="TableParagraph"/>
              <w:rPr>
                <w:rFonts w:ascii="Times New Roman"/>
                <w:sz w:val="18"/>
              </w:rPr>
            </w:pPr>
          </w:p>
        </w:tc>
        <w:tc>
          <w:tcPr>
            <w:tcW w:w="7998" w:type="dxa"/>
          </w:tcPr>
          <w:p>
            <w:pPr>
              <w:pStyle w:val="TableParagraph"/>
              <w:spacing w:line="242" w:lineRule="exact"/>
              <w:ind w:left="70"/>
              <w:rPr>
                <w:sz w:val="21"/>
              </w:rPr>
            </w:pPr>
            <w:r>
              <w:rPr>
                <w:sz w:val="21"/>
              </w:rPr>
              <w:t>（4）发病 90 天后，经检查证实左心室功能降低，如左心室射血分数低于 50%。</w:t>
            </w:r>
          </w:p>
        </w:tc>
      </w:tr>
    </w:tbl>
    <w:p>
      <w:pPr>
        <w:spacing w:after="0" w:line="242" w:lineRule="exact"/>
        <w:rPr>
          <w:sz w:val="21"/>
        </w:rPr>
        <w:sectPr>
          <w:type w:val="continuous"/>
          <w:pgSz w:w="11910" w:h="16840"/>
          <w:pgMar w:top="780" w:bottom="280" w:left="800" w:right="700"/>
        </w:sectPr>
      </w:pPr>
    </w:p>
    <w:p>
      <w:pPr>
        <w:pStyle w:val="BodyText"/>
        <w:rPr>
          <w:rFonts w:ascii="Times New Roman"/>
          <w:sz w:val="20"/>
        </w:rPr>
      </w:pPr>
    </w:p>
    <w:p>
      <w:pPr>
        <w:pStyle w:val="BodyText"/>
        <w:spacing w:before="4"/>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149"/>
      </w:tblGrid>
      <w:tr>
        <w:trPr>
          <w:trHeight w:val="2213" w:hRule="atLeast"/>
        </w:trPr>
        <w:tc>
          <w:tcPr>
            <w:tcW w:w="942" w:type="dxa"/>
          </w:tcPr>
          <w:p>
            <w:pPr>
              <w:pStyle w:val="TableParagraph"/>
              <w:spacing w:line="222" w:lineRule="exact"/>
              <w:ind w:left="200"/>
              <w:rPr>
                <w:i/>
                <w:sz w:val="22"/>
              </w:rPr>
            </w:pPr>
            <w:r>
              <w:rPr>
                <w:i/>
                <w:sz w:val="22"/>
              </w:rPr>
              <w:t>3.2.3</w:t>
            </w:r>
          </w:p>
        </w:tc>
        <w:tc>
          <w:tcPr>
            <w:tcW w:w="1287" w:type="dxa"/>
          </w:tcPr>
          <w:p>
            <w:pPr>
              <w:pStyle w:val="TableParagraph"/>
              <w:spacing w:line="222" w:lineRule="exact"/>
              <w:ind w:left="108"/>
              <w:rPr>
                <w:i/>
                <w:sz w:val="22"/>
              </w:rPr>
            </w:pPr>
            <w:r>
              <w:rPr>
                <w:i/>
                <w:w w:val="95"/>
                <w:sz w:val="22"/>
              </w:rPr>
              <w:t>脑中风后</w:t>
            </w:r>
          </w:p>
          <w:p>
            <w:pPr>
              <w:pStyle w:val="TableParagraph"/>
              <w:spacing w:before="24"/>
              <w:ind w:left="108"/>
              <w:rPr>
                <w:i/>
                <w:sz w:val="22"/>
              </w:rPr>
            </w:pPr>
            <w:r>
              <w:rPr>
                <w:i/>
                <w:w w:val="95"/>
                <w:sz w:val="22"/>
              </w:rPr>
              <w:t>遗症</w:t>
            </w:r>
          </w:p>
        </w:tc>
        <w:tc>
          <w:tcPr>
            <w:tcW w:w="8149" w:type="dxa"/>
          </w:tcPr>
          <w:p>
            <w:pPr>
              <w:pStyle w:val="TableParagraph"/>
              <w:spacing w:line="221" w:lineRule="exact"/>
              <w:ind w:left="73"/>
              <w:rPr>
                <w:sz w:val="21"/>
              </w:rPr>
            </w:pPr>
            <w:r>
              <w:rPr>
                <w:sz w:val="21"/>
              </w:rPr>
              <w:t>指因脑血管的突发病变引起脑血管出血、栓塞或梗塞，并导致神经系统永久性的功能</w:t>
            </w:r>
          </w:p>
          <w:p>
            <w:pPr>
              <w:pStyle w:val="TableParagraph"/>
              <w:spacing w:line="273" w:lineRule="auto" w:before="37"/>
              <w:ind w:left="73" w:right="199"/>
              <w:rPr>
                <w:sz w:val="21"/>
              </w:rPr>
            </w:pPr>
            <w:r>
              <w:rPr>
                <w:sz w:val="21"/>
              </w:rPr>
              <w:t>障碍。神经系统永久性的功能障碍，指疾病确诊 180 天后，仍遗留下列一种或一种以上障碍：</w:t>
            </w:r>
          </w:p>
          <w:p>
            <w:pPr>
              <w:pStyle w:val="TableParagraph"/>
              <w:spacing w:before="7"/>
              <w:ind w:left="73"/>
              <w:rPr>
                <w:sz w:val="21"/>
              </w:rPr>
            </w:pPr>
            <w:r>
              <w:rPr>
                <w:sz w:val="21"/>
              </w:rPr>
              <w:t>（1）一肢或一肢以上</w:t>
            </w:r>
            <w:r>
              <w:rPr>
                <w:b/>
                <w:sz w:val="21"/>
              </w:rPr>
              <w:t>肢体机能完全丧失</w:t>
            </w:r>
            <w:r>
              <w:rPr>
                <w:sz w:val="21"/>
              </w:rPr>
              <w:t>；</w:t>
            </w:r>
          </w:p>
          <w:p>
            <w:pPr>
              <w:pStyle w:val="TableParagraph"/>
              <w:spacing w:before="37"/>
              <w:ind w:left="73"/>
              <w:rPr>
                <w:sz w:val="21"/>
              </w:rPr>
            </w:pPr>
            <w:r>
              <w:rPr>
                <w:sz w:val="21"/>
              </w:rPr>
              <w:t>（2）</w:t>
            </w:r>
            <w:r>
              <w:rPr>
                <w:b/>
                <w:sz w:val="21"/>
              </w:rPr>
              <w:t>语言能力或咀嚼吞咽能力完全丧失</w:t>
            </w:r>
            <w:r>
              <w:rPr>
                <w:sz w:val="21"/>
              </w:rPr>
              <w:t>；</w:t>
            </w:r>
          </w:p>
          <w:p>
            <w:pPr>
              <w:pStyle w:val="TableParagraph"/>
              <w:spacing w:line="273" w:lineRule="auto" w:before="37"/>
              <w:ind w:left="73" w:right="155"/>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942" w:type="dxa"/>
          </w:tcPr>
          <w:p>
            <w:pPr>
              <w:pStyle w:val="TableParagraph"/>
              <w:spacing w:before="76"/>
              <w:ind w:left="200"/>
              <w:rPr>
                <w:i/>
                <w:sz w:val="22"/>
              </w:rPr>
            </w:pPr>
            <w:r>
              <w:rPr>
                <w:i/>
                <w:sz w:val="22"/>
              </w:rPr>
              <w:t>3.2.4</w:t>
            </w:r>
          </w:p>
        </w:tc>
        <w:tc>
          <w:tcPr>
            <w:tcW w:w="1287" w:type="dxa"/>
          </w:tcPr>
          <w:p>
            <w:pPr>
              <w:pStyle w:val="TableParagraph"/>
              <w:spacing w:line="228" w:lineRule="auto" w:before="68"/>
              <w:ind w:left="108" w:right="72"/>
              <w:jc w:val="both"/>
              <w:rPr>
                <w:i/>
                <w:sz w:val="22"/>
              </w:rPr>
            </w:pPr>
            <w:r>
              <w:rPr>
                <w:i/>
                <w:sz w:val="22"/>
              </w:rPr>
              <w:t>重大器官移植术或造血干细</w:t>
            </w:r>
            <w:r>
              <w:rPr>
                <w:i/>
                <w:w w:val="95"/>
                <w:sz w:val="22"/>
              </w:rPr>
              <w:t>胞移植术</w:t>
            </w:r>
          </w:p>
        </w:tc>
        <w:tc>
          <w:tcPr>
            <w:tcW w:w="8149" w:type="dxa"/>
          </w:tcPr>
          <w:p>
            <w:pPr>
              <w:pStyle w:val="TableParagraph"/>
              <w:spacing w:line="273" w:lineRule="auto" w:before="87"/>
              <w:ind w:left="73" w:right="210"/>
              <w:rPr>
                <w:sz w:val="21"/>
              </w:rPr>
            </w:pPr>
            <w:r>
              <w:rPr>
                <w:sz w:val="21"/>
              </w:rPr>
              <w:t>重大器官移植术，指因相应器官功能衰竭，已经实施了肾脏、肝脏、心脏或肺脏的异体移植手术。</w:t>
            </w:r>
          </w:p>
          <w:p>
            <w:pPr>
              <w:pStyle w:val="TableParagraph"/>
              <w:spacing w:before="7"/>
              <w:ind w:left="73"/>
              <w:rPr>
                <w:sz w:val="21"/>
              </w:rPr>
            </w:pPr>
            <w:r>
              <w:rPr>
                <w:sz w:val="21"/>
              </w:rPr>
              <w:t>造血干细胞移植术，指因造血功能损害或造血系统恶性肿瘤，已经实施了造血干细胞</w:t>
            </w:r>
          </w:p>
          <w:p>
            <w:pPr>
              <w:pStyle w:val="TableParagraph"/>
              <w:spacing w:before="37"/>
              <w:ind w:left="73"/>
              <w:rPr>
                <w:sz w:val="21"/>
              </w:rPr>
            </w:pPr>
            <w:r>
              <w:rPr>
                <w:sz w:val="21"/>
              </w:rPr>
              <w:t>（包括骨髓造血干细胞、外周血造血干细胞和脐血造血干细胞）的异体移植手术。</w:t>
            </w:r>
          </w:p>
        </w:tc>
      </w:tr>
      <w:tr>
        <w:trPr>
          <w:trHeight w:val="1725" w:hRule="atLeast"/>
        </w:trPr>
        <w:tc>
          <w:tcPr>
            <w:tcW w:w="942" w:type="dxa"/>
          </w:tcPr>
          <w:p>
            <w:pPr>
              <w:pStyle w:val="TableParagraph"/>
              <w:spacing w:before="65"/>
              <w:ind w:left="200"/>
              <w:rPr>
                <w:i/>
                <w:sz w:val="22"/>
              </w:rPr>
            </w:pPr>
            <w:r>
              <w:rPr>
                <w:i/>
                <w:sz w:val="22"/>
              </w:rPr>
              <w:t>3.2.5</w:t>
            </w:r>
          </w:p>
        </w:tc>
        <w:tc>
          <w:tcPr>
            <w:tcW w:w="1287" w:type="dxa"/>
          </w:tcPr>
          <w:p>
            <w:pPr>
              <w:pStyle w:val="TableParagraph"/>
              <w:spacing w:line="259" w:lineRule="auto" w:before="65"/>
              <w:ind w:left="108" w:right="72"/>
              <w:jc w:val="both"/>
              <w:rPr>
                <w:i/>
                <w:sz w:val="22"/>
              </w:rPr>
            </w:pPr>
            <w:r>
              <w:rPr>
                <w:i/>
                <w:sz w:val="22"/>
              </w:rPr>
              <w:t>冠状动脉搭桥术（或称冠状动脉旁路移</w:t>
            </w:r>
            <w:r>
              <w:rPr>
                <w:i/>
                <w:w w:val="95"/>
                <w:sz w:val="22"/>
              </w:rPr>
              <w:t>植术）</w:t>
            </w:r>
          </w:p>
        </w:tc>
        <w:tc>
          <w:tcPr>
            <w:tcW w:w="8149" w:type="dxa"/>
          </w:tcPr>
          <w:p>
            <w:pPr>
              <w:pStyle w:val="TableParagraph"/>
              <w:spacing w:before="77"/>
              <w:ind w:left="73"/>
              <w:rPr>
                <w:sz w:val="21"/>
              </w:rPr>
            </w:pPr>
            <w:r>
              <w:rPr>
                <w:sz w:val="21"/>
              </w:rPr>
              <w:t>指为治疗严重的冠心病，实际实施了开胸进行的冠状动脉血管旁路移植的手术。</w:t>
            </w:r>
          </w:p>
          <w:p>
            <w:pPr>
              <w:pStyle w:val="TableParagraph"/>
              <w:spacing w:line="273" w:lineRule="auto" w:before="37"/>
              <w:ind w:left="73" w:right="210"/>
              <w:rPr>
                <w:sz w:val="21"/>
              </w:rPr>
            </w:pPr>
            <w:r>
              <w:rPr>
                <w:sz w:val="21"/>
              </w:rPr>
              <w:t>冠状动脉支架植入术、心导管球囊扩张术、激光射频技术及其它非开胸的介入手术、腔镜手术不在保障范围内。</w:t>
            </w:r>
          </w:p>
        </w:tc>
      </w:tr>
      <w:tr>
        <w:trPr>
          <w:trHeight w:val="1765" w:hRule="atLeast"/>
        </w:trPr>
        <w:tc>
          <w:tcPr>
            <w:tcW w:w="942" w:type="dxa"/>
          </w:tcPr>
          <w:p>
            <w:pPr>
              <w:pStyle w:val="TableParagraph"/>
              <w:spacing w:before="70"/>
              <w:ind w:left="200"/>
              <w:rPr>
                <w:i/>
                <w:sz w:val="22"/>
              </w:rPr>
            </w:pPr>
            <w:r>
              <w:rPr>
                <w:i/>
                <w:sz w:val="22"/>
              </w:rPr>
              <w:t>3.2.6</w:t>
            </w:r>
          </w:p>
        </w:tc>
        <w:tc>
          <w:tcPr>
            <w:tcW w:w="1287" w:type="dxa"/>
          </w:tcPr>
          <w:p>
            <w:pPr>
              <w:pStyle w:val="TableParagraph"/>
              <w:spacing w:line="259" w:lineRule="auto" w:before="70"/>
              <w:ind w:left="108" w:right="119"/>
              <w:rPr>
                <w:i/>
                <w:sz w:val="22"/>
              </w:rPr>
            </w:pPr>
            <w:r>
              <w:rPr>
                <w:i/>
                <w:sz w:val="22"/>
              </w:rPr>
              <w:t>终末期肾</w:t>
            </w:r>
            <w:r>
              <w:rPr>
                <w:i/>
                <w:w w:val="95"/>
                <w:sz w:val="22"/>
              </w:rPr>
              <w:t>病（或称慢</w:t>
            </w:r>
            <w:r>
              <w:rPr>
                <w:i/>
                <w:sz w:val="22"/>
              </w:rPr>
              <w:t>性肾功能衰竭尿毒</w:t>
            </w:r>
            <w:r>
              <w:rPr>
                <w:i/>
                <w:w w:val="95"/>
                <w:sz w:val="22"/>
              </w:rPr>
              <w:t>症期）</w:t>
            </w:r>
          </w:p>
        </w:tc>
        <w:tc>
          <w:tcPr>
            <w:tcW w:w="8149" w:type="dxa"/>
          </w:tcPr>
          <w:p>
            <w:pPr>
              <w:pStyle w:val="TableParagraph"/>
              <w:spacing w:line="237" w:lineRule="auto" w:before="63"/>
              <w:ind w:left="73" w:right="199"/>
              <w:rPr>
                <w:sz w:val="21"/>
              </w:rPr>
            </w:pPr>
            <w:r>
              <w:rPr>
                <w:spacing w:val="-5"/>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1007" w:hRule="atLeast"/>
        </w:trPr>
        <w:tc>
          <w:tcPr>
            <w:tcW w:w="942" w:type="dxa"/>
          </w:tcPr>
          <w:p>
            <w:pPr>
              <w:pStyle w:val="TableParagraph"/>
              <w:spacing w:before="93"/>
              <w:ind w:left="200"/>
              <w:rPr>
                <w:i/>
                <w:sz w:val="22"/>
              </w:rPr>
            </w:pPr>
            <w:r>
              <w:rPr>
                <w:i/>
                <w:sz w:val="22"/>
              </w:rPr>
              <w:t>3.2.7</w:t>
            </w:r>
          </w:p>
        </w:tc>
        <w:tc>
          <w:tcPr>
            <w:tcW w:w="1287" w:type="dxa"/>
          </w:tcPr>
          <w:p>
            <w:pPr>
              <w:pStyle w:val="TableParagraph"/>
              <w:spacing w:line="259" w:lineRule="auto" w:before="93"/>
              <w:ind w:left="108" w:right="72"/>
              <w:rPr>
                <w:i/>
                <w:sz w:val="22"/>
              </w:rPr>
            </w:pPr>
            <w:r>
              <w:rPr>
                <w:i/>
                <w:sz w:val="22"/>
              </w:rPr>
              <w:t>多个肢体</w:t>
            </w:r>
            <w:r>
              <w:rPr>
                <w:i/>
                <w:w w:val="95"/>
                <w:sz w:val="22"/>
              </w:rPr>
              <w:t>缺失</w:t>
            </w:r>
          </w:p>
        </w:tc>
        <w:tc>
          <w:tcPr>
            <w:tcW w:w="8149" w:type="dxa"/>
          </w:tcPr>
          <w:p>
            <w:pPr>
              <w:pStyle w:val="TableParagraph"/>
              <w:spacing w:line="273" w:lineRule="auto" w:before="105"/>
              <w:ind w:left="73" w:right="295"/>
              <w:rPr>
                <w:sz w:val="21"/>
              </w:rPr>
            </w:pPr>
            <w:r>
              <w:rPr>
                <w:sz w:val="21"/>
              </w:rPr>
              <w:t>指因疾病或意外伤害导致两个或两个以上肢体自腕关节或踝关节近端（靠近躯干端） 以上完全性断离。</w:t>
            </w:r>
          </w:p>
        </w:tc>
      </w:tr>
      <w:tr>
        <w:trPr>
          <w:trHeight w:val="2254" w:hRule="atLeast"/>
        </w:trPr>
        <w:tc>
          <w:tcPr>
            <w:tcW w:w="942" w:type="dxa"/>
          </w:tcPr>
          <w:p>
            <w:pPr>
              <w:pStyle w:val="TableParagraph"/>
              <w:spacing w:before="6"/>
              <w:rPr>
                <w:rFonts w:ascii="Times New Roman"/>
                <w:sz w:val="21"/>
              </w:rPr>
            </w:pPr>
          </w:p>
          <w:p>
            <w:pPr>
              <w:pStyle w:val="TableParagraph"/>
              <w:ind w:left="200"/>
              <w:rPr>
                <w:i/>
                <w:sz w:val="22"/>
              </w:rPr>
            </w:pPr>
            <w:r>
              <w:rPr>
                <w:i/>
                <w:sz w:val="22"/>
              </w:rPr>
              <w:t>3.2.8</w:t>
            </w:r>
          </w:p>
        </w:tc>
        <w:tc>
          <w:tcPr>
            <w:tcW w:w="1287" w:type="dxa"/>
          </w:tcPr>
          <w:p>
            <w:pPr>
              <w:pStyle w:val="TableParagraph"/>
              <w:spacing w:before="6"/>
              <w:rPr>
                <w:rFonts w:ascii="Times New Roman"/>
                <w:sz w:val="21"/>
              </w:rPr>
            </w:pPr>
          </w:p>
          <w:p>
            <w:pPr>
              <w:pStyle w:val="TableParagraph"/>
              <w:spacing w:line="259" w:lineRule="auto"/>
              <w:ind w:left="108" w:right="72"/>
              <w:jc w:val="both"/>
              <w:rPr>
                <w:i/>
                <w:sz w:val="22"/>
              </w:rPr>
            </w:pPr>
            <w:r>
              <w:rPr>
                <w:i/>
                <w:sz w:val="22"/>
              </w:rPr>
              <w:t>急性或亚急性重症</w:t>
            </w:r>
            <w:r>
              <w:rPr>
                <w:i/>
                <w:w w:val="95"/>
                <w:sz w:val="22"/>
              </w:rPr>
              <w:t>肝炎</w:t>
            </w:r>
          </w:p>
        </w:tc>
        <w:tc>
          <w:tcPr>
            <w:tcW w:w="8149" w:type="dxa"/>
          </w:tcPr>
          <w:p>
            <w:pPr>
              <w:pStyle w:val="TableParagraph"/>
              <w:spacing w:before="6"/>
              <w:rPr>
                <w:rFonts w:ascii="Times New Roman"/>
                <w:sz w:val="22"/>
              </w:rPr>
            </w:pPr>
          </w:p>
          <w:p>
            <w:pPr>
              <w:pStyle w:val="TableParagraph"/>
              <w:spacing w:line="273" w:lineRule="auto"/>
              <w:ind w:left="73" w:right="210"/>
              <w:rPr>
                <w:sz w:val="21"/>
              </w:rPr>
            </w:pPr>
            <w:r>
              <w:rPr>
                <w:sz w:val="21"/>
              </w:rPr>
              <w:t>指因肝炎病毒感染引起肝脏组织弥漫性坏死，导致急性肝功能衰竭，且经血清学或病毒学检查证实，并须满足下列全部条件：</w:t>
            </w:r>
          </w:p>
          <w:p>
            <w:pPr>
              <w:pStyle w:val="TableParagraph"/>
              <w:spacing w:before="7"/>
              <w:ind w:left="73"/>
              <w:rPr>
                <w:sz w:val="21"/>
              </w:rPr>
            </w:pPr>
            <w:r>
              <w:rPr>
                <w:sz w:val="21"/>
              </w:rPr>
              <w:t>（1）重度黄疸或黄疸迅速加重；</w:t>
            </w:r>
          </w:p>
          <w:p>
            <w:pPr>
              <w:pStyle w:val="TableParagraph"/>
              <w:spacing w:before="37"/>
              <w:ind w:left="73"/>
              <w:rPr>
                <w:sz w:val="21"/>
              </w:rPr>
            </w:pPr>
            <w:r>
              <w:rPr>
                <w:sz w:val="21"/>
              </w:rPr>
              <w:t>（2）肝性脑病；</w:t>
            </w:r>
          </w:p>
          <w:p>
            <w:pPr>
              <w:pStyle w:val="TableParagraph"/>
              <w:spacing w:before="37"/>
              <w:ind w:left="73"/>
              <w:rPr>
                <w:sz w:val="21"/>
              </w:rPr>
            </w:pPr>
            <w:r>
              <w:rPr>
                <w:sz w:val="21"/>
              </w:rPr>
              <w:t>（3）B 超或其它影像学检查显示肝脏体积急速萎缩；</w:t>
            </w:r>
          </w:p>
          <w:p>
            <w:pPr>
              <w:pStyle w:val="TableParagraph"/>
              <w:spacing w:before="37"/>
              <w:ind w:left="73"/>
              <w:rPr>
                <w:sz w:val="21"/>
              </w:rPr>
            </w:pPr>
            <w:r>
              <w:rPr>
                <w:sz w:val="21"/>
              </w:rPr>
              <w:t>（4）肝功能指标进行性恶化。</w:t>
            </w:r>
          </w:p>
        </w:tc>
      </w:tr>
      <w:tr>
        <w:trPr>
          <w:trHeight w:val="2099" w:hRule="atLeast"/>
        </w:trPr>
        <w:tc>
          <w:tcPr>
            <w:tcW w:w="942" w:type="dxa"/>
          </w:tcPr>
          <w:p>
            <w:pPr>
              <w:pStyle w:val="TableParagraph"/>
              <w:spacing w:before="94"/>
              <w:ind w:left="200"/>
              <w:rPr>
                <w:i/>
                <w:sz w:val="22"/>
              </w:rPr>
            </w:pPr>
            <w:r>
              <w:rPr>
                <w:i/>
                <w:sz w:val="22"/>
              </w:rPr>
              <w:t>3.2.9</w:t>
            </w:r>
          </w:p>
        </w:tc>
        <w:tc>
          <w:tcPr>
            <w:tcW w:w="1287" w:type="dxa"/>
          </w:tcPr>
          <w:p>
            <w:pPr>
              <w:pStyle w:val="TableParagraph"/>
              <w:spacing w:line="259" w:lineRule="auto" w:before="94"/>
              <w:ind w:left="108" w:right="72"/>
              <w:rPr>
                <w:i/>
                <w:sz w:val="22"/>
              </w:rPr>
            </w:pPr>
            <w:r>
              <w:rPr>
                <w:i/>
                <w:sz w:val="22"/>
              </w:rPr>
              <w:t>良性脑肿瘤</w:t>
            </w:r>
          </w:p>
        </w:tc>
        <w:tc>
          <w:tcPr>
            <w:tcW w:w="8149" w:type="dxa"/>
          </w:tcPr>
          <w:p>
            <w:pPr>
              <w:pStyle w:val="TableParagraph"/>
              <w:spacing w:line="273" w:lineRule="auto" w:before="106"/>
              <w:ind w:left="73" w:right="199"/>
              <w:jc w:val="both"/>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7"/>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ind w:left="73"/>
              <w:jc w:val="both"/>
              <w:rPr>
                <w:sz w:val="21"/>
              </w:rPr>
            </w:pPr>
            <w:r>
              <w:rPr>
                <w:sz w:val="21"/>
              </w:rPr>
              <w:t>（1）实际实施了开颅进行的脑肿瘤完全切除或部分切除的手术；</w:t>
            </w:r>
          </w:p>
          <w:p>
            <w:pPr>
              <w:pStyle w:val="TableParagraph"/>
              <w:spacing w:before="37"/>
              <w:ind w:left="73"/>
              <w:jc w:val="both"/>
              <w:rPr>
                <w:sz w:val="21"/>
              </w:rPr>
            </w:pPr>
            <w:r>
              <w:rPr>
                <w:sz w:val="21"/>
              </w:rPr>
              <w:t>（2）实际实施了对脑肿瘤进行的放射治疗。</w:t>
            </w:r>
          </w:p>
          <w:p>
            <w:pPr>
              <w:pStyle w:val="TableParagraph"/>
              <w:spacing w:before="37"/>
              <w:ind w:left="73"/>
              <w:jc w:val="both"/>
              <w:rPr>
                <w:sz w:val="21"/>
              </w:rPr>
            </w:pPr>
            <w:r>
              <w:rPr>
                <w:sz w:val="21"/>
              </w:rPr>
              <w:t>脑垂体瘤、脑囊肿、脑血管性疾病不在保障范围内。</w:t>
            </w:r>
          </w:p>
        </w:tc>
      </w:tr>
      <w:tr>
        <w:trPr>
          <w:trHeight w:val="1939" w:hRule="atLeast"/>
        </w:trPr>
        <w:tc>
          <w:tcPr>
            <w:tcW w:w="942" w:type="dxa"/>
          </w:tcPr>
          <w:p>
            <w:pPr>
              <w:pStyle w:val="TableParagraph"/>
              <w:spacing w:before="92"/>
              <w:ind w:left="200"/>
              <w:rPr>
                <w:i/>
                <w:sz w:val="22"/>
              </w:rPr>
            </w:pPr>
            <w:r>
              <w:rPr>
                <w:i/>
                <w:sz w:val="22"/>
              </w:rPr>
              <w:t>3.2.10</w:t>
            </w:r>
          </w:p>
        </w:tc>
        <w:tc>
          <w:tcPr>
            <w:tcW w:w="1287" w:type="dxa"/>
          </w:tcPr>
          <w:p>
            <w:pPr>
              <w:pStyle w:val="TableParagraph"/>
              <w:spacing w:line="259" w:lineRule="auto" w:before="92"/>
              <w:ind w:left="108" w:right="72"/>
              <w:jc w:val="both"/>
              <w:rPr>
                <w:i/>
                <w:sz w:val="22"/>
              </w:rPr>
            </w:pPr>
            <w:r>
              <w:rPr>
                <w:i/>
                <w:sz w:val="22"/>
              </w:rPr>
              <w:t>慢性肝功能衰竭失</w:t>
            </w:r>
            <w:r>
              <w:rPr>
                <w:i/>
                <w:w w:val="95"/>
                <w:sz w:val="22"/>
              </w:rPr>
              <w:t>代偿期</w:t>
            </w:r>
          </w:p>
        </w:tc>
        <w:tc>
          <w:tcPr>
            <w:tcW w:w="8149" w:type="dxa"/>
          </w:tcPr>
          <w:p>
            <w:pPr>
              <w:pStyle w:val="TableParagraph"/>
              <w:spacing w:before="104"/>
              <w:ind w:left="73"/>
              <w:rPr>
                <w:sz w:val="21"/>
              </w:rPr>
            </w:pPr>
            <w:r>
              <w:rPr>
                <w:sz w:val="21"/>
              </w:rPr>
              <w:t>指因慢性肝脏疾病导致肝功能衰竭,须满足下列全部条件：</w:t>
            </w:r>
          </w:p>
          <w:p>
            <w:pPr>
              <w:pStyle w:val="TableParagraph"/>
              <w:spacing w:before="37"/>
              <w:ind w:left="73"/>
              <w:rPr>
                <w:sz w:val="21"/>
              </w:rPr>
            </w:pPr>
            <w:r>
              <w:rPr>
                <w:sz w:val="21"/>
              </w:rPr>
              <w:t>（1）持续性黄疸；</w:t>
            </w:r>
          </w:p>
          <w:p>
            <w:pPr>
              <w:pStyle w:val="TableParagraph"/>
              <w:spacing w:before="37"/>
              <w:ind w:left="73"/>
              <w:rPr>
                <w:sz w:val="21"/>
              </w:rPr>
            </w:pPr>
            <w:r>
              <w:rPr>
                <w:sz w:val="21"/>
              </w:rPr>
              <w:t>（2）腹水；</w:t>
            </w:r>
          </w:p>
          <w:p>
            <w:pPr>
              <w:pStyle w:val="TableParagraph"/>
              <w:spacing w:before="37"/>
              <w:ind w:left="73"/>
              <w:rPr>
                <w:sz w:val="21"/>
              </w:rPr>
            </w:pPr>
            <w:r>
              <w:rPr>
                <w:sz w:val="21"/>
              </w:rPr>
              <w:t>（3）肝性脑病；</w:t>
            </w:r>
          </w:p>
          <w:p>
            <w:pPr>
              <w:pStyle w:val="TableParagraph"/>
              <w:spacing w:line="310" w:lineRule="atLeast" w:before="1"/>
              <w:ind w:left="73" w:right="2924"/>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6"/>
        <w:gridCol w:w="8255"/>
      </w:tblGrid>
      <w:tr>
        <w:trPr>
          <w:trHeight w:val="1940" w:hRule="atLeast"/>
        </w:trPr>
        <w:tc>
          <w:tcPr>
            <w:tcW w:w="942" w:type="dxa"/>
          </w:tcPr>
          <w:p>
            <w:pPr>
              <w:pStyle w:val="TableParagraph"/>
              <w:spacing w:line="222" w:lineRule="exact"/>
              <w:ind w:right="106"/>
              <w:jc w:val="right"/>
              <w:rPr>
                <w:i/>
                <w:sz w:val="22"/>
              </w:rPr>
            </w:pPr>
            <w:r>
              <w:rPr>
                <w:i/>
                <w:w w:val="95"/>
                <w:sz w:val="22"/>
              </w:rPr>
              <w:t>3.2.11</w:t>
            </w:r>
          </w:p>
        </w:tc>
        <w:tc>
          <w:tcPr>
            <w:tcW w:w="1286" w:type="dxa"/>
          </w:tcPr>
          <w:p>
            <w:pPr>
              <w:pStyle w:val="TableParagraph"/>
              <w:spacing w:line="222" w:lineRule="exact"/>
              <w:ind w:left="108"/>
              <w:rPr>
                <w:i/>
                <w:sz w:val="22"/>
              </w:rPr>
            </w:pPr>
            <w:r>
              <w:rPr>
                <w:i/>
                <w:w w:val="95"/>
                <w:sz w:val="22"/>
              </w:rPr>
              <w:t>脑炎后遗</w:t>
            </w:r>
            <w:r>
              <w:rPr>
                <w:i/>
                <w:sz w:val="22"/>
              </w:rPr>
              <w:t> </w:t>
            </w:r>
          </w:p>
          <w:p>
            <w:pPr>
              <w:pStyle w:val="TableParagraph"/>
              <w:spacing w:line="259" w:lineRule="auto" w:before="24"/>
              <w:ind w:left="108" w:right="71"/>
              <w:rPr>
                <w:i/>
                <w:sz w:val="22"/>
              </w:rPr>
            </w:pPr>
            <w:r>
              <w:rPr>
                <w:i/>
                <w:sz w:val="22"/>
              </w:rPr>
              <w:t>症或脑膜</w:t>
            </w:r>
            <w:r>
              <w:rPr>
                <w:i/>
                <w:w w:val="95"/>
                <w:sz w:val="22"/>
              </w:rPr>
              <w:t>炎后遗症</w:t>
            </w:r>
          </w:p>
        </w:tc>
        <w:tc>
          <w:tcPr>
            <w:tcW w:w="8255" w:type="dxa"/>
          </w:tcPr>
          <w:p>
            <w:pPr>
              <w:pStyle w:val="TableParagraph"/>
              <w:spacing w:line="221" w:lineRule="exact"/>
              <w:ind w:left="74"/>
              <w:rPr>
                <w:sz w:val="21"/>
              </w:rPr>
            </w:pPr>
            <w:r>
              <w:rPr>
                <w:sz w:val="21"/>
              </w:rPr>
              <w:t>指因患脑炎或脑膜炎导致的神经系统永久性的功能障碍。神经系统永久性的功能障碍，</w:t>
            </w:r>
          </w:p>
          <w:p>
            <w:pPr>
              <w:pStyle w:val="TableParagraph"/>
              <w:spacing w:before="37"/>
              <w:ind w:left="74"/>
              <w:rPr>
                <w:sz w:val="21"/>
              </w:rPr>
            </w:pPr>
            <w:r>
              <w:rPr>
                <w:sz w:val="21"/>
              </w:rPr>
              <w:t>指疾病确诊 180 天后，仍遗留下列一种或一种以上障碍：</w:t>
            </w:r>
          </w:p>
          <w:p>
            <w:pPr>
              <w:pStyle w:val="TableParagraph"/>
              <w:spacing w:before="36"/>
              <w:ind w:left="74"/>
              <w:rPr>
                <w:sz w:val="21"/>
              </w:rPr>
            </w:pPr>
            <w:r>
              <w:rPr>
                <w:sz w:val="21"/>
              </w:rPr>
              <w:t>（1）一肢或一肢以上肢体机能完全丧失；</w:t>
            </w:r>
          </w:p>
          <w:p>
            <w:pPr>
              <w:pStyle w:val="TableParagraph"/>
              <w:spacing w:before="36"/>
              <w:ind w:left="74"/>
              <w:rPr>
                <w:sz w:val="21"/>
              </w:rPr>
            </w:pPr>
            <w:r>
              <w:rPr>
                <w:sz w:val="21"/>
              </w:rPr>
              <w:t>（2）语言能力或咀嚼吞咽能力完全丧失；</w:t>
            </w:r>
          </w:p>
          <w:p>
            <w:pPr>
              <w:pStyle w:val="TableParagraph"/>
              <w:spacing w:line="273" w:lineRule="auto" w:before="36"/>
              <w:ind w:left="74" w:right="304"/>
              <w:rPr>
                <w:sz w:val="21"/>
              </w:rPr>
            </w:pPr>
            <w:r>
              <w:rPr>
                <w:sz w:val="21"/>
              </w:rPr>
              <w:t>（3）自主生活能力完全丧失，无法独立完成六项基本日常生活活动中的三项或三项以上。</w:t>
            </w:r>
          </w:p>
        </w:tc>
      </w:tr>
      <w:tr>
        <w:trPr>
          <w:trHeight w:val="1475" w:hRule="atLeast"/>
        </w:trPr>
        <w:tc>
          <w:tcPr>
            <w:tcW w:w="942" w:type="dxa"/>
          </w:tcPr>
          <w:p>
            <w:pPr>
              <w:pStyle w:val="TableParagraph"/>
              <w:spacing w:before="94"/>
              <w:ind w:right="106"/>
              <w:jc w:val="right"/>
              <w:rPr>
                <w:i/>
                <w:sz w:val="22"/>
              </w:rPr>
            </w:pPr>
            <w:r>
              <w:rPr>
                <w:i/>
                <w:w w:val="95"/>
                <w:sz w:val="22"/>
              </w:rPr>
              <w:t>3.2.12</w:t>
            </w:r>
          </w:p>
        </w:tc>
        <w:tc>
          <w:tcPr>
            <w:tcW w:w="1286" w:type="dxa"/>
          </w:tcPr>
          <w:p>
            <w:pPr>
              <w:pStyle w:val="TableParagraph"/>
              <w:spacing w:before="94"/>
              <w:ind w:left="108"/>
              <w:rPr>
                <w:i/>
                <w:sz w:val="22"/>
              </w:rPr>
            </w:pPr>
            <w:r>
              <w:rPr>
                <w:i/>
                <w:w w:val="95"/>
                <w:sz w:val="22"/>
              </w:rPr>
              <w:t>深度昏迷</w:t>
            </w:r>
          </w:p>
        </w:tc>
        <w:tc>
          <w:tcPr>
            <w:tcW w:w="8255" w:type="dxa"/>
          </w:tcPr>
          <w:p>
            <w:pPr>
              <w:pStyle w:val="TableParagraph"/>
              <w:spacing w:line="273" w:lineRule="auto" w:before="105"/>
              <w:ind w:left="74" w:right="40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9"/>
                <w:sz w:val="21"/>
              </w:rPr>
              <w:t> 分以下，且已经持续使用呼吸机及其它生命维持系统 </w:t>
            </w:r>
            <w:r>
              <w:rPr>
                <w:sz w:val="21"/>
              </w:rPr>
              <w:t>96 小时以上。</w:t>
            </w:r>
          </w:p>
          <w:p>
            <w:pPr>
              <w:pStyle w:val="TableParagraph"/>
              <w:spacing w:before="7"/>
              <w:ind w:left="74"/>
              <w:jc w:val="both"/>
              <w:rPr>
                <w:sz w:val="21"/>
              </w:rPr>
            </w:pPr>
            <w:r>
              <w:rPr>
                <w:sz w:val="21"/>
              </w:rPr>
              <w:t>因酗酒或药物滥用导致的深度昏迷不在保障范围内。</w:t>
            </w:r>
          </w:p>
        </w:tc>
      </w:tr>
      <w:tr>
        <w:trPr>
          <w:trHeight w:val="1787" w:hRule="atLeast"/>
        </w:trPr>
        <w:tc>
          <w:tcPr>
            <w:tcW w:w="942" w:type="dxa"/>
          </w:tcPr>
          <w:p>
            <w:pPr>
              <w:pStyle w:val="TableParagraph"/>
              <w:spacing w:before="93"/>
              <w:ind w:right="106"/>
              <w:jc w:val="right"/>
              <w:rPr>
                <w:i/>
                <w:sz w:val="22"/>
              </w:rPr>
            </w:pPr>
            <w:r>
              <w:rPr>
                <w:i/>
                <w:w w:val="95"/>
                <w:sz w:val="22"/>
              </w:rPr>
              <w:t>3.2.13</w:t>
            </w:r>
          </w:p>
        </w:tc>
        <w:tc>
          <w:tcPr>
            <w:tcW w:w="1286" w:type="dxa"/>
          </w:tcPr>
          <w:p>
            <w:pPr>
              <w:pStyle w:val="TableParagraph"/>
              <w:spacing w:before="93"/>
              <w:ind w:left="108"/>
              <w:rPr>
                <w:i/>
                <w:sz w:val="22"/>
              </w:rPr>
            </w:pPr>
            <w:r>
              <w:rPr>
                <w:i/>
                <w:w w:val="95"/>
                <w:sz w:val="22"/>
              </w:rPr>
              <w:t>双耳失聪</w:t>
            </w:r>
          </w:p>
        </w:tc>
        <w:tc>
          <w:tcPr>
            <w:tcW w:w="8255" w:type="dxa"/>
          </w:tcPr>
          <w:p>
            <w:pPr>
              <w:pStyle w:val="TableParagraph"/>
              <w:spacing w:before="104"/>
              <w:ind w:left="74"/>
              <w:rPr>
                <w:sz w:val="21"/>
              </w:rPr>
            </w:pPr>
            <w:r>
              <w:rPr>
                <w:sz w:val="21"/>
              </w:rPr>
              <w:t>指因疾病或意外伤害导致双耳听力</w:t>
            </w:r>
            <w:r>
              <w:rPr>
                <w:b/>
                <w:sz w:val="21"/>
              </w:rPr>
              <w:t>永久不可逆</w:t>
            </w:r>
            <w:r>
              <w:rPr>
                <w:sz w:val="21"/>
              </w:rPr>
              <w:t>性丧失，在 500 赫兹、1000 赫兹和 2000</w:t>
            </w:r>
          </w:p>
          <w:p>
            <w:pPr>
              <w:pStyle w:val="TableParagraph"/>
              <w:spacing w:line="273" w:lineRule="auto" w:before="36"/>
              <w:ind w:left="74" w:right="304"/>
              <w:rPr>
                <w:sz w:val="21"/>
              </w:rPr>
            </w:pPr>
            <w:r>
              <w:rPr>
                <w:spacing w:val="-6"/>
                <w:sz w:val="21"/>
              </w:rPr>
              <w:t>赫兹语音频率下，平均听阈大于 </w:t>
            </w:r>
            <w:r>
              <w:rPr>
                <w:sz w:val="21"/>
              </w:rPr>
              <w:t>90</w:t>
            </w:r>
            <w:r>
              <w:rPr>
                <w:spacing w:val="-8"/>
                <w:sz w:val="21"/>
              </w:rPr>
              <w:t> 分贝，且经纯音听力测试、声导抗检测或听觉诱发</w:t>
            </w:r>
            <w:r>
              <w:rPr>
                <w:spacing w:val="-5"/>
                <w:sz w:val="21"/>
              </w:rPr>
              <w:t>电位检测等证实。</w:t>
            </w:r>
          </w:p>
          <w:p>
            <w:pPr>
              <w:pStyle w:val="TableParagraph"/>
              <w:spacing w:line="273" w:lineRule="auto" w:before="7"/>
              <w:ind w:left="74" w:right="400"/>
              <w:rPr>
                <w:sz w:val="21"/>
              </w:rPr>
            </w:pPr>
            <w:r>
              <w:rPr>
                <w:sz w:val="21"/>
              </w:rPr>
              <w:t>被保险人申请理赔时年龄必须在三</w:t>
            </w:r>
            <w:r>
              <w:rPr>
                <w:b/>
                <w:sz w:val="21"/>
              </w:rPr>
              <w:t>周岁</w:t>
            </w:r>
            <w:r>
              <w:rPr>
                <w:sz w:val="21"/>
              </w:rPr>
              <w:t>以上，并且提供理赔当时的听力丧失诊断及检查证据。</w:t>
            </w:r>
          </w:p>
        </w:tc>
      </w:tr>
      <w:tr>
        <w:trPr>
          <w:trHeight w:val="2411" w:hRule="atLeast"/>
        </w:trPr>
        <w:tc>
          <w:tcPr>
            <w:tcW w:w="942" w:type="dxa"/>
          </w:tcPr>
          <w:p>
            <w:pPr>
              <w:pStyle w:val="TableParagraph"/>
              <w:spacing w:before="94"/>
              <w:ind w:right="106"/>
              <w:jc w:val="right"/>
              <w:rPr>
                <w:i/>
                <w:sz w:val="22"/>
              </w:rPr>
            </w:pPr>
            <w:r>
              <w:rPr>
                <w:i/>
                <w:w w:val="95"/>
                <w:sz w:val="22"/>
              </w:rPr>
              <w:t>3.2.14</w:t>
            </w:r>
          </w:p>
        </w:tc>
        <w:tc>
          <w:tcPr>
            <w:tcW w:w="1286" w:type="dxa"/>
          </w:tcPr>
          <w:p>
            <w:pPr>
              <w:pStyle w:val="TableParagraph"/>
              <w:spacing w:before="94"/>
              <w:ind w:left="108"/>
              <w:rPr>
                <w:i/>
                <w:sz w:val="22"/>
              </w:rPr>
            </w:pPr>
            <w:r>
              <w:rPr>
                <w:i/>
                <w:w w:val="95"/>
                <w:sz w:val="22"/>
              </w:rPr>
              <w:t>双目失明</w:t>
            </w:r>
          </w:p>
        </w:tc>
        <w:tc>
          <w:tcPr>
            <w:tcW w:w="8255" w:type="dxa"/>
          </w:tcPr>
          <w:p>
            <w:pPr>
              <w:pStyle w:val="TableParagraph"/>
              <w:spacing w:line="273" w:lineRule="auto" w:before="105"/>
              <w:ind w:left="74" w:right="400"/>
              <w:rPr>
                <w:sz w:val="21"/>
              </w:rPr>
            </w:pPr>
            <w:r>
              <w:rPr>
                <w:sz w:val="21"/>
              </w:rPr>
              <w:t>指因疾病或意外伤害导致双眼视力永久不可逆性丧失，双眼中较好眼须满足下列至少一项条件：</w:t>
            </w:r>
          </w:p>
          <w:p>
            <w:pPr>
              <w:pStyle w:val="TableParagraph"/>
              <w:spacing w:before="7"/>
              <w:ind w:left="74"/>
              <w:rPr>
                <w:sz w:val="21"/>
              </w:rPr>
            </w:pPr>
            <w:r>
              <w:rPr>
                <w:sz w:val="21"/>
              </w:rPr>
              <w:t>（1）眼球缺失或摘除；</w:t>
            </w:r>
          </w:p>
          <w:p>
            <w:pPr>
              <w:pStyle w:val="TableParagraph"/>
              <w:spacing w:before="37"/>
              <w:ind w:left="74"/>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6"/>
                <w:w w:val="100"/>
                <w:sz w:val="21"/>
              </w:rPr>
              <w:t>）</w:t>
            </w:r>
            <w:r>
              <w:rPr>
                <w:w w:val="100"/>
                <w:sz w:val="21"/>
              </w:rPr>
              <w:t>；</w:t>
            </w:r>
          </w:p>
          <w:p>
            <w:pPr>
              <w:pStyle w:val="TableParagraph"/>
              <w:spacing w:before="37"/>
              <w:ind w:left="74"/>
              <w:rPr>
                <w:sz w:val="21"/>
              </w:rPr>
            </w:pPr>
            <w:r>
              <w:rPr>
                <w:sz w:val="21"/>
              </w:rPr>
              <w:t>（3）视野半径小于 5 度。</w:t>
            </w:r>
          </w:p>
          <w:p>
            <w:pPr>
              <w:pStyle w:val="TableParagraph"/>
              <w:spacing w:line="273" w:lineRule="auto" w:before="36"/>
              <w:ind w:left="74" w:right="400"/>
              <w:rPr>
                <w:sz w:val="21"/>
              </w:rPr>
            </w:pPr>
            <w:r>
              <w:rPr>
                <w:sz w:val="21"/>
              </w:rPr>
              <w:t>被保险人申请理赔时年龄必须在三周岁以上，并且提供理赔当时的视力丧失诊断及检查证据。</w:t>
            </w:r>
          </w:p>
        </w:tc>
      </w:tr>
      <w:tr>
        <w:trPr>
          <w:trHeight w:val="1162" w:hRule="atLeast"/>
        </w:trPr>
        <w:tc>
          <w:tcPr>
            <w:tcW w:w="942" w:type="dxa"/>
          </w:tcPr>
          <w:p>
            <w:pPr>
              <w:pStyle w:val="TableParagraph"/>
              <w:spacing w:before="92"/>
              <w:ind w:right="106"/>
              <w:jc w:val="right"/>
              <w:rPr>
                <w:i/>
                <w:sz w:val="22"/>
              </w:rPr>
            </w:pPr>
            <w:r>
              <w:rPr>
                <w:i/>
                <w:w w:val="95"/>
                <w:sz w:val="22"/>
              </w:rPr>
              <w:t>3.2.15</w:t>
            </w:r>
          </w:p>
        </w:tc>
        <w:tc>
          <w:tcPr>
            <w:tcW w:w="1286" w:type="dxa"/>
          </w:tcPr>
          <w:p>
            <w:pPr>
              <w:pStyle w:val="TableParagraph"/>
              <w:spacing w:before="92"/>
              <w:ind w:left="108"/>
              <w:rPr>
                <w:i/>
                <w:sz w:val="22"/>
              </w:rPr>
            </w:pPr>
            <w:r>
              <w:rPr>
                <w:i/>
                <w:w w:val="95"/>
                <w:sz w:val="22"/>
              </w:rPr>
              <w:t>瘫痪</w:t>
            </w:r>
          </w:p>
        </w:tc>
        <w:tc>
          <w:tcPr>
            <w:tcW w:w="8255" w:type="dxa"/>
          </w:tcPr>
          <w:p>
            <w:pPr>
              <w:pStyle w:val="TableParagraph"/>
              <w:spacing w:line="273" w:lineRule="auto" w:before="104"/>
              <w:ind w:left="74" w:right="304"/>
              <w:jc w:val="both"/>
              <w:rPr>
                <w:sz w:val="21"/>
              </w:rPr>
            </w:pPr>
            <w:r>
              <w:rPr>
                <w:sz w:val="21"/>
              </w:rPr>
              <w:t>指因疾病或意外伤害导致两肢或两肢以上肢体机能永久完全丧失。肢体机能永久完全</w:t>
            </w:r>
            <w:r>
              <w:rPr>
                <w:spacing w:val="-5"/>
                <w:sz w:val="21"/>
              </w:rPr>
              <w:t>丧失，指疾病确诊 </w:t>
            </w:r>
            <w:r>
              <w:rPr>
                <w:sz w:val="21"/>
              </w:rPr>
              <w:t>180</w:t>
            </w:r>
            <w:r>
              <w:rPr>
                <w:spacing w:val="-7"/>
                <w:sz w:val="21"/>
              </w:rPr>
              <w:t> 天后或意外伤害发生 </w:t>
            </w:r>
            <w:r>
              <w:rPr>
                <w:sz w:val="21"/>
              </w:rPr>
              <w:t>180</w:t>
            </w:r>
            <w:r>
              <w:rPr>
                <w:spacing w:val="-5"/>
                <w:sz w:val="21"/>
              </w:rPr>
              <w:t> 天后，每肢三大关节中的两大关节仍</w:t>
            </w:r>
            <w:r>
              <w:rPr>
                <w:spacing w:val="-4"/>
                <w:sz w:val="21"/>
              </w:rPr>
              <w:t>然完全僵硬，或不能随意识活动。</w:t>
            </w:r>
          </w:p>
        </w:tc>
      </w:tr>
      <w:tr>
        <w:trPr>
          <w:trHeight w:val="852" w:hRule="atLeast"/>
        </w:trPr>
        <w:tc>
          <w:tcPr>
            <w:tcW w:w="942" w:type="dxa"/>
          </w:tcPr>
          <w:p>
            <w:pPr>
              <w:pStyle w:val="TableParagraph"/>
              <w:spacing w:before="94"/>
              <w:ind w:right="105"/>
              <w:jc w:val="right"/>
              <w:rPr>
                <w:i/>
                <w:sz w:val="22"/>
              </w:rPr>
            </w:pPr>
            <w:r>
              <w:rPr>
                <w:i/>
                <w:w w:val="95"/>
                <w:sz w:val="22"/>
              </w:rPr>
              <w:t>3.2.16</w:t>
            </w:r>
          </w:p>
        </w:tc>
        <w:tc>
          <w:tcPr>
            <w:tcW w:w="1286" w:type="dxa"/>
          </w:tcPr>
          <w:p>
            <w:pPr>
              <w:pStyle w:val="TableParagraph"/>
              <w:spacing w:line="259" w:lineRule="auto" w:before="94"/>
              <w:ind w:left="108" w:right="71"/>
              <w:rPr>
                <w:i/>
                <w:sz w:val="22"/>
              </w:rPr>
            </w:pPr>
            <w:r>
              <w:rPr>
                <w:i/>
                <w:sz w:val="22"/>
              </w:rPr>
              <w:t>心脏瓣膜</w:t>
            </w:r>
            <w:r>
              <w:rPr>
                <w:i/>
                <w:w w:val="95"/>
                <w:sz w:val="22"/>
              </w:rPr>
              <w:t>手术</w:t>
            </w:r>
          </w:p>
        </w:tc>
        <w:tc>
          <w:tcPr>
            <w:tcW w:w="8255" w:type="dxa"/>
          </w:tcPr>
          <w:p>
            <w:pPr>
              <w:pStyle w:val="TableParagraph"/>
              <w:spacing w:before="105"/>
              <w:ind w:left="74"/>
              <w:rPr>
                <w:sz w:val="21"/>
              </w:rPr>
            </w:pPr>
            <w:r>
              <w:rPr>
                <w:sz w:val="21"/>
              </w:rPr>
              <w:t>指为治疗心脏瓣膜疾病，实际实施了开胸进行的心脏瓣膜置换或修复的手术。</w:t>
            </w:r>
          </w:p>
        </w:tc>
      </w:tr>
      <w:tr>
        <w:trPr>
          <w:trHeight w:val="1786" w:hRule="atLeast"/>
        </w:trPr>
        <w:tc>
          <w:tcPr>
            <w:tcW w:w="942" w:type="dxa"/>
          </w:tcPr>
          <w:p>
            <w:pPr>
              <w:pStyle w:val="TableParagraph"/>
              <w:spacing w:before="93"/>
              <w:ind w:right="106"/>
              <w:jc w:val="right"/>
              <w:rPr>
                <w:i/>
                <w:sz w:val="22"/>
              </w:rPr>
            </w:pPr>
            <w:r>
              <w:rPr>
                <w:i/>
                <w:w w:val="95"/>
                <w:sz w:val="22"/>
              </w:rPr>
              <w:t>3.2.17</w:t>
            </w:r>
          </w:p>
        </w:tc>
        <w:tc>
          <w:tcPr>
            <w:tcW w:w="1286" w:type="dxa"/>
          </w:tcPr>
          <w:p>
            <w:pPr>
              <w:pStyle w:val="TableParagraph"/>
              <w:spacing w:line="261" w:lineRule="auto" w:before="93"/>
              <w:ind w:left="108" w:right="333"/>
              <w:rPr>
                <w:i/>
                <w:sz w:val="22"/>
              </w:rPr>
            </w:pPr>
            <w:r>
              <w:rPr>
                <w:i/>
                <w:w w:val="95"/>
                <w:sz w:val="22"/>
              </w:rPr>
              <w:t>严重阿尔茨海默病</w:t>
            </w:r>
          </w:p>
        </w:tc>
        <w:tc>
          <w:tcPr>
            <w:tcW w:w="8255" w:type="dxa"/>
          </w:tcPr>
          <w:p>
            <w:pPr>
              <w:pStyle w:val="TableParagraph"/>
              <w:spacing w:line="273" w:lineRule="auto" w:before="104"/>
              <w:ind w:left="74" w:right="199"/>
              <w:rPr>
                <w:sz w:val="21"/>
              </w:rPr>
            </w:pPr>
            <w:r>
              <w:rPr>
                <w:sz w:val="21"/>
              </w:rPr>
              <w:t>指因大脑进行性、不可逆性改变导致智能严重衰退或丧失，临床表现为明显的认知能 力障碍、行为异常和社交能力减退，其日常生活必须持续受到他人监护。须由头颅断</w:t>
            </w:r>
            <w:r>
              <w:rPr>
                <w:spacing w:val="-9"/>
                <w:w w:val="100"/>
                <w:sz w:val="21"/>
              </w:rPr>
              <w:t>层扫描</w:t>
            </w:r>
            <w:r>
              <w:rPr>
                <w:w w:val="100"/>
                <w:sz w:val="21"/>
              </w:rPr>
              <w:t>（</w:t>
            </w:r>
            <w:r>
              <w:rPr>
                <w:spacing w:val="-3"/>
                <w:w w:val="100"/>
                <w:sz w:val="21"/>
              </w:rPr>
              <w:t>C</w:t>
            </w:r>
            <w:r>
              <w:rPr>
                <w:w w:val="100"/>
                <w:sz w:val="21"/>
              </w:rPr>
              <w:t>T</w:t>
            </w:r>
            <w:r>
              <w:rPr>
                <w:spacing w:val="-108"/>
                <w:w w:val="100"/>
                <w:sz w:val="21"/>
              </w:rPr>
              <w:t>）</w:t>
            </w:r>
            <w:r>
              <w:rPr>
                <w:spacing w:val="-10"/>
                <w:w w:val="100"/>
                <w:sz w:val="21"/>
              </w:rPr>
              <w:t>、核磁共振检查</w:t>
            </w:r>
            <w:r>
              <w:rPr>
                <w:spacing w:val="-1"/>
                <w:w w:val="100"/>
                <w:sz w:val="21"/>
              </w:rPr>
              <w:t>（</w:t>
            </w:r>
            <w:r>
              <w:rPr>
                <w:spacing w:val="-3"/>
                <w:w w:val="100"/>
                <w:sz w:val="21"/>
              </w:rPr>
              <w:t>M</w:t>
            </w:r>
            <w:r>
              <w:rPr>
                <w:w w:val="100"/>
                <w:sz w:val="21"/>
              </w:rPr>
              <w:t>RI)</w:t>
            </w:r>
            <w:r>
              <w:rPr>
                <w:spacing w:val="-2"/>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spacing w:val="-22"/>
                <w:w w:val="100"/>
                <w:sz w:val="21"/>
              </w:rPr>
              <w:t>）</w:t>
            </w:r>
            <w:r>
              <w:rPr>
                <w:spacing w:val="-3"/>
                <w:w w:val="100"/>
                <w:sz w:val="21"/>
              </w:rPr>
              <w:t>等影像学检查证实，</w:t>
            </w:r>
            <w:r>
              <w:rPr>
                <w:spacing w:val="-4"/>
                <w:sz w:val="21"/>
              </w:rPr>
              <w:t>且自主生活能力完全丧失，无法独立完成六项基本日常生活活动中的三项或三项以上。</w:t>
            </w:r>
            <w:r>
              <w:rPr>
                <w:spacing w:val="-3"/>
                <w:sz w:val="21"/>
              </w:rPr>
              <w:t>神经官能症和精神疾病不在保障范围内。</w:t>
            </w:r>
          </w:p>
        </w:tc>
      </w:tr>
      <w:tr>
        <w:trPr>
          <w:trHeight w:val="2563" w:hRule="atLeast"/>
        </w:trPr>
        <w:tc>
          <w:tcPr>
            <w:tcW w:w="942" w:type="dxa"/>
          </w:tcPr>
          <w:p>
            <w:pPr>
              <w:pStyle w:val="TableParagraph"/>
              <w:spacing w:before="92"/>
              <w:ind w:right="106"/>
              <w:jc w:val="right"/>
              <w:rPr>
                <w:i/>
                <w:sz w:val="22"/>
              </w:rPr>
            </w:pPr>
            <w:r>
              <w:rPr>
                <w:i/>
                <w:w w:val="95"/>
                <w:sz w:val="22"/>
              </w:rPr>
              <w:t>3.2.18</w:t>
            </w:r>
          </w:p>
        </w:tc>
        <w:tc>
          <w:tcPr>
            <w:tcW w:w="1286" w:type="dxa"/>
          </w:tcPr>
          <w:p>
            <w:pPr>
              <w:pStyle w:val="TableParagraph"/>
              <w:spacing w:line="259" w:lineRule="auto" w:before="92"/>
              <w:ind w:left="108" w:right="333"/>
              <w:rPr>
                <w:i/>
                <w:sz w:val="22"/>
              </w:rPr>
            </w:pPr>
            <w:r>
              <w:rPr>
                <w:i/>
                <w:w w:val="95"/>
                <w:sz w:val="22"/>
              </w:rPr>
              <w:t>严重脑损</w:t>
            </w:r>
            <w:r>
              <w:rPr>
                <w:i/>
                <w:sz w:val="22"/>
              </w:rPr>
              <w:t>伤</w:t>
            </w:r>
          </w:p>
        </w:tc>
        <w:tc>
          <w:tcPr>
            <w:tcW w:w="8255" w:type="dxa"/>
          </w:tcPr>
          <w:p>
            <w:pPr>
              <w:pStyle w:val="TableParagraph"/>
              <w:spacing w:line="273" w:lineRule="auto" w:before="104"/>
              <w:ind w:left="74" w:right="304"/>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ET）</w:t>
            </w:r>
            <w:r>
              <w:rPr>
                <w:w w:val="100"/>
                <w:sz w:val="21"/>
              </w:rPr>
              <w:t>等影像</w:t>
            </w:r>
            <w:r>
              <w:rPr>
                <w:spacing w:val="-5"/>
                <w:sz w:val="21"/>
              </w:rPr>
              <w:t>学检查证实。神经系统永久性的功能障碍，指脑损伤 </w:t>
            </w:r>
            <w:r>
              <w:rPr>
                <w:sz w:val="21"/>
              </w:rPr>
              <w:t>180</w:t>
            </w:r>
            <w:r>
              <w:rPr>
                <w:spacing w:val="-3"/>
                <w:sz w:val="21"/>
              </w:rPr>
              <w:t> 天后，仍遗留下列一种或一种以上障碍：</w:t>
            </w:r>
          </w:p>
          <w:p>
            <w:pPr>
              <w:pStyle w:val="TableParagraph"/>
              <w:spacing w:before="7"/>
              <w:ind w:left="74"/>
              <w:rPr>
                <w:sz w:val="21"/>
              </w:rPr>
            </w:pPr>
            <w:r>
              <w:rPr>
                <w:sz w:val="21"/>
              </w:rPr>
              <w:t>（1）一肢或一肢以上肢体机能完全丧失；</w:t>
            </w:r>
          </w:p>
          <w:p>
            <w:pPr>
              <w:pStyle w:val="TableParagraph"/>
              <w:spacing w:before="37"/>
              <w:ind w:left="74"/>
              <w:rPr>
                <w:sz w:val="21"/>
              </w:rPr>
            </w:pPr>
            <w:r>
              <w:rPr>
                <w:sz w:val="21"/>
              </w:rPr>
              <w:t>（2）语言能力或咀嚼吞咽能力完全丧失；</w:t>
            </w:r>
          </w:p>
          <w:p>
            <w:pPr>
              <w:pStyle w:val="TableParagraph"/>
              <w:spacing w:line="310" w:lineRule="atLeast" w:before="2"/>
              <w:ind w:left="74" w:right="304"/>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header="568" w:footer="0" w:top="800" w:bottom="280" w:left="720" w:right="480"/>
        </w:sectPr>
      </w:pPr>
    </w:p>
    <w:p>
      <w:pPr>
        <w:pStyle w:val="BodyText"/>
        <w:rPr>
          <w:rFonts w:ascii="Times New Roman"/>
          <w:sz w:val="20"/>
        </w:rPr>
      </w:pPr>
    </w:p>
    <w:p>
      <w:pPr>
        <w:pStyle w:val="BodyText"/>
        <w:spacing w:before="4"/>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160"/>
      </w:tblGrid>
      <w:tr>
        <w:trPr>
          <w:trHeight w:val="1940" w:hRule="atLeast"/>
        </w:trPr>
        <w:tc>
          <w:tcPr>
            <w:tcW w:w="942" w:type="dxa"/>
          </w:tcPr>
          <w:p>
            <w:pPr>
              <w:pStyle w:val="TableParagraph"/>
              <w:spacing w:line="222" w:lineRule="exact"/>
              <w:ind w:right="106"/>
              <w:jc w:val="right"/>
              <w:rPr>
                <w:i/>
                <w:sz w:val="22"/>
              </w:rPr>
            </w:pPr>
            <w:r>
              <w:rPr>
                <w:i/>
                <w:w w:val="95"/>
                <w:sz w:val="22"/>
              </w:rPr>
              <w:t>3.2.19</w:t>
            </w:r>
          </w:p>
        </w:tc>
        <w:tc>
          <w:tcPr>
            <w:tcW w:w="1287" w:type="dxa"/>
          </w:tcPr>
          <w:p>
            <w:pPr>
              <w:pStyle w:val="TableParagraph"/>
              <w:spacing w:line="222" w:lineRule="exact"/>
              <w:ind w:left="108"/>
              <w:rPr>
                <w:i/>
                <w:sz w:val="22"/>
              </w:rPr>
            </w:pPr>
            <w:r>
              <w:rPr>
                <w:i/>
                <w:w w:val="95"/>
                <w:sz w:val="22"/>
              </w:rPr>
              <w:t>严重帕金</w:t>
            </w:r>
            <w:r>
              <w:rPr>
                <w:i/>
                <w:sz w:val="22"/>
              </w:rPr>
              <w:t> </w:t>
            </w:r>
          </w:p>
          <w:p>
            <w:pPr>
              <w:pStyle w:val="TableParagraph"/>
              <w:spacing w:before="24"/>
              <w:ind w:left="108"/>
              <w:rPr>
                <w:i/>
                <w:sz w:val="22"/>
              </w:rPr>
            </w:pPr>
            <w:r>
              <w:rPr>
                <w:i/>
                <w:w w:val="95"/>
                <w:sz w:val="22"/>
              </w:rPr>
              <w:t>森病</w:t>
            </w:r>
          </w:p>
        </w:tc>
        <w:tc>
          <w:tcPr>
            <w:tcW w:w="8160" w:type="dxa"/>
          </w:tcPr>
          <w:p>
            <w:pPr>
              <w:pStyle w:val="TableParagraph"/>
              <w:spacing w:line="221" w:lineRule="exact"/>
              <w:ind w:left="73"/>
              <w:rPr>
                <w:sz w:val="21"/>
              </w:rPr>
            </w:pPr>
            <w:r>
              <w:rPr>
                <w:sz w:val="21"/>
              </w:rPr>
              <w:t>是一种中枢神经系统的退行性疾病，临床表现为震颤麻痹、共济失调等。须满足下列</w:t>
            </w:r>
          </w:p>
          <w:p>
            <w:pPr>
              <w:pStyle w:val="TableParagraph"/>
              <w:spacing w:before="37"/>
              <w:ind w:left="73"/>
              <w:rPr>
                <w:sz w:val="21"/>
              </w:rPr>
            </w:pPr>
            <w:r>
              <w:rPr>
                <w:sz w:val="21"/>
              </w:rPr>
              <w:t>全部条件：</w:t>
            </w:r>
          </w:p>
          <w:p>
            <w:pPr>
              <w:pStyle w:val="TableParagraph"/>
              <w:spacing w:before="36"/>
              <w:ind w:left="73"/>
              <w:rPr>
                <w:sz w:val="21"/>
              </w:rPr>
            </w:pPr>
            <w:r>
              <w:rPr>
                <w:sz w:val="21"/>
              </w:rPr>
              <w:t>（1）药物治疗无法控制病情；</w:t>
            </w:r>
          </w:p>
          <w:p>
            <w:pPr>
              <w:pStyle w:val="TableParagraph"/>
              <w:spacing w:line="273" w:lineRule="auto" w:before="36"/>
              <w:ind w:left="73" w:right="210"/>
              <w:rPr>
                <w:sz w:val="21"/>
              </w:rPr>
            </w:pPr>
            <w:r>
              <w:rPr>
                <w:sz w:val="21"/>
              </w:rPr>
              <w:t>（2）自主生活能力完全丧失，无法独立完成六项基本日常生活活动中的三项或三项以上。</w:t>
            </w:r>
          </w:p>
          <w:p>
            <w:pPr>
              <w:pStyle w:val="TableParagraph"/>
              <w:spacing w:before="7"/>
              <w:ind w:left="73"/>
              <w:rPr>
                <w:sz w:val="21"/>
              </w:rPr>
            </w:pPr>
            <w:r>
              <w:rPr>
                <w:sz w:val="21"/>
              </w:rPr>
              <w:t>继发性帕金森综合征不在保障范围内。</w:t>
            </w:r>
          </w:p>
        </w:tc>
      </w:tr>
      <w:tr>
        <w:trPr>
          <w:trHeight w:val="852" w:hRule="atLeast"/>
        </w:trPr>
        <w:tc>
          <w:tcPr>
            <w:tcW w:w="942" w:type="dxa"/>
          </w:tcPr>
          <w:p>
            <w:pPr>
              <w:pStyle w:val="TableParagraph"/>
              <w:spacing w:before="94"/>
              <w:ind w:right="106"/>
              <w:jc w:val="right"/>
              <w:rPr>
                <w:i/>
                <w:sz w:val="22"/>
              </w:rPr>
            </w:pPr>
            <w:r>
              <w:rPr>
                <w:i/>
                <w:w w:val="95"/>
                <w:sz w:val="22"/>
              </w:rPr>
              <w:t>3.2.20</w:t>
            </w:r>
          </w:p>
        </w:tc>
        <w:tc>
          <w:tcPr>
            <w:tcW w:w="1287" w:type="dxa"/>
          </w:tcPr>
          <w:p>
            <w:pPr>
              <w:pStyle w:val="TableParagraph"/>
              <w:spacing w:line="259" w:lineRule="auto" w:before="94"/>
              <w:ind w:left="108" w:right="334"/>
              <w:rPr>
                <w:i/>
                <w:sz w:val="22"/>
              </w:rPr>
            </w:pPr>
            <w:r>
              <w:rPr>
                <w:i/>
                <w:w w:val="95"/>
                <w:sz w:val="22"/>
              </w:rPr>
              <w:t>严重Ⅲ度烧伤</w:t>
            </w:r>
          </w:p>
        </w:tc>
        <w:tc>
          <w:tcPr>
            <w:tcW w:w="8160" w:type="dxa"/>
          </w:tcPr>
          <w:p>
            <w:pPr>
              <w:pStyle w:val="TableParagraph"/>
              <w:spacing w:line="273" w:lineRule="auto" w:before="105"/>
              <w:ind w:left="73" w:right="210"/>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63" w:hRule="atLeast"/>
        </w:trPr>
        <w:tc>
          <w:tcPr>
            <w:tcW w:w="942" w:type="dxa"/>
          </w:tcPr>
          <w:p>
            <w:pPr>
              <w:pStyle w:val="TableParagraph"/>
              <w:spacing w:before="93"/>
              <w:ind w:right="106"/>
              <w:jc w:val="right"/>
              <w:rPr>
                <w:i/>
                <w:sz w:val="22"/>
              </w:rPr>
            </w:pPr>
            <w:r>
              <w:rPr>
                <w:i/>
                <w:w w:val="95"/>
                <w:sz w:val="22"/>
              </w:rPr>
              <w:t>3.2.21</w:t>
            </w:r>
          </w:p>
        </w:tc>
        <w:tc>
          <w:tcPr>
            <w:tcW w:w="1287" w:type="dxa"/>
          </w:tcPr>
          <w:p>
            <w:pPr>
              <w:pStyle w:val="TableParagraph"/>
              <w:spacing w:line="259" w:lineRule="auto" w:before="93"/>
              <w:ind w:left="108" w:right="72"/>
              <w:jc w:val="both"/>
              <w:rPr>
                <w:i/>
                <w:sz w:val="22"/>
              </w:rPr>
            </w:pPr>
            <w:r>
              <w:rPr>
                <w:i/>
                <w:sz w:val="22"/>
              </w:rPr>
              <w:t>严重原发性肺动 脉</w:t>
            </w:r>
            <w:r>
              <w:rPr>
                <w:i/>
                <w:w w:val="95"/>
                <w:sz w:val="22"/>
              </w:rPr>
              <w:t>高压</w:t>
            </w:r>
          </w:p>
        </w:tc>
        <w:tc>
          <w:tcPr>
            <w:tcW w:w="8160" w:type="dxa"/>
          </w:tcPr>
          <w:p>
            <w:pPr>
              <w:pStyle w:val="TableParagraph"/>
              <w:spacing w:line="273" w:lineRule="auto" w:before="104"/>
              <w:ind w:left="73" w:right="210"/>
              <w:rPr>
                <w:sz w:val="21"/>
              </w:rPr>
            </w:pPr>
            <w:r>
              <w:rPr>
                <w:spacing w:val="-3"/>
                <w:sz w:val="21"/>
              </w:rPr>
              <w:t>指不明原因的肺动脉压力持续性增高，进行性发展而导致的慢性疾病，已经造成永久</w:t>
            </w:r>
            <w:r>
              <w:rPr>
                <w:spacing w:val="-7"/>
                <w:sz w:val="21"/>
              </w:rPr>
              <w:t>不可逆性的体力活动能力受限，达到美国纽约心脏病学会心功能状态分级 </w:t>
            </w:r>
            <w:r>
              <w:rPr>
                <w:sz w:val="21"/>
              </w:rPr>
              <w:t>IV</w:t>
            </w:r>
            <w:r>
              <w:rPr>
                <w:spacing w:val="-3"/>
                <w:sz w:val="21"/>
              </w:rPr>
              <w:t> 级，且静</w:t>
            </w:r>
            <w:r>
              <w:rPr>
                <w:spacing w:val="-7"/>
                <w:sz w:val="21"/>
              </w:rPr>
              <w:t>息状态下肺动脉平均压超过 </w:t>
            </w:r>
            <w:r>
              <w:rPr>
                <w:sz w:val="21"/>
              </w:rPr>
              <w:t>3OmmHg</w:t>
            </w:r>
            <w:r>
              <w:rPr>
                <w:spacing w:val="2"/>
                <w:sz w:val="21"/>
              </w:rPr>
              <w:t> 。</w:t>
            </w:r>
          </w:p>
        </w:tc>
      </w:tr>
      <w:tr>
        <w:trPr>
          <w:trHeight w:val="1161" w:hRule="atLeast"/>
        </w:trPr>
        <w:tc>
          <w:tcPr>
            <w:tcW w:w="942" w:type="dxa"/>
          </w:tcPr>
          <w:p>
            <w:pPr>
              <w:pStyle w:val="TableParagraph"/>
              <w:spacing w:before="92"/>
              <w:ind w:right="106"/>
              <w:jc w:val="right"/>
              <w:rPr>
                <w:i/>
                <w:sz w:val="22"/>
              </w:rPr>
            </w:pPr>
            <w:r>
              <w:rPr>
                <w:i/>
                <w:w w:val="95"/>
                <w:sz w:val="22"/>
              </w:rPr>
              <w:t>3.2.22</w:t>
            </w:r>
          </w:p>
        </w:tc>
        <w:tc>
          <w:tcPr>
            <w:tcW w:w="1287" w:type="dxa"/>
          </w:tcPr>
          <w:p>
            <w:pPr>
              <w:pStyle w:val="TableParagraph"/>
              <w:spacing w:line="259" w:lineRule="auto" w:before="92"/>
              <w:ind w:left="108" w:right="72"/>
              <w:rPr>
                <w:i/>
                <w:sz w:val="22"/>
              </w:rPr>
            </w:pPr>
            <w:r>
              <w:rPr>
                <w:i/>
                <w:sz w:val="22"/>
              </w:rPr>
              <w:t>严重运动</w:t>
            </w:r>
            <w:r>
              <w:rPr>
                <w:i/>
                <w:w w:val="95"/>
                <w:sz w:val="22"/>
              </w:rPr>
              <w:t>神经元病</w:t>
            </w:r>
          </w:p>
        </w:tc>
        <w:tc>
          <w:tcPr>
            <w:tcW w:w="8160" w:type="dxa"/>
          </w:tcPr>
          <w:p>
            <w:pPr>
              <w:pStyle w:val="TableParagraph"/>
              <w:spacing w:line="273" w:lineRule="auto" w:before="103"/>
              <w:ind w:left="73" w:right="22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86" w:hRule="atLeast"/>
        </w:trPr>
        <w:tc>
          <w:tcPr>
            <w:tcW w:w="942" w:type="dxa"/>
          </w:tcPr>
          <w:p>
            <w:pPr>
              <w:pStyle w:val="TableParagraph"/>
              <w:spacing w:before="94"/>
              <w:ind w:right="106"/>
              <w:jc w:val="right"/>
              <w:rPr>
                <w:i/>
                <w:sz w:val="22"/>
              </w:rPr>
            </w:pPr>
            <w:r>
              <w:rPr>
                <w:i/>
                <w:w w:val="95"/>
                <w:sz w:val="22"/>
              </w:rPr>
              <w:t>3.2.23</w:t>
            </w:r>
          </w:p>
        </w:tc>
        <w:tc>
          <w:tcPr>
            <w:tcW w:w="1287" w:type="dxa"/>
          </w:tcPr>
          <w:p>
            <w:pPr>
              <w:pStyle w:val="TableParagraph"/>
              <w:spacing w:line="259" w:lineRule="auto" w:before="94"/>
              <w:ind w:left="108" w:right="334"/>
              <w:rPr>
                <w:i/>
                <w:sz w:val="22"/>
              </w:rPr>
            </w:pPr>
            <w:r>
              <w:rPr>
                <w:i/>
                <w:w w:val="95"/>
                <w:sz w:val="22"/>
              </w:rPr>
              <w:t>语言能力丧失</w:t>
            </w:r>
          </w:p>
        </w:tc>
        <w:tc>
          <w:tcPr>
            <w:tcW w:w="8160" w:type="dxa"/>
          </w:tcPr>
          <w:p>
            <w:pPr>
              <w:pStyle w:val="TableParagraph"/>
              <w:spacing w:line="273" w:lineRule="auto" w:before="105"/>
              <w:ind w:left="73" w:right="210"/>
              <w:rPr>
                <w:sz w:val="21"/>
              </w:rPr>
            </w:pPr>
            <w:r>
              <w:rPr>
                <w:spacing w:val="-7"/>
                <w:sz w:val="21"/>
              </w:rPr>
              <w:t>指因疾病或意外伤害导致完全丧失语言能力，经过积极治疗至少 </w:t>
            </w:r>
            <w:r>
              <w:rPr>
                <w:sz w:val="21"/>
              </w:rPr>
              <w:t>12</w:t>
            </w:r>
            <w:r>
              <w:rPr>
                <w:spacing w:val="-3"/>
                <w:sz w:val="21"/>
              </w:rPr>
              <w:t> 个月（声带完全切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7"/>
              <w:ind w:left="73"/>
              <w:rPr>
                <w:sz w:val="21"/>
              </w:rPr>
            </w:pPr>
            <w:r>
              <w:rPr>
                <w:sz w:val="21"/>
              </w:rPr>
              <w:t>精神心理因素所致的语言能力丧失不在保障范围内。</w:t>
            </w:r>
          </w:p>
          <w:p>
            <w:pPr>
              <w:pStyle w:val="TableParagraph"/>
              <w:spacing w:line="273" w:lineRule="auto" w:before="37"/>
              <w:ind w:left="73" w:right="306"/>
              <w:rPr>
                <w:sz w:val="21"/>
              </w:rPr>
            </w:pPr>
            <w:r>
              <w:rPr>
                <w:sz w:val="21"/>
              </w:rPr>
              <w:t>被保险人申请理赔时年龄必须在三周岁以上，并且提供理赔当时的语言能力丧失诊断及检查证据。</w:t>
            </w:r>
          </w:p>
        </w:tc>
      </w:tr>
      <w:tr>
        <w:trPr>
          <w:trHeight w:val="2411" w:hRule="atLeast"/>
        </w:trPr>
        <w:tc>
          <w:tcPr>
            <w:tcW w:w="942" w:type="dxa"/>
          </w:tcPr>
          <w:p>
            <w:pPr>
              <w:pStyle w:val="TableParagraph"/>
              <w:spacing w:before="93"/>
              <w:ind w:right="106"/>
              <w:jc w:val="right"/>
              <w:rPr>
                <w:i/>
                <w:sz w:val="22"/>
              </w:rPr>
            </w:pPr>
            <w:r>
              <w:rPr>
                <w:i/>
                <w:w w:val="95"/>
                <w:sz w:val="22"/>
              </w:rPr>
              <w:t>3.2.24</w:t>
            </w:r>
          </w:p>
        </w:tc>
        <w:tc>
          <w:tcPr>
            <w:tcW w:w="1287" w:type="dxa"/>
          </w:tcPr>
          <w:p>
            <w:pPr>
              <w:pStyle w:val="TableParagraph"/>
              <w:spacing w:line="259" w:lineRule="auto" w:before="93"/>
              <w:ind w:left="108" w:right="72"/>
              <w:jc w:val="both"/>
              <w:rPr>
                <w:i/>
                <w:sz w:val="22"/>
              </w:rPr>
            </w:pPr>
            <w:r>
              <w:rPr>
                <w:i/>
                <w:sz w:val="22"/>
              </w:rPr>
              <w:t>重型再生障碍性贫血</w:t>
            </w:r>
          </w:p>
        </w:tc>
        <w:tc>
          <w:tcPr>
            <w:tcW w:w="8160" w:type="dxa"/>
          </w:tcPr>
          <w:p>
            <w:pPr>
              <w:pStyle w:val="TableParagraph"/>
              <w:spacing w:line="273" w:lineRule="auto" w:before="104"/>
              <w:ind w:left="73" w:right="221"/>
              <w:rPr>
                <w:sz w:val="21"/>
              </w:rPr>
            </w:pPr>
            <w:r>
              <w:rPr>
                <w:sz w:val="21"/>
              </w:rPr>
              <w:t>指因骨髓造血功能慢性持续性衰竭导致的贫血、中性粒细胞减少及血小板减少。须满足下列全部条件：</w:t>
            </w:r>
          </w:p>
          <w:p>
            <w:pPr>
              <w:pStyle w:val="TableParagraph"/>
              <w:spacing w:before="7"/>
              <w:ind w:left="73"/>
              <w:rPr>
                <w:sz w:val="21"/>
              </w:rPr>
            </w:pPr>
            <w:r>
              <w:rPr>
                <w:sz w:val="21"/>
              </w:rPr>
              <w:t>（1）骨髓穿刺检查或骨髓活检结果支持诊断；</w:t>
            </w:r>
          </w:p>
          <w:p>
            <w:pPr>
              <w:pStyle w:val="TableParagraph"/>
              <w:spacing w:before="37"/>
              <w:ind w:left="73"/>
              <w:rPr>
                <w:sz w:val="21"/>
              </w:rPr>
            </w:pPr>
            <w:r>
              <w:rPr>
                <w:sz w:val="21"/>
              </w:rPr>
              <w:t>（2）外周血象须具备所有三项条件：</w:t>
            </w:r>
          </w:p>
          <w:p>
            <w:pPr>
              <w:pStyle w:val="TableParagraph"/>
              <w:spacing w:before="37"/>
              <w:ind w:left="493"/>
              <w:rPr>
                <w:sz w:val="21"/>
              </w:rPr>
            </w:pPr>
            <w:r>
              <w:rPr>
                <w:sz w:val="21"/>
              </w:rPr>
              <w:t>① 中性粒细胞绝对值≤0.5×10</w:t>
            </w:r>
            <w:r>
              <w:rPr>
                <w:b/>
                <w:position w:val="11"/>
                <w:sz w:val="11"/>
              </w:rPr>
              <w:t>9</w:t>
            </w:r>
            <w:r>
              <w:rPr>
                <w:sz w:val="21"/>
              </w:rPr>
              <w:t>/L ；</w:t>
            </w:r>
          </w:p>
          <w:p>
            <w:pPr>
              <w:pStyle w:val="TableParagraph"/>
              <w:spacing w:before="37"/>
              <w:ind w:left="493"/>
              <w:rPr>
                <w:sz w:val="21"/>
              </w:rPr>
            </w:pPr>
            <w:r>
              <w:rPr>
                <w:sz w:val="21"/>
              </w:rPr>
              <w:t>② 网织红细胞＜1%；</w:t>
            </w:r>
          </w:p>
          <w:p>
            <w:pPr>
              <w:pStyle w:val="TableParagraph"/>
              <w:spacing w:before="37"/>
              <w:ind w:left="493"/>
              <w:rPr>
                <w:sz w:val="21"/>
              </w:rPr>
            </w:pPr>
            <w:r>
              <w:rPr>
                <w:sz w:val="21"/>
              </w:rPr>
              <w:t>③ 血小板绝对值≤20×10</w:t>
            </w:r>
            <w:r>
              <w:rPr>
                <w:b/>
                <w:position w:val="11"/>
                <w:sz w:val="11"/>
              </w:rPr>
              <w:t>9</w:t>
            </w:r>
            <w:r>
              <w:rPr>
                <w:sz w:val="21"/>
              </w:rPr>
              <w:t>/L。</w:t>
            </w:r>
          </w:p>
        </w:tc>
      </w:tr>
      <w:tr>
        <w:trPr>
          <w:trHeight w:val="1135" w:hRule="atLeast"/>
        </w:trPr>
        <w:tc>
          <w:tcPr>
            <w:tcW w:w="942" w:type="dxa"/>
          </w:tcPr>
          <w:p>
            <w:pPr>
              <w:pStyle w:val="TableParagraph"/>
              <w:spacing w:before="94"/>
              <w:ind w:right="106"/>
              <w:jc w:val="right"/>
              <w:rPr>
                <w:i/>
                <w:sz w:val="22"/>
              </w:rPr>
            </w:pPr>
            <w:r>
              <w:rPr>
                <w:i/>
                <w:w w:val="95"/>
                <w:sz w:val="22"/>
              </w:rPr>
              <w:t>3.2.25</w:t>
            </w:r>
          </w:p>
        </w:tc>
        <w:tc>
          <w:tcPr>
            <w:tcW w:w="1287" w:type="dxa"/>
          </w:tcPr>
          <w:p>
            <w:pPr>
              <w:pStyle w:val="TableParagraph"/>
              <w:spacing w:line="259" w:lineRule="auto" w:before="94"/>
              <w:ind w:left="108" w:right="72"/>
              <w:rPr>
                <w:i/>
                <w:sz w:val="22"/>
              </w:rPr>
            </w:pPr>
            <w:r>
              <w:rPr>
                <w:i/>
                <w:sz w:val="22"/>
              </w:rPr>
              <w:t>主动脉手术</w:t>
            </w:r>
          </w:p>
        </w:tc>
        <w:tc>
          <w:tcPr>
            <w:tcW w:w="8160" w:type="dxa"/>
          </w:tcPr>
          <w:p>
            <w:pPr>
              <w:pStyle w:val="TableParagraph"/>
              <w:spacing w:line="273" w:lineRule="auto" w:before="105"/>
              <w:ind w:left="73" w:right="221"/>
              <w:rPr>
                <w:sz w:val="21"/>
              </w:rPr>
            </w:pPr>
            <w:r>
              <w:rPr>
                <w:sz w:val="21"/>
              </w:rPr>
              <w:t>指为治疗主动脉疾病，实际实施了开胸或开腹进行的切除、置换、修补病损主动脉血管的手术。主动脉指胸主动脉和腹主动脉，不包括胸主动脉和腹主动脉的分支血管。动脉内血管成形术不在保障范围内。</w:t>
            </w:r>
          </w:p>
        </w:tc>
      </w:tr>
      <w:tr>
        <w:trPr>
          <w:trHeight w:val="1737" w:hRule="atLeast"/>
        </w:trPr>
        <w:tc>
          <w:tcPr>
            <w:tcW w:w="942" w:type="dxa"/>
          </w:tcPr>
          <w:p>
            <w:pPr>
              <w:pStyle w:val="TableParagraph"/>
              <w:spacing w:before="65"/>
              <w:ind w:right="106"/>
              <w:jc w:val="right"/>
              <w:rPr>
                <w:i/>
                <w:sz w:val="22"/>
              </w:rPr>
            </w:pPr>
            <w:r>
              <w:rPr>
                <w:i/>
                <w:w w:val="95"/>
                <w:sz w:val="22"/>
              </w:rPr>
              <w:t>3.2.26</w:t>
            </w:r>
          </w:p>
        </w:tc>
        <w:tc>
          <w:tcPr>
            <w:tcW w:w="1287" w:type="dxa"/>
          </w:tcPr>
          <w:p>
            <w:pPr>
              <w:pStyle w:val="TableParagraph"/>
              <w:spacing w:line="259" w:lineRule="auto" w:before="65"/>
              <w:ind w:left="108" w:right="72"/>
              <w:rPr>
                <w:i/>
                <w:sz w:val="22"/>
              </w:rPr>
            </w:pPr>
            <w:r>
              <w:rPr>
                <w:i/>
                <w:sz w:val="22"/>
              </w:rPr>
              <w:t>多发性硬化</w:t>
            </w:r>
          </w:p>
        </w:tc>
        <w:tc>
          <w:tcPr>
            <w:tcW w:w="8160" w:type="dxa"/>
          </w:tcPr>
          <w:p>
            <w:pPr>
              <w:pStyle w:val="TableParagraph"/>
              <w:spacing w:line="268" w:lineRule="auto" w:before="76"/>
              <w:ind w:left="73" w:right="208"/>
              <w:jc w:val="both"/>
              <w:rPr>
                <w:sz w:val="21"/>
              </w:rPr>
            </w:pPr>
            <w:r>
              <w:rPr>
                <w:sz w:val="21"/>
              </w:rPr>
              <w:t>多发性硬化是一种中枢神经系统脱髓鞘性疾病，表现为反复缓解、复发的脑、脊髓和</w:t>
            </w:r>
            <w:r>
              <w:rPr>
                <w:spacing w:val="-11"/>
                <w:sz w:val="21"/>
              </w:rPr>
              <w:t>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w:t>
            </w:r>
            <w:r>
              <w:rPr>
                <w:spacing w:val="-4"/>
                <w:sz w:val="21"/>
              </w:rPr>
              <w:t>及视神经、脑干、脊髓永久性损害，出现有共济失调或感觉障碍并持续 </w:t>
            </w:r>
            <w:r>
              <w:rPr>
                <w:rFonts w:ascii="Arial" w:eastAsia="Arial"/>
                <w:sz w:val="21"/>
              </w:rPr>
              <w:t>180 </w:t>
            </w:r>
            <w:r>
              <w:rPr>
                <w:spacing w:val="-1"/>
                <w:sz w:val="21"/>
              </w:rPr>
              <w:t>天以上。</w:t>
            </w:r>
          </w:p>
        </w:tc>
      </w:tr>
      <w:tr>
        <w:trPr>
          <w:trHeight w:val="2232" w:hRule="atLeast"/>
        </w:trPr>
        <w:tc>
          <w:tcPr>
            <w:tcW w:w="942" w:type="dxa"/>
          </w:tcPr>
          <w:p>
            <w:pPr>
              <w:pStyle w:val="TableParagraph"/>
              <w:spacing w:before="57"/>
              <w:ind w:right="106"/>
              <w:jc w:val="right"/>
              <w:rPr>
                <w:i/>
                <w:sz w:val="22"/>
              </w:rPr>
            </w:pPr>
            <w:r>
              <w:rPr>
                <w:i/>
                <w:w w:val="95"/>
                <w:sz w:val="22"/>
              </w:rPr>
              <w:t>3.2.27</w:t>
            </w:r>
          </w:p>
        </w:tc>
        <w:tc>
          <w:tcPr>
            <w:tcW w:w="1287" w:type="dxa"/>
          </w:tcPr>
          <w:p>
            <w:pPr>
              <w:pStyle w:val="TableParagraph"/>
              <w:spacing w:line="259" w:lineRule="auto" w:before="57"/>
              <w:ind w:left="108" w:right="334"/>
              <w:jc w:val="both"/>
              <w:rPr>
                <w:i/>
                <w:sz w:val="22"/>
              </w:rPr>
            </w:pPr>
            <w:r>
              <w:rPr>
                <w:i/>
                <w:w w:val="95"/>
                <w:sz w:val="22"/>
              </w:rPr>
              <w:t>经输血导致的人类免疫缺陷病毒感染</w:t>
            </w:r>
          </w:p>
        </w:tc>
        <w:tc>
          <w:tcPr>
            <w:tcW w:w="8160" w:type="dxa"/>
          </w:tcPr>
          <w:p>
            <w:pPr>
              <w:pStyle w:val="TableParagraph"/>
              <w:spacing w:line="256" w:lineRule="auto" w:before="69"/>
              <w:ind w:left="73" w:right="199"/>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73" w:right="210"/>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73" w:right="208"/>
              <w:rPr>
                <w:sz w:val="21"/>
              </w:rPr>
            </w:pPr>
            <w:r>
              <w:rPr>
                <w:sz w:val="21"/>
              </w:rPr>
              <w:t>（</w:t>
            </w:r>
            <w:r>
              <w:rPr>
                <w:rFonts w:ascii="Times New Roman" w:eastAsia="Times New Roman"/>
                <w:sz w:val="21"/>
              </w:rPr>
              <w:t>2</w:t>
            </w:r>
            <w:r>
              <w:rPr>
                <w:sz w:val="21"/>
              </w:rPr>
              <w:t>）本公司认可的提供输血治疗的正规输血中心或医院出具该项输血感染属医疗责任事故的报告，或者法院终审裁定为医疗责任；</w:t>
            </w:r>
          </w:p>
          <w:p>
            <w:pPr>
              <w:pStyle w:val="TableParagraph"/>
              <w:spacing w:line="271" w:lineRule="exact" w:before="22"/>
              <w:ind w:left="73"/>
              <w:rPr>
                <w:sz w:val="21"/>
              </w:rPr>
            </w:pPr>
            <w:r>
              <w:rPr>
                <w:sz w:val="21"/>
              </w:rPr>
              <w:t>（</w:t>
            </w:r>
            <w:r>
              <w:rPr>
                <w:rFonts w:ascii="Times New Roman" w:eastAsia="Times New Roman"/>
                <w:sz w:val="21"/>
              </w:rPr>
              <w:t>3</w:t>
            </w:r>
            <w:r>
              <w:rPr>
                <w:sz w:val="21"/>
              </w:rPr>
              <w:t>）受感染的被保险人不是血友病患者；</w:t>
            </w:r>
          </w:p>
        </w:tc>
      </w:tr>
    </w:tbl>
    <w:p>
      <w:pPr>
        <w:spacing w:after="0" w:line="271" w:lineRule="exact"/>
        <w:rPr>
          <w:sz w:val="21"/>
        </w:rPr>
        <w:sectPr>
          <w:pgSz w:w="11910" w:h="16840"/>
          <w:pgMar w:header="568" w:footer="0" w:top="800" w:bottom="280" w:left="720" w:right="58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292"/>
        <w:gridCol w:w="8054"/>
      </w:tblGrid>
      <w:tr>
        <w:trPr>
          <w:trHeight w:val="1009" w:hRule="atLeast"/>
        </w:trPr>
        <w:tc>
          <w:tcPr>
            <w:tcW w:w="850" w:type="dxa"/>
          </w:tcPr>
          <w:p>
            <w:pPr>
              <w:pStyle w:val="TableParagraph"/>
              <w:rPr>
                <w:rFonts w:ascii="Times New Roman"/>
                <w:sz w:val="20"/>
              </w:rPr>
            </w:pPr>
          </w:p>
        </w:tc>
        <w:tc>
          <w:tcPr>
            <w:tcW w:w="1292" w:type="dxa"/>
          </w:tcPr>
          <w:p>
            <w:pPr>
              <w:pStyle w:val="TableParagraph"/>
              <w:rPr>
                <w:rFonts w:ascii="Times New Roman"/>
                <w:sz w:val="20"/>
              </w:rPr>
            </w:pPr>
          </w:p>
        </w:tc>
        <w:tc>
          <w:tcPr>
            <w:tcW w:w="8054" w:type="dxa"/>
          </w:tcPr>
          <w:p>
            <w:pPr>
              <w:pStyle w:val="TableParagraph"/>
              <w:spacing w:line="234" w:lineRule="exact"/>
              <w:ind w:left="71"/>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1"/>
              <w:ind w:left="71" w:right="1"/>
              <w:rPr>
                <w:sz w:val="21"/>
              </w:rPr>
            </w:pPr>
            <w:r>
              <w:rPr>
                <w:spacing w:val="-10"/>
                <w:sz w:val="21"/>
              </w:rPr>
              <w:t>任何因其他传播方式</w:t>
            </w:r>
            <w:r>
              <w:rPr>
                <w:spacing w:val="-3"/>
                <w:sz w:val="21"/>
              </w:rPr>
              <w:t>（</w:t>
            </w:r>
            <w:r>
              <w:rPr>
                <w:spacing w:val="-9"/>
                <w:sz w:val="21"/>
              </w:rPr>
              <w:t>包括：性传播或静脉注射毒品</w:t>
            </w:r>
            <w:r>
              <w:rPr>
                <w:spacing w:val="-58"/>
                <w:sz w:val="21"/>
              </w:rPr>
              <w:t>）</w:t>
            </w:r>
            <w:r>
              <w:rPr>
                <w:spacing w:val="-3"/>
                <w:sz w:val="21"/>
              </w:rPr>
              <w:t>导致的</w:t>
            </w:r>
            <w:r>
              <w:rPr>
                <w:rFonts w:ascii="Times New Roman" w:eastAsia="Times New Roman"/>
                <w:sz w:val="21"/>
              </w:rPr>
              <w:t>HIV</w:t>
            </w:r>
            <w:r>
              <w:rPr>
                <w:spacing w:val="-3"/>
                <w:sz w:val="21"/>
              </w:rPr>
              <w:t>感染不在保障范围内。本合同条款责任免除中的</w:t>
            </w:r>
            <w:r>
              <w:rPr>
                <w:rFonts w:ascii="Times New Roman" w:eastAsia="Times New Roman"/>
                <w:sz w:val="21"/>
              </w:rPr>
              <w:t>HIV</w:t>
            </w:r>
            <w:r>
              <w:rPr>
                <w:spacing w:val="-3"/>
                <w:sz w:val="21"/>
              </w:rPr>
              <w:t>规定，不适用于本重大疾病。</w:t>
            </w:r>
          </w:p>
        </w:tc>
      </w:tr>
      <w:tr>
        <w:trPr>
          <w:trHeight w:val="2100" w:hRule="atLeast"/>
        </w:trPr>
        <w:tc>
          <w:tcPr>
            <w:tcW w:w="850" w:type="dxa"/>
          </w:tcPr>
          <w:p>
            <w:pPr>
              <w:pStyle w:val="TableParagraph"/>
              <w:spacing w:before="86"/>
              <w:ind w:left="110"/>
              <w:rPr>
                <w:i/>
                <w:sz w:val="22"/>
              </w:rPr>
            </w:pPr>
            <w:r>
              <w:rPr>
                <w:i/>
                <w:sz w:val="22"/>
              </w:rPr>
              <w:t>3.2.28</w:t>
            </w:r>
          </w:p>
        </w:tc>
        <w:tc>
          <w:tcPr>
            <w:tcW w:w="1292" w:type="dxa"/>
          </w:tcPr>
          <w:p>
            <w:pPr>
              <w:pStyle w:val="TableParagraph"/>
              <w:spacing w:line="259" w:lineRule="auto" w:before="86"/>
              <w:ind w:left="110" w:right="75"/>
              <w:rPr>
                <w:i/>
                <w:sz w:val="22"/>
              </w:rPr>
            </w:pPr>
            <w:r>
              <w:rPr>
                <w:i/>
                <w:sz w:val="22"/>
              </w:rPr>
              <w:t>终末期肺病</w:t>
            </w:r>
          </w:p>
        </w:tc>
        <w:tc>
          <w:tcPr>
            <w:tcW w:w="8054" w:type="dxa"/>
          </w:tcPr>
          <w:p>
            <w:pPr>
              <w:pStyle w:val="TableParagraph"/>
              <w:spacing w:line="273" w:lineRule="auto" w:before="97"/>
              <w:ind w:left="71" w:right="117"/>
              <w:rPr>
                <w:sz w:val="21"/>
              </w:rPr>
            </w:pPr>
            <w:r>
              <w:rPr>
                <w:sz w:val="21"/>
              </w:rPr>
              <w:t>被保险人患有终末期肺病而出现的慢性呼吸衰竭。该病必须由医院的呼吸科专科医生确诊并符合以下各项：</w:t>
            </w:r>
          </w:p>
          <w:p>
            <w:pPr>
              <w:pStyle w:val="TableParagraph"/>
              <w:spacing w:before="7"/>
              <w:ind w:left="71"/>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7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71"/>
              <w:rPr>
                <w:sz w:val="21"/>
              </w:rPr>
            </w:pPr>
            <w:r>
              <w:rPr>
                <w:sz w:val="21"/>
              </w:rPr>
              <w:t>（</w:t>
            </w:r>
            <w:r>
              <w:rPr>
                <w:rFonts w:ascii="Times New Roman" w:eastAsia="Times New Roman"/>
                <w:sz w:val="21"/>
              </w:rPr>
              <w:t>3</w:t>
            </w:r>
            <w:r>
              <w:rPr>
                <w:sz w:val="21"/>
              </w:rPr>
              <w:t>）休息时出现呼吸困难；</w:t>
            </w:r>
          </w:p>
          <w:p>
            <w:pPr>
              <w:pStyle w:val="TableParagraph"/>
              <w:spacing w:before="21"/>
              <w:ind w:left="7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850" w:type="dxa"/>
          </w:tcPr>
          <w:p>
            <w:pPr>
              <w:pStyle w:val="TableParagraph"/>
              <w:spacing w:before="86"/>
              <w:ind w:left="110"/>
              <w:rPr>
                <w:i/>
                <w:sz w:val="22"/>
              </w:rPr>
            </w:pPr>
            <w:r>
              <w:rPr>
                <w:i/>
                <w:sz w:val="22"/>
              </w:rPr>
              <w:t>3.2.29</w:t>
            </w:r>
          </w:p>
        </w:tc>
        <w:tc>
          <w:tcPr>
            <w:tcW w:w="1292" w:type="dxa"/>
          </w:tcPr>
          <w:p>
            <w:pPr>
              <w:pStyle w:val="TableParagraph"/>
              <w:spacing w:line="259" w:lineRule="auto" w:before="86"/>
              <w:ind w:left="110" w:right="337"/>
              <w:jc w:val="both"/>
              <w:rPr>
                <w:i/>
                <w:sz w:val="22"/>
              </w:rPr>
            </w:pPr>
            <w:r>
              <w:rPr>
                <w:i/>
                <w:w w:val="95"/>
                <w:sz w:val="22"/>
              </w:rPr>
              <w:t>严重类风湿性关节</w:t>
            </w:r>
            <w:r>
              <w:rPr>
                <w:i/>
                <w:sz w:val="22"/>
              </w:rPr>
              <w:t>炎</w:t>
            </w:r>
          </w:p>
        </w:tc>
        <w:tc>
          <w:tcPr>
            <w:tcW w:w="8054" w:type="dxa"/>
          </w:tcPr>
          <w:p>
            <w:pPr>
              <w:pStyle w:val="TableParagraph"/>
              <w:spacing w:line="273" w:lineRule="auto" w:before="97"/>
              <w:ind w:left="71" w:right="1"/>
              <w:rPr>
                <w:sz w:val="21"/>
              </w:rPr>
            </w:pPr>
            <w:r>
              <w:rPr>
                <w:spacing w:val="-10"/>
                <w:sz w:val="21"/>
              </w:rPr>
              <w:t>广泛的关节损坏，临床上存在三个或三个以上下列关节的畸形:手、腕、肘、颈椎、膝、踝、或足部跖趾关节。并且由本公司认可医院的专科医生确认被保险人在无他人协助 下无法独立完成六项基本日常生活活动中的三项或三项以上。上述畸形及功能异常须</w:t>
            </w:r>
            <w:r>
              <w:rPr>
                <w:spacing w:val="-13"/>
                <w:sz w:val="21"/>
              </w:rPr>
              <w:t>持续至少达 </w:t>
            </w:r>
            <w:r>
              <w:rPr>
                <w:sz w:val="21"/>
              </w:rPr>
              <w:t>180</w:t>
            </w:r>
            <w:r>
              <w:rPr>
                <w:spacing w:val="-18"/>
                <w:sz w:val="21"/>
              </w:rPr>
              <w:t> 天。</w:t>
            </w:r>
          </w:p>
        </w:tc>
      </w:tr>
      <w:tr>
        <w:trPr>
          <w:trHeight w:val="3844" w:hRule="atLeast"/>
        </w:trPr>
        <w:tc>
          <w:tcPr>
            <w:tcW w:w="850" w:type="dxa"/>
          </w:tcPr>
          <w:p>
            <w:pPr>
              <w:pStyle w:val="TableParagraph"/>
              <w:spacing w:before="92"/>
              <w:ind w:left="110"/>
              <w:rPr>
                <w:i/>
                <w:sz w:val="22"/>
              </w:rPr>
            </w:pPr>
            <w:r>
              <w:rPr>
                <w:i/>
                <w:sz w:val="22"/>
              </w:rPr>
              <w:t>3.2.30</w:t>
            </w:r>
          </w:p>
        </w:tc>
        <w:tc>
          <w:tcPr>
            <w:tcW w:w="1292" w:type="dxa"/>
          </w:tcPr>
          <w:p>
            <w:pPr>
              <w:pStyle w:val="TableParagraph"/>
              <w:spacing w:line="259" w:lineRule="auto" w:before="92"/>
              <w:ind w:left="110" w:right="75"/>
              <w:rPr>
                <w:i/>
                <w:sz w:val="22"/>
              </w:rPr>
            </w:pPr>
            <w:r>
              <w:rPr>
                <w:i/>
                <w:sz w:val="22"/>
              </w:rPr>
              <w:t>系统性红</w:t>
            </w:r>
            <w:r>
              <w:rPr>
                <w:i/>
                <w:w w:val="95"/>
                <w:sz w:val="22"/>
              </w:rPr>
              <w:t>斑狼疮</w:t>
            </w:r>
          </w:p>
        </w:tc>
        <w:tc>
          <w:tcPr>
            <w:tcW w:w="8054" w:type="dxa"/>
          </w:tcPr>
          <w:p>
            <w:pPr>
              <w:pStyle w:val="TableParagraph"/>
              <w:spacing w:line="264" w:lineRule="auto" w:before="104"/>
              <w:ind w:left="71" w:right="105"/>
              <w:jc w:val="both"/>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以上）的系统性红斑狼疮。其他类型的红斑性狼疮，如盘状狼疮、仅累及血液及关节的狼疮不在保障范围内。</w:t>
            </w:r>
          </w:p>
          <w:p>
            <w:pPr>
              <w:pStyle w:val="TableParagraph"/>
              <w:spacing w:before="16"/>
              <w:ind w:left="71"/>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71"/>
              <w:jc w:val="both"/>
              <w:rPr>
                <w:sz w:val="21"/>
              </w:rPr>
            </w:pPr>
            <w:r>
              <w:rPr>
                <w:rFonts w:ascii="Times New Roman" w:eastAsia="Times New Roman"/>
                <w:sz w:val="21"/>
              </w:rPr>
              <w:t>I</w:t>
            </w:r>
            <w:r>
              <w:rPr>
                <w:sz w:val="21"/>
              </w:rPr>
              <w:t>型（微小病变型）</w:t>
            </w:r>
          </w:p>
          <w:p>
            <w:pPr>
              <w:pStyle w:val="TableParagraph"/>
              <w:spacing w:before="21"/>
              <w:ind w:left="71"/>
              <w:jc w:val="both"/>
              <w:rPr>
                <w:sz w:val="21"/>
              </w:rPr>
            </w:pPr>
            <w:r>
              <w:rPr>
                <w:rFonts w:ascii="Times New Roman" w:eastAsia="Times New Roman"/>
                <w:sz w:val="21"/>
              </w:rPr>
              <w:t>II</w:t>
            </w:r>
            <w:r>
              <w:rPr>
                <w:sz w:val="21"/>
              </w:rPr>
              <w:t>型（系膜病变型）</w:t>
            </w:r>
          </w:p>
          <w:p>
            <w:pPr>
              <w:pStyle w:val="TableParagraph"/>
              <w:spacing w:before="21"/>
              <w:ind w:left="71"/>
              <w:jc w:val="both"/>
              <w:rPr>
                <w:sz w:val="21"/>
              </w:rPr>
            </w:pPr>
            <w:r>
              <w:rPr>
                <w:rFonts w:ascii="Times New Roman" w:eastAsia="Times New Roman"/>
                <w:sz w:val="21"/>
              </w:rPr>
              <w:t>III</w:t>
            </w:r>
            <w:r>
              <w:rPr>
                <w:sz w:val="21"/>
              </w:rPr>
              <w:t>型（局灶及节段增生型）</w:t>
            </w:r>
          </w:p>
          <w:p>
            <w:pPr>
              <w:pStyle w:val="TableParagraph"/>
              <w:spacing w:before="21"/>
              <w:ind w:left="71"/>
              <w:jc w:val="both"/>
              <w:rPr>
                <w:sz w:val="21"/>
              </w:rPr>
            </w:pPr>
            <w:r>
              <w:rPr>
                <w:rFonts w:ascii="Times New Roman" w:eastAsia="Times New Roman"/>
                <w:sz w:val="21"/>
              </w:rPr>
              <w:t>IV</w:t>
            </w:r>
            <w:r>
              <w:rPr>
                <w:sz w:val="21"/>
              </w:rPr>
              <w:t>型（弥漫增生型）</w:t>
            </w:r>
          </w:p>
          <w:p>
            <w:pPr>
              <w:pStyle w:val="TableParagraph"/>
              <w:spacing w:before="21"/>
              <w:ind w:left="71"/>
              <w:jc w:val="both"/>
              <w:rPr>
                <w:sz w:val="21"/>
              </w:rPr>
            </w:pPr>
            <w:r>
              <w:rPr>
                <w:rFonts w:ascii="Times New Roman" w:eastAsia="Times New Roman"/>
                <w:sz w:val="21"/>
              </w:rPr>
              <w:t>V </w:t>
            </w:r>
            <w:r>
              <w:rPr>
                <w:sz w:val="21"/>
              </w:rPr>
              <w:t>型（膜型）</w:t>
            </w:r>
          </w:p>
        </w:tc>
      </w:tr>
      <w:tr>
        <w:trPr>
          <w:trHeight w:val="781" w:hRule="atLeast"/>
        </w:trPr>
        <w:tc>
          <w:tcPr>
            <w:tcW w:w="850" w:type="dxa"/>
            <w:tcBorders>
              <w:bottom w:val="double" w:sz="1" w:space="0" w:color="000000"/>
            </w:tcBorders>
          </w:tcPr>
          <w:p>
            <w:pPr>
              <w:pStyle w:val="TableParagraph"/>
              <w:spacing w:before="243"/>
              <w:ind w:left="110"/>
              <w:rPr>
                <w:b/>
                <w:sz w:val="28"/>
              </w:rPr>
            </w:pPr>
            <w:r>
              <w:rPr>
                <w:b/>
                <w:w w:val="99"/>
                <w:sz w:val="28"/>
              </w:rPr>
              <w:t>4</w:t>
            </w:r>
          </w:p>
        </w:tc>
        <w:tc>
          <w:tcPr>
            <w:tcW w:w="9346" w:type="dxa"/>
            <w:gridSpan w:val="2"/>
            <w:tcBorders>
              <w:bottom w:val="double" w:sz="1" w:space="0" w:color="000000"/>
            </w:tcBorders>
          </w:tcPr>
          <w:p>
            <w:pPr>
              <w:pStyle w:val="TableParagraph"/>
              <w:spacing w:before="243"/>
              <w:ind w:left="105"/>
              <w:rPr>
                <w:b/>
                <w:sz w:val="28"/>
              </w:rPr>
            </w:pPr>
            <w:r>
              <w:rPr>
                <w:b/>
                <w:sz w:val="28"/>
              </w:rPr>
              <w:t>保险金的申请</w:t>
            </w:r>
          </w:p>
        </w:tc>
      </w:tr>
      <w:tr>
        <w:trPr>
          <w:trHeight w:val="523" w:hRule="atLeast"/>
        </w:trPr>
        <w:tc>
          <w:tcPr>
            <w:tcW w:w="850" w:type="dxa"/>
            <w:tcBorders>
              <w:top w:val="double" w:sz="1" w:space="0" w:color="000000"/>
            </w:tcBorders>
          </w:tcPr>
          <w:p>
            <w:pPr>
              <w:pStyle w:val="TableParagraph"/>
              <w:spacing w:before="90"/>
              <w:ind w:left="110"/>
              <w:rPr>
                <w:b/>
                <w:sz w:val="21"/>
              </w:rPr>
            </w:pPr>
            <w:r>
              <w:rPr>
                <w:b/>
                <w:sz w:val="21"/>
              </w:rPr>
              <w:t>4.1</w:t>
            </w:r>
          </w:p>
        </w:tc>
        <w:tc>
          <w:tcPr>
            <w:tcW w:w="1292" w:type="dxa"/>
            <w:tcBorders>
              <w:top w:val="double" w:sz="1" w:space="0" w:color="000000"/>
            </w:tcBorders>
          </w:tcPr>
          <w:p>
            <w:pPr>
              <w:pStyle w:val="TableParagraph"/>
              <w:spacing w:before="90"/>
              <w:ind w:left="105"/>
              <w:rPr>
                <w:b/>
                <w:sz w:val="21"/>
              </w:rPr>
            </w:pPr>
            <w:r>
              <w:rPr>
                <w:b/>
                <w:sz w:val="21"/>
              </w:rPr>
              <w:t>受益人</w:t>
            </w:r>
          </w:p>
        </w:tc>
        <w:tc>
          <w:tcPr>
            <w:tcW w:w="8054" w:type="dxa"/>
            <w:tcBorders>
              <w:top w:val="double" w:sz="1" w:space="0" w:color="000000"/>
            </w:tcBorders>
          </w:tcPr>
          <w:p>
            <w:pPr>
              <w:pStyle w:val="TableParagraph"/>
              <w:spacing w:before="90"/>
              <w:ind w:left="71"/>
              <w:rPr>
                <w:sz w:val="21"/>
              </w:rPr>
            </w:pPr>
            <w:r>
              <w:rPr>
                <w:sz w:val="21"/>
              </w:rPr>
              <w:t>除另有约定外，重大疾病保险金的受益人为被保险人本人。</w:t>
            </w:r>
          </w:p>
        </w:tc>
      </w:tr>
      <w:tr>
        <w:trPr>
          <w:trHeight w:val="1792" w:hRule="atLeast"/>
        </w:trPr>
        <w:tc>
          <w:tcPr>
            <w:tcW w:w="850" w:type="dxa"/>
          </w:tcPr>
          <w:p>
            <w:pPr>
              <w:pStyle w:val="TableParagraph"/>
              <w:spacing w:before="104"/>
              <w:ind w:left="110"/>
              <w:rPr>
                <w:b/>
                <w:sz w:val="21"/>
              </w:rPr>
            </w:pPr>
            <w:r>
              <w:rPr>
                <w:b/>
                <w:sz w:val="21"/>
              </w:rPr>
              <w:t>4.2</w:t>
            </w:r>
          </w:p>
        </w:tc>
        <w:tc>
          <w:tcPr>
            <w:tcW w:w="1292" w:type="dxa"/>
          </w:tcPr>
          <w:p>
            <w:pPr>
              <w:pStyle w:val="TableParagraph"/>
              <w:spacing w:line="273" w:lineRule="auto" w:before="104"/>
              <w:ind w:left="105" w:right="339"/>
              <w:rPr>
                <w:b/>
                <w:sz w:val="21"/>
              </w:rPr>
            </w:pPr>
            <w:r>
              <w:rPr>
                <w:b/>
                <w:sz w:val="21"/>
              </w:rPr>
              <w:t>保险事故通知</w:t>
            </w:r>
          </w:p>
        </w:tc>
        <w:tc>
          <w:tcPr>
            <w:tcW w:w="8054" w:type="dxa"/>
          </w:tcPr>
          <w:p>
            <w:pPr>
              <w:pStyle w:val="TableParagraph"/>
              <w:spacing w:line="271" w:lineRule="auto" w:before="92"/>
              <w:ind w:left="71" w:right="1"/>
              <w:rPr>
                <w:sz w:val="21"/>
              </w:rPr>
            </w:pPr>
            <w:r>
              <w:rPr>
                <w:spacing w:val="-14"/>
                <w:sz w:val="21"/>
              </w:rPr>
              <w:t>投保人、受益人或其他有权领取保险金的人知道保险事故后应当在 </w:t>
            </w:r>
            <w:r>
              <w:rPr>
                <w:sz w:val="21"/>
              </w:rPr>
              <w:t>10</w:t>
            </w:r>
            <w:r>
              <w:rPr>
                <w:spacing w:val="-9"/>
                <w:sz w:val="21"/>
              </w:rPr>
              <w:t> 日内通知本公司</w:t>
            </w:r>
            <w:r>
              <w:rPr>
                <w:i/>
                <w:sz w:val="22"/>
              </w:rPr>
              <w:t>。</w:t>
            </w:r>
            <w:r>
              <w:rPr>
                <w:spacing w:val="-3"/>
                <w:sz w:val="21"/>
              </w:rPr>
              <w:t>如果因故意或者因重大过失未及时通知，致使保险事故的性质、原因、损失程度等难 以确定的，本公司对无法确定的部分，不承担给付保险金的责任，但本公司通过其他 途径已经及时知道或者应当及时知道保险事故发生或者虽未及时通知但不影响本公司 确定保险事故的性质、原因、损失程度的除外。</w:t>
            </w:r>
          </w:p>
        </w:tc>
      </w:tr>
      <w:tr>
        <w:trPr>
          <w:trHeight w:val="845" w:hRule="atLeast"/>
        </w:trPr>
        <w:tc>
          <w:tcPr>
            <w:tcW w:w="850" w:type="dxa"/>
          </w:tcPr>
          <w:p>
            <w:pPr>
              <w:pStyle w:val="TableParagraph"/>
              <w:spacing w:before="100"/>
              <w:ind w:left="110"/>
              <w:rPr>
                <w:b/>
                <w:sz w:val="21"/>
              </w:rPr>
            </w:pPr>
            <w:r>
              <w:rPr>
                <w:b/>
                <w:sz w:val="21"/>
              </w:rPr>
              <w:t>4.3</w:t>
            </w:r>
          </w:p>
        </w:tc>
        <w:tc>
          <w:tcPr>
            <w:tcW w:w="1292" w:type="dxa"/>
          </w:tcPr>
          <w:p>
            <w:pPr>
              <w:pStyle w:val="TableParagraph"/>
              <w:spacing w:line="273" w:lineRule="auto" w:before="100"/>
              <w:ind w:left="105" w:right="70"/>
              <w:rPr>
                <w:b/>
                <w:sz w:val="21"/>
              </w:rPr>
            </w:pPr>
            <w:r>
              <w:rPr>
                <w:b/>
                <w:sz w:val="21"/>
              </w:rPr>
              <w:t>保险金申请</w:t>
            </w:r>
          </w:p>
        </w:tc>
        <w:tc>
          <w:tcPr>
            <w:tcW w:w="8054" w:type="dxa"/>
          </w:tcPr>
          <w:p>
            <w:pPr>
              <w:pStyle w:val="TableParagraph"/>
              <w:spacing w:before="100"/>
              <w:ind w:left="71"/>
              <w:rPr>
                <w:sz w:val="21"/>
              </w:rPr>
            </w:pPr>
            <w:r>
              <w:rPr>
                <w:sz w:val="21"/>
              </w:rPr>
              <w:t>在申请保险金时，请按照下列方式办理：</w:t>
            </w:r>
          </w:p>
        </w:tc>
      </w:tr>
      <w:tr>
        <w:trPr>
          <w:trHeight w:val="1955" w:hRule="atLeast"/>
        </w:trPr>
        <w:tc>
          <w:tcPr>
            <w:tcW w:w="850" w:type="dxa"/>
          </w:tcPr>
          <w:p>
            <w:pPr>
              <w:pStyle w:val="TableParagraph"/>
              <w:spacing w:before="92"/>
              <w:ind w:left="110"/>
              <w:rPr>
                <w:i/>
                <w:sz w:val="22"/>
              </w:rPr>
            </w:pPr>
            <w:r>
              <w:rPr>
                <w:i/>
                <w:sz w:val="22"/>
              </w:rPr>
              <w:t>4.3.1</w:t>
            </w:r>
          </w:p>
        </w:tc>
        <w:tc>
          <w:tcPr>
            <w:tcW w:w="1292" w:type="dxa"/>
          </w:tcPr>
          <w:p>
            <w:pPr>
              <w:pStyle w:val="TableParagraph"/>
              <w:spacing w:line="266" w:lineRule="auto" w:before="116"/>
              <w:ind w:left="105" w:right="70"/>
              <w:jc w:val="both"/>
              <w:rPr>
                <w:i/>
                <w:sz w:val="22"/>
              </w:rPr>
            </w:pPr>
            <w:r>
              <w:rPr>
                <w:i/>
                <w:sz w:val="22"/>
              </w:rPr>
              <w:t>重大疾病保险金申请</w:t>
            </w:r>
          </w:p>
        </w:tc>
        <w:tc>
          <w:tcPr>
            <w:tcW w:w="8054" w:type="dxa"/>
          </w:tcPr>
          <w:p>
            <w:pPr>
              <w:pStyle w:val="TableParagraph"/>
              <w:spacing w:before="104"/>
              <w:ind w:left="71"/>
              <w:rPr>
                <w:sz w:val="21"/>
              </w:rPr>
            </w:pPr>
            <w:r>
              <w:rPr>
                <w:sz w:val="21"/>
              </w:rPr>
              <w:t>申请人须填写保险金给付申请书，并须提供下列证明和资料：</w:t>
            </w:r>
          </w:p>
          <w:p>
            <w:pPr>
              <w:pStyle w:val="TableParagraph"/>
              <w:spacing w:before="37"/>
              <w:ind w:left="71"/>
              <w:rPr>
                <w:sz w:val="21"/>
              </w:rPr>
            </w:pPr>
            <w:r>
              <w:rPr>
                <w:sz w:val="21"/>
              </w:rPr>
              <w:t>（</w:t>
            </w:r>
            <w:r>
              <w:rPr>
                <w:rFonts w:ascii="Times New Roman" w:eastAsia="Times New Roman"/>
                <w:sz w:val="21"/>
              </w:rPr>
              <w:t>1</w:t>
            </w:r>
            <w:r>
              <w:rPr>
                <w:sz w:val="21"/>
              </w:rPr>
              <w:t>）保险合同；</w:t>
            </w:r>
          </w:p>
          <w:p>
            <w:pPr>
              <w:pStyle w:val="TableParagraph"/>
              <w:spacing w:before="21"/>
              <w:ind w:left="7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71" w:right="107"/>
              <w:rPr>
                <w:sz w:val="21"/>
              </w:rPr>
            </w:pPr>
            <w:r>
              <w:rPr>
                <w:sz w:val="21"/>
              </w:rPr>
              <w:t>（</w:t>
            </w:r>
            <w:r>
              <w:rPr>
                <w:rFonts w:ascii="Times New Roman" w:eastAsia="Times New Roman"/>
                <w:sz w:val="21"/>
              </w:rPr>
              <w:t>3</w:t>
            </w:r>
            <w:r>
              <w:rPr>
                <w:sz w:val="21"/>
              </w:rPr>
              <w:t>）本公司认可的医院出具的附有病理显微镜检查、血液检验及其他科学方法检验报告的疾病诊断证明书；</w:t>
            </w:r>
          </w:p>
          <w:p>
            <w:pPr>
              <w:pStyle w:val="TableParagraph"/>
              <w:spacing w:line="271" w:lineRule="exact" w:before="22"/>
              <w:ind w:left="71"/>
              <w:rPr>
                <w:sz w:val="21"/>
              </w:rPr>
            </w:pPr>
            <w:r>
              <w:rPr>
                <w:sz w:val="21"/>
              </w:rPr>
              <w:t>（</w:t>
            </w:r>
            <w:r>
              <w:rPr>
                <w:rFonts w:ascii="Times New Roman" w:eastAsia="Times New Roman"/>
                <w:sz w:val="21"/>
              </w:rPr>
              <w:t>4</w:t>
            </w:r>
            <w:r>
              <w:rPr>
                <w:sz w:val="21"/>
              </w:rPr>
              <w:t>）所能提供的与确认保险事故的性质、原因等有关的其他证明和资料。</w:t>
            </w:r>
          </w:p>
        </w:tc>
      </w:tr>
    </w:tbl>
    <w:p>
      <w:pPr>
        <w:spacing w:after="0" w:line="271" w:lineRule="exact"/>
        <w:rPr>
          <w:sz w:val="21"/>
        </w:rPr>
        <w:sectPr>
          <w:pgSz w:w="11910" w:h="16840"/>
          <w:pgMar w:header="568" w:footer="0" w:top="800" w:bottom="280" w:left="800" w:right="7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44"/>
        <w:gridCol w:w="8049"/>
      </w:tblGrid>
      <w:tr>
        <w:trPr>
          <w:trHeight w:val="1050" w:hRule="atLeast"/>
        </w:trPr>
        <w:tc>
          <w:tcPr>
            <w:tcW w:w="797" w:type="dxa"/>
          </w:tcPr>
          <w:p>
            <w:pPr>
              <w:pStyle w:val="TableParagraph"/>
              <w:spacing w:line="222" w:lineRule="exact"/>
              <w:ind w:left="110"/>
              <w:rPr>
                <w:i/>
                <w:sz w:val="22"/>
              </w:rPr>
            </w:pPr>
            <w:r>
              <w:rPr>
                <w:i/>
                <w:sz w:val="22"/>
              </w:rPr>
              <w:t>4.3.2</w:t>
            </w:r>
          </w:p>
        </w:tc>
        <w:tc>
          <w:tcPr>
            <w:tcW w:w="1344" w:type="dxa"/>
          </w:tcPr>
          <w:p>
            <w:pPr>
              <w:pStyle w:val="TableParagraph"/>
              <w:spacing w:line="246" w:lineRule="exact"/>
              <w:ind w:left="158"/>
              <w:rPr>
                <w:i/>
                <w:sz w:val="22"/>
              </w:rPr>
            </w:pPr>
            <w:r>
              <w:rPr>
                <w:i/>
                <w:w w:val="95"/>
                <w:sz w:val="22"/>
              </w:rPr>
              <w:t>委托他人</w:t>
            </w:r>
            <w:r>
              <w:rPr>
                <w:i/>
                <w:sz w:val="22"/>
              </w:rPr>
              <w:t> </w:t>
            </w:r>
          </w:p>
          <w:p>
            <w:pPr>
              <w:pStyle w:val="TableParagraph"/>
              <w:spacing w:line="268" w:lineRule="auto" w:before="31"/>
              <w:ind w:left="158" w:right="69"/>
              <w:rPr>
                <w:i/>
                <w:sz w:val="22"/>
              </w:rPr>
            </w:pPr>
            <w:r>
              <w:rPr>
                <w:i/>
                <w:sz w:val="22"/>
              </w:rPr>
              <w:t>代为申请</w:t>
            </w:r>
            <w:r>
              <w:rPr>
                <w:i/>
                <w:w w:val="95"/>
                <w:sz w:val="22"/>
              </w:rPr>
              <w:t>保险金</w:t>
            </w:r>
          </w:p>
        </w:tc>
        <w:tc>
          <w:tcPr>
            <w:tcW w:w="8049" w:type="dxa"/>
          </w:tcPr>
          <w:p>
            <w:pPr>
              <w:pStyle w:val="TableParagraph"/>
              <w:spacing w:line="221" w:lineRule="exact"/>
              <w:ind w:left="72"/>
              <w:rPr>
                <w:sz w:val="21"/>
              </w:rPr>
            </w:pPr>
            <w:r>
              <w:rPr>
                <w:sz w:val="21"/>
              </w:rPr>
              <w:t>若受益人或其他有权领取保险金的人委托他人代为申请保险金，被委托人还应提供受</w:t>
            </w:r>
          </w:p>
          <w:p>
            <w:pPr>
              <w:pStyle w:val="TableParagraph"/>
              <w:spacing w:line="273" w:lineRule="auto" w:before="37"/>
              <w:ind w:left="72" w:right="103"/>
              <w:rPr>
                <w:sz w:val="21"/>
              </w:rPr>
            </w:pPr>
            <w:r>
              <w:rPr>
                <w:sz w:val="21"/>
              </w:rPr>
              <w:t>益人或其他有权领取保险金的人签字的授权委托书、被委托人的法定有效身份证明等相关证明文件。</w:t>
            </w:r>
          </w:p>
        </w:tc>
      </w:tr>
      <w:tr>
        <w:trPr>
          <w:trHeight w:val="858" w:hRule="atLeast"/>
        </w:trPr>
        <w:tc>
          <w:tcPr>
            <w:tcW w:w="797" w:type="dxa"/>
          </w:tcPr>
          <w:p>
            <w:pPr>
              <w:pStyle w:val="TableParagraph"/>
              <w:spacing w:before="96"/>
              <w:ind w:left="110"/>
              <w:rPr>
                <w:i/>
                <w:sz w:val="22"/>
              </w:rPr>
            </w:pPr>
            <w:r>
              <w:rPr>
                <w:i/>
                <w:sz w:val="22"/>
              </w:rPr>
              <w:t>4.3.3</w:t>
            </w:r>
          </w:p>
        </w:tc>
        <w:tc>
          <w:tcPr>
            <w:tcW w:w="1344" w:type="dxa"/>
          </w:tcPr>
          <w:p>
            <w:pPr>
              <w:pStyle w:val="TableParagraph"/>
              <w:spacing w:before="96"/>
              <w:ind w:left="158"/>
              <w:rPr>
                <w:i/>
                <w:sz w:val="22"/>
              </w:rPr>
            </w:pPr>
            <w:r>
              <w:rPr>
                <w:i/>
                <w:w w:val="95"/>
                <w:sz w:val="22"/>
              </w:rPr>
              <w:t>补充通知</w:t>
            </w:r>
          </w:p>
        </w:tc>
        <w:tc>
          <w:tcPr>
            <w:tcW w:w="8049" w:type="dxa"/>
          </w:tcPr>
          <w:p>
            <w:pPr>
              <w:pStyle w:val="TableParagraph"/>
              <w:spacing w:line="273" w:lineRule="auto" w:before="108"/>
              <w:ind w:left="72" w:right="103" w:firstLine="2"/>
              <w:rPr>
                <w:sz w:val="21"/>
              </w:rPr>
            </w:pPr>
            <w:r>
              <w:rPr>
                <w:sz w:val="21"/>
              </w:rPr>
              <w:t>以上证明和资料不完整的，本公司将及时一次性通知申请人补充提供有关的证明和资料。</w:t>
            </w:r>
          </w:p>
        </w:tc>
      </w:tr>
      <w:tr>
        <w:trPr>
          <w:trHeight w:val="3347" w:hRule="atLeast"/>
        </w:trPr>
        <w:tc>
          <w:tcPr>
            <w:tcW w:w="797" w:type="dxa"/>
          </w:tcPr>
          <w:p>
            <w:pPr>
              <w:pStyle w:val="TableParagraph"/>
              <w:spacing w:before="99"/>
              <w:ind w:left="110"/>
              <w:rPr>
                <w:b/>
                <w:sz w:val="21"/>
              </w:rPr>
            </w:pPr>
            <w:r>
              <w:rPr>
                <w:b/>
                <w:sz w:val="21"/>
              </w:rPr>
              <w:t>4.4</w:t>
            </w:r>
          </w:p>
        </w:tc>
        <w:tc>
          <w:tcPr>
            <w:tcW w:w="1344" w:type="dxa"/>
          </w:tcPr>
          <w:p>
            <w:pPr>
              <w:pStyle w:val="TableParagraph"/>
              <w:spacing w:line="273" w:lineRule="auto" w:before="99"/>
              <w:ind w:left="158" w:right="69"/>
              <w:rPr>
                <w:b/>
                <w:sz w:val="21"/>
              </w:rPr>
            </w:pPr>
            <w:r>
              <w:rPr>
                <w:b/>
                <w:sz w:val="21"/>
              </w:rPr>
              <w:t>保险金给付</w:t>
            </w:r>
          </w:p>
        </w:tc>
        <w:tc>
          <w:tcPr>
            <w:tcW w:w="8049" w:type="dxa"/>
          </w:tcPr>
          <w:p>
            <w:pPr>
              <w:pStyle w:val="TableParagraph"/>
              <w:spacing w:before="99"/>
              <w:ind w:left="72"/>
              <w:rPr>
                <w:sz w:val="21"/>
              </w:rPr>
            </w:pPr>
            <w:r>
              <w:rPr>
                <w:sz w:val="21"/>
              </w:rPr>
              <w:t>本公司在收到保险金给付申请书及合同约定的证明和资料后，将在 5 日内作出核定；</w:t>
            </w:r>
          </w:p>
          <w:p>
            <w:pPr>
              <w:pStyle w:val="TableParagraph"/>
              <w:spacing w:before="36"/>
              <w:ind w:left="72"/>
              <w:rPr>
                <w:sz w:val="21"/>
              </w:rPr>
            </w:pPr>
            <w:r>
              <w:rPr>
                <w:spacing w:val="-7"/>
                <w:sz w:val="21"/>
              </w:rPr>
              <w:t>情形复杂的，在 </w:t>
            </w:r>
            <w:r>
              <w:rPr>
                <w:sz w:val="21"/>
              </w:rPr>
              <w:t>30</w:t>
            </w:r>
            <w:r>
              <w:rPr>
                <w:spacing w:val="-8"/>
                <w:sz w:val="21"/>
              </w:rPr>
              <w:t> 日内作出核定。对属于保险责任的，本公司在与受益人达成给付保</w:t>
            </w:r>
          </w:p>
          <w:p>
            <w:pPr>
              <w:pStyle w:val="TableParagraph"/>
              <w:spacing w:before="36"/>
              <w:ind w:left="72"/>
              <w:rPr>
                <w:sz w:val="21"/>
              </w:rPr>
            </w:pPr>
            <w:r>
              <w:rPr>
                <w:sz w:val="21"/>
              </w:rPr>
              <w:t>险金的协议后 10 日内，履行给付保险金义务。</w:t>
            </w:r>
          </w:p>
          <w:p>
            <w:pPr>
              <w:pStyle w:val="TableParagraph"/>
              <w:spacing w:line="273" w:lineRule="auto" w:before="36"/>
              <w:ind w:left="72" w:right="103"/>
              <w:rPr>
                <w:sz w:val="21"/>
              </w:rPr>
            </w:pPr>
            <w:r>
              <w:rPr>
                <w:sz w:val="21"/>
              </w:rPr>
              <w:t>本公司未及时履行前款规定义务的，除支付保险金外，应当赔偿受益人因此受到的损失。</w:t>
            </w:r>
          </w:p>
          <w:p>
            <w:pPr>
              <w:pStyle w:val="TableParagraph"/>
              <w:spacing w:line="273" w:lineRule="auto" w:before="7"/>
              <w:ind w:left="72" w:right="98"/>
              <w:rPr>
                <w:sz w:val="21"/>
              </w:rPr>
            </w:pPr>
            <w:r>
              <w:rPr>
                <w:sz w:val="21"/>
              </w:rPr>
              <w:t>对不属于保险责任的，本公司自作出核定之日起 3 日内向受益人发出拒绝给付保险金通知书并说明理由。</w:t>
            </w:r>
          </w:p>
          <w:p>
            <w:pPr>
              <w:pStyle w:val="TableParagraph"/>
              <w:spacing w:line="273" w:lineRule="auto" w:before="7"/>
              <w:ind w:left="72" w:right="99"/>
              <w:jc w:val="both"/>
              <w:rPr>
                <w:sz w:val="21"/>
              </w:rPr>
            </w:pPr>
            <w:r>
              <w:rPr>
                <w:spacing w:val="-5"/>
                <w:sz w:val="21"/>
              </w:rPr>
              <w:t>本公司在收到保险金给付申请书及有关证明和资料之日起 </w:t>
            </w:r>
            <w:r>
              <w:rPr>
                <w:sz w:val="21"/>
              </w:rPr>
              <w:t>60</w:t>
            </w:r>
            <w:r>
              <w:rPr>
                <w:spacing w:val="-8"/>
                <w:sz w:val="21"/>
              </w:rPr>
              <w:t> 日内，对给付保险金的数额不能确定的，根据已有证明和资料可以确定的数额先予支付；本公司最终确定给付</w:t>
            </w:r>
            <w:r>
              <w:rPr>
                <w:spacing w:val="-5"/>
                <w:sz w:val="21"/>
              </w:rPr>
              <w:t>保险金的数额后，将支付相应的差额。</w:t>
            </w:r>
          </w:p>
        </w:tc>
      </w:tr>
      <w:tr>
        <w:trPr>
          <w:trHeight w:val="1025" w:hRule="atLeast"/>
        </w:trPr>
        <w:tc>
          <w:tcPr>
            <w:tcW w:w="797" w:type="dxa"/>
          </w:tcPr>
          <w:p>
            <w:pPr>
              <w:pStyle w:val="TableParagraph"/>
              <w:spacing w:before="100"/>
              <w:ind w:left="110"/>
              <w:rPr>
                <w:b/>
                <w:sz w:val="21"/>
              </w:rPr>
            </w:pPr>
            <w:r>
              <w:rPr>
                <w:b/>
                <w:sz w:val="21"/>
              </w:rPr>
              <w:t>4.5</w:t>
            </w:r>
          </w:p>
        </w:tc>
        <w:tc>
          <w:tcPr>
            <w:tcW w:w="1344" w:type="dxa"/>
          </w:tcPr>
          <w:p>
            <w:pPr>
              <w:pStyle w:val="TableParagraph"/>
              <w:spacing w:before="100"/>
              <w:ind w:left="158"/>
              <w:rPr>
                <w:b/>
                <w:sz w:val="21"/>
              </w:rPr>
            </w:pPr>
            <w:r>
              <w:rPr>
                <w:b/>
                <w:sz w:val="21"/>
              </w:rPr>
              <w:t>诉讼时效</w:t>
            </w:r>
          </w:p>
        </w:tc>
        <w:tc>
          <w:tcPr>
            <w:tcW w:w="8049" w:type="dxa"/>
          </w:tcPr>
          <w:p>
            <w:pPr>
              <w:pStyle w:val="TableParagraph"/>
              <w:spacing w:line="273" w:lineRule="auto" w:before="100"/>
              <w:ind w:left="72" w:right="59"/>
              <w:rPr>
                <w:sz w:val="21"/>
              </w:rPr>
            </w:pPr>
            <w:r>
              <w:rPr>
                <w:sz w:val="21"/>
              </w:rPr>
              <w:t>受益人及其他有权领取保险金的人向本公司请求给付保险金的诉讼时效期间为 2 年， 自其知道或者应当知道保险事故发生之日起计算。</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5</w:t>
            </w:r>
          </w:p>
        </w:tc>
        <w:tc>
          <w:tcPr>
            <w:tcW w:w="9393" w:type="dxa"/>
            <w:gridSpan w:val="2"/>
            <w:tcBorders>
              <w:bottom w:val="double" w:sz="1" w:space="0" w:color="000000"/>
            </w:tcBorders>
          </w:tcPr>
          <w:p>
            <w:pPr>
              <w:pStyle w:val="TableParagraph"/>
              <w:spacing w:before="251"/>
              <w:ind w:left="158"/>
              <w:rPr>
                <w:b/>
                <w:sz w:val="28"/>
              </w:rPr>
            </w:pPr>
            <w:r>
              <w:rPr>
                <w:b/>
                <w:sz w:val="28"/>
              </w:rPr>
              <w:t>保险费的交纳</w:t>
            </w:r>
          </w:p>
        </w:tc>
      </w:tr>
      <w:tr>
        <w:trPr>
          <w:trHeight w:val="1110" w:hRule="atLeast"/>
        </w:trPr>
        <w:tc>
          <w:tcPr>
            <w:tcW w:w="797"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5.1</w:t>
            </w:r>
          </w:p>
        </w:tc>
        <w:tc>
          <w:tcPr>
            <w:tcW w:w="1344" w:type="dxa"/>
            <w:tcBorders>
              <w:top w:val="double" w:sz="1" w:space="0" w:color="000000"/>
            </w:tcBorders>
          </w:tcPr>
          <w:p>
            <w:pPr>
              <w:pStyle w:val="TableParagraph"/>
              <w:spacing w:before="2"/>
              <w:rPr>
                <w:rFonts w:ascii="Times New Roman"/>
                <w:sz w:val="16"/>
              </w:rPr>
            </w:pPr>
          </w:p>
          <w:p>
            <w:pPr>
              <w:pStyle w:val="TableParagraph"/>
              <w:spacing w:line="273" w:lineRule="auto"/>
              <w:ind w:left="158" w:right="69"/>
              <w:rPr>
                <w:b/>
                <w:sz w:val="21"/>
              </w:rPr>
            </w:pPr>
            <w:r>
              <w:rPr>
                <w:b/>
                <w:sz w:val="21"/>
              </w:rPr>
              <w:t>保险费的交纳</w:t>
            </w:r>
          </w:p>
        </w:tc>
        <w:tc>
          <w:tcPr>
            <w:tcW w:w="8049" w:type="dxa"/>
            <w:tcBorders>
              <w:top w:val="double" w:sz="1" w:space="0" w:color="000000"/>
            </w:tcBorders>
          </w:tcPr>
          <w:p>
            <w:pPr>
              <w:pStyle w:val="TableParagraph"/>
              <w:spacing w:before="2"/>
              <w:rPr>
                <w:rFonts w:ascii="Times New Roman"/>
                <w:sz w:val="16"/>
              </w:rPr>
            </w:pPr>
          </w:p>
          <w:p>
            <w:pPr>
              <w:pStyle w:val="TableParagraph"/>
              <w:ind w:left="72"/>
              <w:rPr>
                <w:sz w:val="21"/>
              </w:rPr>
            </w:pPr>
            <w:r>
              <w:rPr>
                <w:sz w:val="21"/>
              </w:rPr>
              <w:t>本合同的保险费由投保人在投保时一次交清。</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6</w:t>
            </w:r>
          </w:p>
        </w:tc>
        <w:tc>
          <w:tcPr>
            <w:tcW w:w="1344" w:type="dxa"/>
            <w:tcBorders>
              <w:bottom w:val="double" w:sz="1" w:space="0" w:color="000000"/>
            </w:tcBorders>
          </w:tcPr>
          <w:p>
            <w:pPr>
              <w:pStyle w:val="TableParagraph"/>
              <w:spacing w:before="251"/>
              <w:ind w:left="158"/>
              <w:rPr>
                <w:b/>
                <w:sz w:val="28"/>
              </w:rPr>
            </w:pPr>
            <w:r>
              <w:rPr>
                <w:b/>
                <w:sz w:val="28"/>
              </w:rPr>
              <w:t>合同解除</w:t>
            </w:r>
          </w:p>
        </w:tc>
        <w:tc>
          <w:tcPr>
            <w:tcW w:w="8049" w:type="dxa"/>
            <w:tcBorders>
              <w:bottom w:val="double" w:sz="1" w:space="0" w:color="000000"/>
            </w:tcBorders>
          </w:tcPr>
          <w:p>
            <w:pPr>
              <w:pStyle w:val="TableParagraph"/>
              <w:rPr>
                <w:rFonts w:ascii="Times New Roman"/>
                <w:sz w:val="20"/>
              </w:rPr>
            </w:pPr>
          </w:p>
        </w:tc>
      </w:tr>
      <w:tr>
        <w:trPr>
          <w:trHeight w:val="2668" w:hRule="atLeast"/>
        </w:trPr>
        <w:tc>
          <w:tcPr>
            <w:tcW w:w="797"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6.1</w:t>
            </w:r>
          </w:p>
        </w:tc>
        <w:tc>
          <w:tcPr>
            <w:tcW w:w="1344" w:type="dxa"/>
            <w:tcBorders>
              <w:top w:val="double" w:sz="1" w:space="0" w:color="000000"/>
            </w:tcBorders>
          </w:tcPr>
          <w:p>
            <w:pPr>
              <w:pStyle w:val="TableParagraph"/>
              <w:spacing w:before="11"/>
              <w:rPr>
                <w:rFonts w:ascii="Times New Roman"/>
                <w:sz w:val="15"/>
              </w:rPr>
            </w:pPr>
          </w:p>
          <w:p>
            <w:pPr>
              <w:pStyle w:val="TableParagraph"/>
              <w:ind w:left="158"/>
              <w:rPr>
                <w:b/>
                <w:sz w:val="21"/>
              </w:rPr>
            </w:pPr>
            <w:r>
              <w:rPr>
                <w:b/>
                <w:sz w:val="21"/>
              </w:rPr>
              <w:t>解除合同 </w:t>
            </w:r>
          </w:p>
          <w:p>
            <w:pPr>
              <w:pStyle w:val="TableParagraph"/>
              <w:spacing w:line="273" w:lineRule="auto" w:before="37"/>
              <w:ind w:left="158" w:right="69"/>
              <w:rPr>
                <w:b/>
                <w:sz w:val="21"/>
              </w:rPr>
            </w:pPr>
            <w:r>
              <w:rPr>
                <w:b/>
                <w:sz w:val="21"/>
              </w:rPr>
              <w:t>（退保）的手续及风险</w:t>
            </w:r>
          </w:p>
        </w:tc>
        <w:tc>
          <w:tcPr>
            <w:tcW w:w="8049" w:type="dxa"/>
            <w:tcBorders>
              <w:top w:val="double" w:sz="1" w:space="0" w:color="000000"/>
            </w:tcBorders>
          </w:tcPr>
          <w:p>
            <w:pPr>
              <w:pStyle w:val="TableParagraph"/>
              <w:spacing w:before="11"/>
              <w:rPr>
                <w:rFonts w:ascii="Times New Roman"/>
                <w:sz w:val="15"/>
              </w:rPr>
            </w:pPr>
          </w:p>
          <w:p>
            <w:pPr>
              <w:pStyle w:val="TableParagraph"/>
              <w:spacing w:line="273" w:lineRule="auto"/>
              <w:ind w:left="72" w:right="101"/>
              <w:rPr>
                <w:sz w:val="21"/>
              </w:rPr>
            </w:pPr>
            <w:r>
              <w:rPr>
                <w:spacing w:val="-4"/>
                <w:w w:val="100"/>
                <w:sz w:val="21"/>
              </w:rPr>
              <w:t>本合同生效后，若未发生保险理赔，投保人可以申请解除本合同</w:t>
            </w:r>
            <w:r>
              <w:rPr>
                <w:spacing w:val="-3"/>
                <w:w w:val="100"/>
                <w:sz w:val="21"/>
              </w:rPr>
              <w:t>（</w:t>
            </w:r>
            <w:r>
              <w:rPr>
                <w:spacing w:val="-2"/>
                <w:w w:val="100"/>
                <w:sz w:val="21"/>
              </w:rPr>
              <w:t>简称退保</w:t>
            </w:r>
            <w:r>
              <w:rPr>
                <w:spacing w:val="-108"/>
                <w:w w:val="100"/>
                <w:sz w:val="21"/>
              </w:rPr>
              <w:t>）</w:t>
            </w:r>
            <w:r>
              <w:rPr>
                <w:spacing w:val="-3"/>
                <w:w w:val="100"/>
                <w:sz w:val="21"/>
              </w:rPr>
              <w:t>，请填写</w:t>
            </w:r>
            <w:r>
              <w:rPr>
                <w:spacing w:val="-3"/>
                <w:sz w:val="21"/>
              </w:rPr>
              <w:t>解除合同申请书并向本公司提供下列资料：</w:t>
            </w:r>
          </w:p>
          <w:p>
            <w:pPr>
              <w:pStyle w:val="TableParagraph"/>
              <w:spacing w:before="8"/>
              <w:ind w:left="72"/>
              <w:rPr>
                <w:sz w:val="21"/>
              </w:rPr>
            </w:pPr>
            <w:r>
              <w:rPr>
                <w:sz w:val="21"/>
              </w:rPr>
              <w:t>（1）保险合同；</w:t>
            </w:r>
          </w:p>
          <w:p>
            <w:pPr>
              <w:pStyle w:val="TableParagraph"/>
              <w:spacing w:before="37"/>
              <w:ind w:left="72"/>
              <w:rPr>
                <w:sz w:val="21"/>
              </w:rPr>
            </w:pPr>
            <w:r>
              <w:rPr>
                <w:sz w:val="21"/>
              </w:rPr>
              <w:t>（2）投保人的证明。</w:t>
            </w:r>
          </w:p>
          <w:p>
            <w:pPr>
              <w:pStyle w:val="TableParagraph"/>
              <w:spacing w:line="273" w:lineRule="auto" w:before="37"/>
              <w:ind w:left="72" w:right="103"/>
              <w:rPr>
                <w:sz w:val="21"/>
              </w:rPr>
            </w:pPr>
            <w:r>
              <w:rPr>
                <w:sz w:val="21"/>
              </w:rPr>
              <w:t>自本公司收到解除合同申请书时起，本合同终止。本公司自收到解除合同申请书之日起 30 日内向投保人退还未满期净保险费。</w:t>
            </w:r>
          </w:p>
          <w:p>
            <w:pPr>
              <w:pStyle w:val="TableParagraph"/>
              <w:spacing w:before="7"/>
              <w:ind w:left="72"/>
              <w:rPr>
                <w:sz w:val="21"/>
              </w:rPr>
            </w:pPr>
            <w:r>
              <w:rPr>
                <w:sz w:val="21"/>
              </w:rPr>
              <w:t>投保人解除合同会遭受一定损失。</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7</w:t>
            </w:r>
          </w:p>
        </w:tc>
        <w:tc>
          <w:tcPr>
            <w:tcW w:w="1344" w:type="dxa"/>
            <w:tcBorders>
              <w:bottom w:val="double" w:sz="1" w:space="0" w:color="000000"/>
            </w:tcBorders>
          </w:tcPr>
          <w:p>
            <w:pPr>
              <w:pStyle w:val="TableParagraph"/>
              <w:spacing w:before="251"/>
              <w:ind w:left="158"/>
              <w:rPr>
                <w:b/>
                <w:sz w:val="28"/>
              </w:rPr>
            </w:pPr>
            <w:r>
              <w:rPr>
                <w:b/>
                <w:sz w:val="28"/>
              </w:rPr>
              <w:t>如实告知</w:t>
            </w:r>
          </w:p>
        </w:tc>
        <w:tc>
          <w:tcPr>
            <w:tcW w:w="8049" w:type="dxa"/>
            <w:tcBorders>
              <w:bottom w:val="double" w:sz="1" w:space="0" w:color="000000"/>
            </w:tcBorders>
          </w:tcPr>
          <w:p>
            <w:pPr>
              <w:pStyle w:val="TableParagraph"/>
              <w:rPr>
                <w:rFonts w:ascii="Times New Roman"/>
                <w:sz w:val="20"/>
              </w:rPr>
            </w:pPr>
          </w:p>
        </w:tc>
      </w:tr>
      <w:tr>
        <w:trPr>
          <w:trHeight w:val="1709" w:hRule="atLeast"/>
        </w:trPr>
        <w:tc>
          <w:tcPr>
            <w:tcW w:w="797"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7.1</w:t>
            </w:r>
          </w:p>
        </w:tc>
        <w:tc>
          <w:tcPr>
            <w:tcW w:w="1344" w:type="dxa"/>
            <w:tcBorders>
              <w:top w:val="double" w:sz="1" w:space="0" w:color="000000"/>
            </w:tcBorders>
          </w:tcPr>
          <w:p>
            <w:pPr>
              <w:pStyle w:val="TableParagraph"/>
              <w:spacing w:before="2"/>
              <w:rPr>
                <w:rFonts w:ascii="Times New Roman"/>
                <w:sz w:val="16"/>
              </w:rPr>
            </w:pPr>
          </w:p>
          <w:p>
            <w:pPr>
              <w:pStyle w:val="TableParagraph"/>
              <w:spacing w:line="273" w:lineRule="auto"/>
              <w:ind w:left="158" w:right="69"/>
              <w:jc w:val="both"/>
              <w:rPr>
                <w:b/>
                <w:sz w:val="21"/>
              </w:rPr>
            </w:pPr>
            <w:r>
              <w:rPr>
                <w:b/>
                <w:sz w:val="21"/>
              </w:rPr>
              <w:t>明确说明与 如实告知</w:t>
            </w:r>
          </w:p>
        </w:tc>
        <w:tc>
          <w:tcPr>
            <w:tcW w:w="8049" w:type="dxa"/>
            <w:tcBorders>
              <w:top w:val="double" w:sz="1" w:space="0" w:color="000000"/>
            </w:tcBorders>
          </w:tcPr>
          <w:p>
            <w:pPr>
              <w:pStyle w:val="TableParagraph"/>
              <w:spacing w:before="2"/>
              <w:rPr>
                <w:rFonts w:ascii="Times New Roman"/>
                <w:sz w:val="16"/>
              </w:rPr>
            </w:pPr>
          </w:p>
          <w:p>
            <w:pPr>
              <w:pStyle w:val="TableParagraph"/>
              <w:ind w:left="72"/>
              <w:rPr>
                <w:sz w:val="21"/>
              </w:rPr>
            </w:pPr>
            <w:r>
              <w:rPr>
                <w:sz w:val="21"/>
              </w:rPr>
              <w:t>订立本合同时，本公司会向投保人说明本合同的内容。</w:t>
            </w:r>
          </w:p>
          <w:p>
            <w:pPr>
              <w:pStyle w:val="TableParagraph"/>
              <w:spacing w:line="273" w:lineRule="auto" w:before="37"/>
              <w:ind w:left="72" w:right="197"/>
              <w:jc w:val="both"/>
              <w:rPr>
                <w:sz w:val="21"/>
              </w:rPr>
            </w:pPr>
            <w:r>
              <w:rPr>
                <w:sz w:val="21"/>
              </w:rPr>
              <w:t>对保险条款中免除本公司责任的条款，本公司在订立合同时会在投保单、保险单上作出足以引起投保人注意的提示，并对该条款的内容以书面或者口头形式向投保人作出明确说明，未作提示或者明确说明的，该条款不产生效力。</w:t>
            </w:r>
          </w:p>
          <w:p>
            <w:pPr>
              <w:pStyle w:val="TableParagraph"/>
              <w:spacing w:line="255" w:lineRule="exact" w:before="7"/>
              <w:ind w:left="72"/>
              <w:jc w:val="both"/>
              <w:rPr>
                <w:sz w:val="21"/>
              </w:rPr>
            </w:pPr>
            <w:r>
              <w:rPr>
                <w:sz w:val="21"/>
              </w:rPr>
              <w:t>本公司就投保人和被保险人的有关情况提出询问，投保人应当如实告知。</w:t>
            </w:r>
          </w:p>
        </w:tc>
      </w:tr>
    </w:tbl>
    <w:p>
      <w:pPr>
        <w:spacing w:after="0" w:line="255"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449"/>
        <w:gridCol w:w="8049"/>
      </w:tblGrid>
      <w:tr>
        <w:trPr>
          <w:trHeight w:val="2873" w:hRule="atLeast"/>
        </w:trPr>
        <w:tc>
          <w:tcPr>
            <w:tcW w:w="691" w:type="dxa"/>
          </w:tcPr>
          <w:p>
            <w:pPr>
              <w:pStyle w:val="TableParagraph"/>
              <w:rPr>
                <w:rFonts w:ascii="Times New Roman"/>
                <w:sz w:val="20"/>
              </w:rPr>
            </w:pPr>
          </w:p>
        </w:tc>
        <w:tc>
          <w:tcPr>
            <w:tcW w:w="1449" w:type="dxa"/>
          </w:tcPr>
          <w:p>
            <w:pPr>
              <w:pStyle w:val="TableParagraph"/>
              <w:rPr>
                <w:rFonts w:ascii="Times New Roman"/>
                <w:sz w:val="20"/>
              </w:rPr>
            </w:pPr>
          </w:p>
        </w:tc>
        <w:tc>
          <w:tcPr>
            <w:tcW w:w="8049" w:type="dxa"/>
          </w:tcPr>
          <w:p>
            <w:pPr>
              <w:pStyle w:val="TableParagraph"/>
              <w:spacing w:line="211" w:lineRule="exact"/>
              <w:ind w:left="73"/>
              <w:rPr>
                <w:sz w:val="21"/>
              </w:rPr>
            </w:pPr>
            <w:r>
              <w:rPr>
                <w:sz w:val="21"/>
              </w:rPr>
              <w:t>如果投保人故意或者因重大过失未履行前款规定的如实告知义务，足以影响本公司决</w:t>
            </w:r>
          </w:p>
          <w:p>
            <w:pPr>
              <w:pStyle w:val="TableParagraph"/>
              <w:spacing w:line="273" w:lineRule="auto" w:before="37"/>
              <w:ind w:left="73" w:right="-15"/>
              <w:rPr>
                <w:sz w:val="21"/>
              </w:rPr>
            </w:pPr>
            <w:r>
              <w:rPr>
                <w:spacing w:val="-4"/>
                <w:sz w:val="21"/>
              </w:rPr>
              <w:t>定是否同意承保或者提高保险费率的，本公司有权解除本合同或取消该被保险人资格。</w:t>
            </w:r>
            <w:r>
              <w:rPr>
                <w:spacing w:val="-3"/>
                <w:sz w:val="21"/>
              </w:rPr>
              <w:t>如果投保人故意不履行如实告知义务，对于解除本合同或取消该被保险人资格前发生 的保险事故，本公司不承担给付保险金的责任，并不退还保险费。</w:t>
            </w:r>
          </w:p>
          <w:p>
            <w:pPr>
              <w:pStyle w:val="TableParagraph"/>
              <w:spacing w:line="273" w:lineRule="auto" w:before="7"/>
              <w:ind w:left="73" w:right="196"/>
              <w:jc w:val="both"/>
              <w:rPr>
                <w:sz w:val="21"/>
              </w:rPr>
            </w:pPr>
            <w:r>
              <w:rPr>
                <w:sz w:val="21"/>
              </w:rPr>
              <w:t>如果投保人因重大过失未履行如实告知义务，对保险事故的发生有严重影响的，对于解除本合同或取消该被保险人资格前发生的保险事故，本公司不承担给付保险金的责任，但应当退还保险费。</w:t>
            </w:r>
          </w:p>
          <w:p>
            <w:pPr>
              <w:pStyle w:val="TableParagraph"/>
              <w:spacing w:line="273" w:lineRule="auto" w:before="7"/>
              <w:ind w:left="73" w:right="103"/>
              <w:rPr>
                <w:sz w:val="21"/>
              </w:rPr>
            </w:pPr>
            <w:r>
              <w:rPr>
                <w:sz w:val="21"/>
              </w:rPr>
              <w:t>本公司在合同订立时已经知道投保人未如实告知的情况的，本公司不得解除合同；发生保险事故的，本公司承担给付保险金的责任。</w:t>
            </w:r>
          </w:p>
        </w:tc>
      </w:tr>
      <w:tr>
        <w:trPr>
          <w:trHeight w:val="1338" w:hRule="atLeast"/>
        </w:trPr>
        <w:tc>
          <w:tcPr>
            <w:tcW w:w="691" w:type="dxa"/>
          </w:tcPr>
          <w:p>
            <w:pPr>
              <w:pStyle w:val="TableParagraph"/>
              <w:spacing w:before="102"/>
              <w:ind w:left="110"/>
              <w:rPr>
                <w:b/>
                <w:sz w:val="21"/>
              </w:rPr>
            </w:pPr>
            <w:r>
              <w:rPr>
                <w:b/>
                <w:sz w:val="21"/>
              </w:rPr>
              <w:t>7.2</w:t>
            </w:r>
          </w:p>
        </w:tc>
        <w:tc>
          <w:tcPr>
            <w:tcW w:w="1449" w:type="dxa"/>
          </w:tcPr>
          <w:p>
            <w:pPr>
              <w:pStyle w:val="TableParagraph"/>
              <w:spacing w:line="273" w:lineRule="auto" w:before="102"/>
              <w:ind w:left="264" w:right="68"/>
              <w:jc w:val="both"/>
              <w:rPr>
                <w:b/>
                <w:sz w:val="21"/>
              </w:rPr>
            </w:pPr>
            <w:r>
              <w:rPr>
                <w:b/>
                <w:sz w:val="21"/>
              </w:rPr>
              <w:t>本公司合同解除权的限制</w:t>
            </w:r>
          </w:p>
        </w:tc>
        <w:tc>
          <w:tcPr>
            <w:tcW w:w="8049" w:type="dxa"/>
          </w:tcPr>
          <w:p>
            <w:pPr>
              <w:pStyle w:val="TableParagraph"/>
              <w:spacing w:line="273" w:lineRule="auto" w:before="102"/>
              <w:ind w:left="73" w:right="100"/>
              <w:rPr>
                <w:sz w:val="21"/>
              </w:rPr>
            </w:pPr>
            <w:r>
              <w:rPr>
                <w:spacing w:val="-5"/>
                <w:sz w:val="21"/>
              </w:rPr>
              <w:t>前条规定的全部或部分合同解除权，自本公司知道有解除事由之日起，超过 </w:t>
            </w:r>
            <w:r>
              <w:rPr>
                <w:sz w:val="21"/>
              </w:rPr>
              <w:t>30</w:t>
            </w:r>
            <w:r>
              <w:rPr>
                <w:spacing w:val="-11"/>
                <w:sz w:val="21"/>
              </w:rPr>
              <w:t> 日不行</w:t>
            </w:r>
            <w:r>
              <w:rPr>
                <w:spacing w:val="-2"/>
                <w:sz w:val="21"/>
              </w:rPr>
              <w:t>使而消灭。</w:t>
            </w:r>
          </w:p>
        </w:tc>
      </w:tr>
      <w:tr>
        <w:trPr>
          <w:trHeight w:val="789" w:hRule="atLeast"/>
        </w:trPr>
        <w:tc>
          <w:tcPr>
            <w:tcW w:w="691" w:type="dxa"/>
            <w:tcBorders>
              <w:bottom w:val="double" w:sz="1" w:space="0" w:color="000000"/>
            </w:tcBorders>
          </w:tcPr>
          <w:p>
            <w:pPr>
              <w:pStyle w:val="TableParagraph"/>
              <w:spacing w:before="251"/>
              <w:ind w:left="110"/>
              <w:rPr>
                <w:b/>
                <w:sz w:val="28"/>
              </w:rPr>
            </w:pPr>
            <w:r>
              <w:rPr>
                <w:b/>
                <w:w w:val="99"/>
                <w:sz w:val="28"/>
              </w:rPr>
              <w:t>8</w:t>
            </w:r>
          </w:p>
        </w:tc>
        <w:tc>
          <w:tcPr>
            <w:tcW w:w="9498" w:type="dxa"/>
            <w:gridSpan w:val="2"/>
            <w:tcBorders>
              <w:bottom w:val="double" w:sz="1" w:space="0" w:color="000000"/>
            </w:tcBorders>
          </w:tcPr>
          <w:p>
            <w:pPr>
              <w:pStyle w:val="TableParagraph"/>
              <w:spacing w:before="251"/>
              <w:ind w:left="264"/>
              <w:rPr>
                <w:b/>
                <w:sz w:val="28"/>
              </w:rPr>
            </w:pPr>
            <w:r>
              <w:rPr>
                <w:b/>
                <w:w w:val="95"/>
                <w:sz w:val="28"/>
              </w:rPr>
              <w:t>其他需要关注的事项</w:t>
            </w:r>
          </w:p>
        </w:tc>
      </w:tr>
      <w:tr>
        <w:trPr>
          <w:trHeight w:val="3744" w:hRule="atLeast"/>
        </w:trPr>
        <w:tc>
          <w:tcPr>
            <w:tcW w:w="691"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8.1</w:t>
            </w:r>
          </w:p>
        </w:tc>
        <w:tc>
          <w:tcPr>
            <w:tcW w:w="1449" w:type="dxa"/>
            <w:tcBorders>
              <w:top w:val="double" w:sz="1" w:space="0" w:color="000000"/>
            </w:tcBorders>
          </w:tcPr>
          <w:p>
            <w:pPr>
              <w:pStyle w:val="TableParagraph"/>
              <w:spacing w:before="2"/>
              <w:rPr>
                <w:rFonts w:ascii="Times New Roman"/>
                <w:sz w:val="16"/>
              </w:rPr>
            </w:pPr>
          </w:p>
          <w:p>
            <w:pPr>
              <w:pStyle w:val="TableParagraph"/>
              <w:spacing w:line="273" w:lineRule="auto"/>
              <w:ind w:left="264" w:right="68"/>
              <w:rPr>
                <w:b/>
                <w:sz w:val="21"/>
              </w:rPr>
            </w:pPr>
            <w:r>
              <w:rPr>
                <w:b/>
                <w:sz w:val="21"/>
              </w:rPr>
              <w:t>年龄 错误处理</w:t>
            </w:r>
          </w:p>
        </w:tc>
        <w:tc>
          <w:tcPr>
            <w:tcW w:w="8049" w:type="dxa"/>
            <w:tcBorders>
              <w:top w:val="double" w:sz="1" w:space="0" w:color="000000"/>
            </w:tcBorders>
          </w:tcPr>
          <w:p>
            <w:pPr>
              <w:pStyle w:val="TableParagraph"/>
              <w:spacing w:before="2"/>
              <w:rPr>
                <w:rFonts w:ascii="Times New Roman"/>
                <w:sz w:val="16"/>
              </w:rPr>
            </w:pPr>
          </w:p>
          <w:p>
            <w:pPr>
              <w:pStyle w:val="TableParagraph"/>
              <w:spacing w:line="273" w:lineRule="auto"/>
              <w:ind w:left="73" w:right="102" w:firstLine="2"/>
              <w:jc w:val="both"/>
              <w:rPr>
                <w:sz w:val="21"/>
              </w:rPr>
            </w:pPr>
            <w:r>
              <w:rPr>
                <w:sz w:val="21"/>
              </w:rPr>
              <w:t>被保险人的年龄以周岁计算，投保人在申请投保时，应将与法定有效身份证件相符的被保险人的出生日期、年龄及真实性别在投保单上填明，如果发生错误按照下列方式办理：</w:t>
            </w:r>
          </w:p>
          <w:p>
            <w:pPr>
              <w:pStyle w:val="TableParagraph"/>
              <w:spacing w:line="266" w:lineRule="auto" w:before="7"/>
              <w:ind w:left="577" w:right="97" w:hanging="504"/>
              <w:jc w:val="both"/>
              <w:rPr>
                <w:sz w:val="21"/>
              </w:rPr>
            </w:pPr>
            <w:r>
              <w:rPr>
                <w:sz w:val="21"/>
              </w:rPr>
              <w:t>（1）投保人申报的被保险人年龄不真实，并且其真实年龄不符合本合同约定投保年龄限制的，本公司有权全部或部分解除本合同，并向投保人退还未满期净保险费。本公司行使合同解除权适用 </w:t>
            </w:r>
            <w:r>
              <w:rPr>
                <w:i/>
                <w:sz w:val="22"/>
              </w:rPr>
              <w:t>7.2</w:t>
            </w:r>
            <w:r>
              <w:rPr>
                <w:sz w:val="21"/>
              </w:rPr>
              <w:t>“本公司合同解除权的限制”的规定。</w:t>
            </w:r>
          </w:p>
          <w:p>
            <w:pPr>
              <w:pStyle w:val="TableParagraph"/>
              <w:spacing w:line="273" w:lineRule="auto" w:before="11"/>
              <w:ind w:left="577" w:right="90" w:hanging="504"/>
              <w:jc w:val="both"/>
              <w:rPr>
                <w:sz w:val="21"/>
              </w:rPr>
            </w:pPr>
            <w:r>
              <w:rPr>
                <w:sz w:val="21"/>
              </w:rPr>
              <w:t>（2）投保人申报的被保险人年龄不真实，致使投保人实交保险费少于应交保险费的， 本公司有权更正并要求投保人补交保险费。若该被保险人已经发生保险事故，在给付保险金时按实交保险费和应交保险费的比例给付。</w:t>
            </w:r>
          </w:p>
          <w:p>
            <w:pPr>
              <w:pStyle w:val="TableParagraph"/>
              <w:spacing w:line="273" w:lineRule="auto" w:before="8"/>
              <w:ind w:left="577" w:right="100" w:hanging="504"/>
              <w:jc w:val="both"/>
              <w:rPr>
                <w:sz w:val="21"/>
              </w:rPr>
            </w:pPr>
            <w:r>
              <w:rPr>
                <w:sz w:val="21"/>
              </w:rPr>
              <w:t>（3）投保人申报的被保险人年龄或性别不真实，致使投保人实交保险费多于应交保险费的，本公司会将多收的保险费无息退还给投保人。</w:t>
            </w:r>
          </w:p>
        </w:tc>
      </w:tr>
      <w:tr>
        <w:trPr>
          <w:trHeight w:val="1163" w:hRule="atLeast"/>
        </w:trPr>
        <w:tc>
          <w:tcPr>
            <w:tcW w:w="691" w:type="dxa"/>
          </w:tcPr>
          <w:p>
            <w:pPr>
              <w:pStyle w:val="TableParagraph"/>
              <w:spacing w:before="99"/>
              <w:ind w:left="110"/>
              <w:rPr>
                <w:b/>
                <w:sz w:val="21"/>
              </w:rPr>
            </w:pPr>
            <w:r>
              <w:rPr>
                <w:b/>
                <w:sz w:val="21"/>
              </w:rPr>
              <w:t>8.2</w:t>
            </w:r>
          </w:p>
        </w:tc>
        <w:tc>
          <w:tcPr>
            <w:tcW w:w="1449" w:type="dxa"/>
          </w:tcPr>
          <w:p>
            <w:pPr>
              <w:pStyle w:val="TableParagraph"/>
              <w:spacing w:line="273" w:lineRule="auto" w:before="99"/>
              <w:ind w:left="264" w:right="68"/>
              <w:rPr>
                <w:b/>
                <w:sz w:val="21"/>
              </w:rPr>
            </w:pPr>
            <w:r>
              <w:rPr>
                <w:b/>
                <w:sz w:val="21"/>
              </w:rPr>
              <w:t>合同内容变更</w:t>
            </w:r>
          </w:p>
        </w:tc>
        <w:tc>
          <w:tcPr>
            <w:tcW w:w="8049" w:type="dxa"/>
          </w:tcPr>
          <w:p>
            <w:pPr>
              <w:pStyle w:val="TableParagraph"/>
              <w:spacing w:line="273" w:lineRule="auto" w:before="99"/>
              <w:ind w:left="73" w:right="102"/>
              <w:jc w:val="both"/>
              <w:rPr>
                <w:sz w:val="21"/>
              </w:rPr>
            </w:pPr>
            <w:r>
              <w:rPr>
                <w:sz w:val="21"/>
              </w:rPr>
              <w:t>在本合同有效期内，经投保人与本公司协商一致，可以变更本合同的有关内容。变更本合同的，应当由本公司在保险单上批注或者附贴批单，或者由投保人与本公司订立书面的变更协议。</w:t>
            </w:r>
          </w:p>
        </w:tc>
      </w:tr>
      <w:tr>
        <w:trPr>
          <w:trHeight w:val="1475" w:hRule="atLeast"/>
        </w:trPr>
        <w:tc>
          <w:tcPr>
            <w:tcW w:w="691" w:type="dxa"/>
          </w:tcPr>
          <w:p>
            <w:pPr>
              <w:pStyle w:val="TableParagraph"/>
              <w:spacing w:before="101"/>
              <w:ind w:left="110"/>
              <w:rPr>
                <w:b/>
                <w:sz w:val="21"/>
              </w:rPr>
            </w:pPr>
            <w:r>
              <w:rPr>
                <w:b/>
                <w:sz w:val="21"/>
              </w:rPr>
              <w:t>8.3</w:t>
            </w:r>
          </w:p>
        </w:tc>
        <w:tc>
          <w:tcPr>
            <w:tcW w:w="1449" w:type="dxa"/>
          </w:tcPr>
          <w:p>
            <w:pPr>
              <w:pStyle w:val="TableParagraph"/>
              <w:spacing w:line="273" w:lineRule="auto" w:before="101"/>
              <w:ind w:left="264" w:right="68"/>
              <w:rPr>
                <w:b/>
                <w:sz w:val="21"/>
              </w:rPr>
            </w:pPr>
            <w:r>
              <w:rPr>
                <w:b/>
                <w:sz w:val="21"/>
              </w:rPr>
              <w:t>联系方式变更</w:t>
            </w:r>
          </w:p>
        </w:tc>
        <w:tc>
          <w:tcPr>
            <w:tcW w:w="8049" w:type="dxa"/>
          </w:tcPr>
          <w:p>
            <w:pPr>
              <w:pStyle w:val="TableParagraph"/>
              <w:spacing w:line="273" w:lineRule="auto" w:before="101"/>
              <w:ind w:left="73" w:right="104"/>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发送的有关通知，均视为已送达给投保人。</w:t>
            </w:r>
          </w:p>
        </w:tc>
      </w:tr>
      <w:tr>
        <w:trPr>
          <w:trHeight w:val="1024" w:hRule="atLeast"/>
        </w:trPr>
        <w:tc>
          <w:tcPr>
            <w:tcW w:w="691" w:type="dxa"/>
          </w:tcPr>
          <w:p>
            <w:pPr>
              <w:pStyle w:val="TableParagraph"/>
              <w:spacing w:before="99"/>
              <w:ind w:left="110"/>
              <w:rPr>
                <w:b/>
                <w:sz w:val="21"/>
              </w:rPr>
            </w:pPr>
            <w:r>
              <w:rPr>
                <w:b/>
                <w:sz w:val="21"/>
              </w:rPr>
              <w:t>8.4</w:t>
            </w:r>
          </w:p>
        </w:tc>
        <w:tc>
          <w:tcPr>
            <w:tcW w:w="1449" w:type="dxa"/>
          </w:tcPr>
          <w:p>
            <w:pPr>
              <w:pStyle w:val="TableParagraph"/>
              <w:spacing w:before="99"/>
              <w:ind w:left="264"/>
              <w:rPr>
                <w:b/>
                <w:sz w:val="21"/>
              </w:rPr>
            </w:pPr>
            <w:r>
              <w:rPr>
                <w:b/>
                <w:sz w:val="21"/>
              </w:rPr>
              <w:t>争议处理</w:t>
            </w:r>
          </w:p>
        </w:tc>
        <w:tc>
          <w:tcPr>
            <w:tcW w:w="8049" w:type="dxa"/>
          </w:tcPr>
          <w:p>
            <w:pPr>
              <w:pStyle w:val="TableParagraph"/>
              <w:spacing w:line="273" w:lineRule="auto" w:before="99"/>
              <w:ind w:left="73" w:right="-15"/>
              <w:rPr>
                <w:sz w:val="21"/>
              </w:rPr>
            </w:pPr>
            <w:r>
              <w:rPr>
                <w:spacing w:val="-3"/>
                <w:sz w:val="21"/>
              </w:rPr>
              <w:t>本合同履行过程中，双方发生争议不能协商解决的，可以达成仲裁协议通过仲裁解决， 也可以依法向人民法院起诉。</w:t>
            </w:r>
          </w:p>
        </w:tc>
      </w:tr>
      <w:tr>
        <w:trPr>
          <w:trHeight w:val="790" w:hRule="atLeast"/>
        </w:trPr>
        <w:tc>
          <w:tcPr>
            <w:tcW w:w="691" w:type="dxa"/>
            <w:tcBorders>
              <w:bottom w:val="double" w:sz="1" w:space="0" w:color="000000"/>
            </w:tcBorders>
          </w:tcPr>
          <w:p>
            <w:pPr>
              <w:pStyle w:val="TableParagraph"/>
              <w:spacing w:before="11"/>
              <w:rPr>
                <w:rFonts w:ascii="Times New Roman"/>
                <w:sz w:val="21"/>
              </w:rPr>
            </w:pPr>
          </w:p>
          <w:p>
            <w:pPr>
              <w:pStyle w:val="TableParagraph"/>
              <w:ind w:left="110"/>
              <w:rPr>
                <w:b/>
                <w:sz w:val="28"/>
              </w:rPr>
            </w:pPr>
            <w:r>
              <w:rPr>
                <w:b/>
                <w:w w:val="99"/>
                <w:sz w:val="28"/>
              </w:rPr>
              <w:t>9</w:t>
            </w:r>
          </w:p>
        </w:tc>
        <w:tc>
          <w:tcPr>
            <w:tcW w:w="1449" w:type="dxa"/>
            <w:tcBorders>
              <w:bottom w:val="double" w:sz="1" w:space="0" w:color="000000"/>
            </w:tcBorders>
          </w:tcPr>
          <w:p>
            <w:pPr>
              <w:pStyle w:val="TableParagraph"/>
              <w:spacing w:before="11"/>
              <w:rPr>
                <w:rFonts w:ascii="Times New Roman"/>
                <w:sz w:val="21"/>
              </w:rPr>
            </w:pPr>
          </w:p>
          <w:p>
            <w:pPr>
              <w:pStyle w:val="TableParagraph"/>
              <w:ind w:left="264"/>
              <w:rPr>
                <w:b/>
                <w:sz w:val="28"/>
              </w:rPr>
            </w:pPr>
            <w:r>
              <w:rPr>
                <w:b/>
                <w:w w:val="95"/>
                <w:sz w:val="28"/>
              </w:rPr>
              <w:t>释义</w:t>
            </w:r>
          </w:p>
        </w:tc>
        <w:tc>
          <w:tcPr>
            <w:tcW w:w="8049" w:type="dxa"/>
            <w:tcBorders>
              <w:bottom w:val="double" w:sz="1" w:space="0" w:color="000000"/>
            </w:tcBorders>
          </w:tcPr>
          <w:p>
            <w:pPr>
              <w:pStyle w:val="TableParagraph"/>
              <w:rPr>
                <w:rFonts w:ascii="Times New Roman"/>
                <w:sz w:val="20"/>
              </w:rPr>
            </w:pPr>
          </w:p>
        </w:tc>
      </w:tr>
      <w:tr>
        <w:trPr>
          <w:trHeight w:val="711" w:hRule="atLeast"/>
        </w:trPr>
        <w:tc>
          <w:tcPr>
            <w:tcW w:w="691" w:type="dxa"/>
            <w:tcBorders>
              <w:top w:val="double" w:sz="1" w:space="0" w:color="000000"/>
            </w:tcBorders>
          </w:tcPr>
          <w:p>
            <w:pPr>
              <w:pStyle w:val="TableParagraph"/>
              <w:rPr>
                <w:rFonts w:ascii="Times New Roman"/>
                <w:sz w:val="16"/>
              </w:rPr>
            </w:pPr>
          </w:p>
          <w:p>
            <w:pPr>
              <w:pStyle w:val="TableParagraph"/>
              <w:ind w:left="110"/>
              <w:rPr>
                <w:b/>
                <w:sz w:val="21"/>
              </w:rPr>
            </w:pPr>
            <w:r>
              <w:rPr>
                <w:b/>
                <w:sz w:val="21"/>
              </w:rPr>
              <w:t>9.1</w:t>
            </w:r>
          </w:p>
        </w:tc>
        <w:tc>
          <w:tcPr>
            <w:tcW w:w="1449" w:type="dxa"/>
            <w:tcBorders>
              <w:top w:val="double" w:sz="1" w:space="0" w:color="000000"/>
            </w:tcBorders>
          </w:tcPr>
          <w:p>
            <w:pPr>
              <w:pStyle w:val="TableParagraph"/>
              <w:rPr>
                <w:rFonts w:ascii="Times New Roman"/>
                <w:sz w:val="16"/>
              </w:rPr>
            </w:pPr>
          </w:p>
          <w:p>
            <w:pPr>
              <w:pStyle w:val="TableParagraph"/>
              <w:ind w:left="264"/>
              <w:rPr>
                <w:b/>
                <w:sz w:val="21"/>
              </w:rPr>
            </w:pPr>
            <w:r>
              <w:rPr>
                <w:b/>
                <w:sz w:val="21"/>
              </w:rPr>
              <w:t>周岁</w:t>
            </w:r>
          </w:p>
        </w:tc>
        <w:tc>
          <w:tcPr>
            <w:tcW w:w="8049" w:type="dxa"/>
            <w:tcBorders>
              <w:top w:val="double" w:sz="1" w:space="0" w:color="000000"/>
            </w:tcBorders>
          </w:tcPr>
          <w:p>
            <w:pPr>
              <w:pStyle w:val="TableParagraph"/>
              <w:spacing w:before="4"/>
              <w:rPr>
                <w:rFonts w:ascii="Times New Roman"/>
                <w:sz w:val="16"/>
              </w:rPr>
            </w:pPr>
          </w:p>
          <w:p>
            <w:pPr>
              <w:pStyle w:val="TableParagraph"/>
              <w:spacing w:line="274" w:lineRule="exact"/>
              <w:ind w:left="73" w:right="108"/>
              <w:rPr>
                <w:sz w:val="21"/>
              </w:rPr>
            </w:pPr>
            <w:r>
              <w:rPr>
                <w:sz w:val="21"/>
              </w:rPr>
              <w:t>指按法定有效身份证明文件中记载的出生日期计算的年龄，自出生之日起为零周岁， 每经过一年增加一岁，不足一年的不计。</w:t>
            </w:r>
          </w:p>
        </w:tc>
      </w:tr>
    </w:tbl>
    <w:p>
      <w:pPr>
        <w:spacing w:after="0" w:line="274"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2"/>
        <w:rPr>
          <w:rFonts w:ascii="Times New Roman"/>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97"/>
        <w:gridCol w:w="8251"/>
      </w:tblGrid>
      <w:tr>
        <w:trPr>
          <w:trHeight w:val="368" w:hRule="atLeast"/>
        </w:trPr>
        <w:tc>
          <w:tcPr>
            <w:tcW w:w="834" w:type="dxa"/>
          </w:tcPr>
          <w:p>
            <w:pPr>
              <w:pStyle w:val="TableParagraph"/>
              <w:spacing w:line="233" w:lineRule="exact"/>
              <w:ind w:left="74" w:right="189"/>
              <w:jc w:val="center"/>
              <w:rPr>
                <w:b/>
                <w:sz w:val="21"/>
              </w:rPr>
            </w:pPr>
            <w:r>
              <w:rPr>
                <w:b/>
                <w:sz w:val="21"/>
              </w:rPr>
              <w:t>9.2</w:t>
            </w:r>
          </w:p>
        </w:tc>
        <w:tc>
          <w:tcPr>
            <w:tcW w:w="1397" w:type="dxa"/>
          </w:tcPr>
          <w:p>
            <w:pPr>
              <w:pStyle w:val="TableParagraph"/>
              <w:spacing w:line="233" w:lineRule="exact"/>
              <w:ind w:left="211"/>
              <w:rPr>
                <w:b/>
                <w:sz w:val="21"/>
              </w:rPr>
            </w:pPr>
            <w:r>
              <w:rPr>
                <w:b/>
                <w:sz w:val="21"/>
              </w:rPr>
              <w:t>意外伤害</w:t>
            </w:r>
          </w:p>
        </w:tc>
        <w:tc>
          <w:tcPr>
            <w:tcW w:w="8251" w:type="dxa"/>
          </w:tcPr>
          <w:p>
            <w:pPr>
              <w:pStyle w:val="TableParagraph"/>
              <w:spacing w:line="211" w:lineRule="exact"/>
              <w:ind w:left="71"/>
              <w:rPr>
                <w:sz w:val="21"/>
              </w:rPr>
            </w:pPr>
            <w:r>
              <w:rPr>
                <w:sz w:val="21"/>
              </w:rPr>
              <w:t>指遭受外来的、突发的、非本意的、非疾病的客观事件直接致使身体受到的伤害。</w:t>
            </w:r>
          </w:p>
        </w:tc>
      </w:tr>
      <w:tr>
        <w:trPr>
          <w:trHeight w:val="2354" w:hRule="atLeast"/>
        </w:trPr>
        <w:tc>
          <w:tcPr>
            <w:tcW w:w="834" w:type="dxa"/>
          </w:tcPr>
          <w:p>
            <w:pPr>
              <w:pStyle w:val="TableParagraph"/>
              <w:spacing w:before="72"/>
              <w:ind w:left="74" w:right="189"/>
              <w:jc w:val="center"/>
              <w:rPr>
                <w:b/>
                <w:sz w:val="21"/>
              </w:rPr>
            </w:pPr>
            <w:r>
              <w:rPr>
                <w:b/>
                <w:sz w:val="21"/>
              </w:rPr>
              <w:t>9.3</w:t>
            </w:r>
          </w:p>
        </w:tc>
        <w:tc>
          <w:tcPr>
            <w:tcW w:w="1397" w:type="dxa"/>
          </w:tcPr>
          <w:p>
            <w:pPr>
              <w:pStyle w:val="TableParagraph"/>
              <w:spacing w:line="273" w:lineRule="auto" w:before="72"/>
              <w:ind w:left="211" w:right="338"/>
              <w:rPr>
                <w:b/>
                <w:sz w:val="21"/>
              </w:rPr>
            </w:pPr>
            <w:r>
              <w:rPr>
                <w:b/>
                <w:sz w:val="21"/>
              </w:rPr>
              <w:t>本公司认可的医院</w:t>
            </w:r>
          </w:p>
        </w:tc>
        <w:tc>
          <w:tcPr>
            <w:tcW w:w="8251" w:type="dxa"/>
          </w:tcPr>
          <w:p>
            <w:pPr>
              <w:pStyle w:val="TableParagraph"/>
              <w:numPr>
                <w:ilvl w:val="0"/>
                <w:numId w:val="1"/>
              </w:numPr>
              <w:tabs>
                <w:tab w:pos="808" w:val="left" w:leader="none"/>
                <w:tab w:pos="809" w:val="left" w:leader="none"/>
              </w:tabs>
              <w:spacing w:line="240" w:lineRule="auto" w:before="72" w:after="0"/>
              <w:ind w:left="71" w:right="0" w:firstLine="0"/>
              <w:jc w:val="left"/>
              <w:rPr>
                <w:sz w:val="21"/>
              </w:rPr>
            </w:pPr>
            <w:r>
              <w:rPr>
                <w:spacing w:val="-3"/>
                <w:sz w:val="21"/>
              </w:rPr>
              <w:t>指符合下列所有条件的医院：</w:t>
            </w:r>
          </w:p>
          <w:p>
            <w:pPr>
              <w:pStyle w:val="TableParagraph"/>
              <w:spacing w:line="273" w:lineRule="auto" w:before="37"/>
              <w:ind w:left="71" w:right="314"/>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p>
            <w:pPr>
              <w:pStyle w:val="TableParagraph"/>
              <w:numPr>
                <w:ilvl w:val="0"/>
                <w:numId w:val="1"/>
              </w:numPr>
              <w:tabs>
                <w:tab w:pos="715" w:val="left" w:leader="none"/>
              </w:tabs>
              <w:spacing w:line="273" w:lineRule="auto" w:before="7" w:after="0"/>
              <w:ind w:left="71" w:right="304" w:firstLine="0"/>
              <w:jc w:val="both"/>
              <w:rPr>
                <w:sz w:val="21"/>
              </w:rPr>
            </w:pPr>
            <w:r>
              <w:rPr>
                <w:sz w:val="21"/>
              </w:rPr>
              <w:t>若投保时本合同附有定点医院名单或有另外约定的，以合同中所列明的定点医</w:t>
            </w:r>
            <w:r>
              <w:rPr>
                <w:spacing w:val="-2"/>
                <w:sz w:val="21"/>
              </w:rPr>
              <w:t>院或约定为准。</w:t>
            </w:r>
          </w:p>
        </w:tc>
      </w:tr>
      <w:tr>
        <w:trPr>
          <w:trHeight w:val="1419" w:hRule="atLeast"/>
        </w:trPr>
        <w:tc>
          <w:tcPr>
            <w:tcW w:w="834" w:type="dxa"/>
          </w:tcPr>
          <w:p>
            <w:pPr>
              <w:pStyle w:val="TableParagraph"/>
              <w:spacing w:before="72"/>
              <w:ind w:left="74" w:right="189"/>
              <w:jc w:val="center"/>
              <w:rPr>
                <w:b/>
                <w:sz w:val="21"/>
              </w:rPr>
            </w:pPr>
            <w:r>
              <w:rPr>
                <w:b/>
                <w:sz w:val="21"/>
              </w:rPr>
              <w:t>9.4</w:t>
            </w:r>
          </w:p>
        </w:tc>
        <w:tc>
          <w:tcPr>
            <w:tcW w:w="1397" w:type="dxa"/>
          </w:tcPr>
          <w:p>
            <w:pPr>
              <w:pStyle w:val="TableParagraph"/>
              <w:spacing w:before="72"/>
              <w:ind w:left="211"/>
              <w:rPr>
                <w:b/>
                <w:sz w:val="21"/>
              </w:rPr>
            </w:pPr>
            <w:r>
              <w:rPr>
                <w:b/>
                <w:sz w:val="21"/>
              </w:rPr>
              <w:t>专科医生</w:t>
            </w:r>
          </w:p>
        </w:tc>
        <w:tc>
          <w:tcPr>
            <w:tcW w:w="8251" w:type="dxa"/>
          </w:tcPr>
          <w:p>
            <w:pPr>
              <w:pStyle w:val="TableParagraph"/>
              <w:spacing w:line="273" w:lineRule="auto" w:before="72"/>
              <w:ind w:left="71" w:right="301"/>
              <w:jc w:val="both"/>
              <w:rPr>
                <w:sz w:val="21"/>
              </w:rPr>
            </w:pPr>
            <w:r>
              <w:rPr>
                <w:spacing w:val="-9"/>
                <w:w w:val="100"/>
                <w:sz w:val="21"/>
              </w:rPr>
              <w:t>专科医生应当同时满足以下四项资格条件：</w:t>
            </w:r>
            <w:r>
              <w:rPr>
                <w:w w:val="100"/>
                <w:sz w:val="21"/>
              </w:rPr>
              <w:t>（</w:t>
            </w:r>
            <w:r>
              <w:rPr>
                <w:spacing w:val="-3"/>
                <w:w w:val="100"/>
                <w:sz w:val="21"/>
              </w:rPr>
              <w:t>1）</w:t>
            </w:r>
            <w:r>
              <w:rPr>
                <w:spacing w:val="-4"/>
                <w:w w:val="100"/>
                <w:sz w:val="21"/>
              </w:rPr>
              <w:t>具有有效的中华人民共和国《</w:t>
            </w:r>
            <w:r>
              <w:rPr>
                <w:sz w:val="21"/>
              </w:rPr>
              <w:t> </w:t>
            </w:r>
            <w:r>
              <w:rPr>
                <w:spacing w:val="-2"/>
                <w:w w:val="100"/>
                <w:sz w:val="21"/>
              </w:rPr>
              <w:t>医师资</w:t>
            </w:r>
            <w:r>
              <w:rPr>
                <w:spacing w:val="-45"/>
                <w:w w:val="100"/>
                <w:sz w:val="21"/>
              </w:rPr>
              <w:t>格证书》；</w:t>
            </w:r>
            <w:r>
              <w:rPr>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医师执业证书》，并按期到相关部门登记</w:t>
            </w:r>
            <w:r>
              <w:rPr>
                <w:spacing w:val="-46"/>
                <w:w w:val="100"/>
                <w:sz w:val="21"/>
              </w:rPr>
              <w:t>注册；</w:t>
            </w:r>
            <w:r>
              <w:rPr>
                <w:w w:val="100"/>
                <w:sz w:val="21"/>
              </w:rPr>
              <w:t>（3</w:t>
            </w:r>
            <w:r>
              <w:rPr>
                <w:spacing w:val="-5"/>
                <w:w w:val="100"/>
                <w:sz w:val="21"/>
              </w:rPr>
              <w:t>）</w:t>
            </w:r>
            <w:r>
              <w:rPr>
                <w:spacing w:val="-4"/>
                <w:w w:val="100"/>
                <w:sz w:val="21"/>
              </w:rPr>
              <w:t>具有有效的中华人民共和国主治医师或主治医师以上职称的《</w:t>
            </w:r>
            <w:r>
              <w:rPr>
                <w:spacing w:val="-1"/>
                <w:sz w:val="21"/>
              </w:rPr>
              <w:t> </w:t>
            </w:r>
            <w:r>
              <w:rPr>
                <w:spacing w:val="-3"/>
                <w:w w:val="100"/>
                <w:sz w:val="21"/>
              </w:rPr>
              <w:t>医师职称证</w:t>
            </w:r>
            <w:r>
              <w:rPr>
                <w:spacing w:val="-72"/>
                <w:w w:val="100"/>
                <w:sz w:val="21"/>
              </w:rPr>
              <w:t>书》；</w:t>
            </w:r>
            <w:r>
              <w:rPr>
                <w:spacing w:val="-3"/>
                <w:w w:val="100"/>
                <w:sz w:val="21"/>
              </w:rPr>
              <w:t>（</w:t>
            </w:r>
            <w:r>
              <w:rPr>
                <w:w w:val="100"/>
                <w:sz w:val="21"/>
              </w:rPr>
              <w:t>4</w:t>
            </w:r>
            <w:r>
              <w:rPr>
                <w:spacing w:val="-3"/>
                <w:w w:val="100"/>
                <w:sz w:val="21"/>
              </w:rPr>
              <w:t>）在二级或二级以上医院的相应科室从事临床工作三年以上。</w:t>
            </w:r>
          </w:p>
        </w:tc>
      </w:tr>
      <w:tr>
        <w:trPr>
          <w:trHeight w:val="1106" w:hRule="atLeast"/>
        </w:trPr>
        <w:tc>
          <w:tcPr>
            <w:tcW w:w="834" w:type="dxa"/>
          </w:tcPr>
          <w:p>
            <w:pPr>
              <w:pStyle w:val="TableParagraph"/>
              <w:spacing w:before="72"/>
              <w:ind w:left="74" w:right="189"/>
              <w:jc w:val="center"/>
              <w:rPr>
                <w:b/>
                <w:sz w:val="21"/>
              </w:rPr>
            </w:pPr>
            <w:r>
              <w:rPr>
                <w:b/>
                <w:sz w:val="21"/>
              </w:rPr>
              <w:t>9.5</w:t>
            </w:r>
          </w:p>
        </w:tc>
        <w:tc>
          <w:tcPr>
            <w:tcW w:w="1397" w:type="dxa"/>
          </w:tcPr>
          <w:p>
            <w:pPr>
              <w:pStyle w:val="TableParagraph"/>
              <w:spacing w:before="72"/>
              <w:ind w:left="211"/>
              <w:rPr>
                <w:b/>
                <w:sz w:val="21"/>
              </w:rPr>
            </w:pPr>
            <w:r>
              <w:rPr>
                <w:b/>
                <w:sz w:val="21"/>
              </w:rPr>
              <w:t>毒品</w:t>
            </w:r>
          </w:p>
        </w:tc>
        <w:tc>
          <w:tcPr>
            <w:tcW w:w="8251" w:type="dxa"/>
          </w:tcPr>
          <w:p>
            <w:pPr>
              <w:pStyle w:val="TableParagraph"/>
              <w:spacing w:line="273" w:lineRule="auto" w:before="72"/>
              <w:ind w:left="71" w:right="301"/>
              <w:jc w:val="both"/>
              <w:rPr>
                <w:sz w:val="21"/>
              </w:rPr>
            </w:pPr>
            <w:r>
              <w:rPr>
                <w:spacing w:val="-3"/>
                <w:sz w:val="21"/>
              </w:rPr>
              <w:t>指中华人民共和国刑法规定的鸦片、海洛因、甲基苯丙胺（</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95" w:hRule="atLeast"/>
        </w:trPr>
        <w:tc>
          <w:tcPr>
            <w:tcW w:w="834" w:type="dxa"/>
          </w:tcPr>
          <w:p>
            <w:pPr>
              <w:pStyle w:val="TableParagraph"/>
              <w:spacing w:before="72"/>
              <w:ind w:left="74" w:right="189"/>
              <w:jc w:val="center"/>
              <w:rPr>
                <w:b/>
                <w:sz w:val="21"/>
              </w:rPr>
            </w:pPr>
            <w:r>
              <w:rPr>
                <w:b/>
                <w:sz w:val="21"/>
              </w:rPr>
              <w:t>9.6</w:t>
            </w:r>
          </w:p>
        </w:tc>
        <w:tc>
          <w:tcPr>
            <w:tcW w:w="1397" w:type="dxa"/>
          </w:tcPr>
          <w:p>
            <w:pPr>
              <w:pStyle w:val="TableParagraph"/>
              <w:spacing w:line="273" w:lineRule="auto" w:before="72"/>
              <w:ind w:left="211" w:right="70"/>
              <w:jc w:val="both"/>
              <w:rPr>
                <w:b/>
                <w:sz w:val="21"/>
              </w:rPr>
            </w:pPr>
            <w:r>
              <w:rPr>
                <w:b/>
                <w:sz w:val="21"/>
              </w:rPr>
              <w:t>患艾滋病或 感染艾滋病病毒</w:t>
            </w:r>
          </w:p>
        </w:tc>
        <w:tc>
          <w:tcPr>
            <w:tcW w:w="8251" w:type="dxa"/>
          </w:tcPr>
          <w:p>
            <w:pPr>
              <w:pStyle w:val="TableParagraph"/>
              <w:spacing w:line="273" w:lineRule="auto" w:before="72"/>
              <w:ind w:left="71" w:right="301"/>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
              <w:ind w:left="71" w:right="314"/>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34" w:type="dxa"/>
          </w:tcPr>
          <w:p>
            <w:pPr>
              <w:pStyle w:val="TableParagraph"/>
              <w:spacing w:before="149"/>
              <w:ind w:left="74" w:right="189"/>
              <w:jc w:val="center"/>
              <w:rPr>
                <w:b/>
                <w:sz w:val="21"/>
              </w:rPr>
            </w:pPr>
            <w:r>
              <w:rPr>
                <w:b/>
                <w:sz w:val="21"/>
              </w:rPr>
              <w:t>9.7</w:t>
            </w:r>
          </w:p>
        </w:tc>
        <w:tc>
          <w:tcPr>
            <w:tcW w:w="1397" w:type="dxa"/>
          </w:tcPr>
          <w:p>
            <w:pPr>
              <w:pStyle w:val="TableParagraph"/>
              <w:spacing w:line="273" w:lineRule="auto" w:before="149"/>
              <w:ind w:left="211" w:right="70"/>
              <w:rPr>
                <w:b/>
                <w:sz w:val="21"/>
              </w:rPr>
            </w:pPr>
            <w:r>
              <w:rPr>
                <w:b/>
                <w:sz w:val="21"/>
              </w:rPr>
              <w:t>遗传性疾病</w:t>
            </w:r>
          </w:p>
        </w:tc>
        <w:tc>
          <w:tcPr>
            <w:tcW w:w="8251" w:type="dxa"/>
          </w:tcPr>
          <w:p>
            <w:pPr>
              <w:pStyle w:val="TableParagraph"/>
              <w:spacing w:line="273" w:lineRule="auto" w:before="149"/>
              <w:ind w:left="71" w:right="314"/>
              <w:rPr>
                <w:sz w:val="21"/>
              </w:rPr>
            </w:pPr>
            <w:r>
              <w:rPr>
                <w:sz w:val="21"/>
              </w:rPr>
              <w:t>指生殖细胞或受精卵的遗传物质（染色体和基因）发生突变或畸变所引起的疾病，通常具有由亲代传至后代的垂直传递的特征。</w:t>
            </w:r>
          </w:p>
        </w:tc>
      </w:tr>
      <w:tr>
        <w:trPr>
          <w:trHeight w:val="1418" w:hRule="atLeast"/>
        </w:trPr>
        <w:tc>
          <w:tcPr>
            <w:tcW w:w="834" w:type="dxa"/>
          </w:tcPr>
          <w:p>
            <w:pPr>
              <w:pStyle w:val="TableParagraph"/>
              <w:spacing w:before="72"/>
              <w:ind w:left="74" w:right="189"/>
              <w:jc w:val="center"/>
              <w:rPr>
                <w:b/>
                <w:sz w:val="21"/>
              </w:rPr>
            </w:pPr>
            <w:r>
              <w:rPr>
                <w:b/>
                <w:sz w:val="21"/>
              </w:rPr>
              <w:t>9.8</w:t>
            </w:r>
          </w:p>
        </w:tc>
        <w:tc>
          <w:tcPr>
            <w:tcW w:w="1397" w:type="dxa"/>
          </w:tcPr>
          <w:p>
            <w:pPr>
              <w:pStyle w:val="TableParagraph"/>
              <w:spacing w:line="273" w:lineRule="auto" w:before="72"/>
              <w:ind w:left="211" w:right="139"/>
              <w:rPr>
                <w:b/>
                <w:sz w:val="21"/>
              </w:rPr>
            </w:pPr>
            <w:r>
              <w:rPr>
                <w:b/>
                <w:sz w:val="21"/>
              </w:rPr>
              <w:t>先天性畸</w:t>
            </w:r>
            <w:r>
              <w:rPr>
                <w:b/>
                <w:spacing w:val="-4"/>
                <w:sz w:val="21"/>
              </w:rPr>
              <w:t>形、变形或染色体异常</w:t>
            </w:r>
          </w:p>
        </w:tc>
        <w:tc>
          <w:tcPr>
            <w:tcW w:w="8251" w:type="dxa"/>
          </w:tcPr>
          <w:p>
            <w:pPr>
              <w:pStyle w:val="TableParagraph"/>
              <w:spacing w:line="273" w:lineRule="auto" w:before="72"/>
              <w:ind w:left="71" w:right="308"/>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106" w:hRule="atLeast"/>
        </w:trPr>
        <w:tc>
          <w:tcPr>
            <w:tcW w:w="834" w:type="dxa"/>
          </w:tcPr>
          <w:p>
            <w:pPr>
              <w:pStyle w:val="TableParagraph"/>
              <w:spacing w:before="72"/>
              <w:ind w:left="74" w:right="189"/>
              <w:jc w:val="center"/>
              <w:rPr>
                <w:b/>
                <w:sz w:val="21"/>
              </w:rPr>
            </w:pPr>
            <w:r>
              <w:rPr>
                <w:b/>
                <w:sz w:val="21"/>
              </w:rPr>
              <w:t>9.9</w:t>
            </w:r>
          </w:p>
        </w:tc>
        <w:tc>
          <w:tcPr>
            <w:tcW w:w="1397" w:type="dxa"/>
          </w:tcPr>
          <w:p>
            <w:pPr>
              <w:pStyle w:val="TableParagraph"/>
              <w:spacing w:before="72"/>
              <w:ind w:left="216"/>
              <w:rPr>
                <w:b/>
                <w:sz w:val="21"/>
              </w:rPr>
            </w:pPr>
            <w:r>
              <w:rPr>
                <w:b/>
                <w:sz w:val="21"/>
              </w:rPr>
              <w:t>酒后驾驶</w:t>
            </w:r>
          </w:p>
        </w:tc>
        <w:tc>
          <w:tcPr>
            <w:tcW w:w="8251" w:type="dxa"/>
          </w:tcPr>
          <w:p>
            <w:pPr>
              <w:pStyle w:val="TableParagraph"/>
              <w:spacing w:line="273" w:lineRule="auto" w:before="72"/>
              <w:ind w:left="71" w:right="3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730" w:hRule="atLeast"/>
        </w:trPr>
        <w:tc>
          <w:tcPr>
            <w:tcW w:w="834" w:type="dxa"/>
          </w:tcPr>
          <w:p>
            <w:pPr>
              <w:pStyle w:val="TableParagraph"/>
              <w:spacing w:before="72"/>
              <w:ind w:left="180" w:right="189"/>
              <w:jc w:val="center"/>
              <w:rPr>
                <w:b/>
                <w:sz w:val="21"/>
              </w:rPr>
            </w:pPr>
            <w:r>
              <w:rPr>
                <w:b/>
                <w:sz w:val="21"/>
              </w:rPr>
              <w:t>9.10</w:t>
            </w:r>
          </w:p>
        </w:tc>
        <w:tc>
          <w:tcPr>
            <w:tcW w:w="1397" w:type="dxa"/>
          </w:tcPr>
          <w:p>
            <w:pPr>
              <w:pStyle w:val="TableParagraph"/>
              <w:spacing w:line="273" w:lineRule="auto" w:before="72"/>
              <w:ind w:left="216" w:right="74"/>
              <w:jc w:val="both"/>
              <w:rPr>
                <w:b/>
                <w:sz w:val="21"/>
              </w:rPr>
            </w:pPr>
            <w:r>
              <w:rPr>
                <w:b/>
                <w:sz w:val="21"/>
              </w:rPr>
              <w:t>无合法有效驾驶证驾驶</w:t>
            </w:r>
          </w:p>
        </w:tc>
        <w:tc>
          <w:tcPr>
            <w:tcW w:w="8251" w:type="dxa"/>
          </w:tcPr>
          <w:p>
            <w:pPr>
              <w:pStyle w:val="TableParagraph"/>
              <w:spacing w:before="72"/>
              <w:ind w:left="71"/>
              <w:rPr>
                <w:sz w:val="21"/>
              </w:rPr>
            </w:pPr>
            <w:r>
              <w:rPr>
                <w:sz w:val="21"/>
              </w:rPr>
              <w:t>指下列情形之一：</w:t>
            </w:r>
          </w:p>
          <w:p>
            <w:pPr>
              <w:pStyle w:val="TableParagraph"/>
              <w:spacing w:before="37"/>
              <w:ind w:left="71"/>
              <w:rPr>
                <w:sz w:val="21"/>
              </w:rPr>
            </w:pPr>
            <w:r>
              <w:rPr>
                <w:sz w:val="21"/>
              </w:rPr>
              <w:t>（1）没有取得驾驶资格；</w:t>
            </w:r>
          </w:p>
          <w:p>
            <w:pPr>
              <w:pStyle w:val="TableParagraph"/>
              <w:spacing w:before="37"/>
              <w:ind w:left="71"/>
              <w:rPr>
                <w:sz w:val="21"/>
              </w:rPr>
            </w:pPr>
            <w:r>
              <w:rPr>
                <w:sz w:val="21"/>
              </w:rPr>
              <w:t>（2）驾驶与驾驶证准驾车型不相符合的车辆；</w:t>
            </w:r>
          </w:p>
          <w:p>
            <w:pPr>
              <w:pStyle w:val="TableParagraph"/>
              <w:spacing w:before="37"/>
              <w:ind w:left="71"/>
              <w:rPr>
                <w:sz w:val="21"/>
              </w:rPr>
            </w:pPr>
            <w:r>
              <w:rPr>
                <w:sz w:val="21"/>
              </w:rPr>
              <w:t>（3）持审验不合格的驾驶证驾驶；</w:t>
            </w:r>
          </w:p>
          <w:p>
            <w:pPr>
              <w:pStyle w:val="TableParagraph"/>
              <w:spacing w:before="37"/>
              <w:ind w:left="71"/>
              <w:rPr>
                <w:sz w:val="21"/>
              </w:rPr>
            </w:pPr>
            <w:r>
              <w:rPr>
                <w:sz w:val="21"/>
              </w:rPr>
              <w:t>（4）持学习驾驶证学习驾车时，无教练员随车指导，或不按指定时间、路线学习驾车。</w:t>
            </w:r>
          </w:p>
        </w:tc>
      </w:tr>
      <w:tr>
        <w:trPr>
          <w:trHeight w:val="1106" w:hRule="atLeast"/>
        </w:trPr>
        <w:tc>
          <w:tcPr>
            <w:tcW w:w="834" w:type="dxa"/>
          </w:tcPr>
          <w:p>
            <w:pPr>
              <w:pStyle w:val="TableParagraph"/>
              <w:spacing w:before="72"/>
              <w:ind w:left="180" w:right="189"/>
              <w:jc w:val="center"/>
              <w:rPr>
                <w:b/>
                <w:sz w:val="21"/>
              </w:rPr>
            </w:pPr>
            <w:r>
              <w:rPr>
                <w:b/>
                <w:sz w:val="21"/>
              </w:rPr>
              <w:t>9.11</w:t>
            </w:r>
          </w:p>
        </w:tc>
        <w:tc>
          <w:tcPr>
            <w:tcW w:w="1397" w:type="dxa"/>
          </w:tcPr>
          <w:p>
            <w:pPr>
              <w:pStyle w:val="TableParagraph"/>
              <w:spacing w:line="273" w:lineRule="auto" w:before="72"/>
              <w:ind w:left="216" w:right="74"/>
              <w:rPr>
                <w:b/>
                <w:sz w:val="21"/>
              </w:rPr>
            </w:pPr>
            <w:r>
              <w:rPr>
                <w:b/>
                <w:sz w:val="21"/>
              </w:rPr>
              <w:t>无有效行驶证</w:t>
            </w:r>
          </w:p>
        </w:tc>
        <w:tc>
          <w:tcPr>
            <w:tcW w:w="8251" w:type="dxa"/>
          </w:tcPr>
          <w:p>
            <w:pPr>
              <w:pStyle w:val="TableParagraph"/>
              <w:spacing w:before="72"/>
              <w:ind w:left="71"/>
              <w:rPr>
                <w:sz w:val="21"/>
              </w:rPr>
            </w:pPr>
            <w:r>
              <w:rPr>
                <w:sz w:val="21"/>
              </w:rPr>
              <w:t>指下列情形之一：</w:t>
            </w:r>
          </w:p>
          <w:p>
            <w:pPr>
              <w:pStyle w:val="TableParagraph"/>
              <w:spacing w:before="37"/>
              <w:ind w:left="71"/>
              <w:rPr>
                <w:sz w:val="21"/>
              </w:rPr>
            </w:pPr>
            <w:r>
              <w:rPr>
                <w:sz w:val="21"/>
              </w:rPr>
              <w:t>（1）机动车被依法注销登记的；</w:t>
            </w:r>
          </w:p>
          <w:p>
            <w:pPr>
              <w:pStyle w:val="TableParagraph"/>
              <w:spacing w:before="37"/>
              <w:ind w:left="71"/>
              <w:rPr>
                <w:sz w:val="21"/>
              </w:rPr>
            </w:pPr>
            <w:r>
              <w:rPr>
                <w:sz w:val="21"/>
              </w:rPr>
              <w:t>（2）未依法按时进行或通过机动车安全技术检验。</w:t>
            </w:r>
          </w:p>
        </w:tc>
      </w:tr>
      <w:tr>
        <w:trPr>
          <w:trHeight w:val="798" w:hRule="atLeast"/>
        </w:trPr>
        <w:tc>
          <w:tcPr>
            <w:tcW w:w="834" w:type="dxa"/>
          </w:tcPr>
          <w:p>
            <w:pPr>
              <w:pStyle w:val="TableParagraph"/>
              <w:spacing w:before="72"/>
              <w:ind w:left="180" w:right="189"/>
              <w:jc w:val="center"/>
              <w:rPr>
                <w:b/>
                <w:sz w:val="21"/>
              </w:rPr>
            </w:pPr>
            <w:r>
              <w:rPr>
                <w:b/>
                <w:sz w:val="21"/>
              </w:rPr>
              <w:t>9.12</w:t>
            </w:r>
          </w:p>
        </w:tc>
        <w:tc>
          <w:tcPr>
            <w:tcW w:w="1397" w:type="dxa"/>
          </w:tcPr>
          <w:p>
            <w:pPr>
              <w:pStyle w:val="TableParagraph"/>
              <w:spacing w:before="72"/>
              <w:ind w:left="211"/>
              <w:rPr>
                <w:b/>
                <w:sz w:val="21"/>
              </w:rPr>
            </w:pPr>
            <w:r>
              <w:rPr>
                <w:b/>
                <w:sz w:val="21"/>
              </w:rPr>
              <w:t>净保险费</w:t>
            </w:r>
          </w:p>
        </w:tc>
        <w:tc>
          <w:tcPr>
            <w:tcW w:w="8251" w:type="dxa"/>
          </w:tcPr>
          <w:p>
            <w:pPr>
              <w:pStyle w:val="TableParagraph"/>
              <w:spacing w:line="273" w:lineRule="auto" w:before="72"/>
              <w:ind w:left="71" w:right="399"/>
              <w:rPr>
                <w:sz w:val="21"/>
              </w:rPr>
            </w:pPr>
            <w:r>
              <w:rPr>
                <w:sz w:val="21"/>
              </w:rPr>
              <w:t>指所交保费扣除管理费（含营业费用、各项税金、保险保障基金等）和各项手续费， 扣除部分占所交保险费的 </w:t>
            </w:r>
            <w:r>
              <w:rPr>
                <w:rFonts w:ascii="Times New Roman" w:eastAsia="Times New Roman"/>
                <w:sz w:val="21"/>
              </w:rPr>
              <w:t>35%</w:t>
            </w:r>
            <w:r>
              <w:rPr>
                <w:sz w:val="21"/>
              </w:rPr>
              <w:t>。</w:t>
            </w:r>
          </w:p>
        </w:tc>
      </w:tr>
      <w:tr>
        <w:trPr>
          <w:trHeight w:val="356" w:hRule="atLeast"/>
        </w:trPr>
        <w:tc>
          <w:tcPr>
            <w:tcW w:w="834" w:type="dxa"/>
          </w:tcPr>
          <w:p>
            <w:pPr>
              <w:pStyle w:val="TableParagraph"/>
              <w:spacing w:line="271" w:lineRule="exact" w:before="66"/>
              <w:ind w:left="180" w:right="189"/>
              <w:jc w:val="center"/>
              <w:rPr>
                <w:b/>
                <w:sz w:val="21"/>
              </w:rPr>
            </w:pPr>
            <w:r>
              <w:rPr>
                <w:b/>
                <w:sz w:val="21"/>
              </w:rPr>
              <w:t>9.13</w:t>
            </w:r>
          </w:p>
        </w:tc>
        <w:tc>
          <w:tcPr>
            <w:tcW w:w="1397" w:type="dxa"/>
          </w:tcPr>
          <w:p>
            <w:pPr>
              <w:pStyle w:val="TableParagraph"/>
              <w:spacing w:line="271" w:lineRule="exact" w:before="66"/>
              <w:ind w:left="211"/>
              <w:rPr>
                <w:b/>
                <w:sz w:val="21"/>
              </w:rPr>
            </w:pPr>
            <w:r>
              <w:rPr>
                <w:b/>
                <w:sz w:val="21"/>
              </w:rPr>
              <w:t>未满期净 </w:t>
            </w:r>
          </w:p>
        </w:tc>
        <w:tc>
          <w:tcPr>
            <w:tcW w:w="8251" w:type="dxa"/>
          </w:tcPr>
          <w:p>
            <w:pPr>
              <w:pStyle w:val="TableParagraph"/>
              <w:spacing w:line="271" w:lineRule="exact" w:before="66"/>
              <w:ind w:left="71"/>
              <w:rPr>
                <w:sz w:val="21"/>
              </w:rPr>
            </w:pPr>
            <w:r>
              <w:rPr>
                <w:sz w:val="21"/>
              </w:rPr>
              <w:t>其计算公式为“净保险费×（</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保险期间的日数）”，经过天数不足</w:t>
            </w:r>
          </w:p>
        </w:tc>
      </w:tr>
    </w:tbl>
    <w:p>
      <w:pPr>
        <w:spacing w:after="0" w:line="271"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97"/>
        <w:gridCol w:w="8148"/>
      </w:tblGrid>
      <w:tr>
        <w:trPr>
          <w:trHeight w:val="347" w:hRule="atLeast"/>
        </w:trPr>
        <w:tc>
          <w:tcPr>
            <w:tcW w:w="834" w:type="dxa"/>
          </w:tcPr>
          <w:p>
            <w:pPr>
              <w:pStyle w:val="TableParagraph"/>
              <w:rPr>
                <w:rFonts w:ascii="Times New Roman"/>
                <w:sz w:val="20"/>
              </w:rPr>
            </w:pPr>
          </w:p>
        </w:tc>
        <w:tc>
          <w:tcPr>
            <w:tcW w:w="1397" w:type="dxa"/>
          </w:tcPr>
          <w:p>
            <w:pPr>
              <w:pStyle w:val="TableParagraph"/>
              <w:spacing w:line="211" w:lineRule="exact"/>
              <w:ind w:left="211"/>
              <w:rPr>
                <w:b/>
                <w:sz w:val="21"/>
              </w:rPr>
            </w:pPr>
            <w:r>
              <w:rPr>
                <w:b/>
                <w:sz w:val="21"/>
              </w:rPr>
              <w:t>保险费</w:t>
            </w:r>
          </w:p>
        </w:tc>
        <w:tc>
          <w:tcPr>
            <w:tcW w:w="8148" w:type="dxa"/>
          </w:tcPr>
          <w:p>
            <w:pPr>
              <w:pStyle w:val="TableParagraph"/>
              <w:spacing w:line="211" w:lineRule="exact"/>
              <w:ind w:left="71"/>
              <w:rPr>
                <w:sz w:val="21"/>
              </w:rPr>
            </w:pPr>
            <w:r>
              <w:rPr>
                <w:sz w:val="21"/>
              </w:rPr>
              <w:t>一日的按一日计算。</w:t>
            </w:r>
          </w:p>
        </w:tc>
      </w:tr>
      <w:tr>
        <w:trPr>
          <w:trHeight w:val="1418" w:hRule="atLeast"/>
        </w:trPr>
        <w:tc>
          <w:tcPr>
            <w:tcW w:w="834" w:type="dxa"/>
          </w:tcPr>
          <w:p>
            <w:pPr>
              <w:pStyle w:val="TableParagraph"/>
              <w:spacing w:before="72"/>
              <w:ind w:left="180" w:right="189"/>
              <w:jc w:val="center"/>
              <w:rPr>
                <w:b/>
                <w:sz w:val="21"/>
              </w:rPr>
            </w:pPr>
            <w:r>
              <w:rPr>
                <w:b/>
                <w:sz w:val="21"/>
              </w:rPr>
              <w:t>9.14</w:t>
            </w:r>
          </w:p>
        </w:tc>
        <w:tc>
          <w:tcPr>
            <w:tcW w:w="1397" w:type="dxa"/>
          </w:tcPr>
          <w:p>
            <w:pPr>
              <w:pStyle w:val="TableParagraph"/>
              <w:spacing w:line="273" w:lineRule="auto" w:before="72"/>
              <w:ind w:left="211" w:right="70"/>
              <w:jc w:val="both"/>
              <w:rPr>
                <w:b/>
                <w:sz w:val="21"/>
              </w:rPr>
            </w:pPr>
            <w:r>
              <w:rPr>
                <w:b/>
                <w:sz w:val="21"/>
              </w:rPr>
              <w:t>六项基本日常生活活动</w:t>
            </w:r>
          </w:p>
        </w:tc>
        <w:tc>
          <w:tcPr>
            <w:tcW w:w="8148" w:type="dxa"/>
          </w:tcPr>
          <w:p>
            <w:pPr>
              <w:pStyle w:val="TableParagraph"/>
              <w:spacing w:line="273" w:lineRule="auto" w:before="72"/>
              <w:ind w:left="71" w:right="199"/>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spacing w:val="2"/>
                <w:w w:val="100"/>
                <w:sz w:val="21"/>
              </w:rPr>
              <w:t>2</w:t>
            </w:r>
            <w:r>
              <w:rPr>
                <w:w w:val="100"/>
                <w:sz w:val="21"/>
              </w:rPr>
              <w:t>）移动：自己从一</w:t>
            </w:r>
            <w:r>
              <w:rPr>
                <w:spacing w:val="-11"/>
                <w:w w:val="100"/>
                <w:sz w:val="21"/>
              </w:rPr>
              <w:t>个房间到另一个房间；</w:t>
            </w:r>
            <w:r>
              <w:rPr>
                <w:spacing w:val="3"/>
                <w:w w:val="100"/>
                <w:sz w:val="21"/>
              </w:rPr>
              <w:t>（</w:t>
            </w:r>
            <w:r>
              <w:rPr>
                <w:w w:val="100"/>
                <w:sz w:val="21"/>
              </w:rPr>
              <w:t>3</w:t>
            </w:r>
            <w:r>
              <w:rPr>
                <w:spacing w:val="1"/>
                <w:w w:val="100"/>
                <w:sz w:val="21"/>
              </w:rPr>
              <w:t>）</w:t>
            </w:r>
            <w:r>
              <w:rPr>
                <w:spacing w:val="-8"/>
                <w:w w:val="100"/>
                <w:sz w:val="21"/>
              </w:rPr>
              <w:t>行动：自己上下床或上下轮椅；</w:t>
            </w:r>
            <w:r>
              <w:rPr>
                <w:spacing w:val="5"/>
                <w:w w:val="100"/>
                <w:sz w:val="21"/>
              </w:rPr>
              <w:t>（</w:t>
            </w:r>
            <w:r>
              <w:rPr>
                <w:spacing w:val="1"/>
                <w:w w:val="100"/>
                <w:sz w:val="21"/>
              </w:rPr>
              <w:t>4</w:t>
            </w:r>
            <w:r>
              <w:rPr>
                <w:w w:val="100"/>
                <w:sz w:val="21"/>
              </w:rPr>
              <w:t>）如厕：自己控制进行</w:t>
            </w:r>
            <w:r>
              <w:rPr>
                <w:spacing w:val="-26"/>
                <w:w w:val="100"/>
                <w:sz w:val="21"/>
              </w:rPr>
              <w:t>大小便；</w:t>
            </w:r>
            <w:r>
              <w:rPr>
                <w:spacing w:val="2"/>
                <w:w w:val="100"/>
                <w:sz w:val="21"/>
              </w:rPr>
              <w:t>（</w:t>
            </w:r>
            <w:r>
              <w:rPr>
                <w:spacing w:val="1"/>
                <w:w w:val="100"/>
                <w:sz w:val="21"/>
              </w:rPr>
              <w:t>5</w:t>
            </w:r>
            <w:r>
              <w:rPr>
                <w:w w:val="100"/>
                <w:sz w:val="21"/>
              </w:rPr>
              <w:t>）</w:t>
            </w:r>
            <w:r>
              <w:rPr>
                <w:spacing w:val="-5"/>
                <w:w w:val="100"/>
                <w:sz w:val="21"/>
              </w:rPr>
              <w:t>进食：自己从已准备好的碗或碟中取食物放入口中；</w:t>
            </w:r>
            <w:r>
              <w:rPr>
                <w:spacing w:val="5"/>
                <w:w w:val="100"/>
                <w:sz w:val="21"/>
              </w:rPr>
              <w:t>（</w:t>
            </w:r>
            <w:r>
              <w:rPr>
                <w:w w:val="100"/>
                <w:sz w:val="21"/>
              </w:rPr>
              <w:t>6</w:t>
            </w:r>
            <w:r>
              <w:rPr>
                <w:spacing w:val="1"/>
                <w:w w:val="100"/>
                <w:sz w:val="21"/>
              </w:rPr>
              <w:t>）</w:t>
            </w:r>
            <w:r>
              <w:rPr>
                <w:w w:val="100"/>
                <w:sz w:val="21"/>
              </w:rPr>
              <w:t>洗澡：自己进</w:t>
            </w:r>
            <w:r>
              <w:rPr>
                <w:spacing w:val="-2"/>
                <w:sz w:val="21"/>
              </w:rPr>
              <w:t>行淋浴或盆浴。</w:t>
            </w:r>
          </w:p>
        </w:tc>
      </w:tr>
      <w:tr>
        <w:trPr>
          <w:trHeight w:val="794" w:hRule="atLeast"/>
        </w:trPr>
        <w:tc>
          <w:tcPr>
            <w:tcW w:w="834" w:type="dxa"/>
          </w:tcPr>
          <w:p>
            <w:pPr>
              <w:pStyle w:val="TableParagraph"/>
              <w:spacing w:before="72"/>
              <w:ind w:left="180" w:right="189"/>
              <w:jc w:val="center"/>
              <w:rPr>
                <w:b/>
                <w:sz w:val="21"/>
              </w:rPr>
            </w:pPr>
            <w:r>
              <w:rPr>
                <w:b/>
                <w:sz w:val="21"/>
              </w:rPr>
              <w:t>9.15</w:t>
            </w:r>
          </w:p>
        </w:tc>
        <w:tc>
          <w:tcPr>
            <w:tcW w:w="1397" w:type="dxa"/>
          </w:tcPr>
          <w:p>
            <w:pPr>
              <w:pStyle w:val="TableParagraph"/>
              <w:spacing w:line="273" w:lineRule="auto" w:before="72"/>
              <w:ind w:left="211" w:right="70"/>
              <w:rPr>
                <w:b/>
                <w:sz w:val="21"/>
              </w:rPr>
            </w:pPr>
            <w:r>
              <w:rPr>
                <w:b/>
                <w:sz w:val="21"/>
              </w:rPr>
              <w:t>肢体机能完全丧失</w:t>
            </w:r>
          </w:p>
        </w:tc>
        <w:tc>
          <w:tcPr>
            <w:tcW w:w="8148" w:type="dxa"/>
          </w:tcPr>
          <w:p>
            <w:pPr>
              <w:pStyle w:val="TableParagraph"/>
              <w:spacing w:line="273" w:lineRule="auto" w:before="72"/>
              <w:ind w:left="71" w:right="211"/>
              <w:rPr>
                <w:sz w:val="21"/>
              </w:rPr>
            </w:pPr>
            <w:r>
              <w:rPr>
                <w:sz w:val="21"/>
              </w:rPr>
              <w:t>指肢体的三大关节中的两大关节僵硬，或不能随意识活动。肢体是指包括肩关节的整个上肢或包括髋关节的整个下肢。</w:t>
            </w:r>
          </w:p>
        </w:tc>
      </w:tr>
      <w:tr>
        <w:trPr>
          <w:trHeight w:val="1419" w:hRule="atLeast"/>
        </w:trPr>
        <w:tc>
          <w:tcPr>
            <w:tcW w:w="834" w:type="dxa"/>
          </w:tcPr>
          <w:p>
            <w:pPr>
              <w:pStyle w:val="TableParagraph"/>
              <w:spacing w:before="72"/>
              <w:ind w:left="180" w:right="189"/>
              <w:jc w:val="center"/>
              <w:rPr>
                <w:b/>
                <w:sz w:val="21"/>
              </w:rPr>
            </w:pPr>
            <w:r>
              <w:rPr>
                <w:b/>
                <w:sz w:val="21"/>
              </w:rPr>
              <w:t>9.16</w:t>
            </w:r>
          </w:p>
        </w:tc>
        <w:tc>
          <w:tcPr>
            <w:tcW w:w="1397" w:type="dxa"/>
          </w:tcPr>
          <w:p>
            <w:pPr>
              <w:pStyle w:val="TableParagraph"/>
              <w:spacing w:line="273" w:lineRule="auto" w:before="72"/>
              <w:ind w:left="211" w:right="70"/>
              <w:jc w:val="both"/>
              <w:rPr>
                <w:b/>
                <w:sz w:val="21"/>
              </w:rPr>
            </w:pPr>
            <w:r>
              <w:rPr>
                <w:b/>
                <w:sz w:val="21"/>
              </w:rPr>
              <w:t>语言能力或咀嚼吞咽能力完全丧失</w:t>
            </w:r>
          </w:p>
        </w:tc>
        <w:tc>
          <w:tcPr>
            <w:tcW w:w="8148" w:type="dxa"/>
          </w:tcPr>
          <w:p>
            <w:pPr>
              <w:pStyle w:val="TableParagraph"/>
              <w:spacing w:line="273" w:lineRule="auto" w:before="72"/>
              <w:ind w:left="71" w:right="211"/>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8"/>
              <w:ind w:left="71" w:right="211"/>
              <w:rPr>
                <w:sz w:val="21"/>
              </w:rPr>
            </w:pPr>
            <w:r>
              <w:rPr>
                <w:sz w:val="21"/>
              </w:rPr>
              <w:t>咀嚼吞咽能力完全丧失，指因牙齿以外的原因导致器质障碍或机能障碍，以致不能作咀嚼吞咽运动，除流质食物外不能摄取或吞咽的状态。</w:t>
            </w:r>
          </w:p>
        </w:tc>
      </w:tr>
      <w:tr>
        <w:trPr>
          <w:trHeight w:val="658" w:hRule="atLeast"/>
        </w:trPr>
        <w:tc>
          <w:tcPr>
            <w:tcW w:w="834" w:type="dxa"/>
          </w:tcPr>
          <w:p>
            <w:pPr>
              <w:pStyle w:val="TableParagraph"/>
              <w:spacing w:before="72"/>
              <w:ind w:left="180" w:right="189"/>
              <w:jc w:val="center"/>
              <w:rPr>
                <w:b/>
                <w:sz w:val="21"/>
              </w:rPr>
            </w:pPr>
            <w:r>
              <w:rPr>
                <w:b/>
                <w:sz w:val="21"/>
              </w:rPr>
              <w:t>9.17</w:t>
            </w:r>
          </w:p>
        </w:tc>
        <w:tc>
          <w:tcPr>
            <w:tcW w:w="1397" w:type="dxa"/>
          </w:tcPr>
          <w:p>
            <w:pPr>
              <w:pStyle w:val="TableParagraph"/>
              <w:spacing w:line="310" w:lineRule="atLeast" w:before="36"/>
              <w:ind w:left="211" w:right="70"/>
              <w:rPr>
                <w:b/>
                <w:sz w:val="21"/>
              </w:rPr>
            </w:pPr>
            <w:r>
              <w:rPr>
                <w:b/>
                <w:sz w:val="21"/>
              </w:rPr>
              <w:t>永久不可逆</w:t>
            </w:r>
          </w:p>
        </w:tc>
        <w:tc>
          <w:tcPr>
            <w:tcW w:w="8148" w:type="dxa"/>
          </w:tcPr>
          <w:p>
            <w:pPr>
              <w:pStyle w:val="TableParagraph"/>
              <w:spacing w:line="310" w:lineRule="atLeast" w:before="36"/>
              <w:ind w:left="71" w:right="198"/>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10004pt;margin-top:27.389826pt;width:27.5pt;height:13.7pt;mso-position-horizontal-relative:page;mso-position-vertical-relative:page;z-index:-38512"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 w:hanging="737"/>
        <w:jc w:val="left"/>
      </w:pPr>
      <w:rPr>
        <w:rFonts w:hint="default" w:ascii="宋体" w:hAnsi="宋体" w:eastAsia="宋体" w:cs="宋体"/>
        <w:w w:val="100"/>
        <w:sz w:val="21"/>
        <w:szCs w:val="21"/>
      </w:rPr>
    </w:lvl>
    <w:lvl w:ilvl="1">
      <w:start w:val="0"/>
      <w:numFmt w:val="bullet"/>
      <w:lvlText w:val="•"/>
      <w:lvlJc w:val="left"/>
      <w:pPr>
        <w:ind w:left="897" w:hanging="737"/>
      </w:pPr>
      <w:rPr>
        <w:rFonts w:hint="default"/>
      </w:rPr>
    </w:lvl>
    <w:lvl w:ilvl="2">
      <w:start w:val="0"/>
      <w:numFmt w:val="bullet"/>
      <w:lvlText w:val="•"/>
      <w:lvlJc w:val="left"/>
      <w:pPr>
        <w:ind w:left="1714" w:hanging="737"/>
      </w:pPr>
      <w:rPr>
        <w:rFonts w:hint="default"/>
      </w:rPr>
    </w:lvl>
    <w:lvl w:ilvl="3">
      <w:start w:val="0"/>
      <w:numFmt w:val="bullet"/>
      <w:lvlText w:val="•"/>
      <w:lvlJc w:val="left"/>
      <w:pPr>
        <w:ind w:left="2531" w:hanging="737"/>
      </w:pPr>
      <w:rPr>
        <w:rFonts w:hint="default"/>
      </w:rPr>
    </w:lvl>
    <w:lvl w:ilvl="4">
      <w:start w:val="0"/>
      <w:numFmt w:val="bullet"/>
      <w:lvlText w:val="•"/>
      <w:lvlJc w:val="left"/>
      <w:pPr>
        <w:ind w:left="3348" w:hanging="737"/>
      </w:pPr>
      <w:rPr>
        <w:rFonts w:hint="default"/>
      </w:rPr>
    </w:lvl>
    <w:lvl w:ilvl="5">
      <w:start w:val="0"/>
      <w:numFmt w:val="bullet"/>
      <w:lvlText w:val="•"/>
      <w:lvlJc w:val="left"/>
      <w:pPr>
        <w:ind w:left="4165" w:hanging="737"/>
      </w:pPr>
      <w:rPr>
        <w:rFonts w:hint="default"/>
      </w:rPr>
    </w:lvl>
    <w:lvl w:ilvl="6">
      <w:start w:val="0"/>
      <w:numFmt w:val="bullet"/>
      <w:lvlText w:val="•"/>
      <w:lvlJc w:val="left"/>
      <w:pPr>
        <w:ind w:left="4982" w:hanging="737"/>
      </w:pPr>
      <w:rPr>
        <w:rFonts w:hint="default"/>
      </w:rPr>
    </w:lvl>
    <w:lvl w:ilvl="7">
      <w:start w:val="0"/>
      <w:numFmt w:val="bullet"/>
      <w:lvlText w:val="•"/>
      <w:lvlJc w:val="left"/>
      <w:pPr>
        <w:ind w:left="5799" w:hanging="737"/>
      </w:pPr>
      <w:rPr>
        <w:rFonts w:hint="default"/>
      </w:rPr>
    </w:lvl>
    <w:lvl w:ilvl="8">
      <w:start w:val="0"/>
      <w:numFmt w:val="bullet"/>
      <w:lvlText w:val="•"/>
      <w:lvlJc w:val="left"/>
      <w:pPr>
        <w:ind w:left="6616" w:hanging="7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7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2018-10-20T00:58:14Z</dcterms:created>
  <dcterms:modified xsi:type="dcterms:W3CDTF">2018-10-20T00:58:14Z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