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8"/>
        <w:ind w:left="0" w:right="99" w:firstLine="0"/>
        <w:jc w:val="right"/>
        <w:rPr>
          <w:sz w:val="12"/>
        </w:rPr>
      </w:pPr>
      <w:r>
        <w:rPr/>
        <w:drawing>
          <wp:anchor distT="0" distB="0" distL="0" distR="0" allowOverlap="1" layoutInCell="1" locked="0" behindDoc="0" simplePos="0" relativeHeight="1120">
            <wp:simplePos x="0" y="0"/>
            <wp:positionH relativeFrom="page">
              <wp:posOffset>6458584</wp:posOffset>
            </wp:positionH>
            <wp:positionV relativeFrom="paragraph">
              <wp:posOffset>179931</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国联人寿〔2015〕疾病保险 053 号</w:t>
      </w:r>
    </w:p>
    <w:p>
      <w:pPr>
        <w:pStyle w:val="BodyText"/>
        <w:rPr>
          <w:sz w:val="20"/>
        </w:rPr>
      </w:pPr>
    </w:p>
    <w:p>
      <w:pPr>
        <w:pStyle w:val="BodyText"/>
        <w:rPr>
          <w:sz w:val="20"/>
        </w:rPr>
      </w:pPr>
    </w:p>
    <w:p>
      <w:pPr>
        <w:pStyle w:val="BodyText"/>
        <w:rPr>
          <w:sz w:val="20"/>
        </w:rPr>
      </w:pPr>
    </w:p>
    <w:p>
      <w:pPr>
        <w:pStyle w:val="BodyText"/>
        <w:spacing w:before="3"/>
        <w:rPr>
          <w:sz w:val="16"/>
        </w:rPr>
      </w:pPr>
    </w:p>
    <w:p>
      <w:pPr>
        <w:spacing w:after="0"/>
        <w:rPr>
          <w:sz w:val="16"/>
        </w:rPr>
        <w:sectPr>
          <w:type w:val="continuous"/>
          <w:pgSz w:w="11910" w:h="16840"/>
          <w:pgMar w:top="120" w:bottom="280" w:left="1280" w:right="160"/>
        </w:sectPr>
      </w:pPr>
    </w:p>
    <w:p>
      <w:pPr>
        <w:pStyle w:val="Heading1"/>
        <w:spacing w:line="225" w:lineRule="auto"/>
      </w:pPr>
      <w:r>
        <w:rPr/>
        <w:t>国联人寿保险股份有限公司 </w:t>
      </w:r>
      <w:r>
        <w:rPr>
          <w:w w:val="95"/>
        </w:rPr>
        <w:t>附加学Th幼儿重大疾病保险条款</w:t>
      </w:r>
    </w:p>
    <w:p>
      <w:pPr>
        <w:spacing w:before="107"/>
        <w:ind w:left="1886" w:right="0" w:firstLine="0"/>
        <w:jc w:val="center"/>
        <w:rPr>
          <w:rFonts w:ascii="黑体" w:eastAsia="黑体" w:hint="eastAsia"/>
          <w:b/>
          <w:sz w:val="28"/>
        </w:rPr>
      </w:pPr>
      <w:r>
        <w:rPr>
          <w:rFonts w:ascii="黑体" w:eastAsia="黑体" w:hint="eastAsia"/>
          <w:b/>
          <w:sz w:val="28"/>
        </w:rPr>
        <w:t>阅 读 指 引</w:t>
      </w:r>
    </w:p>
    <w:p>
      <w:pPr>
        <w:pStyle w:val="BodyText"/>
        <w:spacing w:before="11"/>
        <w:ind w:left="1883"/>
        <w:jc w:val="center"/>
      </w:pPr>
      <w:r>
        <w:rPr>
          <w:spacing w:val="-128"/>
        </w:rPr>
        <w:t>本</w:t>
      </w:r>
      <w:r>
        <w:rPr>
          <w:spacing w:val="-53"/>
          <w:position w:val="-6"/>
        </w:rPr>
        <w:t>．</w:t>
      </w:r>
      <w:r>
        <w:rPr>
          <w:spacing w:val="-128"/>
        </w:rPr>
        <w:t>阅</w:t>
      </w:r>
      <w:r>
        <w:rPr>
          <w:spacing w:val="-53"/>
          <w:position w:val="-6"/>
        </w:rPr>
        <w:t>．</w:t>
      </w:r>
      <w:r>
        <w:rPr>
          <w:spacing w:val="-128"/>
        </w:rPr>
        <w:t>读</w:t>
      </w:r>
      <w:r>
        <w:rPr>
          <w:spacing w:val="-53"/>
          <w:position w:val="-6"/>
        </w:rPr>
        <w:t>．</w:t>
      </w:r>
      <w:r>
        <w:rPr>
          <w:spacing w:val="-128"/>
        </w:rPr>
        <w:t>指</w:t>
      </w:r>
      <w:r>
        <w:rPr>
          <w:spacing w:val="-53"/>
          <w:position w:val="-6"/>
        </w:rPr>
        <w:t>．</w:t>
      </w:r>
      <w:r>
        <w:rPr>
          <w:spacing w:val="-127"/>
        </w:rPr>
        <w:t>引</w:t>
      </w:r>
      <w:r>
        <w:rPr>
          <w:spacing w:val="-54"/>
          <w:position w:val="-6"/>
        </w:rPr>
        <w:t>．</w:t>
      </w:r>
      <w:r>
        <w:rPr>
          <w:spacing w:val="-127"/>
        </w:rPr>
        <w:t>有</w:t>
      </w:r>
      <w:r>
        <w:rPr>
          <w:spacing w:val="-54"/>
          <w:position w:val="-6"/>
        </w:rPr>
        <w:t>．</w:t>
      </w:r>
      <w:r>
        <w:rPr>
          <w:spacing w:val="-127"/>
        </w:rPr>
        <w:t>助</w:t>
      </w:r>
      <w:r>
        <w:rPr>
          <w:spacing w:val="-54"/>
          <w:position w:val="-6"/>
        </w:rPr>
        <w:t>．</w:t>
      </w:r>
      <w:r>
        <w:rPr>
          <w:spacing w:val="-127"/>
        </w:rPr>
        <w:t>于</w:t>
      </w:r>
      <w:r>
        <w:rPr>
          <w:spacing w:val="-54"/>
          <w:position w:val="-6"/>
        </w:rPr>
        <w:t>．</w:t>
      </w:r>
      <w:r>
        <w:rPr>
          <w:spacing w:val="-127"/>
        </w:rPr>
        <w:t>理</w:t>
      </w:r>
      <w:r>
        <w:rPr>
          <w:spacing w:val="-54"/>
          <w:position w:val="-6"/>
        </w:rPr>
        <w:t>．</w:t>
      </w:r>
      <w:r>
        <w:rPr>
          <w:spacing w:val="-127"/>
        </w:rPr>
        <w:t>解</w:t>
      </w:r>
      <w:r>
        <w:rPr>
          <w:spacing w:val="-54"/>
          <w:position w:val="-6"/>
        </w:rPr>
        <w:t>．</w:t>
      </w:r>
      <w:r>
        <w:rPr>
          <w:spacing w:val="-127"/>
        </w:rPr>
        <w:t>条</w:t>
      </w:r>
      <w:r>
        <w:rPr>
          <w:spacing w:val="-54"/>
          <w:position w:val="-6"/>
        </w:rPr>
        <w:t>．</w:t>
      </w:r>
      <w:r>
        <w:rPr>
          <w:spacing w:val="-127"/>
        </w:rPr>
        <w:t>款</w:t>
      </w:r>
      <w:r>
        <w:rPr>
          <w:spacing w:val="-54"/>
          <w:position w:val="-6"/>
        </w:rPr>
        <w:t>．</w:t>
      </w:r>
      <w:r>
        <w:rPr>
          <w:spacing w:val="-127"/>
        </w:rPr>
        <w:t>，</w:t>
      </w:r>
      <w:r>
        <w:rPr>
          <w:spacing w:val="-54"/>
          <w:position w:val="-6"/>
        </w:rPr>
        <w:t>．</w:t>
      </w:r>
      <w:r>
        <w:rPr>
          <w:spacing w:val="-127"/>
        </w:rPr>
        <w:t>对</w:t>
      </w:r>
      <w:r>
        <w:rPr>
          <w:spacing w:val="-53"/>
          <w:position w:val="-6"/>
        </w:rPr>
        <w:t>．</w:t>
      </w:r>
      <w:r>
        <w:rPr>
          <w:spacing w:val="-128"/>
        </w:rPr>
        <w:t>本</w:t>
      </w:r>
      <w:r>
        <w:rPr>
          <w:spacing w:val="-53"/>
          <w:position w:val="-6"/>
        </w:rPr>
        <w:t>．</w:t>
      </w:r>
      <w:r>
        <w:rPr>
          <w:spacing w:val="-128"/>
        </w:rPr>
        <w:t>附</w:t>
      </w:r>
      <w:r>
        <w:rPr>
          <w:spacing w:val="-53"/>
          <w:position w:val="-6"/>
        </w:rPr>
        <w:t>．</w:t>
      </w:r>
      <w:r>
        <w:rPr>
          <w:spacing w:val="-128"/>
        </w:rPr>
        <w:t>加</w:t>
      </w:r>
      <w:r>
        <w:rPr>
          <w:spacing w:val="-53"/>
          <w:position w:val="-6"/>
        </w:rPr>
        <w:t>．</w:t>
      </w:r>
      <w:r>
        <w:rPr>
          <w:spacing w:val="-128"/>
        </w:rPr>
        <w:t>险</w:t>
      </w:r>
      <w:r>
        <w:rPr>
          <w:spacing w:val="-53"/>
          <w:position w:val="-6"/>
        </w:rPr>
        <w:t>．</w:t>
      </w:r>
      <w:r>
        <w:rPr>
          <w:spacing w:val="-127"/>
        </w:rPr>
        <w:t>合</w:t>
      </w:r>
      <w:r>
        <w:rPr>
          <w:spacing w:val="-54"/>
          <w:position w:val="-6"/>
        </w:rPr>
        <w:t>．</w:t>
      </w:r>
      <w:r>
        <w:rPr>
          <w:spacing w:val="-127"/>
        </w:rPr>
        <w:t>同</w:t>
      </w:r>
      <w:r>
        <w:rPr>
          <w:spacing w:val="-53"/>
          <w:position w:val="-6"/>
        </w:rPr>
        <w:t>．</w:t>
      </w:r>
      <w:r>
        <w:rPr>
          <w:spacing w:val="-128"/>
        </w:rPr>
        <w:t>内</w:t>
      </w:r>
      <w:r>
        <w:rPr>
          <w:spacing w:val="-53"/>
          <w:position w:val="-6"/>
        </w:rPr>
        <w:t>．</w:t>
      </w:r>
      <w:r>
        <w:rPr>
          <w:spacing w:val="-128"/>
        </w:rPr>
        <w:t>容</w:t>
      </w:r>
      <w:r>
        <w:rPr>
          <w:spacing w:val="-53"/>
          <w:position w:val="-6"/>
        </w:rPr>
        <w:t>．</w:t>
      </w:r>
      <w:r>
        <w:rPr>
          <w:spacing w:val="-128"/>
        </w:rPr>
        <w:t>的</w:t>
      </w:r>
      <w:r>
        <w:rPr>
          <w:spacing w:val="-53"/>
          <w:position w:val="-6"/>
        </w:rPr>
        <w:t>．</w:t>
      </w:r>
      <w:r>
        <w:rPr>
          <w:spacing w:val="-128"/>
        </w:rPr>
        <w:t>解</w:t>
      </w:r>
      <w:r>
        <w:rPr>
          <w:spacing w:val="-53"/>
          <w:position w:val="-6"/>
        </w:rPr>
        <w:t>．</w:t>
      </w:r>
      <w:r>
        <w:rPr>
          <w:spacing w:val="-128"/>
        </w:rPr>
        <w:t>释</w:t>
      </w:r>
      <w:r>
        <w:rPr>
          <w:spacing w:val="-53"/>
          <w:position w:val="-6"/>
        </w:rPr>
        <w:t>．</w:t>
      </w:r>
      <w:r>
        <w:rPr>
          <w:spacing w:val="-128"/>
        </w:rPr>
        <w:t>以</w:t>
      </w:r>
      <w:r>
        <w:rPr>
          <w:spacing w:val="-53"/>
          <w:position w:val="-6"/>
        </w:rPr>
        <w:t>．</w:t>
      </w:r>
      <w:r>
        <w:rPr>
          <w:spacing w:val="-128"/>
        </w:rPr>
        <w:t>条</w:t>
      </w:r>
      <w:r>
        <w:rPr>
          <w:spacing w:val="-53"/>
          <w:position w:val="-6"/>
        </w:rPr>
        <w:t>．</w:t>
      </w:r>
      <w:r>
        <w:rPr>
          <w:spacing w:val="-128"/>
        </w:rPr>
        <w:t>款</w:t>
      </w:r>
      <w:r>
        <w:rPr>
          <w:spacing w:val="-53"/>
          <w:position w:val="-6"/>
        </w:rPr>
        <w:t>．</w:t>
      </w:r>
      <w:r>
        <w:rPr>
          <w:spacing w:val="-128"/>
        </w:rPr>
        <w:t>为</w:t>
      </w:r>
      <w:r>
        <w:rPr>
          <w:spacing w:val="-53"/>
          <w:position w:val="-6"/>
        </w:rPr>
        <w:t>．</w:t>
      </w:r>
      <w:r>
        <w:rPr>
          <w:spacing w:val="-128"/>
        </w:rPr>
        <w:t>准</w:t>
      </w:r>
      <w:r>
        <w:rPr>
          <w:spacing w:val="-53"/>
          <w:position w:val="-6"/>
        </w:rPr>
        <w:t>．</w:t>
      </w:r>
      <w:r>
        <w:rPr/>
        <w:t>。</w:t>
      </w:r>
    </w:p>
    <w:p>
      <w:pPr>
        <w:pStyle w:val="Heading2"/>
        <w:tabs>
          <w:tab w:pos="822" w:val="left" w:leader="none"/>
        </w:tabs>
        <w:spacing w:line="524" w:lineRule="exact" w:before="126"/>
      </w:pPr>
      <w:r>
        <w:rPr/>
        <w:drawing>
          <wp:anchor distT="0" distB="0" distL="0" distR="0" allowOverlap="1" layoutInCell="1" locked="0" behindDoc="1" simplePos="0" relativeHeight="268415111">
            <wp:simplePos x="0" y="0"/>
            <wp:positionH relativeFrom="page">
              <wp:posOffset>1202740</wp:posOffset>
            </wp:positionH>
            <wp:positionV relativeFrom="paragraph">
              <wp:posOffset>222653</wp:posOffset>
            </wp:positionV>
            <wp:extent cx="265175" cy="17983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65175" cy="179831"/>
                    </a:xfrm>
                    <a:prstGeom prst="rect">
                      <a:avLst/>
                    </a:prstGeom>
                  </pic:spPr>
                </pic:pic>
              </a:graphicData>
            </a:graphic>
          </wp:anchor>
        </w:drawing>
      </w:r>
      <w:r>
        <w:rPr>
          <w:rFonts w:ascii="Arial" w:hAnsi="Arial" w:eastAsia="Arial"/>
          <w:w w:val="105"/>
          <w:position w:val="-11"/>
          <w:sz w:val="48"/>
        </w:rPr>
        <w:t></w:t>
        <w:tab/>
      </w:r>
      <w:r>
        <w:rPr/>
        <w:t>您拥有的重要权益</w:t>
      </w:r>
    </w:p>
    <w:p>
      <w:pPr>
        <w:pStyle w:val="BodyText"/>
        <w:rPr>
          <w:rFonts w:ascii="黑体"/>
          <w:b/>
          <w:sz w:val="12"/>
        </w:rPr>
      </w:pPr>
      <w:r>
        <w:rPr/>
        <w:br w:type="column"/>
      </w:r>
      <w:r>
        <w:rPr>
          <w:rFonts w:ascii="黑体"/>
          <w:b/>
          <w:sz w:val="12"/>
        </w:rPr>
      </w:r>
    </w:p>
    <w:p>
      <w:pPr>
        <w:pStyle w:val="BodyText"/>
        <w:spacing w:before="4"/>
        <w:rPr>
          <w:rFonts w:ascii="黑体"/>
          <w:b/>
          <w:sz w:val="8"/>
        </w:rPr>
      </w:pPr>
    </w:p>
    <w:p>
      <w:pPr>
        <w:spacing w:before="0"/>
        <w:ind w:left="160" w:right="0" w:firstLine="0"/>
        <w:jc w:val="left"/>
        <w:rPr>
          <w:sz w:val="12"/>
        </w:rPr>
      </w:pPr>
      <w:r>
        <w:rPr>
          <w:sz w:val="12"/>
        </w:rPr>
        <w:t>请扫描以查询验证条款</w:t>
      </w:r>
    </w:p>
    <w:p>
      <w:pPr>
        <w:spacing w:after="0"/>
        <w:jc w:val="left"/>
        <w:rPr>
          <w:sz w:val="12"/>
        </w:rPr>
        <w:sectPr>
          <w:type w:val="continuous"/>
          <w:pgSz w:w="11910" w:h="16840"/>
          <w:pgMar w:top="120" w:bottom="280" w:left="1280" w:right="160"/>
          <w:cols w:num="2" w:equalWidth="0">
            <w:col w:w="7465" w:space="1236"/>
            <w:col w:w="1769"/>
          </w:cols>
        </w:sectPr>
      </w:pPr>
    </w:p>
    <w:p>
      <w:pPr>
        <w:pStyle w:val="ListParagraph"/>
        <w:numPr>
          <w:ilvl w:val="0"/>
          <w:numId w:val="1"/>
        </w:numPr>
        <w:tabs>
          <w:tab w:pos="883" w:val="left" w:leader="none"/>
          <w:tab w:pos="9347" w:val="right" w:leader="dot"/>
        </w:tabs>
        <w:spacing w:line="200" w:lineRule="exact" w:before="0" w:after="0"/>
        <w:ind w:left="882" w:right="0" w:hanging="357"/>
        <w:jc w:val="left"/>
        <w:rPr>
          <w:sz w:val="18"/>
        </w:rPr>
      </w:pPr>
      <w:r>
        <w:rPr>
          <w:sz w:val="18"/>
        </w:rPr>
        <w:t>本附加险合同提供的保障在保险责任条款中列明</w:t>
        <w:tab/>
        <w:t>2.3</w:t>
      </w:r>
    </w:p>
    <w:p>
      <w:pPr>
        <w:pStyle w:val="ListParagraph"/>
        <w:numPr>
          <w:ilvl w:val="0"/>
          <w:numId w:val="1"/>
        </w:numPr>
        <w:tabs>
          <w:tab w:pos="883" w:val="left" w:leader="none"/>
          <w:tab w:pos="9349" w:val="right" w:leader="dot"/>
        </w:tabs>
        <w:spacing w:line="235" w:lineRule="exact" w:before="85" w:after="0"/>
        <w:ind w:left="882" w:right="0" w:hanging="357"/>
        <w:jc w:val="left"/>
        <w:rPr>
          <w:sz w:val="18"/>
        </w:rPr>
      </w:pPr>
      <w:r>
        <w:rPr>
          <w:sz w:val="18"/>
        </w:rPr>
        <w:t>您有退保的权利</w:t>
        <w:tab/>
        <w:t>5.1</w:t>
      </w:r>
    </w:p>
    <w:p>
      <w:pPr>
        <w:pStyle w:val="Heading2"/>
        <w:tabs>
          <w:tab w:pos="822" w:val="left" w:leader="none"/>
        </w:tabs>
        <w:spacing w:line="485" w:lineRule="exact"/>
      </w:pPr>
      <w:r>
        <w:rPr/>
        <w:drawing>
          <wp:anchor distT="0" distB="0" distL="0" distR="0" allowOverlap="1" layoutInCell="1" locked="0" behindDoc="1" simplePos="0" relativeHeight="268415135">
            <wp:simplePos x="0" y="0"/>
            <wp:positionH relativeFrom="page">
              <wp:posOffset>1202740</wp:posOffset>
            </wp:positionH>
            <wp:positionV relativeFrom="paragraph">
              <wp:posOffset>133942</wp:posOffset>
            </wp:positionV>
            <wp:extent cx="265175" cy="17983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265175" cy="179831"/>
                    </a:xfrm>
                    <a:prstGeom prst="rect">
                      <a:avLst/>
                    </a:prstGeom>
                  </pic:spPr>
                </pic:pic>
              </a:graphicData>
            </a:graphic>
          </wp:anchor>
        </w:drawing>
      </w:r>
      <w:r>
        <w:rPr>
          <w:rFonts w:ascii="Arial" w:hAnsi="Arial" w:eastAsia="Arial"/>
          <w:w w:val="105"/>
          <w:position w:val="-11"/>
          <w:sz w:val="48"/>
        </w:rPr>
        <w:t></w:t>
        <w:tab/>
      </w:r>
      <w:r>
        <w:rPr>
          <w:spacing w:val="-1"/>
        </w:rPr>
        <w:t>您应当特别注意的事项</w:t>
      </w:r>
    </w:p>
    <w:p>
      <w:pPr>
        <w:pStyle w:val="ListParagraph"/>
        <w:numPr>
          <w:ilvl w:val="0"/>
          <w:numId w:val="1"/>
        </w:numPr>
        <w:tabs>
          <w:tab w:pos="883" w:val="left" w:leader="none"/>
          <w:tab w:pos="9347" w:val="right" w:leader="dot"/>
        </w:tabs>
        <w:spacing w:line="195" w:lineRule="exact" w:before="0" w:after="0"/>
        <w:ind w:left="882" w:right="0" w:hanging="357"/>
        <w:jc w:val="left"/>
        <w:rPr>
          <w:sz w:val="18"/>
        </w:rPr>
      </w:pPr>
      <w:r>
        <w:rPr>
          <w:sz w:val="18"/>
        </w:rPr>
        <w:t>本附加险合同有责任免除条款，请注意</w:t>
        <w:tab/>
        <w:t>2.4</w:t>
      </w:r>
    </w:p>
    <w:p>
      <w:pPr>
        <w:pStyle w:val="ListParagraph"/>
        <w:numPr>
          <w:ilvl w:val="0"/>
          <w:numId w:val="1"/>
        </w:numPr>
        <w:tabs>
          <w:tab w:pos="883" w:val="left" w:leader="none"/>
          <w:tab w:pos="9347" w:val="right" w:leader="dot"/>
        </w:tabs>
        <w:spacing w:line="240" w:lineRule="auto" w:before="70" w:after="0"/>
        <w:ind w:left="882" w:right="0" w:hanging="357"/>
        <w:jc w:val="left"/>
        <w:rPr>
          <w:sz w:val="18"/>
        </w:rPr>
      </w:pPr>
      <w:r>
        <w:rPr>
          <w:sz w:val="18"/>
        </w:rPr>
        <w:t>保险事故发生后，请您及时通知我们</w:t>
        <w:tab/>
        <w:t>3.2</w:t>
      </w:r>
    </w:p>
    <w:p>
      <w:pPr>
        <w:pStyle w:val="ListParagraph"/>
        <w:numPr>
          <w:ilvl w:val="0"/>
          <w:numId w:val="1"/>
        </w:numPr>
        <w:tabs>
          <w:tab w:pos="883" w:val="left" w:leader="none"/>
          <w:tab w:pos="9349" w:val="right" w:leader="dot"/>
        </w:tabs>
        <w:spacing w:line="240" w:lineRule="auto" w:before="70" w:after="0"/>
        <w:ind w:left="882" w:right="0" w:hanging="357"/>
        <w:jc w:val="left"/>
        <w:rPr>
          <w:sz w:val="18"/>
        </w:rPr>
      </w:pPr>
      <w:r>
        <w:rPr>
          <w:sz w:val="18"/>
        </w:rPr>
        <w:t>退保会给您造成一定的损失，请慎重决策</w:t>
        <w:tab/>
        <w:t>5.1</w:t>
      </w:r>
    </w:p>
    <w:p>
      <w:pPr>
        <w:pStyle w:val="ListParagraph"/>
        <w:numPr>
          <w:ilvl w:val="0"/>
          <w:numId w:val="1"/>
        </w:numPr>
        <w:tabs>
          <w:tab w:pos="883" w:val="left" w:leader="none"/>
          <w:tab w:pos="9349" w:val="right" w:leader="dot"/>
        </w:tabs>
        <w:spacing w:line="240" w:lineRule="auto" w:before="73" w:after="0"/>
        <w:ind w:left="882" w:right="0" w:hanging="357"/>
        <w:jc w:val="left"/>
        <w:rPr>
          <w:sz w:val="18"/>
        </w:rPr>
      </w:pPr>
      <w:r>
        <w:rPr>
          <w:sz w:val="18"/>
        </w:rPr>
        <w:t>您有如实告知的义务</w:t>
        <w:tab/>
        <w:t>6.1</w:t>
      </w:r>
    </w:p>
    <w:p>
      <w:pPr>
        <w:pStyle w:val="ListParagraph"/>
        <w:numPr>
          <w:ilvl w:val="0"/>
          <w:numId w:val="1"/>
        </w:numPr>
        <w:tabs>
          <w:tab w:pos="883" w:val="left" w:leader="none"/>
          <w:tab w:pos="9167" w:val="right" w:leader="dot"/>
        </w:tabs>
        <w:spacing w:line="231" w:lineRule="exact" w:before="70" w:after="0"/>
        <w:ind w:left="882" w:right="0" w:hanging="357"/>
        <w:jc w:val="left"/>
        <w:rPr>
          <w:sz w:val="18"/>
        </w:rPr>
      </w:pPr>
      <w:r>
        <w:rPr>
          <w:sz w:val="18"/>
        </w:rPr>
        <w:t>我们对一些重要术语进行了解释，并作了显著标识，请注意</w:t>
        <w:tab/>
        <w:t>8</w:t>
      </w:r>
    </w:p>
    <w:p>
      <w:pPr>
        <w:pStyle w:val="Heading2"/>
        <w:tabs>
          <w:tab w:pos="822" w:val="left" w:leader="none"/>
        </w:tabs>
      </w:pPr>
      <w:r>
        <w:rPr/>
        <w:drawing>
          <wp:anchor distT="0" distB="0" distL="0" distR="0" allowOverlap="1" layoutInCell="1" locked="0" behindDoc="1" simplePos="0" relativeHeight="268415159">
            <wp:simplePos x="0" y="0"/>
            <wp:positionH relativeFrom="page">
              <wp:posOffset>1201216</wp:posOffset>
            </wp:positionH>
            <wp:positionV relativeFrom="paragraph">
              <wp:posOffset>159088</wp:posOffset>
            </wp:positionV>
            <wp:extent cx="268224" cy="134111"/>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268224" cy="134111"/>
                    </a:xfrm>
                    <a:prstGeom prst="rect">
                      <a:avLst/>
                    </a:prstGeom>
                  </pic:spPr>
                </pic:pic>
              </a:graphicData>
            </a:graphic>
          </wp:anchor>
        </w:drawing>
      </w:r>
      <w:r>
        <w:rPr>
          <w:rFonts w:ascii="Arial" w:hAnsi="Arial" w:eastAsia="Arial"/>
          <w:w w:val="105"/>
          <w:position w:val="-11"/>
          <w:sz w:val="48"/>
        </w:rPr>
        <w:t></w:t>
        <w:tab/>
      </w:r>
      <w:r>
        <w:rPr>
          <w:spacing w:val="-3"/>
        </w:rPr>
        <w:t>保险条款是保险合同的重要内容，为充分保障您的权益，请仔细阅读本保险条款。</w:t>
      </w:r>
    </w:p>
    <w:p>
      <w:pPr>
        <w:tabs>
          <w:tab w:pos="822" w:val="left" w:leader="none"/>
        </w:tabs>
        <w:spacing w:line="446" w:lineRule="exact" w:before="0"/>
        <w:ind w:left="160" w:right="0" w:firstLine="0"/>
        <w:jc w:val="left"/>
        <w:rPr>
          <w:rFonts w:ascii="黑体" w:hAnsi="黑体" w:eastAsia="黑体" w:hint="eastAsia"/>
          <w:b/>
          <w:sz w:val="21"/>
        </w:rPr>
      </w:pPr>
      <w:r>
        <w:rPr/>
        <w:drawing>
          <wp:anchor distT="0" distB="0" distL="0" distR="0" allowOverlap="1" layoutInCell="1" locked="0" behindDoc="1" simplePos="0" relativeHeight="268415183">
            <wp:simplePos x="0" y="0"/>
            <wp:positionH relativeFrom="page">
              <wp:posOffset>1202740</wp:posOffset>
            </wp:positionH>
            <wp:positionV relativeFrom="paragraph">
              <wp:posOffset>75601</wp:posOffset>
            </wp:positionV>
            <wp:extent cx="265175" cy="179832"/>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265175" cy="17983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69.944pt;margin-top:14.712881pt;width:450.95pt;height:183.8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3549"/>
                    <w:gridCol w:w="3255"/>
                  </w:tblGrid>
                  <w:tr>
                    <w:trPr>
                      <w:trHeight w:val="312" w:hRule="atLeast"/>
                    </w:trPr>
                    <w:tc>
                      <w:tcPr>
                        <w:tcW w:w="2215" w:type="dxa"/>
                      </w:tcPr>
                      <w:p>
                        <w:pPr>
                          <w:pStyle w:val="TableParagraph"/>
                          <w:spacing w:before="8"/>
                          <w:rPr>
                            <w:rFonts w:ascii="黑体" w:eastAsia="黑体" w:hint="eastAsia"/>
                            <w:sz w:val="18"/>
                          </w:rPr>
                        </w:pPr>
                        <w:r>
                          <w:rPr>
                            <w:rFonts w:ascii="黑体" w:eastAsia="黑体" w:hint="eastAsia"/>
                            <w:sz w:val="18"/>
                          </w:rPr>
                          <w:t>1．您与订立的合同</w:t>
                        </w:r>
                      </w:p>
                    </w:tc>
                    <w:tc>
                      <w:tcPr>
                        <w:tcW w:w="3549" w:type="dxa"/>
                      </w:tcPr>
                      <w:p>
                        <w:pPr>
                          <w:pStyle w:val="TableParagraph"/>
                          <w:spacing w:before="8"/>
                          <w:ind w:left="395"/>
                          <w:rPr>
                            <w:rFonts w:ascii="黑体" w:eastAsia="黑体" w:hint="eastAsia"/>
                            <w:sz w:val="18"/>
                          </w:rPr>
                        </w:pPr>
                        <w:r>
                          <w:rPr>
                            <w:rFonts w:ascii="黑体" w:eastAsia="黑体" w:hint="eastAsia"/>
                            <w:sz w:val="18"/>
                          </w:rPr>
                          <w:t>3.3 保险金给付</w:t>
                        </w:r>
                      </w:p>
                    </w:tc>
                    <w:tc>
                      <w:tcPr>
                        <w:tcW w:w="3255" w:type="dxa"/>
                        <w:shd w:val="clear" w:color="auto" w:fill="A6A6A6"/>
                      </w:tcPr>
                      <w:p>
                        <w:pPr>
                          <w:pStyle w:val="TableParagraph"/>
                          <w:spacing w:before="8"/>
                          <w:ind w:left="108"/>
                          <w:rPr>
                            <w:rFonts w:ascii="黑体" w:eastAsia="黑体" w:hint="eastAsia"/>
                            <w:sz w:val="18"/>
                          </w:rPr>
                        </w:pPr>
                        <w:r>
                          <w:rPr>
                            <w:rFonts w:ascii="黑体" w:eastAsia="黑体" w:hint="eastAsia"/>
                            <w:sz w:val="18"/>
                          </w:rPr>
                          <w:t>8．释义</w:t>
                        </w:r>
                      </w:p>
                    </w:tc>
                  </w:tr>
                  <w:tr>
                    <w:trPr>
                      <w:trHeight w:val="309" w:hRule="atLeast"/>
                    </w:trPr>
                    <w:tc>
                      <w:tcPr>
                        <w:tcW w:w="2215" w:type="dxa"/>
                      </w:tcPr>
                      <w:p>
                        <w:pPr>
                          <w:pStyle w:val="TableParagraph"/>
                          <w:spacing w:before="8"/>
                          <w:rPr>
                            <w:rFonts w:ascii="黑体" w:eastAsia="黑体" w:hint="eastAsia"/>
                            <w:sz w:val="18"/>
                          </w:rPr>
                        </w:pPr>
                        <w:r>
                          <w:rPr>
                            <w:rFonts w:ascii="黑体" w:eastAsia="黑体" w:hint="eastAsia"/>
                            <w:sz w:val="18"/>
                          </w:rPr>
                          <w:t>1.1 合同构成</w:t>
                        </w:r>
                      </w:p>
                    </w:tc>
                    <w:tc>
                      <w:tcPr>
                        <w:tcW w:w="3549" w:type="dxa"/>
                      </w:tcPr>
                      <w:p>
                        <w:pPr>
                          <w:pStyle w:val="TableParagraph"/>
                          <w:spacing w:before="8"/>
                          <w:ind w:left="395"/>
                          <w:rPr>
                            <w:rFonts w:ascii="黑体" w:eastAsia="黑体" w:hint="eastAsia"/>
                            <w:sz w:val="18"/>
                          </w:rPr>
                        </w:pPr>
                        <w:r>
                          <w:rPr>
                            <w:rFonts w:ascii="黑体" w:eastAsia="黑体" w:hint="eastAsia"/>
                            <w:sz w:val="18"/>
                          </w:rPr>
                          <w:t>3.4 诉讼时效</w:t>
                        </w:r>
                      </w:p>
                    </w:tc>
                    <w:tc>
                      <w:tcPr>
                        <w:tcW w:w="3255" w:type="dxa"/>
                      </w:tcPr>
                      <w:p>
                        <w:pPr>
                          <w:pStyle w:val="TableParagraph"/>
                          <w:spacing w:before="8"/>
                          <w:ind w:left="108"/>
                          <w:rPr>
                            <w:rFonts w:ascii="黑体" w:eastAsia="黑体" w:hint="eastAsia"/>
                            <w:sz w:val="18"/>
                          </w:rPr>
                        </w:pPr>
                        <w:r>
                          <w:rPr>
                            <w:rFonts w:ascii="黑体" w:eastAsia="黑体" w:hint="eastAsia"/>
                            <w:sz w:val="18"/>
                          </w:rPr>
                          <w:t>8.1 意外伤害</w:t>
                        </w:r>
                      </w:p>
                    </w:tc>
                  </w:tr>
                  <w:tr>
                    <w:trPr>
                      <w:trHeight w:val="311" w:hRule="atLeast"/>
                    </w:trPr>
                    <w:tc>
                      <w:tcPr>
                        <w:tcW w:w="2215" w:type="dxa"/>
                      </w:tcPr>
                      <w:p>
                        <w:pPr>
                          <w:pStyle w:val="TableParagraph"/>
                          <w:rPr>
                            <w:rFonts w:ascii="黑体" w:eastAsia="黑体" w:hint="eastAsia"/>
                            <w:sz w:val="18"/>
                          </w:rPr>
                        </w:pPr>
                        <w:r>
                          <w:rPr>
                            <w:rFonts w:ascii="黑体" w:eastAsia="黑体" w:hint="eastAsia"/>
                            <w:sz w:val="18"/>
                          </w:rPr>
                          <w:t>1.2 合同成立与Th效</w:t>
                        </w:r>
                      </w:p>
                    </w:tc>
                    <w:tc>
                      <w:tcPr>
                        <w:tcW w:w="3549" w:type="dxa"/>
                      </w:tcPr>
                      <w:p>
                        <w:pPr>
                          <w:pStyle w:val="TableParagraph"/>
                          <w:tabs>
                            <w:tab w:pos="3263" w:val="left" w:leader="none"/>
                          </w:tabs>
                          <w:ind w:left="287"/>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4．保险费的支付</w:t>
                          <w:tab/>
                        </w:r>
                      </w:p>
                    </w:tc>
                    <w:tc>
                      <w:tcPr>
                        <w:tcW w:w="3255" w:type="dxa"/>
                      </w:tcPr>
                      <w:p>
                        <w:pPr>
                          <w:pStyle w:val="TableParagraph"/>
                          <w:ind w:left="108"/>
                          <w:rPr>
                            <w:rFonts w:ascii="黑体" w:eastAsia="黑体" w:hint="eastAsia"/>
                            <w:sz w:val="18"/>
                          </w:rPr>
                        </w:pPr>
                        <w:r>
                          <w:rPr>
                            <w:rFonts w:ascii="黑体" w:eastAsia="黑体" w:hint="eastAsia"/>
                            <w:sz w:val="18"/>
                          </w:rPr>
                          <w:t>8.2 毒品</w:t>
                        </w:r>
                      </w:p>
                    </w:tc>
                  </w:tr>
                  <w:tr>
                    <w:trPr>
                      <w:trHeight w:val="312" w:hRule="atLeast"/>
                    </w:trPr>
                    <w:tc>
                      <w:tcPr>
                        <w:tcW w:w="2215" w:type="dxa"/>
                      </w:tcPr>
                      <w:p>
                        <w:pPr>
                          <w:pStyle w:val="TableParagraph"/>
                          <w:rPr>
                            <w:rFonts w:ascii="黑体" w:eastAsia="黑体" w:hint="eastAsia"/>
                            <w:sz w:val="18"/>
                          </w:rPr>
                        </w:pPr>
                        <w:r>
                          <w:rPr>
                            <w:rFonts w:ascii="黑体" w:eastAsia="黑体" w:hint="eastAsia"/>
                            <w:sz w:val="18"/>
                          </w:rPr>
                          <w:t>1.3 投保范围</w:t>
                        </w:r>
                      </w:p>
                    </w:tc>
                    <w:tc>
                      <w:tcPr>
                        <w:tcW w:w="3549" w:type="dxa"/>
                      </w:tcPr>
                      <w:p>
                        <w:pPr>
                          <w:pStyle w:val="TableParagraph"/>
                          <w:ind w:left="395"/>
                          <w:rPr>
                            <w:rFonts w:ascii="黑体" w:eastAsia="黑体" w:hint="eastAsia"/>
                            <w:sz w:val="18"/>
                          </w:rPr>
                        </w:pPr>
                        <w:r>
                          <w:rPr>
                            <w:rFonts w:ascii="黑体" w:eastAsia="黑体" w:hint="eastAsia"/>
                            <w:sz w:val="18"/>
                          </w:rPr>
                          <w:t>4.1 保险费的支付</w:t>
                        </w:r>
                      </w:p>
                    </w:tc>
                    <w:tc>
                      <w:tcPr>
                        <w:tcW w:w="3255" w:type="dxa"/>
                      </w:tcPr>
                      <w:p>
                        <w:pPr>
                          <w:pStyle w:val="TableParagraph"/>
                          <w:ind w:left="108"/>
                          <w:rPr>
                            <w:rFonts w:ascii="黑体" w:eastAsia="黑体" w:hint="eastAsia"/>
                            <w:sz w:val="18"/>
                          </w:rPr>
                        </w:pPr>
                        <w:r>
                          <w:rPr>
                            <w:rFonts w:ascii="黑体" w:eastAsia="黑体" w:hint="eastAsia"/>
                            <w:sz w:val="18"/>
                          </w:rPr>
                          <w:t>8.3 酒后驾驶</w:t>
                        </w:r>
                      </w:p>
                    </w:tc>
                  </w:tr>
                  <w:tr>
                    <w:trPr>
                      <w:trHeight w:val="311" w:hRule="atLeast"/>
                    </w:trPr>
                    <w:tc>
                      <w:tcPr>
                        <w:tcW w:w="2215" w:type="dxa"/>
                      </w:tcPr>
                      <w:p>
                        <w:pPr>
                          <w:pStyle w:val="TableParagraph"/>
                          <w:tabs>
                            <w:tab w:pos="2218" w:val="left" w:leader="none"/>
                          </w:tabs>
                          <w:ind w:left="91"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2．我们提供的保障</w:t>
                          <w:tab/>
                        </w:r>
                      </w:p>
                    </w:tc>
                    <w:tc>
                      <w:tcPr>
                        <w:tcW w:w="3549" w:type="dxa"/>
                      </w:tcPr>
                      <w:p>
                        <w:pPr>
                          <w:pStyle w:val="TableParagraph"/>
                          <w:tabs>
                            <w:tab w:pos="3263" w:val="left" w:leader="none"/>
                          </w:tabs>
                          <w:ind w:left="287"/>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5．合同解除</w:t>
                          <w:tab/>
                        </w:r>
                      </w:p>
                    </w:tc>
                    <w:tc>
                      <w:tcPr>
                        <w:tcW w:w="3255" w:type="dxa"/>
                      </w:tcPr>
                      <w:p>
                        <w:pPr>
                          <w:pStyle w:val="TableParagraph"/>
                          <w:ind w:left="108"/>
                          <w:rPr>
                            <w:rFonts w:ascii="黑体" w:eastAsia="黑体" w:hint="eastAsia"/>
                            <w:sz w:val="18"/>
                          </w:rPr>
                        </w:pPr>
                        <w:r>
                          <w:rPr>
                            <w:rFonts w:ascii="黑体" w:eastAsia="黑体" w:hint="eastAsia"/>
                            <w:sz w:val="18"/>
                          </w:rPr>
                          <w:t>8.4 无合法有效驾驶证驾驶</w:t>
                        </w:r>
                      </w:p>
                    </w:tc>
                  </w:tr>
                  <w:tr>
                    <w:trPr>
                      <w:trHeight w:val="312" w:hRule="atLeast"/>
                    </w:trPr>
                    <w:tc>
                      <w:tcPr>
                        <w:tcW w:w="2215" w:type="dxa"/>
                      </w:tcPr>
                      <w:p>
                        <w:pPr>
                          <w:pStyle w:val="TableParagraph"/>
                          <w:rPr>
                            <w:rFonts w:ascii="黑体" w:eastAsia="黑体" w:hint="eastAsia"/>
                            <w:sz w:val="18"/>
                          </w:rPr>
                        </w:pPr>
                        <w:r>
                          <w:rPr>
                            <w:rFonts w:ascii="黑体" w:eastAsia="黑体" w:hint="eastAsia"/>
                            <w:sz w:val="18"/>
                          </w:rPr>
                          <w:t>2.1 保险金额</w:t>
                        </w:r>
                      </w:p>
                    </w:tc>
                    <w:tc>
                      <w:tcPr>
                        <w:tcW w:w="3549" w:type="dxa"/>
                      </w:tcPr>
                      <w:p>
                        <w:pPr>
                          <w:pStyle w:val="TableParagraph"/>
                          <w:ind w:left="395"/>
                          <w:rPr>
                            <w:rFonts w:ascii="黑体" w:eastAsia="黑体" w:hint="eastAsia"/>
                            <w:sz w:val="18"/>
                          </w:rPr>
                        </w:pPr>
                        <w:r>
                          <w:rPr>
                            <w:rFonts w:ascii="黑体" w:eastAsia="黑体" w:hint="eastAsia"/>
                            <w:sz w:val="18"/>
                          </w:rPr>
                          <w:t>5.1 您解除合同的手续及风险</w:t>
                        </w:r>
                      </w:p>
                    </w:tc>
                    <w:tc>
                      <w:tcPr>
                        <w:tcW w:w="3255" w:type="dxa"/>
                      </w:tcPr>
                      <w:p>
                        <w:pPr>
                          <w:pStyle w:val="TableParagraph"/>
                          <w:ind w:left="108"/>
                          <w:rPr>
                            <w:rFonts w:ascii="黑体" w:eastAsia="黑体" w:hint="eastAsia"/>
                            <w:sz w:val="18"/>
                          </w:rPr>
                        </w:pPr>
                        <w:r>
                          <w:rPr>
                            <w:rFonts w:ascii="黑体" w:eastAsia="黑体" w:hint="eastAsia"/>
                            <w:sz w:val="18"/>
                          </w:rPr>
                          <w:t>8.5 无有效行驶证</w:t>
                        </w:r>
                      </w:p>
                    </w:tc>
                  </w:tr>
                  <w:tr>
                    <w:trPr>
                      <w:trHeight w:val="312" w:hRule="atLeast"/>
                    </w:trPr>
                    <w:tc>
                      <w:tcPr>
                        <w:tcW w:w="2215" w:type="dxa"/>
                      </w:tcPr>
                      <w:p>
                        <w:pPr>
                          <w:pStyle w:val="TableParagraph"/>
                          <w:rPr>
                            <w:rFonts w:ascii="黑体" w:eastAsia="黑体" w:hint="eastAsia"/>
                            <w:sz w:val="18"/>
                          </w:rPr>
                        </w:pPr>
                        <w:r>
                          <w:rPr>
                            <w:rFonts w:ascii="黑体" w:eastAsia="黑体" w:hint="eastAsia"/>
                            <w:sz w:val="18"/>
                          </w:rPr>
                          <w:t>2.2 保险期间</w:t>
                        </w:r>
                      </w:p>
                    </w:tc>
                    <w:tc>
                      <w:tcPr>
                        <w:tcW w:w="3549" w:type="dxa"/>
                      </w:tcPr>
                      <w:p>
                        <w:pPr>
                          <w:pStyle w:val="TableParagraph"/>
                          <w:tabs>
                            <w:tab w:pos="3263" w:val="left" w:leader="none"/>
                          </w:tabs>
                          <w:ind w:left="287"/>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6．其他需要关注的事项</w:t>
                          <w:tab/>
                        </w:r>
                      </w:p>
                    </w:tc>
                    <w:tc>
                      <w:tcPr>
                        <w:tcW w:w="3255" w:type="dxa"/>
                      </w:tcPr>
                      <w:p>
                        <w:pPr>
                          <w:pStyle w:val="TableParagraph"/>
                          <w:ind w:left="108"/>
                          <w:rPr>
                            <w:rFonts w:ascii="黑体" w:eastAsia="黑体" w:hint="eastAsia"/>
                            <w:sz w:val="18"/>
                          </w:rPr>
                        </w:pPr>
                        <w:r>
                          <w:rPr>
                            <w:rFonts w:ascii="黑体" w:eastAsia="黑体" w:hint="eastAsia"/>
                            <w:sz w:val="18"/>
                          </w:rPr>
                          <w:t>8.6 机动车</w:t>
                        </w:r>
                      </w:p>
                    </w:tc>
                  </w:tr>
                  <w:tr>
                    <w:trPr>
                      <w:trHeight w:val="312" w:hRule="atLeast"/>
                    </w:trPr>
                    <w:tc>
                      <w:tcPr>
                        <w:tcW w:w="2215" w:type="dxa"/>
                      </w:tcPr>
                      <w:p>
                        <w:pPr>
                          <w:pStyle w:val="TableParagraph"/>
                          <w:rPr>
                            <w:rFonts w:ascii="黑体" w:eastAsia="黑体" w:hint="eastAsia"/>
                            <w:sz w:val="18"/>
                          </w:rPr>
                        </w:pPr>
                        <w:r>
                          <w:rPr>
                            <w:rFonts w:ascii="黑体" w:eastAsia="黑体" w:hint="eastAsia"/>
                            <w:sz w:val="18"/>
                          </w:rPr>
                          <w:t>2.3 保险责任</w:t>
                        </w:r>
                      </w:p>
                    </w:tc>
                    <w:tc>
                      <w:tcPr>
                        <w:tcW w:w="3549" w:type="dxa"/>
                      </w:tcPr>
                      <w:p>
                        <w:pPr>
                          <w:pStyle w:val="TableParagraph"/>
                          <w:ind w:left="395"/>
                          <w:rPr>
                            <w:rFonts w:ascii="黑体" w:eastAsia="黑体" w:hint="eastAsia"/>
                            <w:sz w:val="18"/>
                          </w:rPr>
                        </w:pPr>
                        <w:r>
                          <w:rPr>
                            <w:rFonts w:ascii="黑体" w:eastAsia="黑体" w:hint="eastAsia"/>
                            <w:sz w:val="18"/>
                          </w:rPr>
                          <w:t>6.1 年龄和性别确定与错误处理</w:t>
                        </w:r>
                      </w:p>
                    </w:tc>
                    <w:tc>
                      <w:tcPr>
                        <w:tcW w:w="3255" w:type="dxa"/>
                      </w:tcPr>
                      <w:p>
                        <w:pPr>
                          <w:pStyle w:val="TableParagraph"/>
                          <w:ind w:left="108"/>
                          <w:rPr>
                            <w:rFonts w:ascii="黑体" w:eastAsia="黑体" w:hint="eastAsia"/>
                            <w:sz w:val="18"/>
                          </w:rPr>
                        </w:pPr>
                        <w:r>
                          <w:rPr>
                            <w:rFonts w:ascii="黑体" w:eastAsia="黑体" w:hint="eastAsia"/>
                            <w:sz w:val="18"/>
                          </w:rPr>
                          <w:t>8.7 遗传性疾病</w:t>
                        </w:r>
                      </w:p>
                    </w:tc>
                  </w:tr>
                  <w:tr>
                    <w:trPr>
                      <w:trHeight w:val="312" w:hRule="atLeast"/>
                    </w:trPr>
                    <w:tc>
                      <w:tcPr>
                        <w:tcW w:w="2215" w:type="dxa"/>
                      </w:tcPr>
                      <w:p>
                        <w:pPr>
                          <w:pStyle w:val="TableParagraph"/>
                          <w:rPr>
                            <w:rFonts w:ascii="黑体" w:eastAsia="黑体" w:hint="eastAsia"/>
                            <w:sz w:val="18"/>
                          </w:rPr>
                        </w:pPr>
                        <w:r>
                          <w:rPr>
                            <w:rFonts w:ascii="黑体" w:eastAsia="黑体" w:hint="eastAsia"/>
                            <w:sz w:val="18"/>
                          </w:rPr>
                          <w:t>2.4 责任免除</w:t>
                        </w:r>
                      </w:p>
                    </w:tc>
                    <w:tc>
                      <w:tcPr>
                        <w:tcW w:w="3549" w:type="dxa"/>
                      </w:tcPr>
                      <w:p>
                        <w:pPr>
                          <w:pStyle w:val="TableParagraph"/>
                          <w:ind w:left="395"/>
                          <w:rPr>
                            <w:rFonts w:ascii="黑体" w:eastAsia="黑体" w:hint="eastAsia"/>
                            <w:sz w:val="18"/>
                          </w:rPr>
                        </w:pPr>
                        <w:r>
                          <w:rPr>
                            <w:rFonts w:ascii="黑体" w:eastAsia="黑体" w:hint="eastAsia"/>
                            <w:sz w:val="18"/>
                          </w:rPr>
                          <w:t>6.2 与主险合同效力的关系</w:t>
                        </w:r>
                      </w:p>
                    </w:tc>
                    <w:tc>
                      <w:tcPr>
                        <w:tcW w:w="3255" w:type="dxa"/>
                      </w:tcPr>
                      <w:p>
                        <w:pPr>
                          <w:pStyle w:val="TableParagraph"/>
                          <w:ind w:left="108"/>
                          <w:rPr>
                            <w:rFonts w:ascii="黑体" w:eastAsia="黑体" w:hint="eastAsia"/>
                            <w:sz w:val="18"/>
                          </w:rPr>
                        </w:pPr>
                        <w:r>
                          <w:rPr>
                            <w:rFonts w:ascii="黑体" w:eastAsia="黑体" w:hint="eastAsia"/>
                            <w:sz w:val="18"/>
                          </w:rPr>
                          <w:t>8.8 先天性畸形、变形或染色体异常</w:t>
                        </w:r>
                      </w:p>
                    </w:tc>
                  </w:tr>
                  <w:tr>
                    <w:trPr>
                      <w:trHeight w:val="311" w:hRule="atLeast"/>
                    </w:trPr>
                    <w:tc>
                      <w:tcPr>
                        <w:tcW w:w="2215" w:type="dxa"/>
                      </w:tcPr>
                      <w:p>
                        <w:pPr>
                          <w:pStyle w:val="TableParagraph"/>
                          <w:tabs>
                            <w:tab w:pos="2218" w:val="left" w:leader="none"/>
                          </w:tabs>
                          <w:ind w:left="91"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3．保险金的申请</w:t>
                          <w:tab/>
                        </w:r>
                      </w:p>
                    </w:tc>
                    <w:tc>
                      <w:tcPr>
                        <w:tcW w:w="3549" w:type="dxa"/>
                      </w:tcPr>
                      <w:p>
                        <w:pPr>
                          <w:pStyle w:val="TableParagraph"/>
                          <w:ind w:left="395"/>
                          <w:rPr>
                            <w:rFonts w:ascii="黑体" w:eastAsia="黑体" w:hint="eastAsia"/>
                            <w:sz w:val="18"/>
                          </w:rPr>
                        </w:pPr>
                        <w:r>
                          <w:rPr>
                            <w:rFonts w:ascii="黑体" w:eastAsia="黑体" w:hint="eastAsia"/>
                            <w:sz w:val="18"/>
                          </w:rPr>
                          <w:t>6.3 适用主险合同条款</w:t>
                        </w:r>
                      </w:p>
                    </w:tc>
                    <w:tc>
                      <w:tcPr>
                        <w:tcW w:w="3255" w:type="dxa"/>
                      </w:tcPr>
                      <w:p>
                        <w:pPr>
                          <w:pStyle w:val="TableParagraph"/>
                          <w:ind w:left="108"/>
                          <w:rPr>
                            <w:rFonts w:ascii="黑体" w:eastAsia="黑体" w:hint="eastAsia"/>
                            <w:sz w:val="18"/>
                          </w:rPr>
                        </w:pPr>
                        <w:r>
                          <w:rPr>
                            <w:rFonts w:ascii="黑体" w:eastAsia="黑体" w:hint="eastAsia"/>
                            <w:sz w:val="18"/>
                          </w:rPr>
                          <w:t>8.9 感染艾滋病病毒或患艾滋病</w:t>
                        </w:r>
                      </w:p>
                    </w:tc>
                  </w:tr>
                  <w:tr>
                    <w:trPr>
                      <w:trHeight w:val="312" w:hRule="atLeast"/>
                    </w:trPr>
                    <w:tc>
                      <w:tcPr>
                        <w:tcW w:w="2215" w:type="dxa"/>
                      </w:tcPr>
                      <w:p>
                        <w:pPr>
                          <w:pStyle w:val="TableParagraph"/>
                          <w:rPr>
                            <w:rFonts w:ascii="黑体" w:eastAsia="黑体" w:hint="eastAsia"/>
                            <w:sz w:val="18"/>
                          </w:rPr>
                        </w:pPr>
                        <w:r>
                          <w:rPr>
                            <w:rFonts w:ascii="黑体" w:eastAsia="黑体" w:hint="eastAsia"/>
                            <w:sz w:val="18"/>
                          </w:rPr>
                          <w:t>3.1 受益人</w:t>
                        </w:r>
                      </w:p>
                    </w:tc>
                    <w:tc>
                      <w:tcPr>
                        <w:tcW w:w="3549" w:type="dxa"/>
                      </w:tcPr>
                      <w:p>
                        <w:pPr>
                          <w:pStyle w:val="TableParagraph"/>
                          <w:tabs>
                            <w:tab w:pos="3263" w:val="left" w:leader="none"/>
                          </w:tabs>
                          <w:ind w:left="287"/>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pacing w:val="-1"/>
                            <w:sz w:val="18"/>
                            <w:shd w:fill="A6A6A6" w:color="auto" w:val="clear"/>
                          </w:rPr>
                          <w:t>7.</w:t>
                        </w:r>
                        <w:r>
                          <w:rPr>
                            <w:rFonts w:ascii="黑体" w:eastAsia="黑体" w:hint="eastAsia"/>
                            <w:sz w:val="18"/>
                            <w:shd w:fill="A6A6A6" w:color="auto" w:val="clear"/>
                          </w:rPr>
                          <w:t>重大疾病</w:t>
                          <w:tab/>
                        </w:r>
                      </w:p>
                    </w:tc>
                    <w:tc>
                      <w:tcPr>
                        <w:tcW w:w="3255" w:type="dxa"/>
                      </w:tcPr>
                      <w:p>
                        <w:pPr>
                          <w:pStyle w:val="TableParagraph"/>
                          <w:ind w:left="108"/>
                          <w:rPr>
                            <w:rFonts w:ascii="黑体" w:eastAsia="黑体" w:hint="eastAsia"/>
                            <w:sz w:val="18"/>
                          </w:rPr>
                        </w:pPr>
                        <w:r>
                          <w:rPr>
                            <w:rFonts w:ascii="黑体" w:eastAsia="黑体" w:hint="eastAsia"/>
                            <w:sz w:val="18"/>
                          </w:rPr>
                          <w:t>8.10 有效身份证件</w:t>
                        </w:r>
                      </w:p>
                    </w:tc>
                  </w:tr>
                  <w:tr>
                    <w:trPr>
                      <w:trHeight w:val="246" w:hRule="atLeast"/>
                    </w:trPr>
                    <w:tc>
                      <w:tcPr>
                        <w:tcW w:w="2215" w:type="dxa"/>
                      </w:tcPr>
                      <w:p>
                        <w:pPr>
                          <w:pStyle w:val="TableParagraph"/>
                          <w:spacing w:line="216" w:lineRule="exact"/>
                          <w:rPr>
                            <w:rFonts w:ascii="黑体" w:eastAsia="黑体" w:hint="eastAsia"/>
                            <w:sz w:val="18"/>
                          </w:rPr>
                        </w:pPr>
                        <w:r>
                          <w:rPr>
                            <w:rFonts w:ascii="黑体" w:eastAsia="黑体" w:hint="eastAsia"/>
                            <w:sz w:val="18"/>
                          </w:rPr>
                          <w:t>3.2 保险金申请</w:t>
                        </w:r>
                      </w:p>
                    </w:tc>
                    <w:tc>
                      <w:tcPr>
                        <w:tcW w:w="3549" w:type="dxa"/>
                      </w:tcPr>
                      <w:p>
                        <w:pPr>
                          <w:pStyle w:val="TableParagraph"/>
                          <w:spacing w:line="216" w:lineRule="exact"/>
                          <w:ind w:left="395"/>
                          <w:rPr>
                            <w:rFonts w:ascii="黑体" w:eastAsia="黑体" w:hint="eastAsia"/>
                            <w:sz w:val="18"/>
                          </w:rPr>
                        </w:pPr>
                        <w:r>
                          <w:rPr>
                            <w:rFonts w:ascii="黑体" w:eastAsia="黑体" w:hint="eastAsia"/>
                            <w:sz w:val="18"/>
                          </w:rPr>
                          <w:t>7.1 重大疾病的范围及定义</w:t>
                        </w:r>
                      </w:p>
                    </w:tc>
                    <w:tc>
                      <w:tcPr>
                        <w:tcW w:w="3255" w:type="dxa"/>
                      </w:tcPr>
                      <w:p>
                        <w:pPr>
                          <w:pStyle w:val="TableParagraph"/>
                          <w:spacing w:line="216" w:lineRule="exact"/>
                          <w:ind w:left="108"/>
                          <w:rPr>
                            <w:rFonts w:ascii="黑体" w:eastAsia="黑体" w:hint="eastAsia"/>
                            <w:sz w:val="18"/>
                          </w:rPr>
                        </w:pPr>
                        <w:r>
                          <w:rPr>
                            <w:rFonts w:ascii="黑体" w:eastAsia="黑体" w:hint="eastAsia"/>
                            <w:sz w:val="18"/>
                          </w:rPr>
                          <w:t>8.11 现金价值</w:t>
                        </w:r>
                      </w:p>
                    </w:tc>
                  </w:tr>
                </w:tbl>
                <w:p>
                  <w:pPr>
                    <w:pStyle w:val="BodyText"/>
                  </w:pPr>
                </w:p>
              </w:txbxContent>
            </v:textbox>
            <w10:wrap type="none"/>
          </v:shape>
        </w:pict>
      </w:r>
      <w:r>
        <w:rPr>
          <w:rFonts w:ascii="Arial" w:hAnsi="Arial" w:eastAsia="Arial"/>
          <w:b/>
          <w:w w:val="110"/>
          <w:position w:val="-11"/>
          <w:sz w:val="48"/>
        </w:rPr>
        <w:t></w:t>
        <w:tab/>
      </w:r>
      <w:r>
        <w:rPr>
          <w:rFonts w:ascii="黑体" w:hAnsi="黑体" w:eastAsia="黑体" w:hint="eastAsia"/>
          <w:b/>
          <w:sz w:val="21"/>
        </w:rPr>
        <w:t>条款目录</w:t>
      </w:r>
    </w:p>
    <w:p>
      <w:pPr>
        <w:spacing w:after="0" w:line="446" w:lineRule="exact"/>
        <w:jc w:val="left"/>
        <w:rPr>
          <w:rFonts w:ascii="黑体" w:hAnsi="黑体" w:eastAsia="黑体" w:hint="eastAsia"/>
          <w:sz w:val="21"/>
        </w:rPr>
        <w:sectPr>
          <w:type w:val="continuous"/>
          <w:pgSz w:w="11910" w:h="16840"/>
          <w:pgMar w:top="120" w:bottom="280" w:left="1280" w:right="160"/>
        </w:sectPr>
      </w:pPr>
    </w:p>
    <w:p>
      <w:pPr>
        <w:pStyle w:val="Heading1"/>
        <w:spacing w:line="206" w:lineRule="auto" w:before="33"/>
        <w:ind w:left="2843" w:right="2843"/>
      </w:pPr>
      <w:r>
        <w:rPr/>
        <w:t>国联人寿保险股份有限公司 </w:t>
      </w:r>
      <w:r>
        <w:rPr>
          <w:w w:val="95"/>
        </w:rPr>
        <w:t>附加学Th幼儿重大疾病保险条款</w:t>
      </w:r>
    </w:p>
    <w:p>
      <w:pPr>
        <w:pStyle w:val="BodyText"/>
        <w:spacing w:before="3"/>
        <w:rPr>
          <w:rFonts w:ascii="黑体"/>
          <w:b/>
          <w:sz w:val="39"/>
        </w:rPr>
      </w:pPr>
    </w:p>
    <w:p>
      <w:pPr>
        <w:pStyle w:val="Heading3"/>
        <w:ind w:left="798"/>
      </w:pPr>
      <w:r>
        <w:rPr>
          <w:spacing w:val="-17"/>
          <w:w w:val="100"/>
        </w:rPr>
        <w:t>在本保险条款中，“我们”指国联人寿保险股份有限公司，“本附加险合同”指您与我们之间订立的</w:t>
      </w:r>
    </w:p>
    <w:p>
      <w:pPr>
        <w:spacing w:before="44"/>
        <w:ind w:left="272" w:right="0" w:firstLine="0"/>
        <w:jc w:val="left"/>
        <w:rPr>
          <w:sz w:val="21"/>
        </w:rPr>
      </w:pPr>
      <w:r>
        <w:rPr>
          <w:sz w:val="21"/>
        </w:rPr>
        <w:t>“附加学生幼儿重大疾病保险合同”。</w:t>
      </w:r>
    </w:p>
    <w:p>
      <w:pPr>
        <w:pStyle w:val="BodyText"/>
        <w:rPr>
          <w:sz w:val="20"/>
        </w:rPr>
      </w:pPr>
    </w:p>
    <w:p>
      <w:pPr>
        <w:pStyle w:val="BodyText"/>
        <w:rPr>
          <w:sz w:val="20"/>
        </w:rPr>
      </w:pPr>
    </w:p>
    <w:p>
      <w:pPr>
        <w:pStyle w:val="BodyText"/>
        <w:spacing w:before="12"/>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79"/>
        <w:gridCol w:w="7272"/>
      </w:tblGrid>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1．</w:t>
            </w:r>
          </w:p>
        </w:tc>
        <w:tc>
          <w:tcPr>
            <w:tcW w:w="9251" w:type="dxa"/>
            <w:gridSpan w:val="2"/>
            <w:shd w:val="clear" w:color="auto" w:fill="A6A6A6"/>
          </w:tcPr>
          <w:p>
            <w:pPr>
              <w:pStyle w:val="TableParagraph"/>
              <w:spacing w:before="11"/>
              <w:ind w:left="288"/>
              <w:rPr>
                <w:rFonts w:ascii="黑体" w:eastAsia="黑体" w:hint="eastAsia"/>
                <w:b/>
                <w:sz w:val="21"/>
              </w:rPr>
            </w:pPr>
            <w:r>
              <w:rPr>
                <w:rFonts w:ascii="黑体" w:eastAsia="黑体" w:hint="eastAsia"/>
                <w:b/>
                <w:sz w:val="21"/>
              </w:rPr>
              <w:t>您与我们订立的合同</w:t>
            </w:r>
          </w:p>
        </w:tc>
      </w:tr>
      <w:tr>
        <w:trPr>
          <w:trHeight w:val="1193" w:hRule="atLeast"/>
        </w:trPr>
        <w:tc>
          <w:tcPr>
            <w:tcW w:w="713" w:type="dxa"/>
          </w:tcPr>
          <w:p>
            <w:pPr>
              <w:pStyle w:val="TableParagraph"/>
              <w:spacing w:before="153"/>
              <w:ind w:left="107"/>
              <w:rPr>
                <w:rFonts w:ascii="黑体"/>
                <w:sz w:val="21"/>
              </w:rPr>
            </w:pPr>
            <w:r>
              <w:rPr>
                <w:rFonts w:ascii="黑体"/>
                <w:sz w:val="21"/>
              </w:rPr>
              <w:t>1.1</w:t>
            </w:r>
          </w:p>
        </w:tc>
        <w:tc>
          <w:tcPr>
            <w:tcW w:w="1979" w:type="dxa"/>
          </w:tcPr>
          <w:p>
            <w:pPr>
              <w:pStyle w:val="TableParagraph"/>
              <w:spacing w:before="153"/>
              <w:ind w:left="288"/>
              <w:rPr>
                <w:rFonts w:ascii="黑体" w:eastAsia="黑体" w:hint="eastAsia"/>
                <w:sz w:val="21"/>
              </w:rPr>
            </w:pPr>
            <w:r>
              <w:rPr>
                <w:rFonts w:ascii="黑体" w:eastAsia="黑体" w:hint="eastAsia"/>
                <w:sz w:val="21"/>
              </w:rPr>
              <w:t>合同构成</w:t>
            </w:r>
          </w:p>
        </w:tc>
        <w:tc>
          <w:tcPr>
            <w:tcW w:w="7272" w:type="dxa"/>
          </w:tcPr>
          <w:p>
            <w:pPr>
              <w:pStyle w:val="TableParagraph"/>
              <w:spacing w:line="280" w:lineRule="auto" w:before="153"/>
              <w:ind w:left="217" w:right="100"/>
              <w:jc w:val="both"/>
              <w:rPr>
                <w:sz w:val="21"/>
              </w:rPr>
            </w:pPr>
            <w:r>
              <w:rPr>
                <w:sz w:val="21"/>
              </w:rPr>
              <w:t>本附加险合同是您与我们约定保险权利义务关系的协议，包括本保险条款、保险单或其他保险凭证、投保单、与本附加险合同有关的其他投保文件、合法有效的声明、批注、批单及其他书面协议。</w:t>
            </w:r>
          </w:p>
        </w:tc>
      </w:tr>
      <w:tr>
        <w:trPr>
          <w:trHeight w:val="1103" w:hRule="atLeast"/>
        </w:trPr>
        <w:tc>
          <w:tcPr>
            <w:tcW w:w="713" w:type="dxa"/>
          </w:tcPr>
          <w:p>
            <w:pPr>
              <w:pStyle w:val="TableParagraph"/>
              <w:spacing w:before="61"/>
              <w:ind w:left="107"/>
              <w:rPr>
                <w:rFonts w:ascii="黑体"/>
                <w:sz w:val="21"/>
              </w:rPr>
            </w:pPr>
            <w:r>
              <w:rPr>
                <w:rFonts w:ascii="黑体"/>
                <w:sz w:val="21"/>
              </w:rPr>
              <w:t>1.2</w:t>
            </w:r>
          </w:p>
        </w:tc>
        <w:tc>
          <w:tcPr>
            <w:tcW w:w="1979" w:type="dxa"/>
          </w:tcPr>
          <w:p>
            <w:pPr>
              <w:pStyle w:val="TableParagraph"/>
              <w:spacing w:before="61"/>
              <w:ind w:left="288"/>
              <w:rPr>
                <w:rFonts w:ascii="黑体" w:eastAsia="黑体" w:hint="eastAsia"/>
                <w:sz w:val="21"/>
              </w:rPr>
            </w:pPr>
            <w:r>
              <w:rPr>
                <w:rFonts w:ascii="黑体" w:eastAsia="黑体" w:hint="eastAsia"/>
                <w:sz w:val="21"/>
              </w:rPr>
              <w:t>合同成立与Th效</w:t>
            </w:r>
          </w:p>
        </w:tc>
        <w:tc>
          <w:tcPr>
            <w:tcW w:w="7272" w:type="dxa"/>
          </w:tcPr>
          <w:p>
            <w:pPr>
              <w:pStyle w:val="TableParagraph"/>
              <w:spacing w:before="61"/>
              <w:ind w:left="217"/>
              <w:rPr>
                <w:sz w:val="21"/>
              </w:rPr>
            </w:pPr>
            <w:r>
              <w:rPr>
                <w:sz w:val="21"/>
              </w:rPr>
              <w:t>您提出保险申请、我们同意承保，本附加险合同成立。</w:t>
            </w:r>
          </w:p>
          <w:p>
            <w:pPr>
              <w:pStyle w:val="TableParagraph"/>
              <w:spacing w:line="278" w:lineRule="auto" w:before="46"/>
              <w:ind w:left="217" w:right="100"/>
              <w:rPr>
                <w:sz w:val="21"/>
              </w:rPr>
            </w:pPr>
            <w:r>
              <w:rPr>
                <w:sz w:val="21"/>
              </w:rPr>
              <w:t>本附加险合同自我们同意承保、收取保险费并签发保险单后生效，具体生效日以保险单所载的日期为准。</w:t>
            </w:r>
          </w:p>
        </w:tc>
      </w:tr>
      <w:tr>
        <w:trPr>
          <w:trHeight w:val="653" w:hRule="atLeast"/>
        </w:trPr>
        <w:tc>
          <w:tcPr>
            <w:tcW w:w="713" w:type="dxa"/>
          </w:tcPr>
          <w:p>
            <w:pPr>
              <w:pStyle w:val="TableParagraph"/>
              <w:spacing w:before="62"/>
              <w:ind w:left="107"/>
              <w:rPr>
                <w:rFonts w:ascii="黑体"/>
                <w:sz w:val="21"/>
              </w:rPr>
            </w:pPr>
            <w:r>
              <w:rPr>
                <w:rFonts w:ascii="黑体"/>
                <w:sz w:val="21"/>
              </w:rPr>
              <w:t>1.3</w:t>
            </w:r>
          </w:p>
        </w:tc>
        <w:tc>
          <w:tcPr>
            <w:tcW w:w="1979" w:type="dxa"/>
          </w:tcPr>
          <w:p>
            <w:pPr>
              <w:pStyle w:val="TableParagraph"/>
              <w:spacing w:before="62"/>
              <w:ind w:left="288"/>
              <w:rPr>
                <w:rFonts w:ascii="黑体" w:eastAsia="黑体" w:hint="eastAsia"/>
                <w:sz w:val="21"/>
              </w:rPr>
            </w:pPr>
            <w:r>
              <w:rPr>
                <w:rFonts w:ascii="黑体" w:eastAsia="黑体" w:hint="eastAsia"/>
                <w:sz w:val="21"/>
              </w:rPr>
              <w:t>投保范围</w:t>
            </w:r>
          </w:p>
        </w:tc>
        <w:tc>
          <w:tcPr>
            <w:tcW w:w="7272" w:type="dxa"/>
          </w:tcPr>
          <w:p>
            <w:pPr>
              <w:pStyle w:val="TableParagraph"/>
              <w:spacing w:before="62"/>
              <w:ind w:left="217"/>
              <w:rPr>
                <w:sz w:val="21"/>
              </w:rPr>
            </w:pPr>
            <w:r>
              <w:rPr>
                <w:sz w:val="21"/>
              </w:rPr>
              <w:t>本附加险合同的投保范围与主险合同一致。</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2．</w:t>
            </w:r>
          </w:p>
        </w:tc>
        <w:tc>
          <w:tcPr>
            <w:tcW w:w="1979"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我们提供的保障</w:t>
            </w:r>
          </w:p>
        </w:tc>
        <w:tc>
          <w:tcPr>
            <w:tcW w:w="7272" w:type="dxa"/>
            <w:shd w:val="clear" w:color="auto" w:fill="A6A6A6"/>
          </w:tcPr>
          <w:p>
            <w:pPr>
              <w:pStyle w:val="TableParagraph"/>
              <w:spacing w:before="0"/>
              <w:ind w:left="0"/>
              <w:rPr>
                <w:rFonts w:ascii="Times New Roman"/>
                <w:sz w:val="20"/>
              </w:rPr>
            </w:pPr>
          </w:p>
        </w:tc>
      </w:tr>
      <w:tr>
        <w:trPr>
          <w:trHeight w:val="531" w:hRule="atLeast"/>
        </w:trPr>
        <w:tc>
          <w:tcPr>
            <w:tcW w:w="713" w:type="dxa"/>
          </w:tcPr>
          <w:p>
            <w:pPr>
              <w:pStyle w:val="TableParagraph"/>
              <w:spacing w:before="153"/>
              <w:ind w:left="107"/>
              <w:rPr>
                <w:rFonts w:ascii="黑体"/>
                <w:sz w:val="21"/>
              </w:rPr>
            </w:pPr>
            <w:r>
              <w:rPr>
                <w:rFonts w:ascii="黑体"/>
                <w:sz w:val="21"/>
              </w:rPr>
              <w:t>2.1</w:t>
            </w:r>
          </w:p>
        </w:tc>
        <w:tc>
          <w:tcPr>
            <w:tcW w:w="1979" w:type="dxa"/>
          </w:tcPr>
          <w:p>
            <w:pPr>
              <w:pStyle w:val="TableParagraph"/>
              <w:spacing w:before="153"/>
              <w:ind w:left="288"/>
              <w:rPr>
                <w:rFonts w:ascii="黑体" w:eastAsia="黑体" w:hint="eastAsia"/>
                <w:sz w:val="21"/>
              </w:rPr>
            </w:pPr>
            <w:r>
              <w:rPr>
                <w:rFonts w:ascii="黑体" w:eastAsia="黑体" w:hint="eastAsia"/>
                <w:sz w:val="21"/>
              </w:rPr>
              <w:t>保险金额</w:t>
            </w:r>
          </w:p>
        </w:tc>
        <w:tc>
          <w:tcPr>
            <w:tcW w:w="7272" w:type="dxa"/>
          </w:tcPr>
          <w:p>
            <w:pPr>
              <w:pStyle w:val="TableParagraph"/>
              <w:spacing w:before="153"/>
              <w:ind w:left="217"/>
              <w:rPr>
                <w:sz w:val="21"/>
              </w:rPr>
            </w:pPr>
            <w:r>
              <w:rPr>
                <w:sz w:val="21"/>
              </w:rPr>
              <w:t>本附加险合同的保险金额由您与我们约定，并在保险单上载明。</w:t>
            </w:r>
          </w:p>
        </w:tc>
      </w:tr>
      <w:tr>
        <w:trPr>
          <w:trHeight w:val="484" w:hRule="atLeast"/>
        </w:trPr>
        <w:tc>
          <w:tcPr>
            <w:tcW w:w="713" w:type="dxa"/>
          </w:tcPr>
          <w:p>
            <w:pPr>
              <w:pStyle w:val="TableParagraph"/>
              <w:spacing w:before="85"/>
              <w:ind w:left="107"/>
              <w:rPr>
                <w:rFonts w:ascii="黑体"/>
                <w:sz w:val="21"/>
              </w:rPr>
            </w:pPr>
            <w:r>
              <w:rPr>
                <w:rFonts w:ascii="黑体"/>
                <w:sz w:val="21"/>
              </w:rPr>
              <w:t>2.2</w:t>
            </w:r>
          </w:p>
        </w:tc>
        <w:tc>
          <w:tcPr>
            <w:tcW w:w="1979" w:type="dxa"/>
          </w:tcPr>
          <w:p>
            <w:pPr>
              <w:pStyle w:val="TableParagraph"/>
              <w:spacing w:before="85"/>
              <w:ind w:left="288"/>
              <w:rPr>
                <w:rFonts w:ascii="黑体" w:eastAsia="黑体" w:hint="eastAsia"/>
                <w:sz w:val="21"/>
              </w:rPr>
            </w:pPr>
            <w:r>
              <w:rPr>
                <w:rFonts w:ascii="黑体" w:eastAsia="黑体" w:hint="eastAsia"/>
                <w:sz w:val="21"/>
              </w:rPr>
              <w:t>保险期间</w:t>
            </w:r>
          </w:p>
        </w:tc>
        <w:tc>
          <w:tcPr>
            <w:tcW w:w="7272" w:type="dxa"/>
          </w:tcPr>
          <w:p>
            <w:pPr>
              <w:pStyle w:val="TableParagraph"/>
              <w:spacing w:before="39"/>
              <w:ind w:left="217"/>
              <w:rPr>
                <w:sz w:val="21"/>
              </w:rPr>
            </w:pPr>
            <w:r>
              <w:rPr>
                <w:sz w:val="21"/>
              </w:rPr>
              <w:t>除另有约定外，本附加险合同的保险期间与主险合同一致。</w:t>
            </w:r>
          </w:p>
        </w:tc>
      </w:tr>
      <w:tr>
        <w:trPr>
          <w:trHeight w:val="457" w:hRule="atLeast"/>
        </w:trPr>
        <w:tc>
          <w:tcPr>
            <w:tcW w:w="713" w:type="dxa"/>
          </w:tcPr>
          <w:p>
            <w:pPr>
              <w:pStyle w:val="TableParagraph"/>
              <w:spacing w:before="61"/>
              <w:ind w:left="107"/>
              <w:rPr>
                <w:rFonts w:ascii="黑体"/>
                <w:sz w:val="21"/>
              </w:rPr>
            </w:pPr>
            <w:r>
              <w:rPr>
                <w:rFonts w:ascii="黑体"/>
                <w:sz w:val="21"/>
              </w:rPr>
              <w:t>2.3</w:t>
            </w:r>
          </w:p>
        </w:tc>
        <w:tc>
          <w:tcPr>
            <w:tcW w:w="1979" w:type="dxa"/>
          </w:tcPr>
          <w:p>
            <w:pPr>
              <w:pStyle w:val="TableParagraph"/>
              <w:spacing w:before="61"/>
              <w:ind w:left="288"/>
              <w:rPr>
                <w:rFonts w:ascii="黑体" w:eastAsia="黑体" w:hint="eastAsia"/>
                <w:sz w:val="21"/>
              </w:rPr>
            </w:pPr>
            <w:r>
              <w:rPr>
                <w:rFonts w:ascii="黑体" w:eastAsia="黑体" w:hint="eastAsia"/>
                <w:sz w:val="21"/>
              </w:rPr>
              <w:t>保险责任</w:t>
            </w:r>
          </w:p>
        </w:tc>
        <w:tc>
          <w:tcPr>
            <w:tcW w:w="7272" w:type="dxa"/>
          </w:tcPr>
          <w:p>
            <w:pPr>
              <w:pStyle w:val="TableParagraph"/>
              <w:spacing w:before="61"/>
              <w:ind w:left="217"/>
              <w:rPr>
                <w:sz w:val="21"/>
              </w:rPr>
            </w:pPr>
            <w:r>
              <w:rPr>
                <w:sz w:val="21"/>
              </w:rPr>
              <w:t>在本附加险合同的有效期内，我们按以下约定承担保险责任：</w:t>
            </w:r>
          </w:p>
        </w:tc>
      </w:tr>
      <w:tr>
        <w:trPr>
          <w:trHeight w:val="1422" w:hRule="atLeast"/>
        </w:trPr>
        <w:tc>
          <w:tcPr>
            <w:tcW w:w="713" w:type="dxa"/>
          </w:tcPr>
          <w:p>
            <w:pPr>
              <w:pStyle w:val="TableParagraph"/>
              <w:spacing w:before="0"/>
              <w:ind w:left="0"/>
              <w:rPr>
                <w:rFonts w:ascii="Times New Roman"/>
                <w:sz w:val="20"/>
              </w:rPr>
            </w:pPr>
          </w:p>
        </w:tc>
        <w:tc>
          <w:tcPr>
            <w:tcW w:w="1979" w:type="dxa"/>
          </w:tcPr>
          <w:p>
            <w:pPr>
              <w:pStyle w:val="TableParagraph"/>
              <w:spacing w:before="55"/>
              <w:ind w:left="288"/>
              <w:rPr>
                <w:rFonts w:ascii="黑体" w:eastAsia="黑体" w:hint="eastAsia"/>
                <w:i/>
                <w:sz w:val="22"/>
              </w:rPr>
            </w:pPr>
            <w:r>
              <w:rPr>
                <w:rFonts w:ascii="黑体" w:eastAsia="黑体" w:hint="eastAsia"/>
                <w:i/>
                <w:w w:val="95"/>
                <w:sz w:val="22"/>
              </w:rPr>
              <w:t>等待期</w:t>
            </w:r>
          </w:p>
        </w:tc>
        <w:tc>
          <w:tcPr>
            <w:tcW w:w="7272" w:type="dxa"/>
          </w:tcPr>
          <w:p>
            <w:pPr>
              <w:pStyle w:val="TableParagraph"/>
              <w:spacing w:line="278" w:lineRule="auto" w:before="67"/>
              <w:ind w:left="217" w:right="100"/>
              <w:rPr>
                <w:sz w:val="21"/>
              </w:rPr>
            </w:pPr>
            <w:r>
              <w:rPr>
                <w:spacing w:val="-6"/>
                <w:sz w:val="21"/>
              </w:rPr>
              <w:t>被保险人在我们对其开始承担保险责任起 </w:t>
            </w:r>
            <w:r>
              <w:rPr>
                <w:sz w:val="21"/>
              </w:rPr>
              <w:t>30</w:t>
            </w:r>
            <w:r>
              <w:rPr>
                <w:spacing w:val="-41"/>
                <w:sz w:val="21"/>
              </w:rPr>
              <w:t> 日</w:t>
            </w:r>
            <w:r>
              <w:rPr>
                <w:sz w:val="21"/>
              </w:rPr>
              <w:t>（30</w:t>
            </w:r>
            <w:r>
              <w:rPr>
                <w:spacing w:val="-8"/>
                <w:sz w:val="21"/>
              </w:rPr>
              <w:t> 日为等待期,经我们审核</w:t>
            </w:r>
            <w:r>
              <w:rPr>
                <w:spacing w:val="-3"/>
                <w:sz w:val="21"/>
              </w:rPr>
              <w:t>同意续保的,续保时无等待期</w:t>
            </w:r>
            <w:r>
              <w:rPr>
                <w:spacing w:val="-92"/>
                <w:sz w:val="21"/>
              </w:rPr>
              <w:t>）</w:t>
            </w:r>
            <w:r>
              <w:rPr>
                <w:spacing w:val="-3"/>
                <w:sz w:val="21"/>
              </w:rPr>
              <w:t>内被初次确诊患本附加险合同约定的重大疾病</w:t>
            </w:r>
          </w:p>
          <w:p>
            <w:pPr>
              <w:pStyle w:val="TableParagraph"/>
              <w:spacing w:line="278" w:lineRule="auto" w:before="13"/>
              <w:ind w:left="217" w:right="129"/>
              <w:rPr>
                <w:sz w:val="21"/>
              </w:rPr>
            </w:pPr>
            <w:r>
              <w:rPr>
                <w:sz w:val="21"/>
              </w:rPr>
              <w:t>（</w:t>
            </w:r>
            <w:r>
              <w:rPr>
                <w:spacing w:val="-3"/>
                <w:sz w:val="21"/>
              </w:rPr>
              <w:t>无论一种或多种</w:t>
            </w:r>
            <w:r>
              <w:rPr>
                <w:spacing w:val="-71"/>
                <w:sz w:val="21"/>
              </w:rPr>
              <w:t>）</w:t>
            </w:r>
            <w:r>
              <w:rPr>
                <w:spacing w:val="-14"/>
                <w:sz w:val="21"/>
              </w:rPr>
              <w:t>，我们不承担给付保险金的责任，本附加险合同终止，同</w:t>
            </w:r>
            <w:r>
              <w:rPr>
                <w:spacing w:val="-3"/>
                <w:sz w:val="21"/>
              </w:rPr>
              <w:t>时返还本附加险合同的保险费。</w:t>
            </w:r>
          </w:p>
        </w:tc>
      </w:tr>
      <w:tr>
        <w:trPr>
          <w:trHeight w:val="1107" w:hRule="atLeast"/>
        </w:trPr>
        <w:tc>
          <w:tcPr>
            <w:tcW w:w="713" w:type="dxa"/>
          </w:tcPr>
          <w:p>
            <w:pPr>
              <w:pStyle w:val="TableParagraph"/>
              <w:spacing w:before="0"/>
              <w:ind w:left="0"/>
              <w:rPr>
                <w:rFonts w:ascii="Times New Roman"/>
                <w:sz w:val="20"/>
              </w:rPr>
            </w:pPr>
          </w:p>
        </w:tc>
        <w:tc>
          <w:tcPr>
            <w:tcW w:w="1979" w:type="dxa"/>
          </w:tcPr>
          <w:p>
            <w:pPr>
              <w:pStyle w:val="TableParagraph"/>
              <w:spacing w:before="54"/>
              <w:ind w:left="288"/>
              <w:rPr>
                <w:rFonts w:ascii="黑体" w:eastAsia="黑体" w:hint="eastAsia"/>
                <w:i/>
                <w:sz w:val="22"/>
              </w:rPr>
            </w:pPr>
            <w:r>
              <w:rPr>
                <w:rFonts w:ascii="黑体" w:eastAsia="黑体" w:hint="eastAsia"/>
                <w:i/>
                <w:w w:val="95"/>
                <w:sz w:val="22"/>
              </w:rPr>
              <w:t>重大疾病保险金</w:t>
            </w:r>
          </w:p>
        </w:tc>
        <w:tc>
          <w:tcPr>
            <w:tcW w:w="7272" w:type="dxa"/>
          </w:tcPr>
          <w:p>
            <w:pPr>
              <w:pStyle w:val="TableParagraph"/>
              <w:spacing w:line="264" w:lineRule="auto" w:before="3"/>
              <w:ind w:left="217" w:right="100"/>
              <w:jc w:val="both"/>
              <w:rPr>
                <w:sz w:val="21"/>
              </w:rPr>
            </w:pPr>
            <w:r>
              <w:rPr>
                <w:spacing w:val="-3"/>
                <w:sz w:val="21"/>
              </w:rPr>
              <w:t>被保险人因遭受</w:t>
            </w:r>
            <w:r>
              <w:rPr>
                <w:rFonts w:ascii="微软雅黑" w:eastAsia="微软雅黑" w:hint="eastAsia"/>
                <w:b/>
                <w:sz w:val="21"/>
              </w:rPr>
              <w:t>意外伤害（见释义）</w:t>
            </w:r>
            <w:r>
              <w:rPr>
                <w:spacing w:val="-3"/>
                <w:sz w:val="21"/>
              </w:rPr>
              <w:t>或在等待期后因意外伤害以外的原因被</w:t>
            </w:r>
            <w:r>
              <w:rPr>
                <w:spacing w:val="-6"/>
                <w:sz w:val="21"/>
              </w:rPr>
              <w:t>初次确诊患本附加险合同约定的重大疾病</w:t>
            </w:r>
            <w:r>
              <w:rPr>
                <w:spacing w:val="-3"/>
                <w:sz w:val="21"/>
              </w:rPr>
              <w:t>（无论一种或多种</w:t>
            </w:r>
            <w:r>
              <w:rPr>
                <w:spacing w:val="-77"/>
                <w:sz w:val="21"/>
              </w:rPr>
              <w:t>）</w:t>
            </w:r>
            <w:r>
              <w:rPr>
                <w:spacing w:val="-13"/>
                <w:sz w:val="21"/>
              </w:rPr>
              <w:t>，我们按该被保</w:t>
            </w:r>
            <w:r>
              <w:rPr>
                <w:spacing w:val="-3"/>
                <w:sz w:val="21"/>
              </w:rPr>
              <w:t>险人对应的保险金额给付重大疾病保险金，本附加险合同终止。</w:t>
            </w:r>
          </w:p>
        </w:tc>
      </w:tr>
      <w:tr>
        <w:trPr>
          <w:trHeight w:val="3536" w:hRule="atLeast"/>
        </w:trPr>
        <w:tc>
          <w:tcPr>
            <w:tcW w:w="713" w:type="dxa"/>
          </w:tcPr>
          <w:p>
            <w:pPr>
              <w:pStyle w:val="TableParagraph"/>
              <w:spacing w:before="62"/>
              <w:ind w:left="107"/>
              <w:rPr>
                <w:rFonts w:ascii="黑体"/>
                <w:sz w:val="21"/>
              </w:rPr>
            </w:pPr>
            <w:r>
              <w:rPr>
                <w:rFonts w:ascii="黑体"/>
                <w:sz w:val="21"/>
              </w:rPr>
              <w:t>2.4</w:t>
            </w:r>
          </w:p>
        </w:tc>
        <w:tc>
          <w:tcPr>
            <w:tcW w:w="1979" w:type="dxa"/>
          </w:tcPr>
          <w:p>
            <w:pPr>
              <w:pStyle w:val="TableParagraph"/>
              <w:spacing w:before="62"/>
              <w:ind w:left="288"/>
              <w:rPr>
                <w:rFonts w:ascii="黑体" w:eastAsia="黑体" w:hint="eastAsia"/>
                <w:sz w:val="21"/>
              </w:rPr>
            </w:pPr>
            <w:r>
              <w:rPr>
                <w:rFonts w:ascii="黑体" w:eastAsia="黑体" w:hint="eastAsia"/>
                <w:sz w:val="21"/>
              </w:rPr>
              <w:t>责任免除</w:t>
            </w:r>
          </w:p>
        </w:tc>
        <w:tc>
          <w:tcPr>
            <w:tcW w:w="7272" w:type="dxa"/>
          </w:tcPr>
          <w:p>
            <w:pPr>
              <w:pStyle w:val="TableParagraph"/>
              <w:spacing w:before="62"/>
              <w:ind w:left="217"/>
              <w:rPr>
                <w:sz w:val="21"/>
              </w:rPr>
            </w:pPr>
            <w:r>
              <w:rPr>
                <w:sz w:val="21"/>
                <w:shd w:fill="A6A6A6" w:color="auto" w:val="clear"/>
              </w:rPr>
              <w:t>因下列情形之一，导致被保险人发生保险事故的，我们不承担保险责任：</w:t>
            </w:r>
          </w:p>
          <w:p>
            <w:pPr>
              <w:pStyle w:val="TableParagraph"/>
              <w:spacing w:before="44"/>
              <w:ind w:left="217"/>
              <w:rPr>
                <w:sz w:val="21"/>
              </w:rPr>
            </w:pPr>
            <w:r>
              <w:rPr>
                <w:sz w:val="21"/>
                <w:shd w:fill="A6A6A6" w:color="auto" w:val="clear"/>
              </w:rPr>
              <w:t>(1)投保人对被险的故意杀害、故意伤害；</w:t>
            </w:r>
          </w:p>
          <w:p>
            <w:pPr>
              <w:pStyle w:val="TableParagraph"/>
              <w:spacing w:line="267" w:lineRule="exact" w:before="44"/>
              <w:ind w:left="217"/>
              <w:rPr>
                <w:sz w:val="21"/>
              </w:rPr>
            </w:pPr>
            <w:r>
              <w:rPr>
                <w:sz w:val="21"/>
                <w:shd w:fill="A6A6A6" w:color="auto" w:val="clear"/>
              </w:rPr>
              <w:t>(2)被保险人故意自伤、故意犯罪或者抗拒依法采取的刑事强制措施；</w:t>
            </w:r>
          </w:p>
          <w:p>
            <w:pPr>
              <w:pStyle w:val="TableParagraph"/>
              <w:spacing w:line="333" w:lineRule="exact" w:before="0"/>
              <w:ind w:left="217"/>
              <w:rPr>
                <w:sz w:val="21"/>
              </w:rPr>
            </w:pPr>
            <w:r>
              <w:rPr>
                <w:w w:val="100"/>
                <w:sz w:val="21"/>
                <w:shd w:fill="A6A6A6" w:color="auto" w:val="clear"/>
              </w:rPr>
              <w:t>(3)</w:t>
            </w:r>
            <w:r>
              <w:rPr>
                <w:spacing w:val="-3"/>
                <w:w w:val="100"/>
                <w:sz w:val="21"/>
                <w:shd w:fill="A6A6A6" w:color="auto" w:val="clear"/>
              </w:rPr>
              <w:t>被保险人服用、吸食或注射</w:t>
            </w:r>
            <w:r>
              <w:rPr>
                <w:rFonts w:ascii="微软雅黑" w:eastAsia="微软雅黑" w:hint="eastAsia"/>
                <w:b/>
                <w:w w:val="100"/>
                <w:sz w:val="21"/>
                <w:shd w:fill="A6A6A6" w:color="auto" w:val="clear"/>
              </w:rPr>
              <w:t>毒品（见释义</w:t>
            </w:r>
            <w:r>
              <w:rPr>
                <w:rFonts w:ascii="微软雅黑" w:eastAsia="微软雅黑" w:hint="eastAsia"/>
                <w:b/>
                <w:spacing w:val="-106"/>
                <w:w w:val="100"/>
                <w:sz w:val="21"/>
                <w:shd w:fill="A6A6A6" w:color="auto" w:val="clear"/>
              </w:rPr>
              <w:t>）</w:t>
            </w:r>
            <w:r>
              <w:rPr>
                <w:w w:val="100"/>
                <w:sz w:val="21"/>
                <w:shd w:fill="A6A6A6" w:color="auto" w:val="clear"/>
              </w:rPr>
              <w:t>；</w:t>
            </w:r>
          </w:p>
          <w:p>
            <w:pPr>
              <w:pStyle w:val="TableParagraph"/>
              <w:spacing w:line="211" w:lineRule="auto" w:before="22"/>
              <w:ind w:left="217" w:right="98"/>
              <w:rPr>
                <w:sz w:val="21"/>
              </w:rPr>
            </w:pPr>
            <w:r>
              <w:rPr>
                <w:w w:val="100"/>
                <w:sz w:val="21"/>
                <w:shd w:fill="A6A6A6" w:color="auto" w:val="clear"/>
              </w:rPr>
              <w:t>(4)被保险人</w:t>
            </w:r>
            <w:r>
              <w:rPr>
                <w:rFonts w:ascii="微软雅黑" w:eastAsia="微软雅黑" w:hint="eastAsia"/>
                <w:b/>
                <w:w w:val="100"/>
                <w:sz w:val="21"/>
                <w:shd w:fill="A6A6A6" w:color="auto" w:val="clear"/>
              </w:rPr>
              <w:t>酒后驾驶</w:t>
            </w:r>
            <w:r>
              <w:rPr>
                <w:rFonts w:ascii="微软雅黑" w:eastAsia="微软雅黑" w:hint="eastAsia"/>
                <w:b/>
                <w:spacing w:val="1"/>
                <w:w w:val="100"/>
                <w:sz w:val="21"/>
                <w:shd w:fill="A6A6A6" w:color="auto" w:val="clear"/>
              </w:rPr>
              <w:t>（见释义</w:t>
            </w:r>
            <w:r>
              <w:rPr>
                <w:rFonts w:ascii="微软雅黑" w:eastAsia="微软雅黑" w:hint="eastAsia"/>
                <w:b/>
                <w:spacing w:val="-102"/>
                <w:w w:val="100"/>
                <w:sz w:val="21"/>
                <w:shd w:fill="A6A6A6" w:color="auto" w:val="clear"/>
              </w:rPr>
              <w:t>）</w:t>
            </w:r>
            <w:r>
              <w:rPr>
                <w:spacing w:val="1"/>
                <w:w w:val="100"/>
                <w:sz w:val="21"/>
                <w:shd w:fill="A6A6A6" w:color="auto" w:val="clear"/>
              </w:rPr>
              <w:t>，</w:t>
            </w:r>
            <w:r>
              <w:rPr>
                <w:rFonts w:ascii="微软雅黑" w:eastAsia="微软雅黑" w:hint="eastAsia"/>
                <w:b/>
                <w:w w:val="100"/>
                <w:sz w:val="21"/>
                <w:shd w:fill="A6A6A6" w:color="auto" w:val="clear"/>
              </w:rPr>
              <w:t>无合法有效驾驶证驾驶</w:t>
            </w:r>
            <w:r>
              <w:rPr>
                <w:rFonts w:ascii="微软雅黑" w:eastAsia="微软雅黑" w:hint="eastAsia"/>
                <w:b/>
                <w:spacing w:val="1"/>
                <w:w w:val="100"/>
                <w:sz w:val="21"/>
                <w:shd w:fill="A6A6A6" w:color="auto" w:val="clear"/>
              </w:rPr>
              <w:t>（见释义</w:t>
            </w:r>
            <w:r>
              <w:rPr>
                <w:rFonts w:ascii="微软雅黑" w:eastAsia="微软雅黑" w:hint="eastAsia"/>
                <w:b/>
                <w:spacing w:val="-101"/>
                <w:w w:val="100"/>
                <w:sz w:val="21"/>
                <w:shd w:fill="A6A6A6" w:color="auto" w:val="clear"/>
              </w:rPr>
              <w:t>）</w:t>
            </w:r>
            <w:r>
              <w:rPr>
                <w:spacing w:val="1"/>
                <w:w w:val="100"/>
                <w:sz w:val="21"/>
                <w:shd w:fill="A6A6A6" w:color="auto" w:val="clear"/>
              </w:rPr>
              <w:t>，或驾</w:t>
            </w:r>
            <w:r>
              <w:rPr>
                <w:spacing w:val="-3"/>
                <w:w w:val="100"/>
                <w:sz w:val="21"/>
                <w:shd w:fill="A6A6A6" w:color="auto" w:val="clear"/>
              </w:rPr>
              <w:t>驶</w:t>
            </w:r>
            <w:r>
              <w:rPr>
                <w:rFonts w:ascii="微软雅黑" w:eastAsia="微软雅黑" w:hint="eastAsia"/>
                <w:b/>
                <w:w w:val="100"/>
                <w:sz w:val="21"/>
                <w:shd w:fill="A6A6A6" w:color="auto" w:val="clear"/>
              </w:rPr>
              <w:t>无有效行驶证（</w:t>
            </w:r>
            <w:r>
              <w:rPr>
                <w:rFonts w:ascii="微软雅黑" w:eastAsia="微软雅黑" w:hint="eastAsia"/>
                <w:b/>
                <w:spacing w:val="-1"/>
                <w:w w:val="100"/>
                <w:sz w:val="21"/>
                <w:shd w:fill="A6A6A6" w:color="auto" w:val="clear"/>
              </w:rPr>
              <w:t>见释义</w:t>
            </w:r>
            <w:r>
              <w:rPr>
                <w:rFonts w:ascii="微软雅黑" w:eastAsia="微软雅黑" w:hint="eastAsia"/>
                <w:b/>
                <w:w w:val="100"/>
                <w:sz w:val="21"/>
                <w:shd w:fill="A6A6A6" w:color="auto" w:val="clear"/>
              </w:rPr>
              <w:t>）</w:t>
            </w:r>
            <w:r>
              <w:rPr>
                <w:spacing w:val="-3"/>
                <w:w w:val="100"/>
                <w:sz w:val="21"/>
                <w:shd w:fill="A6A6A6" w:color="auto" w:val="clear"/>
              </w:rPr>
              <w:t>的</w:t>
            </w:r>
            <w:r>
              <w:rPr>
                <w:rFonts w:ascii="微软雅黑" w:eastAsia="微软雅黑" w:hint="eastAsia"/>
                <w:b/>
                <w:w w:val="100"/>
                <w:sz w:val="21"/>
                <w:shd w:fill="A6A6A6" w:color="auto" w:val="clear"/>
              </w:rPr>
              <w:t>机动车（见释义</w:t>
            </w:r>
            <w:r>
              <w:rPr>
                <w:rFonts w:ascii="微软雅黑" w:eastAsia="微软雅黑" w:hint="eastAsia"/>
                <w:b/>
                <w:spacing w:val="-106"/>
                <w:w w:val="100"/>
                <w:sz w:val="21"/>
                <w:shd w:fill="A6A6A6" w:color="auto" w:val="clear"/>
              </w:rPr>
              <w:t>）</w:t>
            </w:r>
            <w:r>
              <w:rPr>
                <w:w w:val="100"/>
                <w:sz w:val="21"/>
                <w:shd w:fill="A6A6A6" w:color="auto" w:val="clear"/>
              </w:rPr>
              <w:t>；</w:t>
            </w:r>
          </w:p>
          <w:p>
            <w:pPr>
              <w:pStyle w:val="TableParagraph"/>
              <w:spacing w:line="211" w:lineRule="auto" w:before="2"/>
              <w:ind w:left="217" w:right="105"/>
              <w:rPr>
                <w:sz w:val="21"/>
              </w:rPr>
            </w:pPr>
            <w:r>
              <w:rPr>
                <w:sz w:val="21"/>
                <w:shd w:fill="A6A6A6" w:color="auto" w:val="clear"/>
              </w:rPr>
              <w:t>(5)</w:t>
            </w:r>
            <w:r>
              <w:rPr>
                <w:spacing w:val="-3"/>
                <w:sz w:val="21"/>
                <w:shd w:fill="A6A6A6" w:color="auto" w:val="clear"/>
              </w:rPr>
              <w:t>被保险人所患</w:t>
            </w:r>
            <w:r>
              <w:rPr>
                <w:rFonts w:ascii="微软雅黑" w:eastAsia="微软雅黑" w:hint="eastAsia"/>
                <w:b/>
                <w:spacing w:val="-11"/>
                <w:sz w:val="21"/>
                <w:shd w:fill="A6A6A6" w:color="auto" w:val="clear"/>
              </w:rPr>
              <w:t>遗传性疾病</w:t>
            </w:r>
            <w:r>
              <w:rPr>
                <w:rFonts w:ascii="微软雅黑" w:eastAsia="微软雅黑" w:hint="eastAsia"/>
                <w:b/>
                <w:sz w:val="21"/>
                <w:shd w:fill="A6A6A6" w:color="auto" w:val="clear"/>
              </w:rPr>
              <w:t>（见释义</w:t>
            </w:r>
            <w:r>
              <w:rPr>
                <w:rFonts w:ascii="微软雅黑" w:eastAsia="微软雅黑" w:hint="eastAsia"/>
                <w:b/>
                <w:spacing w:val="-81"/>
                <w:sz w:val="21"/>
                <w:shd w:fill="A6A6A6" w:color="auto" w:val="clear"/>
              </w:rPr>
              <w:t>）</w:t>
            </w:r>
            <w:r>
              <w:rPr>
                <w:spacing w:val="-81"/>
                <w:sz w:val="21"/>
                <w:shd w:fill="A6A6A6" w:color="auto" w:val="clear"/>
              </w:rPr>
              <w:t>，</w:t>
            </w:r>
            <w:r>
              <w:rPr>
                <w:rFonts w:ascii="微软雅黑" w:eastAsia="微软雅黑" w:hint="eastAsia"/>
                <w:b/>
                <w:spacing w:val="-12"/>
                <w:sz w:val="21"/>
                <w:shd w:fill="A6A6A6" w:color="auto" w:val="clear"/>
              </w:rPr>
              <w:t>先天性畸形、变形或染色体异常</w:t>
            </w:r>
            <w:r>
              <w:rPr>
                <w:rFonts w:ascii="微软雅黑" w:eastAsia="微软雅黑" w:hint="eastAsia"/>
                <w:b/>
                <w:spacing w:val="-3"/>
                <w:sz w:val="21"/>
                <w:shd w:fill="A6A6A6" w:color="auto" w:val="clear"/>
              </w:rPr>
              <w:t>（见</w:t>
            </w:r>
            <w:r>
              <w:rPr>
                <w:rFonts w:ascii="微软雅黑" w:eastAsia="微软雅黑" w:hint="eastAsia"/>
                <w:b/>
                <w:sz w:val="21"/>
                <w:shd w:fill="A6A6A6" w:color="auto" w:val="clear"/>
              </w:rPr>
              <w:t>释义</w:t>
            </w:r>
            <w:r>
              <w:rPr>
                <w:rFonts w:ascii="微软雅黑" w:eastAsia="微软雅黑" w:hint="eastAsia"/>
                <w:b/>
                <w:spacing w:val="-185"/>
                <w:sz w:val="21"/>
                <w:shd w:fill="A6A6A6" w:color="auto" w:val="clear"/>
              </w:rPr>
              <w:t>）</w:t>
            </w:r>
            <w:r>
              <w:rPr>
                <w:spacing w:val="-185"/>
                <w:sz w:val="21"/>
                <w:shd w:fill="A6A6A6" w:color="auto" w:val="clear"/>
              </w:rPr>
              <w:t>；</w:t>
            </w:r>
          </w:p>
          <w:p>
            <w:pPr>
              <w:pStyle w:val="TableParagraph"/>
              <w:spacing w:line="319" w:lineRule="exact" w:before="0"/>
              <w:ind w:left="217"/>
              <w:rPr>
                <w:sz w:val="21"/>
              </w:rPr>
            </w:pPr>
            <w:r>
              <w:rPr>
                <w:sz w:val="21"/>
                <w:shd w:fill="A6A6A6" w:color="auto" w:val="clear"/>
              </w:rPr>
              <w:t>(6)被保险人</w:t>
            </w:r>
            <w:r>
              <w:rPr>
                <w:rFonts w:ascii="微软雅黑" w:eastAsia="微软雅黑" w:hint="eastAsia"/>
                <w:b/>
                <w:sz w:val="21"/>
                <w:shd w:fill="A6A6A6" w:color="auto" w:val="clear"/>
              </w:rPr>
              <w:t>感染艾滋病病毒或患艾滋病（见释义）</w:t>
            </w:r>
            <w:r>
              <w:rPr>
                <w:sz w:val="21"/>
                <w:shd w:fill="A6A6A6" w:color="auto" w:val="clear"/>
              </w:rPr>
              <w:t>期间；</w:t>
            </w:r>
          </w:p>
          <w:p>
            <w:pPr>
              <w:pStyle w:val="TableParagraph"/>
              <w:spacing w:before="21"/>
              <w:ind w:left="217"/>
              <w:rPr>
                <w:sz w:val="21"/>
              </w:rPr>
            </w:pPr>
            <w:r>
              <w:rPr>
                <w:sz w:val="21"/>
                <w:shd w:fill="A6A6A6" w:color="auto" w:val="clear"/>
              </w:rPr>
              <w:t>(7)战争、军事冲突、暴乱或武装叛乱；</w:t>
            </w:r>
          </w:p>
          <w:p>
            <w:pPr>
              <w:pStyle w:val="TableParagraph"/>
              <w:spacing w:line="255" w:lineRule="exact" w:before="43"/>
              <w:ind w:left="217"/>
              <w:rPr>
                <w:sz w:val="21"/>
              </w:rPr>
            </w:pPr>
            <w:r>
              <w:rPr>
                <w:sz w:val="21"/>
                <w:shd w:fill="A6A6A6" w:color="auto" w:val="clear"/>
              </w:rPr>
              <w:t>(8)核爆炸、核辐射或核污染。</w:t>
            </w:r>
          </w:p>
        </w:tc>
      </w:tr>
    </w:tbl>
    <w:p>
      <w:pPr>
        <w:spacing w:after="0" w:line="255" w:lineRule="exact"/>
        <w:rPr>
          <w:sz w:val="21"/>
        </w:rPr>
        <w:sectPr>
          <w:pgSz w:w="11910" w:h="16840"/>
          <w:pgMar w:top="134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3"/>
        <w:gridCol w:w="7167"/>
      </w:tblGrid>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3．</w:t>
            </w:r>
          </w:p>
        </w:tc>
        <w:tc>
          <w:tcPr>
            <w:tcW w:w="2083"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保险金的申请</w:t>
            </w:r>
          </w:p>
        </w:tc>
        <w:tc>
          <w:tcPr>
            <w:tcW w:w="7167" w:type="dxa"/>
            <w:shd w:val="clear" w:color="auto" w:fill="A6A6A6"/>
          </w:tcPr>
          <w:p>
            <w:pPr>
              <w:pStyle w:val="TableParagraph"/>
              <w:spacing w:before="0"/>
              <w:ind w:left="0"/>
              <w:rPr>
                <w:rFonts w:ascii="Times New Roman"/>
                <w:sz w:val="20"/>
              </w:rPr>
            </w:pPr>
          </w:p>
        </w:tc>
      </w:tr>
      <w:tr>
        <w:trPr>
          <w:trHeight w:val="553" w:hRule="atLeast"/>
        </w:trPr>
        <w:tc>
          <w:tcPr>
            <w:tcW w:w="713" w:type="dxa"/>
          </w:tcPr>
          <w:p>
            <w:pPr>
              <w:pStyle w:val="TableParagraph"/>
              <w:spacing w:before="153"/>
              <w:ind w:left="107"/>
              <w:rPr>
                <w:rFonts w:ascii="黑体"/>
                <w:sz w:val="21"/>
              </w:rPr>
            </w:pPr>
            <w:r>
              <w:rPr>
                <w:rFonts w:ascii="黑体"/>
                <w:sz w:val="21"/>
              </w:rPr>
              <w:t>3.1</w:t>
            </w:r>
          </w:p>
        </w:tc>
        <w:tc>
          <w:tcPr>
            <w:tcW w:w="2083" w:type="dxa"/>
          </w:tcPr>
          <w:p>
            <w:pPr>
              <w:pStyle w:val="TableParagraph"/>
              <w:spacing w:before="153"/>
              <w:ind w:left="288"/>
              <w:rPr>
                <w:rFonts w:ascii="黑体" w:eastAsia="黑体" w:hint="eastAsia"/>
                <w:sz w:val="21"/>
              </w:rPr>
            </w:pPr>
            <w:r>
              <w:rPr>
                <w:rFonts w:ascii="黑体" w:eastAsia="黑体" w:hint="eastAsia"/>
                <w:sz w:val="21"/>
              </w:rPr>
              <w:t>受益人</w:t>
            </w:r>
          </w:p>
        </w:tc>
        <w:tc>
          <w:tcPr>
            <w:tcW w:w="7167" w:type="dxa"/>
          </w:tcPr>
          <w:p>
            <w:pPr>
              <w:pStyle w:val="TableParagraph"/>
              <w:spacing w:before="153"/>
              <w:ind w:left="113"/>
              <w:rPr>
                <w:sz w:val="21"/>
              </w:rPr>
            </w:pPr>
            <w:r>
              <w:rPr>
                <w:sz w:val="21"/>
              </w:rPr>
              <w:t>除另有指定外，本附加险合同保险金的受益人为被保险人本人。</w:t>
            </w:r>
          </w:p>
        </w:tc>
      </w:tr>
      <w:tr>
        <w:trPr>
          <w:trHeight w:val="457" w:hRule="atLeast"/>
        </w:trPr>
        <w:tc>
          <w:tcPr>
            <w:tcW w:w="713" w:type="dxa"/>
          </w:tcPr>
          <w:p>
            <w:pPr>
              <w:pStyle w:val="TableParagraph"/>
              <w:spacing w:before="61"/>
              <w:ind w:left="107"/>
              <w:rPr>
                <w:rFonts w:ascii="黑体"/>
                <w:sz w:val="21"/>
              </w:rPr>
            </w:pPr>
            <w:r>
              <w:rPr>
                <w:rFonts w:ascii="黑体"/>
                <w:sz w:val="21"/>
              </w:rPr>
              <w:t>3.2</w:t>
            </w:r>
          </w:p>
        </w:tc>
        <w:tc>
          <w:tcPr>
            <w:tcW w:w="2083" w:type="dxa"/>
          </w:tcPr>
          <w:p>
            <w:pPr>
              <w:pStyle w:val="TableParagraph"/>
              <w:spacing w:before="61"/>
              <w:ind w:left="288"/>
              <w:rPr>
                <w:rFonts w:ascii="黑体" w:eastAsia="黑体" w:hint="eastAsia"/>
                <w:sz w:val="21"/>
              </w:rPr>
            </w:pPr>
            <w:r>
              <w:rPr>
                <w:rFonts w:ascii="黑体" w:eastAsia="黑体" w:hint="eastAsia"/>
                <w:sz w:val="21"/>
              </w:rPr>
              <w:t>保险金申请</w:t>
            </w:r>
          </w:p>
        </w:tc>
        <w:tc>
          <w:tcPr>
            <w:tcW w:w="7167" w:type="dxa"/>
          </w:tcPr>
          <w:p>
            <w:pPr>
              <w:pStyle w:val="TableParagraph"/>
              <w:spacing w:before="61"/>
              <w:ind w:left="113"/>
              <w:rPr>
                <w:sz w:val="21"/>
              </w:rPr>
            </w:pPr>
            <w:r>
              <w:rPr>
                <w:sz w:val="21"/>
              </w:rPr>
              <w:t>在申请保险金时，请按照下列方式办理：</w:t>
            </w:r>
          </w:p>
        </w:tc>
      </w:tr>
      <w:tr>
        <w:trPr>
          <w:trHeight w:val="3667" w:hRule="atLeast"/>
        </w:trPr>
        <w:tc>
          <w:tcPr>
            <w:tcW w:w="713" w:type="dxa"/>
          </w:tcPr>
          <w:p>
            <w:pPr>
              <w:pStyle w:val="TableParagraph"/>
              <w:spacing w:before="0"/>
              <w:ind w:left="0"/>
              <w:rPr>
                <w:rFonts w:ascii="Times New Roman"/>
                <w:sz w:val="20"/>
              </w:rPr>
            </w:pPr>
          </w:p>
        </w:tc>
        <w:tc>
          <w:tcPr>
            <w:tcW w:w="2083" w:type="dxa"/>
          </w:tcPr>
          <w:p>
            <w:pPr>
              <w:pStyle w:val="TableParagraph"/>
              <w:spacing w:line="266" w:lineRule="auto" w:before="55"/>
              <w:ind w:left="288" w:right="110"/>
              <w:rPr>
                <w:rFonts w:ascii="黑体" w:eastAsia="黑体" w:hint="eastAsia"/>
                <w:i/>
                <w:sz w:val="22"/>
              </w:rPr>
            </w:pPr>
            <w:r>
              <w:rPr>
                <w:rFonts w:ascii="黑体" w:eastAsia="黑体" w:hint="eastAsia"/>
                <w:i/>
                <w:w w:val="95"/>
                <w:sz w:val="22"/>
              </w:rPr>
              <w:t>重大疾病保险金的申请</w:t>
            </w:r>
          </w:p>
        </w:tc>
        <w:tc>
          <w:tcPr>
            <w:tcW w:w="7167" w:type="dxa"/>
          </w:tcPr>
          <w:p>
            <w:pPr>
              <w:pStyle w:val="TableParagraph"/>
              <w:spacing w:before="67"/>
              <w:ind w:left="113"/>
              <w:rPr>
                <w:sz w:val="21"/>
              </w:rPr>
            </w:pPr>
            <w:r>
              <w:rPr>
                <w:sz w:val="21"/>
              </w:rPr>
              <w:t>受益人须填写保险金给付申请书，并提供下列证明和资料：</w:t>
            </w:r>
          </w:p>
          <w:p>
            <w:pPr>
              <w:pStyle w:val="TableParagraph"/>
              <w:spacing w:line="267" w:lineRule="exact" w:before="44"/>
              <w:ind w:left="113"/>
              <w:rPr>
                <w:sz w:val="21"/>
              </w:rPr>
            </w:pPr>
            <w:r>
              <w:rPr>
                <w:sz w:val="21"/>
              </w:rPr>
              <w:t>(1)保险合同；</w:t>
            </w:r>
          </w:p>
          <w:p>
            <w:pPr>
              <w:pStyle w:val="TableParagraph"/>
              <w:spacing w:line="355" w:lineRule="exact" w:before="0"/>
              <w:ind w:left="113"/>
              <w:rPr>
                <w:sz w:val="21"/>
              </w:rPr>
            </w:pPr>
            <w:r>
              <w:rPr>
                <w:w w:val="100"/>
                <w:sz w:val="21"/>
              </w:rPr>
              <w:t>(2)</w:t>
            </w:r>
            <w:r>
              <w:rPr>
                <w:spacing w:val="-3"/>
                <w:w w:val="100"/>
                <w:sz w:val="21"/>
              </w:rPr>
              <w:t>受益人的</w:t>
            </w:r>
            <w:r>
              <w:rPr>
                <w:rFonts w:ascii="微软雅黑" w:eastAsia="微软雅黑" w:hint="eastAsia"/>
                <w:b/>
                <w:spacing w:val="-1"/>
                <w:w w:val="100"/>
                <w:sz w:val="21"/>
              </w:rPr>
              <w:t>有效身份证件</w:t>
            </w:r>
            <w:r>
              <w:rPr>
                <w:rFonts w:ascii="微软雅黑" w:eastAsia="微软雅黑" w:hint="eastAsia"/>
                <w:b/>
                <w:w w:val="100"/>
                <w:sz w:val="21"/>
              </w:rPr>
              <w:t>（见释义</w:t>
            </w:r>
            <w:r>
              <w:rPr>
                <w:rFonts w:ascii="微软雅黑" w:eastAsia="微软雅黑" w:hint="eastAsia"/>
                <w:b/>
                <w:spacing w:val="-106"/>
                <w:w w:val="100"/>
                <w:sz w:val="21"/>
              </w:rPr>
              <w:t>）</w:t>
            </w:r>
            <w:r>
              <w:rPr>
                <w:w w:val="100"/>
                <w:sz w:val="21"/>
              </w:rPr>
              <w:t>；</w:t>
            </w:r>
          </w:p>
          <w:p>
            <w:pPr>
              <w:pStyle w:val="TableParagraph"/>
              <w:spacing w:line="278" w:lineRule="auto" w:before="19"/>
              <w:ind w:left="113" w:right="102"/>
              <w:rPr>
                <w:sz w:val="21"/>
              </w:rPr>
            </w:pPr>
            <w:r>
              <w:rPr>
                <w:sz w:val="21"/>
              </w:rPr>
              <w:t>(3)</w:t>
            </w:r>
            <w:r>
              <w:rPr>
                <w:spacing w:val="-6"/>
                <w:sz w:val="21"/>
              </w:rPr>
              <w:t>卫生行政部门认定的二级以上公立医院出具的附有病理显微镜检查、血液</w:t>
            </w:r>
            <w:r>
              <w:rPr>
                <w:spacing w:val="-4"/>
                <w:sz w:val="21"/>
              </w:rPr>
              <w:t>检验及其它科学方法检验报告的疾病诊断证明书；</w:t>
            </w:r>
          </w:p>
          <w:p>
            <w:pPr>
              <w:pStyle w:val="TableParagraph"/>
              <w:spacing w:line="278" w:lineRule="auto" w:before="13"/>
              <w:ind w:left="113" w:right="114"/>
              <w:rPr>
                <w:sz w:val="21"/>
              </w:rPr>
            </w:pPr>
            <w:r>
              <w:rPr>
                <w:sz w:val="21"/>
              </w:rPr>
              <w:t>(4)</w:t>
            </w:r>
            <w:r>
              <w:rPr>
                <w:spacing w:val="-3"/>
                <w:sz w:val="21"/>
              </w:rPr>
              <w:t>所能提供的与确认保险事故的性质、原因等有关的其他证明和资料。  若申请人为未成年人或无民事行为能力人时，由其合法监护人代其申请领取保险金，其合法监护人还必须提供申请人为未成年人或无民事行为能力人的证明和监护人具有合法监护权的证明。</w:t>
            </w:r>
          </w:p>
          <w:p>
            <w:pPr>
              <w:pStyle w:val="TableParagraph"/>
              <w:spacing w:line="278" w:lineRule="auto" w:before="11"/>
              <w:ind w:left="113" w:right="99"/>
              <w:rPr>
                <w:sz w:val="21"/>
              </w:rPr>
            </w:pPr>
            <w:r>
              <w:rPr>
                <w:sz w:val="21"/>
              </w:rPr>
              <w:t>以上保险金申请的证明和资料不完整的，我们将及时一次性通知受益人补充提供有关证明和资料。</w:t>
            </w:r>
          </w:p>
        </w:tc>
      </w:tr>
      <w:tr>
        <w:trPr>
          <w:trHeight w:val="3662" w:hRule="atLeast"/>
        </w:trPr>
        <w:tc>
          <w:tcPr>
            <w:tcW w:w="713" w:type="dxa"/>
          </w:tcPr>
          <w:p>
            <w:pPr>
              <w:pStyle w:val="TableParagraph"/>
              <w:spacing w:before="62"/>
              <w:ind w:left="107"/>
              <w:rPr>
                <w:rFonts w:ascii="黑体"/>
                <w:sz w:val="21"/>
              </w:rPr>
            </w:pPr>
            <w:r>
              <w:rPr>
                <w:rFonts w:ascii="黑体"/>
                <w:sz w:val="21"/>
              </w:rPr>
              <w:t>3.3</w:t>
            </w:r>
          </w:p>
        </w:tc>
        <w:tc>
          <w:tcPr>
            <w:tcW w:w="2083" w:type="dxa"/>
          </w:tcPr>
          <w:p>
            <w:pPr>
              <w:pStyle w:val="TableParagraph"/>
              <w:spacing w:before="62"/>
              <w:ind w:left="288"/>
              <w:rPr>
                <w:rFonts w:ascii="黑体" w:eastAsia="黑体" w:hint="eastAsia"/>
                <w:sz w:val="21"/>
              </w:rPr>
            </w:pPr>
            <w:r>
              <w:rPr>
                <w:rFonts w:ascii="黑体" w:eastAsia="黑体" w:hint="eastAsia"/>
                <w:sz w:val="21"/>
              </w:rPr>
              <w:t>保险金给付</w:t>
            </w:r>
          </w:p>
        </w:tc>
        <w:tc>
          <w:tcPr>
            <w:tcW w:w="7167" w:type="dxa"/>
          </w:tcPr>
          <w:p>
            <w:pPr>
              <w:pStyle w:val="TableParagraph"/>
              <w:spacing w:before="62"/>
              <w:ind w:left="113"/>
              <w:rPr>
                <w:sz w:val="21"/>
              </w:rPr>
            </w:pPr>
            <w:r>
              <w:rPr>
                <w:sz w:val="21"/>
              </w:rPr>
              <w:t>我们在收到保险金给付申请书及合同约定的证明和资料后，将在 5 日内作出</w:t>
            </w:r>
          </w:p>
          <w:p>
            <w:pPr>
              <w:pStyle w:val="TableParagraph"/>
              <w:spacing w:before="44"/>
              <w:ind w:left="113"/>
              <w:rPr>
                <w:sz w:val="21"/>
              </w:rPr>
            </w:pPr>
            <w:r>
              <w:rPr>
                <w:spacing w:val="-12"/>
                <w:sz w:val="21"/>
              </w:rPr>
              <w:t>核定；情形复杂的，在 </w:t>
            </w:r>
            <w:r>
              <w:rPr>
                <w:sz w:val="21"/>
              </w:rPr>
              <w:t>30</w:t>
            </w:r>
            <w:r>
              <w:rPr>
                <w:spacing w:val="-10"/>
                <w:sz w:val="21"/>
              </w:rPr>
              <w:t> 日内作出核定。对属于保险责任的，我们在与受益</w:t>
            </w:r>
          </w:p>
          <w:p>
            <w:pPr>
              <w:pStyle w:val="TableParagraph"/>
              <w:spacing w:before="44"/>
              <w:ind w:left="113"/>
              <w:rPr>
                <w:sz w:val="21"/>
              </w:rPr>
            </w:pPr>
            <w:r>
              <w:rPr>
                <w:sz w:val="21"/>
              </w:rPr>
              <w:t>人达成给付保险金的协议后 10 日内，履行给付保险金义务。</w:t>
            </w:r>
          </w:p>
          <w:p>
            <w:pPr>
              <w:pStyle w:val="TableParagraph"/>
              <w:spacing w:line="278" w:lineRule="auto" w:before="46"/>
              <w:ind w:left="113" w:right="100"/>
              <w:jc w:val="both"/>
              <w:rPr>
                <w:sz w:val="21"/>
              </w:rPr>
            </w:pPr>
            <w:r>
              <w:rPr>
                <w:sz w:val="21"/>
              </w:rPr>
              <w:t>我们未及时履行前款规定义务的，除支付保险金外，应当赔偿受益人因此受到的损失。前述“损失”是指根据中国人民银行公布的同期人民币活期存款基准利率计算的利息损失。</w:t>
            </w:r>
          </w:p>
          <w:p>
            <w:pPr>
              <w:pStyle w:val="TableParagraph"/>
              <w:spacing w:line="278" w:lineRule="auto" w:before="12"/>
              <w:ind w:left="113" w:right="100"/>
              <w:jc w:val="both"/>
              <w:rPr>
                <w:sz w:val="21"/>
              </w:rPr>
            </w:pPr>
            <w:r>
              <w:rPr>
                <w:spacing w:val="-5"/>
                <w:sz w:val="21"/>
              </w:rPr>
              <w:t>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80" w:lineRule="auto"/>
              <w:ind w:left="113" w:right="99"/>
              <w:jc w:val="both"/>
              <w:rPr>
                <w:sz w:val="21"/>
              </w:rPr>
            </w:pPr>
            <w:r>
              <w:rPr>
                <w:spacing w:val="-5"/>
                <w:sz w:val="21"/>
              </w:rPr>
              <w:t>我们在收到保险金给付申请书及有关证明和资料之日起 </w:t>
            </w:r>
            <w:r>
              <w:rPr>
                <w:sz w:val="21"/>
              </w:rPr>
              <w:t>60</w:t>
            </w:r>
            <w:r>
              <w:rPr>
                <w:spacing w:val="-17"/>
                <w:sz w:val="21"/>
              </w:rPr>
              <w:t> 日内，对给付保险</w:t>
            </w:r>
            <w:r>
              <w:rPr>
                <w:spacing w:val="-9"/>
                <w:sz w:val="21"/>
              </w:rPr>
              <w:t>金的数额不能确定的，根据已有证明和资料可以确定的数额先予支付；我们</w:t>
            </w:r>
            <w:r>
              <w:rPr>
                <w:spacing w:val="-5"/>
                <w:sz w:val="21"/>
              </w:rPr>
              <w:t>最终确定给付保险金的数额后，将支付相应的差额。</w:t>
            </w:r>
          </w:p>
        </w:tc>
      </w:tr>
      <w:tr>
        <w:trPr>
          <w:trHeight w:val="974" w:hRule="atLeast"/>
        </w:trPr>
        <w:tc>
          <w:tcPr>
            <w:tcW w:w="713" w:type="dxa"/>
          </w:tcPr>
          <w:p>
            <w:pPr>
              <w:pStyle w:val="TableParagraph"/>
              <w:spacing w:before="62"/>
              <w:ind w:left="107"/>
              <w:rPr>
                <w:rFonts w:ascii="黑体"/>
                <w:sz w:val="21"/>
              </w:rPr>
            </w:pPr>
            <w:r>
              <w:rPr>
                <w:rFonts w:ascii="黑体"/>
                <w:sz w:val="21"/>
              </w:rPr>
              <w:t>3.4</w:t>
            </w:r>
          </w:p>
        </w:tc>
        <w:tc>
          <w:tcPr>
            <w:tcW w:w="2083" w:type="dxa"/>
          </w:tcPr>
          <w:p>
            <w:pPr>
              <w:pStyle w:val="TableParagraph"/>
              <w:spacing w:before="62"/>
              <w:ind w:left="288"/>
              <w:rPr>
                <w:rFonts w:ascii="黑体" w:eastAsia="黑体" w:hint="eastAsia"/>
                <w:sz w:val="21"/>
              </w:rPr>
            </w:pPr>
            <w:r>
              <w:rPr>
                <w:rFonts w:ascii="黑体" w:eastAsia="黑体" w:hint="eastAsia"/>
                <w:sz w:val="21"/>
              </w:rPr>
              <w:t>诉讼时效</w:t>
            </w:r>
          </w:p>
        </w:tc>
        <w:tc>
          <w:tcPr>
            <w:tcW w:w="7167" w:type="dxa"/>
          </w:tcPr>
          <w:p>
            <w:pPr>
              <w:pStyle w:val="TableParagraph"/>
              <w:spacing w:line="278" w:lineRule="auto" w:before="62"/>
              <w:ind w:left="113" w:right="100"/>
              <w:rPr>
                <w:sz w:val="21"/>
              </w:rPr>
            </w:pPr>
            <w:r>
              <w:rPr>
                <w:spacing w:val="-5"/>
                <w:sz w:val="21"/>
              </w:rPr>
              <w:t>受益人向我们请求给付保险金的诉讼时效期间为 </w:t>
            </w:r>
            <w:r>
              <w:rPr>
                <w:sz w:val="21"/>
              </w:rPr>
              <w:t>2</w:t>
            </w:r>
            <w:r>
              <w:rPr>
                <w:spacing w:val="-7"/>
                <w:sz w:val="21"/>
              </w:rPr>
              <w:t> 年，自其知道或者应当知</w:t>
            </w:r>
            <w:r>
              <w:rPr>
                <w:spacing w:val="-5"/>
                <w:sz w:val="21"/>
              </w:rPr>
              <w:t>道保险事故发生之日起计算。</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4．</w:t>
            </w:r>
          </w:p>
        </w:tc>
        <w:tc>
          <w:tcPr>
            <w:tcW w:w="2083"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保险费的支付</w:t>
            </w:r>
          </w:p>
        </w:tc>
        <w:tc>
          <w:tcPr>
            <w:tcW w:w="7167" w:type="dxa"/>
            <w:shd w:val="clear" w:color="auto" w:fill="A6A6A6"/>
          </w:tcPr>
          <w:p>
            <w:pPr>
              <w:pStyle w:val="TableParagraph"/>
              <w:spacing w:before="0"/>
              <w:ind w:left="0"/>
              <w:rPr>
                <w:rFonts w:ascii="Times New Roman"/>
                <w:sz w:val="20"/>
              </w:rPr>
            </w:pPr>
          </w:p>
        </w:tc>
      </w:tr>
      <w:tr>
        <w:trPr>
          <w:trHeight w:val="743" w:hRule="atLeast"/>
        </w:trPr>
        <w:tc>
          <w:tcPr>
            <w:tcW w:w="713" w:type="dxa"/>
          </w:tcPr>
          <w:p>
            <w:pPr>
              <w:pStyle w:val="TableParagraph"/>
              <w:spacing w:before="153"/>
              <w:ind w:left="107"/>
              <w:rPr>
                <w:rFonts w:ascii="黑体"/>
                <w:sz w:val="21"/>
              </w:rPr>
            </w:pPr>
            <w:r>
              <w:rPr>
                <w:rFonts w:ascii="黑体"/>
                <w:sz w:val="21"/>
              </w:rPr>
              <w:t>4.1</w:t>
            </w:r>
          </w:p>
        </w:tc>
        <w:tc>
          <w:tcPr>
            <w:tcW w:w="2083" w:type="dxa"/>
          </w:tcPr>
          <w:p>
            <w:pPr>
              <w:pStyle w:val="TableParagraph"/>
              <w:spacing w:before="153"/>
              <w:ind w:left="288"/>
              <w:rPr>
                <w:rFonts w:ascii="黑体" w:eastAsia="黑体" w:hint="eastAsia"/>
                <w:sz w:val="21"/>
              </w:rPr>
            </w:pPr>
            <w:r>
              <w:rPr>
                <w:rFonts w:ascii="黑体" w:eastAsia="黑体" w:hint="eastAsia"/>
                <w:sz w:val="21"/>
              </w:rPr>
              <w:t>保险费的支付</w:t>
            </w:r>
          </w:p>
        </w:tc>
        <w:tc>
          <w:tcPr>
            <w:tcW w:w="7167" w:type="dxa"/>
          </w:tcPr>
          <w:p>
            <w:pPr>
              <w:pStyle w:val="TableParagraph"/>
              <w:spacing w:before="153"/>
              <w:ind w:left="113"/>
              <w:rPr>
                <w:sz w:val="21"/>
              </w:rPr>
            </w:pPr>
            <w:r>
              <w:rPr>
                <w:sz w:val="21"/>
              </w:rPr>
              <w:t>您应于投保时一次性交清全部保险费或按我们约定的其他方式支付保险费。</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5．</w:t>
            </w:r>
          </w:p>
        </w:tc>
        <w:tc>
          <w:tcPr>
            <w:tcW w:w="2083"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合同解除</w:t>
            </w:r>
          </w:p>
        </w:tc>
        <w:tc>
          <w:tcPr>
            <w:tcW w:w="7167" w:type="dxa"/>
            <w:shd w:val="clear" w:color="auto" w:fill="A6A6A6"/>
          </w:tcPr>
          <w:p>
            <w:pPr>
              <w:pStyle w:val="TableParagraph"/>
              <w:spacing w:before="0"/>
              <w:ind w:left="0"/>
              <w:rPr>
                <w:rFonts w:ascii="Times New Roman"/>
                <w:sz w:val="20"/>
              </w:rPr>
            </w:pPr>
          </w:p>
        </w:tc>
      </w:tr>
      <w:tr>
        <w:trPr>
          <w:trHeight w:val="2347" w:hRule="atLeast"/>
        </w:trPr>
        <w:tc>
          <w:tcPr>
            <w:tcW w:w="713" w:type="dxa"/>
          </w:tcPr>
          <w:p>
            <w:pPr>
              <w:pStyle w:val="TableParagraph"/>
              <w:spacing w:before="153"/>
              <w:ind w:left="107"/>
              <w:rPr>
                <w:rFonts w:ascii="黑体"/>
                <w:sz w:val="21"/>
              </w:rPr>
            </w:pPr>
            <w:r>
              <w:rPr>
                <w:rFonts w:ascii="黑体"/>
                <w:sz w:val="21"/>
              </w:rPr>
              <w:t>5.1</w:t>
            </w:r>
          </w:p>
        </w:tc>
        <w:tc>
          <w:tcPr>
            <w:tcW w:w="2083" w:type="dxa"/>
          </w:tcPr>
          <w:p>
            <w:pPr>
              <w:pStyle w:val="TableParagraph"/>
              <w:spacing w:line="280" w:lineRule="auto" w:before="153"/>
              <w:ind w:left="288" w:right="110"/>
              <w:rPr>
                <w:rFonts w:ascii="黑体" w:eastAsia="黑体" w:hint="eastAsia"/>
                <w:sz w:val="21"/>
              </w:rPr>
            </w:pPr>
            <w:r>
              <w:rPr>
                <w:rFonts w:ascii="黑体" w:eastAsia="黑体" w:hint="eastAsia"/>
                <w:sz w:val="21"/>
              </w:rPr>
              <w:t>您解除合同的手续及风险</w:t>
            </w:r>
          </w:p>
        </w:tc>
        <w:tc>
          <w:tcPr>
            <w:tcW w:w="7167" w:type="dxa"/>
          </w:tcPr>
          <w:p>
            <w:pPr>
              <w:pStyle w:val="TableParagraph"/>
              <w:spacing w:before="153"/>
              <w:ind w:left="113" w:right="-15"/>
              <w:rPr>
                <w:sz w:val="21"/>
              </w:rPr>
            </w:pPr>
            <w:r>
              <w:rPr>
                <w:spacing w:val="-10"/>
                <w:sz w:val="21"/>
              </w:rPr>
              <w:t>如您申请解除本附加险合同，请填写解除合同申请书并向我们提供下列资料：</w:t>
            </w:r>
          </w:p>
          <w:p>
            <w:pPr>
              <w:pStyle w:val="TableParagraph"/>
              <w:spacing w:before="46"/>
              <w:ind w:left="113"/>
              <w:rPr>
                <w:sz w:val="21"/>
              </w:rPr>
            </w:pPr>
            <w:r>
              <w:rPr>
                <w:sz w:val="21"/>
              </w:rPr>
              <w:t>(1)保险合同；</w:t>
            </w:r>
          </w:p>
          <w:p>
            <w:pPr>
              <w:pStyle w:val="TableParagraph"/>
              <w:spacing w:before="44"/>
              <w:ind w:left="113"/>
              <w:rPr>
                <w:sz w:val="21"/>
              </w:rPr>
            </w:pPr>
            <w:r>
              <w:rPr>
                <w:sz w:val="21"/>
              </w:rPr>
              <w:t>(2)您有效身份证件。</w:t>
            </w:r>
          </w:p>
          <w:p>
            <w:pPr>
              <w:pStyle w:val="TableParagraph"/>
              <w:spacing w:line="228" w:lineRule="auto" w:before="58"/>
              <w:ind w:left="113" w:right="113"/>
              <w:rPr>
                <w:sz w:val="21"/>
              </w:rPr>
            </w:pPr>
            <w:r>
              <w:rPr>
                <w:spacing w:val="-3"/>
                <w:sz w:val="21"/>
              </w:rPr>
              <w:t>自我们收到解除合同申请书时起，本附加险合同终止。我们自收到解除合同</w:t>
            </w:r>
            <w:r>
              <w:rPr>
                <w:spacing w:val="-9"/>
                <w:sz w:val="21"/>
              </w:rPr>
              <w:t>申请书之日起 </w:t>
            </w:r>
            <w:r>
              <w:rPr>
                <w:sz w:val="21"/>
              </w:rPr>
              <w:t>30</w:t>
            </w:r>
            <w:r>
              <w:rPr>
                <w:spacing w:val="-8"/>
                <w:sz w:val="21"/>
              </w:rPr>
              <w:t> 日内向您退还保险单的</w:t>
            </w:r>
            <w:r>
              <w:rPr>
                <w:rFonts w:ascii="微软雅黑" w:eastAsia="微软雅黑" w:hint="eastAsia"/>
                <w:b/>
                <w:sz w:val="21"/>
              </w:rPr>
              <w:t>现金价值</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sz w:val="21"/>
              </w:rPr>
              <w:t>。</w:t>
            </w:r>
          </w:p>
          <w:p>
            <w:pPr>
              <w:pStyle w:val="TableParagraph"/>
              <w:spacing w:before="19"/>
              <w:ind w:left="113"/>
              <w:rPr>
                <w:sz w:val="21"/>
              </w:rPr>
            </w:pPr>
            <w:r>
              <w:rPr>
                <w:sz w:val="21"/>
              </w:rPr>
              <w:t>您解除合同会遭受一定损失。</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6．</w:t>
            </w:r>
          </w:p>
        </w:tc>
        <w:tc>
          <w:tcPr>
            <w:tcW w:w="9250" w:type="dxa"/>
            <w:gridSpan w:val="2"/>
            <w:shd w:val="clear" w:color="auto" w:fill="A6A6A6"/>
          </w:tcPr>
          <w:p>
            <w:pPr>
              <w:pStyle w:val="TableParagraph"/>
              <w:spacing w:before="11"/>
              <w:ind w:left="288"/>
              <w:rPr>
                <w:rFonts w:ascii="黑体" w:eastAsia="黑体" w:hint="eastAsia"/>
                <w:b/>
                <w:sz w:val="21"/>
              </w:rPr>
            </w:pPr>
            <w:r>
              <w:rPr>
                <w:rFonts w:ascii="黑体" w:eastAsia="黑体" w:hint="eastAsia"/>
                <w:b/>
                <w:sz w:val="21"/>
              </w:rPr>
              <w:t>其他需要关注的事项</w:t>
            </w:r>
          </w:p>
        </w:tc>
      </w:tr>
    </w:tbl>
    <w:p>
      <w:pPr>
        <w:spacing w:after="0"/>
        <w:rPr>
          <w:rFonts w:ascii="黑体" w:eastAsia="黑体" w:hint="eastAsia"/>
          <w:sz w:val="21"/>
        </w:rPr>
        <w:sectPr>
          <w:pgSz w:w="11910" w:h="16840"/>
          <w:pgMar w:top="140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4"/>
        <w:gridCol w:w="7166"/>
      </w:tblGrid>
      <w:tr>
        <w:trPr>
          <w:trHeight w:val="3536" w:hRule="atLeast"/>
        </w:trPr>
        <w:tc>
          <w:tcPr>
            <w:tcW w:w="713" w:type="dxa"/>
          </w:tcPr>
          <w:p>
            <w:pPr>
              <w:pStyle w:val="TableParagraph"/>
              <w:spacing w:line="206" w:lineRule="exact" w:before="0"/>
              <w:ind w:left="107"/>
              <w:rPr>
                <w:rFonts w:ascii="黑体"/>
                <w:sz w:val="21"/>
              </w:rPr>
            </w:pPr>
            <w:r>
              <w:rPr>
                <w:rFonts w:ascii="黑体"/>
                <w:sz w:val="21"/>
              </w:rPr>
              <w:t>6.1</w:t>
            </w:r>
          </w:p>
        </w:tc>
        <w:tc>
          <w:tcPr>
            <w:tcW w:w="2084" w:type="dxa"/>
          </w:tcPr>
          <w:p>
            <w:pPr>
              <w:pStyle w:val="TableParagraph"/>
              <w:spacing w:line="206" w:lineRule="exact" w:before="0"/>
              <w:ind w:left="290"/>
              <w:rPr>
                <w:rFonts w:ascii="黑体" w:eastAsia="黑体" w:hint="eastAsia"/>
                <w:sz w:val="21"/>
              </w:rPr>
            </w:pPr>
            <w:r>
              <w:rPr>
                <w:rFonts w:ascii="黑体" w:eastAsia="黑体" w:hint="eastAsia"/>
                <w:sz w:val="21"/>
              </w:rPr>
              <w:t>年龄和性别确定与</w:t>
            </w:r>
          </w:p>
          <w:p>
            <w:pPr>
              <w:pStyle w:val="TableParagraph"/>
              <w:spacing w:before="44"/>
              <w:ind w:left="290"/>
              <w:rPr>
                <w:rFonts w:ascii="黑体" w:eastAsia="黑体" w:hint="eastAsia"/>
                <w:sz w:val="21"/>
              </w:rPr>
            </w:pPr>
            <w:r>
              <w:rPr>
                <w:rFonts w:ascii="黑体" w:eastAsia="黑体" w:hint="eastAsia"/>
                <w:sz w:val="21"/>
              </w:rPr>
              <w:t>错误处理</w:t>
            </w:r>
          </w:p>
        </w:tc>
        <w:tc>
          <w:tcPr>
            <w:tcW w:w="7166" w:type="dxa"/>
          </w:tcPr>
          <w:p>
            <w:pPr>
              <w:pStyle w:val="TableParagraph"/>
              <w:spacing w:line="206" w:lineRule="exact" w:before="0"/>
              <w:ind w:left="115"/>
              <w:rPr>
                <w:sz w:val="21"/>
              </w:rPr>
            </w:pPr>
            <w:r>
              <w:rPr>
                <w:sz w:val="21"/>
              </w:rPr>
              <w:t>您在申请投保时，应将与有效身份证件相符的被保险人的出生日期和性别在</w:t>
            </w:r>
          </w:p>
          <w:p>
            <w:pPr>
              <w:pStyle w:val="TableParagraph"/>
              <w:spacing w:before="44"/>
              <w:ind w:left="112"/>
              <w:rPr>
                <w:sz w:val="21"/>
              </w:rPr>
            </w:pPr>
            <w:r>
              <w:rPr>
                <w:sz w:val="21"/>
              </w:rPr>
              <w:t>投保单上填明，如果发生错误按照下列方式办理：</w:t>
            </w:r>
          </w:p>
          <w:p>
            <w:pPr>
              <w:pStyle w:val="TableParagraph"/>
              <w:spacing w:line="278" w:lineRule="auto" w:before="43"/>
              <w:ind w:left="112" w:right="100"/>
              <w:jc w:val="both"/>
              <w:rPr>
                <w:sz w:val="21"/>
              </w:rPr>
            </w:pPr>
            <w:r>
              <w:rPr>
                <w:sz w:val="21"/>
              </w:rPr>
              <w:t>(1)</w:t>
            </w:r>
            <w:r>
              <w:rPr>
                <w:spacing w:val="-10"/>
                <w:sz w:val="21"/>
                <w:shd w:fill="A6A6A6" w:color="auto" w:val="clear"/>
              </w:rPr>
              <w:t>您申报的被保险人年龄不真实，并且其真实年龄不符合本附加险合同约定</w:t>
            </w:r>
            <w:r>
              <w:rPr>
                <w:spacing w:val="-3"/>
                <w:sz w:val="21"/>
                <w:shd w:fill="A6A6A6" w:color="auto" w:val="clear"/>
              </w:rPr>
              <w:t>投保年龄限制的，在保险事故发生之前我们有权解除合同或终止对该被保险人的保险责任，并向您退还相应的现金价值。</w:t>
            </w:r>
            <w:r>
              <w:rPr>
                <w:spacing w:val="-3"/>
                <w:sz w:val="21"/>
              </w:rPr>
              <w:t>我们行使合同解除权适用本保险条款“我们合同解除权的限制”的规定。</w:t>
            </w:r>
          </w:p>
          <w:p>
            <w:pPr>
              <w:pStyle w:val="TableParagraph"/>
              <w:spacing w:line="278" w:lineRule="auto" w:before="12"/>
              <w:ind w:left="112" w:right="-15"/>
              <w:rPr>
                <w:sz w:val="21"/>
              </w:rPr>
            </w:pPr>
            <w:r>
              <w:rPr>
                <w:sz w:val="21"/>
              </w:rPr>
              <w:t>(2)</w:t>
            </w:r>
            <w:r>
              <w:rPr>
                <w:spacing w:val="-9"/>
                <w:sz w:val="21"/>
              </w:rPr>
              <w:t>您申报的被保险人年龄或性别不真实，致使您实付保险费少于应付保险费</w:t>
            </w:r>
            <w:r>
              <w:rPr>
                <w:spacing w:val="-11"/>
                <w:sz w:val="21"/>
              </w:rPr>
              <w:t>的，我们有权作相应的更正并要求您补交保险费差额。若已经发生保险事故， </w:t>
            </w:r>
            <w:r>
              <w:rPr>
                <w:spacing w:val="-6"/>
                <w:sz w:val="21"/>
              </w:rPr>
              <w:t>在给付保险金时按实付保险费和应付保险费的比例给付。</w:t>
            </w:r>
          </w:p>
          <w:p>
            <w:pPr>
              <w:pStyle w:val="TableParagraph"/>
              <w:spacing w:line="278" w:lineRule="auto" w:before="12"/>
              <w:ind w:left="144" w:right="191"/>
              <w:rPr>
                <w:sz w:val="21"/>
              </w:rPr>
            </w:pPr>
            <w:r>
              <w:rPr>
                <w:sz w:val="21"/>
              </w:rPr>
              <w:t>(3)您申报的被保险人年龄或性别不真实，致使您实付保险费多于应付保险费的，我们会将多收的保险费退还给您。</w:t>
            </w:r>
          </w:p>
        </w:tc>
      </w:tr>
      <w:tr>
        <w:trPr>
          <w:trHeight w:val="782" w:hRule="atLeast"/>
        </w:trPr>
        <w:tc>
          <w:tcPr>
            <w:tcW w:w="713" w:type="dxa"/>
          </w:tcPr>
          <w:p>
            <w:pPr>
              <w:pStyle w:val="TableParagraph"/>
              <w:spacing w:before="57"/>
              <w:ind w:left="107"/>
              <w:rPr>
                <w:rFonts w:ascii="黑体"/>
                <w:sz w:val="21"/>
              </w:rPr>
            </w:pPr>
            <w:r>
              <w:rPr>
                <w:rFonts w:ascii="黑体"/>
                <w:sz w:val="21"/>
              </w:rPr>
              <w:t>6.2</w:t>
            </w:r>
          </w:p>
        </w:tc>
        <w:tc>
          <w:tcPr>
            <w:tcW w:w="2084" w:type="dxa"/>
          </w:tcPr>
          <w:p>
            <w:pPr>
              <w:pStyle w:val="TableParagraph"/>
              <w:spacing w:line="278" w:lineRule="auto" w:before="57"/>
              <w:ind w:left="288" w:right="111"/>
              <w:rPr>
                <w:rFonts w:ascii="黑体" w:eastAsia="黑体" w:hint="eastAsia"/>
                <w:sz w:val="21"/>
              </w:rPr>
            </w:pPr>
            <w:r>
              <w:rPr>
                <w:rFonts w:ascii="黑体" w:eastAsia="黑体" w:hint="eastAsia"/>
                <w:sz w:val="21"/>
              </w:rPr>
              <w:t>与主险合同效力的关系</w:t>
            </w:r>
          </w:p>
        </w:tc>
        <w:tc>
          <w:tcPr>
            <w:tcW w:w="7166" w:type="dxa"/>
          </w:tcPr>
          <w:p>
            <w:pPr>
              <w:pStyle w:val="TableParagraph"/>
              <w:spacing w:line="278" w:lineRule="auto" w:before="57"/>
              <w:ind w:left="112" w:right="114"/>
              <w:rPr>
                <w:sz w:val="21"/>
              </w:rPr>
            </w:pPr>
            <w:r>
              <w:rPr>
                <w:sz w:val="21"/>
              </w:rPr>
              <w:t>除本附加险合同另有约定外，主险合同效力终止，本附加险合同效力同时终止。</w:t>
            </w:r>
          </w:p>
        </w:tc>
      </w:tr>
      <w:tr>
        <w:trPr>
          <w:trHeight w:val="2573" w:hRule="atLeast"/>
        </w:trPr>
        <w:tc>
          <w:tcPr>
            <w:tcW w:w="713" w:type="dxa"/>
          </w:tcPr>
          <w:p>
            <w:pPr>
              <w:pStyle w:val="TableParagraph"/>
              <w:spacing w:before="58"/>
              <w:ind w:left="107"/>
              <w:rPr>
                <w:rFonts w:ascii="黑体"/>
                <w:sz w:val="21"/>
              </w:rPr>
            </w:pPr>
            <w:r>
              <w:rPr>
                <w:rFonts w:ascii="黑体"/>
                <w:sz w:val="21"/>
              </w:rPr>
              <w:t>6.3</w:t>
            </w:r>
          </w:p>
        </w:tc>
        <w:tc>
          <w:tcPr>
            <w:tcW w:w="2084" w:type="dxa"/>
          </w:tcPr>
          <w:p>
            <w:pPr>
              <w:pStyle w:val="TableParagraph"/>
              <w:spacing w:before="58"/>
              <w:ind w:left="288"/>
              <w:rPr>
                <w:rFonts w:ascii="黑体" w:eastAsia="黑体" w:hint="eastAsia"/>
                <w:sz w:val="21"/>
              </w:rPr>
            </w:pPr>
            <w:r>
              <w:rPr>
                <w:rFonts w:ascii="黑体" w:eastAsia="黑体" w:hint="eastAsia"/>
                <w:sz w:val="21"/>
              </w:rPr>
              <w:t>适用主险合同条款</w:t>
            </w:r>
          </w:p>
        </w:tc>
        <w:tc>
          <w:tcPr>
            <w:tcW w:w="7166" w:type="dxa"/>
          </w:tcPr>
          <w:p>
            <w:pPr>
              <w:pStyle w:val="TableParagraph"/>
              <w:spacing w:before="58"/>
              <w:ind w:left="112"/>
              <w:rPr>
                <w:sz w:val="21"/>
              </w:rPr>
            </w:pPr>
            <w:r>
              <w:rPr>
                <w:sz w:val="21"/>
              </w:rPr>
              <w:t>下列条款适用主险合同条款：</w:t>
            </w:r>
          </w:p>
          <w:p>
            <w:pPr>
              <w:pStyle w:val="TableParagraph"/>
              <w:spacing w:before="44"/>
              <w:ind w:left="112"/>
              <w:rPr>
                <w:sz w:val="21"/>
              </w:rPr>
            </w:pPr>
            <w:r>
              <w:rPr>
                <w:sz w:val="21"/>
              </w:rPr>
              <w:t>(1)保险事故通知；</w:t>
            </w:r>
          </w:p>
          <w:p>
            <w:pPr>
              <w:pStyle w:val="TableParagraph"/>
              <w:spacing w:before="44"/>
              <w:ind w:left="112"/>
              <w:rPr>
                <w:sz w:val="21"/>
              </w:rPr>
            </w:pPr>
            <w:r>
              <w:rPr>
                <w:sz w:val="21"/>
              </w:rPr>
              <w:t>(2)明确说明与如实告知；</w:t>
            </w:r>
          </w:p>
          <w:p>
            <w:pPr>
              <w:pStyle w:val="TableParagraph"/>
              <w:spacing w:before="47"/>
              <w:ind w:left="112"/>
              <w:rPr>
                <w:sz w:val="21"/>
              </w:rPr>
            </w:pPr>
            <w:r>
              <w:rPr>
                <w:sz w:val="21"/>
              </w:rPr>
              <w:t>(3)我们合同解除权的限制；</w:t>
            </w:r>
          </w:p>
          <w:p>
            <w:pPr>
              <w:pStyle w:val="TableParagraph"/>
              <w:spacing w:before="44"/>
              <w:ind w:left="112"/>
              <w:rPr>
                <w:sz w:val="21"/>
              </w:rPr>
            </w:pPr>
            <w:r>
              <w:rPr>
                <w:sz w:val="21"/>
              </w:rPr>
              <w:t>(4)合同内容变更；</w:t>
            </w:r>
          </w:p>
          <w:p>
            <w:pPr>
              <w:pStyle w:val="TableParagraph"/>
              <w:spacing w:before="44"/>
              <w:ind w:left="112"/>
              <w:rPr>
                <w:sz w:val="21"/>
              </w:rPr>
            </w:pPr>
            <w:r>
              <w:rPr>
                <w:sz w:val="21"/>
              </w:rPr>
              <w:t>(5)联系方式变更；</w:t>
            </w:r>
          </w:p>
          <w:p>
            <w:pPr>
              <w:pStyle w:val="TableParagraph"/>
              <w:spacing w:before="47"/>
              <w:ind w:left="112"/>
              <w:rPr>
                <w:sz w:val="21"/>
              </w:rPr>
            </w:pPr>
            <w:r>
              <w:rPr>
                <w:sz w:val="21"/>
              </w:rPr>
              <w:t>(6)争议处理。</w:t>
            </w:r>
          </w:p>
        </w:tc>
      </w:tr>
      <w:tr>
        <w:trPr>
          <w:trHeight w:val="319" w:hRule="atLeast"/>
        </w:trPr>
        <w:tc>
          <w:tcPr>
            <w:tcW w:w="713" w:type="dxa"/>
            <w:shd w:val="clear" w:color="auto" w:fill="A6A6A6"/>
          </w:tcPr>
          <w:p>
            <w:pPr>
              <w:pStyle w:val="TableParagraph"/>
              <w:spacing w:before="7"/>
              <w:ind w:left="107"/>
              <w:rPr>
                <w:rFonts w:ascii="黑体" w:eastAsia="黑体" w:hint="eastAsia"/>
                <w:b/>
                <w:sz w:val="21"/>
              </w:rPr>
            </w:pPr>
            <w:r>
              <w:rPr>
                <w:rFonts w:ascii="黑体" w:eastAsia="黑体" w:hint="eastAsia"/>
                <w:b/>
                <w:sz w:val="21"/>
              </w:rPr>
              <w:t>7．</w:t>
            </w:r>
          </w:p>
        </w:tc>
        <w:tc>
          <w:tcPr>
            <w:tcW w:w="2084" w:type="dxa"/>
            <w:shd w:val="clear" w:color="auto" w:fill="A6A6A6"/>
          </w:tcPr>
          <w:p>
            <w:pPr>
              <w:pStyle w:val="TableParagraph"/>
              <w:spacing w:before="7"/>
              <w:ind w:left="288"/>
              <w:rPr>
                <w:rFonts w:ascii="黑体" w:eastAsia="黑体" w:hint="eastAsia"/>
                <w:b/>
                <w:sz w:val="21"/>
              </w:rPr>
            </w:pPr>
            <w:r>
              <w:rPr>
                <w:rFonts w:ascii="黑体" w:eastAsia="黑体" w:hint="eastAsia"/>
                <w:b/>
                <w:sz w:val="21"/>
              </w:rPr>
              <w:t>重大疾病</w:t>
            </w:r>
          </w:p>
        </w:tc>
        <w:tc>
          <w:tcPr>
            <w:tcW w:w="7166" w:type="dxa"/>
            <w:shd w:val="clear" w:color="auto" w:fill="A6A6A6"/>
          </w:tcPr>
          <w:p>
            <w:pPr>
              <w:pStyle w:val="TableParagraph"/>
              <w:spacing w:before="0"/>
              <w:ind w:left="0"/>
              <w:rPr>
                <w:rFonts w:ascii="Times New Roman"/>
                <w:sz w:val="20"/>
              </w:rPr>
            </w:pPr>
          </w:p>
        </w:tc>
      </w:tr>
      <w:tr>
        <w:trPr>
          <w:trHeight w:val="2154" w:hRule="atLeast"/>
        </w:trPr>
        <w:tc>
          <w:tcPr>
            <w:tcW w:w="713" w:type="dxa"/>
          </w:tcPr>
          <w:p>
            <w:pPr>
              <w:pStyle w:val="TableParagraph"/>
              <w:spacing w:before="148"/>
              <w:ind w:left="107"/>
              <w:rPr>
                <w:rFonts w:ascii="黑体"/>
                <w:sz w:val="21"/>
              </w:rPr>
            </w:pPr>
            <w:r>
              <w:rPr>
                <w:rFonts w:ascii="黑体"/>
                <w:sz w:val="21"/>
              </w:rPr>
              <w:t>7.2</w:t>
            </w:r>
          </w:p>
        </w:tc>
        <w:tc>
          <w:tcPr>
            <w:tcW w:w="2084" w:type="dxa"/>
          </w:tcPr>
          <w:p>
            <w:pPr>
              <w:pStyle w:val="TableParagraph"/>
              <w:spacing w:line="280" w:lineRule="auto" w:before="148"/>
              <w:ind w:left="288" w:right="111"/>
              <w:rPr>
                <w:rFonts w:ascii="黑体" w:eastAsia="黑体" w:hint="eastAsia"/>
                <w:sz w:val="21"/>
              </w:rPr>
            </w:pPr>
            <w:r>
              <w:rPr>
                <w:rFonts w:ascii="黑体" w:eastAsia="黑体" w:hint="eastAsia"/>
                <w:sz w:val="21"/>
              </w:rPr>
              <w:t>重大疾病的范围及定义</w:t>
            </w:r>
          </w:p>
        </w:tc>
        <w:tc>
          <w:tcPr>
            <w:tcW w:w="7166" w:type="dxa"/>
          </w:tcPr>
          <w:p>
            <w:pPr>
              <w:pStyle w:val="TableParagraph"/>
              <w:spacing w:line="228" w:lineRule="auto" w:before="162"/>
              <w:ind w:left="112" w:right="99"/>
              <w:jc w:val="both"/>
              <w:rPr>
                <w:sz w:val="21"/>
              </w:rPr>
            </w:pPr>
            <w:r>
              <w:rPr>
                <w:sz w:val="21"/>
              </w:rPr>
              <w:t>指被保险人初次发生符合下列定义的疾病，或初次接受符合下列所定义的手术。该疾病或手术由</w:t>
            </w:r>
            <w:r>
              <w:rPr>
                <w:rFonts w:ascii="微软雅黑" w:eastAsia="微软雅黑" w:hint="eastAsia"/>
                <w:b/>
                <w:sz w:val="21"/>
              </w:rPr>
              <w:t>专科医生</w:t>
            </w:r>
            <w:r>
              <w:rPr>
                <w:sz w:val="21"/>
              </w:rPr>
              <w:t>明确诊断。以下是本附加险合同所附二十种重</w:t>
            </w:r>
          </w:p>
          <w:p>
            <w:pPr>
              <w:pStyle w:val="TableParagraph"/>
              <w:spacing w:line="278" w:lineRule="auto" w:before="19"/>
              <w:ind w:left="112" w:right="99"/>
              <w:jc w:val="both"/>
              <w:rPr>
                <w:sz w:val="21"/>
              </w:rPr>
            </w:pPr>
            <w:r>
              <w:rPr>
                <w:sz w:val="21"/>
              </w:rPr>
              <w:t>大疾病的定义，其中第一种至第十七种重大疾病是中国保险业行业协会制定的《重大疾病保险的疾病定义使用规范》中列明的疾病，第十八种至第二十种重大疾病是本公司在中国保险行业协会与中国医师协会制定了规范定义的疾病范围之外增加的疾病。</w:t>
            </w:r>
          </w:p>
        </w:tc>
      </w:tr>
      <w:tr>
        <w:trPr>
          <w:trHeight w:val="3983" w:hRule="atLeast"/>
        </w:trPr>
        <w:tc>
          <w:tcPr>
            <w:tcW w:w="713" w:type="dxa"/>
          </w:tcPr>
          <w:p>
            <w:pPr>
              <w:pStyle w:val="TableParagraph"/>
              <w:spacing w:before="0"/>
              <w:ind w:left="0"/>
              <w:rPr>
                <w:rFonts w:ascii="Times New Roman"/>
                <w:sz w:val="20"/>
              </w:rPr>
            </w:pPr>
          </w:p>
        </w:tc>
        <w:tc>
          <w:tcPr>
            <w:tcW w:w="2084" w:type="dxa"/>
          </w:tcPr>
          <w:p>
            <w:pPr>
              <w:pStyle w:val="TableParagraph"/>
              <w:spacing w:before="0"/>
              <w:ind w:left="0"/>
              <w:rPr>
                <w:rFonts w:ascii="Times New Roman"/>
                <w:sz w:val="20"/>
              </w:rPr>
            </w:pPr>
          </w:p>
        </w:tc>
        <w:tc>
          <w:tcPr>
            <w:tcW w:w="7166" w:type="dxa"/>
          </w:tcPr>
          <w:p>
            <w:pPr>
              <w:pStyle w:val="TableParagraph"/>
              <w:spacing w:before="56"/>
              <w:ind w:left="112"/>
              <w:rPr>
                <w:sz w:val="21"/>
              </w:rPr>
            </w:pPr>
            <w:r>
              <w:rPr>
                <w:sz w:val="21"/>
              </w:rPr>
              <w:t>（一）恶性肿瘤</w:t>
            </w:r>
          </w:p>
          <w:p>
            <w:pPr>
              <w:pStyle w:val="TableParagraph"/>
              <w:spacing w:line="278" w:lineRule="auto" w:before="46"/>
              <w:ind w:left="112" w:right="100"/>
              <w:jc w:val="both"/>
              <w:rPr>
                <w:sz w:val="21"/>
              </w:rPr>
            </w:pPr>
            <w:r>
              <w:rPr>
                <w:spacing w:val="-3"/>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ind w:left="112"/>
              <w:jc w:val="both"/>
              <w:rPr>
                <w:sz w:val="21"/>
              </w:rPr>
            </w:pPr>
            <w:r>
              <w:rPr>
                <w:sz w:val="21"/>
                <w:shd w:fill="A6A6A6" w:color="auto" w:val="clear"/>
              </w:rPr>
              <w:t>下列疾病不在保障范围内：</w:t>
            </w:r>
          </w:p>
          <w:p>
            <w:pPr>
              <w:pStyle w:val="TableParagraph"/>
              <w:spacing w:before="44"/>
              <w:ind w:left="112"/>
              <w:jc w:val="both"/>
              <w:rPr>
                <w:sz w:val="21"/>
              </w:rPr>
            </w:pPr>
            <w:r>
              <w:rPr>
                <w:sz w:val="21"/>
                <w:shd w:fill="A6A6A6" w:color="auto" w:val="clear"/>
              </w:rPr>
              <w:t>(1)原位癌；</w:t>
            </w:r>
          </w:p>
          <w:p>
            <w:pPr>
              <w:pStyle w:val="TableParagraph"/>
              <w:spacing w:before="47"/>
              <w:ind w:left="112"/>
              <w:jc w:val="both"/>
              <w:rPr>
                <w:sz w:val="21"/>
              </w:rPr>
            </w:pPr>
            <w:r>
              <w:rPr>
                <w:sz w:val="21"/>
                <w:shd w:fill="A6A6A6" w:color="auto" w:val="clear"/>
              </w:rPr>
              <w:t>(2)相当于 Binet 分期方案 A 期程度的慢性淋巴细胞白血病；</w:t>
            </w:r>
          </w:p>
          <w:p>
            <w:pPr>
              <w:pStyle w:val="TableParagraph"/>
              <w:spacing w:before="44"/>
              <w:ind w:left="112"/>
              <w:jc w:val="both"/>
              <w:rPr>
                <w:sz w:val="21"/>
              </w:rPr>
            </w:pPr>
            <w:r>
              <w:rPr>
                <w:sz w:val="21"/>
                <w:shd w:fill="A6A6A6" w:color="auto" w:val="clear"/>
              </w:rPr>
              <w:t>(3)相当于 Ann Arbor 分期方案 I 期程度的何杰金氏病；</w:t>
            </w:r>
          </w:p>
          <w:p>
            <w:pPr>
              <w:pStyle w:val="TableParagraph"/>
              <w:spacing w:before="44"/>
              <w:ind w:left="112"/>
              <w:jc w:val="both"/>
              <w:rPr>
                <w:sz w:val="21"/>
              </w:rPr>
            </w:pPr>
            <w:r>
              <w:rPr>
                <w:w w:val="100"/>
                <w:sz w:val="21"/>
                <w:shd w:fill="A6A6A6" w:color="auto" w:val="clear"/>
              </w:rPr>
              <w:t>(4)</w:t>
            </w:r>
            <w:r>
              <w:rPr>
                <w:spacing w:val="-3"/>
                <w:w w:val="100"/>
                <w:sz w:val="21"/>
                <w:shd w:fill="A6A6A6" w:color="auto" w:val="clear"/>
              </w:rPr>
              <w:t>皮肤癌</w:t>
            </w:r>
            <w:r>
              <w:rPr>
                <w:w w:val="100"/>
                <w:sz w:val="21"/>
                <w:shd w:fill="A6A6A6" w:color="auto" w:val="clear"/>
              </w:rPr>
              <w:t>（</w:t>
            </w:r>
            <w:r>
              <w:rPr>
                <w:spacing w:val="-3"/>
                <w:w w:val="100"/>
                <w:sz w:val="21"/>
                <w:shd w:fill="A6A6A6" w:color="auto" w:val="clear"/>
              </w:rPr>
              <w:t>不包括恶性黑色素瘤及已发生转移的皮肤癌</w:t>
            </w:r>
            <w:r>
              <w:rPr>
                <w:spacing w:val="-108"/>
                <w:w w:val="100"/>
                <w:sz w:val="21"/>
                <w:shd w:fill="A6A6A6" w:color="auto" w:val="clear"/>
              </w:rPr>
              <w:t>）</w:t>
            </w:r>
            <w:r>
              <w:rPr>
                <w:w w:val="100"/>
                <w:sz w:val="21"/>
                <w:shd w:fill="A6A6A6" w:color="auto" w:val="clear"/>
              </w:rPr>
              <w:t>；</w:t>
            </w:r>
          </w:p>
          <w:p>
            <w:pPr>
              <w:pStyle w:val="TableParagraph"/>
              <w:spacing w:before="46"/>
              <w:ind w:left="112"/>
              <w:jc w:val="both"/>
              <w:rPr>
                <w:sz w:val="21"/>
              </w:rPr>
            </w:pPr>
            <w:r>
              <w:rPr>
                <w:sz w:val="21"/>
                <w:shd w:fill="A6A6A6" w:color="auto" w:val="clear"/>
              </w:rPr>
              <w:t>(5)TNM 分期为 T1N0M0 期或更轻分期的前列腺癌；</w:t>
            </w:r>
          </w:p>
          <w:p>
            <w:pPr>
              <w:pStyle w:val="TableParagraph"/>
              <w:spacing w:before="44"/>
              <w:ind w:left="112"/>
              <w:jc w:val="both"/>
              <w:rPr>
                <w:sz w:val="21"/>
              </w:rPr>
            </w:pPr>
            <w:r>
              <w:rPr>
                <w:sz w:val="21"/>
                <w:shd w:fill="A6A6A6" w:color="auto" w:val="clear"/>
              </w:rPr>
              <w:t>(6)感染艾滋病病毒或患艾滋病期间所患恶性肿瘤。</w:t>
            </w:r>
          </w:p>
        </w:tc>
      </w:tr>
      <w:tr>
        <w:trPr>
          <w:trHeight w:val="337" w:hRule="atLeast"/>
        </w:trPr>
        <w:tc>
          <w:tcPr>
            <w:tcW w:w="713" w:type="dxa"/>
          </w:tcPr>
          <w:p>
            <w:pPr>
              <w:pStyle w:val="TableParagraph"/>
              <w:spacing w:before="0"/>
              <w:ind w:left="0"/>
              <w:rPr>
                <w:rFonts w:ascii="Times New Roman"/>
                <w:sz w:val="20"/>
              </w:rPr>
            </w:pPr>
          </w:p>
        </w:tc>
        <w:tc>
          <w:tcPr>
            <w:tcW w:w="2084" w:type="dxa"/>
          </w:tcPr>
          <w:p>
            <w:pPr>
              <w:pStyle w:val="TableParagraph"/>
              <w:spacing w:before="0"/>
              <w:ind w:left="0"/>
              <w:rPr>
                <w:rFonts w:ascii="Times New Roman"/>
                <w:sz w:val="20"/>
              </w:rPr>
            </w:pPr>
          </w:p>
        </w:tc>
        <w:tc>
          <w:tcPr>
            <w:tcW w:w="7166" w:type="dxa"/>
          </w:tcPr>
          <w:p>
            <w:pPr>
              <w:pStyle w:val="TableParagraph"/>
              <w:spacing w:line="260" w:lineRule="exact" w:before="57"/>
              <w:ind w:left="112"/>
              <w:rPr>
                <w:sz w:val="21"/>
              </w:rPr>
            </w:pPr>
            <w:r>
              <w:rPr>
                <w:sz w:val="21"/>
              </w:rPr>
              <w:t>（二）重大器官移植术或造血干细胞移植术</w:t>
            </w:r>
          </w:p>
        </w:tc>
      </w:tr>
    </w:tbl>
    <w:p>
      <w:pPr>
        <w:spacing w:after="0" w:line="260" w:lineRule="exact"/>
        <w:rPr>
          <w:sz w:val="21"/>
        </w:rPr>
        <w:sectPr>
          <w:pgSz w:w="11910" w:h="16840"/>
          <w:pgMar w:top="1480" w:bottom="280" w:left="860" w:right="8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tblGrid>
      <w:tr>
        <w:trPr>
          <w:trHeight w:val="1616" w:hRule="atLeast"/>
        </w:trPr>
        <w:tc>
          <w:tcPr>
            <w:tcW w:w="7352" w:type="dxa"/>
          </w:tcPr>
          <w:p>
            <w:pPr>
              <w:pStyle w:val="TableParagraph"/>
              <w:spacing w:line="206" w:lineRule="exact" w:before="0"/>
              <w:rPr>
                <w:sz w:val="21"/>
              </w:rPr>
            </w:pPr>
            <w:r>
              <w:rPr>
                <w:sz w:val="21"/>
              </w:rPr>
              <w:t>重大器官移植术，指因相应器官功能衰竭，已经实施了肾脏、肝脏、心脏或</w:t>
            </w:r>
          </w:p>
          <w:p>
            <w:pPr>
              <w:pStyle w:val="TableParagraph"/>
              <w:spacing w:before="44"/>
              <w:rPr>
                <w:sz w:val="21"/>
              </w:rPr>
            </w:pPr>
            <w:r>
              <w:rPr>
                <w:sz w:val="21"/>
              </w:rPr>
              <w:t>肺脏的异体移植手术。</w:t>
            </w:r>
          </w:p>
          <w:p>
            <w:pPr>
              <w:pStyle w:val="TableParagraph"/>
              <w:spacing w:line="280" w:lineRule="auto" w:before="43"/>
              <w:ind w:right="19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01" w:hRule="atLeast"/>
        </w:trPr>
        <w:tc>
          <w:tcPr>
            <w:tcW w:w="7352" w:type="dxa"/>
          </w:tcPr>
          <w:p>
            <w:pPr>
              <w:pStyle w:val="TableParagraph"/>
              <w:spacing w:before="57"/>
              <w:rPr>
                <w:sz w:val="21"/>
              </w:rPr>
            </w:pPr>
            <w:r>
              <w:rPr>
                <w:sz w:val="21"/>
              </w:rPr>
              <w:t>（三）终末期肾病（或称慢性肾功能衰竭尿毒症期）</w:t>
            </w:r>
          </w:p>
          <w:p>
            <w:pPr>
              <w:pStyle w:val="TableParagraph"/>
              <w:spacing w:line="278" w:lineRule="auto" w:before="44"/>
              <w:ind w:right="203"/>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1102" w:hRule="atLeast"/>
        </w:trPr>
        <w:tc>
          <w:tcPr>
            <w:tcW w:w="7352" w:type="dxa"/>
          </w:tcPr>
          <w:p>
            <w:pPr>
              <w:pStyle w:val="TableParagraph"/>
              <w:spacing w:before="57"/>
              <w:rPr>
                <w:sz w:val="21"/>
              </w:rPr>
            </w:pPr>
            <w:r>
              <w:rPr>
                <w:sz w:val="21"/>
              </w:rPr>
              <w:t>（四）多个肢体缺失</w:t>
            </w:r>
          </w:p>
          <w:p>
            <w:pPr>
              <w:pStyle w:val="TableParagraph"/>
              <w:spacing w:line="280" w:lineRule="auto" w:before="44"/>
              <w:ind w:right="198"/>
              <w:rPr>
                <w:sz w:val="21"/>
              </w:rPr>
            </w:pPr>
            <w:r>
              <w:rPr>
                <w:sz w:val="21"/>
              </w:rPr>
              <w:t>指因疾病或意外伤害导致两个或两个以上肢体自腕关节或踝关节近端（靠近躯干端）以上完全性断离。</w:t>
            </w:r>
          </w:p>
        </w:tc>
      </w:tr>
      <w:tr>
        <w:trPr>
          <w:trHeight w:val="2382" w:hRule="atLeast"/>
        </w:trPr>
        <w:tc>
          <w:tcPr>
            <w:tcW w:w="7352" w:type="dxa"/>
          </w:tcPr>
          <w:p>
            <w:pPr>
              <w:pStyle w:val="TableParagraph"/>
              <w:spacing w:before="56"/>
              <w:rPr>
                <w:sz w:val="21"/>
              </w:rPr>
            </w:pPr>
            <w:r>
              <w:rPr>
                <w:sz w:val="21"/>
              </w:rPr>
              <w:t>（五）急性或亚急性重症肝炎</w:t>
            </w:r>
          </w:p>
          <w:p>
            <w:pPr>
              <w:pStyle w:val="TableParagraph"/>
              <w:spacing w:line="280" w:lineRule="auto" w:before="44"/>
              <w:ind w:right="198"/>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44"/>
              <w:rPr>
                <w:sz w:val="21"/>
              </w:rPr>
            </w:pPr>
            <w:r>
              <w:rPr>
                <w:sz w:val="21"/>
              </w:rPr>
              <w:t>(2)肝性脑病；</w:t>
            </w:r>
          </w:p>
          <w:p>
            <w:pPr>
              <w:pStyle w:val="TableParagraph"/>
              <w:spacing w:before="46"/>
              <w:rPr>
                <w:sz w:val="21"/>
              </w:rPr>
            </w:pPr>
            <w:r>
              <w:rPr>
                <w:sz w:val="21"/>
              </w:rPr>
              <w:t>(3)B 超或其他影像学检查显示肝脏体积急速萎缩；</w:t>
            </w:r>
          </w:p>
          <w:p>
            <w:pPr>
              <w:pStyle w:val="TableParagraph"/>
              <w:spacing w:before="44"/>
              <w:rPr>
                <w:sz w:val="21"/>
              </w:rPr>
            </w:pPr>
            <w:r>
              <w:rPr>
                <w:sz w:val="21"/>
              </w:rPr>
              <w:t>(4)肝功能指标进行性恶化。</w:t>
            </w:r>
          </w:p>
        </w:tc>
      </w:tr>
      <w:tr>
        <w:trPr>
          <w:trHeight w:val="2701" w:hRule="atLeast"/>
        </w:trPr>
        <w:tc>
          <w:tcPr>
            <w:tcW w:w="7352" w:type="dxa"/>
          </w:tcPr>
          <w:p>
            <w:pPr>
              <w:pStyle w:val="TableParagraph"/>
              <w:spacing w:before="57"/>
              <w:rPr>
                <w:sz w:val="21"/>
              </w:rPr>
            </w:pPr>
            <w:r>
              <w:rPr>
                <w:sz w:val="21"/>
              </w:rPr>
              <w:t>（六）良性脑肿瘤</w:t>
            </w:r>
          </w:p>
          <w:p>
            <w:pPr>
              <w:pStyle w:val="TableParagraph"/>
              <w:spacing w:line="278" w:lineRule="auto" w:before="44"/>
              <w:ind w:right="198"/>
              <w:jc w:val="both"/>
              <w:rPr>
                <w:sz w:val="21"/>
              </w:rPr>
            </w:pPr>
            <w:r>
              <w:rPr>
                <w:spacing w:val="-3"/>
                <w:sz w:val="21"/>
              </w:rPr>
              <w:t>指脑的良性肿瘤，已经引起颅内压增高，临床表现为视神经乳头水肿、精神</w:t>
            </w:r>
            <w:r>
              <w:rPr>
                <w:spacing w:val="-9"/>
                <w:w w:val="100"/>
                <w:sz w:val="21"/>
              </w:rPr>
              <w:t>症状、癫痫及运动感觉障碍等，并危及生命。须由头颅断层扫描</w:t>
            </w:r>
            <w:r>
              <w:rPr>
                <w:w w:val="100"/>
                <w:sz w:val="21"/>
              </w:rPr>
              <w:t>（C</w:t>
            </w:r>
            <w:r>
              <w:rPr>
                <w:spacing w:val="-3"/>
                <w:w w:val="100"/>
                <w:sz w:val="21"/>
              </w:rPr>
              <w:t>T</w:t>
            </w:r>
            <w:r>
              <w:rPr>
                <w:spacing w:val="-108"/>
                <w:w w:val="100"/>
                <w:sz w:val="21"/>
              </w:rPr>
              <w:t>）</w:t>
            </w:r>
            <w:r>
              <w:rPr>
                <w:spacing w:val="-7"/>
                <w:w w:val="100"/>
                <w:sz w:val="21"/>
              </w:rPr>
              <w:t>、核磁</w:t>
            </w:r>
            <w:r>
              <w:rPr>
                <w:spacing w:val="-1"/>
                <w:sz w:val="21"/>
              </w:rPr>
              <w:t>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1"/>
              <w:jc w:val="both"/>
              <w:rPr>
                <w:sz w:val="21"/>
              </w:rPr>
            </w:pPr>
            <w:r>
              <w:rPr>
                <w:sz w:val="21"/>
              </w:rPr>
              <w:t>(1)实际实施了开颅进行的脑肿瘤完全切除或部分切除的手术；</w:t>
            </w:r>
          </w:p>
          <w:p>
            <w:pPr>
              <w:pStyle w:val="TableParagraph"/>
              <w:spacing w:before="46"/>
              <w:jc w:val="both"/>
              <w:rPr>
                <w:sz w:val="21"/>
              </w:rPr>
            </w:pPr>
            <w:r>
              <w:rPr>
                <w:sz w:val="21"/>
              </w:rPr>
              <w:t>(2)实际实施了对脑肿瘤进行的放射治疗。</w:t>
            </w:r>
          </w:p>
          <w:p>
            <w:pPr>
              <w:pStyle w:val="TableParagraph"/>
              <w:spacing w:before="44"/>
              <w:jc w:val="both"/>
              <w:rPr>
                <w:sz w:val="21"/>
              </w:rPr>
            </w:pPr>
            <w:r>
              <w:rPr>
                <w:sz w:val="21"/>
                <w:shd w:fill="A6A6A6" w:color="auto" w:val="clear"/>
              </w:rPr>
              <w:t>脑垂体瘤、脑囊肿、脑血管性疾病不在保障范围内。</w:t>
            </w:r>
          </w:p>
        </w:tc>
      </w:tr>
      <w:tr>
        <w:trPr>
          <w:trHeight w:val="2381" w:hRule="atLeast"/>
        </w:trPr>
        <w:tc>
          <w:tcPr>
            <w:tcW w:w="7352" w:type="dxa"/>
          </w:tcPr>
          <w:p>
            <w:pPr>
              <w:pStyle w:val="TableParagraph"/>
              <w:spacing w:before="56"/>
              <w:rPr>
                <w:sz w:val="21"/>
              </w:rPr>
            </w:pPr>
            <w:r>
              <w:rPr>
                <w:sz w:val="21"/>
              </w:rPr>
              <w:t>（七）脑炎后遗症或脑膜炎后遗症</w:t>
            </w:r>
          </w:p>
          <w:p>
            <w:pPr>
              <w:pStyle w:val="TableParagraph"/>
              <w:spacing w:line="278" w:lineRule="auto" w:before="46"/>
              <w:ind w:right="213"/>
              <w:rPr>
                <w:sz w:val="21"/>
              </w:rPr>
            </w:pPr>
            <w:r>
              <w:rPr>
                <w:sz w:val="21"/>
              </w:rPr>
              <w:t>指因患脑炎或脑膜炎导致的神经系统永久性的功能障碍。神经系统永久性的功能障碍，指疾病确诊 180 天后，仍遗留下列一种或一种以上障碍：</w:t>
            </w:r>
          </w:p>
          <w:p>
            <w:pPr>
              <w:pStyle w:val="TableParagraph"/>
              <w:rPr>
                <w:sz w:val="21"/>
              </w:rPr>
            </w:pPr>
            <w:r>
              <w:rPr>
                <w:sz w:val="21"/>
              </w:rPr>
              <w:t>(1)一肢或一肢以上肢体机能完全丧失；</w:t>
            </w:r>
          </w:p>
          <w:p>
            <w:pPr>
              <w:pStyle w:val="TableParagraph"/>
              <w:spacing w:before="46"/>
              <w:rPr>
                <w:sz w:val="21"/>
              </w:rPr>
            </w:pPr>
            <w:r>
              <w:rPr>
                <w:sz w:val="21"/>
              </w:rPr>
              <w:t>(2)语言能力或咀嚼吞咽能力完全丧失；</w:t>
            </w:r>
          </w:p>
          <w:p>
            <w:pPr>
              <w:pStyle w:val="TableParagraph"/>
              <w:spacing w:line="278" w:lineRule="auto" w:before="44"/>
              <w:ind w:right="200"/>
              <w:rPr>
                <w:sz w:val="21"/>
              </w:rPr>
            </w:pPr>
            <w:r>
              <w:rPr>
                <w:sz w:val="21"/>
              </w:rPr>
              <w:t>(3)</w:t>
            </w:r>
            <w:r>
              <w:rPr>
                <w:spacing w:val="-11"/>
                <w:sz w:val="21"/>
              </w:rPr>
              <w:t>自主生活能力完全丧失，无法独立完成六项基本日常生活活动中的三项或</w:t>
            </w:r>
            <w:r>
              <w:rPr>
                <w:spacing w:val="-6"/>
                <w:sz w:val="21"/>
              </w:rPr>
              <w:t>三项以上。</w:t>
            </w:r>
          </w:p>
        </w:tc>
      </w:tr>
      <w:tr>
        <w:trPr>
          <w:trHeight w:val="1743" w:hRule="atLeast"/>
        </w:trPr>
        <w:tc>
          <w:tcPr>
            <w:tcW w:w="7352" w:type="dxa"/>
          </w:tcPr>
          <w:p>
            <w:pPr>
              <w:pStyle w:val="TableParagraph"/>
              <w:spacing w:before="57"/>
              <w:rPr>
                <w:sz w:val="21"/>
              </w:rPr>
            </w:pPr>
            <w:r>
              <w:rPr>
                <w:sz w:val="21"/>
              </w:rPr>
              <w:t>（八）深度昏迷</w:t>
            </w:r>
          </w:p>
          <w:p>
            <w:pPr>
              <w:pStyle w:val="TableParagraph"/>
              <w:spacing w:line="280" w:lineRule="auto" w:before="44"/>
              <w:ind w:right="198"/>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4"/>
                <w:sz w:val="21"/>
              </w:rPr>
              <w:t> 分或 </w:t>
            </w:r>
            <w:r>
              <w:rPr>
                <w:sz w:val="21"/>
              </w:rPr>
              <w:t>5</w:t>
            </w:r>
            <w:r>
              <w:rPr>
                <w:spacing w:val="-11"/>
                <w:sz w:val="21"/>
              </w:rPr>
              <w:t> 分以下， </w:t>
            </w:r>
            <w:r>
              <w:rPr>
                <w:spacing w:val="-8"/>
                <w:sz w:val="21"/>
              </w:rPr>
              <w:t>且已经持续使用呼吸机及其他生命维持系统 </w:t>
            </w:r>
            <w:r>
              <w:rPr>
                <w:sz w:val="21"/>
              </w:rPr>
              <w:t>96</w:t>
            </w:r>
            <w:r>
              <w:rPr>
                <w:spacing w:val="-9"/>
                <w:sz w:val="21"/>
              </w:rPr>
              <w:t> 小时以上。</w:t>
            </w:r>
          </w:p>
          <w:p>
            <w:pPr>
              <w:pStyle w:val="TableParagraph"/>
              <w:spacing w:before="8"/>
              <w:jc w:val="both"/>
              <w:rPr>
                <w:sz w:val="21"/>
              </w:rPr>
            </w:pPr>
            <w:r>
              <w:rPr>
                <w:sz w:val="21"/>
                <w:shd w:fill="A6A6A6" w:color="auto" w:val="clear"/>
              </w:rPr>
              <w:t>因酗酒或药物滥用导致的深度昏迷不在保障范围内。</w:t>
            </w:r>
          </w:p>
        </w:tc>
      </w:tr>
      <w:tr>
        <w:trPr>
          <w:trHeight w:val="656" w:hRule="atLeast"/>
        </w:trPr>
        <w:tc>
          <w:tcPr>
            <w:tcW w:w="7352" w:type="dxa"/>
          </w:tcPr>
          <w:p>
            <w:pPr>
              <w:pStyle w:val="TableParagraph"/>
              <w:spacing w:line="266" w:lineRule="exact" w:before="57"/>
              <w:rPr>
                <w:sz w:val="21"/>
              </w:rPr>
            </w:pPr>
            <w:r>
              <w:rPr>
                <w:sz w:val="21"/>
              </w:rPr>
              <w:t>（九）双耳失聪</w:t>
            </w:r>
          </w:p>
          <w:p>
            <w:pPr>
              <w:pStyle w:val="TableParagraph"/>
              <w:spacing w:line="313" w:lineRule="exact" w:before="0"/>
              <w:rPr>
                <w:sz w:val="21"/>
              </w:rPr>
            </w:pPr>
            <w:r>
              <w:rPr>
                <w:sz w:val="21"/>
              </w:rPr>
              <w:t>指因疾病或意外伤害导致双耳听力</w:t>
            </w:r>
            <w:r>
              <w:rPr>
                <w:rFonts w:ascii="微软雅黑" w:eastAsia="微软雅黑" w:hint="eastAsia"/>
                <w:b/>
                <w:sz w:val="21"/>
              </w:rPr>
              <w:t>永久不可逆</w:t>
            </w:r>
            <w:r>
              <w:rPr>
                <w:sz w:val="21"/>
              </w:rPr>
              <w:t>性丧失，在 500 赫兹、1000 赫</w:t>
            </w:r>
          </w:p>
        </w:tc>
      </w:tr>
    </w:tbl>
    <w:p>
      <w:pPr>
        <w:spacing w:after="0" w:line="313" w:lineRule="exact"/>
        <w:rPr>
          <w:sz w:val="21"/>
        </w:rPr>
        <w:sectPr>
          <w:pgSz w:w="11910" w:h="16840"/>
          <w:pgMar w:top="1480" w:bottom="280" w:left="1680" w:right="7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5"/>
      </w:tblGrid>
      <w:tr>
        <w:trPr>
          <w:trHeight w:val="1296" w:hRule="atLeast"/>
        </w:trPr>
        <w:tc>
          <w:tcPr>
            <w:tcW w:w="7455" w:type="dxa"/>
          </w:tcPr>
          <w:p>
            <w:pPr>
              <w:pStyle w:val="TableParagraph"/>
              <w:spacing w:line="206" w:lineRule="exact" w:before="0"/>
              <w:rPr>
                <w:sz w:val="21"/>
              </w:rPr>
            </w:pPr>
            <w:r>
              <w:rPr>
                <w:sz w:val="21"/>
              </w:rPr>
              <w:t>兹和 2000 赫兹语音频率下，平均听阈大于 90 分贝，且经纯音听力测试、声</w:t>
            </w:r>
          </w:p>
          <w:p>
            <w:pPr>
              <w:pStyle w:val="TableParagraph"/>
              <w:spacing w:before="44"/>
              <w:rPr>
                <w:sz w:val="21"/>
              </w:rPr>
            </w:pPr>
            <w:r>
              <w:rPr>
                <w:sz w:val="21"/>
              </w:rPr>
              <w:t>导抗检测或听觉诱发电位检测等证实。</w:t>
            </w:r>
          </w:p>
          <w:p>
            <w:pPr>
              <w:pStyle w:val="TableParagraph"/>
              <w:spacing w:line="280" w:lineRule="auto" w:before="43"/>
              <w:ind w:right="301"/>
              <w:rPr>
                <w:sz w:val="21"/>
              </w:rPr>
            </w:pPr>
            <w:r>
              <w:rPr>
                <w:spacing w:val="-3"/>
                <w:sz w:val="21"/>
                <w:shd w:fill="A6A6A6" w:color="auto" w:val="clear"/>
              </w:rPr>
              <w:t>被保险人申请理赔时年龄必须在三周岁以上，并且提供理赔当时双耳失聪的诊断</w:t>
            </w:r>
            <w:r>
              <w:rPr>
                <w:spacing w:val="-212"/>
                <w:sz w:val="21"/>
                <w:shd w:fill="A6A6A6" w:color="auto" w:val="clear"/>
              </w:rPr>
              <w:t>及</w:t>
            </w:r>
            <w:r>
              <w:rPr>
                <w:spacing w:val="-3"/>
                <w:sz w:val="21"/>
                <w:shd w:fill="A6A6A6" w:color="auto" w:val="clear"/>
              </w:rPr>
              <w:t>检查证明和资料。</w:t>
            </w:r>
          </w:p>
        </w:tc>
      </w:tr>
      <w:tr>
        <w:trPr>
          <w:trHeight w:val="3023" w:hRule="atLeast"/>
        </w:trPr>
        <w:tc>
          <w:tcPr>
            <w:tcW w:w="7455" w:type="dxa"/>
          </w:tcPr>
          <w:p>
            <w:pPr>
              <w:pStyle w:val="TableParagraph"/>
              <w:spacing w:before="56"/>
              <w:rPr>
                <w:sz w:val="21"/>
              </w:rPr>
            </w:pPr>
            <w:r>
              <w:rPr>
                <w:sz w:val="21"/>
              </w:rPr>
              <w:t>（十）双目失明</w:t>
            </w:r>
          </w:p>
          <w:p>
            <w:pPr>
              <w:pStyle w:val="TableParagraph"/>
              <w:spacing w:line="278" w:lineRule="auto" w:before="46"/>
              <w:ind w:right="301"/>
              <w:rPr>
                <w:sz w:val="21"/>
              </w:rPr>
            </w:pPr>
            <w:r>
              <w:rPr>
                <w:sz w:val="21"/>
              </w:rPr>
              <w:t>指因疾病或意外伤害导致双眼视力永久不可逆性丧失，双眼中较好眼须满足下列至少一项条件：</w:t>
            </w:r>
          </w:p>
          <w:p>
            <w:pPr>
              <w:pStyle w:val="TableParagraph"/>
              <w:rPr>
                <w:sz w:val="21"/>
              </w:rPr>
            </w:pPr>
            <w:r>
              <w:rPr>
                <w:sz w:val="21"/>
              </w:rPr>
              <w:t>(1)眼球缺失或摘除；</w:t>
            </w:r>
          </w:p>
          <w:p>
            <w:pPr>
              <w:pStyle w:val="TableParagraph"/>
              <w:spacing w:line="278" w:lineRule="auto" w:before="46"/>
              <w:ind w:left="514" w:right="301" w:hanging="315"/>
              <w:rPr>
                <w:sz w:val="21"/>
              </w:rPr>
            </w:pPr>
            <w:r>
              <w:rPr>
                <w:sz w:val="21"/>
              </w:rPr>
              <w:t>(2)</w:t>
            </w:r>
            <w:r>
              <w:rPr>
                <w:spacing w:val="2"/>
                <w:sz w:val="21"/>
              </w:rPr>
              <w:t>矫正视力低于 </w:t>
            </w:r>
            <w:r>
              <w:rPr>
                <w:sz w:val="21"/>
              </w:rPr>
              <w:t>0.02（</w:t>
            </w:r>
            <w:r>
              <w:rPr>
                <w:spacing w:val="-3"/>
                <w:sz w:val="21"/>
              </w:rPr>
              <w:t>采用国际标准视力表，如果使用其他视力表应进行</w:t>
            </w:r>
            <w:r>
              <w:rPr>
                <w:spacing w:val="-3"/>
                <w:w w:val="100"/>
                <w:sz w:val="21"/>
              </w:rPr>
              <w:t>换算</w:t>
            </w:r>
            <w:r>
              <w:rPr>
                <w:spacing w:val="-108"/>
                <w:w w:val="100"/>
                <w:sz w:val="21"/>
              </w:rPr>
              <w:t>）</w:t>
            </w:r>
            <w:r>
              <w:rPr>
                <w:w w:val="100"/>
                <w:sz w:val="21"/>
              </w:rPr>
              <w:t>；</w:t>
            </w:r>
          </w:p>
          <w:p>
            <w:pPr>
              <w:pStyle w:val="TableParagraph"/>
              <w:rPr>
                <w:sz w:val="21"/>
              </w:rPr>
            </w:pPr>
            <w:r>
              <w:rPr>
                <w:sz w:val="21"/>
              </w:rPr>
              <w:t>(3)视野半径小于 5 度。</w:t>
            </w:r>
          </w:p>
          <w:p>
            <w:pPr>
              <w:pStyle w:val="TableParagraph"/>
              <w:spacing w:line="278" w:lineRule="auto" w:before="46"/>
              <w:ind w:right="301"/>
              <w:rPr>
                <w:sz w:val="21"/>
              </w:rPr>
            </w:pPr>
            <w:r>
              <w:rPr>
                <w:spacing w:val="-3"/>
                <w:sz w:val="21"/>
                <w:shd w:fill="A6A6A6" w:color="auto" w:val="clear"/>
              </w:rPr>
              <w:t>被保险人申请理赔时年龄必须在三周岁以上，并且提供理赔当时双目失明的</w:t>
            </w:r>
            <w:r>
              <w:rPr>
                <w:spacing w:val="-212"/>
                <w:sz w:val="21"/>
                <w:shd w:fill="A6A6A6" w:color="auto" w:val="clear"/>
              </w:rPr>
              <w:t>诊</w:t>
            </w:r>
            <w:r>
              <w:rPr>
                <w:spacing w:val="-3"/>
                <w:sz w:val="21"/>
                <w:shd w:fill="A6A6A6" w:color="auto" w:val="clear"/>
              </w:rPr>
              <w:t>断及检查证明和资料。</w:t>
            </w:r>
          </w:p>
        </w:tc>
      </w:tr>
      <w:tr>
        <w:trPr>
          <w:trHeight w:val="1422" w:hRule="atLeast"/>
        </w:trPr>
        <w:tc>
          <w:tcPr>
            <w:tcW w:w="7455" w:type="dxa"/>
          </w:tcPr>
          <w:p>
            <w:pPr>
              <w:pStyle w:val="TableParagraph"/>
              <w:spacing w:before="58"/>
              <w:rPr>
                <w:sz w:val="21"/>
              </w:rPr>
            </w:pPr>
            <w:r>
              <w:rPr>
                <w:sz w:val="21"/>
              </w:rPr>
              <w:t>（十一）瘫痪</w:t>
            </w:r>
          </w:p>
          <w:p>
            <w:pPr>
              <w:pStyle w:val="TableParagraph"/>
              <w:spacing w:line="280" w:lineRule="auto" w:before="44"/>
              <w:ind w:right="301"/>
              <w:jc w:val="both"/>
              <w:rPr>
                <w:sz w:val="21"/>
              </w:rPr>
            </w:pPr>
            <w:r>
              <w:rPr>
                <w:spacing w:val="-3"/>
                <w:sz w:val="21"/>
              </w:rPr>
              <w:t>指因疾病或意外伤害导致两肢或两肢以上肢体机能永久完全丧失。肢体机能</w:t>
            </w:r>
            <w:r>
              <w:rPr>
                <w:spacing w:val="-6"/>
                <w:sz w:val="21"/>
              </w:rPr>
              <w:t>永久完全丧失，指疾病确诊 </w:t>
            </w:r>
            <w:r>
              <w:rPr>
                <w:sz w:val="21"/>
              </w:rPr>
              <w:t>180</w:t>
            </w:r>
            <w:r>
              <w:rPr>
                <w:spacing w:val="-11"/>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781" w:hRule="atLeast"/>
        </w:trPr>
        <w:tc>
          <w:tcPr>
            <w:tcW w:w="7455" w:type="dxa"/>
          </w:tcPr>
          <w:p>
            <w:pPr>
              <w:pStyle w:val="TableParagraph"/>
              <w:spacing w:before="56"/>
              <w:rPr>
                <w:sz w:val="21"/>
              </w:rPr>
            </w:pPr>
            <w:r>
              <w:rPr>
                <w:sz w:val="21"/>
              </w:rPr>
              <w:t>（十二）心脏瓣膜手术</w:t>
            </w:r>
          </w:p>
          <w:p>
            <w:pPr>
              <w:pStyle w:val="TableParagraph"/>
              <w:spacing w:before="44"/>
              <w:rPr>
                <w:sz w:val="21"/>
              </w:rPr>
            </w:pPr>
            <w:r>
              <w:rPr>
                <w:sz w:val="21"/>
              </w:rPr>
              <w:t>指为治疗心脏瓣膜疾病，实际实施了开胸进行的心脏瓣膜置换或修复的手术。</w:t>
            </w:r>
          </w:p>
        </w:tc>
      </w:tr>
      <w:tr>
        <w:trPr>
          <w:trHeight w:val="3023" w:hRule="atLeast"/>
        </w:trPr>
        <w:tc>
          <w:tcPr>
            <w:tcW w:w="7455" w:type="dxa"/>
          </w:tcPr>
          <w:p>
            <w:pPr>
              <w:pStyle w:val="TableParagraph"/>
              <w:spacing w:before="57"/>
              <w:rPr>
                <w:sz w:val="21"/>
              </w:rPr>
            </w:pPr>
            <w:r>
              <w:rPr>
                <w:sz w:val="21"/>
              </w:rPr>
              <w:t>（十三）严重脑损伤</w:t>
            </w:r>
          </w:p>
          <w:p>
            <w:pPr>
              <w:pStyle w:val="TableParagraph"/>
              <w:spacing w:line="278" w:lineRule="auto" w:before="44"/>
              <w:ind w:right="301"/>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7"/>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3"/>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80" w:lineRule="auto" w:before="44"/>
              <w:ind w:right="303"/>
              <w:rPr>
                <w:sz w:val="21"/>
              </w:rPr>
            </w:pPr>
            <w:r>
              <w:rPr>
                <w:sz w:val="21"/>
              </w:rPr>
              <w:t>(3)</w:t>
            </w:r>
            <w:r>
              <w:rPr>
                <w:spacing w:val="-11"/>
                <w:sz w:val="21"/>
              </w:rPr>
              <w:t>自主生活能力完全丧失，无法独立完成六项基本日常生活活动中的三项或</w:t>
            </w:r>
            <w:r>
              <w:rPr>
                <w:spacing w:val="-6"/>
                <w:sz w:val="21"/>
              </w:rPr>
              <w:t>三项以上。</w:t>
            </w:r>
          </w:p>
        </w:tc>
      </w:tr>
      <w:tr>
        <w:trPr>
          <w:trHeight w:val="1101" w:hRule="atLeast"/>
        </w:trPr>
        <w:tc>
          <w:tcPr>
            <w:tcW w:w="7455" w:type="dxa"/>
          </w:tcPr>
          <w:p>
            <w:pPr>
              <w:pStyle w:val="TableParagraph"/>
              <w:spacing w:before="56"/>
              <w:rPr>
                <w:sz w:val="21"/>
              </w:rPr>
            </w:pPr>
            <w:r>
              <w:rPr>
                <w:sz w:val="21"/>
              </w:rPr>
              <w:t>（十四）严重Ⅲ度烧伤</w:t>
            </w:r>
          </w:p>
          <w:p>
            <w:pPr>
              <w:pStyle w:val="TableParagraph"/>
              <w:spacing w:line="280" w:lineRule="auto" w:before="44"/>
              <w:ind w:right="306"/>
              <w:rPr>
                <w:sz w:val="21"/>
              </w:rPr>
            </w:pPr>
            <w:r>
              <w:rPr>
                <w:sz w:val="21"/>
              </w:rPr>
              <w:t>指烧伤程度为Ⅲ度，且Ⅲ度烧伤的面积达到全身体表面积的 20％或 20％以上。体表面积根据《中国新九分法》计算。</w:t>
            </w:r>
          </w:p>
        </w:tc>
      </w:tr>
      <w:tr>
        <w:trPr>
          <w:trHeight w:val="2062" w:hRule="atLeast"/>
        </w:trPr>
        <w:tc>
          <w:tcPr>
            <w:tcW w:w="7455" w:type="dxa"/>
          </w:tcPr>
          <w:p>
            <w:pPr>
              <w:pStyle w:val="TableParagraph"/>
              <w:spacing w:before="56"/>
              <w:rPr>
                <w:sz w:val="21"/>
              </w:rPr>
            </w:pPr>
            <w:r>
              <w:rPr>
                <w:sz w:val="21"/>
              </w:rPr>
              <w:t>（十五）语言能力丧失</w:t>
            </w:r>
          </w:p>
          <w:p>
            <w:pPr>
              <w:pStyle w:val="TableParagraph"/>
              <w:spacing w:line="278" w:lineRule="auto" w:before="46"/>
              <w:ind w:right="301"/>
              <w:rPr>
                <w:sz w:val="21"/>
              </w:rPr>
            </w:pPr>
            <w:r>
              <w:rPr>
                <w:spacing w:val="-8"/>
                <w:sz w:val="21"/>
              </w:rPr>
              <w:t>指因疾病或意外伤害导致完全丧失语言能力，经过积极治疗至少 </w:t>
            </w:r>
            <w:r>
              <w:rPr>
                <w:sz w:val="21"/>
              </w:rPr>
              <w:t>12</w:t>
            </w:r>
            <w:r>
              <w:rPr>
                <w:spacing w:val="-29"/>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1"/>
              <w:rPr>
                <w:sz w:val="21"/>
              </w:rPr>
            </w:pPr>
            <w:r>
              <w:rPr>
                <w:sz w:val="21"/>
                <w:shd w:fill="A6A6A6" w:color="auto" w:val="clear"/>
              </w:rPr>
              <w:t>精神心理因素所致的语言能力丧失不在保障范围内。</w:t>
            </w:r>
          </w:p>
          <w:p>
            <w:pPr>
              <w:pStyle w:val="TableParagraph"/>
              <w:spacing w:line="278" w:lineRule="auto" w:before="47"/>
              <w:ind w:right="301"/>
              <w:rPr>
                <w:sz w:val="21"/>
              </w:rPr>
            </w:pPr>
            <w:r>
              <w:rPr>
                <w:sz w:val="21"/>
                <w:shd w:fill="A6A6A6" w:color="auto" w:val="clear"/>
              </w:rPr>
              <w:t>被保险人申请理赔时年龄必须在三周岁以上，并且提供理赔当时语言能力丧失的诊断及检查证明和资料。</w:t>
            </w:r>
          </w:p>
        </w:tc>
      </w:tr>
      <w:tr>
        <w:trPr>
          <w:trHeight w:val="976" w:hRule="atLeast"/>
        </w:trPr>
        <w:tc>
          <w:tcPr>
            <w:tcW w:w="7455" w:type="dxa"/>
          </w:tcPr>
          <w:p>
            <w:pPr>
              <w:pStyle w:val="TableParagraph"/>
              <w:spacing w:before="56"/>
              <w:rPr>
                <w:sz w:val="21"/>
              </w:rPr>
            </w:pPr>
            <w:r>
              <w:rPr>
                <w:sz w:val="21"/>
              </w:rPr>
              <w:t>（十六）重型再生障碍性贫血</w:t>
            </w:r>
          </w:p>
          <w:p>
            <w:pPr>
              <w:pStyle w:val="TableParagraph"/>
              <w:spacing w:line="320" w:lineRule="atLeast" w:before="1"/>
              <w:ind w:right="301"/>
              <w:rPr>
                <w:sz w:val="21"/>
              </w:rPr>
            </w:pPr>
            <w:r>
              <w:rPr>
                <w:sz w:val="21"/>
              </w:rPr>
              <w:t>指因骨髓造血功能慢性持续性衰竭导致的贫血、中性粒细胞减少及血小板减少。须满足下列全部条件：</w:t>
            </w:r>
          </w:p>
        </w:tc>
      </w:tr>
    </w:tbl>
    <w:p>
      <w:pPr>
        <w:spacing w:after="0" w:line="320" w:lineRule="atLeast"/>
        <w:rPr>
          <w:sz w:val="21"/>
        </w:rPr>
        <w:sectPr>
          <w:pgSz w:w="11910" w:h="16840"/>
          <w:pgMar w:top="1480" w:bottom="280" w:left="1680" w:right="6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tblGrid>
      <w:tr>
        <w:trPr>
          <w:trHeight w:val="1616" w:hRule="atLeast"/>
        </w:trPr>
        <w:tc>
          <w:tcPr>
            <w:tcW w:w="7352" w:type="dxa"/>
          </w:tcPr>
          <w:p>
            <w:pPr>
              <w:pStyle w:val="TableParagraph"/>
              <w:spacing w:line="206" w:lineRule="exact" w:before="0"/>
              <w:rPr>
                <w:sz w:val="21"/>
              </w:rPr>
            </w:pPr>
            <w:r>
              <w:rPr>
                <w:sz w:val="21"/>
              </w:rPr>
              <w:t>(1)骨髓穿刺检查或骨髓活检结果支持诊断；</w:t>
            </w:r>
          </w:p>
          <w:p>
            <w:pPr>
              <w:pStyle w:val="TableParagraph"/>
              <w:spacing w:before="44"/>
              <w:rPr>
                <w:sz w:val="21"/>
              </w:rPr>
            </w:pPr>
            <w:r>
              <w:rPr>
                <w:sz w:val="21"/>
              </w:rPr>
              <w:t>(2)外周血象须具备以下三项条件：</w:t>
            </w:r>
          </w:p>
          <w:p>
            <w:pPr>
              <w:pStyle w:val="TableParagraph"/>
              <w:spacing w:before="43"/>
              <w:ind w:left="514"/>
              <w:rPr>
                <w:sz w:val="21"/>
              </w:rPr>
            </w:pPr>
            <w:r>
              <w:rPr>
                <w:sz w:val="21"/>
              </w:rPr>
              <w:t>①中性粒细胞绝对值≤0.5×10</w:t>
            </w:r>
            <w:r>
              <w:rPr>
                <w:position w:val="11"/>
                <w:sz w:val="11"/>
              </w:rPr>
              <w:t>9</w:t>
            </w:r>
            <w:r>
              <w:rPr>
                <w:sz w:val="21"/>
              </w:rPr>
              <w:t>/L ；</w:t>
            </w:r>
          </w:p>
          <w:p>
            <w:pPr>
              <w:pStyle w:val="TableParagraph"/>
              <w:spacing w:before="46"/>
              <w:ind w:left="514"/>
              <w:rPr>
                <w:sz w:val="21"/>
              </w:rPr>
            </w:pPr>
            <w:r>
              <w:rPr>
                <w:sz w:val="21"/>
              </w:rPr>
              <w:t>②网织红细胞＜1％；</w:t>
            </w:r>
          </w:p>
          <w:p>
            <w:pPr>
              <w:pStyle w:val="TableParagraph"/>
              <w:spacing w:before="44"/>
              <w:ind w:left="514"/>
              <w:rPr>
                <w:sz w:val="21"/>
              </w:rPr>
            </w:pPr>
            <w:r>
              <w:rPr>
                <w:sz w:val="21"/>
              </w:rPr>
              <w:t>③血小板绝对值≤20×10</w:t>
            </w:r>
            <w:r>
              <w:rPr>
                <w:position w:val="11"/>
                <w:sz w:val="11"/>
              </w:rPr>
              <w:t>9</w:t>
            </w:r>
            <w:r>
              <w:rPr>
                <w:sz w:val="21"/>
              </w:rPr>
              <w:t>/L。</w:t>
            </w:r>
          </w:p>
        </w:tc>
      </w:tr>
      <w:tr>
        <w:trPr>
          <w:trHeight w:val="1742" w:hRule="atLeast"/>
        </w:trPr>
        <w:tc>
          <w:tcPr>
            <w:tcW w:w="7352" w:type="dxa"/>
          </w:tcPr>
          <w:p>
            <w:pPr>
              <w:pStyle w:val="TableParagraph"/>
              <w:spacing w:before="57"/>
              <w:rPr>
                <w:sz w:val="21"/>
              </w:rPr>
            </w:pPr>
            <w:r>
              <w:rPr>
                <w:sz w:val="21"/>
              </w:rPr>
              <w:t>（十七）主动脉手术</w:t>
            </w:r>
          </w:p>
          <w:p>
            <w:pPr>
              <w:pStyle w:val="TableParagraph"/>
              <w:spacing w:line="280" w:lineRule="auto" w:before="44"/>
              <w:ind w:right="19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9"/>
              <w:jc w:val="both"/>
              <w:rPr>
                <w:sz w:val="21"/>
              </w:rPr>
            </w:pPr>
            <w:r>
              <w:rPr>
                <w:sz w:val="21"/>
                <w:shd w:fill="A6A6A6" w:color="auto" w:val="clear"/>
              </w:rPr>
              <w:t>动脉内血管成形术不在保障范围内。</w:t>
            </w:r>
          </w:p>
        </w:tc>
      </w:tr>
      <w:tr>
        <w:trPr>
          <w:trHeight w:val="2575" w:hRule="atLeast"/>
        </w:trPr>
        <w:tc>
          <w:tcPr>
            <w:tcW w:w="7352" w:type="dxa"/>
          </w:tcPr>
          <w:p>
            <w:pPr>
              <w:pStyle w:val="TableParagraph"/>
              <w:spacing w:before="57"/>
              <w:rPr>
                <w:sz w:val="21"/>
              </w:rPr>
            </w:pPr>
            <w:r>
              <w:rPr>
                <w:sz w:val="21"/>
              </w:rPr>
              <w:t>（十八）严重心肌炎</w:t>
            </w:r>
          </w:p>
          <w:p>
            <w:pPr>
              <w:pStyle w:val="TableParagraph"/>
              <w:spacing w:line="312" w:lineRule="auto" w:before="44"/>
              <w:ind w:right="198"/>
              <w:rPr>
                <w:sz w:val="21"/>
              </w:rPr>
            </w:pPr>
            <w:r>
              <w:rPr>
                <w:sz w:val="21"/>
              </w:rPr>
              <w:t>指被保险人因严重心肌炎性病变导致心功能损害造成持续的永久不可逆性的心功能衰竭。必须满足所有以下条件：</w:t>
            </w:r>
          </w:p>
          <w:p>
            <w:pPr>
              <w:pStyle w:val="TableParagraph"/>
              <w:spacing w:line="312" w:lineRule="auto" w:before="22"/>
              <w:ind w:right="203"/>
              <w:rPr>
                <w:sz w:val="21"/>
              </w:rPr>
            </w:pPr>
            <w:r>
              <w:rPr>
                <w:sz w:val="21"/>
              </w:rPr>
              <w:t>(1)</w:t>
            </w:r>
            <w:r>
              <w:rPr>
                <w:spacing w:val="-4"/>
                <w:sz w:val="21"/>
              </w:rPr>
              <w:t>心功能衰竭程度达到纽约心脏病学会的心功能分级标准之心功能 </w:t>
            </w:r>
            <w:r>
              <w:rPr>
                <w:sz w:val="21"/>
              </w:rPr>
              <w:t>IV</w:t>
            </w:r>
            <w:r>
              <w:rPr>
                <w:spacing w:val="-12"/>
                <w:sz w:val="21"/>
              </w:rPr>
              <w:t> 级， </w:t>
            </w:r>
            <w:r>
              <w:rPr>
                <w:spacing w:val="-7"/>
                <w:sz w:val="21"/>
              </w:rPr>
              <w:t>或左室射血分数低于 </w:t>
            </w:r>
            <w:r>
              <w:rPr>
                <w:sz w:val="21"/>
              </w:rPr>
              <w:t>30；</w:t>
            </w:r>
          </w:p>
          <w:p>
            <w:pPr>
              <w:pStyle w:val="TableParagraph"/>
              <w:spacing w:before="22"/>
              <w:rPr>
                <w:sz w:val="21"/>
              </w:rPr>
            </w:pPr>
            <w:r>
              <w:rPr>
                <w:sz w:val="21"/>
              </w:rPr>
              <w:t>(2)持续不间断 180 天以上；</w:t>
            </w:r>
          </w:p>
          <w:p>
            <w:pPr>
              <w:pStyle w:val="TableParagraph"/>
              <w:spacing w:before="83"/>
              <w:rPr>
                <w:sz w:val="21"/>
              </w:rPr>
            </w:pPr>
            <w:r>
              <w:rPr>
                <w:sz w:val="21"/>
              </w:rPr>
              <w:t>(3)被保险人永久不可逆性的体力活动能力受限，不能从事任何体力活动</w:t>
            </w:r>
          </w:p>
        </w:tc>
      </w:tr>
      <w:tr>
        <w:trPr>
          <w:trHeight w:val="1742" w:hRule="atLeast"/>
        </w:trPr>
        <w:tc>
          <w:tcPr>
            <w:tcW w:w="7352" w:type="dxa"/>
          </w:tcPr>
          <w:p>
            <w:pPr>
              <w:pStyle w:val="TableParagraph"/>
              <w:spacing w:before="57"/>
              <w:rPr>
                <w:sz w:val="21"/>
              </w:rPr>
            </w:pPr>
            <w:r>
              <w:rPr>
                <w:sz w:val="21"/>
              </w:rPr>
              <w:t>（十九）严重幼年型类风湿关节炎</w:t>
            </w:r>
          </w:p>
          <w:p>
            <w:pPr>
              <w:pStyle w:val="TableParagraph"/>
              <w:spacing w:line="278" w:lineRule="auto" w:before="44"/>
              <w:ind w:right="198"/>
              <w:rPr>
                <w:sz w:val="21"/>
              </w:rPr>
            </w:pPr>
            <w:r>
              <w:rPr>
                <w:spacing w:val="-3"/>
                <w:sz w:val="21"/>
              </w:rPr>
              <w:t>幼年型类风湿关节炎是一种儿童期发病的慢性关节炎，其特点为在高热和系统性病征出现数月后发生关节炎。诊断必须由小儿风湿科专科医生确认。 本保单仅对实际接受了膝关节或髋关节置换手术治疗的严重的幼年型类风湿关节炎予以理赔。</w:t>
            </w:r>
          </w:p>
        </w:tc>
      </w:tr>
      <w:tr>
        <w:trPr>
          <w:trHeight w:val="2061" w:hRule="atLeast"/>
        </w:trPr>
        <w:tc>
          <w:tcPr>
            <w:tcW w:w="7352" w:type="dxa"/>
          </w:tcPr>
          <w:p>
            <w:pPr>
              <w:pStyle w:val="TableParagraph"/>
              <w:spacing w:before="57"/>
              <w:rPr>
                <w:sz w:val="21"/>
              </w:rPr>
            </w:pPr>
            <w:r>
              <w:rPr>
                <w:sz w:val="21"/>
              </w:rPr>
              <w:t>（二十）脊髓灰质炎（或称小儿麻痹症）</w:t>
            </w:r>
          </w:p>
          <w:p>
            <w:pPr>
              <w:pStyle w:val="TableParagraph"/>
              <w:spacing w:line="278" w:lineRule="auto" w:before="43"/>
              <w:ind w:right="198"/>
              <w:jc w:val="both"/>
              <w:rPr>
                <w:sz w:val="21"/>
              </w:rPr>
            </w:pPr>
            <w:r>
              <w:rPr>
                <w:spacing w:val="-3"/>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w:t>
            </w:r>
            <w:r>
              <w:rPr>
                <w:spacing w:val="-4"/>
                <w:sz w:val="21"/>
              </w:rPr>
              <w:t>的情况予以理赔。肢体机能永久完全丧失，指疾病确诊 </w:t>
            </w:r>
            <w:r>
              <w:rPr>
                <w:sz w:val="21"/>
              </w:rPr>
              <w:t>180</w:t>
            </w:r>
            <w:r>
              <w:rPr>
                <w:spacing w:val="-7"/>
                <w:sz w:val="21"/>
              </w:rPr>
              <w:t> 天后，每肢三大</w:t>
            </w:r>
            <w:r>
              <w:rPr>
                <w:spacing w:val="-5"/>
                <w:sz w:val="21"/>
              </w:rPr>
              <w:t>关节中的两大关节仍然完全僵硬，或不能随意识活动。</w:t>
            </w:r>
          </w:p>
        </w:tc>
      </w:tr>
      <w:tr>
        <w:trPr>
          <w:trHeight w:val="462" w:hRule="atLeast"/>
        </w:trPr>
        <w:tc>
          <w:tcPr>
            <w:tcW w:w="7352" w:type="dxa"/>
          </w:tcPr>
          <w:p>
            <w:pPr>
              <w:pStyle w:val="TableParagraph"/>
              <w:spacing w:before="57"/>
              <w:rPr>
                <w:sz w:val="21"/>
              </w:rPr>
            </w:pPr>
            <w:r>
              <w:rPr>
                <w:sz w:val="21"/>
              </w:rPr>
              <w:t>上述重大疾病定义中部分术语释义如下：</w:t>
            </w:r>
          </w:p>
        </w:tc>
      </w:tr>
      <w:tr>
        <w:trPr>
          <w:trHeight w:val="2702" w:hRule="atLeast"/>
        </w:trPr>
        <w:tc>
          <w:tcPr>
            <w:tcW w:w="7352" w:type="dxa"/>
          </w:tcPr>
          <w:p>
            <w:pPr>
              <w:pStyle w:val="TableParagraph"/>
              <w:spacing w:before="56"/>
              <w:rPr>
                <w:sz w:val="21"/>
              </w:rPr>
            </w:pPr>
            <w:r>
              <w:rPr>
                <w:sz w:val="21"/>
              </w:rPr>
              <w:t>（一）专科医生</w:t>
            </w:r>
          </w:p>
          <w:p>
            <w:pPr>
              <w:pStyle w:val="TableParagraph"/>
              <w:spacing w:before="46"/>
              <w:rPr>
                <w:sz w:val="21"/>
              </w:rPr>
            </w:pPr>
            <w:r>
              <w:rPr>
                <w:sz w:val="21"/>
              </w:rPr>
              <w:t>专科医生应当同时满足以下四项资格条件：</w:t>
            </w:r>
          </w:p>
          <w:p>
            <w:pPr>
              <w:pStyle w:val="TableParagraph"/>
              <w:spacing w:before="44"/>
              <w:rPr>
                <w:sz w:val="21"/>
              </w:rPr>
            </w:pPr>
            <w:r>
              <w:rPr>
                <w:sz w:val="21"/>
              </w:rPr>
              <w:t>(1)具有有效的中华人民共和国《医师资格证书》；</w:t>
            </w:r>
          </w:p>
          <w:p>
            <w:pPr>
              <w:pStyle w:val="TableParagraph"/>
              <w:spacing w:line="280" w:lineRule="auto" w:before="44"/>
              <w:ind w:right="218"/>
              <w:rPr>
                <w:sz w:val="21"/>
              </w:rPr>
            </w:pPr>
            <w:r>
              <w:rPr>
                <w:sz w:val="21"/>
              </w:rPr>
              <w:t>(2)</w:t>
            </w:r>
            <w:r>
              <w:rPr>
                <w:spacing w:val="-9"/>
                <w:sz w:val="21"/>
              </w:rPr>
              <w:t>具有有效的中华人民共和国《医师执业证书》，并按期到相关部门登记注册；</w:t>
            </w:r>
          </w:p>
          <w:p>
            <w:pPr>
              <w:pStyle w:val="TableParagraph"/>
              <w:spacing w:line="278" w:lineRule="auto" w:before="8"/>
              <w:ind w:right="200"/>
              <w:rPr>
                <w:sz w:val="21"/>
              </w:rPr>
            </w:pPr>
            <w:r>
              <w:rPr>
                <w:sz w:val="21"/>
              </w:rPr>
              <w:t>(3)</w:t>
            </w:r>
            <w:r>
              <w:rPr>
                <w:spacing w:val="-7"/>
                <w:sz w:val="21"/>
              </w:rPr>
              <w:t>具有有效的中华人民共和国主治医师或主治医师以上职称的《医师职称证</w:t>
            </w:r>
            <w:r>
              <w:rPr>
                <w:spacing w:val="-38"/>
                <w:sz w:val="21"/>
              </w:rPr>
              <w:t>书》；</w:t>
            </w:r>
          </w:p>
          <w:p>
            <w:pPr>
              <w:pStyle w:val="TableParagraph"/>
              <w:spacing w:before="13"/>
              <w:rPr>
                <w:sz w:val="21"/>
              </w:rPr>
            </w:pPr>
            <w:r>
              <w:rPr>
                <w:sz w:val="21"/>
              </w:rPr>
              <w:t>(4)在二级或二级以上医院的相应科室从事临床工作三年以上。</w:t>
            </w:r>
          </w:p>
        </w:tc>
      </w:tr>
      <w:tr>
        <w:trPr>
          <w:trHeight w:val="976" w:hRule="atLeast"/>
        </w:trPr>
        <w:tc>
          <w:tcPr>
            <w:tcW w:w="7352" w:type="dxa"/>
          </w:tcPr>
          <w:p>
            <w:pPr>
              <w:pStyle w:val="TableParagraph"/>
              <w:spacing w:before="56"/>
              <w:rPr>
                <w:sz w:val="21"/>
              </w:rPr>
            </w:pPr>
            <w:r>
              <w:rPr>
                <w:sz w:val="21"/>
              </w:rPr>
              <w:t>（二）肢体机能完全丧失</w:t>
            </w:r>
          </w:p>
          <w:p>
            <w:pPr>
              <w:pStyle w:val="TableParagraph"/>
              <w:spacing w:line="322" w:lineRule="exact" w:before="31"/>
              <w:ind w:right="198"/>
              <w:rPr>
                <w:sz w:val="21"/>
              </w:rPr>
            </w:pPr>
            <w:r>
              <w:rPr>
                <w:sz w:val="21"/>
              </w:rPr>
              <w:t>指肢体的三大关节中的两大关节僵硬，或不能随意识活动。肢体是指包括肩关节的整个上肢或包括髋关节的整个下肢。</w:t>
            </w:r>
          </w:p>
        </w:tc>
      </w:tr>
    </w:tbl>
    <w:p>
      <w:pPr>
        <w:rPr>
          <w:sz w:val="2"/>
          <w:szCs w:val="2"/>
        </w:rPr>
      </w:pPr>
      <w:r>
        <w:rPr/>
        <w:drawing>
          <wp:anchor distT="0" distB="0" distL="0" distR="0" allowOverlap="1" layoutInCell="1" locked="0" behindDoc="1" simplePos="0" relativeHeight="268415255">
            <wp:simplePos x="0" y="0"/>
            <wp:positionH relativeFrom="page">
              <wp:posOffset>3836670</wp:posOffset>
            </wp:positionH>
            <wp:positionV relativeFrom="page">
              <wp:posOffset>4061078</wp:posOffset>
            </wp:positionV>
            <wp:extent cx="59721" cy="103727"/>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80" w:bottom="280" w:left="1680" w:right="760"/>
        </w:sectPr>
      </w:pPr>
    </w:p>
    <w:p>
      <w:pPr>
        <w:pStyle w:val="BodyText"/>
        <w:spacing w:before="2"/>
        <w:rPr>
          <w:rFonts w:ascii="Times New Roman"/>
          <w:sz w:val="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3"/>
        <w:gridCol w:w="7167"/>
      </w:tblGrid>
      <w:tr>
        <w:trPr>
          <w:trHeight w:val="1937" w:hRule="atLeast"/>
        </w:trPr>
        <w:tc>
          <w:tcPr>
            <w:tcW w:w="713" w:type="dxa"/>
          </w:tcPr>
          <w:p>
            <w:pPr>
              <w:pStyle w:val="TableParagraph"/>
              <w:spacing w:before="0"/>
              <w:ind w:left="0"/>
              <w:rPr>
                <w:rFonts w:ascii="Times New Roman"/>
                <w:sz w:val="20"/>
              </w:rPr>
            </w:pPr>
          </w:p>
        </w:tc>
        <w:tc>
          <w:tcPr>
            <w:tcW w:w="2083" w:type="dxa"/>
          </w:tcPr>
          <w:p>
            <w:pPr>
              <w:pStyle w:val="TableParagraph"/>
              <w:spacing w:before="0"/>
              <w:ind w:left="0"/>
              <w:rPr>
                <w:rFonts w:ascii="Times New Roman"/>
                <w:sz w:val="20"/>
              </w:rPr>
            </w:pPr>
          </w:p>
        </w:tc>
        <w:tc>
          <w:tcPr>
            <w:tcW w:w="7167" w:type="dxa"/>
          </w:tcPr>
          <w:p>
            <w:pPr>
              <w:pStyle w:val="TableParagraph"/>
              <w:spacing w:line="211" w:lineRule="exact" w:before="0"/>
              <w:ind w:left="113"/>
              <w:rPr>
                <w:sz w:val="21"/>
              </w:rPr>
            </w:pPr>
            <w:r>
              <w:rPr>
                <w:sz w:val="21"/>
              </w:rPr>
              <w:t>（三）语言能力或咀嚼吞咽能力完全丧失</w:t>
            </w:r>
          </w:p>
          <w:p>
            <w:pPr>
              <w:pStyle w:val="TableParagraph"/>
              <w:spacing w:line="280" w:lineRule="auto" w:before="44"/>
              <w:ind w:left="113" w:right="114"/>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13" w:right="100"/>
              <w:jc w:val="both"/>
              <w:rPr>
                <w:sz w:val="21"/>
              </w:rPr>
            </w:pPr>
            <w:r>
              <w:rPr>
                <w:sz w:val="21"/>
              </w:rPr>
              <w:t>咀嚼吞咽能力完全丧失，指因牙齿以外的原因导致器质障碍或机能障碍，以致不能作咀嚼吞咽运动，除流质食物外不能摄取或吞咽的状态。</w:t>
            </w:r>
          </w:p>
        </w:tc>
      </w:tr>
      <w:tr>
        <w:trPr>
          <w:trHeight w:val="2703" w:hRule="atLeast"/>
        </w:trPr>
        <w:tc>
          <w:tcPr>
            <w:tcW w:w="713" w:type="dxa"/>
          </w:tcPr>
          <w:p>
            <w:pPr>
              <w:pStyle w:val="TableParagraph"/>
              <w:spacing w:before="0"/>
              <w:ind w:left="0"/>
              <w:rPr>
                <w:rFonts w:ascii="Times New Roman"/>
                <w:sz w:val="20"/>
              </w:rPr>
            </w:pPr>
          </w:p>
        </w:tc>
        <w:tc>
          <w:tcPr>
            <w:tcW w:w="2083" w:type="dxa"/>
          </w:tcPr>
          <w:p>
            <w:pPr>
              <w:pStyle w:val="TableParagraph"/>
              <w:spacing w:before="0"/>
              <w:ind w:left="0"/>
              <w:rPr>
                <w:rFonts w:ascii="Times New Roman"/>
                <w:sz w:val="20"/>
              </w:rPr>
            </w:pPr>
          </w:p>
        </w:tc>
        <w:tc>
          <w:tcPr>
            <w:tcW w:w="7167" w:type="dxa"/>
          </w:tcPr>
          <w:p>
            <w:pPr>
              <w:pStyle w:val="TableParagraph"/>
              <w:spacing w:line="280" w:lineRule="auto" w:before="61"/>
              <w:ind w:left="113" w:right="4317"/>
              <w:rPr>
                <w:sz w:val="21"/>
              </w:rPr>
            </w:pPr>
            <w:r>
              <w:rPr>
                <w:sz w:val="21"/>
              </w:rPr>
              <w:t>（四）六项基本日常生活活动六项基本日常生活活动是指：</w:t>
            </w:r>
          </w:p>
          <w:p>
            <w:pPr>
              <w:pStyle w:val="TableParagraph"/>
              <w:spacing w:before="8"/>
              <w:ind w:left="113"/>
              <w:rPr>
                <w:sz w:val="21"/>
              </w:rPr>
            </w:pPr>
            <w:r>
              <w:rPr>
                <w:sz w:val="21"/>
              </w:rPr>
              <w:t>(1)穿衣：自己能够穿衣及脱衣；</w:t>
            </w:r>
          </w:p>
          <w:p>
            <w:pPr>
              <w:pStyle w:val="TableParagraph"/>
              <w:spacing w:before="43"/>
              <w:ind w:left="113"/>
              <w:rPr>
                <w:sz w:val="21"/>
              </w:rPr>
            </w:pPr>
            <w:r>
              <w:rPr>
                <w:sz w:val="21"/>
              </w:rPr>
              <w:t>(2)移动：自己从一个房间到另一个房间；</w:t>
            </w:r>
          </w:p>
          <w:p>
            <w:pPr>
              <w:pStyle w:val="TableParagraph"/>
              <w:spacing w:before="46"/>
              <w:ind w:left="113"/>
              <w:rPr>
                <w:sz w:val="21"/>
              </w:rPr>
            </w:pPr>
            <w:r>
              <w:rPr>
                <w:sz w:val="21"/>
              </w:rPr>
              <w:t>(3)行动：自己上下床或上下轮椅；</w:t>
            </w:r>
          </w:p>
          <w:p>
            <w:pPr>
              <w:pStyle w:val="TableParagraph"/>
              <w:spacing w:before="44"/>
              <w:ind w:left="113"/>
              <w:rPr>
                <w:sz w:val="21"/>
              </w:rPr>
            </w:pPr>
            <w:r>
              <w:rPr>
                <w:sz w:val="21"/>
              </w:rPr>
              <w:t>(4)如厕：自己控制进行大小便；</w:t>
            </w:r>
          </w:p>
          <w:p>
            <w:pPr>
              <w:pStyle w:val="TableParagraph"/>
              <w:spacing w:before="44"/>
              <w:ind w:left="113"/>
              <w:rPr>
                <w:sz w:val="21"/>
              </w:rPr>
            </w:pPr>
            <w:r>
              <w:rPr>
                <w:sz w:val="21"/>
              </w:rPr>
              <w:t>(5)进食：自己从已准备好的碗或碟中取食物放入口中；</w:t>
            </w:r>
          </w:p>
          <w:p>
            <w:pPr>
              <w:pStyle w:val="TableParagraph"/>
              <w:spacing w:before="46"/>
              <w:ind w:left="113"/>
              <w:rPr>
                <w:sz w:val="21"/>
              </w:rPr>
            </w:pPr>
            <w:r>
              <w:rPr>
                <w:sz w:val="21"/>
              </w:rPr>
              <w:t>(6)洗澡：自己进行淋浴或盆浴。</w:t>
            </w:r>
          </w:p>
        </w:tc>
      </w:tr>
      <w:tr>
        <w:trPr>
          <w:trHeight w:val="1151" w:hRule="atLeast"/>
        </w:trPr>
        <w:tc>
          <w:tcPr>
            <w:tcW w:w="713" w:type="dxa"/>
          </w:tcPr>
          <w:p>
            <w:pPr>
              <w:pStyle w:val="TableParagraph"/>
              <w:spacing w:before="0"/>
              <w:ind w:left="0"/>
              <w:rPr>
                <w:rFonts w:ascii="Times New Roman"/>
                <w:sz w:val="20"/>
              </w:rPr>
            </w:pPr>
          </w:p>
        </w:tc>
        <w:tc>
          <w:tcPr>
            <w:tcW w:w="2083" w:type="dxa"/>
          </w:tcPr>
          <w:p>
            <w:pPr>
              <w:pStyle w:val="TableParagraph"/>
              <w:spacing w:before="0"/>
              <w:ind w:left="0"/>
              <w:rPr>
                <w:rFonts w:ascii="Times New Roman"/>
                <w:sz w:val="20"/>
              </w:rPr>
            </w:pPr>
          </w:p>
        </w:tc>
        <w:tc>
          <w:tcPr>
            <w:tcW w:w="7167" w:type="dxa"/>
          </w:tcPr>
          <w:p>
            <w:pPr>
              <w:pStyle w:val="TableParagraph"/>
              <w:spacing w:before="61"/>
              <w:ind w:left="113"/>
              <w:rPr>
                <w:sz w:val="21"/>
              </w:rPr>
            </w:pPr>
            <w:r>
              <w:rPr>
                <w:sz w:val="21"/>
              </w:rPr>
              <w:t>（五）永久不可逆</w:t>
            </w:r>
          </w:p>
          <w:p>
            <w:pPr>
              <w:pStyle w:val="TableParagraph"/>
              <w:spacing w:line="280" w:lineRule="auto" w:before="44"/>
              <w:ind w:left="113" w:right="102"/>
              <w:rPr>
                <w:sz w:val="21"/>
              </w:rPr>
            </w:pPr>
            <w:r>
              <w:rPr>
                <w:spacing w:val="-5"/>
                <w:sz w:val="21"/>
              </w:rPr>
              <w:t>指自疾病确诊或意外伤害发生之日起，经过积极治疗 </w:t>
            </w:r>
            <w:r>
              <w:rPr>
                <w:sz w:val="21"/>
              </w:rPr>
              <w:t>180</w:t>
            </w:r>
            <w:r>
              <w:rPr>
                <w:spacing w:val="-7"/>
                <w:sz w:val="21"/>
              </w:rPr>
              <w:t> 天后，仍无法通过</w:t>
            </w:r>
            <w:r>
              <w:rPr>
                <w:spacing w:val="-3"/>
                <w:sz w:val="21"/>
              </w:rPr>
              <w:t>现有医疗手段恢复。</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8．</w:t>
            </w:r>
          </w:p>
        </w:tc>
        <w:tc>
          <w:tcPr>
            <w:tcW w:w="2083"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释义</w:t>
            </w:r>
          </w:p>
        </w:tc>
        <w:tc>
          <w:tcPr>
            <w:tcW w:w="7167" w:type="dxa"/>
            <w:shd w:val="clear" w:color="auto" w:fill="A6A6A6"/>
          </w:tcPr>
          <w:p>
            <w:pPr>
              <w:pStyle w:val="TableParagraph"/>
              <w:spacing w:before="0"/>
              <w:ind w:left="0"/>
              <w:rPr>
                <w:rFonts w:ascii="Times New Roman"/>
                <w:sz w:val="20"/>
              </w:rPr>
            </w:pPr>
          </w:p>
        </w:tc>
      </w:tr>
      <w:tr>
        <w:trPr>
          <w:trHeight w:val="874" w:hRule="atLeast"/>
        </w:trPr>
        <w:tc>
          <w:tcPr>
            <w:tcW w:w="713" w:type="dxa"/>
          </w:tcPr>
          <w:p>
            <w:pPr>
              <w:pStyle w:val="TableParagraph"/>
              <w:spacing w:before="153"/>
              <w:ind w:left="107"/>
              <w:rPr>
                <w:rFonts w:ascii="黑体"/>
                <w:sz w:val="21"/>
              </w:rPr>
            </w:pPr>
            <w:r>
              <w:rPr>
                <w:rFonts w:ascii="黑体"/>
                <w:sz w:val="21"/>
              </w:rPr>
              <w:t>8.1</w:t>
            </w:r>
          </w:p>
        </w:tc>
        <w:tc>
          <w:tcPr>
            <w:tcW w:w="2083" w:type="dxa"/>
          </w:tcPr>
          <w:p>
            <w:pPr>
              <w:pStyle w:val="TableParagraph"/>
              <w:spacing w:before="153"/>
              <w:ind w:left="288"/>
              <w:rPr>
                <w:rFonts w:ascii="黑体" w:eastAsia="黑体" w:hint="eastAsia"/>
                <w:sz w:val="21"/>
              </w:rPr>
            </w:pPr>
            <w:r>
              <w:rPr>
                <w:rFonts w:ascii="黑体" w:eastAsia="黑体" w:hint="eastAsia"/>
                <w:sz w:val="21"/>
              </w:rPr>
              <w:t>意外伤害</w:t>
            </w:r>
          </w:p>
        </w:tc>
        <w:tc>
          <w:tcPr>
            <w:tcW w:w="7167" w:type="dxa"/>
          </w:tcPr>
          <w:p>
            <w:pPr>
              <w:pStyle w:val="TableParagraph"/>
              <w:spacing w:line="280" w:lineRule="auto" w:before="153"/>
              <w:ind w:left="113" w:right="100"/>
              <w:rPr>
                <w:sz w:val="21"/>
              </w:rPr>
            </w:pPr>
            <w:r>
              <w:rPr>
                <w:sz w:val="21"/>
              </w:rPr>
              <w:t>指遭受外来的、突发的、非本意的、非疾病的客观事件直接致使身体受到的伤害。</w:t>
            </w:r>
          </w:p>
        </w:tc>
      </w:tr>
      <w:tr>
        <w:trPr>
          <w:trHeight w:val="1422" w:hRule="atLeast"/>
        </w:trPr>
        <w:tc>
          <w:tcPr>
            <w:tcW w:w="713" w:type="dxa"/>
          </w:tcPr>
          <w:p>
            <w:pPr>
              <w:pStyle w:val="TableParagraph"/>
              <w:spacing w:before="61"/>
              <w:ind w:left="107"/>
              <w:rPr>
                <w:rFonts w:ascii="黑体"/>
                <w:sz w:val="21"/>
              </w:rPr>
            </w:pPr>
            <w:r>
              <w:rPr>
                <w:rFonts w:ascii="黑体"/>
                <w:sz w:val="21"/>
              </w:rPr>
              <w:t>8.2</w:t>
            </w:r>
          </w:p>
        </w:tc>
        <w:tc>
          <w:tcPr>
            <w:tcW w:w="2083" w:type="dxa"/>
          </w:tcPr>
          <w:p>
            <w:pPr>
              <w:pStyle w:val="TableParagraph"/>
              <w:spacing w:before="61"/>
              <w:ind w:left="288"/>
              <w:rPr>
                <w:rFonts w:ascii="黑体" w:eastAsia="黑体" w:hint="eastAsia"/>
                <w:sz w:val="21"/>
              </w:rPr>
            </w:pPr>
            <w:r>
              <w:rPr>
                <w:rFonts w:ascii="黑体" w:eastAsia="黑体" w:hint="eastAsia"/>
                <w:sz w:val="21"/>
              </w:rPr>
              <w:t>毒品</w:t>
            </w:r>
          </w:p>
        </w:tc>
        <w:tc>
          <w:tcPr>
            <w:tcW w:w="7167" w:type="dxa"/>
          </w:tcPr>
          <w:p>
            <w:pPr>
              <w:pStyle w:val="TableParagraph"/>
              <w:spacing w:line="278" w:lineRule="auto" w:before="61"/>
              <w:ind w:left="113" w:right="-15"/>
              <w:rPr>
                <w:sz w:val="21"/>
              </w:rPr>
            </w:pPr>
            <w:r>
              <w:rPr>
                <w:spacing w:val="-14"/>
                <w:sz w:val="21"/>
              </w:rPr>
              <w:t>指《中华人民共和国刑法》规定的鸦片、海洛因、甲基苯丙胺</w:t>
            </w:r>
            <w:r>
              <w:rPr>
                <w:spacing w:val="-3"/>
                <w:sz w:val="21"/>
              </w:rPr>
              <w:t>（</w:t>
            </w:r>
            <w:r>
              <w:rPr>
                <w:spacing w:val="-2"/>
                <w:sz w:val="21"/>
              </w:rPr>
              <w:t>冰毒</w:t>
            </w:r>
            <w:r>
              <w:rPr>
                <w:spacing w:val="-108"/>
                <w:sz w:val="21"/>
              </w:rPr>
              <w:t>）</w:t>
            </w:r>
            <w:r>
              <w:rPr>
                <w:spacing w:val="-9"/>
                <w:sz w:val="21"/>
              </w:rPr>
              <w:t>、吗啡、</w:t>
            </w:r>
            <w:r>
              <w:rPr>
                <w:spacing w:val="-6"/>
                <w:sz w:val="21"/>
              </w:rPr>
              <w:t>大麻、可卡因以及国家规定管制的其他能够使人形成瘾癖的麻醉药品和精神</w:t>
            </w:r>
            <w:r>
              <w:rPr>
                <w:spacing w:val="-5"/>
                <w:sz w:val="21"/>
              </w:rPr>
              <w:t>药品，但不包括由医生开具并遵医嘱使用的用于治疗疾病但含有毒品成分的</w:t>
            </w:r>
            <w:r>
              <w:rPr>
                <w:spacing w:val="-4"/>
                <w:sz w:val="21"/>
              </w:rPr>
              <w:t>处方药品。</w:t>
            </w:r>
          </w:p>
        </w:tc>
      </w:tr>
      <w:tr>
        <w:trPr>
          <w:trHeight w:val="1101" w:hRule="atLeast"/>
        </w:trPr>
        <w:tc>
          <w:tcPr>
            <w:tcW w:w="713" w:type="dxa"/>
          </w:tcPr>
          <w:p>
            <w:pPr>
              <w:pStyle w:val="TableParagraph"/>
              <w:spacing w:before="62"/>
              <w:ind w:left="107"/>
              <w:rPr>
                <w:rFonts w:ascii="黑体"/>
                <w:sz w:val="21"/>
              </w:rPr>
            </w:pPr>
            <w:r>
              <w:rPr>
                <w:rFonts w:ascii="黑体"/>
                <w:sz w:val="21"/>
              </w:rPr>
              <w:t>8.3</w:t>
            </w:r>
          </w:p>
        </w:tc>
        <w:tc>
          <w:tcPr>
            <w:tcW w:w="2083" w:type="dxa"/>
          </w:tcPr>
          <w:p>
            <w:pPr>
              <w:pStyle w:val="TableParagraph"/>
              <w:spacing w:before="62"/>
              <w:ind w:left="288"/>
              <w:rPr>
                <w:rFonts w:ascii="黑体" w:eastAsia="黑体" w:hint="eastAsia"/>
                <w:sz w:val="21"/>
              </w:rPr>
            </w:pPr>
            <w:r>
              <w:rPr>
                <w:rFonts w:ascii="黑体" w:eastAsia="黑体" w:hint="eastAsia"/>
                <w:sz w:val="21"/>
              </w:rPr>
              <w:t>酒后驾驶</w:t>
            </w:r>
          </w:p>
        </w:tc>
        <w:tc>
          <w:tcPr>
            <w:tcW w:w="7167" w:type="dxa"/>
          </w:tcPr>
          <w:p>
            <w:pPr>
              <w:pStyle w:val="TableParagraph"/>
              <w:spacing w:line="278" w:lineRule="auto" w:before="62"/>
              <w:ind w:left="113" w:right="1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713" w:type="dxa"/>
          </w:tcPr>
          <w:p>
            <w:pPr>
              <w:pStyle w:val="TableParagraph"/>
              <w:spacing w:before="62"/>
              <w:ind w:left="107"/>
              <w:rPr>
                <w:rFonts w:ascii="黑体"/>
                <w:sz w:val="21"/>
              </w:rPr>
            </w:pPr>
            <w:r>
              <w:rPr>
                <w:rFonts w:ascii="黑体"/>
                <w:sz w:val="21"/>
              </w:rPr>
              <w:t>8.4</w:t>
            </w:r>
          </w:p>
        </w:tc>
        <w:tc>
          <w:tcPr>
            <w:tcW w:w="2083" w:type="dxa"/>
          </w:tcPr>
          <w:p>
            <w:pPr>
              <w:pStyle w:val="TableParagraph"/>
              <w:spacing w:line="278" w:lineRule="auto" w:before="62"/>
              <w:ind w:left="288" w:right="110"/>
              <w:rPr>
                <w:rFonts w:ascii="黑体" w:eastAsia="黑体" w:hint="eastAsia"/>
                <w:sz w:val="21"/>
              </w:rPr>
            </w:pPr>
            <w:r>
              <w:rPr>
                <w:rFonts w:ascii="黑体" w:eastAsia="黑体" w:hint="eastAsia"/>
                <w:sz w:val="21"/>
              </w:rPr>
              <w:t>无合法有效驾驶证驾驶</w:t>
            </w:r>
          </w:p>
        </w:tc>
        <w:tc>
          <w:tcPr>
            <w:tcW w:w="7167" w:type="dxa"/>
          </w:tcPr>
          <w:p>
            <w:pPr>
              <w:pStyle w:val="TableParagraph"/>
              <w:spacing w:before="62"/>
              <w:ind w:left="113"/>
              <w:rPr>
                <w:sz w:val="21"/>
              </w:rPr>
            </w:pPr>
            <w:r>
              <w:rPr>
                <w:sz w:val="21"/>
              </w:rPr>
              <w:t>指下列情形之一：</w:t>
            </w:r>
          </w:p>
          <w:p>
            <w:pPr>
              <w:pStyle w:val="TableParagraph"/>
              <w:spacing w:before="44"/>
              <w:ind w:left="113"/>
              <w:rPr>
                <w:sz w:val="21"/>
              </w:rPr>
            </w:pPr>
            <w:r>
              <w:rPr>
                <w:sz w:val="21"/>
              </w:rPr>
              <w:t>(1)没有取得驾驶资格；</w:t>
            </w:r>
          </w:p>
          <w:p>
            <w:pPr>
              <w:pStyle w:val="TableParagraph"/>
              <w:spacing w:before="44"/>
              <w:ind w:left="113"/>
              <w:rPr>
                <w:sz w:val="21"/>
              </w:rPr>
            </w:pPr>
            <w:r>
              <w:rPr>
                <w:sz w:val="21"/>
              </w:rPr>
              <w:t>(2)驾驶与驾驶证准驾车型不相符合的车辆；</w:t>
            </w:r>
          </w:p>
          <w:p>
            <w:pPr>
              <w:pStyle w:val="TableParagraph"/>
              <w:spacing w:before="46"/>
              <w:ind w:left="113"/>
              <w:rPr>
                <w:sz w:val="21"/>
              </w:rPr>
            </w:pPr>
            <w:r>
              <w:rPr>
                <w:sz w:val="21"/>
              </w:rPr>
              <w:t>(3)持审验不合格的驾驶证驾驶；</w:t>
            </w:r>
          </w:p>
          <w:p>
            <w:pPr>
              <w:pStyle w:val="TableParagraph"/>
              <w:spacing w:line="278" w:lineRule="auto" w:before="44"/>
              <w:ind w:left="113" w:right="102"/>
              <w:rPr>
                <w:sz w:val="21"/>
              </w:rPr>
            </w:pPr>
            <w:r>
              <w:rPr>
                <w:sz w:val="21"/>
              </w:rPr>
              <w:t>(4)</w:t>
            </w:r>
            <w:r>
              <w:rPr>
                <w:spacing w:val="-9"/>
                <w:sz w:val="21"/>
              </w:rPr>
              <w:t>持学习驾驶证学习驾车时，无教练员随车指导，或不按指定时间、路线学</w:t>
            </w:r>
            <w:r>
              <w:rPr>
                <w:spacing w:val="-6"/>
                <w:sz w:val="21"/>
              </w:rPr>
              <w:t>习驾车。</w:t>
            </w:r>
          </w:p>
        </w:tc>
      </w:tr>
      <w:tr>
        <w:trPr>
          <w:trHeight w:val="1422" w:hRule="atLeast"/>
        </w:trPr>
        <w:tc>
          <w:tcPr>
            <w:tcW w:w="713" w:type="dxa"/>
          </w:tcPr>
          <w:p>
            <w:pPr>
              <w:pStyle w:val="TableParagraph"/>
              <w:spacing w:before="62"/>
              <w:ind w:left="107"/>
              <w:rPr>
                <w:rFonts w:ascii="黑体"/>
                <w:sz w:val="21"/>
              </w:rPr>
            </w:pPr>
            <w:r>
              <w:rPr>
                <w:rFonts w:ascii="黑体"/>
                <w:sz w:val="21"/>
              </w:rPr>
              <w:t>8.5</w:t>
            </w:r>
          </w:p>
        </w:tc>
        <w:tc>
          <w:tcPr>
            <w:tcW w:w="2083" w:type="dxa"/>
          </w:tcPr>
          <w:p>
            <w:pPr>
              <w:pStyle w:val="TableParagraph"/>
              <w:spacing w:before="62"/>
              <w:ind w:left="288"/>
              <w:rPr>
                <w:rFonts w:ascii="黑体" w:eastAsia="黑体" w:hint="eastAsia"/>
                <w:sz w:val="21"/>
              </w:rPr>
            </w:pPr>
            <w:r>
              <w:rPr>
                <w:rFonts w:ascii="黑体" w:eastAsia="黑体" w:hint="eastAsia"/>
                <w:sz w:val="21"/>
              </w:rPr>
              <w:t>无有效行驶证</w:t>
            </w:r>
          </w:p>
        </w:tc>
        <w:tc>
          <w:tcPr>
            <w:tcW w:w="7167" w:type="dxa"/>
          </w:tcPr>
          <w:p>
            <w:pPr>
              <w:pStyle w:val="TableParagraph"/>
              <w:spacing w:before="62"/>
              <w:ind w:left="113"/>
              <w:rPr>
                <w:sz w:val="21"/>
              </w:rPr>
            </w:pPr>
            <w:r>
              <w:rPr>
                <w:sz w:val="21"/>
              </w:rPr>
              <w:t>指下列情形之一：</w:t>
            </w:r>
          </w:p>
          <w:p>
            <w:pPr>
              <w:pStyle w:val="TableParagraph"/>
              <w:spacing w:before="44"/>
              <w:ind w:left="113"/>
              <w:rPr>
                <w:sz w:val="21"/>
              </w:rPr>
            </w:pPr>
            <w:r>
              <w:rPr>
                <w:sz w:val="21"/>
              </w:rPr>
              <w:t>(1)未取得行驶证；</w:t>
            </w:r>
          </w:p>
          <w:p>
            <w:pPr>
              <w:pStyle w:val="TableParagraph"/>
              <w:spacing w:before="47"/>
              <w:ind w:left="113"/>
              <w:rPr>
                <w:sz w:val="21"/>
              </w:rPr>
            </w:pPr>
            <w:r>
              <w:rPr>
                <w:sz w:val="21"/>
              </w:rPr>
              <w:t>(2)机动车被依法注销登记的；</w:t>
            </w:r>
          </w:p>
          <w:p>
            <w:pPr>
              <w:pStyle w:val="TableParagraph"/>
              <w:spacing w:before="44"/>
              <w:ind w:left="113"/>
              <w:rPr>
                <w:sz w:val="21"/>
              </w:rPr>
            </w:pPr>
            <w:r>
              <w:rPr>
                <w:sz w:val="21"/>
              </w:rPr>
              <w:t>(3)未依法按时进行或通过机动车安全技术检验。</w:t>
            </w:r>
          </w:p>
        </w:tc>
      </w:tr>
      <w:tr>
        <w:trPr>
          <w:trHeight w:val="657" w:hRule="atLeast"/>
        </w:trPr>
        <w:tc>
          <w:tcPr>
            <w:tcW w:w="713" w:type="dxa"/>
          </w:tcPr>
          <w:p>
            <w:pPr>
              <w:pStyle w:val="TableParagraph"/>
              <w:spacing w:before="61"/>
              <w:ind w:left="107"/>
              <w:rPr>
                <w:rFonts w:ascii="黑体"/>
                <w:sz w:val="21"/>
              </w:rPr>
            </w:pPr>
            <w:r>
              <w:rPr>
                <w:rFonts w:ascii="黑体"/>
                <w:sz w:val="21"/>
              </w:rPr>
              <w:t>8.6</w:t>
            </w:r>
          </w:p>
        </w:tc>
        <w:tc>
          <w:tcPr>
            <w:tcW w:w="2083" w:type="dxa"/>
          </w:tcPr>
          <w:p>
            <w:pPr>
              <w:pStyle w:val="TableParagraph"/>
              <w:spacing w:before="61"/>
              <w:ind w:left="288"/>
              <w:rPr>
                <w:rFonts w:ascii="黑体" w:eastAsia="黑体" w:hint="eastAsia"/>
                <w:sz w:val="21"/>
              </w:rPr>
            </w:pPr>
            <w:r>
              <w:rPr>
                <w:rFonts w:ascii="黑体" w:eastAsia="黑体" w:hint="eastAsia"/>
                <w:sz w:val="21"/>
              </w:rPr>
              <w:t>机动车</w:t>
            </w:r>
          </w:p>
        </w:tc>
        <w:tc>
          <w:tcPr>
            <w:tcW w:w="7167" w:type="dxa"/>
          </w:tcPr>
          <w:p>
            <w:pPr>
              <w:pStyle w:val="TableParagraph"/>
              <w:spacing w:line="320" w:lineRule="atLeast" w:before="15"/>
              <w:ind w:left="113" w:right="100"/>
              <w:rPr>
                <w:sz w:val="21"/>
              </w:rPr>
            </w:pPr>
            <w:r>
              <w:rPr>
                <w:sz w:val="21"/>
              </w:rPr>
              <w:t>指以动力装置驱动或者牵引，上道路行驶的供人员乘用或者用于运送物品以及进行工程专项作业的轮式车辆。</w:t>
            </w:r>
          </w:p>
        </w:tc>
      </w:tr>
    </w:tbl>
    <w:p>
      <w:pPr>
        <w:spacing w:after="0" w:line="320" w:lineRule="atLeast"/>
        <w:rPr>
          <w:sz w:val="21"/>
        </w:rPr>
        <w:sectPr>
          <w:pgSz w:w="11910" w:h="16840"/>
          <w:pgMar w:top="1580" w:bottom="280" w:left="860" w:right="860"/>
        </w:sectPr>
      </w:pPr>
    </w:p>
    <w:p>
      <w:pPr>
        <w:pStyle w:val="BodyText"/>
        <w:spacing w:before="2"/>
        <w:rPr>
          <w:rFonts w:ascii="Times New Roman"/>
          <w:sz w:val="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2031"/>
        <w:gridCol w:w="7368"/>
      </w:tblGrid>
      <w:tr>
        <w:trPr>
          <w:trHeight w:val="656" w:hRule="atLeast"/>
        </w:trPr>
        <w:tc>
          <w:tcPr>
            <w:tcW w:w="858" w:type="dxa"/>
          </w:tcPr>
          <w:p>
            <w:pPr>
              <w:pStyle w:val="TableParagraph"/>
              <w:spacing w:line="211" w:lineRule="exact" w:before="0"/>
              <w:rPr>
                <w:rFonts w:ascii="黑体"/>
                <w:sz w:val="21"/>
              </w:rPr>
            </w:pPr>
            <w:r>
              <w:rPr>
                <w:rFonts w:ascii="黑体"/>
                <w:sz w:val="21"/>
              </w:rPr>
              <w:t>8.7</w:t>
            </w:r>
          </w:p>
        </w:tc>
        <w:tc>
          <w:tcPr>
            <w:tcW w:w="2031" w:type="dxa"/>
          </w:tcPr>
          <w:p>
            <w:pPr>
              <w:pStyle w:val="TableParagraph"/>
              <w:spacing w:line="211" w:lineRule="exact" w:before="0"/>
              <w:ind w:left="235"/>
              <w:rPr>
                <w:rFonts w:ascii="黑体" w:eastAsia="黑体" w:hint="eastAsia"/>
                <w:sz w:val="21"/>
              </w:rPr>
            </w:pPr>
            <w:r>
              <w:rPr>
                <w:rFonts w:ascii="黑体" w:eastAsia="黑体" w:hint="eastAsia"/>
                <w:sz w:val="21"/>
              </w:rPr>
              <w:t>遗传性疾病</w:t>
            </w:r>
          </w:p>
        </w:tc>
        <w:tc>
          <w:tcPr>
            <w:tcW w:w="7368" w:type="dxa"/>
          </w:tcPr>
          <w:p>
            <w:pPr>
              <w:pStyle w:val="TableParagraph"/>
              <w:spacing w:line="211" w:lineRule="exact" w:before="0"/>
              <w:ind w:left="112"/>
              <w:rPr>
                <w:sz w:val="21"/>
              </w:rPr>
            </w:pPr>
            <w:r>
              <w:rPr>
                <w:sz w:val="21"/>
              </w:rPr>
              <w:t>指生殖细胞或受精卵的遗传物质（染色体和基因）发生突变或畸变所引起的</w:t>
            </w:r>
          </w:p>
          <w:p>
            <w:pPr>
              <w:pStyle w:val="TableParagraph"/>
              <w:spacing w:before="44"/>
              <w:ind w:left="112"/>
              <w:rPr>
                <w:sz w:val="21"/>
              </w:rPr>
            </w:pPr>
            <w:r>
              <w:rPr>
                <w:sz w:val="21"/>
              </w:rPr>
              <w:t>疾病，通常具有由亲代传至后代的垂直传递的特征。</w:t>
            </w:r>
          </w:p>
        </w:tc>
      </w:tr>
      <w:tr>
        <w:trPr>
          <w:trHeight w:val="1102" w:hRule="atLeast"/>
        </w:trPr>
        <w:tc>
          <w:tcPr>
            <w:tcW w:w="858" w:type="dxa"/>
          </w:tcPr>
          <w:p>
            <w:pPr>
              <w:pStyle w:val="TableParagraph"/>
              <w:spacing w:before="62"/>
              <w:rPr>
                <w:rFonts w:ascii="黑体"/>
                <w:sz w:val="21"/>
              </w:rPr>
            </w:pPr>
            <w:r>
              <w:rPr>
                <w:rFonts w:ascii="黑体"/>
                <w:sz w:val="21"/>
              </w:rPr>
              <w:t>8.8</w:t>
            </w:r>
          </w:p>
        </w:tc>
        <w:tc>
          <w:tcPr>
            <w:tcW w:w="2031" w:type="dxa"/>
          </w:tcPr>
          <w:p>
            <w:pPr>
              <w:pStyle w:val="TableParagraph"/>
              <w:spacing w:line="278" w:lineRule="auto" w:before="62"/>
              <w:ind w:left="235" w:right="111"/>
              <w:rPr>
                <w:rFonts w:ascii="黑体" w:eastAsia="黑体" w:hint="eastAsia"/>
                <w:sz w:val="21"/>
              </w:rPr>
            </w:pPr>
            <w:r>
              <w:rPr>
                <w:rFonts w:ascii="黑体" w:eastAsia="黑体" w:hint="eastAsia"/>
                <w:sz w:val="21"/>
              </w:rPr>
              <w:t>先天性畸形、变形或染色体异常</w:t>
            </w:r>
          </w:p>
        </w:tc>
        <w:tc>
          <w:tcPr>
            <w:tcW w:w="7368" w:type="dxa"/>
          </w:tcPr>
          <w:p>
            <w:pPr>
              <w:pStyle w:val="TableParagraph"/>
              <w:spacing w:line="278" w:lineRule="auto" w:before="62"/>
              <w:ind w:left="112" w:right="199"/>
              <w:rPr>
                <w:sz w:val="21"/>
              </w:rPr>
            </w:pPr>
            <w:r>
              <w:rPr>
                <w:spacing w:val="-3"/>
                <w:sz w:val="21"/>
              </w:rPr>
              <w:t>指被保险人出生时就具有的畸形、变形或染色体异常。先天性畸形、变形和</w:t>
            </w:r>
            <w:r>
              <w:rPr>
                <w:spacing w:val="13"/>
                <w:sz w:val="21"/>
              </w:rPr>
              <w:t>染色体异常依照世界卫生组织《疾病和有关健康问题的国际统计分类》</w:t>
            </w:r>
          </w:p>
          <w:p>
            <w:pPr>
              <w:pStyle w:val="TableParagraph"/>
              <w:spacing w:before="13"/>
              <w:ind w:left="112"/>
              <w:rPr>
                <w:sz w:val="21"/>
              </w:rPr>
            </w:pPr>
            <w:r>
              <w:rPr>
                <w:sz w:val="21"/>
              </w:rPr>
              <w:t>（ICD-10）确定。</w:t>
            </w:r>
          </w:p>
        </w:tc>
      </w:tr>
      <w:tr>
        <w:trPr>
          <w:trHeight w:val="1741" w:hRule="atLeast"/>
        </w:trPr>
        <w:tc>
          <w:tcPr>
            <w:tcW w:w="858" w:type="dxa"/>
          </w:tcPr>
          <w:p>
            <w:pPr>
              <w:pStyle w:val="TableParagraph"/>
              <w:spacing w:before="61"/>
              <w:rPr>
                <w:rFonts w:ascii="黑体"/>
                <w:sz w:val="21"/>
              </w:rPr>
            </w:pPr>
            <w:r>
              <w:rPr>
                <w:rFonts w:ascii="黑体"/>
                <w:sz w:val="21"/>
              </w:rPr>
              <w:t>8.9</w:t>
            </w:r>
          </w:p>
        </w:tc>
        <w:tc>
          <w:tcPr>
            <w:tcW w:w="2031" w:type="dxa"/>
          </w:tcPr>
          <w:p>
            <w:pPr>
              <w:pStyle w:val="TableParagraph"/>
              <w:spacing w:line="278" w:lineRule="auto" w:before="61"/>
              <w:ind w:left="235" w:right="111"/>
              <w:rPr>
                <w:rFonts w:ascii="黑体" w:eastAsia="黑体" w:hint="eastAsia"/>
                <w:sz w:val="21"/>
              </w:rPr>
            </w:pPr>
            <w:r>
              <w:rPr>
                <w:rFonts w:ascii="黑体" w:eastAsia="黑体" w:hint="eastAsia"/>
                <w:sz w:val="21"/>
              </w:rPr>
              <w:t>感染艾滋病病毒或患艾滋病</w:t>
            </w:r>
          </w:p>
        </w:tc>
        <w:tc>
          <w:tcPr>
            <w:tcW w:w="7368" w:type="dxa"/>
          </w:tcPr>
          <w:p>
            <w:pPr>
              <w:pStyle w:val="TableParagraph"/>
              <w:spacing w:line="278" w:lineRule="auto" w:before="61"/>
              <w:ind w:left="112" w:right="302"/>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13"/>
              <w:ind w:left="112" w:right="198"/>
              <w:rPr>
                <w:sz w:val="21"/>
              </w:rPr>
            </w:pPr>
            <w:r>
              <w:rPr>
                <w:spacing w:val="-3"/>
                <w:sz w:val="21"/>
              </w:rPr>
              <w:t>在人体血液或其他样本中检测到艾滋病病毒或其抗体呈阳性，没有出现临床</w:t>
            </w:r>
            <w:r>
              <w:rPr>
                <w:spacing w:val="-12"/>
                <w:sz w:val="21"/>
              </w:rPr>
              <w:t>症状或体征的，为感染艾滋病病毒；如果同时出现了明显临床症状或体征的， </w:t>
            </w:r>
            <w:r>
              <w:rPr>
                <w:spacing w:val="-6"/>
                <w:sz w:val="21"/>
              </w:rPr>
              <w:t>为患艾滋病。</w:t>
            </w:r>
          </w:p>
        </w:tc>
      </w:tr>
      <w:tr>
        <w:trPr>
          <w:trHeight w:val="782" w:hRule="atLeast"/>
        </w:trPr>
        <w:tc>
          <w:tcPr>
            <w:tcW w:w="858" w:type="dxa"/>
          </w:tcPr>
          <w:p>
            <w:pPr>
              <w:pStyle w:val="TableParagraph"/>
              <w:spacing w:before="62"/>
              <w:rPr>
                <w:rFonts w:ascii="黑体"/>
                <w:sz w:val="21"/>
              </w:rPr>
            </w:pPr>
            <w:r>
              <w:rPr>
                <w:rFonts w:ascii="黑体"/>
                <w:sz w:val="21"/>
              </w:rPr>
              <w:t>8.10</w:t>
            </w:r>
          </w:p>
        </w:tc>
        <w:tc>
          <w:tcPr>
            <w:tcW w:w="2031" w:type="dxa"/>
          </w:tcPr>
          <w:p>
            <w:pPr>
              <w:pStyle w:val="TableParagraph"/>
              <w:spacing w:before="62"/>
              <w:ind w:left="235"/>
              <w:rPr>
                <w:rFonts w:ascii="黑体" w:eastAsia="黑体" w:hint="eastAsia"/>
                <w:sz w:val="21"/>
              </w:rPr>
            </w:pPr>
            <w:r>
              <w:rPr>
                <w:rFonts w:ascii="黑体" w:eastAsia="黑体" w:hint="eastAsia"/>
                <w:sz w:val="21"/>
              </w:rPr>
              <w:t>有效身份证件</w:t>
            </w:r>
          </w:p>
        </w:tc>
        <w:tc>
          <w:tcPr>
            <w:tcW w:w="7368" w:type="dxa"/>
          </w:tcPr>
          <w:p>
            <w:pPr>
              <w:pStyle w:val="TableParagraph"/>
              <w:spacing w:line="278" w:lineRule="auto" w:before="62"/>
              <w:ind w:left="112" w:right="302"/>
              <w:rPr>
                <w:sz w:val="21"/>
              </w:rPr>
            </w:pPr>
            <w:r>
              <w:rPr>
                <w:sz w:val="21"/>
              </w:rPr>
              <w:t>指由政府主管部门规定的证明其身份的证件，如：居民身份证、按规定可使用的有效护照、军官证、警官证、士兵证等证件。</w:t>
            </w:r>
          </w:p>
        </w:tc>
      </w:tr>
      <w:tr>
        <w:trPr>
          <w:trHeight w:val="1297" w:hRule="atLeast"/>
        </w:trPr>
        <w:tc>
          <w:tcPr>
            <w:tcW w:w="858" w:type="dxa"/>
          </w:tcPr>
          <w:p>
            <w:pPr>
              <w:pStyle w:val="TableParagraph"/>
              <w:spacing w:before="62"/>
              <w:rPr>
                <w:rFonts w:ascii="黑体"/>
                <w:sz w:val="21"/>
              </w:rPr>
            </w:pPr>
            <w:r>
              <w:rPr>
                <w:rFonts w:ascii="黑体"/>
                <w:sz w:val="21"/>
              </w:rPr>
              <w:t>8.11</w:t>
            </w:r>
          </w:p>
        </w:tc>
        <w:tc>
          <w:tcPr>
            <w:tcW w:w="2031" w:type="dxa"/>
          </w:tcPr>
          <w:p>
            <w:pPr>
              <w:pStyle w:val="TableParagraph"/>
              <w:spacing w:before="62"/>
              <w:ind w:left="235"/>
              <w:rPr>
                <w:rFonts w:ascii="黑体" w:eastAsia="黑体" w:hint="eastAsia"/>
                <w:sz w:val="21"/>
              </w:rPr>
            </w:pPr>
            <w:r>
              <w:rPr>
                <w:rFonts w:ascii="黑体" w:eastAsia="黑体" w:hint="eastAsia"/>
                <w:sz w:val="21"/>
              </w:rPr>
              <w:t>现金价值</w:t>
            </w:r>
          </w:p>
        </w:tc>
        <w:tc>
          <w:tcPr>
            <w:tcW w:w="7368" w:type="dxa"/>
          </w:tcPr>
          <w:p>
            <w:pPr>
              <w:pStyle w:val="TableParagraph"/>
              <w:spacing w:line="278" w:lineRule="auto" w:before="62"/>
              <w:ind w:left="112" w:right="301"/>
              <w:rPr>
                <w:sz w:val="21"/>
              </w:rPr>
            </w:pPr>
            <w:r>
              <w:rPr>
                <w:sz w:val="21"/>
              </w:rPr>
              <w:t>指本附加险合同保险单所具有的价值，通常体现为解除合同时，根据精算原理计算的，由我们退还的那部分金额。现金价值＝当期保险费×65％×（1</w:t>
            </w:r>
          </w:p>
          <w:p>
            <w:pPr>
              <w:pStyle w:val="TableParagraph"/>
              <w:ind w:left="112"/>
              <w:rPr>
                <w:sz w:val="21"/>
              </w:rPr>
            </w:pPr>
            <w:r>
              <w:rPr>
                <w:w w:val="100"/>
                <w:sz w:val="21"/>
              </w:rPr>
              <w:t>－n/m</w:t>
            </w:r>
            <w:r>
              <w:rPr>
                <w:spacing w:val="-108"/>
                <w:w w:val="100"/>
                <w:sz w:val="21"/>
              </w:rPr>
              <w:t>）</w:t>
            </w:r>
            <w:r>
              <w:rPr>
                <w:spacing w:val="-2"/>
                <w:w w:val="100"/>
                <w:sz w:val="21"/>
              </w:rPr>
              <w:t>，其中</w:t>
            </w:r>
            <w:r>
              <w:rPr>
                <w:spacing w:val="-31"/>
                <w:sz w:val="21"/>
              </w:rPr>
              <w:t> </w:t>
            </w:r>
            <w:r>
              <w:rPr>
                <w:w w:val="100"/>
                <w:sz w:val="21"/>
              </w:rPr>
              <w:t>n</w:t>
            </w:r>
            <w:r>
              <w:rPr>
                <w:spacing w:val="-31"/>
                <w:sz w:val="21"/>
              </w:rPr>
              <w:t> </w:t>
            </w:r>
            <w:r>
              <w:rPr>
                <w:spacing w:val="-3"/>
                <w:w w:val="100"/>
                <w:sz w:val="21"/>
              </w:rPr>
              <w:t>为当期保险费所在交费期间已经过的天数</w:t>
            </w:r>
            <w:r>
              <w:rPr>
                <w:w w:val="100"/>
                <w:sz w:val="21"/>
              </w:rPr>
              <w:t>，m</w:t>
            </w:r>
            <w:r>
              <w:rPr>
                <w:spacing w:val="-31"/>
                <w:sz w:val="21"/>
              </w:rPr>
              <w:t> </w:t>
            </w:r>
            <w:r>
              <w:rPr>
                <w:spacing w:val="-3"/>
                <w:w w:val="100"/>
                <w:sz w:val="21"/>
              </w:rPr>
              <w:t>为当期保险费</w:t>
            </w:r>
          </w:p>
          <w:p>
            <w:pPr>
              <w:pStyle w:val="TableParagraph"/>
              <w:spacing w:line="255" w:lineRule="exact" w:before="46"/>
              <w:ind w:left="112"/>
              <w:rPr>
                <w:sz w:val="21"/>
              </w:rPr>
            </w:pPr>
            <w:r>
              <w:rPr>
                <w:sz w:val="21"/>
              </w:rPr>
              <w:t>所在交费期间的天数。合同已生效的天数不足一天的不计。</w:t>
            </w:r>
          </w:p>
        </w:tc>
      </w:tr>
    </w:tbl>
    <w:sectPr>
      <w:pgSz w:w="11910" w:h="16840"/>
      <w:pgMar w:top="1580" w:bottom="280" w:left="7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2" w:hanging="358"/>
      </w:pPr>
      <w:rPr>
        <w:rFonts w:hint="default" w:ascii="Wingdings" w:hAnsi="Wingdings" w:eastAsia="Wingdings" w:cs="Wingdings"/>
        <w:w w:val="100"/>
        <w:sz w:val="18"/>
        <w:szCs w:val="18"/>
      </w:rPr>
    </w:lvl>
    <w:lvl w:ilvl="1">
      <w:start w:val="0"/>
      <w:numFmt w:val="bullet"/>
      <w:lvlText w:val="•"/>
      <w:lvlJc w:val="left"/>
      <w:pPr>
        <w:ind w:left="1838" w:hanging="358"/>
      </w:pPr>
      <w:rPr>
        <w:rFonts w:hint="default"/>
      </w:rPr>
    </w:lvl>
    <w:lvl w:ilvl="2">
      <w:start w:val="0"/>
      <w:numFmt w:val="bullet"/>
      <w:lvlText w:val="•"/>
      <w:lvlJc w:val="left"/>
      <w:pPr>
        <w:ind w:left="2797" w:hanging="358"/>
      </w:pPr>
      <w:rPr>
        <w:rFonts w:hint="default"/>
      </w:rPr>
    </w:lvl>
    <w:lvl w:ilvl="3">
      <w:start w:val="0"/>
      <w:numFmt w:val="bullet"/>
      <w:lvlText w:val="•"/>
      <w:lvlJc w:val="left"/>
      <w:pPr>
        <w:ind w:left="3755" w:hanging="358"/>
      </w:pPr>
      <w:rPr>
        <w:rFonts w:hint="default"/>
      </w:rPr>
    </w:lvl>
    <w:lvl w:ilvl="4">
      <w:start w:val="0"/>
      <w:numFmt w:val="bullet"/>
      <w:lvlText w:val="•"/>
      <w:lvlJc w:val="left"/>
      <w:pPr>
        <w:ind w:left="4714" w:hanging="358"/>
      </w:pPr>
      <w:rPr>
        <w:rFonts w:hint="default"/>
      </w:rPr>
    </w:lvl>
    <w:lvl w:ilvl="5">
      <w:start w:val="0"/>
      <w:numFmt w:val="bullet"/>
      <w:lvlText w:val="•"/>
      <w:lvlJc w:val="left"/>
      <w:pPr>
        <w:ind w:left="5673" w:hanging="358"/>
      </w:pPr>
      <w:rPr>
        <w:rFonts w:hint="default"/>
      </w:rPr>
    </w:lvl>
    <w:lvl w:ilvl="6">
      <w:start w:val="0"/>
      <w:numFmt w:val="bullet"/>
      <w:lvlText w:val="•"/>
      <w:lvlJc w:val="left"/>
      <w:pPr>
        <w:ind w:left="6631" w:hanging="358"/>
      </w:pPr>
      <w:rPr>
        <w:rFonts w:hint="default"/>
      </w:rPr>
    </w:lvl>
    <w:lvl w:ilvl="7">
      <w:start w:val="0"/>
      <w:numFmt w:val="bullet"/>
      <w:lvlText w:val="•"/>
      <w:lvlJc w:val="left"/>
      <w:pPr>
        <w:ind w:left="7590" w:hanging="358"/>
      </w:pPr>
      <w:rPr>
        <w:rFonts w:hint="default"/>
      </w:rPr>
    </w:lvl>
    <w:lvl w:ilvl="8">
      <w:start w:val="0"/>
      <w:numFmt w:val="bullet"/>
      <w:lvlText w:val="•"/>
      <w:lvlJc w:val="left"/>
      <w:pPr>
        <w:ind w:left="8549" w:hanging="35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26"/>
      <w:ind w:left="2426" w:right="539" w:firstLine="322"/>
      <w:outlineLvl w:val="1"/>
    </w:pPr>
    <w:rPr>
      <w:rFonts w:ascii="黑体" w:hAnsi="黑体" w:eastAsia="黑体" w:cs="黑体"/>
      <w:b/>
      <w:bCs/>
      <w:sz w:val="32"/>
      <w:szCs w:val="32"/>
    </w:rPr>
  </w:style>
  <w:style w:styleId="Heading2" w:type="paragraph">
    <w:name w:val="Heading 2"/>
    <w:basedOn w:val="Normal"/>
    <w:uiPriority w:val="1"/>
    <w:qFormat/>
    <w:pPr>
      <w:spacing w:line="429" w:lineRule="exact"/>
      <w:ind w:left="160"/>
      <w:outlineLvl w:val="2"/>
    </w:pPr>
    <w:rPr>
      <w:rFonts w:ascii="黑体" w:hAnsi="黑体" w:eastAsia="黑体" w:cs="黑体"/>
      <w:b/>
      <w:bCs/>
      <w:sz w:val="21"/>
      <w:szCs w:val="21"/>
    </w:rPr>
  </w:style>
  <w:style w:styleId="Heading3" w:type="paragraph">
    <w:name w:val="Heading 3"/>
    <w:basedOn w:val="Normal"/>
    <w:uiPriority w:val="1"/>
    <w:qFormat/>
    <w:pPr>
      <w:ind w:left="272"/>
      <w:outlineLvl w:val="3"/>
    </w:pPr>
    <w:rPr>
      <w:rFonts w:ascii="宋体" w:hAnsi="宋体" w:eastAsia="宋体" w:cs="宋体"/>
      <w:sz w:val="21"/>
      <w:szCs w:val="21"/>
    </w:rPr>
  </w:style>
  <w:style w:styleId="ListParagraph" w:type="paragraph">
    <w:name w:val="List Paragraph"/>
    <w:basedOn w:val="Normal"/>
    <w:uiPriority w:val="1"/>
    <w:qFormat/>
    <w:pPr>
      <w:spacing w:before="70"/>
      <w:ind w:left="882" w:hanging="357"/>
    </w:pPr>
    <w:rPr>
      <w:rFonts w:ascii="宋体" w:hAnsi="宋体" w:eastAsia="宋体" w:cs="宋体"/>
    </w:rPr>
  </w:style>
  <w:style w:styleId="TableParagraph" w:type="paragraph">
    <w:name w:val="Table Paragraph"/>
    <w:basedOn w:val="Normal"/>
    <w:uiPriority w:val="1"/>
    <w:qFormat/>
    <w:pPr>
      <w:spacing w:before="10"/>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cpic</dc:creator>
  <dc:title>中国太平洋人寿保险股份有限公司</dc:title>
  <dcterms:created xsi:type="dcterms:W3CDTF">2018-10-19T23:52:37Z</dcterms:created>
  <dcterms:modified xsi:type="dcterms:W3CDTF">2018-10-19T23:52:37Z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2015-09-08T00:00:00Z</vt:filetime>
  </property>
  <property fmtid="{D5CDD505-2E9C-101B-9397-08002B2CF9AE}" pid="3" name="Creator">
    <vt:lpwstr>Microsoft® Word 2010</vt:lpwstr>
  </property>
  <property fmtid="{D5CDD505-2E9C-101B-9397-08002B2CF9AE}" pid="4" name="LastSaved">
    <vt:filetime>2018-10-19T00:00:00Z</vt:filetime>
  </property>
</Properties>
</file>