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
        <w:ind w:left="0" w:right="104" w:firstLine="0"/>
        <w:jc w:val="right"/>
        <w:rPr>
          <w:sz w:val="21"/>
        </w:rPr>
      </w:pPr>
      <w:r>
        <w:rPr/>
        <w:drawing>
          <wp:anchor distT="0" distB="0" distL="0" distR="0" allowOverlap="1" layoutInCell="1" locked="0" behindDoc="0" simplePos="0" relativeHeight="0">
            <wp:simplePos x="0" y="0"/>
            <wp:positionH relativeFrom="page">
              <wp:posOffset>6133338</wp:posOffset>
            </wp:positionH>
            <wp:positionV relativeFrom="paragraph">
              <wp:posOffset>240461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21"/>
        </w:rPr>
        <w:t>人保健康[2009]疾病保险 119 号</w:t>
      </w:r>
    </w:p>
    <w:p>
      <w:pPr>
        <w:spacing w:after="0"/>
        <w:jc w:val="right"/>
        <w:rPr>
          <w:sz w:val="21"/>
        </w:rPr>
        <w:sectPr>
          <w:type w:val="continuous"/>
          <w:pgSz w:w="11910" w:h="16840"/>
          <w:pgMar w:top="100" w:bottom="280" w:left="1680" w:right="100"/>
        </w:sectPr>
      </w:pPr>
    </w:p>
    <w:p>
      <w:pPr>
        <w:spacing w:before="25"/>
        <w:ind w:left="2586" w:right="0" w:firstLine="0"/>
        <w:jc w:val="left"/>
        <w:rPr>
          <w:b/>
          <w:sz w:val="24"/>
        </w:rPr>
      </w:pPr>
      <w:r>
        <w:rPr>
          <w:b/>
          <w:sz w:val="24"/>
        </w:rPr>
        <w:t>中国人民健康保险股份有限公司</w:t>
      </w:r>
    </w:p>
    <w:p>
      <w:pPr>
        <w:spacing w:before="9"/>
        <w:ind w:left="1498" w:right="0" w:firstLine="0"/>
        <w:jc w:val="left"/>
        <w:rPr>
          <w:sz w:val="21"/>
        </w:rPr>
      </w:pPr>
      <w:r>
        <w:rPr/>
        <w:br w:type="column"/>
      </w:r>
      <w:r>
        <w:rPr>
          <w:sz w:val="21"/>
        </w:rPr>
        <w:t>请扫描以查询验证条款</w:t>
      </w:r>
    </w:p>
    <w:p>
      <w:pPr>
        <w:spacing w:after="0"/>
        <w:jc w:val="left"/>
        <w:rPr>
          <w:sz w:val="21"/>
        </w:rPr>
        <w:sectPr>
          <w:type w:val="continuous"/>
          <w:pgSz w:w="11910" w:h="16840"/>
          <w:pgMar w:top="100" w:bottom="280" w:left="1680" w:right="100"/>
          <w:cols w:num="2" w:equalWidth="0">
            <w:col w:w="5961" w:space="40"/>
            <w:col w:w="4129"/>
          </w:cols>
        </w:sectPr>
      </w:pPr>
    </w:p>
    <w:p>
      <w:pPr>
        <w:spacing w:line="330" w:lineRule="exact" w:before="0"/>
        <w:ind w:left="999" w:right="0" w:firstLine="0"/>
        <w:jc w:val="left"/>
        <w:rPr>
          <w:b/>
          <w:sz w:val="24"/>
        </w:rPr>
      </w:pPr>
      <w:r>
        <w:rPr>
          <w:b/>
          <w:sz w:val="24"/>
        </w:rPr>
        <w:t>中国儿童少年基金会团体少儿重大疾病保险（明亚 </w:t>
      </w:r>
      <w:r>
        <w:rPr>
          <w:rFonts w:ascii="Times New Roman" w:eastAsia="Times New Roman"/>
          <w:b/>
          <w:sz w:val="24"/>
        </w:rPr>
        <w:t>B </w:t>
      </w:r>
      <w:r>
        <w:rPr>
          <w:b/>
          <w:sz w:val="24"/>
        </w:rPr>
        <w:t>款）条款</w:t>
      </w:r>
    </w:p>
    <w:p>
      <w:pPr>
        <w:pStyle w:val="BodyText"/>
        <w:spacing w:before="6"/>
        <w:ind w:left="0"/>
        <w:rPr>
          <w:b/>
          <w:sz w:val="21"/>
        </w:rPr>
      </w:pPr>
    </w:p>
    <w:p>
      <w:pPr>
        <w:spacing w:before="35"/>
        <w:ind w:left="3555" w:right="5132" w:firstLine="0"/>
        <w:jc w:val="center"/>
        <w:rPr>
          <w:b/>
          <w:sz w:val="21"/>
        </w:rPr>
      </w:pPr>
      <w:r>
        <w:rPr>
          <w:b/>
          <w:w w:val="95"/>
          <w:sz w:val="21"/>
        </w:rPr>
        <w:t>一、合同的构成</w:t>
      </w:r>
    </w:p>
    <w:p>
      <w:pPr>
        <w:pStyle w:val="Heading3"/>
        <w:numPr>
          <w:ilvl w:val="1"/>
          <w:numId w:val="1"/>
        </w:numPr>
        <w:tabs>
          <w:tab w:pos="527" w:val="left" w:leader="none"/>
        </w:tabs>
        <w:spacing w:line="240" w:lineRule="auto" w:before="62" w:after="0"/>
        <w:ind w:left="526" w:right="0" w:hanging="406"/>
        <w:jc w:val="left"/>
      </w:pPr>
      <w:r>
        <w:rPr>
          <w:w w:val="95"/>
        </w:rPr>
        <w:t>保险合同构成</w:t>
      </w:r>
    </w:p>
    <w:p>
      <w:pPr>
        <w:pStyle w:val="BodyText"/>
        <w:spacing w:line="300" w:lineRule="auto"/>
        <w:ind w:left="120" w:right="1635" w:firstLine="360"/>
      </w:pPr>
      <w:r>
        <w:rPr/>
        <w:t>中国儿童少年基金会团体少儿重大疾病保险（明亚 </w:t>
      </w:r>
      <w:r>
        <w:rPr>
          <w:rFonts w:ascii="Times New Roman" w:eastAsia="Times New Roman"/>
        </w:rPr>
        <w:t>B </w:t>
      </w:r>
      <w:r>
        <w:rPr/>
        <w:t>款）合同（以下简称本合同）由保险单及所附条款、与本合同有关的投保文件、被保险人名册、合法有效的声明、批注、附贴批单及其他书面协议构成。</w:t>
      </w:r>
    </w:p>
    <w:p>
      <w:pPr>
        <w:pStyle w:val="BodyText"/>
        <w:spacing w:before="2"/>
        <w:ind w:left="0"/>
        <w:rPr>
          <w:sz w:val="26"/>
        </w:rPr>
      </w:pPr>
    </w:p>
    <w:p>
      <w:pPr>
        <w:pStyle w:val="Heading3"/>
        <w:numPr>
          <w:ilvl w:val="1"/>
          <w:numId w:val="1"/>
        </w:numPr>
        <w:tabs>
          <w:tab w:pos="527" w:val="left" w:leader="none"/>
        </w:tabs>
        <w:spacing w:line="240" w:lineRule="auto" w:before="1" w:after="0"/>
        <w:ind w:left="526" w:right="0" w:hanging="406"/>
        <w:jc w:val="left"/>
      </w:pPr>
      <w:r>
        <w:rPr>
          <w:w w:val="95"/>
        </w:rPr>
        <w:t>投保范围</w:t>
      </w:r>
    </w:p>
    <w:p>
      <w:pPr>
        <w:pStyle w:val="BodyText"/>
        <w:spacing w:line="300" w:lineRule="auto" w:before="63"/>
        <w:ind w:left="120" w:right="1647" w:firstLine="360"/>
      </w:pPr>
      <w:r>
        <w:rPr>
          <w:spacing w:val="-2"/>
        </w:rPr>
        <w:t>被保险人：中华人民共和国境内</w:t>
      </w:r>
      <w:r>
        <w:rPr/>
        <w:t>（港澳台地区除外</w:t>
      </w:r>
      <w:r>
        <w:rPr>
          <w:spacing w:val="-91"/>
        </w:rPr>
        <w:t>）</w:t>
      </w:r>
      <w:r>
        <w:rPr>
          <w:spacing w:val="-11"/>
        </w:rPr>
        <w:t>，出生满 </w:t>
      </w:r>
      <w:r>
        <w:rPr>
          <w:rFonts w:ascii="Times New Roman" w:eastAsia="Times New Roman"/>
        </w:rPr>
        <w:t>30 </w:t>
      </w:r>
      <w:r>
        <w:rPr>
          <w:spacing w:val="-8"/>
        </w:rPr>
        <w:t>天并出院至 </w:t>
      </w:r>
      <w:r>
        <w:rPr>
          <w:rFonts w:ascii="Times New Roman" w:eastAsia="Times New Roman"/>
        </w:rPr>
        <w:t>18 </w:t>
      </w:r>
      <w:r>
        <w:rPr>
          <w:spacing w:val="-2"/>
        </w:rPr>
        <w:t>周岁</w:t>
      </w:r>
      <w:r>
        <w:rPr>
          <w:spacing w:val="0"/>
        </w:rPr>
        <w:t>（</w:t>
      </w:r>
      <w:r>
        <w:rPr/>
        <w:t>不含</w:t>
      </w:r>
      <w:r>
        <w:rPr>
          <w:spacing w:val="-3"/>
        </w:rPr>
        <w:t>）</w:t>
      </w:r>
      <w:r>
        <w:rPr>
          <w:spacing w:val="-2"/>
        </w:rPr>
        <w:t>以下，身体健康、能正常生活的少儿。</w:t>
      </w:r>
    </w:p>
    <w:p>
      <w:pPr>
        <w:pStyle w:val="BodyText"/>
        <w:spacing w:before="31"/>
      </w:pPr>
      <w:r>
        <w:rPr/>
        <w:t>投保人：对被保险人有保险利益的社会团体和个人。</w:t>
      </w:r>
    </w:p>
    <w:p>
      <w:pPr>
        <w:pStyle w:val="BodyText"/>
        <w:spacing w:before="0"/>
        <w:ind w:left="0"/>
      </w:pPr>
    </w:p>
    <w:p>
      <w:pPr>
        <w:pStyle w:val="Heading3"/>
        <w:numPr>
          <w:ilvl w:val="1"/>
          <w:numId w:val="1"/>
        </w:numPr>
        <w:tabs>
          <w:tab w:pos="527" w:val="left" w:leader="none"/>
        </w:tabs>
        <w:spacing w:line="240" w:lineRule="auto" w:before="152" w:after="0"/>
        <w:ind w:left="526" w:right="0" w:hanging="406"/>
        <w:jc w:val="left"/>
      </w:pPr>
      <w:r>
        <w:rPr>
          <w:w w:val="95"/>
        </w:rPr>
        <w:t>保险期间</w:t>
      </w:r>
    </w:p>
    <w:p>
      <w:pPr>
        <w:pStyle w:val="BodyText"/>
        <w:rPr>
          <w:rFonts w:ascii="Times New Roman" w:eastAsia="Times New Roman"/>
        </w:rPr>
      </w:pPr>
      <w:r>
        <w:rPr/>
        <w:t>本合同的保险期间是 </w:t>
      </w:r>
      <w:r>
        <w:rPr>
          <w:rFonts w:ascii="Times New Roman" w:eastAsia="Times New Roman"/>
        </w:rPr>
        <w:t>1 </w:t>
      </w:r>
      <w:r>
        <w:rPr/>
        <w:t>年，保险期间自本合同生效之时开始，至保险单上载明的保险期间期满日的 </w:t>
      </w:r>
      <w:r>
        <w:rPr>
          <w:rFonts w:ascii="Times New Roman" w:eastAsia="Times New Roman"/>
        </w:rPr>
        <w:t>24</w:t>
      </w:r>
    </w:p>
    <w:p>
      <w:pPr>
        <w:pStyle w:val="BodyText"/>
        <w:ind w:left="120"/>
      </w:pPr>
      <w:r>
        <w:rPr/>
        <w:t>时止。</w:t>
      </w:r>
    </w:p>
    <w:p>
      <w:pPr>
        <w:pStyle w:val="BodyText"/>
        <w:spacing w:before="0"/>
        <w:ind w:left="0"/>
      </w:pPr>
    </w:p>
    <w:p>
      <w:pPr>
        <w:pStyle w:val="Heading3"/>
        <w:numPr>
          <w:ilvl w:val="1"/>
          <w:numId w:val="1"/>
        </w:numPr>
        <w:tabs>
          <w:tab w:pos="526" w:val="left" w:leader="none"/>
        </w:tabs>
        <w:spacing w:line="240" w:lineRule="auto" w:before="152" w:after="0"/>
        <w:ind w:left="525" w:right="0" w:hanging="405"/>
        <w:jc w:val="left"/>
      </w:pPr>
      <w:r>
        <w:rPr>
          <w:w w:val="95"/>
        </w:rPr>
        <w:t>合同生效</w:t>
      </w:r>
    </w:p>
    <w:p>
      <w:pPr>
        <w:pStyle w:val="BodyText"/>
        <w:spacing w:before="21"/>
        <w:ind w:left="478"/>
      </w:pPr>
      <w:r>
        <w:rPr/>
        <w:t>投保人提出保险申请，本公司同意承保，本合同成立，合同成立日期于保险单上载明。</w:t>
      </w:r>
    </w:p>
    <w:p>
      <w:pPr>
        <w:pStyle w:val="BodyText"/>
        <w:spacing w:line="316" w:lineRule="auto" w:before="96"/>
        <w:ind w:left="478" w:right="1697"/>
      </w:pPr>
      <w:r>
        <w:rPr/>
        <w:t>除另有约定外，自本合同成立，本公司收取保险费并签发保险单的次日零时起本合同生效，本公司自载明于保险单上的生效日开始承担本合同约定的保险责任。</w:t>
      </w:r>
    </w:p>
    <w:p>
      <w:pPr>
        <w:pStyle w:val="BodyText"/>
        <w:spacing w:before="8"/>
        <w:ind w:left="0"/>
        <w:rPr>
          <w:sz w:val="20"/>
        </w:rPr>
      </w:pPr>
    </w:p>
    <w:p>
      <w:pPr>
        <w:pStyle w:val="Heading2"/>
        <w:ind w:left="3219"/>
        <w:jc w:val="left"/>
      </w:pPr>
      <w:r>
        <w:rPr>
          <w:w w:val="95"/>
        </w:rPr>
        <w:t>二、保险金额和保险费</w:t>
      </w:r>
    </w:p>
    <w:p>
      <w:pPr>
        <w:pStyle w:val="Heading3"/>
        <w:numPr>
          <w:ilvl w:val="1"/>
          <w:numId w:val="2"/>
        </w:numPr>
        <w:tabs>
          <w:tab w:pos="527" w:val="left" w:leader="none"/>
        </w:tabs>
        <w:spacing w:line="240" w:lineRule="auto" w:before="62" w:after="0"/>
        <w:ind w:left="526" w:right="0" w:hanging="406"/>
        <w:jc w:val="left"/>
      </w:pPr>
      <w:r>
        <w:rPr>
          <w:w w:val="95"/>
        </w:rPr>
        <w:t>保险金额</w:t>
      </w:r>
    </w:p>
    <w:p>
      <w:pPr>
        <w:pStyle w:val="BodyText"/>
        <w:ind w:left="540"/>
      </w:pPr>
      <w:r>
        <w:rPr/>
        <w:t>本合同的保险金额是 </w:t>
      </w:r>
      <w:r>
        <w:rPr>
          <w:rFonts w:ascii="Times New Roman" w:eastAsia="Times New Roman"/>
        </w:rPr>
        <w:t>10 </w:t>
      </w:r>
      <w:r>
        <w:rPr/>
        <w:t>万元，并在保险单上载明。</w:t>
      </w:r>
    </w:p>
    <w:p>
      <w:pPr>
        <w:pStyle w:val="BodyText"/>
        <w:spacing w:before="7"/>
        <w:ind w:left="0"/>
        <w:rPr>
          <w:sz w:val="28"/>
        </w:rPr>
      </w:pPr>
    </w:p>
    <w:p>
      <w:pPr>
        <w:pStyle w:val="Heading3"/>
        <w:numPr>
          <w:ilvl w:val="1"/>
          <w:numId w:val="2"/>
        </w:numPr>
        <w:tabs>
          <w:tab w:pos="527" w:val="left" w:leader="none"/>
        </w:tabs>
        <w:spacing w:line="240" w:lineRule="auto" w:before="0" w:after="0"/>
        <w:ind w:left="526" w:right="0" w:hanging="406"/>
        <w:jc w:val="left"/>
      </w:pPr>
      <w:r>
        <w:rPr>
          <w:w w:val="95"/>
        </w:rPr>
        <w:t>保险费</w:t>
      </w:r>
    </w:p>
    <w:p>
      <w:pPr>
        <w:pStyle w:val="BodyText"/>
        <w:spacing w:before="33"/>
        <w:ind w:left="540"/>
      </w:pPr>
      <w:r>
        <w:rPr/>
        <w:t>本合同的保险费由投保人在投保时一次缴清，并在保险单上载明。</w:t>
      </w:r>
    </w:p>
    <w:p>
      <w:pPr>
        <w:pStyle w:val="BodyText"/>
        <w:spacing w:before="9"/>
        <w:ind w:left="0"/>
        <w:rPr>
          <w:sz w:val="21"/>
        </w:rPr>
      </w:pPr>
    </w:p>
    <w:p>
      <w:pPr>
        <w:pStyle w:val="Heading2"/>
        <w:ind w:left="3324"/>
        <w:jc w:val="left"/>
      </w:pPr>
      <w:r>
        <w:rPr>
          <w:w w:val="95"/>
        </w:rPr>
        <w:t>三、合同的保障范围</w:t>
      </w:r>
    </w:p>
    <w:p>
      <w:pPr>
        <w:pStyle w:val="Heading3"/>
        <w:numPr>
          <w:ilvl w:val="1"/>
          <w:numId w:val="3"/>
        </w:numPr>
        <w:tabs>
          <w:tab w:pos="527" w:val="left" w:leader="none"/>
        </w:tabs>
        <w:spacing w:line="240" w:lineRule="auto" w:before="62" w:after="0"/>
        <w:ind w:left="526" w:right="0" w:hanging="406"/>
        <w:jc w:val="left"/>
      </w:pPr>
      <w:r>
        <w:rPr>
          <w:w w:val="95"/>
        </w:rPr>
        <w:t>保险责任</w:t>
      </w:r>
    </w:p>
    <w:p>
      <w:pPr>
        <w:pStyle w:val="BodyText"/>
        <w:spacing w:before="63"/>
      </w:pPr>
      <w:r>
        <w:rPr/>
        <w:t>在本合同有效期间内，本公司负有下列保险责任：</w:t>
      </w:r>
    </w:p>
    <w:p>
      <w:pPr>
        <w:pStyle w:val="BodyText"/>
        <w:spacing w:line="309" w:lineRule="auto" w:before="73"/>
        <w:ind w:left="120" w:right="1695" w:firstLine="360"/>
        <w:jc w:val="both"/>
      </w:pPr>
      <w:r>
        <w:rPr/>
        <w:t>被保险人在本合同生效</w:t>
      </w:r>
      <w:r>
        <w:rPr>
          <w:rFonts w:ascii="Times New Roman" w:hAnsi="Times New Roman" w:eastAsia="Times New Roman"/>
        </w:rPr>
        <w:t>60</w:t>
      </w:r>
      <w:r>
        <w:rPr/>
        <w:t>日后（续保自续保生效日起）并在保险期间内，经“医院”初次确诊罹患本</w:t>
      </w:r>
      <w:r>
        <w:rPr>
          <w:spacing w:val="-3"/>
        </w:rPr>
        <w:t>合同所定义的重大疾病</w:t>
      </w:r>
      <w:r>
        <w:rPr/>
        <w:t>（无论一种或多种</w:t>
      </w:r>
      <w:r>
        <w:rPr>
          <w:spacing w:val="-56"/>
        </w:rPr>
        <w:t>）</w:t>
      </w:r>
      <w:r>
        <w:rPr>
          <w:spacing w:val="-9"/>
        </w:rPr>
        <w:t>，本公司按本合同载明的保险金额给付重大疾病保险金，本合同对该被保险人的保险责任终止。</w:t>
      </w:r>
    </w:p>
    <w:p>
      <w:pPr>
        <w:pStyle w:val="BodyText"/>
        <w:spacing w:line="300" w:lineRule="auto" w:before="24"/>
        <w:ind w:left="120" w:right="1695" w:firstLine="360"/>
        <w:jc w:val="both"/>
      </w:pPr>
      <w:r>
        <w:rPr/>
        <w:t>被保险人在本合同生效</w:t>
      </w:r>
      <w:r>
        <w:rPr>
          <w:rFonts w:ascii="Times New Roman" w:hAnsi="Times New Roman" w:eastAsia="Times New Roman"/>
        </w:rPr>
        <w:t>60</w:t>
      </w:r>
      <w:r>
        <w:rPr>
          <w:spacing w:val="-7"/>
        </w:rPr>
        <w:t>日内</w:t>
      </w:r>
      <w:r>
        <w:rPr/>
        <w:t>（含</w:t>
      </w:r>
      <w:r>
        <w:rPr>
          <w:rFonts w:ascii="Times New Roman" w:hAnsi="Times New Roman" w:eastAsia="Times New Roman"/>
        </w:rPr>
        <w:t>60</w:t>
      </w:r>
      <w:r>
        <w:rPr/>
        <w:t>日</w:t>
      </w:r>
      <w:r>
        <w:rPr>
          <w:spacing w:val="-90"/>
        </w:rPr>
        <w:t>）</w:t>
      </w:r>
      <w:r>
        <w:rPr>
          <w:spacing w:val="-8"/>
        </w:rPr>
        <w:t>，经“医院”初次确诊罹患本合同所定义的重大疾病</w:t>
      </w:r>
      <w:r>
        <w:rPr/>
        <w:t>（无论一</w:t>
      </w:r>
      <w:r>
        <w:rPr>
          <w:spacing w:val="0"/>
        </w:rPr>
        <w:t>种或多种</w:t>
      </w:r>
      <w:r>
        <w:rPr>
          <w:spacing w:val="-89"/>
        </w:rPr>
        <w:t>）</w:t>
      </w:r>
      <w:r>
        <w:rPr>
          <w:spacing w:val="0"/>
        </w:rPr>
        <w:t>，本公司按本合同载明的保险金额的</w:t>
      </w:r>
      <w:r>
        <w:rPr>
          <w:rFonts w:ascii="Times New Roman" w:hAnsi="Times New Roman" w:eastAsia="Times New Roman"/>
        </w:rPr>
        <w:t>5</w:t>
      </w:r>
      <w:r>
        <w:rPr>
          <w:rFonts w:ascii="Times New Roman" w:hAnsi="Times New Roman" w:eastAsia="Times New Roman"/>
          <w:spacing w:val="0"/>
        </w:rPr>
        <w:t>%</w:t>
      </w:r>
      <w:r>
        <w:rPr/>
        <w:t>给付重大疾病保险金，本合同对该被保险人的保险责任终止。</w:t>
      </w:r>
    </w:p>
    <w:p>
      <w:pPr>
        <w:pStyle w:val="BodyText"/>
        <w:spacing w:before="31"/>
      </w:pPr>
      <w:r>
        <w:rPr/>
        <w:t>本合同定义的重大疾病载明于本合同第</w:t>
      </w:r>
      <w:r>
        <w:rPr>
          <w:rFonts w:ascii="Times New Roman" w:eastAsia="Times New Roman"/>
        </w:rPr>
        <w:t>6.1</w:t>
      </w:r>
      <w:r>
        <w:rPr/>
        <w:t>条。</w:t>
      </w:r>
    </w:p>
    <w:p>
      <w:pPr>
        <w:pStyle w:val="BodyText"/>
        <w:spacing w:before="11"/>
        <w:ind w:left="0"/>
        <w:rPr>
          <w:sz w:val="28"/>
        </w:rPr>
      </w:pPr>
    </w:p>
    <w:p>
      <w:pPr>
        <w:pStyle w:val="Heading3"/>
        <w:numPr>
          <w:ilvl w:val="1"/>
          <w:numId w:val="3"/>
        </w:numPr>
        <w:tabs>
          <w:tab w:pos="527" w:val="left" w:leader="none"/>
        </w:tabs>
        <w:spacing w:line="240" w:lineRule="auto" w:before="1" w:after="0"/>
        <w:ind w:left="526" w:right="0" w:hanging="406"/>
        <w:jc w:val="left"/>
      </w:pPr>
      <w:r>
        <w:rPr>
          <w:w w:val="95"/>
        </w:rPr>
        <w:t>保证续保</w:t>
      </w:r>
    </w:p>
    <w:p>
      <w:pPr>
        <w:pStyle w:val="BodyText"/>
        <w:spacing w:before="63"/>
        <w:ind w:left="540"/>
      </w:pPr>
      <w:r>
        <w:rPr/>
        <w:t>自本合同生效之日起，未发生保险事故的被保险人即享有对本险种的保证续保权。</w:t>
      </w:r>
    </w:p>
    <w:p>
      <w:pPr>
        <w:pStyle w:val="BodyText"/>
        <w:spacing w:line="316" w:lineRule="auto" w:before="76"/>
        <w:ind w:left="120" w:right="1695" w:firstLine="419"/>
        <w:jc w:val="both"/>
      </w:pPr>
      <w:r>
        <w:rPr>
          <w:spacing w:val="-3"/>
        </w:rPr>
        <w:t>保证续保指在续保时，本公司以被保险人首次投保时的状况作为风险评估依据，不会因为被保险人个人的风险状况变化，拒绝投保人为该被保险人继续投保本险种或者对该被保险人作增加保险费或约定除外</w:t>
      </w:r>
    </w:p>
    <w:p>
      <w:pPr>
        <w:spacing w:after="0" w:line="316" w:lineRule="auto"/>
        <w:jc w:val="both"/>
        <w:sectPr>
          <w:type w:val="continuous"/>
          <w:pgSz w:w="11910" w:h="16840"/>
          <w:pgMar w:top="100" w:bottom="280" w:left="1680" w:right="100"/>
        </w:sectPr>
      </w:pPr>
    </w:p>
    <w:p>
      <w:pPr>
        <w:pStyle w:val="BodyText"/>
        <w:spacing w:before="123"/>
        <w:ind w:left="120"/>
      </w:pPr>
      <w:r>
        <w:rPr/>
        <w:t>责任的处理。</w:t>
      </w:r>
    </w:p>
    <w:p>
      <w:pPr>
        <w:pStyle w:val="BodyText"/>
        <w:spacing w:line="297" w:lineRule="auto" w:before="35"/>
        <w:ind w:left="120" w:right="154" w:firstLine="360"/>
      </w:pPr>
      <w:r>
        <w:rPr/>
        <w:t>自被保险人获得本险种保证续保权之日起，如被保险人在保证续保期间内已发生本合同约定的保险事故的，或者被保险人的续保年龄达到 </w:t>
      </w:r>
      <w:r>
        <w:rPr>
          <w:rFonts w:ascii="Times New Roman" w:eastAsia="Times New Roman"/>
        </w:rPr>
        <w:t>18 </w:t>
      </w:r>
      <w:r>
        <w:rPr/>
        <w:t>周岁的，该被保险人的保证续保权自动终止。</w:t>
      </w:r>
    </w:p>
    <w:p>
      <w:pPr>
        <w:pStyle w:val="BodyText"/>
        <w:spacing w:line="316" w:lineRule="auto" w:before="34"/>
        <w:ind w:left="120" w:right="102" w:firstLine="419"/>
      </w:pPr>
      <w:r>
        <w:rPr/>
        <w:t>如投保人或被保险人有损害本公司利益的欺诈行为，或投保人未履行如实告知义务、未按时交纳保险费，本公司有权终止被保险人的保证续保权。</w:t>
      </w:r>
    </w:p>
    <w:p>
      <w:pPr>
        <w:pStyle w:val="BodyText"/>
        <w:spacing w:line="316" w:lineRule="auto" w:before="18"/>
        <w:ind w:left="120" w:right="102" w:firstLine="419"/>
      </w:pPr>
      <w:r>
        <w:rPr/>
        <w:t>如果本公司由于整体风险状况的变化，针对所有被保险人或同一投保年龄的所有被保险人调整保险费率，本公司会及时通知投保人按调整后的保险费率交纳保险费。</w:t>
      </w:r>
    </w:p>
    <w:p>
      <w:pPr>
        <w:pStyle w:val="BodyText"/>
        <w:spacing w:before="3"/>
        <w:ind w:left="0"/>
        <w:rPr>
          <w:sz w:val="25"/>
        </w:rPr>
      </w:pPr>
    </w:p>
    <w:p>
      <w:pPr>
        <w:pStyle w:val="Heading3"/>
        <w:numPr>
          <w:ilvl w:val="1"/>
          <w:numId w:val="3"/>
        </w:numPr>
        <w:tabs>
          <w:tab w:pos="527" w:val="left" w:leader="none"/>
        </w:tabs>
        <w:spacing w:line="240" w:lineRule="auto" w:before="0" w:after="0"/>
        <w:ind w:left="526" w:right="0" w:hanging="406"/>
        <w:jc w:val="left"/>
      </w:pPr>
      <w:r>
        <w:rPr>
          <w:w w:val="95"/>
        </w:rPr>
        <w:t>保险责任免除</w:t>
      </w:r>
    </w:p>
    <w:p>
      <w:pPr>
        <w:spacing w:line="316" w:lineRule="auto" w:before="62"/>
        <w:ind w:left="480" w:right="335" w:firstLine="1"/>
        <w:jc w:val="left"/>
        <w:rPr>
          <w:b/>
          <w:sz w:val="18"/>
        </w:rPr>
      </w:pPr>
      <w:r>
        <w:rPr>
          <w:b/>
          <w:w w:val="95"/>
          <w:sz w:val="18"/>
          <w:shd w:fill="CCCCCC" w:color="auto" w:val="clear"/>
        </w:rPr>
        <w:t>因下列情形之一，导致被保险人发生疾病、达到疾病状态或进行手术的，本公司不承担保险责任：   </w:t>
      </w:r>
      <w:r>
        <w:rPr>
          <w:b/>
          <w:sz w:val="18"/>
        </w:rPr>
        <w:t>一、 投保人对被保险人的故意杀害、故意伤害；</w:t>
      </w:r>
    </w:p>
    <w:p>
      <w:pPr>
        <w:spacing w:line="316" w:lineRule="auto" w:before="18"/>
        <w:ind w:left="480" w:right="2565" w:firstLine="0"/>
        <w:jc w:val="left"/>
        <w:rPr>
          <w:b/>
          <w:sz w:val="18"/>
        </w:rPr>
      </w:pPr>
      <w:r>
        <w:rPr>
          <w:b/>
          <w:sz w:val="18"/>
        </w:rPr>
        <w:t>二、 被保险人故意自伤、故意犯罪或抗拒依法采取的刑事强制措施； </w:t>
      </w:r>
      <w:r>
        <w:rPr>
          <w:b/>
          <w:w w:val="99"/>
          <w:sz w:val="18"/>
        </w:rPr>
        <w:t>三、</w:t>
      </w:r>
      <w:r>
        <w:rPr>
          <w:b/>
          <w:sz w:val="18"/>
        </w:rPr>
        <w:t> </w:t>
      </w:r>
      <w:r>
        <w:rPr>
          <w:b/>
          <w:w w:val="99"/>
          <w:sz w:val="18"/>
        </w:rPr>
        <w:t>被保险人主动服用、吸食或注射毒品；（见</w:t>
      </w:r>
      <w:r>
        <w:rPr>
          <w:b/>
          <w:sz w:val="18"/>
        </w:rPr>
        <w:t> </w:t>
      </w:r>
      <w:r>
        <w:rPr>
          <w:rFonts w:ascii="Times New Roman" w:eastAsia="Times New Roman"/>
          <w:b/>
          <w:sz w:val="18"/>
        </w:rPr>
        <w:t>6.2 </w:t>
      </w:r>
      <w:r>
        <w:rPr>
          <w:b/>
          <w:w w:val="99"/>
          <w:sz w:val="18"/>
        </w:rPr>
        <w:t>释义）</w:t>
      </w:r>
    </w:p>
    <w:p>
      <w:pPr>
        <w:spacing w:line="300" w:lineRule="auto" w:before="0"/>
        <w:ind w:left="480" w:right="125" w:firstLine="0"/>
        <w:jc w:val="left"/>
        <w:rPr>
          <w:b/>
          <w:sz w:val="18"/>
        </w:rPr>
      </w:pPr>
      <w:r>
        <w:rPr>
          <w:b/>
          <w:sz w:val="18"/>
        </w:rPr>
        <w:t>四、 被保险人酒后驾驶、无合法有效驾驶证驾驶，或驾驶无有效行驶证的机动车； （见 </w:t>
      </w:r>
      <w:r>
        <w:rPr>
          <w:rFonts w:ascii="Times New Roman" w:eastAsia="Times New Roman"/>
          <w:b/>
          <w:sz w:val="18"/>
        </w:rPr>
        <w:t>6.2 </w:t>
      </w:r>
      <w:r>
        <w:rPr>
          <w:b/>
          <w:sz w:val="18"/>
        </w:rPr>
        <w:t>释义） 五、 战争、军事冲突、暴乱或武装叛乱；</w:t>
      </w:r>
    </w:p>
    <w:p>
      <w:pPr>
        <w:spacing w:before="33"/>
        <w:ind w:left="480" w:right="0" w:firstLine="0"/>
        <w:jc w:val="left"/>
        <w:rPr>
          <w:b/>
          <w:sz w:val="18"/>
        </w:rPr>
      </w:pPr>
      <w:r>
        <w:rPr>
          <w:b/>
          <w:sz w:val="18"/>
        </w:rPr>
        <w:t>六、 核爆炸、核辐射或核污染；</w:t>
      </w:r>
    </w:p>
    <w:p>
      <w:pPr>
        <w:spacing w:before="76"/>
        <w:ind w:left="480" w:right="0" w:firstLine="0"/>
        <w:jc w:val="left"/>
        <w:rPr>
          <w:b/>
          <w:sz w:val="18"/>
        </w:rPr>
      </w:pPr>
      <w:r>
        <w:rPr>
          <w:b/>
          <w:sz w:val="18"/>
        </w:rPr>
        <w:t>七、 遗传性疾病，先天性畸形、变形或染色体异常。（见 </w:t>
      </w:r>
      <w:r>
        <w:rPr>
          <w:rFonts w:ascii="Times New Roman" w:eastAsia="Times New Roman"/>
          <w:b/>
          <w:sz w:val="18"/>
        </w:rPr>
        <w:t>6.2 </w:t>
      </w:r>
      <w:r>
        <w:rPr>
          <w:b/>
          <w:sz w:val="18"/>
        </w:rPr>
        <w:t>释义）</w:t>
      </w:r>
    </w:p>
    <w:p>
      <w:pPr>
        <w:spacing w:line="309" w:lineRule="auto" w:before="62"/>
        <w:ind w:left="120" w:right="110" w:firstLine="361"/>
        <w:jc w:val="both"/>
        <w:rPr>
          <w:b/>
          <w:sz w:val="18"/>
        </w:rPr>
      </w:pPr>
      <w:r>
        <w:rPr>
          <w:b/>
          <w:sz w:val="18"/>
        </w:rPr>
        <w:t>因上述情况导致被保险人初次发生本合同约定的重大疾病的，对该被保险人的保险责任终止，本公司向投保人退还该被保险人的现金价值（</w:t>
      </w:r>
      <w:r>
        <w:rPr>
          <w:b/>
          <w:spacing w:val="-25"/>
          <w:sz w:val="18"/>
        </w:rPr>
        <w:t>见 </w:t>
      </w:r>
      <w:r>
        <w:rPr>
          <w:rFonts w:ascii="Times New Roman" w:eastAsia="Times New Roman"/>
          <w:b/>
          <w:sz w:val="18"/>
        </w:rPr>
        <w:t>6.2 </w:t>
      </w:r>
      <w:r>
        <w:rPr>
          <w:b/>
          <w:sz w:val="18"/>
        </w:rPr>
        <w:t>释义</w:t>
      </w:r>
      <w:r>
        <w:rPr>
          <w:b/>
          <w:spacing w:val="-90"/>
          <w:sz w:val="18"/>
        </w:rPr>
        <w:t>）</w:t>
      </w:r>
      <w:r>
        <w:rPr>
          <w:b/>
          <w:sz w:val="18"/>
        </w:rPr>
        <w:t>。但因投保人对被保险人的故意杀害、故意伤害导致被</w:t>
      </w:r>
      <w:r>
        <w:rPr>
          <w:b/>
          <w:w w:val="95"/>
          <w:sz w:val="18"/>
        </w:rPr>
        <w:t>保险人初次发生本合同约定的重大疾病的，本公司向受益人退还该被保险人的现金价值。</w:t>
      </w:r>
    </w:p>
    <w:p>
      <w:pPr>
        <w:pStyle w:val="BodyText"/>
        <w:spacing w:before="0"/>
        <w:ind w:left="0"/>
        <w:rPr>
          <w:b/>
          <w:sz w:val="21"/>
        </w:rPr>
      </w:pPr>
    </w:p>
    <w:p>
      <w:pPr>
        <w:spacing w:before="35"/>
        <w:ind w:left="3688" w:right="3259" w:firstLine="0"/>
        <w:jc w:val="center"/>
        <w:rPr>
          <w:b/>
          <w:sz w:val="21"/>
        </w:rPr>
      </w:pPr>
      <w:r>
        <w:rPr>
          <w:b/>
          <w:w w:val="95"/>
          <w:sz w:val="21"/>
        </w:rPr>
        <w:t>四、保险金的领取</w:t>
      </w:r>
    </w:p>
    <w:p>
      <w:pPr>
        <w:pStyle w:val="ListParagraph"/>
        <w:numPr>
          <w:ilvl w:val="1"/>
          <w:numId w:val="4"/>
        </w:numPr>
        <w:tabs>
          <w:tab w:pos="527" w:val="left" w:leader="none"/>
        </w:tabs>
        <w:spacing w:line="240" w:lineRule="auto" w:before="62" w:after="0"/>
        <w:ind w:left="526" w:right="0" w:hanging="406"/>
        <w:jc w:val="left"/>
        <w:rPr>
          <w:b/>
          <w:sz w:val="18"/>
        </w:rPr>
      </w:pPr>
      <w:r>
        <w:rPr>
          <w:b/>
          <w:w w:val="95"/>
          <w:sz w:val="18"/>
        </w:rPr>
        <w:t>保险事故的通知</w:t>
      </w:r>
    </w:p>
    <w:p>
      <w:pPr>
        <w:pStyle w:val="BodyText"/>
        <w:spacing w:before="22"/>
      </w:pPr>
      <w:r>
        <w:rPr/>
        <w:t>投保人、被保险人或受益人知道保险事故发生后应当在 </w:t>
      </w:r>
      <w:r>
        <w:rPr>
          <w:rFonts w:ascii="Times New Roman" w:eastAsia="Times New Roman"/>
        </w:rPr>
        <w:t>10 </w:t>
      </w:r>
      <w:r>
        <w:rPr/>
        <w:t>日内通知本公司。</w:t>
      </w:r>
    </w:p>
    <w:p>
      <w:pPr>
        <w:pStyle w:val="BodyText"/>
        <w:spacing w:line="316" w:lineRule="auto" w:before="83"/>
        <w:ind w:left="478" w:right="107"/>
        <w:jc w:val="both"/>
      </w:pPr>
      <w:r>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3"/>
        <w:ind w:left="0"/>
        <w:rPr>
          <w:sz w:val="25"/>
        </w:rPr>
      </w:pPr>
    </w:p>
    <w:p>
      <w:pPr>
        <w:pStyle w:val="Heading3"/>
        <w:numPr>
          <w:ilvl w:val="1"/>
          <w:numId w:val="4"/>
        </w:numPr>
        <w:tabs>
          <w:tab w:pos="527" w:val="left" w:leader="none"/>
        </w:tabs>
        <w:spacing w:line="240" w:lineRule="auto" w:before="0" w:after="0"/>
        <w:ind w:left="526" w:right="0" w:hanging="406"/>
        <w:jc w:val="left"/>
      </w:pPr>
      <w:r>
        <w:rPr>
          <w:w w:val="95"/>
        </w:rPr>
        <w:t>保险金的申请</w:t>
      </w:r>
    </w:p>
    <w:p>
      <w:pPr>
        <w:pStyle w:val="BodyText"/>
      </w:pPr>
      <w:r>
        <w:rPr/>
        <w:t>一、由被保险人或其监护人作为申请人，凭下列证明和资料的原件向本公司申请给付保险金：</w:t>
      </w:r>
    </w:p>
    <w:p>
      <w:pPr>
        <w:pStyle w:val="ListParagraph"/>
        <w:numPr>
          <w:ilvl w:val="2"/>
          <w:numId w:val="4"/>
        </w:numPr>
        <w:tabs>
          <w:tab w:pos="959" w:val="left" w:leader="none"/>
          <w:tab w:pos="961" w:val="left" w:leader="none"/>
        </w:tabs>
        <w:spacing w:line="240" w:lineRule="auto" w:before="76" w:after="0"/>
        <w:ind w:left="960" w:right="0" w:hanging="420"/>
        <w:jc w:val="left"/>
        <w:rPr>
          <w:sz w:val="18"/>
        </w:rPr>
      </w:pPr>
      <w:r>
        <w:rPr>
          <w:sz w:val="18"/>
        </w:rPr>
        <w:t>填写的完整准确的本公司提供的领取保险金申请书；</w:t>
      </w:r>
    </w:p>
    <w:p>
      <w:pPr>
        <w:pStyle w:val="ListParagraph"/>
        <w:numPr>
          <w:ilvl w:val="2"/>
          <w:numId w:val="4"/>
        </w:numPr>
        <w:tabs>
          <w:tab w:pos="959" w:val="left" w:leader="none"/>
          <w:tab w:pos="961" w:val="left" w:leader="none"/>
        </w:tabs>
        <w:spacing w:line="240" w:lineRule="auto" w:before="62" w:after="0"/>
        <w:ind w:left="960" w:right="0" w:hanging="420"/>
        <w:jc w:val="left"/>
        <w:rPr>
          <w:sz w:val="18"/>
        </w:rPr>
      </w:pPr>
      <w:r>
        <w:rPr>
          <w:sz w:val="18"/>
        </w:rPr>
        <w:t>保险单；</w:t>
      </w:r>
    </w:p>
    <w:p>
      <w:pPr>
        <w:pStyle w:val="ListParagraph"/>
        <w:numPr>
          <w:ilvl w:val="2"/>
          <w:numId w:val="4"/>
        </w:numPr>
        <w:tabs>
          <w:tab w:pos="959" w:val="left" w:leader="none"/>
          <w:tab w:pos="961" w:val="left" w:leader="none"/>
        </w:tabs>
        <w:spacing w:line="240" w:lineRule="auto" w:before="62" w:after="0"/>
        <w:ind w:left="960" w:right="0" w:hanging="420"/>
        <w:jc w:val="left"/>
        <w:rPr>
          <w:sz w:val="18"/>
        </w:rPr>
      </w:pPr>
      <w:r>
        <w:rPr>
          <w:sz w:val="18"/>
        </w:rPr>
        <w:t>被保险人和其监护人的户籍证明、身份证件与关系证明；</w:t>
      </w:r>
    </w:p>
    <w:p>
      <w:pPr>
        <w:pStyle w:val="ListParagraph"/>
        <w:numPr>
          <w:ilvl w:val="2"/>
          <w:numId w:val="4"/>
        </w:numPr>
        <w:tabs>
          <w:tab w:pos="959" w:val="left" w:leader="none"/>
          <w:tab w:pos="961" w:val="left" w:leader="none"/>
        </w:tabs>
        <w:spacing w:line="240" w:lineRule="auto" w:before="62" w:after="0"/>
        <w:ind w:left="960" w:right="0" w:hanging="420"/>
        <w:jc w:val="left"/>
        <w:rPr>
          <w:sz w:val="18"/>
        </w:rPr>
      </w:pPr>
      <w:r>
        <w:rPr>
          <w:sz w:val="18"/>
        </w:rPr>
        <w:t>“医院”出具的附有病理显微镜检查、血液检验及其他科学方法检验报告的疾病诊断证明书；</w:t>
      </w:r>
    </w:p>
    <w:p>
      <w:pPr>
        <w:pStyle w:val="ListParagraph"/>
        <w:numPr>
          <w:ilvl w:val="2"/>
          <w:numId w:val="4"/>
        </w:numPr>
        <w:tabs>
          <w:tab w:pos="959" w:val="left" w:leader="none"/>
          <w:tab w:pos="961" w:val="left" w:leader="none"/>
        </w:tabs>
        <w:spacing w:line="240" w:lineRule="auto" w:before="62" w:after="0"/>
        <w:ind w:left="960" w:right="0" w:hanging="420"/>
        <w:jc w:val="left"/>
        <w:rPr>
          <w:sz w:val="18"/>
        </w:rPr>
      </w:pPr>
      <w:r>
        <w:rPr>
          <w:sz w:val="18"/>
        </w:rPr>
        <w:t>被保险人或其监护人能提供的与确认保险事故的性质、原因等相关的证明、资料。</w:t>
      </w:r>
    </w:p>
    <w:p>
      <w:pPr>
        <w:pStyle w:val="BodyText"/>
        <w:spacing w:line="316" w:lineRule="auto"/>
        <w:ind w:left="119" w:right="110" w:firstLine="360"/>
      </w:pPr>
      <w:r>
        <w:rPr/>
        <w:t>若本公司认为申请给付保险金所需的上述证明或资料不符合要求或不完整，本公司将及时一次性通知申请人补充提供有关证明和资料。</w:t>
      </w:r>
    </w:p>
    <w:p>
      <w:pPr>
        <w:pStyle w:val="BodyText"/>
        <w:spacing w:line="316" w:lineRule="auto" w:before="18"/>
        <w:ind w:left="119" w:right="110" w:firstLine="360"/>
      </w:pPr>
      <w:r>
        <w:rPr/>
        <w:t>如委托他人领取保险金，受托人除提供上述所有证明和资料外，必须另行出具有授权人亲笔签字的授权委托书和受托人身份证明正本。</w:t>
      </w:r>
    </w:p>
    <w:p>
      <w:pPr>
        <w:pStyle w:val="BodyText"/>
        <w:spacing w:line="316" w:lineRule="auto" w:before="18"/>
        <w:ind w:left="839" w:right="109" w:hanging="360"/>
      </w:pPr>
      <w:r>
        <w:rPr/>
        <w:t>二、若被保险人在领取保险金之前已身故，本公司将保险金视为被保险人的遗产，并向被保险人的合法继承人履行给付保险金的义务。</w:t>
      </w:r>
    </w:p>
    <w:p>
      <w:pPr>
        <w:pStyle w:val="BodyText"/>
        <w:spacing w:before="18"/>
        <w:ind w:left="479"/>
      </w:pPr>
      <w:r>
        <w:rPr/>
        <w:t>三、申请人对本公司请求给付保险金的权利，自其知道保险事故发生之日起二年不行使而消灭。</w:t>
      </w:r>
    </w:p>
    <w:p>
      <w:pPr>
        <w:spacing w:after="0"/>
        <w:sectPr>
          <w:pgSz w:w="11910" w:h="16840"/>
          <w:pgMar w:top="1600" w:bottom="280" w:left="1680" w:right="1640"/>
        </w:sectPr>
      </w:pPr>
    </w:p>
    <w:p>
      <w:pPr>
        <w:pStyle w:val="Heading3"/>
        <w:numPr>
          <w:ilvl w:val="1"/>
          <w:numId w:val="4"/>
        </w:numPr>
        <w:tabs>
          <w:tab w:pos="527" w:val="left" w:leader="none"/>
        </w:tabs>
        <w:spacing w:line="240" w:lineRule="auto" w:before="82" w:after="0"/>
        <w:ind w:left="526" w:right="0" w:hanging="406"/>
        <w:jc w:val="left"/>
      </w:pPr>
      <w:r>
        <w:rPr>
          <w:w w:val="95"/>
        </w:rPr>
        <w:t>理赔时效</w:t>
      </w:r>
    </w:p>
    <w:p>
      <w:pPr>
        <w:pStyle w:val="BodyText"/>
        <w:spacing w:line="316" w:lineRule="auto" w:before="25"/>
        <w:ind w:left="840" w:right="132" w:hanging="360"/>
        <w:jc w:val="both"/>
      </w:pPr>
      <w:r>
        <w:rPr/>
        <w:t>一、本公司在收到申请人的保险金给付申请书及相关证明和资料后，对确定属于保险责任的，在与申</w:t>
      </w:r>
      <w:r>
        <w:rPr>
          <w:spacing w:val="-3"/>
        </w:rPr>
        <w:t>请人达成有关给付保险金数额的协议后 </w:t>
      </w:r>
      <w:r>
        <w:rPr>
          <w:rFonts w:ascii="Times New Roman" w:eastAsia="Times New Roman"/>
        </w:rPr>
        <w:t>10 </w:t>
      </w:r>
      <w:r>
        <w:rPr/>
        <w:t>日内，履行给付保险金的义务；对不属于保险责任的，</w:t>
      </w:r>
    </w:p>
    <w:p>
      <w:pPr>
        <w:pStyle w:val="BodyText"/>
        <w:spacing w:line="248" w:lineRule="exact" w:before="0"/>
        <w:ind w:left="840"/>
      </w:pPr>
      <w:r>
        <w:rPr/>
        <w:t>本公司将于 </w:t>
      </w:r>
      <w:r>
        <w:rPr>
          <w:rFonts w:ascii="Times New Roman" w:eastAsia="Times New Roman"/>
        </w:rPr>
        <w:t>3 </w:t>
      </w:r>
      <w:r>
        <w:rPr/>
        <w:t>日内以书面的形式通知被保险人或其监护人。</w:t>
      </w:r>
    </w:p>
    <w:p>
      <w:pPr>
        <w:pStyle w:val="BodyText"/>
        <w:spacing w:line="309" w:lineRule="auto" w:before="63"/>
        <w:ind w:left="840" w:right="149" w:hanging="361"/>
        <w:jc w:val="both"/>
      </w:pPr>
      <w:r>
        <w:rPr>
          <w:spacing w:val="-2"/>
        </w:rPr>
        <w:t>二、本公司自收到申请人的保险金给付申请书及上述有关证明和资料之日起 </w:t>
      </w:r>
      <w:r>
        <w:rPr>
          <w:rFonts w:ascii="Times New Roman" w:eastAsia="Times New Roman"/>
        </w:rPr>
        <w:t>10 </w:t>
      </w:r>
      <w:r>
        <w:rPr>
          <w:spacing w:val="-4"/>
        </w:rPr>
        <w:t>日内，对属于保险责任而给付保险金的数额不能确定的，根据已有证明和资料，按可以确定的最低数额先予以支付，本公司最终确定给付保险金的数额后，给付相应的差额。</w:t>
      </w:r>
    </w:p>
    <w:p>
      <w:pPr>
        <w:pStyle w:val="BodyText"/>
        <w:spacing w:before="0"/>
        <w:ind w:left="0"/>
        <w:rPr>
          <w:sz w:val="21"/>
        </w:rPr>
      </w:pPr>
    </w:p>
    <w:p>
      <w:pPr>
        <w:pStyle w:val="Heading2"/>
        <w:ind w:right="180"/>
      </w:pPr>
      <w:r>
        <w:rPr>
          <w:w w:val="95"/>
        </w:rPr>
        <w:t>五、合同的一般条款</w:t>
      </w:r>
    </w:p>
    <w:p>
      <w:pPr>
        <w:pStyle w:val="Heading3"/>
        <w:numPr>
          <w:ilvl w:val="1"/>
          <w:numId w:val="5"/>
        </w:numPr>
        <w:tabs>
          <w:tab w:pos="527" w:val="left" w:leader="none"/>
        </w:tabs>
        <w:spacing w:line="240" w:lineRule="auto" w:before="62" w:after="0"/>
        <w:ind w:left="526" w:right="0" w:hanging="406"/>
        <w:jc w:val="left"/>
      </w:pPr>
      <w:r>
        <w:rPr>
          <w:w w:val="95"/>
        </w:rPr>
        <w:t>如实告知</w:t>
      </w:r>
    </w:p>
    <w:p>
      <w:pPr>
        <w:pStyle w:val="BodyText"/>
        <w:spacing w:line="316" w:lineRule="auto" w:before="63"/>
        <w:ind w:left="120" w:right="194" w:firstLine="360"/>
      </w:pPr>
      <w:r>
        <w:rPr/>
        <w:t>订立本合同时，本公司应向投保人明确说明本合同的条款内容，特别是责任免除条款，并可以就投保人、被保险人和其监护人的有关情况提出书面询问，投保人应当如实告知。</w:t>
      </w:r>
    </w:p>
    <w:p>
      <w:pPr>
        <w:pStyle w:val="BodyText"/>
        <w:spacing w:line="316" w:lineRule="auto" w:before="19"/>
        <w:ind w:left="120" w:right="194" w:firstLine="360"/>
        <w:jc w:val="right"/>
      </w:pPr>
      <w:r>
        <w:rPr/>
        <w:t>投保人故意或者因重大过失未履行如实告知义务，足以影响本公司决定是否同意承保或者提高保险费率的，本公司有权解除合同。自本公司知道有解除事由之日起，超过三十日不行使而消灭。自合同成立之日起超过二年的，本公司不得解除合同；发生保险事故的，本公司应当承担赔偿或者给付保险金的责任。投保人故意不履行如实告知义务的，本公司对于合同解除前发生的保险事故，不承担赔偿或者给付保</w:t>
      </w:r>
    </w:p>
    <w:p>
      <w:pPr>
        <w:pStyle w:val="BodyText"/>
        <w:spacing w:line="316" w:lineRule="auto" w:before="19"/>
        <w:ind w:left="120" w:right="107"/>
      </w:pPr>
      <w:r>
        <w:rPr>
          <w:spacing w:val="-7"/>
        </w:rPr>
        <w:t>险金的责任，并不退还保险费。投保人因重大过失未履行如实告知义务，对保险事故的发生有严重影响的， 本公司对于合同解除前发生的保险事故，不承担赔偿或者给付保险金的责任，但应当退还保险费。本公司在合同订立时已经知道投保人未如实告知的情况的，本公司不得解除合同；发生保险事故的，本公司应当承担赔偿或者给付保险金的责任。</w:t>
      </w:r>
    </w:p>
    <w:p>
      <w:pPr>
        <w:pStyle w:val="BodyText"/>
        <w:spacing w:before="3"/>
        <w:ind w:left="0"/>
        <w:rPr>
          <w:sz w:val="25"/>
        </w:rPr>
      </w:pPr>
    </w:p>
    <w:p>
      <w:pPr>
        <w:pStyle w:val="Heading3"/>
        <w:numPr>
          <w:ilvl w:val="1"/>
          <w:numId w:val="5"/>
        </w:numPr>
        <w:tabs>
          <w:tab w:pos="527" w:val="left" w:leader="none"/>
        </w:tabs>
        <w:spacing w:line="240" w:lineRule="auto" w:before="0" w:after="0"/>
        <w:ind w:left="526" w:right="0" w:hanging="406"/>
        <w:jc w:val="left"/>
      </w:pPr>
      <w:r>
        <w:rPr>
          <w:w w:val="95"/>
        </w:rPr>
        <w:t>受益人</w:t>
      </w:r>
    </w:p>
    <w:p>
      <w:pPr>
        <w:pStyle w:val="BodyText"/>
        <w:ind w:left="539"/>
      </w:pPr>
      <w:r>
        <w:rPr/>
        <w:t>除另有指定外，本合同的受益人为被保险人本人。</w:t>
      </w:r>
    </w:p>
    <w:p>
      <w:pPr>
        <w:pStyle w:val="BodyText"/>
        <w:spacing w:before="0"/>
        <w:ind w:left="0"/>
      </w:pPr>
    </w:p>
    <w:p>
      <w:pPr>
        <w:pStyle w:val="Heading3"/>
        <w:numPr>
          <w:ilvl w:val="1"/>
          <w:numId w:val="5"/>
        </w:numPr>
        <w:tabs>
          <w:tab w:pos="527" w:val="left" w:leader="none"/>
        </w:tabs>
        <w:spacing w:line="240" w:lineRule="auto" w:before="153" w:after="0"/>
        <w:ind w:left="526" w:right="0" w:hanging="406"/>
        <w:jc w:val="left"/>
      </w:pPr>
      <w:r>
        <w:rPr>
          <w:w w:val="95"/>
        </w:rPr>
        <w:t>合同内容的变更</w:t>
      </w:r>
    </w:p>
    <w:p>
      <w:pPr>
        <w:pStyle w:val="BodyText"/>
        <w:spacing w:line="316" w:lineRule="auto" w:before="63"/>
        <w:ind w:left="120" w:right="194" w:firstLine="419"/>
      </w:pPr>
      <w:r>
        <w:rPr>
          <w:spacing w:val="-4"/>
        </w:rPr>
        <w:t>在本合同有效期内，经投保人和本公司协商，可以变更本合同的有关内容，由本公司在保险单上批注或者附贴批单。</w:t>
      </w:r>
    </w:p>
    <w:p>
      <w:pPr>
        <w:pStyle w:val="BodyText"/>
        <w:spacing w:before="3"/>
        <w:ind w:left="0"/>
        <w:rPr>
          <w:sz w:val="25"/>
        </w:rPr>
      </w:pPr>
    </w:p>
    <w:p>
      <w:pPr>
        <w:pStyle w:val="Heading3"/>
        <w:numPr>
          <w:ilvl w:val="1"/>
          <w:numId w:val="5"/>
        </w:numPr>
        <w:tabs>
          <w:tab w:pos="527" w:val="left" w:leader="none"/>
        </w:tabs>
        <w:spacing w:line="240" w:lineRule="auto" w:before="0" w:after="0"/>
        <w:ind w:left="526" w:right="0" w:hanging="406"/>
        <w:jc w:val="left"/>
      </w:pPr>
      <w:r>
        <w:rPr>
          <w:w w:val="95"/>
        </w:rPr>
        <w:t>年龄的计算及年龄错误的处理</w:t>
      </w:r>
    </w:p>
    <w:p>
      <w:pPr>
        <w:pStyle w:val="BodyText"/>
      </w:pPr>
      <w:r>
        <w:rPr/>
        <w:t>被保险人的年龄以周岁计算，并由投保人在投保本合同时向本公司申报。</w:t>
      </w:r>
    </w:p>
    <w:p>
      <w:pPr>
        <w:pStyle w:val="BodyText"/>
        <w:spacing w:line="316" w:lineRule="auto" w:before="76"/>
        <w:ind w:left="120" w:right="194" w:firstLine="360"/>
      </w:pPr>
      <w:r>
        <w:rPr/>
        <w:t>投保人申报的被保险人年龄不真实，并且其真实年龄不在本合同承保范围之内的，本公司对该被保险人不承担保险责任，并向投保人无息退还该被保险人相应的保费。</w:t>
      </w:r>
    </w:p>
    <w:p>
      <w:pPr>
        <w:pStyle w:val="BodyText"/>
        <w:spacing w:before="3"/>
        <w:ind w:left="0"/>
        <w:rPr>
          <w:sz w:val="25"/>
        </w:rPr>
      </w:pPr>
    </w:p>
    <w:p>
      <w:pPr>
        <w:pStyle w:val="Heading3"/>
        <w:numPr>
          <w:ilvl w:val="1"/>
          <w:numId w:val="5"/>
        </w:numPr>
        <w:tabs>
          <w:tab w:pos="527" w:val="left" w:leader="none"/>
        </w:tabs>
        <w:spacing w:line="240" w:lineRule="auto" w:before="0" w:after="0"/>
        <w:ind w:left="526" w:right="0" w:hanging="406"/>
        <w:jc w:val="left"/>
      </w:pPr>
      <w:r>
        <w:rPr>
          <w:w w:val="95"/>
        </w:rPr>
        <w:t>投保人解除合同的处理</w:t>
      </w:r>
    </w:p>
    <w:p>
      <w:pPr>
        <w:pStyle w:val="BodyText"/>
        <w:ind w:left="478"/>
      </w:pPr>
      <w:r>
        <w:rPr/>
        <w:t>投保人于本合同成立后，不得要求解除本合同。</w:t>
      </w:r>
    </w:p>
    <w:p>
      <w:pPr>
        <w:pStyle w:val="BodyText"/>
        <w:spacing w:before="0"/>
        <w:ind w:left="0"/>
      </w:pPr>
    </w:p>
    <w:p>
      <w:pPr>
        <w:pStyle w:val="Heading3"/>
        <w:numPr>
          <w:ilvl w:val="1"/>
          <w:numId w:val="5"/>
        </w:numPr>
        <w:tabs>
          <w:tab w:pos="527" w:val="left" w:leader="none"/>
        </w:tabs>
        <w:spacing w:line="240" w:lineRule="auto" w:before="152" w:after="0"/>
        <w:ind w:left="526" w:right="0" w:hanging="406"/>
        <w:jc w:val="left"/>
      </w:pPr>
      <w:r>
        <w:rPr>
          <w:w w:val="95"/>
        </w:rPr>
        <w:t>争议处理</w:t>
      </w:r>
    </w:p>
    <w:p>
      <w:pPr>
        <w:pStyle w:val="BodyText"/>
        <w:ind w:left="390"/>
      </w:pPr>
      <w:r>
        <w:rPr/>
        <w:t>本合同争议的解决方式，由当事人在合同中约定从下列两种方式中选择一种：</w:t>
      </w:r>
    </w:p>
    <w:p>
      <w:pPr>
        <w:pStyle w:val="BodyText"/>
        <w:spacing w:line="300" w:lineRule="auto" w:before="76"/>
        <w:ind w:right="762"/>
      </w:pPr>
      <w:r>
        <w:rPr/>
        <w:t>一、因履行本合同发生的争议，由当事人协商解决，协商不成的，提交</w:t>
      </w:r>
      <w:r>
        <w:rPr>
          <w:rFonts w:ascii="Times New Roman" w:hAnsi="Times New Roman" w:eastAsia="Times New Roman"/>
        </w:rPr>
        <w:t>×××</w:t>
      </w:r>
      <w:r>
        <w:rPr/>
        <w:t>仲裁委员会仲裁； 二、因履行本合同发生的争议，由当事人协商解决，协商不成的，依法向人民法院提起诉讼。</w:t>
      </w:r>
    </w:p>
    <w:p>
      <w:pPr>
        <w:pStyle w:val="BodyText"/>
        <w:spacing w:before="3"/>
        <w:ind w:left="0"/>
        <w:rPr>
          <w:sz w:val="26"/>
        </w:rPr>
      </w:pPr>
    </w:p>
    <w:p>
      <w:pPr>
        <w:pStyle w:val="Heading3"/>
        <w:numPr>
          <w:ilvl w:val="1"/>
          <w:numId w:val="5"/>
        </w:numPr>
        <w:tabs>
          <w:tab w:pos="527" w:val="left" w:leader="none"/>
        </w:tabs>
        <w:spacing w:line="240" w:lineRule="auto" w:before="0" w:after="0"/>
        <w:ind w:left="526" w:right="0" w:hanging="406"/>
        <w:jc w:val="left"/>
      </w:pPr>
      <w:r>
        <w:rPr>
          <w:w w:val="95"/>
        </w:rPr>
        <w:t>货币单位</w:t>
      </w:r>
    </w:p>
    <w:p>
      <w:pPr>
        <w:pStyle w:val="BodyText"/>
      </w:pPr>
      <w:r>
        <w:rPr/>
        <w:t>除另有约定外，本合同项下的货币单位均为人民币元。</w:t>
      </w:r>
    </w:p>
    <w:p>
      <w:pPr>
        <w:spacing w:after="0"/>
        <w:sectPr>
          <w:pgSz w:w="11910" w:h="16840"/>
          <w:pgMar w:top="1600" w:bottom="280" w:left="1680" w:right="1600"/>
        </w:sectPr>
      </w:pPr>
    </w:p>
    <w:p>
      <w:pPr>
        <w:pStyle w:val="Heading3"/>
        <w:spacing w:before="123"/>
        <w:ind w:left="3334" w:right="3286"/>
        <w:jc w:val="center"/>
      </w:pPr>
      <w:r>
        <w:rPr>
          <w:w w:val="95"/>
        </w:rPr>
        <w:t>六、重大疾病定义及释义</w:t>
      </w:r>
    </w:p>
    <w:p>
      <w:pPr>
        <w:pStyle w:val="ListParagraph"/>
        <w:numPr>
          <w:ilvl w:val="1"/>
          <w:numId w:val="6"/>
        </w:numPr>
        <w:tabs>
          <w:tab w:pos="527" w:val="left" w:leader="none"/>
        </w:tabs>
        <w:spacing w:line="300" w:lineRule="auto" w:before="76" w:after="0"/>
        <w:ind w:left="480" w:right="6389" w:hanging="360"/>
        <w:jc w:val="left"/>
        <w:rPr>
          <w:b/>
          <w:sz w:val="18"/>
        </w:rPr>
      </w:pPr>
      <w:r>
        <w:rPr>
          <w:b/>
          <w:sz w:val="18"/>
        </w:rPr>
        <w:t>重大疾病名称及定义</w:t>
      </w:r>
      <w:r>
        <w:rPr>
          <w:b/>
          <w:spacing w:val="1"/>
          <w:sz w:val="18"/>
        </w:rPr>
        <w:t>一、 恶性肿瘤</w:t>
      </w:r>
    </w:p>
    <w:p>
      <w:pPr>
        <w:pStyle w:val="BodyText"/>
        <w:spacing w:line="316" w:lineRule="auto" w:before="31"/>
        <w:ind w:left="119" w:right="114" w:firstLine="36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Heading3"/>
        <w:spacing w:line="235" w:lineRule="exact"/>
        <w:ind w:left="481"/>
      </w:pPr>
      <w:r>
        <w:rPr>
          <w:w w:val="95"/>
        </w:rPr>
        <w:t>下列疾病不在保障范围内：</w:t>
      </w:r>
    </w:p>
    <w:p>
      <w:pPr>
        <w:pStyle w:val="BodyText"/>
        <w:spacing w:before="76"/>
        <w:ind w:left="479"/>
      </w:pPr>
      <w:r>
        <w:rPr>
          <w:rFonts w:ascii="Times New Roman" w:eastAsia="Times New Roman"/>
        </w:rPr>
        <w:t>1</w:t>
      </w:r>
      <w:r>
        <w:rPr/>
        <w:t>）原位癌；</w:t>
      </w:r>
    </w:p>
    <w:p>
      <w:pPr>
        <w:pStyle w:val="BodyText"/>
        <w:ind w:left="479"/>
      </w:pP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pPr>
      <w:r>
        <w:rPr>
          <w:rFonts w:ascii="Times New Roman" w:eastAsia="Times New Roman"/>
        </w:rPr>
        <w:t>3</w:t>
      </w:r>
      <w:r>
        <w:rPr/>
        <w:t>）相当于 </w:t>
      </w:r>
      <w:r>
        <w:rPr>
          <w:rFonts w:ascii="Times New Roman" w:eastAsia="Times New Roman"/>
        </w:rPr>
        <w:t>Ann Arbor </w:t>
      </w:r>
      <w:r>
        <w:rPr/>
        <w:t>分期方案</w:t>
      </w:r>
      <w:r>
        <w:rPr>
          <w:rFonts w:ascii="Times New Roman" w:eastAsia="Times New Roman"/>
        </w:rPr>
        <w:t>I </w:t>
      </w:r>
      <w:r>
        <w:rPr/>
        <w:t>期程度的何杰金氏病；</w:t>
      </w:r>
    </w:p>
    <w:p>
      <w:pPr>
        <w:pStyle w:val="BodyText"/>
      </w:pPr>
      <w:r>
        <w:rPr>
          <w:rFonts w:ascii="Times New Roman" w:eastAsia="Times New Roman"/>
        </w:rPr>
        <w:t>4</w:t>
      </w:r>
      <w:r>
        <w:rPr/>
        <w:t>）皮肤癌（不包括恶性黑色素瘤及已发生转移的皮肤癌</w:t>
      </w:r>
      <w:r>
        <w:rPr>
          <w:spacing w:val="-90"/>
        </w:rPr>
        <w:t>）</w:t>
      </w:r>
      <w:r>
        <w:rPr/>
        <w:t>；</w:t>
      </w:r>
    </w:p>
    <w:p>
      <w:pPr>
        <w:pStyle w:val="BodyText"/>
      </w:pPr>
      <w:r>
        <w:rPr>
          <w:rFonts w:ascii="Times New Roman" w:eastAsia="Times New Roman"/>
        </w:rPr>
        <w:t>5</w:t>
      </w:r>
      <w:r>
        <w:rPr/>
        <w:t>）</w:t>
      </w:r>
      <w:r>
        <w:rPr>
          <w:rFonts w:ascii="Times New Roman" w:eastAsia="Times New Roman"/>
        </w:rPr>
        <w:t>TNM </w:t>
      </w:r>
      <w:r>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pPr>
      <w:r>
        <w:rPr>
          <w:rFonts w:ascii="Times New Roman" w:eastAsia="Times New Roman"/>
        </w:rPr>
        <w:t>6</w:t>
      </w:r>
      <w:r>
        <w:rPr/>
        <w:t>）感染艾滋病病毒或患艾滋病期间所患恶性肿瘤。</w:t>
      </w:r>
    </w:p>
    <w:p>
      <w:pPr>
        <w:pStyle w:val="BodyText"/>
        <w:spacing w:before="7"/>
        <w:ind w:left="0"/>
        <w:rPr>
          <w:sz w:val="28"/>
        </w:rPr>
      </w:pPr>
    </w:p>
    <w:p>
      <w:pPr>
        <w:pStyle w:val="Heading3"/>
        <w:spacing w:before="1"/>
        <w:ind w:left="480"/>
      </w:pPr>
      <w:r>
        <w:rPr/>
        <w:t>二、 重大器官移植术或造血干细胞移植术</w:t>
      </w:r>
    </w:p>
    <w:p>
      <w:pPr>
        <w:pStyle w:val="BodyText"/>
        <w:spacing w:line="316" w:lineRule="auto" w:before="76"/>
        <w:ind w:right="114"/>
      </w:pPr>
      <w:r>
        <w:rPr/>
        <w:t>重大器官移植术，指因相应器官功能衰竭，已经实施了肾脏、肝脏、心脏或肺脏的异体移植手术。 造血干细胞移植术，指因造血功能损害或造血系统恶性肿瘤，已经实施了造血干细胞（包括骨髓造血</w:t>
      </w:r>
    </w:p>
    <w:p>
      <w:pPr>
        <w:pStyle w:val="BodyText"/>
        <w:spacing w:before="18"/>
        <w:ind w:left="120"/>
      </w:pPr>
      <w:r>
        <w:rPr/>
        <w:t>干细胞、外周血造血干细胞和脐血造血干细胞）的异体移植手术。</w:t>
      </w:r>
    </w:p>
    <w:p>
      <w:pPr>
        <w:pStyle w:val="BodyText"/>
        <w:spacing w:before="0"/>
        <w:ind w:left="0"/>
      </w:pPr>
    </w:p>
    <w:p>
      <w:pPr>
        <w:pStyle w:val="Heading3"/>
        <w:spacing w:before="152"/>
        <w:ind w:left="480"/>
      </w:pPr>
      <w:r>
        <w:rPr/>
        <w:t>三、 急性肾功能衰竭或终末期肾病</w:t>
      </w:r>
    </w:p>
    <w:p>
      <w:pPr>
        <w:pStyle w:val="BodyText"/>
        <w:spacing w:line="316" w:lineRule="auto" w:before="76"/>
        <w:ind w:left="120" w:right="114" w:firstLine="360"/>
      </w:pPr>
      <w:r>
        <w:rPr/>
        <w:t>急性肾功能衰竭（尿毒症）是指由各种原因（先天性疾病除外）造成的肾脏功能突然地急剧衰竭而必须接受为期 </w:t>
      </w:r>
      <w:r>
        <w:rPr>
          <w:rFonts w:ascii="Times New Roman" w:eastAsia="Times New Roman"/>
        </w:rPr>
        <w:t>60 </w:t>
      </w:r>
      <w:r>
        <w:rPr/>
        <w:t>天以上的定期透析治疗或肾脏移植手术者。</w:t>
      </w:r>
    </w:p>
    <w:p>
      <w:pPr>
        <w:pStyle w:val="BodyText"/>
        <w:spacing w:line="316" w:lineRule="auto" w:before="0"/>
        <w:ind w:left="120" w:right="114" w:firstLine="360"/>
      </w:pPr>
      <w:r>
        <w:rPr/>
        <w:t>终末期肾病（或称慢性肾功能衰竭尿毒症期）指双肾功能慢性不可逆性衰竭，达到尿毒症期，经诊断后已经进行了至少 </w:t>
      </w:r>
      <w:r>
        <w:rPr>
          <w:rFonts w:ascii="Times New Roman" w:eastAsia="Times New Roman"/>
        </w:rPr>
        <w:t>90 </w:t>
      </w:r>
      <w:r>
        <w:rPr/>
        <w:t>天的规律性透析治疗或实施了肾脏移植手术。</w:t>
      </w:r>
    </w:p>
    <w:p>
      <w:pPr>
        <w:pStyle w:val="BodyText"/>
        <w:spacing w:before="10"/>
        <w:ind w:left="0"/>
        <w:rPr>
          <w:sz w:val="23"/>
        </w:rPr>
      </w:pPr>
    </w:p>
    <w:p>
      <w:pPr>
        <w:pStyle w:val="Heading3"/>
        <w:spacing w:before="1"/>
        <w:ind w:left="480"/>
      </w:pPr>
      <w:r>
        <w:rPr/>
        <w:t>四、 急性或亚急性重症肝炎</w:t>
      </w:r>
    </w:p>
    <w:p>
      <w:pPr>
        <w:pStyle w:val="BodyText"/>
        <w:spacing w:line="316" w:lineRule="auto" w:before="76"/>
        <w:ind w:left="120" w:right="114" w:firstLine="360"/>
      </w:pPr>
      <w:r>
        <w:rPr/>
        <w:t>指因肝炎病毒感染引起肝脏组织弥漫性坏死，导致急性肝功能衰竭，且经血清学或病毒学检查证实， 并须满足下列全部条件：</w:t>
      </w:r>
    </w:p>
    <w:p>
      <w:pPr>
        <w:pStyle w:val="BodyText"/>
        <w:spacing w:before="18"/>
      </w:pPr>
      <w:r>
        <w:rPr>
          <w:rFonts w:ascii="Times New Roman" w:eastAsia="Times New Roman"/>
        </w:rPr>
        <w:t>1</w:t>
      </w:r>
      <w:r>
        <w:rPr/>
        <w:t>）重度黄疸或黄疸迅速加重；</w:t>
      </w:r>
    </w:p>
    <w:p>
      <w:pPr>
        <w:pStyle w:val="BodyText"/>
      </w:pPr>
      <w:r>
        <w:rPr>
          <w:rFonts w:ascii="Times New Roman" w:eastAsia="Times New Roman"/>
        </w:rPr>
        <w:t>2</w:t>
      </w:r>
      <w:r>
        <w:rPr/>
        <w:t>）肝性脑病；</w:t>
      </w:r>
    </w:p>
    <w:p>
      <w:pPr>
        <w:pStyle w:val="BodyText"/>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pPr>
      <w:r>
        <w:rPr>
          <w:rFonts w:ascii="Times New Roman" w:eastAsia="Times New Roman"/>
        </w:rPr>
        <w:t>4</w:t>
      </w:r>
      <w:r>
        <w:rPr/>
        <w:t>）肝功能指标进行性恶化。</w:t>
      </w:r>
    </w:p>
    <w:p>
      <w:pPr>
        <w:pStyle w:val="BodyText"/>
        <w:spacing w:before="7"/>
        <w:ind w:left="0"/>
        <w:rPr>
          <w:sz w:val="28"/>
        </w:rPr>
      </w:pPr>
    </w:p>
    <w:p>
      <w:pPr>
        <w:pStyle w:val="Heading3"/>
        <w:spacing w:before="1"/>
        <w:ind w:left="480"/>
      </w:pPr>
      <w:r>
        <w:rPr/>
        <w:t>五、 良性脑肿瘤</w:t>
      </w:r>
    </w:p>
    <w:p>
      <w:pPr>
        <w:pStyle w:val="BodyText"/>
        <w:spacing w:line="309" w:lineRule="auto" w:before="76"/>
        <w:ind w:left="120" w:right="114" w:firstLine="360"/>
        <w:jc w:val="both"/>
      </w:pPr>
      <w:r>
        <w:rPr/>
        <w:t>指脑的良性肿瘤，已经引起颅内压增高，临床表现为视神经乳头水肿、精神症状、癫痫及运动感觉障</w:t>
      </w:r>
      <w:r>
        <w:rPr>
          <w:spacing w:val="-5"/>
        </w:rPr>
        <w:t>碍等，并危及生命。须由头颅断层扫描</w:t>
      </w:r>
      <w:r>
        <w:rPr/>
        <w:t>（</w:t>
      </w:r>
      <w:r>
        <w:rPr>
          <w:rFonts w:ascii="Times New Roman" w:eastAsia="Times New Roman"/>
          <w:spacing w:val="-1"/>
        </w:rPr>
        <w:t>C</w:t>
      </w:r>
      <w:r>
        <w:rPr>
          <w:rFonts w:ascii="Times New Roman" w:eastAsia="Times New Roman"/>
        </w:rPr>
        <w:t>T</w:t>
      </w:r>
      <w:r>
        <w:rPr>
          <w:spacing w:val="-90"/>
        </w:rPr>
        <w:t>）</w:t>
      </w:r>
      <w:r>
        <w:rPr>
          <w:spacing w:val="-4"/>
        </w:rPr>
        <w:t>、核磁共振检查</w:t>
      </w:r>
      <w:r>
        <w:rPr/>
        <w:t>（</w:t>
      </w:r>
      <w:r>
        <w:rPr>
          <w:rFonts w:ascii="Times New Roman" w:eastAsia="Times New Roman"/>
          <w:spacing w:val="-1"/>
        </w:rPr>
        <w:t>MR</w:t>
      </w:r>
      <w:r>
        <w:rPr>
          <w:rFonts w:ascii="Times New Roman" w:eastAsia="Times New Roman"/>
        </w:rPr>
        <w:t>I</w:t>
      </w:r>
      <w:r>
        <w:rPr>
          <w:spacing w:val="-8"/>
        </w:rPr>
        <w:t>）</w:t>
      </w:r>
      <w:r>
        <w:rPr>
          <w:spacing w:val="-1"/>
        </w:rPr>
        <w:t>或正电子发射断层扫描</w:t>
      </w:r>
      <w:r>
        <w:rPr/>
        <w:t>（</w:t>
      </w:r>
      <w:r>
        <w:rPr>
          <w:rFonts w:ascii="Times New Roman" w:eastAsia="Times New Roman"/>
          <w:spacing w:val="-1"/>
        </w:rPr>
        <w:t>P</w:t>
      </w:r>
      <w:r>
        <w:rPr>
          <w:rFonts w:ascii="Times New Roman" w:eastAsia="Times New Roman"/>
        </w:rPr>
        <w:t>ET</w:t>
      </w:r>
      <w:r>
        <w:rPr>
          <w:spacing w:val="-8"/>
        </w:rPr>
        <w:t>）</w:t>
      </w:r>
      <w:r>
        <w:rPr/>
        <w:t>等影像学检查证实，并须满足下列至少一项条件：</w:t>
      </w:r>
    </w:p>
    <w:p>
      <w:pPr>
        <w:pStyle w:val="BodyText"/>
        <w:spacing w:before="23"/>
      </w:pPr>
      <w:r>
        <w:rPr>
          <w:rFonts w:ascii="Times New Roman" w:eastAsia="Times New Roman"/>
        </w:rPr>
        <w:t>1</w:t>
      </w:r>
      <w:r>
        <w:rPr/>
        <w:t>）实际实施了开颅进行的脑肿瘤完全切除或部分切除的手术；</w:t>
      </w:r>
    </w:p>
    <w:p>
      <w:pPr>
        <w:pStyle w:val="BodyText"/>
      </w:pPr>
      <w:r>
        <w:rPr>
          <w:rFonts w:ascii="Times New Roman" w:eastAsia="Times New Roman"/>
        </w:rPr>
        <w:t>2</w:t>
      </w:r>
      <w:r>
        <w:rPr/>
        <w:t>）实际实施了对脑肿瘤进行的放射治疗。</w:t>
      </w:r>
    </w:p>
    <w:p>
      <w:pPr>
        <w:pStyle w:val="Heading3"/>
        <w:spacing w:before="62"/>
        <w:ind w:left="481"/>
      </w:pPr>
      <w:r>
        <w:rPr>
          <w:w w:val="95"/>
        </w:rPr>
        <w:t>脑垂体瘤、脑囊肿、脑血管性疾病不在保障范围内。</w:t>
      </w:r>
    </w:p>
    <w:p>
      <w:pPr>
        <w:pStyle w:val="BodyText"/>
        <w:spacing w:before="0"/>
        <w:ind w:left="0"/>
        <w:rPr>
          <w:b/>
        </w:rPr>
      </w:pPr>
    </w:p>
    <w:p>
      <w:pPr>
        <w:spacing w:before="152"/>
        <w:ind w:left="480" w:right="0" w:firstLine="0"/>
        <w:jc w:val="left"/>
        <w:rPr>
          <w:b/>
          <w:sz w:val="18"/>
        </w:rPr>
      </w:pPr>
      <w:r>
        <w:rPr>
          <w:b/>
          <w:sz w:val="18"/>
        </w:rPr>
        <w:t>六、 脑炎后遗症或脑膜炎后遗症</w:t>
      </w:r>
    </w:p>
    <w:p>
      <w:pPr>
        <w:pStyle w:val="BodyText"/>
        <w:spacing w:before="76"/>
        <w:rPr>
          <w:rFonts w:ascii="Times New Roman" w:eastAsia="Times New Roman"/>
        </w:rPr>
      </w:pPr>
      <w:r>
        <w:rPr>
          <w:spacing w:val="-6"/>
        </w:rPr>
        <w:t>指因患脑炎或脑膜炎导致的神经系统永久性的功能障碍。神经系统永久性的功能障碍，指疾病确诊 </w:t>
      </w:r>
      <w:r>
        <w:rPr>
          <w:rFonts w:ascii="Times New Roman" w:eastAsia="Times New Roman"/>
        </w:rPr>
        <w:t>180</w:t>
      </w:r>
    </w:p>
    <w:p>
      <w:pPr>
        <w:spacing w:after="0"/>
        <w:rPr>
          <w:rFonts w:ascii="Times New Roman" w:eastAsia="Times New Roman"/>
        </w:rPr>
        <w:sectPr>
          <w:pgSz w:w="11910" w:h="16840"/>
          <w:pgMar w:top="1600" w:bottom="280" w:left="1680" w:right="1680"/>
        </w:sectPr>
      </w:pPr>
    </w:p>
    <w:p>
      <w:pPr>
        <w:pStyle w:val="BodyText"/>
        <w:spacing w:before="123"/>
        <w:ind w:left="104" w:right="5246"/>
        <w:jc w:val="center"/>
      </w:pPr>
      <w:r>
        <w:rPr/>
        <w:t>天后，仍遗留下列一种或一种以上障碍：</w:t>
      </w:r>
    </w:p>
    <w:p>
      <w:pPr>
        <w:pStyle w:val="BodyText"/>
        <w:spacing w:before="76"/>
      </w:pPr>
      <w:r>
        <w:rPr>
          <w:rFonts w:ascii="Times New Roman" w:eastAsia="Times New Roman"/>
        </w:rPr>
        <w:t>1</w:t>
      </w:r>
      <w:r>
        <w:rPr/>
        <w:t>）一肢或一肢以上肢体机能完全丧失；</w:t>
      </w:r>
    </w:p>
    <w:p>
      <w:pPr>
        <w:pStyle w:val="BodyText"/>
      </w:pPr>
      <w:r>
        <w:rPr>
          <w:rFonts w:ascii="Times New Roman" w:eastAsia="Times New Roman"/>
        </w:rPr>
        <w:t>2</w:t>
      </w:r>
      <w:r>
        <w:rPr/>
        <w:t>）语言能力或咀嚼吞咽能力完全丧失；</w:t>
      </w:r>
    </w:p>
    <w:p>
      <w:pPr>
        <w:pStyle w:val="BodyText"/>
      </w:pPr>
      <w:r>
        <w:rPr>
          <w:rFonts w:ascii="Times New Roman" w:eastAsia="Times New Roman"/>
        </w:rPr>
        <w:t>3</w:t>
      </w:r>
      <w:r>
        <w:rPr/>
        <w:t>）自主生活能力完全丧失，无法独立完成六项基本日常生活活动中的三项或三项以上。</w:t>
      </w:r>
    </w:p>
    <w:p>
      <w:pPr>
        <w:pStyle w:val="BodyText"/>
        <w:spacing w:before="7"/>
        <w:ind w:left="0"/>
        <w:rPr>
          <w:sz w:val="28"/>
        </w:rPr>
      </w:pPr>
    </w:p>
    <w:p>
      <w:pPr>
        <w:pStyle w:val="Heading3"/>
        <w:spacing w:before="1"/>
        <w:ind w:left="480"/>
      </w:pPr>
      <w:r>
        <w:rPr/>
        <w:t>七、 重型再生障碍性贫血</w:t>
      </w:r>
    </w:p>
    <w:p>
      <w:pPr>
        <w:pStyle w:val="BodyText"/>
        <w:spacing w:before="76"/>
      </w:pPr>
      <w:r>
        <w:rPr/>
        <w:t>指因骨髓造血功能慢性持续性衰竭导致的贫血、中性粒细胞减少及血小板减少。须满足下列全部条件：</w:t>
      </w:r>
    </w:p>
    <w:p>
      <w:pPr>
        <w:pStyle w:val="BodyText"/>
        <w:spacing w:before="76"/>
      </w:pPr>
      <w:r>
        <w:rPr>
          <w:rFonts w:ascii="Times New Roman" w:eastAsia="Times New Roman"/>
        </w:rPr>
        <w:t>1</w:t>
      </w:r>
      <w:r>
        <w:rPr/>
        <w:t>）骨髓穿刺检查或骨髓活检结果支持诊断；</w:t>
      </w:r>
    </w:p>
    <w:p>
      <w:pPr>
        <w:pStyle w:val="BodyText"/>
        <w:spacing w:before="63"/>
      </w:pPr>
      <w:r>
        <w:rPr>
          <w:rFonts w:ascii="Times New Roman" w:eastAsia="Times New Roman"/>
        </w:rPr>
        <w:t>2</w:t>
      </w:r>
      <w:r>
        <w:rPr/>
        <w:t>）外周血象须具备以下三项条件：</w:t>
      </w:r>
    </w:p>
    <w:p>
      <w:pPr>
        <w:pStyle w:val="BodyText"/>
        <w:spacing w:before="63"/>
      </w:pPr>
      <w:r>
        <w:rPr>
          <w:rFonts w:ascii="新宋体" w:hAnsi="新宋体" w:eastAsia="新宋体" w:hint="eastAsia"/>
        </w:rPr>
        <w:t>① </w:t>
      </w:r>
      <w:r>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63"/>
        <w:ind w:left="479"/>
      </w:pPr>
      <w:r>
        <w:rPr>
          <w:rFonts w:ascii="新宋体" w:hAnsi="新宋体" w:eastAsia="新宋体" w:hint="eastAsia"/>
        </w:rPr>
        <w:t>② </w:t>
      </w:r>
      <w:r>
        <w:rPr/>
        <w:t>网织红细胞＜</w:t>
      </w:r>
      <w:r>
        <w:rPr>
          <w:rFonts w:ascii="Times New Roman" w:hAnsi="Times New Roman" w:eastAsia="Times New Roman"/>
        </w:rPr>
        <w:t>1%</w:t>
      </w:r>
      <w:r>
        <w:rPr/>
        <w:t>；</w:t>
      </w:r>
    </w:p>
    <w:p>
      <w:pPr>
        <w:pStyle w:val="BodyText"/>
        <w:spacing w:before="63"/>
        <w:ind w:left="479"/>
      </w:pPr>
      <w:r>
        <w:rPr>
          <w:rFonts w:ascii="新宋体" w:hAnsi="新宋体" w:eastAsia="新宋体" w:hint="eastAsia"/>
        </w:rPr>
        <w:t>③ </w:t>
      </w:r>
      <w:r>
        <w:rPr/>
        <w:t>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BodyText"/>
        <w:spacing w:before="8"/>
        <w:ind w:left="0"/>
        <w:rPr>
          <w:sz w:val="28"/>
        </w:rPr>
      </w:pPr>
    </w:p>
    <w:p>
      <w:pPr>
        <w:pStyle w:val="Heading3"/>
        <w:ind w:left="479"/>
      </w:pPr>
      <w:r>
        <w:rPr/>
        <w:t>八、 脊髓灰质炎</w:t>
      </w:r>
    </w:p>
    <w:p>
      <w:pPr>
        <w:pStyle w:val="BodyText"/>
        <w:spacing w:line="314" w:lineRule="auto" w:before="76"/>
        <w:ind w:left="119" w:right="194" w:firstLine="360"/>
        <w:jc w:val="both"/>
      </w:pPr>
      <w:r>
        <w:rPr/>
        <w:t>是指被保险人被脊髓灰质炎病毒感染，因脊髓前角细胞或相应的脑干细胞受到破坏而引致的局部或广泛的肌肉无力为特征的疾病。疾病未导致不可恢复的、永久性的麻痹者不在本保单保障范围内。诊断必须经专科医生明确诊断为急性脊髓灰质炎病毒感染导致瘫痪，此种瘫痪必须有明显运动功能损害或者呼吸衰</w:t>
      </w:r>
      <w:r>
        <w:rPr>
          <w:spacing w:val="-9"/>
        </w:rPr>
        <w:t>弱瘫痪，并且至少持续 </w:t>
      </w:r>
      <w:r>
        <w:rPr>
          <w:rFonts w:ascii="Times New Roman" w:eastAsia="Times New Roman"/>
        </w:rPr>
        <w:t>90 </w:t>
      </w:r>
      <w:r>
        <w:rPr>
          <w:spacing w:val="-6"/>
        </w:rPr>
        <w:t>天。必须有明确证据证明脊髓灰质炎病毒为病因。未引起瘫痪者不承担给付保险金的责任。</w:t>
      </w:r>
    </w:p>
    <w:p>
      <w:pPr>
        <w:pStyle w:val="BodyText"/>
        <w:spacing w:before="5"/>
        <w:ind w:left="0"/>
        <w:rPr>
          <w:sz w:val="25"/>
        </w:rPr>
      </w:pPr>
    </w:p>
    <w:p>
      <w:pPr>
        <w:pStyle w:val="Heading3"/>
        <w:ind w:left="480"/>
      </w:pPr>
      <w:r>
        <w:rPr/>
        <w:t>九、 严重幼年型类风湿性关节炎</w:t>
      </w:r>
    </w:p>
    <w:p>
      <w:pPr>
        <w:pStyle w:val="BodyText"/>
        <w:spacing w:line="316" w:lineRule="auto" w:before="76"/>
        <w:ind w:left="120" w:right="194" w:firstLine="360"/>
      </w:pPr>
      <w:r>
        <w:rPr/>
        <w:t>因非传染的慢性关节滑膜炎引起多处关节呈现的慢性关节炎症，并导致自身免疫失调。满足下列条件之一：</w:t>
      </w:r>
    </w:p>
    <w:p>
      <w:pPr>
        <w:pStyle w:val="BodyText"/>
        <w:spacing w:line="300" w:lineRule="auto" w:before="19"/>
        <w:ind w:left="120" w:right="128" w:firstLine="360"/>
      </w:pPr>
      <w:r>
        <w:rPr>
          <w:rFonts w:ascii="Times New Roman" w:eastAsia="Times New Roman"/>
        </w:rPr>
        <w:t>1</w:t>
      </w:r>
      <w:r>
        <w:rPr/>
        <w:t>）经专科医生出具医学诊断证明，因病情严重，在医生的建议下已接受以治疗为目的的膝或髋关节的置换手术，其他类型的儿童类风湿性关节炎除外。</w:t>
      </w:r>
    </w:p>
    <w:p>
      <w:pPr>
        <w:pStyle w:val="BodyText"/>
        <w:spacing w:line="309" w:lineRule="auto" w:before="31"/>
        <w:ind w:left="120" w:right="86" w:firstLine="359"/>
      </w:pPr>
      <w:r>
        <w:rPr>
          <w:rFonts w:ascii="Times New Roman" w:eastAsia="Times New Roman"/>
        </w:rPr>
        <w:t>2</w:t>
      </w:r>
      <w:r>
        <w:rPr/>
        <w:t>）经专科医生确诊，有广泛的关节损坏，临床及</w:t>
      </w:r>
      <w:r>
        <w:rPr>
          <w:rFonts w:ascii="Times New Roman" w:eastAsia="Times New Roman"/>
        </w:rPr>
        <w:t>X </w:t>
      </w:r>
      <w:r>
        <w:rPr/>
        <w:t>线检查发现明显的畸形。至少下列 </w:t>
      </w:r>
      <w:r>
        <w:rPr>
          <w:rFonts w:ascii="Times New Roman" w:eastAsia="Times New Roman"/>
        </w:rPr>
        <w:t>3 </w:t>
      </w:r>
      <w:r>
        <w:rPr/>
        <w:t>个关节受累： 手关节、腕关节、肘关节、膝关节、髋关节、踝关节、脊椎关节或跖趾关节，关节畸形及功能异常持续至少 </w:t>
      </w:r>
      <w:r>
        <w:rPr>
          <w:rFonts w:ascii="Times New Roman" w:eastAsia="Times New Roman"/>
        </w:rPr>
        <w:t>180 </w:t>
      </w:r>
      <w:r>
        <w:rPr/>
        <w:t>天。</w:t>
      </w:r>
    </w:p>
    <w:p>
      <w:pPr>
        <w:pStyle w:val="BodyText"/>
        <w:spacing w:before="2"/>
        <w:ind w:left="0"/>
        <w:rPr>
          <w:sz w:val="24"/>
        </w:rPr>
      </w:pPr>
    </w:p>
    <w:p>
      <w:pPr>
        <w:pStyle w:val="Heading3"/>
        <w:ind w:left="480"/>
      </w:pPr>
      <w:r>
        <w:rPr/>
        <w:t>十、 严重川崎氏病</w:t>
      </w:r>
    </w:p>
    <w:p>
      <w:pPr>
        <w:pStyle w:val="BodyText"/>
        <w:spacing w:line="316" w:lineRule="auto" w:before="76"/>
        <w:ind w:left="120" w:right="194" w:firstLine="360"/>
      </w:pPr>
      <w:r>
        <w:rPr/>
        <w:t>川崎病为一种病因不明的系统性血管炎，根据轻度贫血、白细胞计数升高和红细胞沉降率升高诊断。血液化验也可能发现血小板（血液中重要的凝血成份）显著升高。</w:t>
      </w:r>
    </w:p>
    <w:p>
      <w:pPr>
        <w:pStyle w:val="BodyText"/>
        <w:spacing w:line="316" w:lineRule="auto" w:before="19"/>
        <w:ind w:left="120" w:right="194" w:firstLine="360"/>
      </w:pPr>
      <w:r>
        <w:rPr/>
        <w:t>本合同仅对诊断性检查证实川崎病并伴有冠状动脉瘤或其他心血管并发症，而且实际接受了对此等并发症进行的手术治疗的情况予以理赔。</w:t>
      </w:r>
    </w:p>
    <w:p>
      <w:pPr>
        <w:pStyle w:val="BodyText"/>
        <w:spacing w:before="3"/>
        <w:ind w:left="0"/>
        <w:rPr>
          <w:sz w:val="25"/>
        </w:rPr>
      </w:pPr>
    </w:p>
    <w:p>
      <w:pPr>
        <w:pStyle w:val="Heading3"/>
        <w:tabs>
          <w:tab w:pos="1379" w:val="left" w:leader="none"/>
        </w:tabs>
        <w:ind w:left="480"/>
      </w:pPr>
      <w:r>
        <w:rPr/>
        <w:t>十一、</w:t>
        <w:tab/>
        <w:t>重症肌无力</w:t>
      </w:r>
    </w:p>
    <w:p>
      <w:pPr>
        <w:pStyle w:val="BodyText"/>
        <w:spacing w:line="316" w:lineRule="auto" w:before="75"/>
        <w:ind w:left="120" w:right="194" w:firstLine="360"/>
      </w:pPr>
      <w:r>
        <w:rPr/>
        <w:t>是一种神经肌肉接头传递障碍所致的疾病，表现为局部或全身骨骼肌（特别是眼外肌）极易疲劳。疾病可以累及呼吸肌、上肢或下肢的近端肌群或全身肌肉，须满足下列全部条件：</w:t>
      </w:r>
    </w:p>
    <w:p>
      <w:pPr>
        <w:pStyle w:val="BodyText"/>
        <w:spacing w:before="18"/>
      </w:pPr>
      <w:r>
        <w:rPr>
          <w:rFonts w:ascii="Times New Roman" w:eastAsia="Times New Roman"/>
        </w:rPr>
        <w:t>1</w:t>
      </w:r>
      <w:r>
        <w:rPr/>
        <w:t>）经药物治疗和胸腺切除治疗一年以上仍无法控制病情；</w:t>
      </w:r>
    </w:p>
    <w:p>
      <w:pPr>
        <w:pStyle w:val="BodyText"/>
      </w:pPr>
      <w:r>
        <w:rPr>
          <w:rFonts w:ascii="Times New Roman" w:eastAsia="Times New Roman"/>
        </w:rPr>
        <w:t>2</w:t>
      </w:r>
      <w:r>
        <w:rPr/>
        <w:t>）自主生活能力完全丧失，无法独立完成六项基本日常生活活动中的三项或三项以上。</w:t>
      </w:r>
    </w:p>
    <w:p>
      <w:pPr>
        <w:pStyle w:val="BodyText"/>
        <w:spacing w:before="7"/>
        <w:ind w:left="0"/>
        <w:rPr>
          <w:sz w:val="28"/>
        </w:rPr>
      </w:pPr>
    </w:p>
    <w:p>
      <w:pPr>
        <w:pStyle w:val="Heading3"/>
        <w:tabs>
          <w:tab w:pos="1379" w:val="left" w:leader="none"/>
        </w:tabs>
        <w:spacing w:before="1"/>
        <w:ind w:left="480"/>
      </w:pPr>
      <w:r>
        <w:rPr/>
        <w:t>十二、</w:t>
        <w:tab/>
      </w:r>
      <w:r>
        <w:rPr>
          <w:w w:val="95"/>
        </w:rPr>
        <w:t>胰岛素依赖型糖尿病</w:t>
      </w:r>
    </w:p>
    <w:p>
      <w:pPr>
        <w:pStyle w:val="BodyText"/>
        <w:spacing w:before="76"/>
      </w:pPr>
      <w:r>
        <w:rPr/>
        <w:t>胰岛素依赖型糖尿病的特征为严重的胰岛素缺乏并且依赖外源性胰岛素进行机体的葡萄糖代谢和维持</w:t>
      </w:r>
    </w:p>
    <w:p>
      <w:pPr>
        <w:spacing w:after="0"/>
        <w:sectPr>
          <w:pgSz w:w="11910" w:h="16840"/>
          <w:pgMar w:top="1600" w:bottom="280" w:left="1680" w:right="1600"/>
        </w:sectPr>
      </w:pPr>
    </w:p>
    <w:p>
      <w:pPr>
        <w:pStyle w:val="BodyText"/>
        <w:spacing w:line="316" w:lineRule="auto" w:before="123"/>
        <w:ind w:left="120" w:right="107"/>
      </w:pPr>
      <w:r>
        <w:rPr>
          <w:spacing w:val="-8"/>
        </w:rPr>
        <w:t>生命。胰岛素依赖型糖尿病的临床特点为烦渴、多尿、多食、体重下降、低血浆胰岛素水平和酮症酸中毒； </w:t>
      </w:r>
      <w:r>
        <w:rPr>
          <w:spacing w:val="-4"/>
        </w:rPr>
        <w:t>自身抗体介质攻击破坏胰岛</w:t>
      </w:r>
      <w:r>
        <w:rPr>
          <w:rFonts w:ascii="Times New Roman" w:hAnsi="Times New Roman" w:eastAsia="Times New Roman"/>
        </w:rPr>
        <w:t>β </w:t>
      </w:r>
      <w:r>
        <w:rPr/>
        <w:t>细胞；需要胰岛素治疗和规律控制饮食。</w:t>
      </w:r>
    </w:p>
    <w:p>
      <w:pPr>
        <w:pStyle w:val="Heading3"/>
        <w:spacing w:line="248" w:lineRule="exact"/>
        <w:ind w:left="481"/>
      </w:pPr>
      <w:r>
        <w:rPr/>
        <w:t>本合同仅对已经持续接受了 </w:t>
      </w:r>
      <w:r>
        <w:rPr>
          <w:rFonts w:ascii="Times New Roman" w:eastAsia="Times New Roman"/>
        </w:rPr>
        <w:t>6 </w:t>
      </w:r>
      <w:r>
        <w:rPr/>
        <w:t>个月以上胰岛素治疗的胰岛素依赖型糖尿病予以理赔。</w:t>
      </w:r>
    </w:p>
    <w:p>
      <w:pPr>
        <w:pStyle w:val="BodyText"/>
        <w:spacing w:before="8"/>
        <w:ind w:left="0"/>
        <w:rPr>
          <w:b/>
          <w:sz w:val="28"/>
        </w:rPr>
      </w:pPr>
    </w:p>
    <w:p>
      <w:pPr>
        <w:pStyle w:val="ListParagraph"/>
        <w:numPr>
          <w:ilvl w:val="1"/>
          <w:numId w:val="6"/>
        </w:numPr>
        <w:tabs>
          <w:tab w:pos="527" w:val="left" w:leader="none"/>
        </w:tabs>
        <w:spacing w:line="240" w:lineRule="auto" w:before="0" w:after="0"/>
        <w:ind w:left="480" w:right="0" w:hanging="360"/>
        <w:jc w:val="left"/>
        <w:rPr>
          <w:b/>
          <w:sz w:val="18"/>
        </w:rPr>
      </w:pPr>
      <w:r>
        <w:rPr>
          <w:b/>
          <w:w w:val="95"/>
          <w:sz w:val="18"/>
        </w:rPr>
        <w:t>释义</w:t>
      </w:r>
    </w:p>
    <w:p>
      <w:pPr>
        <w:pStyle w:val="BodyText"/>
        <w:ind w:left="119"/>
      </w:pPr>
      <w:r>
        <w:rPr/>
        <w:t>一、 本公司：指中国人民健康保险股份有限公司。</w:t>
      </w:r>
    </w:p>
    <w:p>
      <w:pPr>
        <w:pStyle w:val="BodyText"/>
        <w:spacing w:line="316" w:lineRule="auto" w:before="76"/>
        <w:ind w:left="513" w:right="195" w:hanging="394"/>
        <w:jc w:val="both"/>
      </w:pPr>
      <w:r>
        <w:rPr>
          <w:spacing w:val="-8"/>
        </w:rPr>
        <w:t>二、 周岁：以法定身份证明文件中记载的出生日期为计算基础，按出生后所经过的整年计算，不满一整年</w:t>
      </w:r>
      <w:r>
        <w:rPr>
          <w:spacing w:val="-11"/>
        </w:rPr>
        <w:t>的部分不计。例如，出生日期为 </w:t>
      </w:r>
      <w:r>
        <w:rPr>
          <w:rFonts w:ascii="Times New Roman" w:eastAsia="Times New Roman"/>
        </w:rPr>
        <w:t>2000 </w:t>
      </w:r>
      <w:r>
        <w:rPr>
          <w:spacing w:val="-22"/>
        </w:rPr>
        <w:t>年 </w:t>
      </w:r>
      <w:r>
        <w:rPr>
          <w:rFonts w:ascii="Times New Roman" w:eastAsia="Times New Roman"/>
        </w:rPr>
        <w:t>9 </w:t>
      </w:r>
      <w:r>
        <w:rPr>
          <w:spacing w:val="-22"/>
        </w:rPr>
        <w:t>月 </w:t>
      </w:r>
      <w:r>
        <w:rPr>
          <w:rFonts w:ascii="Times New Roman" w:eastAsia="Times New Roman"/>
        </w:rPr>
        <w:t>1 </w:t>
      </w:r>
      <w:r>
        <w:rPr/>
        <w:t>日，</w:t>
      </w:r>
      <w:r>
        <w:rPr>
          <w:rFonts w:ascii="Times New Roman" w:eastAsia="Times New Roman"/>
        </w:rPr>
        <w:t>2000 </w:t>
      </w:r>
      <w:r>
        <w:rPr>
          <w:spacing w:val="-22"/>
        </w:rPr>
        <w:t>年 </w:t>
      </w:r>
      <w:r>
        <w:rPr>
          <w:rFonts w:ascii="Times New Roman" w:eastAsia="Times New Roman"/>
        </w:rPr>
        <w:t>9 </w:t>
      </w:r>
      <w:r>
        <w:rPr>
          <w:spacing w:val="-22"/>
        </w:rPr>
        <w:t>月 </w:t>
      </w:r>
      <w:r>
        <w:rPr>
          <w:rFonts w:ascii="Times New Roman" w:eastAsia="Times New Roman"/>
        </w:rPr>
        <w:t>1 </w:t>
      </w:r>
      <w:r>
        <w:rPr>
          <w:spacing w:val="-15"/>
        </w:rPr>
        <w:t>日至 </w:t>
      </w:r>
      <w:r>
        <w:rPr>
          <w:rFonts w:ascii="Times New Roman" w:eastAsia="Times New Roman"/>
        </w:rPr>
        <w:t>2001 </w:t>
      </w:r>
      <w:r>
        <w:rPr>
          <w:spacing w:val="-22"/>
        </w:rPr>
        <w:t>年 </w:t>
      </w:r>
      <w:r>
        <w:rPr>
          <w:rFonts w:ascii="Times New Roman" w:eastAsia="Times New Roman"/>
        </w:rPr>
        <w:t>8 </w:t>
      </w:r>
      <w:r>
        <w:rPr>
          <w:spacing w:val="-22"/>
        </w:rPr>
        <w:t>月 </w:t>
      </w:r>
      <w:r>
        <w:rPr>
          <w:rFonts w:ascii="Times New Roman" w:eastAsia="Times New Roman"/>
        </w:rPr>
        <w:t>31 </w:t>
      </w:r>
      <w:r>
        <w:rPr>
          <w:spacing w:val="-9"/>
        </w:rPr>
        <w:t>日期间为 </w:t>
      </w:r>
      <w:r>
        <w:rPr>
          <w:rFonts w:ascii="Times New Roman" w:eastAsia="Times New Roman"/>
        </w:rPr>
        <w:t>0 </w:t>
      </w:r>
      <w:r>
        <w:rPr/>
        <w:t>周</w:t>
      </w:r>
    </w:p>
    <w:p>
      <w:pPr>
        <w:pStyle w:val="BodyText"/>
        <w:spacing w:line="248" w:lineRule="exact" w:before="0"/>
        <w:ind w:left="513"/>
      </w:pPr>
      <w:r>
        <w:rPr/>
        <w:t>岁，</w:t>
      </w:r>
      <w:r>
        <w:rPr>
          <w:rFonts w:ascii="Times New Roman" w:eastAsia="Times New Roman"/>
        </w:rPr>
        <w:t>2001 </w:t>
      </w:r>
      <w:r>
        <w:rPr/>
        <w:t>年 </w:t>
      </w:r>
      <w:r>
        <w:rPr>
          <w:rFonts w:ascii="Times New Roman" w:eastAsia="Times New Roman"/>
        </w:rPr>
        <w:t>9 </w:t>
      </w:r>
      <w:r>
        <w:rPr/>
        <w:t>月 </w:t>
      </w:r>
      <w:r>
        <w:rPr>
          <w:rFonts w:ascii="Times New Roman" w:eastAsia="Times New Roman"/>
        </w:rPr>
        <w:t>1 </w:t>
      </w:r>
      <w:r>
        <w:rPr/>
        <w:t>日至 </w:t>
      </w:r>
      <w:r>
        <w:rPr>
          <w:rFonts w:ascii="Times New Roman" w:eastAsia="Times New Roman"/>
        </w:rPr>
        <w:t>2002 </w:t>
      </w:r>
      <w:r>
        <w:rPr/>
        <w:t>年 </w:t>
      </w:r>
      <w:r>
        <w:rPr>
          <w:rFonts w:ascii="Times New Roman" w:eastAsia="Times New Roman"/>
        </w:rPr>
        <w:t>8 </w:t>
      </w:r>
      <w:r>
        <w:rPr/>
        <w:t>月 </w:t>
      </w:r>
      <w:r>
        <w:rPr>
          <w:rFonts w:ascii="Times New Roman" w:eastAsia="Times New Roman"/>
        </w:rPr>
        <w:t>31 </w:t>
      </w:r>
      <w:r>
        <w:rPr/>
        <w:t>日期间为 </w:t>
      </w:r>
      <w:r>
        <w:rPr>
          <w:rFonts w:ascii="Times New Roman" w:eastAsia="Times New Roman"/>
        </w:rPr>
        <w:t>1 </w:t>
      </w:r>
      <w:r>
        <w:rPr/>
        <w:t>周岁，依此类推。</w:t>
      </w:r>
    </w:p>
    <w:p>
      <w:pPr>
        <w:pStyle w:val="BodyText"/>
        <w:spacing w:line="316" w:lineRule="auto" w:before="63"/>
        <w:ind w:left="513" w:right="197" w:hanging="394"/>
        <w:jc w:val="both"/>
      </w:pPr>
      <w:r>
        <w:rPr>
          <w:spacing w:val="-9"/>
        </w:rPr>
        <w:t>三、 医院：本合同所指的医院是指国家卫生部医院等级分类中的二级以上</w:t>
      </w:r>
      <w:r>
        <w:rPr/>
        <w:t>（含二级）医院或县（区</w:t>
      </w:r>
      <w:r>
        <w:rPr>
          <w:spacing w:val="-3"/>
        </w:rPr>
        <w:t>）</w:t>
      </w:r>
      <w:r>
        <w:rPr/>
        <w:t>级以上医院，不包括主要作为康复、护理、疗养、戒酒、戒毒或相类似的医疗机构。</w:t>
      </w:r>
    </w:p>
    <w:p>
      <w:pPr>
        <w:pStyle w:val="BodyText"/>
        <w:spacing w:line="316" w:lineRule="auto" w:before="19"/>
        <w:ind w:left="513" w:right="194" w:hanging="394"/>
        <w:jc w:val="both"/>
      </w:pPr>
      <w:r>
        <w:rPr>
          <w:spacing w:val="-4"/>
        </w:rPr>
        <w:t>四、 毒品：指《中华人民共和国刑法》规定的鸦片、海洛因、甲基苯丙胺</w:t>
      </w:r>
      <w:r>
        <w:rPr/>
        <w:t>（冰毒</w:t>
      </w:r>
      <w:r>
        <w:rPr>
          <w:spacing w:val="-88"/>
        </w:rPr>
        <w:t>）</w:t>
      </w:r>
      <w:r>
        <w:rPr/>
        <w:t>、吗啡、大麻、可卡因</w:t>
      </w:r>
      <w:r>
        <w:rPr>
          <w:spacing w:val="-1"/>
        </w:rPr>
        <w:t>以及国家规定管制的其它能够使人形成瘾癖的麻醉药品和精神药品，但不包括由医生开具并遵医嘱使用的用于治疗疾病但含有毒品成分的处方药品。</w:t>
      </w:r>
    </w:p>
    <w:p>
      <w:pPr>
        <w:pStyle w:val="BodyText"/>
        <w:spacing w:line="316" w:lineRule="auto" w:before="19"/>
        <w:ind w:left="513" w:right="195" w:hanging="394"/>
        <w:jc w:val="both"/>
      </w:pPr>
      <w:r>
        <w:rPr>
          <w:spacing w:val="-8"/>
        </w:rPr>
        <w:t>五、 酒后驾驶：指经检测或鉴定，发生事故时车辆驾驶人员每百毫升血液中的酒精含量达到或超过一定的</w:t>
      </w:r>
      <w:r>
        <w:rPr>
          <w:spacing w:val="-5"/>
        </w:rPr>
        <w:t>标准，公安机关交通管理部门依据《中华人民共和国道路交通安全法》的规定认定为饮酒后驾驶或醉酒后驾驶。</w:t>
      </w:r>
    </w:p>
    <w:p>
      <w:pPr>
        <w:pStyle w:val="BodyText"/>
        <w:spacing w:line="300" w:lineRule="auto" w:before="19"/>
        <w:ind w:left="513" w:right="188" w:hanging="394"/>
        <w:jc w:val="both"/>
      </w:pPr>
      <w:r>
        <w:rPr>
          <w:spacing w:val="-12"/>
        </w:rPr>
        <w:t>六、 无合法有效驾驶证驾驶：指下列情形之一的：</w:t>
      </w:r>
      <w:r>
        <w:rPr/>
        <w:t>（</w:t>
      </w:r>
      <w:r>
        <w:rPr>
          <w:rFonts w:ascii="Times New Roman" w:eastAsia="Times New Roman"/>
        </w:rPr>
        <w:t>1</w:t>
      </w:r>
      <w:r>
        <w:rPr>
          <w:spacing w:val="-2"/>
        </w:rPr>
        <w:t>）</w:t>
      </w:r>
      <w:r>
        <w:rPr>
          <w:spacing w:val="-13"/>
        </w:rPr>
        <w:t>没有驾驶证驾驶；</w:t>
      </w:r>
      <w:r>
        <w:rPr/>
        <w:t>（</w:t>
      </w:r>
      <w:r>
        <w:rPr>
          <w:rFonts w:ascii="Times New Roman" w:eastAsia="Times New Roman"/>
        </w:rPr>
        <w:t>2</w:t>
      </w:r>
      <w:r>
        <w:rPr>
          <w:spacing w:val="-2"/>
        </w:rPr>
        <w:t>）</w:t>
      </w:r>
      <w:r>
        <w:rPr/>
        <w:t>驾驶与驾驶证准驾车型不相</w:t>
      </w:r>
      <w:r>
        <w:rPr>
          <w:spacing w:val="-16"/>
        </w:rPr>
        <w:t>符合的车辆；</w:t>
      </w:r>
      <w:r>
        <w:rPr/>
        <w:t>（</w:t>
      </w:r>
      <w:r>
        <w:rPr>
          <w:rFonts w:ascii="Times New Roman" w:eastAsia="Times New Roman"/>
        </w:rPr>
        <w:t>3</w:t>
      </w:r>
      <w:r>
        <w:rPr>
          <w:spacing w:val="-2"/>
        </w:rPr>
        <w:t>）</w:t>
      </w:r>
      <w:r>
        <w:rPr>
          <w:spacing w:val="-6"/>
        </w:rPr>
        <w:t>驾驶员持审验不合格的驾驶证驾驶；</w:t>
      </w:r>
      <w:r>
        <w:rPr/>
        <w:t>（</w:t>
      </w:r>
      <w:r>
        <w:rPr>
          <w:rFonts w:ascii="Times New Roman" w:eastAsia="Times New Roman"/>
        </w:rPr>
        <w:t>4</w:t>
      </w:r>
      <w:r>
        <w:rPr>
          <w:spacing w:val="-2"/>
        </w:rPr>
        <w:t>）</w:t>
      </w:r>
      <w:r>
        <w:rPr>
          <w:spacing w:val="-1"/>
        </w:rPr>
        <w:t>未经公安交通管理部门同意，持未审验的</w:t>
      </w:r>
      <w:r>
        <w:rPr>
          <w:spacing w:val="-16"/>
        </w:rPr>
        <w:t>驾驶证驾驶；</w:t>
      </w:r>
      <w:r>
        <w:rPr/>
        <w:t>（</w:t>
      </w:r>
      <w:r>
        <w:rPr>
          <w:rFonts w:ascii="Times New Roman" w:eastAsia="Times New Roman"/>
        </w:rPr>
        <w:t>5</w:t>
      </w:r>
      <w:r>
        <w:rPr/>
        <w:t>）持学习驾驶证学习驾车时，无教练员随车指导，或不按指定时间、路线学习驾车；</w:t>
      </w:r>
    </w:p>
    <w:p>
      <w:pPr>
        <w:pStyle w:val="BodyText"/>
        <w:spacing w:line="300" w:lineRule="auto" w:before="13"/>
        <w:ind w:left="513" w:right="152"/>
      </w:pPr>
      <w:r>
        <w:rPr/>
        <w:t>（</w:t>
      </w:r>
      <w:r>
        <w:rPr>
          <w:rFonts w:ascii="Times New Roman" w:eastAsia="Times New Roman"/>
        </w:rPr>
        <w:t>6</w:t>
      </w:r>
      <w:r>
        <w:rPr/>
        <w:t>）持学习驾驶证在高速公路上驾车或实习期在高速公路上驾车；（</w:t>
      </w:r>
      <w:r>
        <w:rPr>
          <w:rFonts w:ascii="Times New Roman" w:eastAsia="Times New Roman"/>
        </w:rPr>
        <w:t>7</w:t>
      </w:r>
      <w:r>
        <w:rPr/>
        <w:t>）公安交通管理部门规定的其他无有效驾驶证驾驶的情况。</w:t>
      </w:r>
    </w:p>
    <w:p>
      <w:pPr>
        <w:pStyle w:val="BodyText"/>
        <w:spacing w:line="300" w:lineRule="auto" w:before="31"/>
        <w:ind w:left="513" w:right="196" w:hanging="394"/>
        <w:jc w:val="both"/>
      </w:pPr>
      <w:r>
        <w:rPr>
          <w:spacing w:val="-13"/>
        </w:rPr>
        <w:t>七、 无有效行驶证：指下列情形之一：</w:t>
      </w:r>
      <w:r>
        <w:rPr/>
        <w:t>（</w:t>
      </w:r>
      <w:r>
        <w:rPr>
          <w:rFonts w:ascii="Times New Roman" w:eastAsia="Times New Roman"/>
        </w:rPr>
        <w:t>1</w:t>
      </w:r>
      <w:r>
        <w:rPr>
          <w:spacing w:val="-2"/>
        </w:rPr>
        <w:t>）</w:t>
      </w:r>
      <w:r>
        <w:rPr>
          <w:spacing w:val="-9"/>
        </w:rPr>
        <w:t>机动车被依法注销登记的；</w:t>
      </w:r>
      <w:r>
        <w:rPr>
          <w:spacing w:val="-1"/>
        </w:rPr>
        <w:t>（</w:t>
      </w:r>
      <w:r>
        <w:rPr>
          <w:rFonts w:ascii="Times New Roman" w:eastAsia="Times New Roman"/>
        </w:rPr>
        <w:t>2</w:t>
      </w:r>
      <w:r>
        <w:rPr>
          <w:spacing w:val="-2"/>
        </w:rPr>
        <w:t>）</w:t>
      </w:r>
      <w:r>
        <w:rPr/>
        <w:t>未依法按时进行或通过机动车安全技术检验。</w:t>
      </w:r>
    </w:p>
    <w:p>
      <w:pPr>
        <w:pStyle w:val="BodyText"/>
        <w:spacing w:line="316" w:lineRule="auto" w:before="31"/>
        <w:ind w:left="513" w:right="196" w:hanging="394"/>
        <w:jc w:val="both"/>
      </w:pPr>
      <w:r>
        <w:rPr/>
        <w:t>八、 遗传性疾病：指生殖细胞或受精卵的遗传物质（染色体和基因）发生突变或畸变所引起的疾病， 通常具有由亲代传至后代的垂直传递的特征。</w:t>
      </w:r>
    </w:p>
    <w:p>
      <w:pPr>
        <w:pStyle w:val="BodyText"/>
        <w:spacing w:line="316" w:lineRule="auto" w:before="19"/>
        <w:ind w:left="513" w:right="104" w:hanging="394"/>
        <w:jc w:val="both"/>
      </w:pPr>
      <w:r>
        <w:rPr>
          <w:spacing w:val="-12"/>
        </w:rPr>
        <w:t>九、 先天性畸形、变形或染色体异常：指被保险人出生时就具有的畸形、变形或染色体异常。先天性畸形、</w:t>
      </w:r>
      <w:r>
        <w:rPr>
          <w:spacing w:val="-4"/>
        </w:rPr>
        <w:t>变形和染色体异常依照世界卫生组织《疾病和有关健康问题的国际统计分类》</w:t>
      </w:r>
      <w:r>
        <w:rPr/>
        <w:t>（</w:t>
      </w:r>
      <w:r>
        <w:rPr>
          <w:rFonts w:ascii="Times New Roman" w:eastAsia="Times New Roman"/>
        </w:rPr>
        <w:t>ICD-10</w:t>
      </w:r>
      <w:r>
        <w:rPr/>
        <w:t>）确定。</w:t>
      </w:r>
    </w:p>
    <w:p>
      <w:pPr>
        <w:pStyle w:val="BodyText"/>
        <w:spacing w:line="316" w:lineRule="auto" w:before="0"/>
        <w:ind w:left="513" w:right="197" w:hanging="394"/>
        <w:jc w:val="both"/>
      </w:pPr>
      <w:r>
        <w:rPr>
          <w:spacing w:val="-8"/>
        </w:rPr>
        <w:t>十、 现金价值：指保险单所具有的价值，通常体现为解除合同时，根据精算原理计算的，由本公司退还的那部分金额。</w:t>
      </w:r>
    </w:p>
    <w:p>
      <w:pPr>
        <w:pStyle w:val="BodyText"/>
        <w:spacing w:before="19"/>
        <w:ind w:left="513"/>
      </w:pPr>
      <w:r>
        <w:rPr/>
        <w:t>现金价值金额</w:t>
      </w:r>
      <w:r>
        <w:rPr>
          <w:rFonts w:ascii="Times New Roman" w:hAnsi="Times New Roman" w:eastAsia="Times New Roman"/>
        </w:rPr>
        <w:t>=</w:t>
      </w:r>
      <w:r>
        <w:rPr/>
        <w:t>年交保险费×</w:t>
      </w:r>
      <w:r>
        <w:rPr>
          <w:rFonts w:ascii="Times New Roman" w:hAnsi="Times New Roman" w:eastAsia="Times New Roman"/>
          <w:spacing w:val="-2"/>
        </w:rPr>
        <w:t>( </w:t>
      </w:r>
      <w:r>
        <w:rPr>
          <w:rFonts w:ascii="Times New Roman" w:hAnsi="Times New Roman" w:eastAsia="Times New Roman"/>
        </w:rPr>
        <w:t>1-25%</w:t>
      </w:r>
      <w:r>
        <w:rPr>
          <w:rFonts w:ascii="Times New Roman" w:hAnsi="Times New Roman" w:eastAsia="Times New Roman"/>
          <w:spacing w:val="-1"/>
        </w:rPr>
        <w:t> )</w:t>
      </w:r>
      <w:r>
        <w:rPr/>
        <w:t>×（</w:t>
      </w:r>
      <w:r>
        <w:rPr>
          <w:rFonts w:ascii="Times New Roman" w:hAnsi="Times New Roman" w:eastAsia="Times New Roman"/>
        </w:rPr>
        <w:t>1-</w:t>
      </w:r>
      <w:r>
        <w:rPr/>
        <w:t>保单经过天数</w:t>
      </w:r>
      <w:r>
        <w:rPr>
          <w:rFonts w:ascii="Times New Roman" w:hAnsi="Times New Roman" w:eastAsia="Times New Roman"/>
        </w:rPr>
        <w:t>/</w:t>
      </w:r>
      <w:r>
        <w:rPr/>
        <w:t>保险期间的天数</w:t>
      </w:r>
      <w:r>
        <w:rPr>
          <w:spacing w:val="-90"/>
        </w:rPr>
        <w:t>）</w:t>
      </w:r>
      <w:r>
        <w:rPr/>
        <w:t>。</w:t>
      </w:r>
    </w:p>
    <w:p>
      <w:pPr>
        <w:pStyle w:val="BodyText"/>
        <w:spacing w:line="316" w:lineRule="auto"/>
        <w:ind w:left="513" w:right="191" w:hanging="394"/>
        <w:jc w:val="both"/>
      </w:pPr>
      <w:r>
        <w:rPr/>
        <w:t>十一、   保险事故发生之日：重大疾病保险金给付的保险事故发生之日是指被保险人重大疾病被初次确诊之日。</w:t>
      </w:r>
    </w:p>
    <w:p>
      <w:pPr>
        <w:pStyle w:val="BodyText"/>
        <w:spacing w:line="300" w:lineRule="auto" w:before="18"/>
        <w:ind w:left="513" w:right="194" w:hanging="394"/>
        <w:jc w:val="both"/>
      </w:pPr>
      <w:r>
        <w:rPr>
          <w:spacing w:val="-3"/>
        </w:rPr>
        <w:t>十二、   专科医生：专科医生应当同时满足以下四项资格条件：</w:t>
      </w:r>
      <w:r>
        <w:rPr>
          <w:spacing w:val="0"/>
        </w:rPr>
        <w:t>（</w:t>
      </w:r>
      <w:r>
        <w:rPr>
          <w:rFonts w:ascii="Times New Roman" w:eastAsia="Times New Roman"/>
          <w:spacing w:val="1"/>
        </w:rPr>
        <w:t>1</w:t>
      </w:r>
      <w:r>
        <w:rPr>
          <w:spacing w:val="1"/>
        </w:rPr>
        <w:t>）</w:t>
      </w:r>
      <w:r>
        <w:rPr/>
        <w:t>具有有效的中华人民共和国《医师</w:t>
      </w:r>
      <w:r>
        <w:rPr>
          <w:spacing w:val="-31"/>
        </w:rPr>
        <w:t>资格证书》；</w:t>
      </w:r>
      <w:r>
        <w:rPr/>
        <w:t>（</w:t>
      </w:r>
      <w:r>
        <w:rPr>
          <w:rFonts w:ascii="Times New Roman" w:eastAsia="Times New Roman"/>
        </w:rPr>
        <w:t>2</w:t>
      </w:r>
      <w:r>
        <w:rPr>
          <w:spacing w:val="-2"/>
        </w:rPr>
        <w:t>）</w:t>
      </w:r>
      <w:r>
        <w:rPr>
          <w:spacing w:val="-9"/>
        </w:rPr>
        <w:t>具有有效的中华人民共和国《医师执业证书》，并按期到相关部门登记注册；</w:t>
      </w:r>
      <w:r>
        <w:rPr/>
        <w:t>（</w:t>
      </w:r>
      <w:r>
        <w:rPr>
          <w:rFonts w:ascii="Times New Roman" w:eastAsia="Times New Roman"/>
        </w:rPr>
        <w:t>3</w:t>
      </w:r>
      <w:r>
        <w:rPr>
          <w:spacing w:val="-2"/>
        </w:rPr>
        <w:t>）具</w:t>
      </w:r>
      <w:r>
        <w:rPr>
          <w:spacing w:val="-6"/>
        </w:rPr>
        <w:t>有有效的中华人民共和国主治医师或主治医师以上职称的《医师职称证书》；</w:t>
      </w:r>
      <w:r>
        <w:rPr>
          <w:spacing w:val="0"/>
        </w:rPr>
        <w:t>（</w:t>
      </w:r>
      <w:r>
        <w:rPr>
          <w:rFonts w:ascii="Times New Roman" w:eastAsia="Times New Roman"/>
          <w:spacing w:val="1"/>
        </w:rPr>
        <w:t>4</w:t>
      </w:r>
      <w:r>
        <w:rPr>
          <w:spacing w:val="0"/>
        </w:rPr>
        <w:t>）</w:t>
      </w:r>
      <w:r>
        <w:rPr/>
        <w:t>在二级或二级以上医院的相应科室从事临床工作三年以上。</w:t>
      </w:r>
    </w:p>
    <w:p>
      <w:pPr>
        <w:pStyle w:val="BodyText"/>
        <w:spacing w:line="316" w:lineRule="auto" w:before="30"/>
        <w:ind w:left="513" w:right="191" w:hanging="394"/>
        <w:jc w:val="both"/>
      </w:pPr>
      <w:r>
        <w:rPr/>
        <w:t>十三、   肢体机能完全丧失：指肢体的三大关节中的两大关节僵硬，或不能随意识活动。肢体是指包括肩关节的整个上肢或包括髋关节的整个下肢。</w:t>
      </w:r>
    </w:p>
    <w:p>
      <w:pPr>
        <w:pStyle w:val="BodyText"/>
        <w:spacing w:line="316" w:lineRule="auto" w:before="18"/>
        <w:ind w:left="513" w:right="188" w:hanging="394"/>
        <w:jc w:val="both"/>
      </w:pPr>
      <w:r>
        <w:rPr/>
        <w:t>十四、   语言能力或咀嚼吞咽能力完全丧失：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 除流质食物外不能摄取或吞咽的状态。</w:t>
      </w:r>
    </w:p>
    <w:p>
      <w:pPr>
        <w:spacing w:after="0" w:line="316" w:lineRule="auto"/>
        <w:jc w:val="both"/>
        <w:sectPr>
          <w:pgSz w:w="11910" w:h="16840"/>
          <w:pgMar w:top="1600" w:bottom="280" w:left="1680" w:right="1600"/>
        </w:sectPr>
      </w:pPr>
    </w:p>
    <w:p>
      <w:pPr>
        <w:pStyle w:val="BodyText"/>
        <w:spacing w:line="300" w:lineRule="auto" w:before="123"/>
        <w:ind w:left="513" w:right="113" w:hanging="394"/>
        <w:jc w:val="both"/>
      </w:pPr>
      <w:r>
        <w:rPr>
          <w:spacing w:val="-6"/>
        </w:rPr>
        <w:t>十五、   六项基本日常生活活动：</w:t>
      </w:r>
      <w:r>
        <w:rPr>
          <w:spacing w:val="1"/>
        </w:rPr>
        <w:t>（</w:t>
      </w:r>
      <w:r>
        <w:rPr>
          <w:rFonts w:ascii="Times New Roman" w:eastAsia="Times New Roman"/>
          <w:spacing w:val="0"/>
        </w:rPr>
        <w:t>1</w:t>
      </w:r>
      <w:r>
        <w:rPr>
          <w:spacing w:val="1"/>
        </w:rPr>
        <w:t>）</w:t>
      </w:r>
      <w:r>
        <w:rPr>
          <w:spacing w:val="-7"/>
        </w:rPr>
        <w:t>穿衣：自己能够穿衣及脱衣；</w:t>
      </w:r>
      <w:r>
        <w:rPr>
          <w:spacing w:val="1"/>
        </w:rPr>
        <w:t>（</w:t>
      </w:r>
      <w:r>
        <w:rPr>
          <w:rFonts w:ascii="Times New Roman" w:eastAsia="Times New Roman"/>
          <w:spacing w:val="1"/>
        </w:rPr>
        <w:t>2</w:t>
      </w:r>
      <w:r>
        <w:rPr>
          <w:spacing w:val="0"/>
        </w:rPr>
        <w:t>）</w:t>
      </w:r>
      <w:r>
        <w:rPr/>
        <w:t>移动：自己从一个房间到另一</w:t>
      </w:r>
      <w:r>
        <w:rPr>
          <w:spacing w:val="-23"/>
        </w:rPr>
        <w:t>个房间；</w:t>
      </w:r>
      <w:r>
        <w:rPr/>
        <w:t>（</w:t>
      </w:r>
      <w:r>
        <w:rPr>
          <w:rFonts w:ascii="Times New Roman" w:eastAsia="Times New Roman"/>
        </w:rPr>
        <w:t>3</w:t>
      </w:r>
      <w:r>
        <w:rPr>
          <w:spacing w:val="-2"/>
        </w:rPr>
        <w:t>）</w:t>
      </w:r>
      <w:r>
        <w:rPr>
          <w:spacing w:val="-8"/>
        </w:rPr>
        <w:t>行动：自己上下床或上下轮椅；</w:t>
      </w:r>
      <w:r>
        <w:rPr/>
        <w:t>（</w:t>
      </w:r>
      <w:r>
        <w:rPr>
          <w:rFonts w:ascii="Times New Roman" w:eastAsia="Times New Roman"/>
        </w:rPr>
        <w:t>4</w:t>
      </w:r>
      <w:r>
        <w:rPr>
          <w:spacing w:val="-2"/>
        </w:rPr>
        <w:t>）</w:t>
      </w:r>
      <w:r>
        <w:rPr>
          <w:spacing w:val="-8"/>
        </w:rPr>
        <w:t>如厕：自己控制进行大小便；</w:t>
      </w:r>
      <w:r>
        <w:rPr/>
        <w:t>（</w:t>
      </w:r>
      <w:r>
        <w:rPr>
          <w:rFonts w:ascii="Times New Roman" w:eastAsia="Times New Roman"/>
        </w:rPr>
        <w:t>5</w:t>
      </w:r>
      <w:r>
        <w:rPr>
          <w:spacing w:val="-2"/>
        </w:rPr>
        <w:t>）</w:t>
      </w:r>
      <w:r>
        <w:rPr>
          <w:spacing w:val="-1"/>
        </w:rPr>
        <w:t>进食：自己从已</w:t>
      </w:r>
      <w:r>
        <w:rPr>
          <w:spacing w:val="-7"/>
        </w:rPr>
        <w:t>准备好的碗或碟中取食物放入口中；</w:t>
      </w:r>
      <w:r>
        <w:rPr/>
        <w:t>（</w:t>
      </w:r>
      <w:r>
        <w:rPr>
          <w:rFonts w:ascii="Times New Roman" w:eastAsia="Times New Roman"/>
        </w:rPr>
        <w:t>6</w:t>
      </w:r>
      <w:r>
        <w:rPr/>
        <w:t>）洗澡：自己进行淋浴或盆浴。</w:t>
      </w:r>
    </w:p>
    <w:sectPr>
      <w:pgSz w:w="11910" w:h="16840"/>
      <w:pgMar w:top="16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新宋体">
    <w:altName w:val="新宋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6"/>
      <w:numFmt w:val="decimal"/>
      <w:lvlText w:val="%1"/>
      <w:lvlJc w:val="left"/>
      <w:pPr>
        <w:ind w:left="480" w:hanging="407"/>
        <w:jc w:val="left"/>
      </w:pPr>
      <w:rPr>
        <w:rFonts w:hint="default"/>
      </w:rPr>
    </w:lvl>
    <w:lvl w:ilvl="1">
      <w:start w:val="1"/>
      <w:numFmt w:val="decimal"/>
      <w:lvlText w:val="%1.%2"/>
      <w:lvlJc w:val="left"/>
      <w:pPr>
        <w:ind w:left="480" w:hanging="407"/>
        <w:jc w:val="left"/>
      </w:pPr>
      <w:rPr>
        <w:rFonts w:hint="default" w:ascii="Times New Roman" w:hAnsi="Times New Roman" w:eastAsia="Times New Roman" w:cs="Times New Roman"/>
        <w:b/>
        <w:bCs/>
        <w:w w:val="99"/>
        <w:sz w:val="18"/>
        <w:szCs w:val="18"/>
      </w:rPr>
    </w:lvl>
    <w:lvl w:ilvl="2">
      <w:start w:val="0"/>
      <w:numFmt w:val="bullet"/>
      <w:lvlText w:val="•"/>
      <w:lvlJc w:val="left"/>
      <w:pPr>
        <w:ind w:left="1624" w:hanging="407"/>
      </w:pPr>
      <w:rPr>
        <w:rFonts w:hint="default"/>
      </w:rPr>
    </w:lvl>
    <w:lvl w:ilvl="3">
      <w:start w:val="0"/>
      <w:numFmt w:val="bullet"/>
      <w:lvlText w:val="•"/>
      <w:lvlJc w:val="left"/>
      <w:pPr>
        <w:ind w:left="2489" w:hanging="407"/>
      </w:pPr>
      <w:rPr>
        <w:rFonts w:hint="default"/>
      </w:rPr>
    </w:lvl>
    <w:lvl w:ilvl="4">
      <w:start w:val="0"/>
      <w:numFmt w:val="bullet"/>
      <w:lvlText w:val="•"/>
      <w:lvlJc w:val="left"/>
      <w:pPr>
        <w:ind w:left="3354" w:hanging="407"/>
      </w:pPr>
      <w:rPr>
        <w:rFonts w:hint="default"/>
      </w:rPr>
    </w:lvl>
    <w:lvl w:ilvl="5">
      <w:start w:val="0"/>
      <w:numFmt w:val="bullet"/>
      <w:lvlText w:val="•"/>
      <w:lvlJc w:val="left"/>
      <w:pPr>
        <w:ind w:left="4219" w:hanging="407"/>
      </w:pPr>
      <w:rPr>
        <w:rFonts w:hint="default"/>
      </w:rPr>
    </w:lvl>
    <w:lvl w:ilvl="6">
      <w:start w:val="0"/>
      <w:numFmt w:val="bullet"/>
      <w:lvlText w:val="•"/>
      <w:lvlJc w:val="left"/>
      <w:pPr>
        <w:ind w:left="5084" w:hanging="407"/>
      </w:pPr>
      <w:rPr>
        <w:rFonts w:hint="default"/>
      </w:rPr>
    </w:lvl>
    <w:lvl w:ilvl="7">
      <w:start w:val="0"/>
      <w:numFmt w:val="bullet"/>
      <w:lvlText w:val="•"/>
      <w:lvlJc w:val="left"/>
      <w:pPr>
        <w:ind w:left="5949" w:hanging="407"/>
      </w:pPr>
      <w:rPr>
        <w:rFonts w:hint="default"/>
      </w:rPr>
    </w:lvl>
    <w:lvl w:ilvl="8">
      <w:start w:val="0"/>
      <w:numFmt w:val="bullet"/>
      <w:lvlText w:val="•"/>
      <w:lvlJc w:val="left"/>
      <w:pPr>
        <w:ind w:left="6814" w:hanging="407"/>
      </w:pPr>
      <w:rPr>
        <w:rFonts w:hint="default"/>
      </w:rPr>
    </w:lvl>
  </w:abstractNum>
  <w:abstractNum w:abstractNumId="4">
    <w:multiLevelType w:val="hybridMultilevel"/>
    <w:lvl w:ilvl="0">
      <w:start w:val="5"/>
      <w:numFmt w:val="decimal"/>
      <w:lvlText w:val="%1"/>
      <w:lvlJc w:val="left"/>
      <w:pPr>
        <w:ind w:left="526" w:hanging="407"/>
        <w:jc w:val="left"/>
      </w:pPr>
      <w:rPr>
        <w:rFonts w:hint="default"/>
      </w:rPr>
    </w:lvl>
    <w:lvl w:ilvl="1">
      <w:start w:val="1"/>
      <w:numFmt w:val="decimal"/>
      <w:lvlText w:val="%1.%2"/>
      <w:lvlJc w:val="left"/>
      <w:pPr>
        <w:ind w:left="526" w:hanging="407"/>
        <w:jc w:val="left"/>
      </w:pPr>
      <w:rPr>
        <w:rFonts w:hint="default" w:ascii="Times New Roman" w:hAnsi="Times New Roman" w:eastAsia="Times New Roman" w:cs="Times New Roman"/>
        <w:b/>
        <w:bCs/>
        <w:w w:val="99"/>
        <w:sz w:val="18"/>
        <w:szCs w:val="18"/>
      </w:rPr>
    </w:lvl>
    <w:lvl w:ilvl="2">
      <w:start w:val="0"/>
      <w:numFmt w:val="bullet"/>
      <w:lvlText w:val="•"/>
      <w:lvlJc w:val="left"/>
      <w:pPr>
        <w:ind w:left="2140" w:hanging="407"/>
      </w:pPr>
      <w:rPr>
        <w:rFonts w:hint="default"/>
      </w:rPr>
    </w:lvl>
    <w:lvl w:ilvl="3">
      <w:start w:val="0"/>
      <w:numFmt w:val="bullet"/>
      <w:lvlText w:val="•"/>
      <w:lvlJc w:val="left"/>
      <w:pPr>
        <w:ind w:left="2951" w:hanging="407"/>
      </w:pPr>
      <w:rPr>
        <w:rFonts w:hint="default"/>
      </w:rPr>
    </w:lvl>
    <w:lvl w:ilvl="4">
      <w:start w:val="0"/>
      <w:numFmt w:val="bullet"/>
      <w:lvlText w:val="•"/>
      <w:lvlJc w:val="left"/>
      <w:pPr>
        <w:ind w:left="3761" w:hanging="407"/>
      </w:pPr>
      <w:rPr>
        <w:rFonts w:hint="default"/>
      </w:rPr>
    </w:lvl>
    <w:lvl w:ilvl="5">
      <w:start w:val="0"/>
      <w:numFmt w:val="bullet"/>
      <w:lvlText w:val="•"/>
      <w:lvlJc w:val="left"/>
      <w:pPr>
        <w:ind w:left="4572" w:hanging="407"/>
      </w:pPr>
      <w:rPr>
        <w:rFonts w:hint="default"/>
      </w:rPr>
    </w:lvl>
    <w:lvl w:ilvl="6">
      <w:start w:val="0"/>
      <w:numFmt w:val="bullet"/>
      <w:lvlText w:val="•"/>
      <w:lvlJc w:val="left"/>
      <w:pPr>
        <w:ind w:left="5382" w:hanging="407"/>
      </w:pPr>
      <w:rPr>
        <w:rFonts w:hint="default"/>
      </w:rPr>
    </w:lvl>
    <w:lvl w:ilvl="7">
      <w:start w:val="0"/>
      <w:numFmt w:val="bullet"/>
      <w:lvlText w:val="•"/>
      <w:lvlJc w:val="left"/>
      <w:pPr>
        <w:ind w:left="6193" w:hanging="407"/>
      </w:pPr>
      <w:rPr>
        <w:rFonts w:hint="default"/>
      </w:rPr>
    </w:lvl>
    <w:lvl w:ilvl="8">
      <w:start w:val="0"/>
      <w:numFmt w:val="bullet"/>
      <w:lvlText w:val="•"/>
      <w:lvlJc w:val="left"/>
      <w:pPr>
        <w:ind w:left="7003" w:hanging="407"/>
      </w:pPr>
      <w:rPr>
        <w:rFonts w:hint="default"/>
      </w:rPr>
    </w:lvl>
  </w:abstractNum>
  <w:abstractNum w:abstractNumId="3">
    <w:multiLevelType w:val="hybridMultilevel"/>
    <w:lvl w:ilvl="0">
      <w:start w:val="4"/>
      <w:numFmt w:val="decimal"/>
      <w:lvlText w:val="%1"/>
      <w:lvlJc w:val="left"/>
      <w:pPr>
        <w:ind w:left="526" w:hanging="407"/>
        <w:jc w:val="left"/>
      </w:pPr>
      <w:rPr>
        <w:rFonts w:hint="default"/>
      </w:rPr>
    </w:lvl>
    <w:lvl w:ilvl="1">
      <w:start w:val="1"/>
      <w:numFmt w:val="decimal"/>
      <w:lvlText w:val="%1.%2"/>
      <w:lvlJc w:val="left"/>
      <w:pPr>
        <w:ind w:left="526" w:hanging="407"/>
        <w:jc w:val="left"/>
      </w:pPr>
      <w:rPr>
        <w:rFonts w:hint="default" w:ascii="Times New Roman" w:hAnsi="Times New Roman" w:eastAsia="Times New Roman" w:cs="Times New Roman"/>
        <w:b/>
        <w:bCs/>
        <w:w w:val="99"/>
        <w:sz w:val="18"/>
        <w:szCs w:val="18"/>
      </w:rPr>
    </w:lvl>
    <w:lvl w:ilvl="2">
      <w:start w:val="1"/>
      <w:numFmt w:val="decimal"/>
      <w:lvlText w:val="%3)"/>
      <w:lvlJc w:val="left"/>
      <w:pPr>
        <w:ind w:left="960" w:hanging="420"/>
        <w:jc w:val="left"/>
      </w:pPr>
      <w:rPr>
        <w:rFonts w:hint="default" w:ascii="Times New Roman" w:hAnsi="Times New Roman" w:eastAsia="Times New Roman" w:cs="Times New Roman"/>
        <w:w w:val="100"/>
        <w:sz w:val="18"/>
        <w:szCs w:val="18"/>
      </w:rPr>
    </w:lvl>
    <w:lvl w:ilvl="3">
      <w:start w:val="0"/>
      <w:numFmt w:val="bullet"/>
      <w:lvlText w:val="•"/>
      <w:lvlJc w:val="left"/>
      <w:pPr>
        <w:ind w:left="2654" w:hanging="420"/>
      </w:pPr>
      <w:rPr>
        <w:rFonts w:hint="default"/>
      </w:rPr>
    </w:lvl>
    <w:lvl w:ilvl="4">
      <w:start w:val="0"/>
      <w:numFmt w:val="bullet"/>
      <w:lvlText w:val="•"/>
      <w:lvlJc w:val="left"/>
      <w:pPr>
        <w:ind w:left="3501" w:hanging="420"/>
      </w:pPr>
      <w:rPr>
        <w:rFonts w:hint="default"/>
      </w:rPr>
    </w:lvl>
    <w:lvl w:ilvl="5">
      <w:start w:val="0"/>
      <w:numFmt w:val="bullet"/>
      <w:lvlText w:val="•"/>
      <w:lvlJc w:val="left"/>
      <w:pPr>
        <w:ind w:left="4348" w:hanging="420"/>
      </w:pPr>
      <w:rPr>
        <w:rFonts w:hint="default"/>
      </w:rPr>
    </w:lvl>
    <w:lvl w:ilvl="6">
      <w:start w:val="0"/>
      <w:numFmt w:val="bullet"/>
      <w:lvlText w:val="•"/>
      <w:lvlJc w:val="left"/>
      <w:pPr>
        <w:ind w:left="5195" w:hanging="420"/>
      </w:pPr>
      <w:rPr>
        <w:rFonts w:hint="default"/>
      </w:rPr>
    </w:lvl>
    <w:lvl w:ilvl="7">
      <w:start w:val="0"/>
      <w:numFmt w:val="bullet"/>
      <w:lvlText w:val="•"/>
      <w:lvlJc w:val="left"/>
      <w:pPr>
        <w:ind w:left="6042" w:hanging="420"/>
      </w:pPr>
      <w:rPr>
        <w:rFonts w:hint="default"/>
      </w:rPr>
    </w:lvl>
    <w:lvl w:ilvl="8">
      <w:start w:val="0"/>
      <w:numFmt w:val="bullet"/>
      <w:lvlText w:val="•"/>
      <w:lvlJc w:val="left"/>
      <w:pPr>
        <w:ind w:left="6890" w:hanging="420"/>
      </w:pPr>
      <w:rPr>
        <w:rFonts w:hint="default"/>
      </w:rPr>
    </w:lvl>
  </w:abstractNum>
  <w:abstractNum w:abstractNumId="2">
    <w:multiLevelType w:val="hybridMultilevel"/>
    <w:lvl w:ilvl="0">
      <w:start w:val="3"/>
      <w:numFmt w:val="decimal"/>
      <w:lvlText w:val="%1"/>
      <w:lvlJc w:val="left"/>
      <w:pPr>
        <w:ind w:left="526" w:hanging="407"/>
        <w:jc w:val="left"/>
      </w:pPr>
      <w:rPr>
        <w:rFonts w:hint="default"/>
      </w:rPr>
    </w:lvl>
    <w:lvl w:ilvl="1">
      <w:start w:val="1"/>
      <w:numFmt w:val="decimal"/>
      <w:lvlText w:val="%1.%2"/>
      <w:lvlJc w:val="left"/>
      <w:pPr>
        <w:ind w:left="526" w:hanging="407"/>
        <w:jc w:val="left"/>
      </w:pPr>
      <w:rPr>
        <w:rFonts w:hint="default" w:ascii="Times New Roman" w:hAnsi="Times New Roman" w:eastAsia="Times New Roman" w:cs="Times New Roman"/>
        <w:b/>
        <w:bCs/>
        <w:w w:val="99"/>
        <w:sz w:val="18"/>
        <w:szCs w:val="18"/>
      </w:rPr>
    </w:lvl>
    <w:lvl w:ilvl="2">
      <w:start w:val="0"/>
      <w:numFmt w:val="bullet"/>
      <w:lvlText w:val="•"/>
      <w:lvlJc w:val="left"/>
      <w:pPr>
        <w:ind w:left="2440" w:hanging="407"/>
      </w:pPr>
      <w:rPr>
        <w:rFonts w:hint="default"/>
      </w:rPr>
    </w:lvl>
    <w:lvl w:ilvl="3">
      <w:start w:val="0"/>
      <w:numFmt w:val="bullet"/>
      <w:lvlText w:val="•"/>
      <w:lvlJc w:val="left"/>
      <w:pPr>
        <w:ind w:left="3401" w:hanging="407"/>
      </w:pPr>
      <w:rPr>
        <w:rFonts w:hint="default"/>
      </w:rPr>
    </w:lvl>
    <w:lvl w:ilvl="4">
      <w:start w:val="0"/>
      <w:numFmt w:val="bullet"/>
      <w:lvlText w:val="•"/>
      <w:lvlJc w:val="left"/>
      <w:pPr>
        <w:ind w:left="4361" w:hanging="407"/>
      </w:pPr>
      <w:rPr>
        <w:rFonts w:hint="default"/>
      </w:rPr>
    </w:lvl>
    <w:lvl w:ilvl="5">
      <w:start w:val="0"/>
      <w:numFmt w:val="bullet"/>
      <w:lvlText w:val="•"/>
      <w:lvlJc w:val="left"/>
      <w:pPr>
        <w:ind w:left="5322" w:hanging="407"/>
      </w:pPr>
      <w:rPr>
        <w:rFonts w:hint="default"/>
      </w:rPr>
    </w:lvl>
    <w:lvl w:ilvl="6">
      <w:start w:val="0"/>
      <w:numFmt w:val="bullet"/>
      <w:lvlText w:val="•"/>
      <w:lvlJc w:val="left"/>
      <w:pPr>
        <w:ind w:left="6282" w:hanging="407"/>
      </w:pPr>
      <w:rPr>
        <w:rFonts w:hint="default"/>
      </w:rPr>
    </w:lvl>
    <w:lvl w:ilvl="7">
      <w:start w:val="0"/>
      <w:numFmt w:val="bullet"/>
      <w:lvlText w:val="•"/>
      <w:lvlJc w:val="left"/>
      <w:pPr>
        <w:ind w:left="7243" w:hanging="407"/>
      </w:pPr>
      <w:rPr>
        <w:rFonts w:hint="default"/>
      </w:rPr>
    </w:lvl>
    <w:lvl w:ilvl="8">
      <w:start w:val="0"/>
      <w:numFmt w:val="bullet"/>
      <w:lvlText w:val="•"/>
      <w:lvlJc w:val="left"/>
      <w:pPr>
        <w:ind w:left="8203" w:hanging="407"/>
      </w:pPr>
      <w:rPr>
        <w:rFonts w:hint="default"/>
      </w:rPr>
    </w:lvl>
  </w:abstractNum>
  <w:abstractNum w:abstractNumId="1">
    <w:multiLevelType w:val="hybridMultilevel"/>
    <w:lvl w:ilvl="0">
      <w:start w:val="2"/>
      <w:numFmt w:val="decimal"/>
      <w:lvlText w:val="%1"/>
      <w:lvlJc w:val="left"/>
      <w:pPr>
        <w:ind w:left="526" w:hanging="407"/>
        <w:jc w:val="left"/>
      </w:pPr>
      <w:rPr>
        <w:rFonts w:hint="default"/>
      </w:rPr>
    </w:lvl>
    <w:lvl w:ilvl="1">
      <w:start w:val="1"/>
      <w:numFmt w:val="decimal"/>
      <w:lvlText w:val="%1.%2"/>
      <w:lvlJc w:val="left"/>
      <w:pPr>
        <w:ind w:left="526" w:hanging="407"/>
        <w:jc w:val="left"/>
      </w:pPr>
      <w:rPr>
        <w:rFonts w:hint="default" w:ascii="Times New Roman" w:hAnsi="Times New Roman" w:eastAsia="Times New Roman" w:cs="Times New Roman"/>
        <w:b/>
        <w:bCs/>
        <w:w w:val="99"/>
        <w:sz w:val="18"/>
        <w:szCs w:val="18"/>
      </w:rPr>
    </w:lvl>
    <w:lvl w:ilvl="2">
      <w:start w:val="0"/>
      <w:numFmt w:val="bullet"/>
      <w:lvlText w:val="•"/>
      <w:lvlJc w:val="left"/>
      <w:pPr>
        <w:ind w:left="2440" w:hanging="407"/>
      </w:pPr>
      <w:rPr>
        <w:rFonts w:hint="default"/>
      </w:rPr>
    </w:lvl>
    <w:lvl w:ilvl="3">
      <w:start w:val="0"/>
      <w:numFmt w:val="bullet"/>
      <w:lvlText w:val="•"/>
      <w:lvlJc w:val="left"/>
      <w:pPr>
        <w:ind w:left="3401" w:hanging="407"/>
      </w:pPr>
      <w:rPr>
        <w:rFonts w:hint="default"/>
      </w:rPr>
    </w:lvl>
    <w:lvl w:ilvl="4">
      <w:start w:val="0"/>
      <w:numFmt w:val="bullet"/>
      <w:lvlText w:val="•"/>
      <w:lvlJc w:val="left"/>
      <w:pPr>
        <w:ind w:left="4361" w:hanging="407"/>
      </w:pPr>
      <w:rPr>
        <w:rFonts w:hint="default"/>
      </w:rPr>
    </w:lvl>
    <w:lvl w:ilvl="5">
      <w:start w:val="0"/>
      <w:numFmt w:val="bullet"/>
      <w:lvlText w:val="•"/>
      <w:lvlJc w:val="left"/>
      <w:pPr>
        <w:ind w:left="5322" w:hanging="407"/>
      </w:pPr>
      <w:rPr>
        <w:rFonts w:hint="default"/>
      </w:rPr>
    </w:lvl>
    <w:lvl w:ilvl="6">
      <w:start w:val="0"/>
      <w:numFmt w:val="bullet"/>
      <w:lvlText w:val="•"/>
      <w:lvlJc w:val="left"/>
      <w:pPr>
        <w:ind w:left="6282" w:hanging="407"/>
      </w:pPr>
      <w:rPr>
        <w:rFonts w:hint="default"/>
      </w:rPr>
    </w:lvl>
    <w:lvl w:ilvl="7">
      <w:start w:val="0"/>
      <w:numFmt w:val="bullet"/>
      <w:lvlText w:val="•"/>
      <w:lvlJc w:val="left"/>
      <w:pPr>
        <w:ind w:left="7243" w:hanging="407"/>
      </w:pPr>
      <w:rPr>
        <w:rFonts w:hint="default"/>
      </w:rPr>
    </w:lvl>
    <w:lvl w:ilvl="8">
      <w:start w:val="0"/>
      <w:numFmt w:val="bullet"/>
      <w:lvlText w:val="•"/>
      <w:lvlJc w:val="left"/>
      <w:pPr>
        <w:ind w:left="8203" w:hanging="407"/>
      </w:pPr>
      <w:rPr>
        <w:rFonts w:hint="default"/>
      </w:rPr>
    </w:lvl>
  </w:abstractNum>
  <w:abstractNum w:abstractNumId="0">
    <w:multiLevelType w:val="hybridMultilevel"/>
    <w:lvl w:ilvl="0">
      <w:start w:val="1"/>
      <w:numFmt w:val="decimal"/>
      <w:lvlText w:val="%1"/>
      <w:lvlJc w:val="left"/>
      <w:pPr>
        <w:ind w:left="526" w:hanging="407"/>
        <w:jc w:val="left"/>
      </w:pPr>
      <w:rPr>
        <w:rFonts w:hint="default"/>
      </w:rPr>
    </w:lvl>
    <w:lvl w:ilvl="1">
      <w:start w:val="1"/>
      <w:numFmt w:val="decimal"/>
      <w:lvlText w:val="%1.%2"/>
      <w:lvlJc w:val="left"/>
      <w:pPr>
        <w:ind w:left="526" w:hanging="407"/>
        <w:jc w:val="left"/>
      </w:pPr>
      <w:rPr>
        <w:rFonts w:hint="default" w:ascii="Times New Roman" w:hAnsi="Times New Roman" w:eastAsia="Times New Roman" w:cs="Times New Roman"/>
        <w:b/>
        <w:bCs/>
        <w:w w:val="99"/>
        <w:sz w:val="18"/>
        <w:szCs w:val="18"/>
      </w:rPr>
    </w:lvl>
    <w:lvl w:ilvl="2">
      <w:start w:val="0"/>
      <w:numFmt w:val="bullet"/>
      <w:lvlText w:val="•"/>
      <w:lvlJc w:val="left"/>
      <w:pPr>
        <w:ind w:left="2440" w:hanging="407"/>
      </w:pPr>
      <w:rPr>
        <w:rFonts w:hint="default"/>
      </w:rPr>
    </w:lvl>
    <w:lvl w:ilvl="3">
      <w:start w:val="0"/>
      <w:numFmt w:val="bullet"/>
      <w:lvlText w:val="•"/>
      <w:lvlJc w:val="left"/>
      <w:pPr>
        <w:ind w:left="3401" w:hanging="407"/>
      </w:pPr>
      <w:rPr>
        <w:rFonts w:hint="default"/>
      </w:rPr>
    </w:lvl>
    <w:lvl w:ilvl="4">
      <w:start w:val="0"/>
      <w:numFmt w:val="bullet"/>
      <w:lvlText w:val="•"/>
      <w:lvlJc w:val="left"/>
      <w:pPr>
        <w:ind w:left="4361" w:hanging="407"/>
      </w:pPr>
      <w:rPr>
        <w:rFonts w:hint="default"/>
      </w:rPr>
    </w:lvl>
    <w:lvl w:ilvl="5">
      <w:start w:val="0"/>
      <w:numFmt w:val="bullet"/>
      <w:lvlText w:val="•"/>
      <w:lvlJc w:val="left"/>
      <w:pPr>
        <w:ind w:left="5322" w:hanging="407"/>
      </w:pPr>
      <w:rPr>
        <w:rFonts w:hint="default"/>
      </w:rPr>
    </w:lvl>
    <w:lvl w:ilvl="6">
      <w:start w:val="0"/>
      <w:numFmt w:val="bullet"/>
      <w:lvlText w:val="•"/>
      <w:lvlJc w:val="left"/>
      <w:pPr>
        <w:ind w:left="6282" w:hanging="407"/>
      </w:pPr>
      <w:rPr>
        <w:rFonts w:hint="default"/>
      </w:rPr>
    </w:lvl>
    <w:lvl w:ilvl="7">
      <w:start w:val="0"/>
      <w:numFmt w:val="bullet"/>
      <w:lvlText w:val="•"/>
      <w:lvlJc w:val="left"/>
      <w:pPr>
        <w:ind w:left="7243" w:hanging="407"/>
      </w:pPr>
      <w:rPr>
        <w:rFonts w:hint="default"/>
      </w:rPr>
    </w:lvl>
    <w:lvl w:ilvl="8">
      <w:start w:val="0"/>
      <w:numFmt w:val="bullet"/>
      <w:lvlText w:val="•"/>
      <w:lvlJc w:val="left"/>
      <w:pPr>
        <w:ind w:left="8203" w:hanging="407"/>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2"/>
      <w:ind w:left="480"/>
    </w:pPr>
    <w:rPr>
      <w:rFonts w:ascii="宋体" w:hAnsi="宋体" w:eastAsia="宋体" w:cs="宋体"/>
      <w:sz w:val="18"/>
      <w:szCs w:val="18"/>
    </w:rPr>
  </w:style>
  <w:style w:styleId="Heading1" w:type="paragraph">
    <w:name w:val="Heading 1"/>
    <w:basedOn w:val="Normal"/>
    <w:uiPriority w:val="1"/>
    <w:qFormat/>
    <w:pPr>
      <w:ind w:left="999"/>
      <w:outlineLvl w:val="1"/>
    </w:pPr>
    <w:rPr>
      <w:rFonts w:ascii="宋体" w:hAnsi="宋体" w:eastAsia="宋体" w:cs="宋体"/>
      <w:b/>
      <w:bCs/>
      <w:sz w:val="24"/>
      <w:szCs w:val="24"/>
    </w:rPr>
  </w:style>
  <w:style w:styleId="Heading2" w:type="paragraph">
    <w:name w:val="Heading 2"/>
    <w:basedOn w:val="Normal"/>
    <w:uiPriority w:val="1"/>
    <w:qFormat/>
    <w:pPr>
      <w:spacing w:before="35"/>
      <w:ind w:left="104"/>
      <w:jc w:val="center"/>
      <w:outlineLvl w:val="2"/>
    </w:pPr>
    <w:rPr>
      <w:rFonts w:ascii="宋体" w:hAnsi="宋体" w:eastAsia="宋体" w:cs="宋体"/>
      <w:b/>
      <w:bCs/>
      <w:sz w:val="21"/>
      <w:szCs w:val="21"/>
    </w:rPr>
  </w:style>
  <w:style w:styleId="Heading3" w:type="paragraph">
    <w:name w:val="Heading 3"/>
    <w:basedOn w:val="Normal"/>
    <w:uiPriority w:val="1"/>
    <w:qFormat/>
    <w:pPr>
      <w:ind w:left="526"/>
      <w:outlineLvl w:val="3"/>
    </w:pPr>
    <w:rPr>
      <w:rFonts w:ascii="宋体" w:hAnsi="宋体" w:eastAsia="宋体" w:cs="宋体"/>
      <w:b/>
      <w:bCs/>
      <w:sz w:val="18"/>
      <w:szCs w:val="18"/>
    </w:rPr>
  </w:style>
  <w:style w:styleId="ListParagraph" w:type="paragraph">
    <w:name w:val="List Paragraph"/>
    <w:basedOn w:val="Normal"/>
    <w:uiPriority w:val="1"/>
    <w:qFormat/>
    <w:pPr>
      <w:ind w:left="526" w:hanging="40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&lt;4D6963726F736F667420576F7264202D20A1B6D6D0B9FAB6F9CDAFC9D9C4EABBF9BDF0BBE1CDC5CCE5C9D9B6F9D6D8B4F3BCB2B2A1B1A3CFD5A3A8C3F7D1C742BFEEA3A9A1B7CCF5BFEEA3A8B6FECEACC2EBA3A92E646F63&gt;</dc:title>
  <dcterms:created xsi:type="dcterms:W3CDTF">2018-10-19T22:07:23Z</dcterms:created>
  <dcterms:modified xsi:type="dcterms:W3CDTF">2018-10-19T22:07:23Z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5.2.2</vt:lpwstr>
  </property>
  <property fmtid="{D5CDD505-2E9C-101B-9397-08002B2CF9AE}" pid="4" name="LastSaved">
    <vt:filetime>2018-10-19T00:00:00Z</vt:filetime>
  </property>
</Properties>
</file>