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9" w:after="30"/>
        <w:ind w:left="5949"/>
      </w:pPr>
      <w:r>
        <w:rPr/>
        <w:t>上海人寿[2016]疾病保险023号</w:t>
      </w:r>
    </w:p>
    <w:p>
      <w:pPr>
        <w:pStyle w:val="BodyText"/>
        <w:spacing w:before="0"/>
        <w:ind w:left="679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600" w:bottom="280" w:left="1300" w:right="1180"/>
        </w:sectPr>
      </w:pPr>
    </w:p>
    <w:p>
      <w:pPr>
        <w:tabs>
          <w:tab w:pos="3652" w:val="left" w:leader="none"/>
          <w:tab w:pos="4314" w:val="left" w:leader="none"/>
          <w:tab w:pos="4977" w:val="left" w:leader="none"/>
        </w:tabs>
        <w:spacing w:line="746" w:lineRule="exact" w:before="0"/>
        <w:ind w:left="2989" w:right="0" w:firstLine="0"/>
        <w:jc w:val="left"/>
        <w:rPr>
          <w:rFonts w:ascii="Microsoft JhengHei" w:eastAsia="Microsoft JhengHei" w:hint="eastAsia"/>
          <w:b/>
          <w:sz w:val="44"/>
        </w:rPr>
      </w:pPr>
      <w:r>
        <w:rPr>
          <w:rFonts w:ascii="Microsoft JhengHei" w:eastAsia="Microsoft JhengHei" w:hint="eastAsia"/>
          <w:b/>
          <w:sz w:val="44"/>
        </w:rPr>
        <w:t>阅</w:t>
        <w:tab/>
        <w:t>读</w:t>
        <w:tab/>
        <w:t>指</w:t>
        <w:tab/>
      </w:r>
      <w:r>
        <w:rPr>
          <w:rFonts w:ascii="Microsoft JhengHei" w:eastAsia="Microsoft JhengHei" w:hint="eastAsia"/>
          <w:b/>
          <w:w w:val="95"/>
          <w:sz w:val="44"/>
        </w:rPr>
        <w:t>引</w:t>
      </w:r>
    </w:p>
    <w:p>
      <w:pPr>
        <w:pStyle w:val="BodyText"/>
        <w:spacing w:line="241" w:lineRule="exact" w:before="0"/>
        <w:ind w:left="859"/>
      </w:pPr>
      <w:r>
        <w:rPr/>
        <w:br w:type="column"/>
      </w:r>
      <w:r>
        <w:rPr/>
        <w:t>请扫描以查询验证条款</w:t>
      </w:r>
    </w:p>
    <w:p>
      <w:pPr>
        <w:spacing w:after="0" w:line="241" w:lineRule="exact"/>
        <w:sectPr>
          <w:type w:val="continuous"/>
          <w:pgSz w:w="11910" w:h="16840"/>
          <w:pgMar w:top="600" w:bottom="280" w:left="1300" w:right="1180"/>
          <w:cols w:num="2" w:equalWidth="0">
            <w:col w:w="5417" w:space="40"/>
            <w:col w:w="3973"/>
          </w:cols>
        </w:sectPr>
      </w:pPr>
    </w:p>
    <w:p>
      <w:pPr>
        <w:pStyle w:val="BodyText"/>
        <w:spacing w:before="5"/>
        <w:ind w:left="0"/>
        <w:rPr>
          <w:sz w:val="8"/>
        </w:rPr>
      </w:pPr>
    </w:p>
    <w:p>
      <w:pPr>
        <w:spacing w:line="430" w:lineRule="exact" w:before="0"/>
        <w:ind w:left="118" w:right="0" w:firstLine="0"/>
        <w:jc w:val="left"/>
        <w:rPr>
          <w:sz w:val="24"/>
        </w:rPr>
      </w:pPr>
      <w:r>
        <w:rPr>
          <w:rFonts w:ascii="微软雅黑" w:eastAsia="微软雅黑" w:hint="eastAsia"/>
          <w:b/>
          <w:spacing w:val="-176"/>
          <w:sz w:val="24"/>
        </w:rPr>
        <w:t>本</w:t>
      </w:r>
      <w:r>
        <w:rPr>
          <w:spacing w:val="-77"/>
          <w:position w:val="-8"/>
          <w:sz w:val="24"/>
        </w:rPr>
        <w:t>．</w:t>
      </w:r>
      <w:r>
        <w:rPr>
          <w:rFonts w:ascii="微软雅黑" w:eastAsia="微软雅黑" w:hint="eastAsia"/>
          <w:b/>
          <w:spacing w:val="-176"/>
          <w:sz w:val="24"/>
        </w:rPr>
        <w:t>阅</w:t>
      </w:r>
      <w:r>
        <w:rPr>
          <w:spacing w:val="-77"/>
          <w:position w:val="-8"/>
          <w:sz w:val="24"/>
        </w:rPr>
        <w:t>．</w:t>
      </w:r>
      <w:r>
        <w:rPr>
          <w:rFonts w:ascii="微软雅黑" w:eastAsia="微软雅黑" w:hint="eastAsia"/>
          <w:b/>
          <w:spacing w:val="-173"/>
          <w:sz w:val="24"/>
        </w:rPr>
        <w:t>读</w:t>
      </w:r>
      <w:r>
        <w:rPr>
          <w:spacing w:val="-77"/>
          <w:position w:val="-8"/>
          <w:sz w:val="24"/>
        </w:rPr>
        <w:t>．</w:t>
      </w:r>
      <w:r>
        <w:rPr>
          <w:rFonts w:ascii="微软雅黑" w:eastAsia="微软雅黑" w:hint="eastAsia"/>
          <w:b/>
          <w:spacing w:val="-176"/>
          <w:sz w:val="24"/>
        </w:rPr>
        <w:t>指</w:t>
      </w:r>
      <w:r>
        <w:rPr>
          <w:spacing w:val="-77"/>
          <w:position w:val="-8"/>
          <w:sz w:val="24"/>
        </w:rPr>
        <w:t>．</w:t>
      </w:r>
      <w:r>
        <w:rPr>
          <w:rFonts w:ascii="微软雅黑" w:eastAsia="微软雅黑" w:hint="eastAsia"/>
          <w:b/>
          <w:spacing w:val="-176"/>
          <w:sz w:val="24"/>
        </w:rPr>
        <w:t>引</w:t>
      </w:r>
      <w:r>
        <w:rPr>
          <w:spacing w:val="-77"/>
          <w:position w:val="-8"/>
          <w:sz w:val="24"/>
        </w:rPr>
        <w:t>．</w:t>
      </w:r>
      <w:r>
        <w:rPr>
          <w:rFonts w:ascii="微软雅黑" w:eastAsia="微软雅黑" w:hint="eastAsia"/>
          <w:b/>
          <w:spacing w:val="-173"/>
          <w:sz w:val="24"/>
        </w:rPr>
        <w:t>有</w:t>
      </w:r>
      <w:r>
        <w:rPr>
          <w:spacing w:val="-77"/>
          <w:position w:val="-8"/>
          <w:sz w:val="24"/>
        </w:rPr>
        <w:t>．</w:t>
      </w:r>
      <w:r>
        <w:rPr>
          <w:rFonts w:ascii="微软雅黑" w:eastAsia="微软雅黑" w:hint="eastAsia"/>
          <w:b/>
          <w:spacing w:val="-176"/>
          <w:sz w:val="24"/>
        </w:rPr>
        <w:t>助</w:t>
      </w:r>
      <w:r>
        <w:rPr>
          <w:spacing w:val="-77"/>
          <w:position w:val="-8"/>
          <w:sz w:val="24"/>
        </w:rPr>
        <w:t>．</w:t>
      </w:r>
      <w:r>
        <w:rPr>
          <w:rFonts w:ascii="微软雅黑" w:eastAsia="微软雅黑" w:hint="eastAsia"/>
          <w:b/>
          <w:spacing w:val="-173"/>
          <w:sz w:val="24"/>
        </w:rPr>
        <w:t>于</w:t>
      </w:r>
      <w:r>
        <w:rPr>
          <w:spacing w:val="-77"/>
          <w:position w:val="-8"/>
          <w:sz w:val="24"/>
        </w:rPr>
        <w:t>．</w:t>
      </w:r>
      <w:r>
        <w:rPr>
          <w:rFonts w:ascii="微软雅黑" w:eastAsia="微软雅黑" w:hint="eastAsia"/>
          <w:b/>
          <w:spacing w:val="-176"/>
          <w:sz w:val="24"/>
        </w:rPr>
        <w:t>您</w:t>
      </w:r>
      <w:r>
        <w:rPr>
          <w:spacing w:val="-77"/>
          <w:position w:val="-8"/>
          <w:sz w:val="24"/>
        </w:rPr>
        <w:t>．</w:t>
      </w:r>
      <w:r>
        <w:rPr>
          <w:rFonts w:ascii="微软雅黑" w:eastAsia="微软雅黑" w:hint="eastAsia"/>
          <w:b/>
          <w:spacing w:val="-173"/>
          <w:sz w:val="24"/>
        </w:rPr>
        <w:t>（</w:t>
      </w:r>
      <w:r>
        <w:rPr>
          <w:spacing w:val="-77"/>
          <w:position w:val="-8"/>
          <w:sz w:val="24"/>
        </w:rPr>
        <w:t>．</w:t>
      </w:r>
      <w:r>
        <w:rPr>
          <w:rFonts w:ascii="微软雅黑" w:eastAsia="微软雅黑" w:hint="eastAsia"/>
          <w:b/>
          <w:spacing w:val="-176"/>
          <w:sz w:val="24"/>
        </w:rPr>
        <w:t>投</w:t>
      </w:r>
      <w:r>
        <w:rPr>
          <w:spacing w:val="-77"/>
          <w:position w:val="-8"/>
          <w:sz w:val="24"/>
        </w:rPr>
        <w:t>．</w:t>
      </w:r>
      <w:r>
        <w:rPr>
          <w:rFonts w:ascii="微软雅黑" w:eastAsia="微软雅黑" w:hint="eastAsia"/>
          <w:b/>
          <w:spacing w:val="-176"/>
          <w:sz w:val="24"/>
        </w:rPr>
        <w:t>保</w:t>
      </w:r>
      <w:r>
        <w:rPr>
          <w:spacing w:val="-77"/>
          <w:position w:val="-8"/>
          <w:sz w:val="24"/>
        </w:rPr>
        <w:t>．</w:t>
      </w:r>
      <w:r>
        <w:rPr>
          <w:rFonts w:ascii="微软雅黑" w:eastAsia="微软雅黑" w:hint="eastAsia"/>
          <w:b/>
          <w:spacing w:val="-173"/>
          <w:sz w:val="24"/>
        </w:rPr>
        <w:t>人</w:t>
      </w:r>
      <w:r>
        <w:rPr>
          <w:spacing w:val="-77"/>
          <w:position w:val="-8"/>
          <w:sz w:val="24"/>
        </w:rPr>
        <w:t>．</w:t>
      </w:r>
      <w:r>
        <w:rPr>
          <w:rFonts w:ascii="微软雅黑" w:eastAsia="微软雅黑" w:hint="eastAsia"/>
          <w:b/>
          <w:spacing w:val="-176"/>
          <w:sz w:val="24"/>
        </w:rPr>
        <w:t>，</w:t>
      </w:r>
      <w:r>
        <w:rPr>
          <w:spacing w:val="-77"/>
          <w:position w:val="-8"/>
          <w:sz w:val="24"/>
        </w:rPr>
        <w:t>．</w:t>
      </w:r>
      <w:r>
        <w:rPr>
          <w:rFonts w:ascii="微软雅黑" w:eastAsia="微软雅黑" w:hint="eastAsia"/>
          <w:b/>
          <w:spacing w:val="-176"/>
          <w:sz w:val="24"/>
        </w:rPr>
        <w:t>以</w:t>
      </w:r>
      <w:r>
        <w:rPr>
          <w:spacing w:val="-77"/>
          <w:position w:val="-8"/>
          <w:sz w:val="24"/>
        </w:rPr>
        <w:t>．</w:t>
      </w:r>
      <w:r>
        <w:rPr>
          <w:rFonts w:ascii="微软雅黑" w:eastAsia="微软雅黑" w:hint="eastAsia"/>
          <w:b/>
          <w:spacing w:val="-173"/>
          <w:sz w:val="24"/>
        </w:rPr>
        <w:t>下</w:t>
      </w:r>
      <w:r>
        <w:rPr>
          <w:spacing w:val="-77"/>
          <w:position w:val="-8"/>
          <w:sz w:val="24"/>
        </w:rPr>
        <w:t>．</w:t>
      </w:r>
      <w:r>
        <w:rPr>
          <w:rFonts w:ascii="微软雅黑" w:eastAsia="微软雅黑" w:hint="eastAsia"/>
          <w:b/>
          <w:spacing w:val="-176"/>
          <w:sz w:val="24"/>
        </w:rPr>
        <w:t>含</w:t>
      </w:r>
      <w:r>
        <w:rPr>
          <w:spacing w:val="-77"/>
          <w:position w:val="-8"/>
          <w:sz w:val="24"/>
        </w:rPr>
        <w:t>．</w:t>
      </w:r>
      <w:r>
        <w:rPr>
          <w:rFonts w:ascii="微软雅黑" w:eastAsia="微软雅黑" w:hint="eastAsia"/>
          <w:b/>
          <w:spacing w:val="-173"/>
          <w:sz w:val="24"/>
        </w:rPr>
        <w:t>义</w:t>
      </w:r>
      <w:r>
        <w:rPr>
          <w:spacing w:val="-77"/>
          <w:position w:val="-8"/>
          <w:sz w:val="24"/>
        </w:rPr>
        <w:t>．</w:t>
      </w:r>
      <w:r>
        <w:rPr>
          <w:rFonts w:ascii="微软雅黑" w:eastAsia="微软雅黑" w:hint="eastAsia"/>
          <w:b/>
          <w:spacing w:val="-176"/>
          <w:sz w:val="24"/>
        </w:rPr>
        <w:t>相</w:t>
      </w:r>
      <w:r>
        <w:rPr>
          <w:spacing w:val="-77"/>
          <w:position w:val="-8"/>
          <w:sz w:val="24"/>
        </w:rPr>
        <w:t>．</w:t>
      </w:r>
      <w:r>
        <w:rPr>
          <w:rFonts w:ascii="微软雅黑" w:eastAsia="微软雅黑" w:hint="eastAsia"/>
          <w:b/>
          <w:spacing w:val="-173"/>
          <w:sz w:val="24"/>
        </w:rPr>
        <w:t>同</w:t>
      </w:r>
      <w:r>
        <w:rPr>
          <w:spacing w:val="-77"/>
          <w:position w:val="-8"/>
          <w:sz w:val="24"/>
        </w:rPr>
        <w:t>．</w:t>
      </w:r>
      <w:r>
        <w:rPr>
          <w:rFonts w:ascii="微软雅黑" w:eastAsia="微软雅黑" w:hint="eastAsia"/>
          <w:b/>
          <w:spacing w:val="-176"/>
          <w:sz w:val="24"/>
        </w:rPr>
        <w:t>）</w:t>
      </w:r>
      <w:r>
        <w:rPr>
          <w:spacing w:val="-77"/>
          <w:position w:val="-8"/>
          <w:sz w:val="24"/>
        </w:rPr>
        <w:t>．</w:t>
      </w:r>
      <w:r>
        <w:rPr>
          <w:rFonts w:ascii="微软雅黑" w:eastAsia="微软雅黑" w:hint="eastAsia"/>
          <w:b/>
          <w:spacing w:val="-176"/>
          <w:sz w:val="24"/>
        </w:rPr>
        <w:t>理</w:t>
      </w:r>
      <w:r>
        <w:rPr>
          <w:spacing w:val="-77"/>
          <w:position w:val="-8"/>
          <w:sz w:val="24"/>
        </w:rPr>
        <w:t>．</w:t>
      </w:r>
      <w:r>
        <w:rPr>
          <w:rFonts w:ascii="微软雅黑" w:eastAsia="微软雅黑" w:hint="eastAsia"/>
          <w:b/>
          <w:spacing w:val="-173"/>
          <w:sz w:val="24"/>
        </w:rPr>
        <w:t>解</w:t>
      </w:r>
      <w:r>
        <w:rPr>
          <w:spacing w:val="-77"/>
          <w:position w:val="-8"/>
          <w:sz w:val="24"/>
        </w:rPr>
        <w:t>．</w:t>
      </w:r>
      <w:r>
        <w:rPr>
          <w:rFonts w:ascii="微软雅黑" w:eastAsia="微软雅黑" w:hint="eastAsia"/>
          <w:b/>
          <w:spacing w:val="-176"/>
          <w:sz w:val="24"/>
        </w:rPr>
        <w:t>条</w:t>
      </w:r>
      <w:r>
        <w:rPr>
          <w:spacing w:val="-77"/>
          <w:position w:val="-8"/>
          <w:sz w:val="24"/>
        </w:rPr>
        <w:t>．</w:t>
      </w:r>
      <w:r>
        <w:rPr>
          <w:rFonts w:ascii="微软雅黑" w:eastAsia="微软雅黑" w:hint="eastAsia"/>
          <w:b/>
          <w:spacing w:val="-176"/>
          <w:sz w:val="24"/>
        </w:rPr>
        <w:t>款</w:t>
      </w:r>
      <w:r>
        <w:rPr>
          <w:spacing w:val="-77"/>
          <w:position w:val="-8"/>
          <w:sz w:val="24"/>
        </w:rPr>
        <w:t>．</w:t>
      </w:r>
      <w:r>
        <w:rPr>
          <w:rFonts w:ascii="微软雅黑" w:eastAsia="微软雅黑" w:hint="eastAsia"/>
          <w:b/>
          <w:spacing w:val="-173"/>
          <w:sz w:val="24"/>
        </w:rPr>
        <w:t>，</w:t>
      </w:r>
      <w:r>
        <w:rPr>
          <w:spacing w:val="-77"/>
          <w:position w:val="-8"/>
          <w:sz w:val="24"/>
        </w:rPr>
        <w:t>．</w:t>
      </w:r>
      <w:r>
        <w:rPr>
          <w:rFonts w:ascii="微软雅黑" w:eastAsia="微软雅黑" w:hint="eastAsia"/>
          <w:b/>
          <w:spacing w:val="-176"/>
          <w:sz w:val="24"/>
        </w:rPr>
        <w:t>对</w:t>
      </w:r>
      <w:r>
        <w:rPr>
          <w:spacing w:val="-77"/>
          <w:position w:val="-8"/>
          <w:sz w:val="24"/>
        </w:rPr>
        <w:t>．</w:t>
      </w:r>
      <w:r>
        <w:rPr>
          <w:rFonts w:ascii="微软雅黑" w:eastAsia="微软雅黑" w:hint="eastAsia"/>
          <w:b/>
          <w:spacing w:val="-173"/>
          <w:sz w:val="24"/>
        </w:rPr>
        <w:t>合</w:t>
      </w:r>
      <w:r>
        <w:rPr>
          <w:spacing w:val="-77"/>
          <w:position w:val="-8"/>
          <w:sz w:val="24"/>
        </w:rPr>
        <w:t>．</w:t>
      </w:r>
      <w:r>
        <w:rPr>
          <w:rFonts w:ascii="微软雅黑" w:eastAsia="微软雅黑" w:hint="eastAsia"/>
          <w:b/>
          <w:spacing w:val="-176"/>
          <w:sz w:val="24"/>
        </w:rPr>
        <w:t>同</w:t>
      </w:r>
      <w:r>
        <w:rPr>
          <w:spacing w:val="-77"/>
          <w:position w:val="-8"/>
          <w:sz w:val="24"/>
        </w:rPr>
        <w:t>．</w:t>
      </w:r>
      <w:r>
        <w:rPr>
          <w:rFonts w:ascii="微软雅黑" w:eastAsia="微软雅黑" w:hint="eastAsia"/>
          <w:b/>
          <w:spacing w:val="-173"/>
          <w:sz w:val="24"/>
        </w:rPr>
        <w:t>内</w:t>
      </w:r>
      <w:r>
        <w:rPr>
          <w:spacing w:val="-75"/>
          <w:position w:val="-8"/>
          <w:sz w:val="24"/>
        </w:rPr>
        <w:t>．</w:t>
      </w:r>
      <w:r>
        <w:rPr>
          <w:rFonts w:ascii="微软雅黑" w:eastAsia="微软雅黑" w:hint="eastAsia"/>
          <w:b/>
          <w:spacing w:val="-173"/>
          <w:sz w:val="24"/>
        </w:rPr>
        <w:t>容</w:t>
      </w:r>
      <w:r>
        <w:rPr>
          <w:spacing w:val="-77"/>
          <w:position w:val="-8"/>
          <w:sz w:val="24"/>
        </w:rPr>
        <w:t>．</w:t>
      </w:r>
      <w:r>
        <w:rPr>
          <w:rFonts w:ascii="微软雅黑" w:eastAsia="微软雅黑" w:hint="eastAsia"/>
          <w:b/>
          <w:spacing w:val="-173"/>
          <w:sz w:val="24"/>
        </w:rPr>
        <w:t>的</w:t>
      </w:r>
      <w:r>
        <w:rPr>
          <w:spacing w:val="-77"/>
          <w:position w:val="-8"/>
          <w:sz w:val="24"/>
        </w:rPr>
        <w:t>．</w:t>
      </w:r>
      <w:r>
        <w:rPr>
          <w:rFonts w:ascii="微软雅黑" w:eastAsia="微软雅黑" w:hint="eastAsia"/>
          <w:b/>
          <w:spacing w:val="-173"/>
          <w:sz w:val="24"/>
        </w:rPr>
        <w:t>解</w:t>
      </w:r>
      <w:r>
        <w:rPr>
          <w:spacing w:val="-75"/>
          <w:position w:val="-8"/>
          <w:sz w:val="24"/>
        </w:rPr>
        <w:t>．</w:t>
      </w:r>
      <w:r>
        <w:rPr>
          <w:rFonts w:ascii="微软雅黑" w:eastAsia="微软雅黑" w:hint="eastAsia"/>
          <w:b/>
          <w:spacing w:val="-173"/>
          <w:sz w:val="24"/>
        </w:rPr>
        <w:t>释</w:t>
      </w:r>
      <w:r>
        <w:rPr>
          <w:spacing w:val="-78"/>
          <w:position w:val="-8"/>
          <w:sz w:val="24"/>
        </w:rPr>
        <w:t>．</w:t>
      </w:r>
      <w:r>
        <w:rPr>
          <w:rFonts w:ascii="微软雅黑" w:eastAsia="微软雅黑" w:hint="eastAsia"/>
          <w:b/>
          <w:spacing w:val="-173"/>
          <w:sz w:val="24"/>
        </w:rPr>
        <w:t>以</w:t>
      </w:r>
      <w:r>
        <w:rPr>
          <w:spacing w:val="-78"/>
          <w:position w:val="-8"/>
          <w:sz w:val="24"/>
        </w:rPr>
        <w:t>．</w:t>
      </w:r>
      <w:r>
        <w:rPr>
          <w:rFonts w:ascii="微软雅黑" w:eastAsia="微软雅黑" w:hint="eastAsia"/>
          <w:b/>
          <w:spacing w:val="-173"/>
          <w:sz w:val="24"/>
        </w:rPr>
        <w:t>条</w:t>
      </w:r>
      <w:r>
        <w:rPr>
          <w:spacing w:val="-75"/>
          <w:position w:val="-8"/>
          <w:sz w:val="24"/>
        </w:rPr>
        <w:t>．</w:t>
      </w:r>
      <w:r>
        <w:rPr>
          <w:rFonts w:ascii="微软雅黑" w:eastAsia="微软雅黑" w:hint="eastAsia"/>
          <w:b/>
          <w:spacing w:val="-173"/>
          <w:sz w:val="24"/>
        </w:rPr>
        <w:t>款</w:t>
      </w:r>
      <w:r>
        <w:rPr>
          <w:spacing w:val="-78"/>
          <w:position w:val="-8"/>
          <w:sz w:val="24"/>
        </w:rPr>
        <w:t>．</w:t>
      </w:r>
      <w:r>
        <w:rPr>
          <w:rFonts w:ascii="微软雅黑" w:eastAsia="微软雅黑" w:hint="eastAsia"/>
          <w:b/>
          <w:spacing w:val="-173"/>
          <w:sz w:val="24"/>
        </w:rPr>
        <w:t>为</w:t>
      </w:r>
      <w:r>
        <w:rPr>
          <w:spacing w:val="-75"/>
          <w:position w:val="-8"/>
          <w:sz w:val="24"/>
        </w:rPr>
        <w:t>．</w:t>
      </w:r>
      <w:r>
        <w:rPr>
          <w:rFonts w:ascii="微软雅黑" w:eastAsia="微软雅黑" w:hint="eastAsia"/>
          <w:b/>
          <w:spacing w:val="-173"/>
          <w:sz w:val="24"/>
        </w:rPr>
        <w:t>准</w:t>
      </w:r>
      <w:r>
        <w:rPr>
          <w:spacing w:val="-78"/>
          <w:position w:val="-8"/>
          <w:sz w:val="24"/>
        </w:rPr>
        <w:t>．</w:t>
      </w:r>
      <w:r>
        <w:rPr>
          <w:rFonts w:ascii="微软雅黑" w:eastAsia="微软雅黑" w:hint="eastAsia"/>
          <w:b/>
          <w:spacing w:val="-230"/>
          <w:sz w:val="24"/>
        </w:rPr>
        <w:t>。</w:t>
      </w:r>
      <w:r>
        <w:rPr>
          <w:position w:val="-8"/>
          <w:sz w:val="24"/>
        </w:rPr>
        <w:t>．</w:t>
      </w:r>
    </w:p>
    <w:p>
      <w:pPr>
        <w:tabs>
          <w:tab w:pos="869" w:val="left" w:leader="none"/>
        </w:tabs>
        <w:spacing w:before="269"/>
        <w:ind w:left="118" w:right="0" w:firstLine="0"/>
        <w:jc w:val="left"/>
        <w:rPr>
          <w:rFonts w:ascii="Microsoft JhengHei" w:hAnsi="Microsoft JhengHei" w:eastAsia="Microsoft JhengHei" w:hint="eastAsia"/>
          <w:b/>
          <w:sz w:val="24"/>
        </w:rPr>
      </w:pPr>
      <w:r>
        <w:rPr>
          <w:rFonts w:ascii="Arial" w:hAnsi="Arial" w:eastAsia="Arial"/>
          <w:b/>
          <w:w w:val="105"/>
          <w:position w:val="-11"/>
          <w:sz w:val="52"/>
        </w:rPr>
        <w:t></w:t>
        <w:tab/>
      </w:r>
      <w:r>
        <w:rPr>
          <w:rFonts w:ascii="Microsoft JhengHei" w:hAnsi="Microsoft JhengHei" w:eastAsia="Microsoft JhengHei" w:hint="eastAsia"/>
          <w:b/>
          <w:sz w:val="24"/>
        </w:rPr>
        <w:t>您拥有的重要权益</w:t>
      </w:r>
    </w:p>
    <w:p>
      <w:pPr>
        <w:pStyle w:val="ListParagraph"/>
        <w:numPr>
          <w:ilvl w:val="0"/>
          <w:numId w:val="1"/>
        </w:numPr>
        <w:tabs>
          <w:tab w:pos="1378" w:val="left" w:leader="none"/>
          <w:tab w:pos="1379" w:val="left" w:leader="none"/>
        </w:tabs>
        <w:spacing w:line="240" w:lineRule="auto" w:before="77" w:after="0"/>
        <w:ind w:left="1378" w:right="0" w:hanging="540"/>
        <w:jc w:val="left"/>
        <w:rPr>
          <w:sz w:val="24"/>
        </w:rPr>
      </w:pPr>
      <w:r>
        <w:rPr>
          <w:sz w:val="24"/>
        </w:rPr>
        <w:t>被保险人可以享受本合同提供的保障...........................第四条</w:t>
      </w:r>
    </w:p>
    <w:p>
      <w:pPr>
        <w:pStyle w:val="ListParagraph"/>
        <w:numPr>
          <w:ilvl w:val="0"/>
          <w:numId w:val="1"/>
        </w:numPr>
        <w:tabs>
          <w:tab w:pos="1378" w:val="left" w:leader="none"/>
          <w:tab w:pos="1379" w:val="left" w:leader="none"/>
        </w:tabs>
        <w:spacing w:line="240" w:lineRule="auto" w:before="137" w:after="0"/>
        <w:ind w:left="1378" w:right="0" w:hanging="540"/>
        <w:jc w:val="left"/>
        <w:rPr>
          <w:sz w:val="24"/>
        </w:rPr>
      </w:pPr>
      <w:r>
        <w:rPr>
          <w:sz w:val="24"/>
        </w:rPr>
        <w:t>您有按约定退保的权利.....................................第十九条</w:t>
      </w:r>
    </w:p>
    <w:p>
      <w:pPr>
        <w:tabs>
          <w:tab w:pos="869" w:val="left" w:leader="none"/>
        </w:tabs>
        <w:spacing w:before="86"/>
        <w:ind w:left="118" w:right="0" w:firstLine="0"/>
        <w:jc w:val="left"/>
        <w:rPr>
          <w:rFonts w:ascii="Microsoft JhengHei" w:hAnsi="Microsoft JhengHei" w:eastAsia="Microsoft JhengHei" w:hint="eastAsia"/>
          <w:b/>
          <w:sz w:val="24"/>
        </w:rPr>
      </w:pPr>
      <w:r>
        <w:rPr>
          <w:rFonts w:ascii="Arial" w:hAnsi="Arial" w:eastAsia="Arial"/>
          <w:b/>
          <w:w w:val="105"/>
          <w:position w:val="-11"/>
          <w:sz w:val="52"/>
        </w:rPr>
        <w:t></w:t>
        <w:tab/>
      </w:r>
      <w:r>
        <w:rPr>
          <w:rFonts w:ascii="Microsoft JhengHei" w:hAnsi="Microsoft JhengHei" w:eastAsia="Microsoft JhengHei" w:hint="eastAsia"/>
          <w:b/>
          <w:sz w:val="24"/>
        </w:rPr>
        <w:t>您应当特别注意的事项</w:t>
      </w:r>
    </w:p>
    <w:p>
      <w:pPr>
        <w:pStyle w:val="ListParagraph"/>
        <w:numPr>
          <w:ilvl w:val="0"/>
          <w:numId w:val="1"/>
        </w:numPr>
        <w:tabs>
          <w:tab w:pos="1378" w:val="left" w:leader="none"/>
          <w:tab w:pos="1379" w:val="left" w:leader="none"/>
        </w:tabs>
        <w:spacing w:line="268" w:lineRule="auto" w:before="0" w:after="0"/>
        <w:ind w:left="1378" w:right="234" w:hanging="540"/>
        <w:jc w:val="left"/>
        <w:rPr>
          <w:rFonts w:ascii="Microsoft JhengHei" w:eastAsia="Microsoft JhengHei" w:hint="eastAsia"/>
          <w:b/>
          <w:sz w:val="24"/>
        </w:rPr>
      </w:pPr>
      <w:r>
        <w:rPr>
          <w:rFonts w:ascii="Microsoft JhengHei" w:eastAsia="Microsoft JhengHei" w:hint="eastAsia"/>
          <w:b/>
          <w:spacing w:val="-3"/>
          <w:w w:val="110"/>
          <w:sz w:val="24"/>
        </w:rPr>
        <w:t>本合同有责任免除条款，请您注意</w:t>
      </w:r>
      <w:r>
        <w:rPr>
          <w:rFonts w:ascii="Microsoft JhengHei" w:eastAsia="Microsoft JhengHei" w:hint="eastAsia"/>
          <w:b/>
          <w:w w:val="170"/>
          <w:sz w:val="24"/>
        </w:rPr>
        <w:t>.............................</w:t>
      </w:r>
      <w:r>
        <w:rPr>
          <w:rFonts w:ascii="Microsoft JhengHei" w:eastAsia="Microsoft JhengHei" w:hint="eastAsia"/>
          <w:b/>
          <w:w w:val="110"/>
          <w:sz w:val="24"/>
        </w:rPr>
        <w:t>第五条</w:t>
      </w:r>
      <w:r>
        <w:rPr>
          <w:rFonts w:ascii="Microsoft JhengHei" w:eastAsia="Microsoft JhengHei" w:hint="eastAsia"/>
          <w:b/>
          <w:sz w:val="24"/>
        </w:rPr>
        <w:t>及其它免除保险人责任的条款</w:t>
      </w:r>
    </w:p>
    <w:p>
      <w:pPr>
        <w:pStyle w:val="ListParagraph"/>
        <w:numPr>
          <w:ilvl w:val="0"/>
          <w:numId w:val="1"/>
        </w:numPr>
        <w:tabs>
          <w:tab w:pos="1378" w:val="left" w:leader="none"/>
          <w:tab w:pos="1379" w:val="left" w:leader="none"/>
        </w:tabs>
        <w:spacing w:line="240" w:lineRule="auto" w:before="87" w:after="0"/>
        <w:ind w:left="1378" w:right="0" w:hanging="540"/>
        <w:jc w:val="left"/>
        <w:rPr>
          <w:sz w:val="24"/>
        </w:rPr>
      </w:pPr>
      <w:r>
        <w:rPr>
          <w:sz w:val="24"/>
        </w:rPr>
        <w:t>您应当如何交纳保险费.......................................第七条</w:t>
      </w:r>
    </w:p>
    <w:p>
      <w:pPr>
        <w:pStyle w:val="ListParagraph"/>
        <w:numPr>
          <w:ilvl w:val="0"/>
          <w:numId w:val="1"/>
        </w:numPr>
        <w:tabs>
          <w:tab w:pos="1378" w:val="left" w:leader="none"/>
          <w:tab w:pos="1379" w:val="left" w:leader="none"/>
        </w:tabs>
        <w:spacing w:line="240" w:lineRule="auto" w:before="136" w:after="0"/>
        <w:ind w:left="1378" w:right="0" w:hanging="540"/>
        <w:jc w:val="left"/>
        <w:rPr>
          <w:sz w:val="24"/>
        </w:rPr>
      </w:pPr>
      <w:r>
        <w:rPr>
          <w:sz w:val="24"/>
        </w:rPr>
        <w:t>您有如实告知的义务.........................................第八条</w:t>
      </w:r>
    </w:p>
    <w:p>
      <w:pPr>
        <w:pStyle w:val="ListParagraph"/>
        <w:numPr>
          <w:ilvl w:val="0"/>
          <w:numId w:val="1"/>
        </w:numPr>
        <w:tabs>
          <w:tab w:pos="1378" w:val="left" w:leader="none"/>
          <w:tab w:pos="1379" w:val="left" w:leader="none"/>
        </w:tabs>
        <w:spacing w:line="240" w:lineRule="auto" w:before="136" w:after="0"/>
        <w:ind w:left="1378" w:right="0" w:hanging="540"/>
        <w:jc w:val="left"/>
        <w:rPr>
          <w:sz w:val="24"/>
        </w:rPr>
      </w:pPr>
      <w:r>
        <w:rPr>
          <w:sz w:val="24"/>
        </w:rPr>
        <w:t>您有及时向我们通知保险事故的责任...........................第十条</w:t>
      </w:r>
    </w:p>
    <w:p>
      <w:pPr>
        <w:pStyle w:val="ListParagraph"/>
        <w:numPr>
          <w:ilvl w:val="0"/>
          <w:numId w:val="1"/>
        </w:numPr>
        <w:tabs>
          <w:tab w:pos="1378" w:val="left" w:leader="none"/>
          <w:tab w:pos="1379" w:val="left" w:leader="none"/>
        </w:tabs>
        <w:spacing w:line="240" w:lineRule="auto" w:before="136" w:after="0"/>
        <w:ind w:left="1378" w:right="0" w:hanging="540"/>
        <w:jc w:val="left"/>
        <w:rPr>
          <w:sz w:val="24"/>
        </w:rPr>
      </w:pPr>
      <w:r>
        <w:rPr>
          <w:spacing w:val="-4"/>
          <w:sz w:val="24"/>
        </w:rPr>
        <w:t>退保会给您造成一定损失，请慎重决策........................第十九条</w:t>
      </w:r>
    </w:p>
    <w:p>
      <w:pPr>
        <w:pStyle w:val="ListParagraph"/>
        <w:numPr>
          <w:ilvl w:val="0"/>
          <w:numId w:val="1"/>
        </w:numPr>
        <w:tabs>
          <w:tab w:pos="1378" w:val="left" w:leader="none"/>
          <w:tab w:pos="1379" w:val="left" w:leader="none"/>
        </w:tabs>
        <w:spacing w:line="240" w:lineRule="auto" w:before="136" w:after="0"/>
        <w:ind w:left="1378" w:right="0" w:hanging="540"/>
        <w:jc w:val="left"/>
        <w:rPr>
          <w:sz w:val="24"/>
        </w:rPr>
      </w:pPr>
      <w:r>
        <w:rPr>
          <w:spacing w:val="-4"/>
          <w:sz w:val="24"/>
        </w:rPr>
        <w:t>本条款对一些重要术语进行了解释，请您注意......................释义</w:t>
      </w:r>
    </w:p>
    <w:p>
      <w:pPr>
        <w:tabs>
          <w:tab w:pos="869" w:val="left" w:leader="none"/>
        </w:tabs>
        <w:spacing w:before="85"/>
        <w:ind w:left="118" w:right="0" w:firstLine="0"/>
        <w:jc w:val="left"/>
        <w:rPr>
          <w:rFonts w:ascii="Microsoft JhengHei" w:hAnsi="Microsoft JhengHei" w:eastAsia="Microsoft JhengHei" w:hint="eastAsia"/>
          <w:b/>
          <w:sz w:val="24"/>
        </w:rPr>
      </w:pPr>
      <w:r>
        <w:rPr>
          <w:rFonts w:ascii="Arial" w:hAnsi="Arial" w:eastAsia="Arial"/>
          <w:b/>
          <w:w w:val="105"/>
          <w:position w:val="-11"/>
          <w:sz w:val="52"/>
        </w:rPr>
        <w:t></w:t>
        <w:tab/>
      </w:r>
      <w:r>
        <w:rPr>
          <w:rFonts w:ascii="Microsoft JhengHei" w:hAnsi="Microsoft JhengHei" w:eastAsia="Microsoft JhengHei" w:hint="eastAsia"/>
          <w:b/>
          <w:sz w:val="24"/>
        </w:rPr>
        <w:t>条款是保险合同的重要内容，为充分保障您的权益，请仔细阅读本条款。</w:t>
      </w:r>
    </w:p>
    <w:p>
      <w:pPr>
        <w:tabs>
          <w:tab w:pos="869" w:val="left" w:leader="none"/>
        </w:tabs>
        <w:spacing w:before="25"/>
        <w:ind w:left="118" w:right="0" w:firstLine="0"/>
        <w:jc w:val="left"/>
        <w:rPr>
          <w:rFonts w:ascii="Microsoft JhengHei" w:hAnsi="Microsoft JhengHei" w:eastAsia="Microsoft JhengHei" w:hint="eastAsia"/>
          <w:b/>
          <w:sz w:val="24"/>
        </w:rPr>
      </w:pPr>
      <w:r>
        <w:rPr>
          <w:rFonts w:ascii="Arial" w:hAnsi="Arial" w:eastAsia="Arial"/>
          <w:b/>
          <w:w w:val="110"/>
          <w:position w:val="-11"/>
          <w:sz w:val="52"/>
        </w:rPr>
        <w:t></w:t>
        <w:tab/>
      </w:r>
      <w:r>
        <w:rPr>
          <w:rFonts w:ascii="Microsoft JhengHei" w:hAnsi="Microsoft JhengHei" w:eastAsia="Microsoft JhengHei" w:hint="eastAsia"/>
          <w:b/>
          <w:sz w:val="24"/>
        </w:rPr>
        <w:t>条款目录</w:t>
      </w:r>
    </w:p>
    <w:p>
      <w:pPr>
        <w:spacing w:after="0"/>
        <w:jc w:val="left"/>
        <w:rPr>
          <w:rFonts w:ascii="Microsoft JhengHei" w:hAnsi="Microsoft JhengHei" w:eastAsia="Microsoft JhengHei" w:hint="eastAsia"/>
          <w:sz w:val="24"/>
        </w:rPr>
        <w:sectPr>
          <w:type w:val="continuous"/>
          <w:pgSz w:w="11910" w:h="16840"/>
          <w:pgMar w:top="600" w:bottom="280" w:left="1300" w:right="1180"/>
        </w:sectPr>
      </w:pPr>
    </w:p>
    <w:p>
      <w:pPr>
        <w:tabs>
          <w:tab w:pos="1198" w:val="left" w:leader="none"/>
        </w:tabs>
        <w:spacing w:line="357" w:lineRule="auto" w:before="77"/>
        <w:ind w:left="118" w:right="0" w:firstLine="0"/>
        <w:jc w:val="left"/>
        <w:rPr>
          <w:sz w:val="24"/>
        </w:rPr>
      </w:pPr>
      <w:hyperlink w:history="true" w:anchor="_bookmark0">
        <w:r>
          <w:rPr>
            <w:sz w:val="24"/>
          </w:rPr>
          <w:t>第一条</w:t>
          <w:tab/>
          <w:t>保险合同成立与生效</w:t>
        </w:r>
      </w:hyperlink>
      <w:hyperlink w:history="true" w:anchor="_bookmark1">
        <w:r>
          <w:rPr>
            <w:sz w:val="24"/>
          </w:rPr>
          <w:t>第二条</w:t>
          <w:tab/>
          <w:t>保险合同的构成</w:t>
        </w:r>
      </w:hyperlink>
    </w:p>
    <w:p>
      <w:pPr>
        <w:spacing w:line="357" w:lineRule="auto" w:before="36"/>
        <w:ind w:left="118" w:right="1198" w:firstLine="0"/>
        <w:jc w:val="both"/>
        <w:rPr>
          <w:sz w:val="24"/>
        </w:rPr>
      </w:pPr>
      <w:hyperlink w:history="true" w:anchor="_bookmark2">
        <w:r>
          <w:rPr>
            <w:sz w:val="24"/>
          </w:rPr>
          <w:t>第三条 投保范围</w:t>
        </w:r>
      </w:hyperlink>
      <w:hyperlink w:history="true" w:anchor="_bookmark3">
        <w:r>
          <w:rPr>
            <w:sz w:val="24"/>
          </w:rPr>
          <w:t>第四条 保险责任</w:t>
        </w:r>
      </w:hyperlink>
      <w:hyperlink w:history="true" w:anchor="_bookmark4">
        <w:r>
          <w:rPr>
            <w:sz w:val="24"/>
          </w:rPr>
          <w:t>第五条 责任免除</w:t>
        </w:r>
      </w:hyperlink>
      <w:hyperlink w:history="true" w:anchor="_bookmark5">
        <w:r>
          <w:rPr>
            <w:sz w:val="24"/>
          </w:rPr>
          <w:t>第六条  保险期间</w:t>
        </w:r>
      </w:hyperlink>
    </w:p>
    <w:p>
      <w:pPr>
        <w:tabs>
          <w:tab w:pos="1198" w:val="left" w:leader="none"/>
        </w:tabs>
        <w:spacing w:line="357" w:lineRule="auto" w:before="36"/>
        <w:ind w:left="118" w:right="0" w:firstLine="0"/>
        <w:jc w:val="left"/>
        <w:rPr>
          <w:sz w:val="24"/>
        </w:rPr>
      </w:pPr>
      <w:hyperlink w:history="true" w:anchor="_bookmark6">
        <w:r>
          <w:rPr>
            <w:sz w:val="24"/>
          </w:rPr>
          <w:t>第七条</w:t>
          <w:tab/>
          <w:t>保险金额和保险费</w:t>
        </w:r>
      </w:hyperlink>
      <w:hyperlink w:history="true" w:anchor="_bookmark7">
        <w:r>
          <w:rPr>
            <w:sz w:val="24"/>
          </w:rPr>
          <w:t> 第八条</w:t>
          <w:tab/>
          <w:t>明确说明与如实告知</w:t>
        </w:r>
      </w:hyperlink>
      <w:hyperlink w:history="true" w:anchor="_bookmark8">
        <w:r>
          <w:rPr>
            <w:sz w:val="24"/>
          </w:rPr>
          <w:t>第九条</w:t>
          <w:tab/>
          <w:t>受益人</w:t>
        </w:r>
      </w:hyperlink>
    </w:p>
    <w:p>
      <w:pPr>
        <w:tabs>
          <w:tab w:pos="1198" w:val="left" w:leader="none"/>
        </w:tabs>
        <w:spacing w:line="357" w:lineRule="auto" w:before="36"/>
        <w:ind w:left="118" w:right="478" w:firstLine="0"/>
        <w:jc w:val="left"/>
        <w:rPr>
          <w:sz w:val="24"/>
        </w:rPr>
      </w:pPr>
      <w:hyperlink w:history="true" w:anchor="_bookmark9">
        <w:r>
          <w:rPr>
            <w:sz w:val="24"/>
          </w:rPr>
          <w:t>第十条</w:t>
          <w:tab/>
          <w:t>保险事故的通知</w:t>
        </w:r>
      </w:hyperlink>
      <w:hyperlink w:history="true" w:anchor="_bookmark10">
        <w:r>
          <w:rPr>
            <w:sz w:val="24"/>
          </w:rPr>
          <w:t>第十一条</w:t>
        </w:r>
        <w:r>
          <w:rPr>
            <w:spacing w:val="-1"/>
            <w:sz w:val="24"/>
          </w:rPr>
          <w:t> </w:t>
        </w:r>
        <w:r>
          <w:rPr>
            <w:sz w:val="24"/>
          </w:rPr>
          <w:t>保险金申请</w:t>
        </w:r>
      </w:hyperlink>
    </w:p>
    <w:p>
      <w:pPr>
        <w:spacing w:line="357" w:lineRule="auto" w:before="77"/>
        <w:ind w:left="118" w:right="2277" w:firstLine="0"/>
        <w:jc w:val="left"/>
        <w:rPr>
          <w:sz w:val="24"/>
        </w:rPr>
      </w:pPr>
      <w:r>
        <w:rPr/>
        <w:br w:type="column"/>
      </w:r>
      <w:hyperlink w:history="true" w:anchor="_bookmark11">
        <w:r>
          <w:rPr>
            <w:sz w:val="24"/>
          </w:rPr>
          <w:t>第十二条 保险金给付</w:t>
        </w:r>
      </w:hyperlink>
      <w:hyperlink w:history="true" w:anchor="_bookmark12">
        <w:r>
          <w:rPr>
            <w:sz w:val="24"/>
          </w:rPr>
          <w:t>第十三条 诉讼时效</w:t>
        </w:r>
      </w:hyperlink>
    </w:p>
    <w:p>
      <w:pPr>
        <w:spacing w:line="357" w:lineRule="auto" w:before="36"/>
        <w:ind w:left="118" w:right="1797" w:firstLine="0"/>
        <w:jc w:val="both"/>
        <w:rPr>
          <w:sz w:val="24"/>
        </w:rPr>
      </w:pPr>
      <w:hyperlink w:history="true" w:anchor="_bookmark13">
        <w:r>
          <w:rPr>
            <w:sz w:val="24"/>
          </w:rPr>
          <w:t>第十四条 被保险人的变动</w:t>
        </w:r>
      </w:hyperlink>
      <w:hyperlink w:history="true" w:anchor="_bookmark14">
        <w:r>
          <w:rPr>
            <w:sz w:val="24"/>
          </w:rPr>
          <w:t>第十五条 合同内容的变更</w:t>
        </w:r>
      </w:hyperlink>
      <w:hyperlink w:history="true" w:anchor="_bookmark15">
        <w:r>
          <w:rPr>
            <w:sz w:val="24"/>
          </w:rPr>
          <w:t>第十六条 通讯地址的变更</w:t>
        </w:r>
      </w:hyperlink>
      <w:hyperlink w:history="true" w:anchor="_bookmark16">
        <w:r>
          <w:rPr>
            <w:sz w:val="24"/>
          </w:rPr>
          <w:t>第十七条 资料提供</w:t>
        </w:r>
      </w:hyperlink>
    </w:p>
    <w:p>
      <w:pPr>
        <w:spacing w:before="36"/>
        <w:ind w:left="118" w:right="0" w:firstLine="0"/>
        <w:jc w:val="left"/>
        <w:rPr>
          <w:sz w:val="24"/>
        </w:rPr>
      </w:pPr>
      <w:hyperlink w:history="true" w:anchor="_bookmark17">
        <w:r>
          <w:rPr>
            <w:sz w:val="24"/>
          </w:rPr>
          <w:t>第十八条 年龄错误</w:t>
        </w:r>
      </w:hyperlink>
    </w:p>
    <w:p>
      <w:pPr>
        <w:spacing w:line="357" w:lineRule="auto" w:before="154"/>
        <w:ind w:left="118" w:right="357" w:firstLine="0"/>
        <w:jc w:val="left"/>
        <w:rPr>
          <w:sz w:val="24"/>
        </w:rPr>
      </w:pPr>
      <w:hyperlink w:history="true" w:anchor="_bookmark18">
        <w:r>
          <w:rPr>
            <w:sz w:val="24"/>
          </w:rPr>
          <w:t>第十九条 投保人解除合同的手续及风险</w:t>
        </w:r>
      </w:hyperlink>
      <w:hyperlink w:history="true" w:anchor="_bookmark19">
        <w:r>
          <w:rPr>
            <w:sz w:val="24"/>
          </w:rPr>
          <w:t>第二十条 争议处理</w:t>
        </w:r>
      </w:hyperlink>
    </w:p>
    <w:p>
      <w:pPr>
        <w:spacing w:before="36"/>
        <w:ind w:left="118" w:right="0" w:firstLine="0"/>
        <w:jc w:val="both"/>
        <w:rPr>
          <w:sz w:val="24"/>
        </w:rPr>
      </w:pPr>
      <w:hyperlink w:history="true" w:anchor="_bookmark20">
        <w:r>
          <w:rPr>
            <w:sz w:val="24"/>
          </w:rPr>
          <w:t>第二十一条  重大疾病</w:t>
        </w:r>
      </w:hyperlink>
    </w:p>
    <w:p>
      <w:pPr>
        <w:spacing w:after="0"/>
        <w:jc w:val="both"/>
        <w:rPr>
          <w:sz w:val="24"/>
        </w:rPr>
        <w:sectPr>
          <w:type w:val="continuous"/>
          <w:pgSz w:w="11910" w:h="16840"/>
          <w:pgMar w:top="600" w:bottom="280" w:left="1300" w:right="1180"/>
          <w:cols w:num="2" w:equalWidth="0">
            <w:col w:w="3359" w:space="1389"/>
            <w:col w:w="4682"/>
          </w:cols>
        </w:sectPr>
      </w:pPr>
    </w:p>
    <w:p>
      <w:pPr>
        <w:pStyle w:val="Heading1"/>
        <w:spacing w:line="372" w:lineRule="exact"/>
      </w:pPr>
      <w:r>
        <w:rPr/>
        <w:t>上海人寿保险股份有限公司</w:t>
      </w:r>
    </w:p>
    <w:p>
      <w:pPr>
        <w:spacing w:line="274" w:lineRule="exact" w:before="0"/>
        <w:ind w:left="2994" w:right="0" w:firstLine="0"/>
        <w:jc w:val="left"/>
        <w:rPr>
          <w:sz w:val="22"/>
        </w:rPr>
      </w:pPr>
      <w:r>
        <w:rPr>
          <w:sz w:val="22"/>
        </w:rPr>
        <w:t>SHANGHAI LIFE INSURANCE CO.,LTD.</w:t>
      </w:r>
    </w:p>
    <w:p>
      <w:pPr>
        <w:spacing w:before="68"/>
        <w:ind w:left="2430" w:right="2675" w:firstLine="0"/>
        <w:jc w:val="center"/>
        <w:rPr>
          <w:sz w:val="18"/>
        </w:rPr>
      </w:pPr>
      <w:r>
        <w:rPr>
          <w:sz w:val="18"/>
        </w:rPr>
        <w:t>（以下简称本公司）</w:t>
      </w:r>
    </w:p>
    <w:p>
      <w:pPr>
        <w:pStyle w:val="Heading1"/>
        <w:spacing w:before="147"/>
        <w:ind w:right="2675"/>
      </w:pPr>
      <w:r>
        <w:rPr/>
        <w:t>上海人寿团体重大疾病保险条款</w:t>
      </w:r>
    </w:p>
    <w:p>
      <w:pPr>
        <w:pStyle w:val="BodyText"/>
        <w:spacing w:before="12"/>
        <w:ind w:left="0"/>
        <w:rPr>
          <w:rFonts w:ascii="微软雅黑"/>
          <w:b/>
        </w:rPr>
      </w:pPr>
    </w:p>
    <w:p>
      <w:pPr>
        <w:pStyle w:val="Heading2"/>
        <w:spacing w:line="337" w:lineRule="exact"/>
      </w:pPr>
      <w:r>
        <w:rPr/>
        <w:t>阅读提示：</w:t>
      </w:r>
    </w:p>
    <w:p>
      <w:pPr>
        <w:spacing w:line="312" w:lineRule="exact" w:before="0"/>
        <w:ind w:left="118" w:right="0" w:firstLine="0"/>
        <w:jc w:val="left"/>
        <w:rPr>
          <w:rFonts w:ascii="微软雅黑" w:eastAsia="微软雅黑" w:hint="eastAsia"/>
          <w:b/>
          <w:sz w:val="21"/>
        </w:rPr>
      </w:pPr>
      <w:r>
        <w:rPr>
          <w:rFonts w:ascii="微软雅黑" w:eastAsia="微软雅黑" w:hint="eastAsia"/>
          <w:b/>
          <w:sz w:val="21"/>
        </w:rPr>
        <w:t>一、  本公司根据本合同中所述第四条承担相应的保险责任；</w:t>
      </w:r>
    </w:p>
    <w:p>
      <w:pPr>
        <w:spacing w:line="206" w:lineRule="auto" w:before="25"/>
        <w:ind w:left="118" w:right="632" w:firstLine="0"/>
        <w:jc w:val="left"/>
        <w:rPr>
          <w:rFonts w:ascii="微软雅黑" w:eastAsia="微软雅黑" w:hint="eastAsia"/>
          <w:b/>
          <w:sz w:val="21"/>
        </w:rPr>
      </w:pPr>
      <w:r>
        <w:rPr>
          <w:rFonts w:ascii="微软雅黑" w:eastAsia="微软雅黑" w:hint="eastAsia"/>
          <w:b/>
          <w:spacing w:val="-3"/>
          <w:sz w:val="21"/>
        </w:rPr>
        <w:t>二、 在部分情况下，本公司不承担保险责任，请留意第五条及其它免除保险人责任的条款； 三、  解除保险合同会造成一定的损失，请留意第十九条。</w:t>
      </w:r>
    </w:p>
    <w:p>
      <w:pPr>
        <w:pStyle w:val="BodyText"/>
        <w:spacing w:before="1"/>
        <w:ind w:left="0"/>
        <w:rPr>
          <w:rFonts w:ascii="微软雅黑"/>
          <w:b/>
          <w:sz w:val="15"/>
        </w:rPr>
      </w:pPr>
    </w:p>
    <w:p>
      <w:pPr>
        <w:tabs>
          <w:tab w:pos="1381" w:val="left" w:leader="none"/>
        </w:tabs>
        <w:spacing w:before="0"/>
        <w:ind w:left="118" w:right="0" w:firstLine="0"/>
        <w:jc w:val="left"/>
        <w:rPr>
          <w:rFonts w:ascii="微软雅黑" w:eastAsia="微软雅黑" w:hint="eastAsia"/>
          <w:b/>
          <w:sz w:val="21"/>
        </w:rPr>
      </w:pPr>
      <w:r>
        <w:rPr>
          <w:rFonts w:ascii="微软雅黑" w:eastAsia="微软雅黑" w:hint="eastAsia"/>
          <w:b/>
          <w:sz w:val="21"/>
        </w:rPr>
        <w:t>第一条</w:t>
        <w:tab/>
      </w:r>
      <w:bookmarkStart w:name="_bookmark0" w:id="1"/>
      <w:bookmarkEnd w:id="1"/>
      <w:r>
        <w:rPr>
          <w:rFonts w:ascii="微软雅黑" w:eastAsia="微软雅黑" w:hint="eastAsia"/>
          <w:b/>
          <w:sz w:val="21"/>
        </w:rPr>
        <w:t>保</w:t>
      </w:r>
      <w:r>
        <w:rPr>
          <w:rFonts w:ascii="微软雅黑" w:eastAsia="微软雅黑" w:hint="eastAsia"/>
          <w:b/>
          <w:sz w:val="21"/>
        </w:rPr>
        <w:t>险合同成立</w:t>
      </w:r>
      <w:r>
        <w:rPr>
          <w:rFonts w:ascii="微软雅黑" w:eastAsia="微软雅黑" w:hint="eastAsia"/>
          <w:b/>
          <w:spacing w:val="-3"/>
          <w:sz w:val="21"/>
        </w:rPr>
        <w:t>与</w:t>
      </w:r>
      <w:r>
        <w:rPr>
          <w:rFonts w:ascii="微软雅黑" w:eastAsia="微软雅黑" w:hint="eastAsia"/>
          <w:b/>
          <w:sz w:val="21"/>
        </w:rPr>
        <w:t>生效</w:t>
      </w:r>
    </w:p>
    <w:p>
      <w:pPr>
        <w:pStyle w:val="BodyText"/>
        <w:spacing w:line="262" w:lineRule="exact" w:before="11"/>
      </w:pPr>
      <w:r>
        <w:rPr/>
        <w:t>投保人提出保险申请并经本公司同意承保，本合同成立。</w:t>
      </w:r>
    </w:p>
    <w:p>
      <w:pPr>
        <w:pStyle w:val="Heading2"/>
        <w:spacing w:line="206" w:lineRule="auto" w:before="37"/>
        <w:ind w:right="113" w:firstLine="422"/>
        <w:rPr>
          <w:rFonts w:ascii="宋体" w:eastAsia="宋体" w:hint="eastAsia"/>
          <w:b w:val="0"/>
        </w:rPr>
      </w:pPr>
      <w:r>
        <w:rPr>
          <w:spacing w:val="-16"/>
        </w:rPr>
        <w:t>除另有约定外，自本合同成立、本公司收取首期保险费并签发保险单的次日零时起本合同生效， </w:t>
      </w:r>
      <w:r>
        <w:rPr>
          <w:spacing w:val="-12"/>
        </w:rPr>
        <w:t>本公司开始承担保险责任，合同生效日期在保险单上载明。</w:t>
      </w:r>
      <w:r>
        <w:rPr>
          <w:rFonts w:ascii="宋体" w:eastAsia="宋体" w:hint="eastAsia"/>
          <w:b w:val="0"/>
          <w:spacing w:val="-3"/>
        </w:rPr>
        <w:t>本合同生效日即为保单生效日。</w:t>
      </w:r>
    </w:p>
    <w:p>
      <w:pPr>
        <w:pStyle w:val="BodyText"/>
        <w:spacing w:before="12"/>
        <w:ind w:left="0"/>
        <w:rPr>
          <w:sz w:val="19"/>
        </w:rPr>
      </w:pPr>
    </w:p>
    <w:p>
      <w:pPr>
        <w:tabs>
          <w:tab w:pos="1366" w:val="left" w:leader="none"/>
        </w:tabs>
        <w:spacing w:before="0"/>
        <w:ind w:left="118" w:right="0" w:firstLine="0"/>
        <w:jc w:val="left"/>
        <w:rPr>
          <w:rFonts w:ascii="微软雅黑" w:eastAsia="微软雅黑" w:hint="eastAsia"/>
          <w:b/>
          <w:sz w:val="21"/>
        </w:rPr>
      </w:pPr>
      <w:r>
        <w:rPr>
          <w:rFonts w:ascii="微软雅黑" w:eastAsia="微软雅黑" w:hint="eastAsia"/>
          <w:b/>
          <w:sz w:val="21"/>
        </w:rPr>
        <w:t>第二条</w:t>
        <w:tab/>
      </w:r>
      <w:bookmarkStart w:name="_bookmark1" w:id="2"/>
      <w:bookmarkEnd w:id="2"/>
      <w:r>
        <w:rPr>
          <w:rFonts w:ascii="微软雅黑" w:eastAsia="微软雅黑" w:hint="eastAsia"/>
          <w:b/>
          <w:sz w:val="21"/>
        </w:rPr>
        <w:t>保</w:t>
      </w:r>
      <w:r>
        <w:rPr>
          <w:rFonts w:ascii="微软雅黑" w:eastAsia="微软雅黑" w:hint="eastAsia"/>
          <w:b/>
          <w:sz w:val="21"/>
        </w:rPr>
        <w:t>险合同的构成</w:t>
      </w:r>
    </w:p>
    <w:p>
      <w:pPr>
        <w:pStyle w:val="BodyText"/>
        <w:spacing w:line="273" w:lineRule="auto" w:before="11"/>
        <w:ind w:left="118" w:right="147" w:firstLine="420"/>
      </w:pPr>
      <w:r>
        <w:rPr/>
        <w:t>上海人寿团体重大疾病保险合同（以下简称本合同）由保险单及所附条款、投保单、与本合同有关的投保文件、被保险人名册、声明、批注、附贴批单、其它书面协议构成。</w:t>
      </w:r>
    </w:p>
    <w:p>
      <w:pPr>
        <w:pStyle w:val="BodyText"/>
        <w:spacing w:before="8"/>
        <w:ind w:left="0"/>
        <w:rPr>
          <w:sz w:val="19"/>
        </w:rPr>
      </w:pPr>
    </w:p>
    <w:p>
      <w:pPr>
        <w:pStyle w:val="Heading2"/>
        <w:tabs>
          <w:tab w:pos="1366" w:val="left" w:leader="none"/>
        </w:tabs>
      </w:pPr>
      <w:r>
        <w:rPr/>
        <w:t>第三条</w:t>
        <w:tab/>
      </w:r>
      <w:bookmarkStart w:name="_bookmark2" w:id="3"/>
      <w:bookmarkEnd w:id="3"/>
      <w:r>
        <w:rPr/>
        <w:t>投</w:t>
      </w:r>
      <w:r>
        <w:rPr/>
        <w:t>保范围</w:t>
      </w:r>
    </w:p>
    <w:p>
      <w:pPr>
        <w:pStyle w:val="BodyText"/>
        <w:spacing w:before="13"/>
        <w:ind w:left="0"/>
        <w:rPr>
          <w:rFonts w:ascii="微软雅黑"/>
          <w:b/>
          <w:sz w:val="7"/>
        </w:rPr>
      </w:pPr>
    </w:p>
    <w:p>
      <w:pPr>
        <w:spacing w:line="89" w:lineRule="exact" w:before="0"/>
        <w:ind w:left="6167" w:right="0" w:firstLine="0"/>
        <w:jc w:val="left"/>
        <w:rPr>
          <w:sz w:val="14"/>
        </w:rPr>
      </w:pPr>
      <w:r>
        <w:rPr>
          <w:w w:val="99"/>
          <w:sz w:val="14"/>
        </w:rPr>
        <w:t>1</w:t>
      </w:r>
    </w:p>
    <w:p>
      <w:pPr>
        <w:pStyle w:val="BodyText"/>
        <w:spacing w:line="269" w:lineRule="exact" w:before="0"/>
      </w:pPr>
      <w:r>
        <w:rPr>
          <w:spacing w:val="-8"/>
        </w:rPr>
        <w:t>法人、非法人组织以及其他不以购买保险为目的而组成的</w:t>
      </w:r>
      <w:r>
        <w:rPr>
          <w:rFonts w:ascii="微软雅黑" w:eastAsia="微软雅黑" w:hint="eastAsia"/>
          <w:b/>
          <w:spacing w:val="10"/>
        </w:rPr>
        <w:t>团体</w:t>
      </w:r>
      <w:r>
        <w:rPr/>
        <w:t>（</w:t>
      </w:r>
      <w:r>
        <w:rPr>
          <w:spacing w:val="-2"/>
        </w:rPr>
        <w:t>如家庭</w:t>
      </w:r>
      <w:r>
        <w:rPr>
          <w:spacing w:val="-77"/>
        </w:rPr>
        <w:t>）</w:t>
      </w:r>
      <w:r>
        <w:rPr>
          <w:spacing w:val="-11"/>
        </w:rPr>
        <w:t>，经本公司审核同意，</w:t>
      </w:r>
    </w:p>
    <w:p>
      <w:pPr>
        <w:pStyle w:val="BodyText"/>
        <w:spacing w:line="273" w:lineRule="auto" w:before="144"/>
        <w:ind w:left="118" w:right="148"/>
      </w:pPr>
      <w:r>
        <w:rPr/>
        <w:t>均可作为团体成员投保。团体属于法人或非法人组织的，投保人应为该法人或非法人组织；团体属于其他不以购买保险为目的而组成的团体的，投保人可以是特定团体中的自然人。</w:t>
      </w:r>
    </w:p>
    <w:p>
      <w:pPr>
        <w:pStyle w:val="BodyText"/>
        <w:spacing w:line="273" w:lineRule="auto"/>
        <w:ind w:left="118" w:right="148" w:firstLine="420"/>
      </w:pPr>
      <w:r>
        <w:rPr/>
        <w:t>团体保险的被保险人在合同签发时不得少于三人，特定团体成员的配偶、子女，经本公司审核同意，可以作为被保险人。</w:t>
      </w:r>
    </w:p>
    <w:p>
      <w:pPr>
        <w:pStyle w:val="BodyText"/>
        <w:ind w:left="0"/>
        <w:rPr>
          <w:sz w:val="19"/>
        </w:rPr>
      </w:pPr>
    </w:p>
    <w:p>
      <w:pPr>
        <w:pStyle w:val="Heading2"/>
        <w:tabs>
          <w:tab w:pos="1366" w:val="left" w:leader="none"/>
        </w:tabs>
        <w:spacing w:before="1"/>
      </w:pPr>
      <w:r>
        <w:rPr/>
        <w:t>第四条</w:t>
        <w:tab/>
      </w:r>
      <w:bookmarkStart w:name="_bookmark3" w:id="4"/>
      <w:bookmarkEnd w:id="4"/>
      <w:r>
        <w:rPr/>
        <w:t>保</w:t>
      </w:r>
      <w:r>
        <w:rPr/>
        <w:t>险责任</w:t>
      </w:r>
    </w:p>
    <w:p>
      <w:pPr>
        <w:pStyle w:val="BodyText"/>
        <w:spacing w:line="262" w:lineRule="exact" w:before="12"/>
      </w:pPr>
      <w:r>
        <w:rPr/>
        <w:t>在本合同保险责任有效期内，本公司承担下列保险责任：</w:t>
      </w:r>
    </w:p>
    <w:p>
      <w:pPr>
        <w:spacing w:line="206" w:lineRule="auto" w:before="38"/>
        <w:ind w:left="118" w:right="109" w:firstLine="420"/>
        <w:jc w:val="left"/>
        <w:rPr>
          <w:sz w:val="21"/>
        </w:rPr>
      </w:pPr>
      <w:r>
        <w:rPr>
          <w:w w:val="100"/>
          <w:sz w:val="21"/>
        </w:rPr>
        <w:t>一、被保险人</w:t>
      </w:r>
      <w:r>
        <w:rPr>
          <w:rFonts w:ascii="微软雅黑" w:eastAsia="微软雅黑" w:hint="eastAsia"/>
          <w:b/>
          <w:w w:val="100"/>
          <w:sz w:val="21"/>
        </w:rPr>
        <w:t>自本合同生效日起六十日内（含第六十日</w:t>
      </w:r>
      <w:r>
        <w:rPr>
          <w:rFonts w:ascii="微软雅黑" w:eastAsia="微软雅黑" w:hint="eastAsia"/>
          <w:b/>
          <w:spacing w:val="-104"/>
          <w:w w:val="100"/>
          <w:sz w:val="21"/>
        </w:rPr>
        <w:t>）</w:t>
      </w:r>
      <w:r>
        <w:rPr>
          <w:rFonts w:ascii="微软雅黑" w:eastAsia="微软雅黑" w:hint="eastAsia"/>
          <w:b/>
          <w:spacing w:val="-1"/>
          <w:w w:val="100"/>
          <w:sz w:val="21"/>
        </w:rPr>
        <w:t>，首次发生</w:t>
      </w:r>
      <w:r>
        <w:rPr>
          <w:rFonts w:ascii="微软雅黑" w:eastAsia="微软雅黑" w:hint="eastAsia"/>
          <w:b/>
          <w:spacing w:val="3"/>
          <w:w w:val="81"/>
          <w:position w:val="11"/>
          <w:sz w:val="11"/>
        </w:rPr>
        <w:t>2</w:t>
      </w:r>
      <w:r>
        <w:rPr>
          <w:rFonts w:ascii="微软雅黑" w:eastAsia="微软雅黑" w:hint="eastAsia"/>
          <w:b/>
          <w:w w:val="100"/>
          <w:sz w:val="21"/>
        </w:rPr>
        <w:t>符合本合同第二十一条中</w:t>
      </w:r>
      <w:r>
        <w:rPr>
          <w:rFonts w:ascii="微软雅黑" w:eastAsia="微软雅黑" w:hint="eastAsia"/>
          <w:b/>
          <w:spacing w:val="-6"/>
          <w:sz w:val="21"/>
        </w:rPr>
        <w:t>所述条件的重大疾病，并经本公司指定或认可的医疗机构</w:t>
      </w:r>
      <w:r>
        <w:rPr>
          <w:rFonts w:ascii="微软雅黑" w:eastAsia="微软雅黑" w:hint="eastAsia"/>
          <w:b/>
          <w:position w:val="11"/>
          <w:sz w:val="11"/>
        </w:rPr>
        <w:t>3</w:t>
      </w:r>
      <w:r>
        <w:rPr>
          <w:rFonts w:ascii="微软雅黑" w:eastAsia="微软雅黑" w:hint="eastAsia"/>
          <w:b/>
          <w:spacing w:val="-1"/>
          <w:sz w:val="21"/>
        </w:rPr>
        <w:t>的专科医生</w:t>
      </w:r>
      <w:r>
        <w:rPr>
          <w:rFonts w:ascii="微软雅黑" w:eastAsia="微软雅黑" w:hint="eastAsia"/>
          <w:b/>
          <w:position w:val="11"/>
          <w:sz w:val="11"/>
        </w:rPr>
        <w:t>4</w:t>
      </w:r>
      <w:r>
        <w:rPr>
          <w:rFonts w:ascii="微软雅黑" w:eastAsia="微软雅黑" w:hint="eastAsia"/>
          <w:b/>
          <w:spacing w:val="-1"/>
          <w:sz w:val="21"/>
        </w:rPr>
        <w:t>明确诊断</w:t>
      </w:r>
      <w:r>
        <w:rPr>
          <w:spacing w:val="-9"/>
          <w:sz w:val="21"/>
        </w:rPr>
        <w:t>，本公司按所交保费</w:t>
      </w:r>
    </w:p>
    <w:p>
      <w:pPr>
        <w:pStyle w:val="BodyText"/>
        <w:spacing w:line="262" w:lineRule="exact" w:before="11"/>
        <w:ind w:left="118"/>
      </w:pPr>
      <w:r>
        <w:rPr/>
        <w:t>（不计利息）给付重大疾病保险金，同时对该被保险人的保险责任终止。</w:t>
      </w:r>
    </w:p>
    <w:p>
      <w:pPr>
        <w:spacing w:line="206" w:lineRule="auto" w:before="37"/>
        <w:ind w:left="118" w:right="109" w:firstLine="420"/>
        <w:jc w:val="left"/>
        <w:rPr>
          <w:sz w:val="21"/>
        </w:rPr>
      </w:pPr>
      <w:r>
        <w:rPr>
          <w:spacing w:val="-9"/>
          <w:sz w:val="21"/>
        </w:rPr>
        <w:t>二、被保险人自本合同生效日起六十日后</w:t>
      </w:r>
      <w:r>
        <w:rPr>
          <w:spacing w:val="-3"/>
          <w:sz w:val="21"/>
        </w:rPr>
        <w:t>（续保自续保生效日起</w:t>
      </w:r>
      <w:r>
        <w:rPr>
          <w:spacing w:val="-68"/>
          <w:sz w:val="21"/>
        </w:rPr>
        <w:t>），</w:t>
      </w:r>
      <w:r>
        <w:rPr>
          <w:rFonts w:ascii="微软雅黑" w:eastAsia="微软雅黑" w:hint="eastAsia"/>
          <w:b/>
          <w:spacing w:val="-1"/>
          <w:sz w:val="21"/>
        </w:rPr>
        <w:t>首次发生符合本合同第二十</w:t>
      </w:r>
      <w:r>
        <w:rPr>
          <w:rFonts w:ascii="微软雅黑" w:eastAsia="微软雅黑" w:hint="eastAsia"/>
          <w:b/>
          <w:spacing w:val="-3"/>
          <w:sz w:val="21"/>
        </w:rPr>
        <w:t>一条中所述条件的重大疾病，并经本公司指定或认可的医疗机构的专科医生明确诊断</w:t>
      </w:r>
      <w:r>
        <w:rPr>
          <w:spacing w:val="-2"/>
          <w:sz w:val="21"/>
        </w:rPr>
        <w:t>，本公司按本</w:t>
      </w:r>
    </w:p>
    <w:p>
      <w:pPr>
        <w:pStyle w:val="BodyText"/>
        <w:spacing w:line="273" w:lineRule="auto" w:before="11"/>
        <w:ind w:left="118" w:right="109"/>
      </w:pPr>
      <w:r>
        <w:rPr/>
        <w:t>合同约定的保险金额给付重大疾病保险金，同时对该被保险人的保险责任终止。被保险人因遭受意外伤害事故导致重大疾病的，不受六十天等待期的限制。</w:t>
      </w:r>
    </w:p>
    <w:p>
      <w:pPr>
        <w:pStyle w:val="BodyText"/>
        <w:spacing w:line="273" w:lineRule="auto"/>
        <w:ind w:left="118" w:right="112" w:firstLine="420"/>
      </w:pPr>
      <w:r>
        <w:rPr/>
        <w:t>三、重大疾病保险金以领取一次为限。被保险人同时或先后罹患两种以上(含两种)的重大疾病时，本公司仅给付一种重大疾病保险金。</w:t>
      </w:r>
    </w:p>
    <w:p>
      <w:pPr>
        <w:pStyle w:val="BodyText"/>
        <w:spacing w:before="8"/>
        <w:ind w:left="0"/>
        <w:rPr>
          <w:sz w:val="19"/>
        </w:rPr>
      </w:pPr>
    </w:p>
    <w:p>
      <w:pPr>
        <w:pStyle w:val="Heading2"/>
        <w:tabs>
          <w:tab w:pos="1261" w:val="left" w:leader="none"/>
        </w:tabs>
      </w:pPr>
      <w:r>
        <w:rPr/>
        <w:t>第五条</w:t>
        <w:tab/>
      </w:r>
      <w:bookmarkStart w:name="_bookmark4" w:id="5"/>
      <w:bookmarkEnd w:id="5"/>
      <w:r>
        <w:rPr/>
        <w:t>责</w:t>
      </w:r>
      <w:r>
        <w:rPr/>
        <w:t>任免除</w:t>
      </w:r>
    </w:p>
    <w:p>
      <w:pPr>
        <w:pStyle w:val="BodyText"/>
        <w:spacing w:before="1"/>
      </w:pPr>
      <w:r>
        <w:rPr>
          <w:shd w:fill="D2D2D2" w:color="auto" w:val="clear"/>
        </w:rPr>
        <w:t>因下列情形之一导致被保险人罹患重大疾病的，本公司不承担给付保险金责任：</w:t>
      </w:r>
    </w:p>
    <w:p>
      <w:pPr>
        <w:pStyle w:val="ListParagraph"/>
        <w:numPr>
          <w:ilvl w:val="0"/>
          <w:numId w:val="2"/>
        </w:numPr>
        <w:tabs>
          <w:tab w:pos="958" w:val="left" w:leader="none"/>
          <w:tab w:pos="959" w:val="left" w:leader="none"/>
        </w:tabs>
        <w:spacing w:line="240" w:lineRule="auto" w:before="5" w:after="0"/>
        <w:ind w:left="958" w:right="0" w:hanging="420"/>
        <w:jc w:val="left"/>
        <w:rPr>
          <w:sz w:val="21"/>
        </w:rPr>
      </w:pPr>
      <w:r>
        <w:rPr/>
        <w:pict>
          <v:shape style="position:absolute;margin-left:91.944008pt;margin-top:1.353665pt;width:220.65pt;height:28pt;mso-position-horizontal-relative:page;mso-position-vertical-relative:paragraph;z-index:-12448" coordorigin="1839,27" coordsize="4413,560" path="m6251,27l1839,27,1839,308,1839,586,6251,586,6251,308,6251,27e" filled="true" fillcolor="#d2d2d2" stroked="false">
            <v:path arrowok="t"/>
            <v:fill type="solid"/>
            <w10:wrap type="none"/>
          </v:shape>
        </w:pict>
      </w:r>
      <w:r>
        <w:rPr>
          <w:spacing w:val="-3"/>
          <w:sz w:val="21"/>
        </w:rPr>
        <w:t>投保人或被保险人的故意隐瞒、欺诈行为；</w:t>
      </w:r>
    </w:p>
    <w:p>
      <w:pPr>
        <w:pStyle w:val="ListParagraph"/>
        <w:numPr>
          <w:ilvl w:val="0"/>
          <w:numId w:val="2"/>
        </w:numPr>
        <w:tabs>
          <w:tab w:pos="958" w:val="left" w:leader="none"/>
          <w:tab w:pos="959" w:val="left" w:leader="none"/>
        </w:tabs>
        <w:spacing w:line="240" w:lineRule="auto" w:before="5" w:after="0"/>
        <w:ind w:left="958" w:right="0" w:hanging="420"/>
        <w:jc w:val="left"/>
        <w:rPr>
          <w:sz w:val="21"/>
        </w:rPr>
      </w:pPr>
      <w:r>
        <w:rPr>
          <w:spacing w:val="-3"/>
          <w:sz w:val="21"/>
        </w:rPr>
        <w:t>投保人对被保险人的故意杀害、故意伤害；</w:t>
      </w:r>
    </w:p>
    <w:p>
      <w:pPr>
        <w:pStyle w:val="ListParagraph"/>
        <w:numPr>
          <w:ilvl w:val="0"/>
          <w:numId w:val="2"/>
        </w:numPr>
        <w:tabs>
          <w:tab w:pos="958" w:val="left" w:leader="none"/>
          <w:tab w:pos="959" w:val="left" w:leader="none"/>
        </w:tabs>
        <w:spacing w:line="240" w:lineRule="auto" w:before="3" w:after="0"/>
        <w:ind w:left="958" w:right="0" w:hanging="420"/>
        <w:jc w:val="left"/>
        <w:rPr>
          <w:sz w:val="21"/>
        </w:rPr>
      </w:pPr>
      <w:r>
        <w:rPr>
          <w:spacing w:val="-3"/>
          <w:sz w:val="21"/>
          <w:shd w:fill="D2D2D2" w:color="auto" w:val="clear"/>
        </w:rPr>
        <w:t>被保险人故意犯罪或者抗拒依法采取的刑事强制措施；</w:t>
      </w:r>
    </w:p>
    <w:p>
      <w:pPr>
        <w:spacing w:after="0" w:line="240" w:lineRule="auto"/>
        <w:jc w:val="left"/>
        <w:rPr>
          <w:sz w:val="21"/>
        </w:rPr>
        <w:sectPr>
          <w:footerReference w:type="default" r:id="rId6"/>
          <w:pgSz w:w="11910" w:h="16840"/>
          <w:pgMar w:footer="745" w:header="0" w:top="1580" w:bottom="940" w:left="1300" w:right="1300"/>
          <w:pgNumType w:start="1"/>
        </w:sectPr>
      </w:pPr>
    </w:p>
    <w:p>
      <w:pPr>
        <w:pStyle w:val="BodyText"/>
        <w:spacing w:before="0"/>
        <w:ind w:left="0"/>
      </w:pPr>
    </w:p>
    <w:p>
      <w:pPr>
        <w:pStyle w:val="BodyText"/>
        <w:spacing w:before="0"/>
        <w:rPr>
          <w:sz w:val="20"/>
        </w:rPr>
      </w:pPr>
      <w:r>
        <w:rPr>
          <w:sz w:val="20"/>
        </w:rPr>
        <w:pict>
          <v:shape style="width:387.7pt;height:14.05pt;mso-position-horizontal-relative:char;mso-position-vertical-relative:line" type="#_x0000_t202" filled="true" fillcolor="#d2d2d2" stroked="false">
            <w10:anchorlock/>
            <v:textbox inset="0,0,0,0">
              <w:txbxContent>
                <w:p>
                  <w:pPr>
                    <w:tabs>
                      <w:tab w:pos="419" w:val="left" w:leader="none"/>
                    </w:tabs>
                    <w:spacing w:line="277" w:lineRule="exact" w:before="0"/>
                    <w:ind w:left="0" w:right="0" w:firstLine="0"/>
                    <w:jc w:val="left"/>
                    <w:rPr>
                      <w:sz w:val="21"/>
                    </w:rPr>
                  </w:pPr>
                  <w:r>
                    <w:rPr>
                      <w:sz w:val="21"/>
                    </w:rPr>
                    <w:t>5.</w:t>
                    <w:tab/>
                  </w:r>
                  <w:r>
                    <w:rPr>
                      <w:spacing w:val="-1"/>
                      <w:sz w:val="21"/>
                    </w:rPr>
                    <w:t>被保险人</w:t>
                  </w:r>
                  <w:r>
                    <w:rPr>
                      <w:rFonts w:ascii="Microsoft JhengHei" w:eastAsia="Microsoft JhengHei" w:hint="eastAsia"/>
                      <w:b/>
                      <w:spacing w:val="-1"/>
                      <w:sz w:val="21"/>
                    </w:rPr>
                    <w:t>酒后驾驶</w:t>
                  </w:r>
                  <w:r>
                    <w:rPr>
                      <w:rFonts w:ascii="Microsoft JhengHei" w:eastAsia="Microsoft JhengHei" w:hint="eastAsia"/>
                      <w:b/>
                      <w:spacing w:val="-1"/>
                      <w:position w:val="11"/>
                      <w:sz w:val="11"/>
                    </w:rPr>
                    <w:t>6</w:t>
                  </w:r>
                  <w:r>
                    <w:rPr>
                      <w:spacing w:val="-1"/>
                      <w:sz w:val="21"/>
                    </w:rPr>
                    <w:t>，</w:t>
                  </w:r>
                  <w:r>
                    <w:rPr>
                      <w:rFonts w:ascii="Microsoft JhengHei" w:eastAsia="Microsoft JhengHei" w:hint="eastAsia"/>
                      <w:b/>
                      <w:spacing w:val="-1"/>
                      <w:sz w:val="21"/>
                    </w:rPr>
                    <w:t>无合法有效驾驶证驾驶</w:t>
                  </w:r>
                  <w:r>
                    <w:rPr>
                      <w:rFonts w:ascii="Microsoft JhengHei" w:eastAsia="Microsoft JhengHei" w:hint="eastAsia"/>
                      <w:b/>
                      <w:position w:val="11"/>
                      <w:sz w:val="11"/>
                    </w:rPr>
                    <w:t>7</w:t>
                  </w:r>
                  <w:r>
                    <w:rPr>
                      <w:spacing w:val="-3"/>
                      <w:sz w:val="21"/>
                    </w:rPr>
                    <w:t>，或驾驶</w:t>
                  </w:r>
                  <w:r>
                    <w:rPr>
                      <w:rFonts w:ascii="Microsoft JhengHei" w:eastAsia="Microsoft JhengHei" w:hint="eastAsia"/>
                      <w:b/>
                      <w:sz w:val="21"/>
                    </w:rPr>
                    <w:t>无有效行驶证</w:t>
                  </w:r>
                  <w:r>
                    <w:rPr>
                      <w:rFonts w:ascii="Microsoft JhengHei" w:eastAsia="Microsoft JhengHei" w:hint="eastAsia"/>
                      <w:b/>
                      <w:position w:val="11"/>
                      <w:sz w:val="11"/>
                    </w:rPr>
                    <w:t>8</w:t>
                  </w:r>
                  <w:r>
                    <w:rPr>
                      <w:spacing w:val="-3"/>
                      <w:sz w:val="21"/>
                    </w:rPr>
                    <w:t>的机动车；</w:t>
                  </w:r>
                </w:p>
              </w:txbxContent>
            </v:textbox>
            <v:fill type="solid"/>
          </v:shape>
        </w:pict>
      </w:r>
      <w:r>
        <w:rPr>
          <w:sz w:val="20"/>
        </w:rPr>
      </w:r>
    </w:p>
    <w:p>
      <w:pPr>
        <w:pStyle w:val="BodyText"/>
        <w:spacing w:before="5"/>
        <w:ind w:left="0"/>
        <w:rPr>
          <w:sz w:val="15"/>
        </w:rPr>
      </w:pPr>
    </w:p>
    <w:p>
      <w:pPr>
        <w:pStyle w:val="ListParagraph"/>
        <w:numPr>
          <w:ilvl w:val="0"/>
          <w:numId w:val="3"/>
        </w:numPr>
        <w:tabs>
          <w:tab w:pos="958" w:val="left" w:leader="none"/>
          <w:tab w:pos="959" w:val="left" w:leader="none"/>
        </w:tabs>
        <w:spacing w:line="240" w:lineRule="auto" w:before="36" w:after="0"/>
        <w:ind w:left="958" w:right="0" w:hanging="420"/>
        <w:jc w:val="left"/>
        <w:rPr>
          <w:sz w:val="21"/>
        </w:rPr>
      </w:pPr>
      <w:r>
        <w:rPr/>
        <w:pict>
          <v:shape style="position:absolute;margin-left:91.944pt;margin-top:-39.116352pt;width:171.05pt;height:14.05pt;mso-position-horizontal-relative:page;mso-position-vertical-relative:paragraph;z-index:-12352" type="#_x0000_t202" filled="true" fillcolor="#d2d2d2" stroked="false">
            <v:textbox inset="0,0,0,0">
              <w:txbxContent>
                <w:p>
                  <w:pPr>
                    <w:pStyle w:val="BodyText"/>
                    <w:tabs>
                      <w:tab w:pos="419" w:val="left" w:leader="none"/>
                    </w:tabs>
                    <w:spacing w:line="277" w:lineRule="exact" w:before="0"/>
                    <w:ind w:left="0" w:right="-15"/>
                  </w:pPr>
                  <w:r>
                    <w:rPr/>
                    <w:t>4.</w:t>
                    <w:tab/>
                  </w:r>
                  <w:r>
                    <w:rPr>
                      <w:spacing w:val="-3"/>
                    </w:rPr>
                    <w:t>被保险人主动吸食或注射</w:t>
                  </w:r>
                  <w:r>
                    <w:rPr>
                      <w:rFonts w:ascii="Microsoft JhengHei" w:eastAsia="Microsoft JhengHei" w:hint="eastAsia"/>
                      <w:b/>
                    </w:rPr>
                    <w:t>毒品</w:t>
                  </w:r>
                  <w:r>
                    <w:rPr>
                      <w:rFonts w:ascii="Microsoft JhengHei" w:eastAsia="Microsoft JhengHei" w:hint="eastAsia"/>
                      <w:b/>
                      <w:position w:val="11"/>
                      <w:sz w:val="11"/>
                    </w:rPr>
                    <w:t>5</w:t>
                  </w:r>
                  <w:r>
                    <w:rPr/>
                    <w:t>；</w:t>
                  </w:r>
                </w:p>
              </w:txbxContent>
            </v:textbox>
            <v:fill type="solid"/>
            <w10:wrap type="none"/>
          </v:shape>
        </w:pict>
      </w:r>
      <w:r>
        <w:rPr/>
        <w:pict>
          <v:shape style="position:absolute;margin-left:91.944pt;margin-top:-11.040353pt;width:213.5pt;height:13.95pt;mso-position-horizontal-relative:page;mso-position-vertical-relative:paragraph;z-index:-12328" type="#_x0000_t202" filled="true" fillcolor="#d2d2d2" stroked="false">
            <v:textbox inset="0,0,0,0">
              <w:txbxContent>
                <w:p>
                  <w:pPr>
                    <w:tabs>
                      <w:tab w:pos="419" w:val="left" w:leader="none"/>
                    </w:tabs>
                    <w:spacing w:line="277" w:lineRule="exact" w:before="0"/>
                    <w:ind w:left="0" w:right="-15" w:firstLine="0"/>
                    <w:jc w:val="left"/>
                    <w:rPr>
                      <w:sz w:val="21"/>
                    </w:rPr>
                  </w:pPr>
                  <w:r>
                    <w:rPr>
                      <w:sz w:val="21"/>
                    </w:rPr>
                    <w:t>6.</w:t>
                    <w:tab/>
                  </w:r>
                  <w:r>
                    <w:rPr>
                      <w:spacing w:val="-2"/>
                      <w:sz w:val="21"/>
                    </w:rPr>
                    <w:t>被保险人</w:t>
                  </w:r>
                  <w:r>
                    <w:rPr>
                      <w:rFonts w:ascii="Microsoft JhengHei" w:eastAsia="Microsoft JhengHei" w:hint="eastAsia"/>
                      <w:b/>
                      <w:spacing w:val="-2"/>
                      <w:sz w:val="21"/>
                    </w:rPr>
                    <w:t>感染艾滋病病毒或者患艾滋病</w:t>
                  </w:r>
                  <w:r>
                    <w:rPr>
                      <w:rFonts w:ascii="Microsoft JhengHei" w:eastAsia="Microsoft JhengHei" w:hint="eastAsia"/>
                      <w:b/>
                      <w:position w:val="11"/>
                      <w:sz w:val="11"/>
                    </w:rPr>
                    <w:t>9</w:t>
                  </w:r>
                  <w:r>
                    <w:rPr>
                      <w:sz w:val="21"/>
                    </w:rPr>
                    <w:t>；</w:t>
                  </w:r>
                </w:p>
              </w:txbxContent>
            </v:textbox>
            <v:fill type="solid"/>
            <w10:wrap type="none"/>
          </v:shape>
        </w:pict>
      </w:r>
      <w:r>
        <w:rPr>
          <w:spacing w:val="-3"/>
          <w:sz w:val="21"/>
          <w:shd w:fill="D2D2D2" w:color="auto" w:val="clear"/>
        </w:rPr>
        <w:t>战争、军事冲突、暴乱或武装叛乱；</w:t>
      </w:r>
    </w:p>
    <w:p>
      <w:pPr>
        <w:pStyle w:val="ListParagraph"/>
        <w:numPr>
          <w:ilvl w:val="0"/>
          <w:numId w:val="3"/>
        </w:numPr>
        <w:tabs>
          <w:tab w:pos="958" w:val="left" w:leader="none"/>
          <w:tab w:pos="959" w:val="left" w:leader="none"/>
        </w:tabs>
        <w:spacing w:line="240" w:lineRule="auto" w:before="5" w:after="0"/>
        <w:ind w:left="958" w:right="0" w:hanging="420"/>
        <w:jc w:val="left"/>
        <w:rPr>
          <w:sz w:val="21"/>
        </w:rPr>
      </w:pPr>
      <w:r>
        <w:rPr/>
        <w:pict>
          <v:shape style="position:absolute;margin-left:91.944pt;margin-top:15.393669pt;width:253.85pt;height:13.95pt;mso-position-horizontal-relative:page;mso-position-vertical-relative:paragraph;z-index:1072;mso-wrap-distance-left:0;mso-wrap-distance-right:0" type="#_x0000_t202" filled="true" fillcolor="#d2d2d2" stroked="false">
            <v:textbox inset="0,0,0,0">
              <w:txbxContent>
                <w:p>
                  <w:pPr>
                    <w:tabs>
                      <w:tab w:pos="419" w:val="left" w:leader="none"/>
                    </w:tabs>
                    <w:spacing w:line="277" w:lineRule="exact" w:before="0"/>
                    <w:ind w:left="0" w:right="-15" w:firstLine="0"/>
                    <w:jc w:val="left"/>
                    <w:rPr>
                      <w:sz w:val="21"/>
                    </w:rPr>
                  </w:pPr>
                  <w:r>
                    <w:rPr>
                      <w:sz w:val="21"/>
                    </w:rPr>
                    <w:t>9.</w:t>
                    <w:tab/>
                  </w:r>
                  <w:r>
                    <w:rPr>
                      <w:rFonts w:ascii="Microsoft JhengHei" w:eastAsia="Microsoft JhengHei" w:hint="eastAsia"/>
                      <w:b/>
                      <w:spacing w:val="-1"/>
                      <w:w w:val="95"/>
                      <w:sz w:val="21"/>
                    </w:rPr>
                    <w:t>遗传性疾病</w:t>
                  </w:r>
                  <w:r>
                    <w:rPr>
                      <w:rFonts w:ascii="Microsoft JhengHei" w:eastAsia="Microsoft JhengHei" w:hint="eastAsia"/>
                      <w:b/>
                      <w:w w:val="95"/>
                      <w:position w:val="11"/>
                      <w:sz w:val="11"/>
                    </w:rPr>
                    <w:t>10</w:t>
                  </w:r>
                  <w:r>
                    <w:rPr>
                      <w:w w:val="95"/>
                      <w:sz w:val="21"/>
                    </w:rPr>
                    <w:t>，</w:t>
                  </w:r>
                  <w:r>
                    <w:rPr>
                      <w:rFonts w:ascii="Microsoft JhengHei" w:eastAsia="Microsoft JhengHei" w:hint="eastAsia"/>
                      <w:b/>
                      <w:spacing w:val="-1"/>
                      <w:w w:val="95"/>
                      <w:sz w:val="21"/>
                    </w:rPr>
                    <w:t>先天性畸形、变形或染色体异常</w:t>
                  </w:r>
                  <w:r>
                    <w:rPr>
                      <w:rFonts w:ascii="Microsoft JhengHei" w:eastAsia="Microsoft JhengHei" w:hint="eastAsia"/>
                      <w:b/>
                      <w:w w:val="95"/>
                      <w:position w:val="11"/>
                      <w:sz w:val="11"/>
                    </w:rPr>
                    <w:t>11</w:t>
                  </w:r>
                  <w:r>
                    <w:rPr>
                      <w:w w:val="95"/>
                      <w:sz w:val="21"/>
                    </w:rPr>
                    <w:t>。</w:t>
                  </w:r>
                </w:p>
              </w:txbxContent>
            </v:textbox>
            <v:fill type="solid"/>
            <w10:wrap type="topAndBottom"/>
          </v:shape>
        </w:pict>
      </w:r>
      <w:r>
        <w:rPr>
          <w:spacing w:val="-3"/>
          <w:sz w:val="21"/>
          <w:shd w:fill="D2D2D2" w:color="auto" w:val="clear"/>
        </w:rPr>
        <w:t>核爆炸、核辐射或核污染；</w:t>
      </w:r>
    </w:p>
    <w:p>
      <w:pPr>
        <w:pStyle w:val="BodyText"/>
        <w:spacing w:line="196" w:lineRule="auto" w:before="12"/>
        <w:ind w:left="118" w:right="109" w:firstLine="420"/>
      </w:pPr>
      <w:r>
        <w:rPr>
          <w:shd w:fill="D2D2D2" w:color="auto" w:val="clear"/>
        </w:rPr>
        <w:t>发Th</w:t>
      </w:r>
      <w:r>
        <w:rPr>
          <w:spacing w:val="-3"/>
          <w:shd w:fill="D2D2D2" w:color="auto" w:val="clear"/>
        </w:rPr>
        <w:t>前款第</w:t>
      </w:r>
      <w:r>
        <w:rPr>
          <w:shd w:fill="D2D2D2" w:color="auto" w:val="clear"/>
        </w:rPr>
        <w:t>2</w:t>
      </w:r>
      <w:r>
        <w:rPr>
          <w:spacing w:val="-6"/>
          <w:shd w:fill="D2D2D2" w:color="auto" w:val="clear"/>
        </w:rPr>
        <w:t>项情形导致被保险人罹患重大疾病的，本合同对该被保险人的保险责任终止，本公</w:t>
      </w:r>
      <w:r>
        <w:rPr>
          <w:spacing w:val="-4"/>
        </w:rPr>
        <w:t>司向受益人</w:t>
      </w:r>
      <w:r>
        <w:rPr/>
        <w:t>（</w:t>
      </w:r>
      <w:r>
        <w:rPr>
          <w:spacing w:val="-3"/>
        </w:rPr>
        <w:t>投保人除外</w:t>
      </w:r>
      <w:r>
        <w:rPr/>
        <w:t>）</w:t>
      </w:r>
      <w:r>
        <w:rPr>
          <w:spacing w:val="-3"/>
        </w:rPr>
        <w:t>退还相应的</w:t>
      </w:r>
      <w:r>
        <w:rPr>
          <w:rFonts w:ascii="Microsoft JhengHei" w:eastAsia="Microsoft JhengHei" w:hint="eastAsia"/>
          <w:b/>
          <w:spacing w:val="-1"/>
        </w:rPr>
        <w:t>未满期净保费</w:t>
      </w:r>
      <w:r>
        <w:rPr>
          <w:rFonts w:ascii="Microsoft JhengHei" w:eastAsia="Microsoft JhengHei" w:hint="eastAsia"/>
          <w:b/>
          <w:position w:val="11"/>
          <w:sz w:val="11"/>
        </w:rPr>
        <w:t>12</w:t>
      </w:r>
      <w:r>
        <w:rPr/>
        <w:t>。</w:t>
      </w:r>
    </w:p>
    <w:p>
      <w:pPr>
        <w:pStyle w:val="BodyText"/>
        <w:spacing w:line="278" w:lineRule="exact" w:before="4"/>
        <w:ind w:left="118" w:right="148" w:firstLine="420"/>
      </w:pPr>
      <w:r>
        <w:rPr/>
        <w:pict>
          <v:rect style="position:absolute;margin-left:70.944pt;margin-top:-13.87998pt;width:258.05pt;height:14.04pt;mso-position-horizontal-relative:page;mso-position-vertical-relative:paragraph;z-index:-12376" filled="true" fillcolor="#d2d2d2" stroked="false">
            <v:fill type="solid"/>
            <w10:wrap type="none"/>
          </v:rect>
        </w:pict>
      </w:r>
      <w:r>
        <w:rPr>
          <w:shd w:fill="D2D2D2" w:color="auto" w:val="clear"/>
        </w:rPr>
        <w:t>发Th</w:t>
      </w:r>
      <w:r>
        <w:rPr>
          <w:spacing w:val="-3"/>
          <w:shd w:fill="D2D2D2" w:color="auto" w:val="clear"/>
        </w:rPr>
        <w:t>上述其他情形导致被保险人罹患重大疾病的，本合同对该被保险人的保险责任终止，本公</w:t>
      </w:r>
      <w:r>
        <w:rPr>
          <w:spacing w:val="-207"/>
          <w:shd w:fill="D2D2D2" w:color="auto" w:val="clear"/>
        </w:rPr>
        <w:t>司</w:t>
      </w:r>
      <w:r>
        <w:rPr>
          <w:spacing w:val="-3"/>
          <w:shd w:fill="D2D2D2" w:color="auto" w:val="clear"/>
        </w:rPr>
        <w:t>向投保人退还相应的未满期净保费。</w:t>
      </w:r>
    </w:p>
    <w:p>
      <w:pPr>
        <w:pStyle w:val="BodyText"/>
        <w:spacing w:before="2"/>
        <w:ind w:left="0"/>
        <w:rPr>
          <w:sz w:val="18"/>
        </w:rPr>
      </w:pPr>
    </w:p>
    <w:p>
      <w:pPr>
        <w:pStyle w:val="Heading2"/>
        <w:tabs>
          <w:tab w:pos="1261" w:val="left" w:leader="none"/>
        </w:tabs>
        <w:spacing w:before="1"/>
      </w:pPr>
      <w:r>
        <w:rPr/>
        <w:t>第六条</w:t>
        <w:tab/>
      </w:r>
      <w:bookmarkStart w:name="_bookmark5" w:id="6"/>
      <w:bookmarkEnd w:id="6"/>
      <w:r>
        <w:rPr/>
        <w:t>保</w:t>
      </w:r>
      <w:r>
        <w:rPr/>
        <w:t>险期间</w:t>
      </w:r>
    </w:p>
    <w:p>
      <w:pPr>
        <w:pStyle w:val="BodyText"/>
        <w:spacing w:line="273" w:lineRule="auto" w:before="12"/>
        <w:ind w:left="118" w:right="148" w:firstLine="420"/>
      </w:pPr>
      <w:r>
        <w:rPr/>
        <w:t>本合同的保险期间最长为一年。除另有约定外，自本合同生效之日起至约定的终止日二十四时止，由投保人在投保时与本公司协商确定。</w:t>
      </w:r>
    </w:p>
    <w:p>
      <w:pPr>
        <w:pStyle w:val="BodyText"/>
        <w:spacing w:before="8"/>
      </w:pPr>
      <w:r>
        <w:rPr/>
        <w:t>本合同期满后，本公司有权对提出续保申请的合同重新审核，并做出合理调整。</w:t>
      </w:r>
    </w:p>
    <w:p>
      <w:pPr>
        <w:pStyle w:val="BodyText"/>
        <w:spacing w:before="12"/>
        <w:ind w:left="0"/>
      </w:pPr>
    </w:p>
    <w:p>
      <w:pPr>
        <w:pStyle w:val="Heading2"/>
        <w:tabs>
          <w:tab w:pos="1261" w:val="left" w:leader="none"/>
        </w:tabs>
      </w:pPr>
      <w:r>
        <w:rPr/>
        <w:t>第七条</w:t>
        <w:tab/>
      </w:r>
      <w:bookmarkStart w:name="_bookmark6" w:id="7"/>
      <w:bookmarkEnd w:id="7"/>
      <w:r>
        <w:rPr/>
        <w:t>保</w:t>
      </w:r>
      <w:r>
        <w:rPr/>
        <w:t>险金额和保</w:t>
      </w:r>
      <w:r>
        <w:rPr>
          <w:spacing w:val="-3"/>
        </w:rPr>
        <w:t>险</w:t>
      </w:r>
      <w:r>
        <w:rPr/>
        <w:t>费</w:t>
      </w:r>
    </w:p>
    <w:p>
      <w:pPr>
        <w:pStyle w:val="BodyText"/>
        <w:spacing w:before="11"/>
      </w:pPr>
      <w:r>
        <w:rPr/>
        <w:t>本合同的保险金额由投保人和本公司约定并载明于本合同的保险单或批注上。</w:t>
      </w:r>
    </w:p>
    <w:p>
      <w:pPr>
        <w:pStyle w:val="BodyText"/>
        <w:spacing w:before="37"/>
      </w:pPr>
      <w:r>
        <w:rPr/>
        <w:t>投保人按照本合同约定向本公司支付保险费，保险费由投保人在订立本合同时一次交清。</w:t>
      </w:r>
    </w:p>
    <w:p>
      <w:pPr>
        <w:pStyle w:val="BodyText"/>
        <w:spacing w:before="11"/>
        <w:ind w:left="0"/>
      </w:pPr>
    </w:p>
    <w:p>
      <w:pPr>
        <w:pStyle w:val="Heading2"/>
        <w:tabs>
          <w:tab w:pos="1261" w:val="left" w:leader="none"/>
        </w:tabs>
        <w:spacing w:before="1"/>
      </w:pPr>
      <w:r>
        <w:rPr/>
        <w:t>第八条</w:t>
        <w:tab/>
      </w:r>
      <w:bookmarkStart w:name="_bookmark7" w:id="8"/>
      <w:bookmarkEnd w:id="8"/>
      <w:r>
        <w:rPr/>
        <w:t>明</w:t>
      </w:r>
      <w:r>
        <w:rPr/>
        <w:t>确说明与如</w:t>
      </w:r>
      <w:r>
        <w:rPr>
          <w:spacing w:val="-3"/>
        </w:rPr>
        <w:t>实</w:t>
      </w:r>
      <w:r>
        <w:rPr/>
        <w:t>告知</w:t>
      </w:r>
    </w:p>
    <w:p>
      <w:pPr>
        <w:pStyle w:val="BodyText"/>
        <w:spacing w:before="12"/>
      </w:pPr>
      <w:r>
        <w:rPr/>
        <w:t>订立本合同时，本公司应向投保人说明本合同的内容。</w:t>
      </w:r>
    </w:p>
    <w:p>
      <w:pPr>
        <w:pStyle w:val="BodyText"/>
        <w:spacing w:line="273" w:lineRule="auto" w:before="37"/>
        <w:ind w:left="118" w:right="110"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62" w:lineRule="exact"/>
      </w:pPr>
      <w:r>
        <w:rPr/>
        <w:t>本公司就投保人和被保险人的有关情况提出询问，投保人应当如实告知。</w:t>
      </w:r>
    </w:p>
    <w:p>
      <w:pPr>
        <w:pStyle w:val="Heading2"/>
        <w:spacing w:line="206" w:lineRule="auto" w:before="37"/>
        <w:ind w:right="110" w:firstLine="422"/>
      </w:pPr>
      <w:r>
        <w:rPr/>
        <w:t>如果投保人故意或者因重大过失未履行前款规定的如实告知义务，足以影响本公司决定是否同意承保或者提高保险费率的，本公司有权解除本合同。</w:t>
      </w:r>
    </w:p>
    <w:p>
      <w:pPr>
        <w:spacing w:line="206" w:lineRule="auto" w:before="0"/>
        <w:ind w:left="118" w:right="107" w:firstLine="422"/>
        <w:jc w:val="left"/>
        <w:rPr>
          <w:rFonts w:ascii="微软雅黑" w:eastAsia="微软雅黑" w:hint="eastAsia"/>
          <w:b/>
          <w:sz w:val="21"/>
        </w:rPr>
      </w:pPr>
      <w:r>
        <w:rPr>
          <w:rFonts w:ascii="微软雅黑" w:eastAsia="微软雅黑" w:hint="eastAsia"/>
          <w:b/>
          <w:sz w:val="21"/>
        </w:rPr>
        <w:t>如果投保人故意不履行如实告知义务，对于本合同解除前发生的保险事故</w:t>
      </w:r>
      <w:r>
        <w:rPr>
          <w:rFonts w:ascii="微软雅黑" w:eastAsia="微软雅黑" w:hint="eastAsia"/>
          <w:b/>
          <w:position w:val="11"/>
          <w:sz w:val="11"/>
        </w:rPr>
        <w:t>13</w:t>
      </w:r>
      <w:r>
        <w:rPr>
          <w:rFonts w:ascii="微软雅黑" w:eastAsia="微软雅黑" w:hint="eastAsia"/>
          <w:b/>
          <w:sz w:val="21"/>
        </w:rPr>
        <w:t>，本公司不承担给付保险金的责任，并不退还保险费。</w:t>
      </w:r>
    </w:p>
    <w:p>
      <w:pPr>
        <w:spacing w:line="206" w:lineRule="auto" w:before="0"/>
        <w:ind w:left="118" w:right="109" w:firstLine="422"/>
        <w:jc w:val="left"/>
        <w:rPr>
          <w:rFonts w:ascii="微软雅黑" w:eastAsia="微软雅黑" w:hint="eastAsia"/>
          <w:b/>
          <w:sz w:val="21"/>
        </w:rPr>
      </w:pPr>
      <w:r>
        <w:rPr>
          <w:rFonts w:ascii="微软雅黑" w:eastAsia="微软雅黑" w:hint="eastAsia"/>
          <w:b/>
          <w:sz w:val="21"/>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11"/>
        <w:ind w:left="118" w:right="147" w:firstLine="420"/>
      </w:pPr>
      <w:r>
        <w:rPr/>
        <w:t>本公司在合同订立时已经知道投保人未如实告知的情况的，本公司不得解除合同；发生保险事故的，本公司承担给付保险金的责任。</w:t>
      </w:r>
    </w:p>
    <w:p>
      <w:pPr>
        <w:pStyle w:val="BodyText"/>
      </w:pPr>
      <w:r>
        <w:rPr/>
        <w:t>本条规定的合同解除权，自本公司知道有解除事由之日起，超过 30 日不行使而消灭。</w:t>
      </w:r>
    </w:p>
    <w:p>
      <w:pPr>
        <w:pStyle w:val="BodyText"/>
        <w:spacing w:before="11"/>
        <w:ind w:left="0"/>
      </w:pPr>
    </w:p>
    <w:p>
      <w:pPr>
        <w:pStyle w:val="Heading2"/>
        <w:tabs>
          <w:tab w:pos="1261" w:val="left" w:leader="none"/>
        </w:tabs>
      </w:pPr>
      <w:r>
        <w:rPr/>
        <w:t>第九条</w:t>
        <w:tab/>
      </w:r>
      <w:bookmarkStart w:name="_bookmark8" w:id="9"/>
      <w:bookmarkEnd w:id="9"/>
      <w:r>
        <w:rPr/>
        <w:t>受</w:t>
      </w:r>
      <w:r>
        <w:rPr/>
        <w:t>益人</w:t>
      </w:r>
    </w:p>
    <w:p>
      <w:pPr>
        <w:pStyle w:val="BodyText"/>
        <w:spacing w:before="11"/>
      </w:pPr>
      <w:r>
        <w:rPr/>
        <w:t>重大疾病保险金的受益人为被保险人本人。</w:t>
      </w:r>
    </w:p>
    <w:p>
      <w:pPr>
        <w:pStyle w:val="BodyText"/>
        <w:spacing w:before="11"/>
        <w:ind w:left="0"/>
      </w:pPr>
    </w:p>
    <w:p>
      <w:pPr>
        <w:pStyle w:val="Heading2"/>
        <w:tabs>
          <w:tab w:pos="1261" w:val="left" w:leader="none"/>
        </w:tabs>
        <w:spacing w:before="1"/>
      </w:pPr>
      <w:r>
        <w:rPr/>
        <w:t>第十条</w:t>
        <w:tab/>
      </w:r>
      <w:bookmarkStart w:name="_bookmark9" w:id="10"/>
      <w:bookmarkEnd w:id="10"/>
      <w:r>
        <w:rPr/>
        <w:t>保</w:t>
      </w:r>
      <w:r>
        <w:rPr/>
        <w:t>险事故的通知</w:t>
      </w:r>
    </w:p>
    <w:p>
      <w:pPr>
        <w:pStyle w:val="BodyText"/>
        <w:spacing w:line="262" w:lineRule="exact" w:before="12"/>
      </w:pPr>
      <w:r>
        <w:rPr/>
        <w:t>投保人或受益人知道保险事故后应当在 10 日内通知本公司。</w:t>
      </w:r>
    </w:p>
    <w:p>
      <w:pPr>
        <w:spacing w:line="312" w:lineRule="exact" w:before="45"/>
        <w:ind w:left="118" w:right="120" w:firstLine="420"/>
        <w:jc w:val="both"/>
        <w:rPr>
          <w:sz w:val="21"/>
        </w:rPr>
      </w:pPr>
      <w:r>
        <w:rPr>
          <w:rFonts w:ascii="微软雅黑" w:eastAsia="微软雅黑" w:hint="eastAsia"/>
          <w:b/>
          <w:sz w:val="21"/>
        </w:rPr>
        <w:t>如果投保人或受益人故意或者因重大过失未及时通知，致使保险事故的性质、原因、损失程度等难以确定的，本公司对无法确定的部分，不承担给付保险金的责任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p>
      <w:pPr>
        <w:pStyle w:val="BodyText"/>
        <w:spacing w:before="4"/>
        <w:ind w:left="0"/>
        <w:rPr>
          <w:sz w:val="19"/>
        </w:rPr>
      </w:pPr>
    </w:p>
    <w:p>
      <w:pPr>
        <w:pStyle w:val="Heading2"/>
        <w:tabs>
          <w:tab w:pos="1378" w:val="left" w:leader="none"/>
        </w:tabs>
      </w:pPr>
      <w:bookmarkStart w:name="_bookmark10" w:id="11"/>
      <w:bookmarkEnd w:id="11"/>
      <w:r>
        <w:rPr>
          <w:b w:val="0"/>
        </w:rPr>
      </w:r>
      <w:r>
        <w:rPr/>
        <w:t>第十一条</w:t>
        <w:tab/>
        <w:t>保险金申请</w:t>
      </w:r>
    </w:p>
    <w:p>
      <w:pPr>
        <w:spacing w:after="0"/>
        <w:sectPr>
          <w:pgSz w:w="11910" w:h="16840"/>
          <w:pgMar w:header="0" w:footer="745" w:top="1120" w:bottom="940" w:left="1300" w:right="1300"/>
        </w:sectPr>
      </w:pPr>
    </w:p>
    <w:p>
      <w:pPr>
        <w:pStyle w:val="BodyText"/>
        <w:spacing w:line="273" w:lineRule="auto" w:before="22"/>
        <w:ind w:left="118" w:right="147" w:firstLine="420"/>
        <w:jc w:val="both"/>
      </w:pPr>
      <w:r>
        <w:rPr/>
        <w:t>在申请重大疾病保险金时，由重大疾病保险金受益人作为申请人，填写保险金给付申请书，并提供下列证明和资料：</w:t>
      </w:r>
    </w:p>
    <w:p>
      <w:pPr>
        <w:pStyle w:val="ListParagraph"/>
        <w:numPr>
          <w:ilvl w:val="0"/>
          <w:numId w:val="4"/>
        </w:numPr>
        <w:tabs>
          <w:tab w:pos="856" w:val="left" w:leader="none"/>
        </w:tabs>
        <w:spacing w:line="240" w:lineRule="auto" w:before="8" w:after="0"/>
        <w:ind w:left="855" w:right="0" w:hanging="317"/>
        <w:jc w:val="left"/>
        <w:rPr>
          <w:sz w:val="21"/>
        </w:rPr>
      </w:pPr>
      <w:r>
        <w:rPr>
          <w:spacing w:val="-3"/>
          <w:sz w:val="21"/>
        </w:rPr>
        <w:t>投保人证明文件；</w:t>
      </w:r>
    </w:p>
    <w:p>
      <w:pPr>
        <w:pStyle w:val="ListParagraph"/>
        <w:numPr>
          <w:ilvl w:val="0"/>
          <w:numId w:val="4"/>
        </w:numPr>
        <w:tabs>
          <w:tab w:pos="856" w:val="left" w:leader="none"/>
        </w:tabs>
        <w:spacing w:line="262" w:lineRule="exact" w:before="37" w:after="0"/>
        <w:ind w:left="855" w:right="0" w:hanging="317"/>
        <w:jc w:val="left"/>
        <w:rPr>
          <w:sz w:val="21"/>
        </w:rPr>
      </w:pPr>
      <w:r>
        <w:rPr>
          <w:spacing w:val="-3"/>
          <w:sz w:val="21"/>
        </w:rPr>
        <w:t>保险单或其他保险凭证；</w:t>
      </w:r>
    </w:p>
    <w:p>
      <w:pPr>
        <w:pStyle w:val="ListParagraph"/>
        <w:numPr>
          <w:ilvl w:val="0"/>
          <w:numId w:val="4"/>
        </w:numPr>
        <w:tabs>
          <w:tab w:pos="856" w:val="left" w:leader="none"/>
        </w:tabs>
        <w:spacing w:line="350" w:lineRule="exact" w:before="0" w:after="0"/>
        <w:ind w:left="855" w:right="0" w:hanging="317"/>
        <w:jc w:val="left"/>
        <w:rPr>
          <w:sz w:val="21"/>
        </w:rPr>
      </w:pPr>
      <w:r>
        <w:rPr>
          <w:spacing w:val="-3"/>
          <w:w w:val="95"/>
          <w:sz w:val="21"/>
        </w:rPr>
        <w:t>受益人的</w:t>
      </w:r>
      <w:r>
        <w:rPr>
          <w:rFonts w:ascii="微软雅黑" w:eastAsia="微软雅黑" w:hint="eastAsia"/>
          <w:b/>
          <w:w w:val="95"/>
          <w:sz w:val="21"/>
        </w:rPr>
        <w:t>有效身份证件</w:t>
      </w:r>
      <w:r>
        <w:rPr>
          <w:rFonts w:ascii="微软雅黑" w:eastAsia="微软雅黑" w:hint="eastAsia"/>
          <w:b/>
          <w:w w:val="95"/>
          <w:position w:val="11"/>
          <w:sz w:val="11"/>
        </w:rPr>
        <w:t>14</w:t>
      </w:r>
      <w:r>
        <w:rPr>
          <w:w w:val="95"/>
          <w:sz w:val="21"/>
        </w:rPr>
        <w:t>；</w:t>
      </w:r>
    </w:p>
    <w:p>
      <w:pPr>
        <w:pStyle w:val="ListParagraph"/>
        <w:numPr>
          <w:ilvl w:val="0"/>
          <w:numId w:val="4"/>
        </w:numPr>
        <w:tabs>
          <w:tab w:pos="856" w:val="left" w:leader="none"/>
        </w:tabs>
        <w:spacing w:line="240" w:lineRule="auto" w:before="11" w:after="0"/>
        <w:ind w:left="855" w:right="0" w:hanging="317"/>
        <w:jc w:val="left"/>
        <w:rPr>
          <w:sz w:val="21"/>
        </w:rPr>
      </w:pPr>
      <w:r>
        <w:rPr>
          <w:spacing w:val="-3"/>
          <w:sz w:val="21"/>
        </w:rPr>
        <w:t>本公司指定或认可的医疗机构出具的被保险人病历、病理、血液或淋巴检验报告；</w:t>
      </w:r>
    </w:p>
    <w:p>
      <w:pPr>
        <w:pStyle w:val="BodyText"/>
        <w:spacing w:line="273" w:lineRule="auto" w:before="36"/>
        <w:ind w:left="118" w:right="110"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pPr>
      <w:r>
        <w:rPr/>
        <w:t>以上证明和资料不完整的，本公司将及时一次性通知申请人补充提供有关证明和资料。</w:t>
      </w:r>
    </w:p>
    <w:p>
      <w:pPr>
        <w:pStyle w:val="BodyText"/>
        <w:spacing w:before="11"/>
        <w:ind w:left="0"/>
      </w:pPr>
    </w:p>
    <w:p>
      <w:pPr>
        <w:pStyle w:val="Heading2"/>
        <w:tabs>
          <w:tab w:pos="1378" w:val="left" w:leader="none"/>
        </w:tabs>
      </w:pPr>
      <w:bookmarkStart w:name="_bookmark11" w:id="12"/>
      <w:bookmarkEnd w:id="12"/>
      <w:r>
        <w:rPr>
          <w:b w:val="0"/>
        </w:rPr>
      </w:r>
      <w:r>
        <w:rPr/>
        <w:t>第十二条</w:t>
        <w:tab/>
        <w:t>保险金给付</w:t>
      </w:r>
    </w:p>
    <w:p>
      <w:pPr>
        <w:pStyle w:val="BodyText"/>
        <w:spacing w:before="11"/>
        <w:ind w:left="658"/>
      </w:pPr>
      <w:r>
        <w:rPr>
          <w:spacing w:val="-6"/>
        </w:rPr>
        <w:t>本公司在收到保险金给付申请书及合同约定的证明和资料后，将在 </w:t>
      </w:r>
      <w:r>
        <w:rPr>
          <w:rFonts w:ascii="Times New Roman" w:eastAsia="Times New Roman"/>
        </w:rPr>
        <w:t>5 </w:t>
      </w:r>
      <w:r>
        <w:rPr>
          <w:spacing w:val="-8"/>
        </w:rPr>
        <w:t>个工作日内作出核定；情</w:t>
      </w:r>
    </w:p>
    <w:p>
      <w:pPr>
        <w:pStyle w:val="BodyText"/>
        <w:spacing w:before="20"/>
        <w:ind w:left="118"/>
      </w:pPr>
      <w:r>
        <w:rPr/>
        <w:t>形复杂的，在 </w:t>
      </w:r>
      <w:r>
        <w:rPr>
          <w:rFonts w:ascii="Times New Roman" w:eastAsia="Times New Roman"/>
        </w:rPr>
        <w:t>30 </w:t>
      </w:r>
      <w:r>
        <w:rPr/>
        <w:t>日内作出核定。</w:t>
      </w:r>
    </w:p>
    <w:p>
      <w:pPr>
        <w:pStyle w:val="BodyText"/>
        <w:spacing w:line="256" w:lineRule="auto" w:before="20"/>
        <w:ind w:left="118" w:right="133" w:firstLine="540"/>
        <w:jc w:val="both"/>
      </w:pPr>
      <w:r>
        <w:rPr>
          <w:spacing w:val="-5"/>
        </w:rPr>
        <w:t>对属于保险责任的，本公司在与受益人达成给付保险金的协议后 </w:t>
      </w:r>
      <w:r>
        <w:rPr>
          <w:rFonts w:ascii="Times New Roman" w:eastAsia="Times New Roman"/>
        </w:rPr>
        <w:t>10 </w:t>
      </w:r>
      <w:r>
        <w:rPr>
          <w:spacing w:val="-3"/>
        </w:rPr>
        <w:t>日内，履行给付保险金义务。本公司未及时履行前款规定义务的，除支付保险金外，应当赔偿受益人因此受到的损失。</w:t>
      </w:r>
    </w:p>
    <w:p>
      <w:pPr>
        <w:pStyle w:val="BodyText"/>
        <w:spacing w:line="256" w:lineRule="auto" w:before="21"/>
        <w:ind w:left="118" w:right="109" w:firstLine="540"/>
        <w:jc w:val="both"/>
      </w:pPr>
      <w:r>
        <w:rPr>
          <w:spacing w:val="-12"/>
        </w:rPr>
        <w:t>对不属于保险责任的，本公司自作出核定之日起 </w:t>
      </w:r>
      <w:r>
        <w:rPr>
          <w:rFonts w:ascii="Times New Roman" w:eastAsia="Times New Roman"/>
        </w:rPr>
        <w:t>3 </w:t>
      </w:r>
      <w:r>
        <w:rPr>
          <w:spacing w:val="-3"/>
        </w:rPr>
        <w:t>个工作日内向受益人发出拒绝给付保险金通知书并说明理由。</w:t>
      </w:r>
    </w:p>
    <w:p>
      <w:pPr>
        <w:pStyle w:val="BodyText"/>
        <w:spacing w:line="264" w:lineRule="auto" w:before="21"/>
        <w:ind w:left="118" w:right="133" w:firstLine="540"/>
        <w:jc w:val="both"/>
      </w:pPr>
      <w:r>
        <w:rPr>
          <w:spacing w:val="-5"/>
        </w:rPr>
        <w:t>本公司在收到保险金给付申请书及有关证明和资料之日起 </w:t>
      </w:r>
      <w:r>
        <w:rPr>
          <w:rFonts w:ascii="Times New Roman" w:eastAsia="Times New Roman"/>
        </w:rPr>
        <w:t>60 </w:t>
      </w:r>
      <w:r>
        <w:rPr>
          <w:spacing w:val="-3"/>
        </w:rPr>
        <w:t>日内，对给付保险金的数额不能确定的，根据已有证明和资料可以确定的数额先予支付；本公司最终确定给付保险金的数额后，将支付相应的差额。</w:t>
      </w:r>
    </w:p>
    <w:p>
      <w:pPr>
        <w:pStyle w:val="BodyText"/>
        <w:spacing w:before="3"/>
        <w:ind w:left="0"/>
        <w:rPr>
          <w:sz w:val="20"/>
        </w:rPr>
      </w:pPr>
    </w:p>
    <w:p>
      <w:pPr>
        <w:pStyle w:val="Heading2"/>
        <w:tabs>
          <w:tab w:pos="1378" w:val="left" w:leader="none"/>
        </w:tabs>
      </w:pPr>
      <w:bookmarkStart w:name="_bookmark12" w:id="13"/>
      <w:bookmarkEnd w:id="13"/>
      <w:r>
        <w:rPr>
          <w:b w:val="0"/>
        </w:rPr>
      </w:r>
      <w:r>
        <w:rPr/>
        <w:t>第十三条</w:t>
        <w:tab/>
        <w:t>诉讼时效</w:t>
      </w:r>
    </w:p>
    <w:p>
      <w:pPr>
        <w:pStyle w:val="BodyText"/>
        <w:spacing w:line="273" w:lineRule="auto" w:before="11"/>
        <w:ind w:left="118" w:right="147" w:firstLine="420"/>
        <w:jc w:val="both"/>
      </w:pPr>
      <w:r>
        <w:rPr/>
        <w:t>重大疾病保险金的受益人，向本公司请求赔偿或者给付保险金的诉讼时效期间为二年，自其知道或者应当知道保险事故发生之日起计算。</w:t>
      </w:r>
    </w:p>
    <w:p>
      <w:pPr>
        <w:pStyle w:val="BodyText"/>
        <w:spacing w:before="8"/>
        <w:ind w:left="0"/>
        <w:rPr>
          <w:sz w:val="19"/>
        </w:rPr>
      </w:pPr>
    </w:p>
    <w:p>
      <w:pPr>
        <w:pStyle w:val="Heading2"/>
        <w:tabs>
          <w:tab w:pos="1378" w:val="left" w:leader="none"/>
        </w:tabs>
      </w:pPr>
      <w:bookmarkStart w:name="_bookmark13" w:id="14"/>
      <w:bookmarkEnd w:id="14"/>
      <w:r>
        <w:rPr>
          <w:b w:val="0"/>
        </w:rPr>
      </w:r>
      <w:r>
        <w:rPr/>
        <w:t>第十四条</w:t>
        <w:tab/>
        <w:t>被保险人的变动</w:t>
      </w:r>
    </w:p>
    <w:p>
      <w:pPr>
        <w:pStyle w:val="BodyText"/>
        <w:spacing w:line="273" w:lineRule="auto" w:before="11"/>
        <w:ind w:left="118" w:right="148" w:firstLine="420"/>
        <w:jc w:val="both"/>
      </w:pPr>
      <w:r>
        <w:rPr/>
        <w:t>一、投保人因在职人员变动需要增加被保险人的，应以书面形式或本公司认可的其它形式通知本公司，经本公司审核同意，于收取保险费的次日零时起开始承担保险责任。</w:t>
      </w:r>
    </w:p>
    <w:p>
      <w:pPr>
        <w:pStyle w:val="BodyText"/>
        <w:spacing w:line="273" w:lineRule="auto"/>
        <w:ind w:left="118" w:right="147" w:firstLine="420"/>
        <w:jc w:val="both"/>
      </w:pPr>
      <w:r>
        <w:rPr/>
        <w:t>二、投保人因被保险人离职或其它原因需要减少被保险人的，应以书面形式或本公司认可的其它形式通知本公司，本合同对该被保险人所承担的保险责任自通知到达之日二十四时起终止，并向投保人退还相应的未满期净保费。如投保人要求的退保日期在通知到达日之后，则该被保险人资格自该退保日零时起丧失。</w:t>
      </w:r>
    </w:p>
    <w:p>
      <w:pPr>
        <w:pStyle w:val="BodyText"/>
        <w:spacing w:line="273" w:lineRule="auto"/>
        <w:ind w:left="118" w:right="150" w:firstLine="420"/>
        <w:jc w:val="both"/>
      </w:pPr>
      <w:r>
        <w:rPr/>
        <w:t>三、若本合同被保险人人数少于三人时，本公司有权解除本合同并向投保人退还保险单的未满期净保费。</w:t>
      </w:r>
    </w:p>
    <w:p>
      <w:pPr>
        <w:pStyle w:val="BodyText"/>
        <w:spacing w:before="8"/>
        <w:ind w:left="0"/>
        <w:rPr>
          <w:sz w:val="19"/>
        </w:rPr>
      </w:pPr>
    </w:p>
    <w:p>
      <w:pPr>
        <w:pStyle w:val="Heading2"/>
        <w:tabs>
          <w:tab w:pos="1378" w:val="left" w:leader="none"/>
        </w:tabs>
      </w:pPr>
      <w:bookmarkStart w:name="_bookmark14" w:id="15"/>
      <w:bookmarkEnd w:id="15"/>
      <w:r>
        <w:rPr>
          <w:b w:val="0"/>
        </w:rPr>
      </w:r>
      <w:r>
        <w:rPr/>
        <w:t>第十五条</w:t>
        <w:tab/>
        <w:t>合同内容的变更</w:t>
      </w:r>
    </w:p>
    <w:p>
      <w:pPr>
        <w:pStyle w:val="BodyText"/>
        <w:spacing w:line="273" w:lineRule="auto" w:before="11"/>
        <w:ind w:left="118" w:right="110"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8"/>
        <w:ind w:left="0"/>
        <w:rPr>
          <w:sz w:val="19"/>
        </w:rPr>
      </w:pPr>
    </w:p>
    <w:p>
      <w:pPr>
        <w:pStyle w:val="Heading2"/>
        <w:tabs>
          <w:tab w:pos="1378" w:val="left" w:leader="none"/>
        </w:tabs>
      </w:pPr>
      <w:bookmarkStart w:name="_bookmark15" w:id="16"/>
      <w:bookmarkEnd w:id="16"/>
      <w:r>
        <w:rPr>
          <w:b w:val="0"/>
        </w:rPr>
      </w:r>
      <w:r>
        <w:rPr/>
        <w:t>第十六条</w:t>
        <w:tab/>
        <w:t>通讯地址的变更</w:t>
      </w:r>
    </w:p>
    <w:p>
      <w:pPr>
        <w:pStyle w:val="BodyText"/>
        <w:spacing w:line="273" w:lineRule="auto" w:before="11"/>
        <w:ind w:left="118" w:right="113" w:firstLine="420"/>
        <w:jc w:val="both"/>
      </w:pPr>
      <w:r>
        <w:rPr/>
        <w:t>投保人的通讯地址变更时，应及时以书面形式或本公司认可的其它形式通知本公司。投保人未通知的，本公司将按本合同注明的最后通讯地址发送有关通知。</w:t>
      </w:r>
    </w:p>
    <w:p>
      <w:pPr>
        <w:spacing w:after="0" w:line="273" w:lineRule="auto"/>
        <w:jc w:val="both"/>
        <w:sectPr>
          <w:pgSz w:w="11910" w:h="16840"/>
          <w:pgMar w:header="0" w:footer="745" w:top="1080" w:bottom="940" w:left="1300" w:right="1300"/>
        </w:sectPr>
      </w:pPr>
    </w:p>
    <w:p>
      <w:pPr>
        <w:pStyle w:val="Heading2"/>
        <w:tabs>
          <w:tab w:pos="1378" w:val="left" w:leader="none"/>
        </w:tabs>
        <w:spacing w:line="314" w:lineRule="exact"/>
      </w:pPr>
      <w:bookmarkStart w:name="_bookmark16" w:id="17"/>
      <w:bookmarkEnd w:id="17"/>
      <w:r>
        <w:rPr>
          <w:b w:val="0"/>
        </w:rPr>
      </w:r>
      <w:r>
        <w:rPr/>
        <w:t>第十七条</w:t>
        <w:tab/>
        <w:t>资料提供</w:t>
      </w:r>
    </w:p>
    <w:p>
      <w:pPr>
        <w:pStyle w:val="BodyText"/>
        <w:spacing w:line="273" w:lineRule="auto" w:before="12"/>
        <w:ind w:left="118" w:right="113" w:firstLine="420"/>
      </w:pPr>
      <w:r>
        <w:rPr/>
        <w:t>投保人在投保时应按本公司要求提供每一被保险人的个人资料，包括但不限于姓名、性别、年龄、出生日期、有效身份证件号码等信息以及其他签订本合同所需的一切资料。</w:t>
      </w:r>
    </w:p>
    <w:p>
      <w:pPr>
        <w:pStyle w:val="BodyText"/>
        <w:spacing w:before="8"/>
        <w:ind w:left="0"/>
        <w:rPr>
          <w:sz w:val="19"/>
        </w:rPr>
      </w:pPr>
    </w:p>
    <w:p>
      <w:pPr>
        <w:pStyle w:val="Heading2"/>
        <w:tabs>
          <w:tab w:pos="1378" w:val="left" w:leader="none"/>
        </w:tabs>
      </w:pPr>
      <w:bookmarkStart w:name="_bookmark17" w:id="18"/>
      <w:bookmarkEnd w:id="18"/>
      <w:r>
        <w:rPr>
          <w:b w:val="0"/>
        </w:rPr>
      </w:r>
      <w:r>
        <w:rPr/>
        <w:t>第十八条</w:t>
        <w:tab/>
        <w:t>年龄错误</w:t>
      </w:r>
    </w:p>
    <w:p>
      <w:pPr>
        <w:pStyle w:val="BodyText"/>
        <w:spacing w:line="273" w:lineRule="auto" w:before="11"/>
        <w:ind w:left="118" w:right="148" w:firstLine="420"/>
      </w:pPr>
      <w:r>
        <w:rPr/>
        <w:t>投保人在申请投保时，应将与有效身份证件相符的被保险人的出生日期在投保单上填明，如果发生错误按照下列方式办理：</w:t>
      </w:r>
    </w:p>
    <w:p>
      <w:pPr>
        <w:pStyle w:val="ListParagraph"/>
        <w:numPr>
          <w:ilvl w:val="0"/>
          <w:numId w:val="5"/>
        </w:numPr>
        <w:tabs>
          <w:tab w:pos="856" w:val="left" w:leader="none"/>
        </w:tabs>
        <w:spacing w:line="273" w:lineRule="auto" w:before="7" w:after="0"/>
        <w:ind w:left="118" w:right="109" w:firstLine="420"/>
        <w:jc w:val="left"/>
        <w:rPr>
          <w:sz w:val="21"/>
        </w:rPr>
      </w:pPr>
      <w:r>
        <w:rPr>
          <w:spacing w:val="-6"/>
          <w:sz w:val="21"/>
        </w:rPr>
        <w:t>投保人申报的被保险人年龄不真实，并且其真实年龄不符合本合同约定投保年龄限制的，在</w:t>
      </w:r>
      <w:r>
        <w:rPr>
          <w:spacing w:val="-4"/>
          <w:sz w:val="21"/>
        </w:rPr>
        <w:t>保险事故发生之前本公司有权取消该被保险人资格，并向投保人退还相应的未满期净保费。</w:t>
      </w:r>
    </w:p>
    <w:p>
      <w:pPr>
        <w:pStyle w:val="ListParagraph"/>
        <w:numPr>
          <w:ilvl w:val="0"/>
          <w:numId w:val="5"/>
        </w:numPr>
        <w:tabs>
          <w:tab w:pos="856" w:val="left" w:leader="none"/>
        </w:tabs>
        <w:spacing w:line="273" w:lineRule="auto" w:before="7" w:after="0"/>
        <w:ind w:left="118" w:right="109" w:firstLine="420"/>
        <w:jc w:val="both"/>
        <w:rPr>
          <w:sz w:val="21"/>
        </w:rPr>
      </w:pPr>
      <w:r>
        <w:rPr>
          <w:spacing w:val="-6"/>
          <w:sz w:val="21"/>
        </w:rPr>
        <w:t>投保人申报的被保险人年龄不真实，致使投保人实付保险费少于应付保险费的，本公司有权</w:t>
      </w:r>
      <w:r>
        <w:rPr>
          <w:spacing w:val="-4"/>
          <w:sz w:val="21"/>
        </w:rPr>
        <w:t>更正并要求投保人补交保险费。若已经发生保险事故，在给付保险金时按实付保险费和应付保险费</w:t>
      </w:r>
      <w:r>
        <w:rPr>
          <w:spacing w:val="-3"/>
          <w:sz w:val="21"/>
        </w:rPr>
        <w:t>的比例给付。</w:t>
      </w:r>
    </w:p>
    <w:p>
      <w:pPr>
        <w:pStyle w:val="ListParagraph"/>
        <w:numPr>
          <w:ilvl w:val="0"/>
          <w:numId w:val="5"/>
        </w:numPr>
        <w:tabs>
          <w:tab w:pos="856" w:val="left" w:leader="none"/>
        </w:tabs>
        <w:spacing w:line="273" w:lineRule="auto" w:before="7" w:after="0"/>
        <w:ind w:left="118" w:right="109" w:firstLine="420"/>
        <w:jc w:val="left"/>
        <w:rPr>
          <w:sz w:val="21"/>
        </w:rPr>
      </w:pPr>
      <w:r>
        <w:rPr>
          <w:spacing w:val="-6"/>
          <w:sz w:val="21"/>
        </w:rPr>
        <w:t>投保人申报的被保险人年龄不真实，致使投保人实付保险费多于应付保险费的，本公司会将</w:t>
      </w:r>
      <w:r>
        <w:rPr>
          <w:spacing w:val="-4"/>
          <w:sz w:val="21"/>
        </w:rPr>
        <w:t>多收的保险费退还给投保人。</w:t>
      </w:r>
    </w:p>
    <w:p>
      <w:pPr>
        <w:pStyle w:val="BodyText"/>
        <w:spacing w:before="8"/>
        <w:ind w:left="0"/>
        <w:rPr>
          <w:sz w:val="19"/>
        </w:rPr>
      </w:pPr>
    </w:p>
    <w:p>
      <w:pPr>
        <w:pStyle w:val="Heading2"/>
        <w:tabs>
          <w:tab w:pos="1378" w:val="left" w:leader="none"/>
        </w:tabs>
      </w:pPr>
      <w:bookmarkStart w:name="_bookmark18" w:id="19"/>
      <w:bookmarkEnd w:id="19"/>
      <w:r>
        <w:rPr>
          <w:b w:val="0"/>
        </w:rPr>
      </w:r>
      <w:r>
        <w:rPr/>
        <w:t>第十九条</w:t>
        <w:tab/>
        <w:t>投保人解除合同的</w:t>
      </w:r>
      <w:r>
        <w:rPr>
          <w:spacing w:val="-3"/>
        </w:rPr>
        <w:t>手</w:t>
      </w:r>
      <w:r>
        <w:rPr/>
        <w:t>续</w:t>
      </w:r>
      <w:r>
        <w:rPr>
          <w:spacing w:val="-3"/>
        </w:rPr>
        <w:t>及</w:t>
      </w:r>
      <w:r>
        <w:rPr/>
        <w:t>风险</w:t>
      </w:r>
    </w:p>
    <w:p>
      <w:pPr>
        <w:pStyle w:val="BodyText"/>
        <w:spacing w:line="273" w:lineRule="auto" w:before="11"/>
        <w:ind w:left="118" w:right="109" w:firstLine="420"/>
        <w:jc w:val="both"/>
      </w:pPr>
      <w:r>
        <w:rPr>
          <w:spacing w:val="-6"/>
        </w:rPr>
        <w:t>一、投保人于本合同生效后， 可以以书面形式通知本公司要求解除本合同。但已经发生保险金</w:t>
      </w:r>
      <w:r>
        <w:rPr>
          <w:spacing w:val="-4"/>
        </w:rPr>
        <w:t>给付的，投保人不得要求解除本合同。对于已解除合同的，不受理理赔申请。投保人申请解除本合</w:t>
      </w:r>
      <w:r>
        <w:rPr>
          <w:spacing w:val="-3"/>
        </w:rPr>
        <w:t>同，请填写解除合同申请书并向本公司提供下列资料：</w:t>
      </w:r>
    </w:p>
    <w:p>
      <w:pPr>
        <w:pStyle w:val="ListParagraph"/>
        <w:numPr>
          <w:ilvl w:val="0"/>
          <w:numId w:val="6"/>
        </w:numPr>
        <w:tabs>
          <w:tab w:pos="856" w:val="left" w:leader="none"/>
        </w:tabs>
        <w:spacing w:line="240" w:lineRule="auto" w:before="7" w:after="0"/>
        <w:ind w:left="855" w:right="0" w:hanging="317"/>
        <w:jc w:val="left"/>
        <w:rPr>
          <w:sz w:val="21"/>
        </w:rPr>
      </w:pPr>
      <w:r>
        <w:rPr>
          <w:spacing w:val="-3"/>
          <w:sz w:val="21"/>
        </w:rPr>
        <w:t>保险单或其他保险凭证；</w:t>
      </w:r>
    </w:p>
    <w:p>
      <w:pPr>
        <w:pStyle w:val="ListParagraph"/>
        <w:numPr>
          <w:ilvl w:val="0"/>
          <w:numId w:val="6"/>
        </w:numPr>
        <w:tabs>
          <w:tab w:pos="856" w:val="left" w:leader="none"/>
        </w:tabs>
        <w:spacing w:line="240" w:lineRule="auto" w:before="37" w:after="0"/>
        <w:ind w:left="855" w:right="0" w:hanging="317"/>
        <w:jc w:val="left"/>
        <w:rPr>
          <w:sz w:val="21"/>
        </w:rPr>
      </w:pPr>
      <w:r>
        <w:rPr>
          <w:spacing w:val="-3"/>
          <w:sz w:val="21"/>
        </w:rPr>
        <w:t>投保人证明文件。</w:t>
      </w:r>
    </w:p>
    <w:p>
      <w:pPr>
        <w:pStyle w:val="BodyText"/>
        <w:spacing w:line="273" w:lineRule="auto" w:before="37"/>
        <w:ind w:left="118" w:right="114" w:firstLine="420"/>
      </w:pPr>
      <w:r>
        <w:rPr>
          <w:spacing w:val="-6"/>
        </w:rPr>
        <w:t>二、自本公司收到解除合同申请书时起，本合同终止。本公司自收到解除合同申请书之日起 </w:t>
      </w:r>
      <w:r>
        <w:rPr>
          <w:spacing w:val="-3"/>
        </w:rPr>
        <w:t>30 日内向投保人退还保险单的未满期净保费。</w:t>
      </w:r>
    </w:p>
    <w:p>
      <w:pPr>
        <w:pStyle w:val="Heading2"/>
        <w:spacing w:line="308" w:lineRule="exact"/>
        <w:ind w:left="538"/>
      </w:pPr>
      <w:r>
        <w:rPr/>
        <w:t>三、投保人解除合同会遭受一定损失。</w:t>
      </w:r>
    </w:p>
    <w:p>
      <w:pPr>
        <w:pStyle w:val="BodyText"/>
        <w:spacing w:before="2"/>
        <w:ind w:left="0"/>
        <w:rPr>
          <w:rFonts w:ascii="微软雅黑"/>
          <w:b/>
          <w:sz w:val="15"/>
        </w:rPr>
      </w:pPr>
    </w:p>
    <w:p>
      <w:pPr>
        <w:tabs>
          <w:tab w:pos="1378" w:val="left" w:leader="none"/>
        </w:tabs>
        <w:spacing w:before="1"/>
        <w:ind w:left="118" w:right="0" w:firstLine="0"/>
        <w:jc w:val="left"/>
        <w:rPr>
          <w:rFonts w:ascii="微软雅黑" w:eastAsia="微软雅黑" w:hint="eastAsia"/>
          <w:b/>
          <w:sz w:val="21"/>
        </w:rPr>
      </w:pPr>
      <w:bookmarkStart w:name="_bookmark19" w:id="20"/>
      <w:bookmarkEnd w:id="20"/>
      <w:r>
        <w:rPr/>
      </w:r>
      <w:r>
        <w:rPr>
          <w:rFonts w:ascii="微软雅黑" w:eastAsia="微软雅黑" w:hint="eastAsia"/>
          <w:b/>
          <w:sz w:val="21"/>
        </w:rPr>
        <w:t>第二十条</w:t>
        <w:tab/>
        <w:t>争议处理</w:t>
      </w:r>
    </w:p>
    <w:p>
      <w:pPr>
        <w:pStyle w:val="BodyText"/>
        <w:spacing w:before="12"/>
      </w:pPr>
      <w:r>
        <w:rPr/>
        <w:t>合同争议解决方式由本公司和投保人在合同中约定从下列两种方式中选择一种：</w:t>
      </w:r>
    </w:p>
    <w:p>
      <w:pPr>
        <w:pStyle w:val="BodyText"/>
        <w:spacing w:line="273" w:lineRule="auto" w:before="37"/>
        <w:ind w:left="118" w:right="113" w:firstLine="420"/>
      </w:pPr>
      <w:r>
        <w:rPr/>
        <w:t>一、因履行本合同发生的争议，由当事人协商解决，协商不成的，提交本合同约定的仲裁委员会仲裁；</w:t>
      </w:r>
    </w:p>
    <w:p>
      <w:pPr>
        <w:pStyle w:val="BodyText"/>
      </w:pPr>
      <w:r>
        <w:rPr/>
        <w:t>二、因履行本合同发生的争议，由当事人协商解决，协商不成的，依法向人民法院起诉。</w:t>
      </w:r>
    </w:p>
    <w:p>
      <w:pPr>
        <w:pStyle w:val="BodyText"/>
        <w:spacing w:before="11"/>
        <w:ind w:left="0"/>
      </w:pPr>
    </w:p>
    <w:p>
      <w:pPr>
        <w:pStyle w:val="Heading2"/>
        <w:tabs>
          <w:tab w:pos="1589" w:val="left" w:leader="none"/>
        </w:tabs>
      </w:pPr>
      <w:r>
        <w:rPr/>
        <w:t>第二十一条</w:t>
        <w:tab/>
      </w:r>
      <w:bookmarkStart w:name="_bookmark20" w:id="21"/>
      <w:bookmarkEnd w:id="21"/>
      <w:r>
        <w:rPr/>
        <w:t>重</w:t>
      </w:r>
      <w:r>
        <w:rPr/>
        <w:t>大疾病</w:t>
      </w:r>
    </w:p>
    <w:p>
      <w:pPr>
        <w:pStyle w:val="BodyText"/>
        <w:spacing w:line="273" w:lineRule="auto" w:before="11"/>
        <w:ind w:left="118" w:right="148" w:firstLine="420"/>
        <w:jc w:val="both"/>
      </w:pPr>
      <w:r>
        <w:rPr/>
        <w:t>本合同所指重大疾病，是被保险人发生符合以下定义所述条件的疾病、疾病状态或手术，共四十种，其中第一种至第二十五种为中国保险行业协会制定的《重大疾病保险的疾病定义使用规范》中列明的疾病，其余为本公司增加的疾病。重大疾病的名称及定义如下：</w:t>
      </w:r>
    </w:p>
    <w:p>
      <w:pPr>
        <w:pStyle w:val="BodyText"/>
      </w:pPr>
      <w:r>
        <w:rPr/>
        <w:t>一、恶性肿瘤</w:t>
      </w:r>
    </w:p>
    <w:p>
      <w:pPr>
        <w:pStyle w:val="BodyText"/>
        <w:spacing w:line="273" w:lineRule="auto" w:before="37"/>
        <w:ind w:left="118" w:right="109" w:firstLine="420"/>
        <w:jc w:val="both"/>
      </w:pPr>
      <w:r>
        <w:rPr>
          <w:spacing w:val="-3"/>
        </w:rPr>
        <w:t>指恶性细胞不受控制的进行性增长和扩散，浸润和破坏周围正常组织，可以经血管、淋巴管和</w:t>
      </w:r>
      <w:r>
        <w:rPr>
          <w:spacing w:val="-11"/>
        </w:rPr>
        <w:t>体腔扩散转移到身体其它部位的疾病。经病理学检查结果明确诊断，临床诊断属于世界卫生组织《疾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2"/>
        <w:spacing w:line="283" w:lineRule="exact"/>
        <w:ind w:left="538"/>
      </w:pPr>
      <w:r>
        <w:rPr/>
        <w:t>下列疾病不在保障范围内：</w:t>
      </w:r>
    </w:p>
    <w:p>
      <w:pPr>
        <w:spacing w:line="312" w:lineRule="exact" w:before="0"/>
        <w:ind w:left="53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3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38"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spacing w:line="312" w:lineRule="exact" w:before="0"/>
        <w:ind w:left="538" w:right="0" w:firstLine="0"/>
        <w:jc w:val="left"/>
        <w:rPr>
          <w:rFonts w:ascii="微软雅黑" w:eastAsia="微软雅黑" w:hint="eastAsia"/>
          <w:b/>
          <w:sz w:val="21"/>
        </w:rPr>
      </w:pPr>
      <w:r>
        <w:rPr>
          <w:rFonts w:ascii="微软雅黑" w:eastAsia="微软雅黑" w:hint="eastAsia"/>
          <w:b/>
          <w:spacing w:val="-1"/>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37" w:lineRule="exact" w:before="0"/>
        <w:ind w:left="538"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after="0" w:line="337" w:lineRule="exact"/>
        <w:jc w:val="left"/>
        <w:rPr>
          <w:rFonts w:ascii="微软雅黑" w:eastAsia="微软雅黑" w:hint="eastAsia"/>
          <w:sz w:val="21"/>
        </w:rPr>
        <w:sectPr>
          <w:pgSz w:w="11910" w:h="16840"/>
          <w:pgMar w:header="0" w:footer="745" w:top="1400" w:bottom="940" w:left="1300" w:right="1300"/>
        </w:sectPr>
      </w:pPr>
    </w:p>
    <w:p>
      <w:pPr>
        <w:spacing w:line="312" w:lineRule="exact" w:before="17"/>
        <w:ind w:left="538" w:right="3811" w:firstLine="0"/>
        <w:jc w:val="left"/>
        <w:rPr>
          <w:sz w:val="21"/>
        </w:rPr>
      </w:pPr>
      <w:r>
        <w:rPr>
          <w:rFonts w:ascii="微软雅黑" w:eastAsia="微软雅黑" w:hint="eastAsia"/>
          <w:b/>
          <w:sz w:val="21"/>
        </w:rPr>
        <w:t>（6）感染艾滋病病毒或患艾滋病期间所患恶性肿瘤。</w:t>
      </w:r>
      <w:r>
        <w:rPr>
          <w:sz w:val="21"/>
        </w:rPr>
        <w:t>二、急性心肌梗塞</w:t>
      </w:r>
    </w:p>
    <w:p>
      <w:pPr>
        <w:pStyle w:val="BodyText"/>
        <w:spacing w:line="273" w:lineRule="auto" w:before="4"/>
        <w:ind w:right="2879"/>
      </w:pPr>
      <w:r>
        <w:rPr/>
        <w:t>指因冠状动脉阻塞导致的相应区域供血不足造成部分心肌坏死。须满足下列至少三项条件：</w:t>
      </w:r>
    </w:p>
    <w:p>
      <w:pPr>
        <w:pStyle w:val="BodyText"/>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line="273" w:lineRule="auto" w:before="36"/>
        <w:ind w:right="1307"/>
      </w:pPr>
      <w:r>
        <w:rPr/>
        <w:t>（4）发病 90 天后，经检查证实左心室功能降低，如左心室射血分数低于 50%。三、脑中风后遗症</w:t>
      </w:r>
    </w:p>
    <w:p>
      <w:pPr>
        <w:pStyle w:val="BodyText"/>
        <w:spacing w:line="273" w:lineRule="auto"/>
        <w:ind w:left="118" w:right="113" w:firstLine="420"/>
      </w:pPr>
      <w:r>
        <w:rPr/>
        <w:t>指因脑血管的突发病变引起脑血管出血、栓塞或梗塞，并导致神经系统永久性的功能障碍。神经系统永久性的功能障碍，指疾病确诊 180 天后，仍遗留下列一种或一种以上障碍：</w:t>
      </w:r>
    </w:p>
    <w:p>
      <w:pPr>
        <w:spacing w:line="283" w:lineRule="exact" w:before="0"/>
        <w:ind w:left="538"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15</w:t>
      </w:r>
      <w:r>
        <w:rPr>
          <w:w w:val="95"/>
          <w:sz w:val="21"/>
        </w:rPr>
        <w:t>；</w:t>
      </w:r>
    </w:p>
    <w:p>
      <w:pPr>
        <w:spacing w:line="312" w:lineRule="exact" w:before="0"/>
        <w:ind w:left="538"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16</w:t>
      </w:r>
      <w:r>
        <w:rPr>
          <w:w w:val="95"/>
          <w:sz w:val="21"/>
        </w:rPr>
        <w:t>；</w:t>
      </w:r>
    </w:p>
    <w:p>
      <w:pPr>
        <w:pStyle w:val="BodyText"/>
        <w:spacing w:line="312" w:lineRule="exact" w:before="32"/>
        <w:ind w:right="301"/>
      </w:pPr>
      <w:r>
        <w:rPr/>
        <w:t>（3）自主生活能力完全丧失，无法独立完成</w:t>
      </w:r>
      <w:r>
        <w:rPr>
          <w:rFonts w:ascii="微软雅黑" w:eastAsia="微软雅黑" w:hint="eastAsia"/>
          <w:b/>
        </w:rPr>
        <w:t>六项基本日常生活活动</w:t>
      </w:r>
      <w:r>
        <w:rPr>
          <w:rFonts w:ascii="微软雅黑" w:eastAsia="微软雅黑" w:hint="eastAsia"/>
          <w:b/>
          <w:position w:val="11"/>
          <w:sz w:val="11"/>
        </w:rPr>
        <w:t>17</w:t>
      </w:r>
      <w:r>
        <w:rPr/>
        <w:t>中的三项或三项以上。四、重大器官移植术或造血干细胞移植术</w:t>
      </w:r>
    </w:p>
    <w:p>
      <w:pPr>
        <w:pStyle w:val="BodyText"/>
        <w:spacing w:line="273" w:lineRule="auto" w:before="4"/>
        <w:ind w:left="118" w:right="148"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before="8"/>
      </w:pPr>
      <w:r>
        <w:rPr/>
        <w:t>五、冠状动脉搭桥术</w:t>
      </w:r>
    </w:p>
    <w:p>
      <w:pPr>
        <w:pStyle w:val="BodyText"/>
        <w:spacing w:line="262" w:lineRule="exact" w:before="37"/>
      </w:pPr>
      <w:r>
        <w:rPr/>
        <w:t>指为治疗严重的冠心病，实际实施了开胸进行的冠状动脉血管旁路移植的手术。</w:t>
      </w:r>
    </w:p>
    <w:p>
      <w:pPr>
        <w:pStyle w:val="Heading2"/>
        <w:spacing w:line="206" w:lineRule="auto" w:before="38"/>
        <w:ind w:right="117" w:firstLine="422"/>
      </w:pPr>
      <w:r>
        <w:rPr/>
        <w:t>冠状动脉支架植入术、心导管球囊扩张术、激光射频技术及其它非开胸的介入手术、腔镜手术不在保障范围内。</w:t>
      </w:r>
    </w:p>
    <w:p>
      <w:pPr>
        <w:pStyle w:val="BodyText"/>
        <w:spacing w:before="12"/>
      </w:pPr>
      <w:r>
        <w:rPr/>
        <w:t>六、终末期肾病（或称慢性肾功能衰竭尿毒症期）</w:t>
      </w:r>
    </w:p>
    <w:p>
      <w:pPr>
        <w:pStyle w:val="BodyText"/>
        <w:spacing w:line="273" w:lineRule="auto" w:before="37"/>
        <w:ind w:left="118" w:right="150" w:firstLine="420"/>
      </w:pPr>
      <w:r>
        <w:rPr/>
        <w:t>指双肾功能慢性不可逆性衰竭，达到尿毒症期，经诊断后已经进行了至少 90 天的规律性透析治疗或实施了肾脏移植手术。</w:t>
      </w:r>
    </w:p>
    <w:p>
      <w:pPr>
        <w:pStyle w:val="BodyText"/>
      </w:pPr>
      <w:r>
        <w:rPr/>
        <w:t>七、多个肢体缺失</w:t>
      </w:r>
    </w:p>
    <w:p>
      <w:pPr>
        <w:pStyle w:val="BodyText"/>
        <w:spacing w:line="273" w:lineRule="auto" w:before="37"/>
        <w:ind w:left="118" w:right="148" w:firstLine="420"/>
      </w:pPr>
      <w:r>
        <w:rPr/>
        <w:t>指因疾病或意外伤害导致两个或两个以上肢体自腕关节或踝关节近端（靠近躯干端）以上完全性断离。</w:t>
      </w:r>
    </w:p>
    <w:p>
      <w:pPr>
        <w:pStyle w:val="BodyText"/>
      </w:pPr>
      <w:r>
        <w:rPr/>
        <w:t>八、急性或亚急性重症肝炎</w:t>
      </w:r>
    </w:p>
    <w:p>
      <w:pPr>
        <w:pStyle w:val="BodyText"/>
        <w:spacing w:line="273" w:lineRule="auto" w:before="36"/>
        <w:ind w:left="118" w:right="113" w:firstLine="420"/>
      </w:pPr>
      <w:r>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37"/>
      </w:pPr>
      <w:r>
        <w:rPr/>
        <w:t>（2）肝性脑病；</w:t>
      </w:r>
    </w:p>
    <w:p>
      <w:pPr>
        <w:pStyle w:val="BodyText"/>
        <w:spacing w:before="37"/>
      </w:pPr>
      <w:r>
        <w:rPr/>
        <w:t>（3）B 超或其它影像学检查显示肝脏体积急速萎缩；</w:t>
      </w:r>
    </w:p>
    <w:p>
      <w:pPr>
        <w:pStyle w:val="BodyText"/>
        <w:spacing w:line="273" w:lineRule="auto" w:before="37"/>
        <w:ind w:right="5928"/>
      </w:pPr>
      <w:r>
        <w:rPr/>
        <w:t>（4）肝功能指标进行性恶化。九、良性脑肿瘤</w:t>
      </w:r>
    </w:p>
    <w:p>
      <w:pPr>
        <w:pStyle w:val="BodyText"/>
        <w:spacing w:line="273" w:lineRule="auto" w:before="8"/>
        <w:ind w:left="118" w:right="110" w:firstLine="420"/>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3"/>
          <w:w w:val="100"/>
        </w:rPr>
        <w:t>T</w:t>
      </w:r>
      <w:r>
        <w:rPr>
          <w:spacing w:val="-106"/>
          <w:w w:val="100"/>
        </w:rPr>
        <w:t>）</w:t>
      </w:r>
      <w:r>
        <w:rPr>
          <w:w w:val="100"/>
        </w:rPr>
        <w:t>、核磁共振检查（MRI）</w:t>
      </w:r>
      <w:r>
        <w:rPr>
          <w:spacing w:val="-2"/>
          <w:w w:val="100"/>
        </w:rPr>
        <w:t>或正电子发射断层扫描</w:t>
      </w:r>
    </w:p>
    <w:p>
      <w:pPr>
        <w:pStyle w:val="BodyText"/>
        <w:spacing w:before="8"/>
        <w:ind w:left="118"/>
      </w:pPr>
      <w:r>
        <w:rPr/>
        <w:t>（PET）等影像学检查证实，并须满足下列至少一项条件：</w:t>
      </w:r>
    </w:p>
    <w:p>
      <w:pPr>
        <w:pStyle w:val="BodyText"/>
        <w:spacing w:before="37"/>
      </w:pPr>
      <w:r>
        <w:rPr/>
        <w:t>（1）实际实施了开颅进行的脑肿瘤完全切除或部分切除的手术；</w:t>
      </w:r>
    </w:p>
    <w:p>
      <w:pPr>
        <w:pStyle w:val="BodyText"/>
        <w:spacing w:line="262" w:lineRule="exact" w:before="37"/>
      </w:pPr>
      <w:r>
        <w:rPr/>
        <w:t>（2）实际实施了对脑肿瘤进行的放射治疗。</w:t>
      </w:r>
    </w:p>
    <w:p>
      <w:pPr>
        <w:spacing w:line="247" w:lineRule="auto" w:before="0"/>
        <w:ind w:left="538" w:right="3914" w:firstLine="2"/>
        <w:jc w:val="left"/>
        <w:rPr>
          <w:sz w:val="21"/>
        </w:rPr>
      </w:pPr>
      <w:r>
        <w:rPr>
          <w:rFonts w:ascii="微软雅黑" w:eastAsia="微软雅黑" w:hint="eastAsia"/>
          <w:b/>
          <w:sz w:val="21"/>
        </w:rPr>
        <w:t>脑垂体瘤、脑囊肿、脑血管性疾病不在保障范围内。</w:t>
      </w:r>
      <w:r>
        <w:rPr>
          <w:sz w:val="21"/>
        </w:rPr>
        <w:t>十、慢性肝功能衰竭失代偿期</w:t>
      </w:r>
    </w:p>
    <w:p>
      <w:pPr>
        <w:pStyle w:val="BodyText"/>
        <w:spacing w:before="43"/>
      </w:pPr>
      <w:r>
        <w:rPr/>
        <w:t>指因慢性肝脏疾病导致肝功能衰竭。须满足下列全部条件：</w:t>
      </w:r>
    </w:p>
    <w:p>
      <w:pPr>
        <w:pStyle w:val="BodyText"/>
        <w:spacing w:before="36"/>
      </w:pPr>
      <w:r>
        <w:rPr/>
        <w:t>（1）持续性黄疸；</w:t>
      </w:r>
    </w:p>
    <w:p>
      <w:pPr>
        <w:pStyle w:val="BodyText"/>
        <w:spacing w:before="36"/>
      </w:pPr>
      <w:r>
        <w:rPr/>
        <w:t>（2）腹水；</w:t>
      </w:r>
    </w:p>
    <w:p>
      <w:pPr>
        <w:spacing w:after="0"/>
        <w:sectPr>
          <w:pgSz w:w="11910" w:h="16840"/>
          <w:pgMar w:header="0" w:footer="745" w:top="1080" w:bottom="940" w:left="1300" w:right="1300"/>
        </w:sectPr>
      </w:pPr>
    </w:p>
    <w:p>
      <w:pPr>
        <w:pStyle w:val="BodyText"/>
        <w:spacing w:before="22"/>
      </w:pPr>
      <w:r>
        <w:rPr/>
        <w:t>（3）肝性脑病；</w:t>
      </w:r>
    </w:p>
    <w:p>
      <w:pPr>
        <w:spacing w:line="235" w:lineRule="auto" w:before="42"/>
        <w:ind w:left="538" w:right="3716" w:firstLine="0"/>
        <w:jc w:val="both"/>
        <w:rPr>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r>
        <w:rPr>
          <w:sz w:val="21"/>
        </w:rPr>
        <w:t>十一、脑炎后遗症或脑膜炎后遗症</w:t>
      </w:r>
    </w:p>
    <w:p>
      <w:pPr>
        <w:pStyle w:val="BodyText"/>
        <w:spacing w:line="273" w:lineRule="auto" w:before="36"/>
        <w:ind w:left="118" w:right="213" w:firstLine="420"/>
      </w:pPr>
      <w:r>
        <w:rPr/>
        <w:t>指因患脑炎或脑膜炎导致的神经系统永久性的功能障碍。神经系统永久性的功能障碍，指疾病确诊 180 天后，仍遗留下列一种或一种以上障碍：</w:t>
      </w:r>
    </w:p>
    <w:p>
      <w:pPr>
        <w:pStyle w:val="BodyText"/>
      </w:pPr>
      <w:r>
        <w:rPr/>
        <w:t>（1）一肢或一肢以上肢体机能完全丧失；</w:t>
      </w:r>
    </w:p>
    <w:p>
      <w:pPr>
        <w:pStyle w:val="BodyText"/>
        <w:spacing w:before="37"/>
      </w:pPr>
      <w:r>
        <w:rPr/>
        <w:t>（2）语言能力或咀嚼吞咽能力完全丧失；</w:t>
      </w:r>
    </w:p>
    <w:p>
      <w:pPr>
        <w:pStyle w:val="BodyText"/>
        <w:spacing w:line="273" w:lineRule="auto" w:before="37"/>
        <w:ind w:right="565"/>
      </w:pPr>
      <w:r>
        <w:rPr/>
        <w:t>（3）自主生活能力完全丧失，无法独立完成六项基本日常生活活动中的三项或三项以上。十二、深度昏迷</w:t>
      </w:r>
    </w:p>
    <w:p>
      <w:pPr>
        <w:pStyle w:val="BodyText"/>
        <w:spacing w:line="273" w:lineRule="auto"/>
        <w:ind w:left="118" w:right="209" w:firstLine="420"/>
        <w:jc w:val="both"/>
      </w:pPr>
      <w:r>
        <w:rPr>
          <w:spacing w:val="-3"/>
        </w:rPr>
        <w:t>指因疾病或意外伤害导致意识丧失，对外界刺激和体内需求均无反应，昏迷程度按照格拉斯哥昏迷分级</w:t>
      </w:r>
      <w:r>
        <w:rPr/>
        <w:t>（Glasgow coma scale）</w:t>
      </w:r>
      <w:r>
        <w:rPr>
          <w:spacing w:val="-11"/>
        </w:rPr>
        <w:t>结果为 </w:t>
      </w:r>
      <w:r>
        <w:rPr/>
        <w:t>5</w:t>
      </w:r>
      <w:r>
        <w:rPr>
          <w:spacing w:val="-21"/>
        </w:rPr>
        <w:t> 分或 </w:t>
      </w:r>
      <w:r>
        <w:rPr/>
        <w:t>5</w:t>
      </w:r>
      <w:r>
        <w:rPr>
          <w:spacing w:val="-8"/>
        </w:rPr>
        <w:t> 分以下，且已经持续使用呼吸机及其它生命维持</w:t>
      </w:r>
      <w:r>
        <w:rPr>
          <w:spacing w:val="-22"/>
        </w:rPr>
        <w:t>系统 </w:t>
      </w:r>
      <w:r>
        <w:rPr/>
        <w:t>96</w:t>
      </w:r>
      <w:r>
        <w:rPr>
          <w:spacing w:val="-10"/>
        </w:rPr>
        <w:t> 小时以上。</w:t>
      </w:r>
    </w:p>
    <w:p>
      <w:pPr>
        <w:pStyle w:val="BodyText"/>
        <w:spacing w:line="273" w:lineRule="auto"/>
        <w:ind w:right="4031"/>
      </w:pPr>
      <w:r>
        <w:rPr/>
        <w:t>因酗酒或药物滥用导致的深度昏迷不在保障范围内。十三、双耳失聪</w:t>
      </w:r>
    </w:p>
    <w:p>
      <w:pPr>
        <w:pStyle w:val="BodyText"/>
        <w:spacing w:line="308" w:lineRule="exact" w:before="0"/>
      </w:pPr>
      <w:r>
        <w:rPr>
          <w:spacing w:val="-3"/>
        </w:rPr>
        <w:t>指因疾病或意外伤害导致双耳听力</w:t>
      </w:r>
      <w:r>
        <w:rPr>
          <w:rFonts w:ascii="微软雅黑" w:eastAsia="微软雅黑" w:hint="eastAsia"/>
          <w:b/>
          <w:spacing w:val="-1"/>
        </w:rPr>
        <w:t>永久不可逆</w:t>
      </w:r>
      <w:r>
        <w:rPr>
          <w:rFonts w:ascii="微软雅黑" w:eastAsia="微软雅黑" w:hint="eastAsia"/>
          <w:b/>
          <w:position w:val="11"/>
          <w:sz w:val="11"/>
        </w:rPr>
        <w:t>18</w:t>
      </w:r>
      <w:r>
        <w:rPr>
          <w:spacing w:val="-12"/>
        </w:rPr>
        <w:t>性丧失，在 </w:t>
      </w:r>
      <w:r>
        <w:rPr/>
        <w:t>500</w:t>
      </w:r>
      <w:r>
        <w:rPr>
          <w:spacing w:val="-18"/>
        </w:rPr>
        <w:t> 赫兹、</w:t>
      </w:r>
      <w:r>
        <w:rPr/>
        <w:t>1000</w:t>
      </w:r>
      <w:r>
        <w:rPr>
          <w:spacing w:val="-21"/>
        </w:rPr>
        <w:t> 赫兹和 </w:t>
      </w:r>
      <w:r>
        <w:rPr/>
        <w:t>2000</w:t>
      </w:r>
      <w:r>
        <w:rPr>
          <w:spacing w:val="-15"/>
        </w:rPr>
        <w:t> 赫兹语</w:t>
      </w:r>
    </w:p>
    <w:p>
      <w:pPr>
        <w:pStyle w:val="BodyText"/>
        <w:spacing w:line="273" w:lineRule="auto" w:before="12"/>
        <w:ind w:right="355" w:hanging="420"/>
      </w:pPr>
      <w:r>
        <w:rPr>
          <w:spacing w:val="-6"/>
        </w:rPr>
        <w:t>音频率下，平均听阈大于 </w:t>
      </w:r>
      <w:r>
        <w:rPr/>
        <w:t>90</w:t>
      </w:r>
      <w:r>
        <w:rPr>
          <w:spacing w:val="-7"/>
        </w:rPr>
        <w:t> 分贝，且经纯音听力测试、声导抗检测或听觉诱发电位检测等证实。</w:t>
      </w:r>
      <w:r>
        <w:rPr>
          <w:spacing w:val="-5"/>
        </w:rPr>
        <w:t>十四、双目失明</w:t>
      </w:r>
    </w:p>
    <w:p>
      <w:pPr>
        <w:pStyle w:val="BodyText"/>
      </w:pPr>
      <w:r>
        <w:rPr/>
        <w:t>指因疾病或意外伤害导致双眼视力永久不可逆性丧失，双眼中较好眼须满足下列至少一项条件：</w:t>
      </w:r>
    </w:p>
    <w:p>
      <w:pPr>
        <w:pStyle w:val="BodyText"/>
        <w:spacing w:before="36"/>
      </w:pPr>
      <w:r>
        <w:rPr/>
        <w:t>（1）眼球缺失或摘除；</w:t>
      </w:r>
    </w:p>
    <w:p>
      <w:pPr>
        <w:pStyle w:val="BodyText"/>
        <w:spacing w:before="36"/>
      </w:pPr>
      <w:r>
        <w:rPr>
          <w:spacing w:val="-1"/>
          <w:w w:val="100"/>
        </w:rPr>
        <w:t>（</w:t>
      </w: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73" w:lineRule="auto" w:before="36"/>
        <w:ind w:right="6450"/>
      </w:pPr>
      <w:r>
        <w:rPr/>
        <w:t>（3）</w:t>
      </w:r>
      <w:r>
        <w:rPr>
          <w:spacing w:val="-10"/>
        </w:rPr>
        <w:t>视野半径小于 </w:t>
      </w:r>
      <w:r>
        <w:rPr/>
        <w:t>5</w:t>
      </w:r>
      <w:r>
        <w:rPr>
          <w:spacing w:val="-19"/>
        </w:rPr>
        <w:t> 度。</w:t>
      </w:r>
      <w:r>
        <w:rPr>
          <w:spacing w:val="-1"/>
        </w:rPr>
        <w:t>十五、瘫痪</w:t>
      </w:r>
    </w:p>
    <w:p>
      <w:pPr>
        <w:pStyle w:val="BodyText"/>
        <w:spacing w:line="273" w:lineRule="auto"/>
        <w:ind w:left="118" w:right="248" w:firstLine="420"/>
        <w:jc w:val="both"/>
      </w:pPr>
      <w:r>
        <w:rPr>
          <w:spacing w:val="-3"/>
        </w:rPr>
        <w:t>指因疾病或意外伤害导致两肢或两肢以上肢体机能永久完全丧失。肢体机能永久完全丧失，指</w:t>
      </w:r>
      <w:r>
        <w:rPr>
          <w:spacing w:val="-11"/>
        </w:rPr>
        <w:t>疾病确诊 </w:t>
      </w:r>
      <w:r>
        <w:rPr/>
        <w:t>180</w:t>
      </w:r>
      <w:r>
        <w:rPr>
          <w:spacing w:val="-12"/>
        </w:rPr>
        <w:t> 天后或意外伤害发生 </w:t>
      </w:r>
      <w:r>
        <w:rPr/>
        <w:t>180</w:t>
      </w:r>
      <w:r>
        <w:rPr>
          <w:spacing w:val="-8"/>
        </w:rPr>
        <w:t> 天后，每肢三大关节中的两大关节仍然完全僵硬，或不能随</w:t>
      </w:r>
      <w:r>
        <w:rPr>
          <w:spacing w:val="-5"/>
        </w:rPr>
        <w:t>意识活动。</w:t>
      </w:r>
    </w:p>
    <w:p>
      <w:pPr>
        <w:pStyle w:val="BodyText"/>
        <w:spacing w:before="8"/>
      </w:pPr>
      <w:r>
        <w:rPr/>
        <w:t>十六、心脏瓣膜手术</w:t>
      </w:r>
    </w:p>
    <w:p>
      <w:pPr>
        <w:pStyle w:val="BodyText"/>
        <w:spacing w:line="273" w:lineRule="auto" w:before="37"/>
        <w:ind w:right="1719"/>
      </w:pPr>
      <w:r>
        <w:rPr/>
        <w:t>指为治疗心脏瓣膜疾病，实际实施了开胸进行的心脏瓣膜置换或修复的手术。十七、严重阿尔茨海默病</w:t>
      </w:r>
    </w:p>
    <w:p>
      <w:pPr>
        <w:pStyle w:val="BodyText"/>
        <w:spacing w:line="273" w:lineRule="auto"/>
        <w:ind w:left="118" w:right="209" w:firstLine="420"/>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8"/>
          <w:w w:val="100"/>
        </w:rPr>
        <w:t>）</w:t>
      </w:r>
      <w:r>
        <w:rPr>
          <w:spacing w:val="-5"/>
          <w:w w:val="100"/>
        </w:rPr>
        <w:t>、核磁共振</w:t>
      </w:r>
      <w:r>
        <w:rPr>
          <w:spacing w:val="-5"/>
        </w:rPr>
        <w:t>检查（MRI）或正电子发射断层扫描</w:t>
      </w:r>
      <w:r>
        <w:rPr/>
        <w:t>（PET）</w:t>
      </w:r>
      <w:r>
        <w:rPr>
          <w:spacing w:val="-2"/>
        </w:rPr>
        <w:t>等影像学检查证实，且自主生活能力完全丧失，无法独</w:t>
      </w:r>
      <w:r>
        <w:rPr>
          <w:spacing w:val="-3"/>
        </w:rPr>
        <w:t>立完成六项基本日常生活活动中的三项或三项以上。</w:t>
      </w:r>
    </w:p>
    <w:p>
      <w:pPr>
        <w:spacing w:line="312" w:lineRule="exact" w:before="3"/>
        <w:ind w:left="538" w:right="5066" w:firstLine="2"/>
        <w:jc w:val="left"/>
        <w:rPr>
          <w:sz w:val="21"/>
        </w:rPr>
      </w:pPr>
      <w:r>
        <w:rPr>
          <w:rFonts w:ascii="微软雅黑" w:eastAsia="微软雅黑" w:hint="eastAsia"/>
          <w:b/>
          <w:sz w:val="21"/>
        </w:rPr>
        <w:t>神经官能症和精神疾病不在保障范围内。</w:t>
      </w:r>
      <w:r>
        <w:rPr>
          <w:sz w:val="21"/>
        </w:rPr>
        <w:t>十八、严重脑损伤</w:t>
      </w:r>
    </w:p>
    <w:p>
      <w:pPr>
        <w:pStyle w:val="BodyText"/>
        <w:spacing w:line="273" w:lineRule="auto" w:before="4"/>
        <w:ind w:left="118" w:right="209" w:firstLine="420"/>
        <w:jc w:val="both"/>
      </w:pPr>
      <w:r>
        <w:rPr>
          <w:spacing w:val="-3"/>
        </w:rPr>
        <w:t>指因头部遭受机械性外力，引起脑重要部位损伤，导致神经系统永久性的功能障碍。须由头颅</w:t>
      </w:r>
      <w:r>
        <w:rPr>
          <w:spacing w:val="-5"/>
          <w:w w:val="100"/>
        </w:rPr>
        <w:t>断层扫描</w:t>
      </w:r>
      <w:r>
        <w:rPr>
          <w:spacing w:val="-3"/>
          <w:w w:val="100"/>
        </w:rPr>
        <w:t>（</w:t>
      </w:r>
      <w:r>
        <w:rPr>
          <w:w w:val="100"/>
        </w:rPr>
        <w:t>CT</w:t>
      </w:r>
      <w:r>
        <w:rPr>
          <w:spacing w:val="-106"/>
          <w:w w:val="100"/>
        </w:rPr>
        <w:t>）</w:t>
      </w:r>
      <w:r>
        <w:rPr>
          <w:spacing w:val="-6"/>
          <w:w w:val="100"/>
        </w:rPr>
        <w:t>、核磁共振检查</w:t>
      </w:r>
      <w:r>
        <w:rPr>
          <w:spacing w:val="-3"/>
          <w:w w:val="100"/>
        </w:rPr>
        <w:t>（</w:t>
      </w:r>
      <w:r>
        <w:rPr>
          <w:w w:val="100"/>
        </w:rPr>
        <w:t>MRI</w:t>
      </w:r>
      <w:r>
        <w:rPr>
          <w:spacing w:val="-13"/>
          <w:w w:val="100"/>
        </w:rPr>
        <w:t>）</w:t>
      </w:r>
      <w:r>
        <w:rPr>
          <w:spacing w:val="-4"/>
          <w:w w:val="100"/>
        </w:rPr>
        <w:t>或正电子发射断层扫描</w:t>
      </w:r>
      <w:r>
        <w:rPr>
          <w:spacing w:val="-3"/>
          <w:w w:val="100"/>
        </w:rPr>
        <w:t>（</w:t>
      </w:r>
      <w:r>
        <w:rPr>
          <w:w w:val="100"/>
        </w:rPr>
        <w:t>PET</w:t>
      </w:r>
      <w:r>
        <w:rPr>
          <w:spacing w:val="-13"/>
          <w:w w:val="100"/>
        </w:rPr>
        <w:t>）</w:t>
      </w:r>
      <w:r>
        <w:rPr>
          <w:spacing w:val="-5"/>
          <w:w w:val="100"/>
        </w:rPr>
        <w:t>等影像学检查证实。神经系统</w:t>
      </w:r>
      <w:r>
        <w:rPr>
          <w:spacing w:val="-7"/>
        </w:rPr>
        <w:t>永久性的功能障碍，指脑损伤 </w:t>
      </w:r>
      <w:r>
        <w:rPr/>
        <w:t>180</w:t>
      </w:r>
      <w:r>
        <w:rPr>
          <w:spacing w:val="-7"/>
        </w:rPr>
        <w:t> 天后，仍遗留下列一种或一种以上障碍：</w:t>
      </w:r>
    </w:p>
    <w:p>
      <w:pPr>
        <w:pStyle w:val="BodyText"/>
      </w:pPr>
      <w:r>
        <w:rPr/>
        <w:t>（1）一肢或一肢以上肢体机能完全丧失；</w:t>
      </w:r>
    </w:p>
    <w:p>
      <w:pPr>
        <w:pStyle w:val="BodyText"/>
        <w:spacing w:before="36"/>
      </w:pPr>
      <w:r>
        <w:rPr/>
        <w:t>（2）语言能力或咀嚼吞咽能力完全丧失；</w:t>
      </w:r>
    </w:p>
    <w:p>
      <w:pPr>
        <w:pStyle w:val="BodyText"/>
        <w:spacing w:line="273" w:lineRule="auto" w:before="36"/>
        <w:ind w:right="564"/>
      </w:pPr>
      <w:r>
        <w:rPr/>
        <w:t>（3）自主生活能力完全丧失，无法独立完成六项基本日常生活活动中的三项或三项以上。十九、严重帕金森病</w:t>
      </w:r>
    </w:p>
    <w:p>
      <w:pPr>
        <w:pStyle w:val="BodyText"/>
      </w:pPr>
      <w:r>
        <w:rPr/>
        <w:t>是一种中枢神经系统的退行性疾病，临床表现为震颤麻痹、共济失调等。须满足下列全部条件：</w:t>
      </w:r>
    </w:p>
    <w:p>
      <w:pPr>
        <w:pStyle w:val="BodyText"/>
        <w:spacing w:before="37"/>
      </w:pPr>
      <w:r>
        <w:rPr/>
        <w:t>（1）药物治疗无法控制病情；</w:t>
      </w:r>
    </w:p>
    <w:p>
      <w:pPr>
        <w:spacing w:line="223" w:lineRule="auto" w:before="56"/>
        <w:ind w:left="646" w:right="565" w:hanging="108"/>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spacing w:after="0" w:line="223" w:lineRule="auto"/>
        <w:jc w:val="left"/>
        <w:rPr>
          <w:rFonts w:ascii="微软雅黑" w:eastAsia="微软雅黑" w:hint="eastAsia"/>
          <w:sz w:val="21"/>
        </w:rPr>
        <w:sectPr>
          <w:pgSz w:w="11910" w:h="16840"/>
          <w:pgMar w:header="0" w:footer="745" w:top="1080" w:bottom="940" w:left="1300" w:right="1200"/>
        </w:sectPr>
      </w:pPr>
    </w:p>
    <w:p>
      <w:pPr>
        <w:pStyle w:val="BodyText"/>
        <w:spacing w:before="22"/>
      </w:pPr>
      <w:r>
        <w:rPr/>
        <w:t>二十、严重Ⅲ度烧伤</w:t>
      </w:r>
    </w:p>
    <w:p>
      <w:pPr>
        <w:pStyle w:val="BodyText"/>
        <w:spacing w:line="273" w:lineRule="auto" w:before="37"/>
        <w:ind w:left="118" w:right="209" w:firstLine="420"/>
      </w:pPr>
      <w:r>
        <w:rPr>
          <w:spacing w:val="-8"/>
        </w:rPr>
        <w:t>指烧伤程度为Ⅲ度，且Ⅲ度烧伤的面积达到全身体表面积的 </w:t>
      </w:r>
      <w:r>
        <w:rPr/>
        <w:t>20</w:t>
      </w:r>
      <w:r>
        <w:rPr>
          <w:spacing w:val="-13"/>
        </w:rPr>
        <w:t>%或 </w:t>
      </w:r>
      <w:r>
        <w:rPr/>
        <w:t>20</w:t>
      </w:r>
      <w:r>
        <w:rPr>
          <w:spacing w:val="-7"/>
        </w:rPr>
        <w:t>%以上。体表面积根据《中</w:t>
      </w:r>
      <w:r>
        <w:rPr>
          <w:spacing w:val="-5"/>
        </w:rPr>
        <w:t>国新九分法》计算。</w:t>
      </w:r>
    </w:p>
    <w:p>
      <w:pPr>
        <w:pStyle w:val="BodyText"/>
      </w:pPr>
      <w:r>
        <w:rPr/>
        <w:t>二十一、严重原发性肺动脉高压</w:t>
      </w:r>
    </w:p>
    <w:p>
      <w:pPr>
        <w:pStyle w:val="BodyText"/>
        <w:spacing w:line="273" w:lineRule="auto" w:before="36"/>
        <w:ind w:left="118" w:right="209" w:firstLine="420"/>
        <w:jc w:val="both"/>
      </w:pPr>
      <w:r>
        <w:rPr>
          <w:spacing w:val="-3"/>
        </w:rPr>
        <w:t>指不明原因的肺动脉压力持续性增高，进行性发展而导致的慢性疾病，已经造成永久不可逆性</w:t>
      </w:r>
      <w:r>
        <w:rPr>
          <w:spacing w:val="-8"/>
        </w:rPr>
        <w:t>的体力活动能力受限，达到美国纽约心脏病学会心功能状态分级 </w:t>
      </w:r>
      <w:r>
        <w:rPr/>
        <w:t>IV</w:t>
      </w:r>
      <w:r>
        <w:rPr>
          <w:spacing w:val="-10"/>
        </w:rPr>
        <w:t> 级，且静息状态下肺动脉平均压</w:t>
      </w:r>
      <w:r>
        <w:rPr>
          <w:spacing w:val="-25"/>
        </w:rPr>
        <w:t>超过 </w:t>
      </w:r>
      <w:r>
        <w:rPr/>
        <w:t>30mmHg。</w:t>
      </w:r>
    </w:p>
    <w:p>
      <w:pPr>
        <w:pStyle w:val="BodyText"/>
      </w:pPr>
      <w:r>
        <w:rPr/>
        <w:t>二十二、严重运动神经元病</w:t>
      </w:r>
    </w:p>
    <w:p>
      <w:pPr>
        <w:pStyle w:val="BodyText"/>
        <w:spacing w:line="273" w:lineRule="auto" w:before="37"/>
        <w:ind w:left="118" w:right="248"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pPr>
      <w:r>
        <w:rPr/>
        <w:t>二十三、语言能力丧失</w:t>
      </w:r>
    </w:p>
    <w:p>
      <w:pPr>
        <w:pStyle w:val="BodyText"/>
        <w:spacing w:line="273" w:lineRule="auto" w:before="36"/>
        <w:ind w:left="118" w:right="209" w:firstLine="420"/>
      </w:pPr>
      <w:r>
        <w:rPr>
          <w:spacing w:val="-6"/>
        </w:rPr>
        <w:t>指因疾病或意外伤害导致完全丧失语言能力，经过积极治疗至少 </w:t>
      </w:r>
      <w:r>
        <w:rPr/>
        <w:t>12</w:t>
      </w:r>
      <w:r>
        <w:rPr>
          <w:spacing w:val="-24"/>
        </w:rPr>
        <w:t> 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spacing w:line="312" w:lineRule="exact" w:before="3"/>
        <w:ind w:left="538" w:right="4014" w:firstLine="2"/>
        <w:jc w:val="left"/>
        <w:rPr>
          <w:sz w:val="21"/>
        </w:rPr>
      </w:pPr>
      <w:r>
        <w:rPr>
          <w:rFonts w:ascii="微软雅黑" w:eastAsia="微软雅黑" w:hint="eastAsia"/>
          <w:b/>
          <w:sz w:val="21"/>
        </w:rPr>
        <w:t>精神心理因素所致的语言能力丧失不在保障范围内。</w:t>
      </w:r>
      <w:r>
        <w:rPr>
          <w:sz w:val="21"/>
        </w:rPr>
        <w:t>二十四、重型再生障碍性贫血</w:t>
      </w:r>
    </w:p>
    <w:p>
      <w:pPr>
        <w:pStyle w:val="BodyText"/>
        <w:spacing w:line="273" w:lineRule="auto" w:before="3"/>
        <w:ind w:left="118" w:right="213" w:firstLine="420"/>
      </w:pPr>
      <w:r>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37"/>
      </w:pPr>
      <w:r>
        <w:rPr/>
        <w:t>（2）外周血象须具备以下三项条件：</w:t>
      </w:r>
    </w:p>
    <w:p>
      <w:pPr>
        <w:pStyle w:val="BodyText"/>
        <w:spacing w:before="37"/>
      </w:pPr>
      <w:r>
        <w:rPr/>
        <w:t>① 中性粒细胞绝对值≤0.5×109/L ；</w:t>
      </w:r>
    </w:p>
    <w:p>
      <w:pPr>
        <w:pStyle w:val="BodyText"/>
        <w:spacing w:before="37"/>
      </w:pPr>
      <w:r>
        <w:rPr/>
        <w:t>② 网织红细胞＜1%；</w:t>
      </w:r>
    </w:p>
    <w:p>
      <w:pPr>
        <w:pStyle w:val="BodyText"/>
        <w:spacing w:line="273" w:lineRule="auto" w:before="37"/>
        <w:ind w:right="5922"/>
      </w:pPr>
      <w:r>
        <w:rPr/>
        <w:t>③ 血小板绝对值≤20×109/L。二十五、主动脉手术</w:t>
      </w:r>
    </w:p>
    <w:p>
      <w:pPr>
        <w:pStyle w:val="BodyText"/>
        <w:spacing w:line="273" w:lineRule="auto"/>
        <w:ind w:left="118" w:right="209" w:firstLine="420"/>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spacing w:line="312" w:lineRule="exact" w:before="3"/>
        <w:ind w:left="538" w:right="5488" w:firstLine="2"/>
        <w:jc w:val="left"/>
        <w:rPr>
          <w:sz w:val="21"/>
        </w:rPr>
      </w:pPr>
      <w:r>
        <w:rPr>
          <w:rFonts w:ascii="微软雅黑" w:eastAsia="微软雅黑" w:hint="eastAsia"/>
          <w:b/>
          <w:sz w:val="21"/>
        </w:rPr>
        <w:t>动脉内血管成形术不在保障范围内。</w:t>
      </w:r>
      <w:r>
        <w:rPr>
          <w:sz w:val="21"/>
        </w:rPr>
        <w:t>二十六、重度慢性呼吸功能衰竭</w:t>
      </w:r>
    </w:p>
    <w:p>
      <w:pPr>
        <w:pStyle w:val="BodyText"/>
        <w:spacing w:before="4"/>
      </w:pPr>
      <w:r>
        <w:rPr/>
        <w:t>指患有终末期肺病而出现慢性呼吸功能衰竭，须满足下列全部条件：</w:t>
      </w:r>
    </w:p>
    <w:p>
      <w:pPr>
        <w:pStyle w:val="BodyText"/>
        <w:spacing w:before="37"/>
      </w:pPr>
      <w:r>
        <w:rPr/>
        <w:t>（1）肺功能测试其FEV1 持续低于1 升；</w:t>
      </w:r>
    </w:p>
    <w:p>
      <w:pPr>
        <w:pStyle w:val="BodyText"/>
        <w:spacing w:before="37"/>
      </w:pPr>
      <w:r>
        <w:rPr/>
        <w:t>（2）病人血氧不足必须持续地进行输氧治疗；</w:t>
      </w:r>
    </w:p>
    <w:p>
      <w:pPr>
        <w:pStyle w:val="BodyText"/>
        <w:spacing w:before="37"/>
      </w:pPr>
      <w:r>
        <w:rPr/>
        <w:t>（3）动脉血气分析氧分压低于或等于55mmHg；</w:t>
      </w:r>
    </w:p>
    <w:p>
      <w:pPr>
        <w:pStyle w:val="BodyText"/>
        <w:spacing w:line="273" w:lineRule="auto" w:before="37"/>
        <w:ind w:right="1193"/>
      </w:pPr>
      <w:r>
        <w:rPr/>
        <w:t>（4）动脉血气分析结果符合重度慢性呼吸衰竭诊断标准，静止时也感到呼吸困难。二十七、严重肌营养不良症</w:t>
      </w:r>
    </w:p>
    <w:p>
      <w:pPr>
        <w:pStyle w:val="BodyText"/>
      </w:pPr>
      <w:r>
        <w:rPr/>
        <w:t>须满足下列全部条件：</w:t>
      </w:r>
    </w:p>
    <w:p>
      <w:pPr>
        <w:pStyle w:val="BodyText"/>
        <w:spacing w:before="36"/>
      </w:pPr>
      <w:r>
        <w:rPr/>
        <w:t>（1）临床表现包括：无感觉神经紊乱，正常脑脊液及腱反射的轻微减退；</w:t>
      </w:r>
    </w:p>
    <w:p>
      <w:pPr>
        <w:pStyle w:val="BodyText"/>
        <w:spacing w:before="36"/>
      </w:pPr>
      <w:r>
        <w:rPr/>
        <w:t>（2）典型的肌电图；</w:t>
      </w:r>
    </w:p>
    <w:p>
      <w:pPr>
        <w:pStyle w:val="BodyText"/>
        <w:spacing w:line="273" w:lineRule="auto" w:before="37"/>
        <w:ind w:right="5188"/>
      </w:pPr>
      <w:r>
        <w:rPr/>
        <w:t>（3）临床的异常表现已被肌活检确诊。二十八、严重多发性硬化症</w:t>
      </w:r>
    </w:p>
    <w:p>
      <w:pPr>
        <w:pStyle w:val="BodyText"/>
        <w:spacing w:line="273" w:lineRule="auto"/>
        <w:ind w:left="118" w:right="209" w:firstLine="420"/>
        <w:jc w:val="both"/>
      </w:pPr>
      <w:r>
        <w:rPr>
          <w:spacing w:val="-7"/>
        </w:rPr>
        <w:t>为中枢神经系统白质多灶性脱髓鞘病变，病变有时累及灰质。必须明确诊断并由核磁共振(</w:t>
      </w:r>
      <w:r>
        <w:rPr/>
        <w:t>MRI) </w:t>
      </w:r>
      <w:r>
        <w:rPr>
          <w:spacing w:val="-9"/>
        </w:rPr>
        <w:t>等影像学检验证实，而且已经造成永久的神经系统功能损害，导致被保险人持续</w:t>
      </w:r>
      <w:r>
        <w:rPr/>
        <w:t>180</w:t>
      </w:r>
      <w:r>
        <w:rPr>
          <w:spacing w:val="-3"/>
        </w:rPr>
        <w:t>天无法独立完成下列基本日常生活活动：</w:t>
      </w:r>
    </w:p>
    <w:p>
      <w:pPr>
        <w:pStyle w:val="BodyText"/>
      </w:pPr>
      <w:r>
        <w:rPr/>
        <w:t>(1)移动：自己从一个房间到另一个房间；或者</w:t>
      </w:r>
    </w:p>
    <w:p>
      <w:pPr>
        <w:pStyle w:val="BodyText"/>
        <w:spacing w:line="273" w:lineRule="auto" w:before="37"/>
        <w:ind w:right="3716"/>
      </w:pPr>
      <w:r>
        <w:rPr/>
        <w:t>(2)进食：自己从已准备好的碗或碟中取食物放入口中。二十九、脊髓灰质炎后遗症</w:t>
      </w:r>
    </w:p>
    <w:p>
      <w:pPr>
        <w:pStyle w:val="BodyText"/>
      </w:pPr>
      <w:r>
        <w:rPr/>
        <w:t>指因脊髓灰质炎病毒的感染所造成的麻痹性疾病，合并有运动功能障碍或呼吸肌肉无力的表征。</w:t>
      </w:r>
    </w:p>
    <w:p>
      <w:pPr>
        <w:spacing w:after="0"/>
        <w:sectPr>
          <w:pgSz w:w="11910" w:h="16840"/>
          <w:pgMar w:header="0" w:footer="745" w:top="1080" w:bottom="940" w:left="1300" w:right="1200"/>
        </w:sectPr>
      </w:pPr>
    </w:p>
    <w:p>
      <w:pPr>
        <w:spacing w:line="223" w:lineRule="auto" w:before="41"/>
        <w:ind w:left="541" w:right="2559" w:hanging="423"/>
        <w:jc w:val="left"/>
        <w:rPr>
          <w:rFonts w:ascii="微软雅黑" w:eastAsia="微软雅黑" w:hint="eastAsia"/>
          <w:b/>
          <w:sz w:val="21"/>
        </w:rPr>
      </w:pPr>
      <w:r>
        <w:rPr>
          <w:sz w:val="21"/>
        </w:rPr>
        <w:t>经确诊及持续治疗三个月后仍残留运动功能障碍或呼吸肌肉无力的表征。</w:t>
      </w:r>
      <w:r>
        <w:rPr>
          <w:rFonts w:ascii="微软雅黑" w:eastAsia="微软雅黑" w:hint="eastAsia"/>
          <w:b/>
          <w:sz w:val="21"/>
        </w:rPr>
        <w:t>但未造成麻痹的案例及其他原因所造成的麻痹不包括在内。</w:t>
      </w:r>
    </w:p>
    <w:p>
      <w:pPr>
        <w:pStyle w:val="BodyText"/>
        <w:spacing w:line="273" w:lineRule="auto" w:before="12"/>
        <w:ind w:left="118" w:right="248" w:firstLine="420"/>
      </w:pPr>
      <w:r>
        <w:rPr/>
        <w:t>前述所称“运动功能障碍”，指经确诊被保险人无法独立完成六项基本日常生活活动中的三项或三项以上。</w:t>
      </w:r>
    </w:p>
    <w:p>
      <w:pPr>
        <w:pStyle w:val="BodyText"/>
        <w:spacing w:line="262" w:lineRule="exact"/>
      </w:pPr>
      <w:r>
        <w:rPr/>
        <w:t>三十、严重心肌病</w:t>
      </w:r>
    </w:p>
    <w:p>
      <w:pPr>
        <w:pStyle w:val="BodyText"/>
        <w:spacing w:line="261" w:lineRule="auto" w:before="0"/>
        <w:ind w:left="118" w:right="209" w:firstLine="420"/>
        <w:jc w:val="both"/>
      </w:pPr>
      <w:r>
        <w:rPr>
          <w:spacing w:val="-3"/>
        </w:rPr>
        <w:t>指经国务院卫生部门评审确定的属于</w:t>
      </w:r>
      <w:r>
        <w:rPr>
          <w:rFonts w:ascii="微软雅黑" w:eastAsia="微软雅黑" w:hint="eastAsia"/>
          <w:b/>
        </w:rPr>
        <w:t>二级（含）</w:t>
      </w:r>
      <w:r>
        <w:rPr>
          <w:rFonts w:ascii="微软雅黑" w:eastAsia="微软雅黑" w:hint="eastAsia"/>
          <w:b/>
          <w:spacing w:val="-2"/>
        </w:rPr>
        <w:t>以上的医院</w:t>
      </w:r>
      <w:r>
        <w:rPr>
          <w:spacing w:val="-3"/>
        </w:rPr>
        <w:t>心脏专科医师确诊并有包括超声心动图在内的相关检查证实。被保险人因原发性心肌病而出现的心室功能障碍而使其出现明显的心功</w:t>
      </w:r>
      <w:r>
        <w:rPr>
          <w:spacing w:val="-8"/>
        </w:rPr>
        <w:t>能衰竭，心功能衰竭程度至少达到美国纽约心脏病学会心功能状态分级</w:t>
      </w:r>
      <w:r>
        <w:rPr/>
        <w:t>IV</w:t>
      </w:r>
      <w:r>
        <w:rPr>
          <w:spacing w:val="-3"/>
        </w:rPr>
        <w:t> 级。本保障范围内的心肌病包括扩张型心肌病、肥厚型心肌病及限制型心肌病。</w:t>
      </w:r>
    </w:p>
    <w:p>
      <w:pPr>
        <w:spacing w:line="312" w:lineRule="exact" w:before="27"/>
        <w:ind w:left="538" w:right="217" w:firstLine="2"/>
        <w:jc w:val="left"/>
        <w:rPr>
          <w:sz w:val="21"/>
        </w:rPr>
      </w:pPr>
      <w:r>
        <w:rPr>
          <w:rFonts w:ascii="微软雅黑" w:eastAsia="微软雅黑" w:hint="eastAsia"/>
          <w:b/>
          <w:sz w:val="21"/>
        </w:rPr>
        <w:t>继发于全身性疾病或其它器官系统疾病或酗酒或滥用药物引起的心肌病不在保险责任范围内。</w:t>
      </w:r>
      <w:r>
        <w:rPr>
          <w:sz w:val="21"/>
        </w:rPr>
        <w:t>三十一、重度I型糖尿病</w:t>
      </w:r>
    </w:p>
    <w:p>
      <w:pPr>
        <w:pStyle w:val="BodyText"/>
        <w:spacing w:line="273" w:lineRule="auto" w:before="4"/>
        <w:ind w:left="118" w:right="209" w:firstLine="420"/>
        <w:jc w:val="both"/>
      </w:pPr>
      <w:r>
        <w:rPr>
          <w:spacing w:val="-3"/>
        </w:rPr>
        <w:t>指负责产生胰岛素的胰岛</w:t>
      </w:r>
      <w:r>
        <w:rPr/>
        <w:t>β</w:t>
      </w:r>
      <w:r>
        <w:rPr>
          <w:spacing w:val="-3"/>
        </w:rPr>
        <w:t>细胞遭到破坏或损害，胰岛素分泌绝对不足引起的慢性血糖升高， 并持续性依赖外源性胰岛素维持</w:t>
      </w:r>
      <w:r>
        <w:rPr/>
        <w:t>180</w:t>
      </w:r>
      <w:r>
        <w:rPr>
          <w:spacing w:val="-17"/>
        </w:rPr>
        <w:t>天以上。须经血胰岛素测定、血</w:t>
      </w:r>
      <w:r>
        <w:rPr/>
        <w:t>C</w:t>
      </w:r>
      <w:r>
        <w:rPr>
          <w:spacing w:val="-3"/>
        </w:rPr>
        <w:t>肽测定或尿</w:t>
      </w:r>
      <w:r>
        <w:rPr/>
        <w:t>C</w:t>
      </w:r>
      <w:r>
        <w:rPr>
          <w:spacing w:val="-14"/>
        </w:rPr>
        <w:t>肽测定，结果异常， </w:t>
      </w:r>
      <w:r>
        <w:rPr>
          <w:spacing w:val="-7"/>
        </w:rPr>
        <w:t>同时须满足下列条件之一：</w:t>
      </w:r>
    </w:p>
    <w:p>
      <w:pPr>
        <w:pStyle w:val="BodyText"/>
        <w:spacing w:before="8"/>
      </w:pPr>
      <w:r>
        <w:rPr/>
        <w:t>（1）出现视网膜增殖性病变；</w:t>
      </w:r>
    </w:p>
    <w:p>
      <w:pPr>
        <w:pStyle w:val="BodyText"/>
        <w:spacing w:before="36"/>
      </w:pPr>
      <w:r>
        <w:rPr/>
        <w:t>（2）因坏疽需切除一只或以上脚趾；</w:t>
      </w:r>
    </w:p>
    <w:p>
      <w:pPr>
        <w:pStyle w:val="BodyText"/>
        <w:spacing w:before="36"/>
      </w:pPr>
      <w:r>
        <w:rPr/>
        <w:t>（3）肾透析。</w:t>
      </w:r>
    </w:p>
    <w:p>
      <w:pPr>
        <w:pStyle w:val="BodyText"/>
        <w:spacing w:before="36"/>
      </w:pPr>
      <w:r>
        <w:rPr/>
        <w:t>三十二、严重类风湿性关节炎</w:t>
      </w:r>
    </w:p>
    <w:p>
      <w:pPr>
        <w:pStyle w:val="BodyText"/>
        <w:spacing w:before="36"/>
      </w:pPr>
      <w:r>
        <w:rPr/>
        <w:t>指广泛的关节损坏，须满足下列全部条件：</w:t>
      </w:r>
    </w:p>
    <w:p>
      <w:pPr>
        <w:pStyle w:val="BodyText"/>
        <w:spacing w:before="36"/>
      </w:pPr>
      <w:r>
        <w:rPr/>
        <w:t>（1）手、腕、肘、颈椎、膝、踝、或足部跖趾关节中存在三个或三个以上关节的畸形；</w:t>
      </w:r>
    </w:p>
    <w:p>
      <w:pPr>
        <w:pStyle w:val="BodyText"/>
        <w:spacing w:before="36"/>
      </w:pPr>
      <w:r>
        <w:rPr/>
        <w:t>（2）自主生活能力完全丧失，无法独立完成六项基本日常生活活动中的三项或三项以上；</w:t>
      </w:r>
    </w:p>
    <w:p>
      <w:pPr>
        <w:pStyle w:val="BodyText"/>
        <w:spacing w:line="273" w:lineRule="auto" w:before="36"/>
        <w:ind w:right="4350"/>
      </w:pPr>
      <w:r>
        <w:rPr/>
        <w:t>（3）上述畸形及功能异常须持续至少达180 天。三十三、严重溃疡性结肠炎</w:t>
      </w:r>
    </w:p>
    <w:p>
      <w:pPr>
        <w:pStyle w:val="BodyText"/>
        <w:spacing w:line="273" w:lineRule="auto"/>
        <w:ind w:left="118" w:right="248" w:firstLine="42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pPr>
      <w:r>
        <w:rPr/>
        <w:t>三十四、严重坏死性筋膜炎</w:t>
      </w:r>
    </w:p>
    <w:p>
      <w:pPr>
        <w:pStyle w:val="BodyText"/>
        <w:spacing w:before="37"/>
      </w:pPr>
      <w:r>
        <w:rPr/>
        <w:t>严重坏死性筋膜炎的诊断须同时符合下列要求：</w:t>
      </w:r>
    </w:p>
    <w:p>
      <w:pPr>
        <w:pStyle w:val="BodyText"/>
        <w:spacing w:before="37"/>
      </w:pPr>
      <w:r>
        <w:rPr/>
        <w:t>（1）符合坏死性筋膜炎的一般临床表现；</w:t>
      </w:r>
    </w:p>
    <w:p>
      <w:pPr>
        <w:pStyle w:val="BodyText"/>
        <w:spacing w:before="37"/>
      </w:pPr>
      <w:r>
        <w:rPr/>
        <w:t>（2）细菌培养检出致病菌；</w:t>
      </w:r>
    </w:p>
    <w:p>
      <w:pPr>
        <w:pStyle w:val="BodyText"/>
        <w:spacing w:line="223" w:lineRule="auto" w:before="56"/>
        <w:ind w:left="118" w:right="111" w:firstLine="420"/>
      </w:pPr>
      <w:r>
        <w:rPr/>
        <w:t>（3）出现广泛性皮下组织、脂肪、血管及深层筋膜进行性坏死，并实际实施了大型扩创手术， 切除坏死组织，包括坏死的皮下脂肪组织及深层筋膜，</w:t>
      </w:r>
      <w:r>
        <w:rPr>
          <w:rFonts w:ascii="微软雅黑" w:eastAsia="微软雅黑" w:hint="eastAsia"/>
          <w:b/>
        </w:rPr>
        <w:t>清创术不属于保险责任范围</w:t>
      </w:r>
      <w:r>
        <w:rPr/>
        <w:t>。</w:t>
      </w:r>
    </w:p>
    <w:p>
      <w:pPr>
        <w:pStyle w:val="BodyText"/>
        <w:spacing w:before="11"/>
      </w:pPr>
      <w:r>
        <w:rPr/>
        <w:t>三十五、严重重症肌无力</w:t>
      </w:r>
    </w:p>
    <w:p>
      <w:pPr>
        <w:pStyle w:val="BodyText"/>
        <w:spacing w:line="273" w:lineRule="auto" w:before="36"/>
        <w:ind w:left="118" w:right="248" w:firstLine="420"/>
        <w:jc w:val="both"/>
      </w:pPr>
      <w:r>
        <w:rPr/>
        <w:t>严重重症肌无力是一种神经肌肉接头传递障碍所致的疾病，表现为局部或全身骨骼肌（特别是眼外肌）极易疲劳。疾病可以累及呼吸肌、上肢或下肢的近端肌群或全身肌肉，必须满足下列全部条件：</w:t>
      </w:r>
    </w:p>
    <w:p>
      <w:pPr>
        <w:pStyle w:val="BodyText"/>
      </w:pPr>
      <w:r>
        <w:rPr/>
        <w:t>（1）经药物治疗或胸腺切除治疗一年以上仍无法控制病情；</w:t>
      </w:r>
    </w:p>
    <w:p>
      <w:pPr>
        <w:pStyle w:val="BodyText"/>
        <w:spacing w:line="273" w:lineRule="auto" w:before="37"/>
        <w:ind w:right="565"/>
      </w:pPr>
      <w:r>
        <w:rPr/>
        <w:t>（2）自主生活能力完全丧失，无法独立完成六项基本日常生活活动中的三项或三项以上。三十六、严重系统性硬皮病</w:t>
      </w:r>
    </w:p>
    <w:p>
      <w:pPr>
        <w:pStyle w:val="BodyText"/>
      </w:pPr>
      <w:r>
        <w:rPr/>
        <w:t>严重系统性硬皮病须累及内脏器官。本病须经专科医师明确诊断，并须满足下列至少一项条件：</w:t>
      </w:r>
    </w:p>
    <w:p>
      <w:pPr>
        <w:pStyle w:val="BodyText"/>
        <w:spacing w:before="37"/>
      </w:pPr>
      <w:r>
        <w:rPr/>
        <w:t>（1）肺脏：肺部病变进而发展为肺间质纤维化和肺动脉高压；</w:t>
      </w:r>
    </w:p>
    <w:p>
      <w:pPr>
        <w:pStyle w:val="BodyText"/>
        <w:spacing w:before="37"/>
      </w:pPr>
      <w:r>
        <w:rPr/>
        <w:t>（2）心脏：心功能受损达到美国纽约心脏病学会心功能状态分级IV级；</w:t>
      </w:r>
    </w:p>
    <w:p>
      <w:pPr>
        <w:spacing w:line="223" w:lineRule="auto" w:before="56"/>
        <w:ind w:left="541" w:right="2456" w:hanging="3"/>
        <w:jc w:val="left"/>
        <w:rPr>
          <w:rFonts w:ascii="微软雅黑" w:eastAsia="微软雅黑" w:hint="eastAsia"/>
          <w:b/>
          <w:sz w:val="21"/>
        </w:rPr>
      </w:pPr>
      <w:r>
        <w:rPr>
          <w:sz w:val="21"/>
        </w:rPr>
        <w:t>（3）肾脏：肾脏受损导致双肾功能慢性不可逆衰竭，达到尿毒症期。</w:t>
      </w:r>
      <w:r>
        <w:rPr>
          <w:rFonts w:ascii="微软雅黑" w:eastAsia="微软雅黑" w:hint="eastAsia"/>
          <w:b/>
          <w:sz w:val="21"/>
        </w:rPr>
        <w:t>下列疾病不在本险种保障范围内：</w:t>
      </w:r>
    </w:p>
    <w:p>
      <w:pPr>
        <w:pStyle w:val="Heading2"/>
        <w:spacing w:line="287" w:lineRule="exact"/>
        <w:ind w:left="541"/>
      </w:pPr>
      <w:r>
        <w:rPr/>
        <w:t>（1）局部性硬皮病（如：带状硬皮病、硬斑病）；</w:t>
      </w:r>
    </w:p>
    <w:p>
      <w:pPr>
        <w:spacing w:line="337" w:lineRule="exact" w:before="0"/>
        <w:ind w:left="541" w:right="0" w:firstLine="0"/>
        <w:jc w:val="left"/>
        <w:rPr>
          <w:rFonts w:ascii="微软雅黑" w:eastAsia="微软雅黑" w:hint="eastAsia"/>
          <w:b/>
          <w:sz w:val="21"/>
        </w:rPr>
      </w:pPr>
      <w:r>
        <w:rPr>
          <w:rFonts w:ascii="微软雅黑" w:eastAsia="微软雅黑" w:hint="eastAsia"/>
          <w:b/>
          <w:w w:val="95"/>
          <w:sz w:val="21"/>
        </w:rPr>
        <w:t>（2）嗜酸性粒细胞性筋膜炎；</w:t>
      </w:r>
    </w:p>
    <w:p>
      <w:pPr>
        <w:spacing w:after="0" w:line="337" w:lineRule="exact"/>
        <w:jc w:val="left"/>
        <w:rPr>
          <w:rFonts w:ascii="微软雅黑" w:eastAsia="微软雅黑" w:hint="eastAsia"/>
          <w:sz w:val="21"/>
        </w:rPr>
        <w:sectPr>
          <w:pgSz w:w="11910" w:h="16840"/>
          <w:pgMar w:header="0" w:footer="745" w:top="1080" w:bottom="940" w:left="1300" w:right="1200"/>
        </w:sectPr>
      </w:pPr>
    </w:p>
    <w:p>
      <w:pPr>
        <w:spacing w:line="322" w:lineRule="exact" w:before="0"/>
        <w:ind w:left="541" w:right="0" w:firstLine="0"/>
        <w:jc w:val="left"/>
        <w:rPr>
          <w:rFonts w:ascii="微软雅黑" w:eastAsia="微软雅黑" w:hint="eastAsia"/>
          <w:b/>
          <w:sz w:val="21"/>
        </w:rPr>
      </w:pPr>
      <w:r>
        <w:rPr>
          <w:rFonts w:ascii="微软雅黑" w:eastAsia="微软雅黑" w:hint="eastAsia"/>
          <w:b/>
          <w:w w:val="95"/>
          <w:sz w:val="21"/>
        </w:rPr>
        <w:t>（3）CREST 综合征。</w:t>
      </w:r>
    </w:p>
    <w:p>
      <w:pPr>
        <w:pStyle w:val="BodyText"/>
        <w:spacing w:before="11"/>
      </w:pPr>
      <w:r>
        <w:rPr/>
        <w:t>三十七、严重原发性硬化性胆管炎</w:t>
      </w:r>
    </w:p>
    <w:p>
      <w:pPr>
        <w:pStyle w:val="BodyText"/>
        <w:spacing w:line="273" w:lineRule="auto" w:before="37"/>
        <w:ind w:left="118" w:right="148" w:firstLine="420"/>
      </w:pPr>
      <w:r>
        <w:rPr/>
        <w:t>指一种胆汁淤积综合征，其特征是肝内、肝外胆道因纤维化性炎症逐渐狭窄，并最终导致完全阻塞而发展为肝硬化。本病须满足下列全部条件：</w:t>
      </w:r>
    </w:p>
    <w:p>
      <w:pPr>
        <w:pStyle w:val="ListParagraph"/>
        <w:numPr>
          <w:ilvl w:val="0"/>
          <w:numId w:val="7"/>
        </w:numPr>
        <w:tabs>
          <w:tab w:pos="1170" w:val="left" w:leader="none"/>
        </w:tabs>
        <w:spacing w:line="240" w:lineRule="auto" w:before="8" w:after="0"/>
        <w:ind w:left="1170" w:right="0" w:hanging="632"/>
        <w:jc w:val="left"/>
        <w:rPr>
          <w:sz w:val="21"/>
        </w:rPr>
      </w:pPr>
      <w:r>
        <w:rPr>
          <w:spacing w:val="-3"/>
          <w:sz w:val="21"/>
        </w:rPr>
        <w:t>总胆红素和直接胆红素同时升高，血清</w:t>
      </w:r>
      <w:r>
        <w:rPr>
          <w:sz w:val="21"/>
        </w:rPr>
        <w:t>ALP&gt;200U/L；</w:t>
      </w:r>
    </w:p>
    <w:p>
      <w:pPr>
        <w:pStyle w:val="ListParagraph"/>
        <w:numPr>
          <w:ilvl w:val="0"/>
          <w:numId w:val="7"/>
        </w:numPr>
        <w:tabs>
          <w:tab w:pos="1170" w:val="left" w:leader="none"/>
        </w:tabs>
        <w:spacing w:line="240" w:lineRule="auto" w:before="37" w:after="0"/>
        <w:ind w:left="1170" w:right="0" w:hanging="632"/>
        <w:jc w:val="left"/>
        <w:rPr>
          <w:sz w:val="21"/>
        </w:rPr>
      </w:pPr>
      <w:r>
        <w:rPr>
          <w:spacing w:val="-3"/>
          <w:sz w:val="21"/>
        </w:rPr>
        <w:t>持续性黄疸病史；</w:t>
      </w:r>
    </w:p>
    <w:p>
      <w:pPr>
        <w:pStyle w:val="ListParagraph"/>
        <w:numPr>
          <w:ilvl w:val="0"/>
          <w:numId w:val="7"/>
        </w:numPr>
        <w:tabs>
          <w:tab w:pos="1170" w:val="left" w:leader="none"/>
        </w:tabs>
        <w:spacing w:line="240" w:lineRule="auto" w:before="37" w:after="0"/>
        <w:ind w:left="1170" w:right="0" w:hanging="632"/>
        <w:jc w:val="left"/>
        <w:rPr>
          <w:sz w:val="21"/>
        </w:rPr>
      </w:pPr>
      <w:r>
        <w:rPr>
          <w:spacing w:val="-3"/>
          <w:sz w:val="21"/>
        </w:rPr>
        <w:t>出现胆汁性肝硬化或门脉高压；</w:t>
      </w:r>
    </w:p>
    <w:p>
      <w:pPr>
        <w:pStyle w:val="ListParagraph"/>
        <w:numPr>
          <w:ilvl w:val="0"/>
          <w:numId w:val="7"/>
        </w:numPr>
        <w:tabs>
          <w:tab w:pos="1170" w:val="left" w:leader="none"/>
        </w:tabs>
        <w:spacing w:line="262" w:lineRule="exact" w:before="37" w:after="0"/>
        <w:ind w:left="1170" w:right="0" w:hanging="632"/>
        <w:jc w:val="left"/>
        <w:rPr>
          <w:sz w:val="21"/>
        </w:rPr>
      </w:pPr>
      <w:r>
        <w:rPr>
          <w:spacing w:val="-3"/>
          <w:sz w:val="21"/>
        </w:rPr>
        <w:t>经内镜逆行胰胆管造影等影像学检查确诊。</w:t>
      </w:r>
    </w:p>
    <w:p>
      <w:pPr>
        <w:spacing w:line="247" w:lineRule="auto" w:before="0"/>
        <w:ind w:left="538" w:right="3070" w:firstLine="2"/>
        <w:jc w:val="left"/>
        <w:rPr>
          <w:sz w:val="21"/>
        </w:rPr>
      </w:pPr>
      <w:r>
        <w:rPr>
          <w:rFonts w:ascii="微软雅黑" w:eastAsia="微软雅黑" w:hint="eastAsia"/>
          <w:b/>
          <w:sz w:val="21"/>
        </w:rPr>
        <w:t>因肿瘤或胆管损伤等继发性的硬化性胆管炎不在保障范围内。</w:t>
      </w:r>
      <w:r>
        <w:rPr>
          <w:sz w:val="21"/>
        </w:rPr>
        <w:t>三十八、严重克隆病伴肠梗阻或肠穿孔</w:t>
      </w:r>
    </w:p>
    <w:p>
      <w:pPr>
        <w:pStyle w:val="BodyText"/>
        <w:spacing w:line="273" w:lineRule="auto" w:before="43"/>
        <w:ind w:left="118" w:right="148" w:firstLine="420"/>
      </w:pPr>
      <w:r>
        <w:rPr/>
        <w:t>诊断必须由病理检查结果证实，具有特征性的克隆病病理组织学变化。被保险人所患的克隆病必须已经造成瘘管形成并伴有肠梗阻或肠穿孔。</w:t>
      </w:r>
    </w:p>
    <w:p>
      <w:pPr>
        <w:pStyle w:val="BodyText"/>
      </w:pPr>
      <w:r>
        <w:rPr/>
        <w:t>三十九、急性坏死性胰腺炎开腹手术</w:t>
      </w:r>
    </w:p>
    <w:p>
      <w:pPr>
        <w:pStyle w:val="BodyText"/>
        <w:spacing w:line="273" w:lineRule="auto" w:before="37"/>
        <w:ind w:left="118" w:right="109" w:firstLine="420"/>
      </w:pPr>
      <w:r>
        <w:rPr>
          <w:spacing w:val="-5"/>
        </w:rPr>
        <w:t>指由专科医生确诊为急性出血坏死性胰腺炎,为治疗急性坏死性胰腺炎，实际实施了开腹进行的</w:t>
      </w:r>
      <w:r>
        <w:rPr>
          <w:spacing w:val="-4"/>
        </w:rPr>
        <w:t>坏死组织清除术、病灶切除术或胰腺部分切除术。</w:t>
      </w:r>
    </w:p>
    <w:p>
      <w:pPr>
        <w:spacing w:line="312" w:lineRule="exact" w:before="3"/>
        <w:ind w:left="538" w:right="2015" w:firstLine="2"/>
        <w:jc w:val="left"/>
        <w:rPr>
          <w:sz w:val="21"/>
        </w:rPr>
      </w:pPr>
      <w:r>
        <w:rPr>
          <w:rFonts w:ascii="微软雅黑" w:eastAsia="微软雅黑" w:hint="eastAsia"/>
          <w:b/>
          <w:sz w:val="21"/>
        </w:rPr>
        <w:t>为治疗因酒精中毒引起的急性坏死性胰腺炎的开腹手术不在保障范围内。</w:t>
      </w:r>
      <w:r>
        <w:rPr>
          <w:sz w:val="21"/>
        </w:rPr>
        <w:t>四十、破裂脑动脉瘤夹闭手术</w:t>
      </w:r>
    </w:p>
    <w:p>
      <w:pPr>
        <w:pStyle w:val="BodyText"/>
        <w:spacing w:line="273" w:lineRule="auto" w:before="4"/>
        <w:ind w:left="118" w:right="148" w:firstLine="420"/>
      </w:pPr>
      <w:r>
        <w:rPr/>
        <w:t>指因脑动脉瘤破裂造成蛛网膜下腔出血，被保险人实际接受了在全麻下进行的开颅动脉瘤夹闭手术。</w:t>
      </w:r>
    </w:p>
    <w:p>
      <w:pPr>
        <w:pStyle w:val="Heading2"/>
        <w:spacing w:line="206" w:lineRule="auto"/>
        <w:ind w:right="110" w:firstLine="422"/>
      </w:pPr>
      <w:r>
        <w:rPr/>
        <w:t>脑动脉瘤（未破裂）预防性手术、颅骨打孔手术、动脉瘤栓塞手术、血管内手术及其他颅脑手术不在本保障范围内。</w:t>
      </w:r>
    </w:p>
    <w:p>
      <w:pPr>
        <w:pStyle w:val="BodyText"/>
        <w:spacing w:before="3"/>
        <w:ind w:left="0"/>
        <w:rPr>
          <w:rFonts w:ascii="微软雅黑"/>
          <w:b/>
          <w:sz w:val="25"/>
        </w:rPr>
      </w:pPr>
      <w:r>
        <w:rPr/>
        <w:pict>
          <v:line style="position:absolute;mso-position-horizontal-relative:page;mso-position-vertical-relative:paragraph;z-index:1168;mso-wrap-distance-left:0;mso-wrap-distance-right:0" from="70.944pt,23.966921pt" to="214.964pt,23.966921pt" stroked="true" strokeweight=".48001pt" strokecolor="#000000">
            <v:stroke dashstyle="solid"/>
            <w10:wrap type="topAndBottom"/>
          </v:line>
        </w:pict>
      </w:r>
    </w:p>
    <w:p>
      <w:pPr>
        <w:spacing w:line="291" w:lineRule="exact" w:before="0"/>
        <w:ind w:left="118" w:right="0" w:firstLine="0"/>
        <w:jc w:val="left"/>
        <w:rPr>
          <w:rFonts w:ascii="微软雅黑" w:eastAsia="微软雅黑" w:hint="eastAsia"/>
          <w:b/>
          <w:sz w:val="21"/>
        </w:rPr>
      </w:pPr>
      <w:r>
        <w:rPr>
          <w:rFonts w:ascii="微软雅黑" w:eastAsia="微软雅黑" w:hint="eastAsia"/>
          <w:b/>
          <w:sz w:val="21"/>
        </w:rPr>
        <w:t>释义</w:t>
      </w:r>
    </w:p>
    <w:p>
      <w:pPr>
        <w:pStyle w:val="BodyText"/>
        <w:spacing w:line="216" w:lineRule="auto" w:before="0"/>
        <w:ind w:left="118" w:right="112"/>
      </w:pPr>
      <w:r>
        <w:rPr>
          <w:rFonts w:ascii="Times New Roman" w:eastAsia="Times New Roman"/>
          <w:position w:val="7"/>
          <w:sz w:val="14"/>
        </w:rPr>
        <w:t>1 </w:t>
      </w:r>
      <w:r>
        <w:rPr>
          <w:rFonts w:ascii="微软雅黑" w:eastAsia="微软雅黑" w:hint="eastAsia"/>
          <w:b/>
        </w:rPr>
        <w:t>团体</w:t>
      </w:r>
      <w:r>
        <w:rPr>
          <w:rFonts w:ascii="Times New Roman" w:eastAsia="Times New Roman"/>
          <w:b/>
          <w:spacing w:val="10"/>
        </w:rPr>
        <w:t>: </w:t>
      </w:r>
      <w:r>
        <w:rPr>
          <w:spacing w:val="-15"/>
        </w:rPr>
        <w:t>指中国境内非因购买保险而组织的合法团体。包括国家机关、院校、企事业单位、行业组织、</w:t>
      </w:r>
      <w:r>
        <w:rPr>
          <w:spacing w:val="-7"/>
        </w:rPr>
        <w:t>职业工会等。</w:t>
      </w:r>
    </w:p>
    <w:p>
      <w:pPr>
        <w:spacing w:line="285" w:lineRule="exact" w:before="8"/>
        <w:ind w:left="118" w:right="0" w:firstLine="0"/>
        <w:jc w:val="left"/>
        <w:rPr>
          <w:sz w:val="21"/>
        </w:rPr>
      </w:pPr>
      <w:r>
        <w:rPr>
          <w:rFonts w:ascii="Times New Roman" w:eastAsia="Times New Roman"/>
          <w:position w:val="7"/>
          <w:sz w:val="14"/>
        </w:rPr>
        <w:t>2   </w:t>
      </w:r>
      <w:r>
        <w:rPr>
          <w:rFonts w:ascii="微软雅黑" w:eastAsia="微软雅黑" w:hint="eastAsia"/>
          <w:b/>
          <w:sz w:val="21"/>
        </w:rPr>
        <w:t>首次发生</w:t>
      </w:r>
      <w:r>
        <w:rPr>
          <w:rFonts w:ascii="Times New Roman" w:eastAsia="Times New Roman"/>
          <w:b/>
          <w:sz w:val="21"/>
        </w:rPr>
        <w:t>:   </w:t>
      </w:r>
      <w:r>
        <w:rPr>
          <w:sz w:val="21"/>
        </w:rPr>
        <w:t>指被保险人首次出现与本合同所保障的疾病相关的症状或体征，且相关的症状或体征</w:t>
      </w:r>
    </w:p>
    <w:p>
      <w:pPr>
        <w:pStyle w:val="BodyText"/>
        <w:spacing w:line="227" w:lineRule="exact" w:before="0"/>
        <w:ind w:left="118"/>
      </w:pPr>
      <w:r>
        <w:rPr/>
        <w:t>被诊断为本合同所保障的疾病或在其后发展为本合同所保障的疾病。</w:t>
      </w:r>
    </w:p>
    <w:p>
      <w:pPr>
        <w:spacing w:line="218" w:lineRule="auto" w:before="0"/>
        <w:ind w:left="118" w:right="135" w:firstLine="0"/>
        <w:jc w:val="left"/>
        <w:rPr>
          <w:sz w:val="21"/>
        </w:rPr>
      </w:pPr>
      <w:r>
        <w:rPr>
          <w:rFonts w:ascii="Times New Roman" w:eastAsia="Times New Roman"/>
          <w:position w:val="7"/>
          <w:sz w:val="14"/>
        </w:rPr>
        <w:t>3 </w:t>
      </w:r>
      <w:r>
        <w:rPr>
          <w:rFonts w:ascii="微软雅黑" w:eastAsia="微软雅黑" w:hint="eastAsia"/>
          <w:b/>
          <w:sz w:val="21"/>
        </w:rPr>
        <w:t>本公司指定或认可的医疗机构</w:t>
      </w:r>
      <w:r>
        <w:rPr>
          <w:rFonts w:ascii="Times New Roman" w:eastAsia="Times New Roman"/>
          <w:b/>
          <w:sz w:val="21"/>
        </w:rPr>
        <w:t>: </w:t>
      </w:r>
      <w:r>
        <w:rPr>
          <w:sz w:val="21"/>
        </w:rPr>
        <w:t>指在中国境内（不包括香港、澳门、台湾）按国家卫生部医院等级分类中的二级或二级以上公立医院或投保人与本公司协商共同指定的医院或医疗机构。</w:t>
      </w:r>
    </w:p>
    <w:p>
      <w:pPr>
        <w:spacing w:line="283" w:lineRule="exact" w:before="0"/>
        <w:ind w:left="118" w:right="0" w:firstLine="0"/>
        <w:jc w:val="left"/>
        <w:rPr>
          <w:sz w:val="21"/>
        </w:rPr>
      </w:pPr>
      <w:r>
        <w:rPr>
          <w:rFonts w:ascii="Times New Roman" w:eastAsia="Times New Roman"/>
          <w:position w:val="7"/>
          <w:sz w:val="14"/>
        </w:rPr>
        <w:t>4   </w:t>
      </w:r>
      <w:r>
        <w:rPr>
          <w:rFonts w:ascii="微软雅黑" w:eastAsia="微软雅黑" w:hint="eastAsia"/>
          <w:b/>
          <w:sz w:val="21"/>
        </w:rPr>
        <w:t>专科医生</w:t>
      </w:r>
      <w:r>
        <w:rPr>
          <w:rFonts w:ascii="Times New Roman" w:eastAsia="Times New Roman"/>
          <w:b/>
          <w:sz w:val="21"/>
        </w:rPr>
        <w:t>:  </w:t>
      </w:r>
      <w:r>
        <w:rPr>
          <w:sz w:val="21"/>
        </w:rPr>
        <w:t>专科医生应当同时满足以下四项资格条件：</w:t>
      </w:r>
    </w:p>
    <w:p>
      <w:pPr>
        <w:pStyle w:val="ListParagraph"/>
        <w:numPr>
          <w:ilvl w:val="0"/>
          <w:numId w:val="8"/>
        </w:numPr>
        <w:tabs>
          <w:tab w:pos="750" w:val="left" w:leader="none"/>
        </w:tabs>
        <w:spacing w:line="268" w:lineRule="exact" w:before="0" w:after="0"/>
        <w:ind w:left="750" w:right="0" w:hanging="632"/>
        <w:jc w:val="left"/>
        <w:rPr>
          <w:sz w:val="21"/>
        </w:rPr>
      </w:pPr>
      <w:r>
        <w:rPr>
          <w:spacing w:val="-9"/>
          <w:sz w:val="21"/>
        </w:rPr>
        <w:t>具有有效的中华人民共和国《医师资格证书》；</w:t>
      </w:r>
    </w:p>
    <w:p>
      <w:pPr>
        <w:pStyle w:val="ListParagraph"/>
        <w:numPr>
          <w:ilvl w:val="0"/>
          <w:numId w:val="8"/>
        </w:numPr>
        <w:tabs>
          <w:tab w:pos="750" w:val="left" w:leader="none"/>
        </w:tabs>
        <w:spacing w:line="272" w:lineRule="exact" w:before="0" w:after="0"/>
        <w:ind w:left="750" w:right="0" w:hanging="632"/>
        <w:jc w:val="left"/>
        <w:rPr>
          <w:sz w:val="21"/>
        </w:rPr>
      </w:pPr>
      <w:r>
        <w:rPr>
          <w:spacing w:val="-9"/>
          <w:sz w:val="21"/>
        </w:rPr>
        <w:t>具有有效的中华人民共和国《医师执业证书》，并按期到相关部门登记注册；</w:t>
      </w:r>
    </w:p>
    <w:p>
      <w:pPr>
        <w:pStyle w:val="ListParagraph"/>
        <w:numPr>
          <w:ilvl w:val="0"/>
          <w:numId w:val="8"/>
        </w:numPr>
        <w:tabs>
          <w:tab w:pos="750" w:val="left" w:leader="none"/>
        </w:tabs>
        <w:spacing w:line="272" w:lineRule="exact" w:before="0" w:after="0"/>
        <w:ind w:left="750" w:right="0" w:hanging="632"/>
        <w:jc w:val="left"/>
        <w:rPr>
          <w:sz w:val="21"/>
        </w:rPr>
      </w:pPr>
      <w:r>
        <w:rPr>
          <w:spacing w:val="-7"/>
          <w:sz w:val="21"/>
        </w:rPr>
        <w:t>具有有效的中华人民共和国主治医师或主治医师以上职称的《医师职称证书》；</w:t>
      </w:r>
    </w:p>
    <w:p>
      <w:pPr>
        <w:pStyle w:val="ListParagraph"/>
        <w:numPr>
          <w:ilvl w:val="0"/>
          <w:numId w:val="8"/>
        </w:numPr>
        <w:tabs>
          <w:tab w:pos="750" w:val="left" w:leader="none"/>
        </w:tabs>
        <w:spacing w:line="241" w:lineRule="exact" w:before="0" w:after="0"/>
        <w:ind w:left="750" w:right="0" w:hanging="632"/>
        <w:jc w:val="left"/>
        <w:rPr>
          <w:sz w:val="21"/>
        </w:rPr>
      </w:pPr>
      <w:r>
        <w:rPr>
          <w:spacing w:val="-3"/>
          <w:sz w:val="21"/>
        </w:rPr>
        <w:t>在二级或二级以上医院的相应科室从事临床工作三年以上。</w:t>
      </w:r>
    </w:p>
    <w:p>
      <w:pPr>
        <w:pStyle w:val="BodyText"/>
        <w:spacing w:line="216" w:lineRule="auto" w:before="0"/>
        <w:ind w:left="118" w:right="114"/>
      </w:pPr>
      <w:r>
        <w:rPr>
          <w:rFonts w:ascii="Times New Roman" w:eastAsia="Times New Roman"/>
          <w:position w:val="7"/>
          <w:sz w:val="14"/>
        </w:rPr>
        <w:t>5 </w:t>
      </w:r>
      <w:r>
        <w:rPr>
          <w:rFonts w:ascii="微软雅黑" w:eastAsia="微软雅黑" w:hint="eastAsia"/>
          <w:b/>
        </w:rPr>
        <w:t>毒品</w:t>
      </w:r>
      <w:r>
        <w:rPr>
          <w:rFonts w:ascii="Times New Roman" w:eastAsia="Times New Roman"/>
          <w:b/>
          <w:spacing w:val="10"/>
        </w:rPr>
        <w:t>: </w:t>
      </w:r>
      <w:r>
        <w:rPr>
          <w:spacing w:val="-3"/>
        </w:rPr>
        <w:t>指中华人民共和国刑法规定的鸦片、海洛因、甲基苯丙胺（</w:t>
      </w:r>
      <w:r>
        <w:rPr>
          <w:spacing w:val="-2"/>
        </w:rPr>
        <w:t>冰毒</w:t>
      </w:r>
      <w:r>
        <w:rPr>
          <w:spacing w:val="-106"/>
        </w:rPr>
        <w:t>）</w:t>
      </w:r>
      <w:r>
        <w:rPr>
          <w:spacing w:val="-3"/>
        </w:rPr>
        <w:t>、吗啡、大麻、可卡因以及国家规定管制的其他能够使人形成瘾癖的麻醉药品和精神药品，但不包括由医生开具并遵医嘱使</w:t>
      </w:r>
    </w:p>
    <w:p>
      <w:pPr>
        <w:pStyle w:val="BodyText"/>
        <w:spacing w:line="241" w:lineRule="exact" w:before="3"/>
        <w:ind w:left="118"/>
      </w:pPr>
      <w:r>
        <w:rPr/>
        <w:t>用的用于治疗疾病但含有毒品成分的处方药品。</w:t>
      </w:r>
    </w:p>
    <w:p>
      <w:pPr>
        <w:pStyle w:val="BodyText"/>
        <w:spacing w:line="218" w:lineRule="auto" w:before="0"/>
        <w:ind w:left="118" w:right="109"/>
      </w:pPr>
      <w:r>
        <w:rPr>
          <w:rFonts w:ascii="Times New Roman" w:eastAsia="Times New Roman"/>
          <w:position w:val="7"/>
          <w:sz w:val="14"/>
        </w:rPr>
        <w:t>6 </w:t>
      </w:r>
      <w:r>
        <w:rPr>
          <w:rFonts w:ascii="微软雅黑" w:eastAsia="微软雅黑" w:hint="eastAsia"/>
          <w:b/>
        </w:rPr>
        <w:t>酒后驾驶</w:t>
      </w:r>
      <w:r>
        <w:rPr>
          <w:rFonts w:ascii="Times New Roman" w:eastAsia="Times New Roman"/>
          <w:b/>
          <w:spacing w:val="10"/>
        </w:rPr>
        <w:t>: </w:t>
      </w:r>
      <w:r>
        <w:rPr>
          <w:spacing w:val="-12"/>
        </w:rPr>
        <w:t>指经检测或鉴定，发生事故时车辆驾驶人员每百毫升血液中的酒精含量达到或超过一定</w:t>
      </w:r>
      <w:r>
        <w:rPr>
          <w:spacing w:val="-3"/>
        </w:rPr>
        <w:t>的标准，公安机关交通管理部门依据《道路交通安全法》的规定认定为饮酒后驾驶或醉酒后驾驶。</w:t>
      </w:r>
    </w:p>
    <w:p>
      <w:pPr>
        <w:spacing w:line="284" w:lineRule="exact" w:before="1"/>
        <w:ind w:left="118" w:right="0" w:firstLine="0"/>
        <w:jc w:val="left"/>
        <w:rPr>
          <w:sz w:val="21"/>
        </w:rPr>
      </w:pPr>
      <w:r>
        <w:rPr>
          <w:rFonts w:ascii="Times New Roman" w:eastAsia="Times New Roman"/>
          <w:w w:val="99"/>
          <w:position w:val="7"/>
          <w:sz w:val="14"/>
        </w:rPr>
        <w:t>7</w:t>
      </w:r>
      <w:r>
        <w:rPr>
          <w:rFonts w:ascii="Times New Roman" w:eastAsia="Times New Roman"/>
          <w:position w:val="7"/>
          <w:sz w:val="14"/>
        </w:rPr>
        <w:t>   </w:t>
      </w:r>
      <w:r>
        <w:rPr>
          <w:rFonts w:ascii="微软雅黑" w:eastAsia="微软雅黑" w:hint="eastAsia"/>
          <w:b/>
          <w:spacing w:val="-1"/>
          <w:w w:val="100"/>
          <w:sz w:val="21"/>
        </w:rPr>
        <w:t>无合法有效驾驶证驾驶</w:t>
      </w:r>
      <w:r>
        <w:rPr>
          <w:rFonts w:ascii="Times New Roman" w:eastAsia="Times New Roman"/>
          <w:b/>
          <w:w w:val="100"/>
          <w:sz w:val="21"/>
        </w:rPr>
        <w:t>:</w:t>
      </w:r>
      <w:r>
        <w:rPr>
          <w:rFonts w:ascii="Times New Roman" w:eastAsia="Times New Roman"/>
          <w:b/>
          <w:spacing w:val="-2"/>
          <w:sz w:val="21"/>
        </w:rPr>
        <w:t>  </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w:t>
      </w:r>
    </w:p>
    <w:p>
      <w:pPr>
        <w:pStyle w:val="BodyText"/>
        <w:spacing w:line="223" w:lineRule="auto"/>
        <w:ind w:left="118" w:right="150"/>
      </w:pPr>
      <w:r>
        <w:rPr>
          <w:spacing w:val="-16"/>
          <w:w w:val="100"/>
        </w:rPr>
        <w:t>不相符合的车辆；</w:t>
      </w:r>
      <w:r>
        <w:rPr>
          <w:spacing w:val="-1"/>
          <w:w w:val="100"/>
        </w:rPr>
        <w:t>（</w:t>
      </w:r>
      <w:r>
        <w:rPr>
          <w:rFonts w:ascii="Times New Roman" w:eastAsia="Times New Roman"/>
          <w:spacing w:val="-3"/>
          <w:w w:val="100"/>
        </w:rPr>
        <w:t>3</w:t>
      </w:r>
      <w:r>
        <w:rPr>
          <w:w w:val="100"/>
        </w:rPr>
        <w:t>）</w:t>
      </w:r>
      <w:r>
        <w:rPr>
          <w:spacing w:val="-12"/>
          <w:w w:val="100"/>
        </w:rPr>
        <w:t>持审验不合格的驾驶证驾驶；</w:t>
      </w:r>
      <w:r>
        <w:rPr>
          <w:w w:val="100"/>
        </w:rPr>
        <w:t>（</w:t>
      </w:r>
      <w:r>
        <w:rPr>
          <w:rFonts w:ascii="Times New Roman" w:eastAsia="Times New Roman"/>
          <w:w w:val="100"/>
        </w:rPr>
        <w:t>4</w:t>
      </w:r>
      <w:r>
        <w:rPr>
          <w:spacing w:val="-3"/>
          <w:w w:val="100"/>
        </w:rPr>
        <w:t>）持学习驾驶证学习驾车时，无教练员随车</w:t>
      </w:r>
      <w:r>
        <w:rPr>
          <w:spacing w:val="-3"/>
        </w:rPr>
        <w:t>指导，或不按指定时间、路线学习驾车。</w:t>
      </w:r>
    </w:p>
    <w:p>
      <w:pPr>
        <w:spacing w:line="285" w:lineRule="exact" w:before="0"/>
        <w:ind w:left="118" w:right="0" w:firstLine="0"/>
        <w:jc w:val="left"/>
        <w:rPr>
          <w:sz w:val="21"/>
        </w:rPr>
      </w:pPr>
      <w:r>
        <w:rPr>
          <w:rFonts w:ascii="Times New Roman" w:eastAsia="Times New Roman"/>
          <w:w w:val="99"/>
          <w:position w:val="7"/>
          <w:sz w:val="14"/>
        </w:rPr>
        <w:t>8</w:t>
      </w:r>
      <w:r>
        <w:rPr>
          <w:rFonts w:ascii="Times New Roman" w:eastAsia="Times New Roman"/>
          <w:position w:val="7"/>
          <w:sz w:val="14"/>
        </w:rPr>
        <w:t>   </w:t>
      </w:r>
      <w:r>
        <w:rPr>
          <w:rFonts w:ascii="微软雅黑" w:eastAsia="微软雅黑" w:hint="eastAsia"/>
          <w:b/>
          <w:spacing w:val="-1"/>
          <w:w w:val="100"/>
          <w:sz w:val="21"/>
        </w:rPr>
        <w:t>无有效行驶证</w:t>
      </w:r>
      <w:r>
        <w:rPr>
          <w:rFonts w:ascii="Times New Roman" w:eastAsia="Times New Roman"/>
          <w:b/>
          <w:w w:val="100"/>
          <w:sz w:val="21"/>
        </w:rPr>
        <w:t>:</w:t>
      </w:r>
      <w:r>
        <w:rPr>
          <w:rFonts w:ascii="Times New Roman" w:eastAsia="Times New Roman"/>
          <w:b/>
          <w:spacing w:val="-2"/>
          <w:sz w:val="21"/>
        </w:rPr>
        <w:t>  </w:t>
      </w:r>
      <w:r>
        <w:rPr>
          <w:spacing w:val="-3"/>
          <w:w w:val="100"/>
          <w:sz w:val="21"/>
        </w:rPr>
        <w:t>指下列情形之一</w:t>
      </w:r>
      <w:r>
        <w:rPr>
          <w:spacing w:val="-132"/>
          <w:w w:val="100"/>
          <w:sz w:val="21"/>
        </w:rPr>
        <w:t>：</w:t>
      </w:r>
      <w:r>
        <w:rPr>
          <w:w w:val="100"/>
          <w:sz w:val="21"/>
        </w:rPr>
        <w:t>（</w:t>
      </w:r>
      <w:r>
        <w:rPr>
          <w:rFonts w:ascii="Times New Roman" w:eastAsia="Times New Roman"/>
          <w:spacing w:val="-3"/>
          <w:w w:val="100"/>
          <w:sz w:val="21"/>
        </w:rPr>
        <w:t>1</w:t>
      </w:r>
      <w:r>
        <w:rPr>
          <w:spacing w:val="-27"/>
          <w:w w:val="100"/>
          <w:sz w:val="21"/>
        </w:rPr>
        <w:t>）</w:t>
      </w:r>
      <w:r>
        <w:rPr>
          <w:spacing w:val="-3"/>
          <w:w w:val="100"/>
          <w:sz w:val="21"/>
        </w:rPr>
        <w:t>机动车被依法注销登记的</w:t>
      </w:r>
      <w:r>
        <w:rPr>
          <w:spacing w:val="-135"/>
          <w:w w:val="100"/>
          <w:sz w:val="21"/>
        </w:rPr>
        <w:t>；</w:t>
      </w:r>
      <w:r>
        <w:rPr>
          <w:spacing w:val="-1"/>
          <w:w w:val="100"/>
          <w:sz w:val="21"/>
        </w:rPr>
        <w:t>（</w:t>
      </w:r>
      <w:r>
        <w:rPr>
          <w:rFonts w:ascii="Times New Roman" w:eastAsia="Times New Roman"/>
          <w:w w:val="100"/>
          <w:sz w:val="21"/>
        </w:rPr>
        <w:t>2</w:t>
      </w:r>
      <w:r>
        <w:rPr>
          <w:spacing w:val="-29"/>
          <w:w w:val="100"/>
          <w:sz w:val="21"/>
        </w:rPr>
        <w:t>）</w:t>
      </w:r>
      <w:r>
        <w:rPr>
          <w:spacing w:val="-3"/>
          <w:w w:val="100"/>
          <w:sz w:val="21"/>
        </w:rPr>
        <w:t>未依法按时进行或通过机动</w:t>
      </w:r>
    </w:p>
    <w:p>
      <w:pPr>
        <w:pStyle w:val="BodyText"/>
        <w:spacing w:line="228" w:lineRule="exact" w:before="0"/>
        <w:ind w:left="118"/>
      </w:pPr>
      <w:r>
        <w:rPr/>
        <w:t>车安全技术检验。</w:t>
      </w:r>
    </w:p>
    <w:p>
      <w:pPr>
        <w:pStyle w:val="BodyText"/>
        <w:spacing w:line="220" w:lineRule="auto" w:before="0"/>
        <w:ind w:left="118" w:right="112"/>
        <w:jc w:val="both"/>
      </w:pPr>
      <w:r>
        <w:rPr>
          <w:rFonts w:ascii="Times New Roman" w:eastAsia="Times New Roman"/>
          <w:position w:val="7"/>
          <w:sz w:val="14"/>
        </w:rPr>
        <w:t>9 </w:t>
      </w:r>
      <w:r>
        <w:rPr>
          <w:rFonts w:ascii="微软雅黑" w:eastAsia="微软雅黑" w:hint="eastAsia"/>
          <w:b/>
          <w:spacing w:val="-2"/>
        </w:rPr>
        <w:t>感染艾滋病病毒或者患艾滋病</w:t>
      </w:r>
      <w:r>
        <w:rPr>
          <w:rFonts w:ascii="Times New Roman" w:eastAsia="Times New Roman"/>
          <w:b/>
          <w:spacing w:val="5"/>
        </w:rPr>
        <w:t>: </w:t>
      </w:r>
      <w:r>
        <w:rPr>
          <w:spacing w:val="-3"/>
        </w:rPr>
        <w:t>艾滋病病毒指人类免疫缺陷病毒，英文缩写为 </w:t>
      </w:r>
      <w:r>
        <w:rPr>
          <w:rFonts w:ascii="Times New Roman" w:eastAsia="Times New Roman"/>
        </w:rPr>
        <w:t>HIV</w:t>
      </w:r>
      <w:r>
        <w:rPr>
          <w:spacing w:val="-3"/>
        </w:rPr>
        <w:t>。艾滋病指人</w:t>
      </w:r>
      <w:r>
        <w:rPr>
          <w:spacing w:val="-6"/>
        </w:rPr>
        <w:t>类免疫缺陷病毒引起的获得性免疫缺陷综合征，英文缩写为 </w:t>
      </w:r>
      <w:r>
        <w:rPr>
          <w:rFonts w:ascii="Times New Roman" w:eastAsia="Times New Roman"/>
        </w:rPr>
        <w:t>AIDS</w:t>
      </w:r>
      <w:r>
        <w:rPr>
          <w:spacing w:val="-8"/>
        </w:rPr>
        <w:t>。在人体血液或其它样本中检测到</w:t>
      </w:r>
      <w:r>
        <w:rPr>
          <w:spacing w:val="-5"/>
        </w:rPr>
        <w:t>艾滋病病毒或其抗体呈阳性，没有出现临床症状或体征的，为感染艾滋病病毒；如果同时出现了明</w:t>
      </w:r>
    </w:p>
    <w:p>
      <w:pPr>
        <w:pStyle w:val="BodyText"/>
        <w:spacing w:line="238" w:lineRule="exact" w:before="3"/>
        <w:ind w:left="118"/>
      </w:pPr>
      <w:r>
        <w:rPr/>
        <w:t>显临床症状或体征的，为患艾滋病。</w:t>
      </w:r>
    </w:p>
    <w:p>
      <w:pPr>
        <w:spacing w:line="330" w:lineRule="exact" w:before="0"/>
        <w:ind w:left="118" w:right="0" w:firstLine="0"/>
        <w:jc w:val="left"/>
        <w:rPr>
          <w:sz w:val="21"/>
        </w:rPr>
      </w:pPr>
      <w:r>
        <w:rPr>
          <w:rFonts w:ascii="Times New Roman" w:eastAsia="Times New Roman"/>
          <w:position w:val="7"/>
          <w:sz w:val="14"/>
        </w:rPr>
        <w:t>10   </w:t>
      </w:r>
      <w:r>
        <w:rPr>
          <w:rFonts w:ascii="微软雅黑" w:eastAsia="微软雅黑" w:hint="eastAsia"/>
          <w:b/>
          <w:sz w:val="21"/>
        </w:rPr>
        <w:t>遗传性疾病</w:t>
      </w:r>
      <w:r>
        <w:rPr>
          <w:rFonts w:ascii="Times New Roman" w:eastAsia="Times New Roman"/>
          <w:b/>
          <w:sz w:val="21"/>
        </w:rPr>
        <w:t>:  </w:t>
      </w:r>
      <w:r>
        <w:rPr>
          <w:sz w:val="21"/>
        </w:rPr>
        <w:t>指生殖细胞或受精卵的遗传物质（染色体和基因）发生突变或畸变所引起的疾病，</w:t>
      </w:r>
    </w:p>
    <w:p>
      <w:pPr>
        <w:spacing w:after="0" w:line="330" w:lineRule="exact"/>
        <w:jc w:val="left"/>
        <w:rPr>
          <w:sz w:val="21"/>
        </w:rPr>
        <w:sectPr>
          <w:pgSz w:w="11910" w:h="16840"/>
          <w:pgMar w:header="0" w:footer="745" w:top="1080" w:bottom="940" w:left="1300" w:right="1300"/>
        </w:sectPr>
      </w:pPr>
    </w:p>
    <w:p>
      <w:pPr>
        <w:pStyle w:val="BodyText"/>
        <w:spacing w:line="20" w:lineRule="exact" w:before="0"/>
        <w:ind w:left="113"/>
        <w:rPr>
          <w:sz w:val="2"/>
        </w:rPr>
      </w:pPr>
      <w:r>
        <w:rPr>
          <w:rFonts w:ascii="Times New Roman"/>
          <w:spacing w:val="5"/>
          <w:sz w:val="2"/>
        </w:rPr>
        <w:t> </w:t>
      </w:r>
      <w:r>
        <w:rPr>
          <w:spacing w:val="5"/>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r>
        <w:rPr>
          <w:spacing w:val="5"/>
          <w:sz w:val="2"/>
        </w:rPr>
      </w:r>
    </w:p>
    <w:p>
      <w:pPr>
        <w:pStyle w:val="BodyText"/>
        <w:spacing w:line="243" w:lineRule="exact" w:before="62"/>
        <w:ind w:left="118"/>
      </w:pPr>
      <w:r>
        <w:rPr/>
        <w:t>通常具有从亲代遗传至后代的垂直传递的特征。</w:t>
      </w:r>
    </w:p>
    <w:p>
      <w:pPr>
        <w:pStyle w:val="BodyText"/>
        <w:spacing w:line="220" w:lineRule="auto" w:before="0"/>
        <w:ind w:left="118" w:right="124"/>
        <w:jc w:val="both"/>
      </w:pPr>
      <w:r>
        <w:rPr>
          <w:rFonts w:ascii="Times New Roman" w:eastAsia="Times New Roman"/>
          <w:position w:val="7"/>
          <w:sz w:val="14"/>
        </w:rPr>
        <w:t>11 </w:t>
      </w:r>
      <w:r>
        <w:rPr>
          <w:rFonts w:ascii="微软雅黑" w:eastAsia="微软雅黑" w:hint="eastAsia"/>
          <w:b/>
          <w:spacing w:val="-2"/>
        </w:rPr>
        <w:t>先天性畸形、变形或染色体异常</w:t>
      </w:r>
      <w:r>
        <w:rPr>
          <w:rFonts w:ascii="Times New Roman" w:eastAsia="Times New Roman"/>
          <w:b/>
          <w:spacing w:val="7"/>
        </w:rPr>
        <w:t>: </w:t>
      </w:r>
      <w:r>
        <w:rPr>
          <w:spacing w:val="-3"/>
        </w:rPr>
        <w:t>指被保险人出生时就具有的畸形、变形或染色体异常。先天性</w:t>
      </w:r>
      <w:r>
        <w:rPr>
          <w:spacing w:val="-7"/>
        </w:rPr>
        <w:t>畸形、变形和染色体异常，依照世界卫生组织《疾病和有关健康问题的国际统计分类</w:t>
      </w:r>
      <w:r>
        <w:rPr>
          <w:spacing w:val="-123"/>
        </w:rPr>
        <w:t>》</w:t>
      </w:r>
      <w:r>
        <w:rPr>
          <w:spacing w:val="-4"/>
        </w:rPr>
        <w:t>（</w:t>
      </w:r>
      <w:r>
        <w:rPr>
          <w:rFonts w:ascii="Times New Roman" w:eastAsia="Times New Roman"/>
          <w:spacing w:val="-4"/>
        </w:rPr>
        <w:t>ICD-10</w:t>
      </w:r>
      <w:r>
        <w:rPr>
          <w:spacing w:val="-4"/>
        </w:rPr>
        <w:t>）</w:t>
      </w:r>
      <w:r>
        <w:rPr>
          <w:spacing w:val="-15"/>
        </w:rPr>
        <w:t>确</w:t>
      </w:r>
      <w:r>
        <w:rPr/>
        <w:t>定。</w:t>
      </w:r>
    </w:p>
    <w:p>
      <w:pPr>
        <w:spacing w:line="282" w:lineRule="exact" w:before="3"/>
        <w:ind w:left="118" w:right="0" w:firstLine="0"/>
        <w:jc w:val="both"/>
        <w:rPr>
          <w:sz w:val="21"/>
        </w:rPr>
      </w:pPr>
      <w:r>
        <w:rPr>
          <w:rFonts w:ascii="Times New Roman" w:hAnsi="Times New Roman" w:eastAsia="Times New Roman"/>
          <w:position w:val="7"/>
          <w:sz w:val="14"/>
        </w:rPr>
        <w:t>12   </w:t>
      </w:r>
      <w:r>
        <w:rPr>
          <w:rFonts w:ascii="微软雅黑" w:hAnsi="微软雅黑" w:eastAsia="微软雅黑" w:hint="eastAsia"/>
          <w:b/>
          <w:sz w:val="21"/>
        </w:rPr>
        <w:t>未满期净保费</w:t>
      </w:r>
      <w:r>
        <w:rPr>
          <w:rFonts w:ascii="Times New Roman" w:hAnsi="Times New Roman" w:eastAsia="Times New Roman"/>
          <w:b/>
          <w:sz w:val="21"/>
        </w:rPr>
        <w:t>:  </w:t>
      </w:r>
      <w:r>
        <w:rPr>
          <w:sz w:val="21"/>
        </w:rPr>
        <w:t>指已交保险费×（</w:t>
      </w:r>
      <w:r>
        <w:rPr>
          <w:rFonts w:ascii="Times New Roman" w:hAnsi="Times New Roman" w:eastAsia="Times New Roman"/>
          <w:sz w:val="21"/>
        </w:rPr>
        <w:t>1-25%</w:t>
      </w:r>
      <w:r>
        <w:rPr>
          <w:sz w:val="21"/>
        </w:rPr>
        <w:t>）×未经过期间÷保险期间，未经过期间和保险期间以</w:t>
      </w:r>
    </w:p>
    <w:p>
      <w:pPr>
        <w:pStyle w:val="BodyText"/>
        <w:spacing w:line="228" w:lineRule="exact" w:before="0"/>
        <w:ind w:left="118"/>
        <w:jc w:val="both"/>
      </w:pPr>
      <w:r>
        <w:rPr/>
        <w:t>天数计算。</w:t>
      </w:r>
    </w:p>
    <w:p>
      <w:pPr>
        <w:spacing w:line="285" w:lineRule="exact" w:before="0"/>
        <w:ind w:left="118" w:right="0" w:firstLine="0"/>
        <w:jc w:val="both"/>
        <w:rPr>
          <w:sz w:val="21"/>
        </w:rPr>
      </w:pPr>
      <w:r>
        <w:rPr>
          <w:rFonts w:ascii="Times New Roman" w:eastAsia="Times New Roman"/>
          <w:position w:val="7"/>
          <w:sz w:val="14"/>
        </w:rPr>
        <w:t>13   </w:t>
      </w:r>
      <w:r>
        <w:rPr>
          <w:rFonts w:ascii="微软雅黑" w:eastAsia="微软雅黑" w:hint="eastAsia"/>
          <w:b/>
          <w:sz w:val="21"/>
        </w:rPr>
        <w:t>保险事故</w:t>
      </w:r>
      <w:r>
        <w:rPr>
          <w:rFonts w:ascii="Times New Roman" w:eastAsia="Times New Roman"/>
          <w:b/>
          <w:sz w:val="21"/>
        </w:rPr>
        <w:t>:  </w:t>
      </w:r>
      <w:r>
        <w:rPr>
          <w:sz w:val="21"/>
        </w:rPr>
        <w:t>指本合同约定的保险责任范围内的事故。</w:t>
      </w:r>
    </w:p>
    <w:p>
      <w:pPr>
        <w:spacing w:line="304" w:lineRule="exact" w:before="0"/>
        <w:ind w:left="118" w:right="0" w:firstLine="0"/>
        <w:jc w:val="both"/>
        <w:rPr>
          <w:sz w:val="21"/>
        </w:rPr>
      </w:pPr>
      <w:r>
        <w:rPr>
          <w:rFonts w:ascii="Times New Roman" w:eastAsia="Times New Roman"/>
          <w:position w:val="7"/>
          <w:sz w:val="14"/>
        </w:rPr>
        <w:t>14   </w:t>
      </w:r>
      <w:r>
        <w:rPr>
          <w:rFonts w:ascii="微软雅黑" w:eastAsia="微软雅黑" w:hint="eastAsia"/>
          <w:b/>
          <w:sz w:val="21"/>
        </w:rPr>
        <w:t>有效身份证件</w:t>
      </w:r>
      <w:r>
        <w:rPr>
          <w:rFonts w:ascii="Times New Roman" w:eastAsia="Times New Roman"/>
          <w:b/>
          <w:sz w:val="21"/>
        </w:rPr>
        <w:t>:  </w:t>
      </w:r>
      <w:r>
        <w:rPr>
          <w:sz w:val="21"/>
        </w:rPr>
        <w:t>指身份证、户口簿、护照、军人证等。户口簿的使用仅限于十六周岁以下尚未申</w:t>
      </w:r>
    </w:p>
    <w:p>
      <w:pPr>
        <w:pStyle w:val="BodyText"/>
        <w:spacing w:line="228" w:lineRule="exact" w:before="0"/>
        <w:ind w:left="118"/>
        <w:jc w:val="both"/>
      </w:pPr>
      <w:r>
        <w:rPr/>
        <w:t>领身份证的未成年人。</w:t>
      </w:r>
    </w:p>
    <w:p>
      <w:pPr>
        <w:pStyle w:val="BodyText"/>
        <w:spacing w:line="218" w:lineRule="auto" w:before="0"/>
        <w:ind w:left="118" w:right="141"/>
      </w:pPr>
      <w:r>
        <w:rPr>
          <w:rFonts w:ascii="Times New Roman" w:eastAsia="Times New Roman"/>
          <w:position w:val="7"/>
          <w:sz w:val="14"/>
        </w:rPr>
        <w:t>15 </w:t>
      </w:r>
      <w:r>
        <w:rPr>
          <w:rFonts w:ascii="微软雅黑" w:eastAsia="微软雅黑" w:hint="eastAsia"/>
          <w:b/>
        </w:rPr>
        <w:t>肢体机能完全丧失</w:t>
      </w:r>
      <w:r>
        <w:rPr>
          <w:rFonts w:ascii="Times New Roman" w:eastAsia="Times New Roman"/>
          <w:b/>
        </w:rPr>
        <w:t>: </w:t>
      </w:r>
      <w:r>
        <w:rPr/>
        <w:t>指肢体的三大关节中的两大关节僵硬，或不能随意识活动。肢体是指包括肩关节的整个上肢或包括髋关节的整个下肢。</w:t>
      </w:r>
    </w:p>
    <w:p>
      <w:pPr>
        <w:spacing w:line="283" w:lineRule="exact" w:before="0"/>
        <w:ind w:left="118" w:right="0" w:firstLine="0"/>
        <w:jc w:val="left"/>
        <w:rPr>
          <w:sz w:val="21"/>
        </w:rPr>
      </w:pPr>
      <w:r>
        <w:rPr>
          <w:rFonts w:ascii="Times New Roman" w:eastAsia="Times New Roman"/>
          <w:position w:val="7"/>
          <w:sz w:val="14"/>
        </w:rPr>
        <w:t>16   </w:t>
      </w:r>
      <w:r>
        <w:rPr>
          <w:rFonts w:ascii="微软雅黑" w:eastAsia="微软雅黑" w:hint="eastAsia"/>
          <w:b/>
          <w:sz w:val="21"/>
        </w:rPr>
        <w:t>语言能力或咀嚼吞咽能力完全丧失：  </w:t>
      </w:r>
      <w:r>
        <w:rPr>
          <w:sz w:val="21"/>
        </w:rPr>
        <w:t>语言能力完全丧失，指无法发出四种语音（包括口唇音、</w:t>
      </w:r>
    </w:p>
    <w:p>
      <w:pPr>
        <w:pStyle w:val="BodyText"/>
        <w:spacing w:line="237" w:lineRule="auto" w:before="0"/>
        <w:ind w:left="118" w:right="109"/>
        <w:jc w:val="both"/>
      </w:pPr>
      <w:r>
        <w:rPr>
          <w:spacing w:val="-8"/>
        </w:rPr>
        <w:t>齿舌音、口盖音和喉头音</w:t>
      </w:r>
      <w:r>
        <w:rPr>
          <w:spacing w:val="-46"/>
        </w:rPr>
        <w:t>）</w:t>
      </w:r>
      <w:r>
        <w:rPr>
          <w:spacing w:val="-11"/>
        </w:rPr>
        <w:t>中的任何三种、或声带全部切除，或因大脑语言中枢受伤害而患失语症。</w:t>
      </w:r>
      <w:r>
        <w:rPr>
          <w:spacing w:val="-16"/>
        </w:rPr>
        <w:t>咀嚼吞咽能力完全丧失，指因牙齿以外的原因导致器质障碍或机能障碍，以致不能作咀嚼吞咽运动， </w:t>
      </w:r>
      <w:r>
        <w:rPr>
          <w:spacing w:val="-7"/>
        </w:rPr>
        <w:t>除流质食物外不能摄取或吞咽的状态。</w:t>
      </w:r>
    </w:p>
    <w:p>
      <w:pPr>
        <w:spacing w:line="284" w:lineRule="exact" w:before="11"/>
        <w:ind w:left="118" w:right="0" w:firstLine="0"/>
        <w:jc w:val="both"/>
        <w:rPr>
          <w:rFonts w:ascii="Times New Roman" w:eastAsia="Times New Roman"/>
          <w:b/>
          <w:sz w:val="21"/>
        </w:rPr>
      </w:pPr>
      <w:r>
        <w:rPr>
          <w:rFonts w:ascii="Times New Roman" w:eastAsia="Times New Roman"/>
          <w:position w:val="7"/>
          <w:sz w:val="14"/>
        </w:rPr>
        <w:t>17   </w:t>
      </w:r>
      <w:r>
        <w:rPr>
          <w:rFonts w:ascii="微软雅黑" w:eastAsia="微软雅黑" w:hint="eastAsia"/>
          <w:b/>
          <w:sz w:val="21"/>
        </w:rPr>
        <w:t>六项基本日常生活活动</w:t>
      </w:r>
      <w:r>
        <w:rPr>
          <w:rFonts w:ascii="Times New Roman" w:eastAsia="Times New Roman"/>
          <w:b/>
          <w:sz w:val="21"/>
        </w:rPr>
        <w:t>:</w:t>
      </w:r>
    </w:p>
    <w:p>
      <w:pPr>
        <w:pStyle w:val="BodyText"/>
        <w:spacing w:line="268" w:lineRule="exact" w:before="0"/>
        <w:ind w:left="118"/>
        <w:jc w:val="both"/>
      </w:pPr>
      <w:r>
        <w:rPr/>
        <w:t>（</w:t>
      </w:r>
      <w:r>
        <w:rPr>
          <w:rFonts w:ascii="Times New Roman" w:eastAsia="Times New Roman"/>
        </w:rPr>
        <w:t>1</w:t>
      </w:r>
      <w:r>
        <w:rPr/>
        <w:t>）穿衣：自己能够穿衣及脱衣；</w:t>
      </w:r>
    </w:p>
    <w:p>
      <w:pPr>
        <w:pStyle w:val="BodyText"/>
        <w:spacing w:line="272" w:lineRule="exact" w:before="0"/>
        <w:ind w:left="118"/>
        <w:jc w:val="both"/>
      </w:pPr>
      <w:r>
        <w:rPr/>
        <w:t>（</w:t>
      </w:r>
      <w:r>
        <w:rPr>
          <w:rFonts w:ascii="Times New Roman" w:eastAsia="Times New Roman"/>
        </w:rPr>
        <w:t>2</w:t>
      </w:r>
      <w:r>
        <w:rPr/>
        <w:t>）移动：自己从一个房间到另一个房间；</w:t>
      </w:r>
    </w:p>
    <w:p>
      <w:pPr>
        <w:pStyle w:val="BodyText"/>
        <w:spacing w:line="272" w:lineRule="exact" w:before="0"/>
        <w:ind w:left="118"/>
        <w:jc w:val="both"/>
      </w:pPr>
      <w:r>
        <w:rPr/>
        <w:t>（</w:t>
      </w:r>
      <w:r>
        <w:rPr>
          <w:rFonts w:ascii="Times New Roman" w:eastAsia="Times New Roman"/>
        </w:rPr>
        <w:t>3</w:t>
      </w:r>
      <w:r>
        <w:rPr/>
        <w:t>）行动：自己上下床或上下轮椅；</w:t>
      </w:r>
    </w:p>
    <w:p>
      <w:pPr>
        <w:pStyle w:val="BodyText"/>
        <w:spacing w:line="272" w:lineRule="exact" w:before="0"/>
        <w:ind w:left="118"/>
        <w:jc w:val="both"/>
      </w:pPr>
      <w:r>
        <w:rPr/>
        <w:t>（</w:t>
      </w:r>
      <w:r>
        <w:rPr>
          <w:rFonts w:ascii="Times New Roman" w:eastAsia="Times New Roman"/>
        </w:rPr>
        <w:t>4</w:t>
      </w:r>
      <w:r>
        <w:rPr/>
        <w:t>）如厕：自己控制进行大小便；</w:t>
      </w:r>
    </w:p>
    <w:p>
      <w:pPr>
        <w:pStyle w:val="BodyText"/>
        <w:spacing w:line="272" w:lineRule="exact" w:before="0"/>
        <w:ind w:left="118"/>
        <w:jc w:val="both"/>
      </w:pPr>
      <w:r>
        <w:rPr/>
        <w:t>（</w:t>
      </w:r>
      <w:r>
        <w:rPr>
          <w:rFonts w:ascii="Times New Roman" w:eastAsia="Times New Roman"/>
        </w:rPr>
        <w:t>5</w:t>
      </w:r>
      <w:r>
        <w:rPr/>
        <w:t>）进食：自己从已准备好的碗或碟中取食物放入口中；</w:t>
      </w:r>
    </w:p>
    <w:p>
      <w:pPr>
        <w:pStyle w:val="BodyText"/>
        <w:spacing w:line="241" w:lineRule="exact" w:before="0"/>
        <w:ind w:left="118"/>
        <w:jc w:val="both"/>
      </w:pPr>
      <w:r>
        <w:rPr/>
        <w:t>（</w:t>
      </w:r>
      <w:r>
        <w:rPr>
          <w:rFonts w:ascii="Times New Roman" w:eastAsia="Times New Roman"/>
        </w:rPr>
        <w:t>6</w:t>
      </w:r>
      <w:r>
        <w:rPr/>
        <w:t>）洗澡：自己进行淋浴或盆浴。</w:t>
      </w:r>
    </w:p>
    <w:p>
      <w:pPr>
        <w:pStyle w:val="BodyText"/>
        <w:spacing w:line="216" w:lineRule="auto" w:before="0"/>
        <w:ind w:left="118" w:right="145"/>
      </w:pPr>
      <w:r>
        <w:rPr>
          <w:rFonts w:ascii="Times New Roman" w:eastAsia="Times New Roman"/>
          <w:position w:val="7"/>
          <w:sz w:val="14"/>
        </w:rPr>
        <w:t>18 </w:t>
      </w:r>
      <w:r>
        <w:rPr>
          <w:rFonts w:ascii="微软雅黑" w:eastAsia="微软雅黑" w:hint="eastAsia"/>
          <w:b/>
        </w:rPr>
        <w:t>永久不可逆</w:t>
      </w:r>
      <w:r>
        <w:rPr>
          <w:rFonts w:ascii="Times New Roman" w:eastAsia="Times New Roman"/>
          <w:b/>
          <w:spacing w:val="5"/>
        </w:rPr>
        <w:t>: </w:t>
      </w:r>
      <w:r>
        <w:rPr>
          <w:spacing w:val="-5"/>
        </w:rPr>
        <w:t>指自疾病确诊或意外伤害发生之日起，经过积极治疗 </w:t>
      </w:r>
      <w:r>
        <w:rPr>
          <w:rFonts w:ascii="Times New Roman" w:eastAsia="Times New Roman"/>
        </w:rPr>
        <w:t>180 </w:t>
      </w:r>
      <w:r>
        <w:rPr>
          <w:spacing w:val="-3"/>
        </w:rPr>
        <w:t>天后仍无法通过现有医疗手段恢复。</w:t>
      </w:r>
    </w:p>
    <w:p>
      <w:pPr>
        <w:pStyle w:val="BodyText"/>
        <w:spacing w:before="0"/>
        <w:ind w:left="0"/>
        <w:rPr>
          <w:sz w:val="20"/>
        </w:rPr>
      </w:pPr>
    </w:p>
    <w:p>
      <w:pPr>
        <w:pStyle w:val="BodyText"/>
        <w:spacing w:before="0"/>
        <w:ind w:left="0"/>
        <w:rPr>
          <w:sz w:val="20"/>
        </w:rPr>
      </w:pPr>
    </w:p>
    <w:p>
      <w:pPr>
        <w:pStyle w:val="BodyText"/>
        <w:spacing w:before="2"/>
        <w:ind w:left="0"/>
        <w:rPr>
          <w:sz w:val="29"/>
        </w:rPr>
      </w:pPr>
    </w:p>
    <w:p>
      <w:pPr>
        <w:pStyle w:val="Heading2"/>
        <w:ind w:left="0" w:right="111"/>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840"/>
      <w:pgMar w:header="0" w:footer="745" w:top="1240" w:bottom="94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188.649994pt;margin-top:793.68158pt;width:218.15pt;height:11pt;mso-position-horizontal-relative:page;mso-position-vertical-relative:page;z-index:-12448" type="#_x0000_t202" filled="false" stroked="false">
          <v:textbox inset="0,0,0,0">
            <w:txbxContent>
              <w:p>
                <w:pPr>
                  <w:spacing w:line="200" w:lineRule="exact" w:before="0"/>
                  <w:ind w:left="20" w:right="0" w:firstLine="0"/>
                  <w:jc w:val="left"/>
                  <w:rPr>
                    <w:sz w:val="18"/>
                  </w:rPr>
                </w:pPr>
                <w:r>
                  <w:rPr>
                    <w:sz w:val="18"/>
                  </w:rPr>
                  <w:t>上海人寿团体重大疾病医疗保险，第 </w:t>
                </w:r>
                <w:r>
                  <w:rPr/>
                  <w:fldChar w:fldCharType="begin"/>
                </w:r>
                <w:r>
                  <w:rPr>
                    <w:sz w:val="18"/>
                  </w:rPr>
                  <w:instrText> PAGE </w:instrText>
                </w:r>
                <w:r>
                  <w:rPr/>
                  <w:fldChar w:fldCharType="separate"/>
                </w:r>
                <w:r>
                  <w:rPr/>
                  <w:t>10</w:t>
                </w:r>
                <w:r>
                  <w:rPr/>
                  <w:fldChar w:fldCharType="end"/>
                </w:r>
                <w:r>
                  <w:rPr>
                    <w:sz w:val="18"/>
                  </w:rPr>
                  <w:t> 页，共 10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50" w:hanging="632"/>
        <w:jc w:val="left"/>
      </w:pPr>
      <w:rPr>
        <w:rFonts w:hint="default" w:ascii="宋体" w:hAnsi="宋体" w:eastAsia="宋体" w:cs="宋体"/>
        <w:w w:val="100"/>
        <w:sz w:val="21"/>
        <w:szCs w:val="21"/>
      </w:rPr>
    </w:lvl>
    <w:lvl w:ilvl="1">
      <w:start w:val="0"/>
      <w:numFmt w:val="bullet"/>
      <w:lvlText w:val="•"/>
      <w:lvlJc w:val="left"/>
      <w:pPr>
        <w:ind w:left="1614" w:hanging="632"/>
      </w:pPr>
      <w:rPr>
        <w:rFonts w:hint="default"/>
      </w:rPr>
    </w:lvl>
    <w:lvl w:ilvl="2">
      <w:start w:val="0"/>
      <w:numFmt w:val="bullet"/>
      <w:lvlText w:val="•"/>
      <w:lvlJc w:val="left"/>
      <w:pPr>
        <w:ind w:left="2469" w:hanging="632"/>
      </w:pPr>
      <w:rPr>
        <w:rFonts w:hint="default"/>
      </w:rPr>
    </w:lvl>
    <w:lvl w:ilvl="3">
      <w:start w:val="0"/>
      <w:numFmt w:val="bullet"/>
      <w:lvlText w:val="•"/>
      <w:lvlJc w:val="left"/>
      <w:pPr>
        <w:ind w:left="3323" w:hanging="632"/>
      </w:pPr>
      <w:rPr>
        <w:rFonts w:hint="default"/>
      </w:rPr>
    </w:lvl>
    <w:lvl w:ilvl="4">
      <w:start w:val="0"/>
      <w:numFmt w:val="bullet"/>
      <w:lvlText w:val="•"/>
      <w:lvlJc w:val="left"/>
      <w:pPr>
        <w:ind w:left="4178" w:hanging="632"/>
      </w:pPr>
      <w:rPr>
        <w:rFonts w:hint="default"/>
      </w:rPr>
    </w:lvl>
    <w:lvl w:ilvl="5">
      <w:start w:val="0"/>
      <w:numFmt w:val="bullet"/>
      <w:lvlText w:val="•"/>
      <w:lvlJc w:val="left"/>
      <w:pPr>
        <w:ind w:left="5033" w:hanging="632"/>
      </w:pPr>
      <w:rPr>
        <w:rFonts w:hint="default"/>
      </w:rPr>
    </w:lvl>
    <w:lvl w:ilvl="6">
      <w:start w:val="0"/>
      <w:numFmt w:val="bullet"/>
      <w:lvlText w:val="•"/>
      <w:lvlJc w:val="left"/>
      <w:pPr>
        <w:ind w:left="5887" w:hanging="632"/>
      </w:pPr>
      <w:rPr>
        <w:rFonts w:hint="default"/>
      </w:rPr>
    </w:lvl>
    <w:lvl w:ilvl="7">
      <w:start w:val="0"/>
      <w:numFmt w:val="bullet"/>
      <w:lvlText w:val="•"/>
      <w:lvlJc w:val="left"/>
      <w:pPr>
        <w:ind w:left="6742" w:hanging="632"/>
      </w:pPr>
      <w:rPr>
        <w:rFonts w:hint="default"/>
      </w:rPr>
    </w:lvl>
    <w:lvl w:ilvl="8">
      <w:start w:val="0"/>
      <w:numFmt w:val="bullet"/>
      <w:lvlText w:val="•"/>
      <w:lvlJc w:val="left"/>
      <w:pPr>
        <w:ind w:left="7597" w:hanging="632"/>
      </w:pPr>
      <w:rPr>
        <w:rFonts w:hint="default"/>
      </w:rPr>
    </w:lvl>
  </w:abstractNum>
  <w:abstractNum w:abstractNumId="6">
    <w:multiLevelType w:val="hybridMultilevel"/>
    <w:lvl w:ilvl="0">
      <w:start w:val="1"/>
      <w:numFmt w:val="decimal"/>
      <w:lvlText w:val="（%1）"/>
      <w:lvlJc w:val="left"/>
      <w:pPr>
        <w:ind w:left="1170" w:hanging="632"/>
        <w:jc w:val="left"/>
      </w:pPr>
      <w:rPr>
        <w:rFonts w:hint="default" w:ascii="宋体" w:hAnsi="宋体" w:eastAsia="宋体" w:cs="宋体"/>
        <w:spacing w:val="-1"/>
        <w:w w:val="100"/>
        <w:sz w:val="21"/>
        <w:szCs w:val="21"/>
      </w:rPr>
    </w:lvl>
    <w:lvl w:ilvl="1">
      <w:start w:val="0"/>
      <w:numFmt w:val="bullet"/>
      <w:lvlText w:val="•"/>
      <w:lvlJc w:val="left"/>
      <w:pPr>
        <w:ind w:left="1992" w:hanging="632"/>
      </w:pPr>
      <w:rPr>
        <w:rFonts w:hint="default"/>
      </w:rPr>
    </w:lvl>
    <w:lvl w:ilvl="2">
      <w:start w:val="0"/>
      <w:numFmt w:val="bullet"/>
      <w:lvlText w:val="•"/>
      <w:lvlJc w:val="left"/>
      <w:pPr>
        <w:ind w:left="2805" w:hanging="632"/>
      </w:pPr>
      <w:rPr>
        <w:rFonts w:hint="default"/>
      </w:rPr>
    </w:lvl>
    <w:lvl w:ilvl="3">
      <w:start w:val="0"/>
      <w:numFmt w:val="bullet"/>
      <w:lvlText w:val="•"/>
      <w:lvlJc w:val="left"/>
      <w:pPr>
        <w:ind w:left="3617" w:hanging="632"/>
      </w:pPr>
      <w:rPr>
        <w:rFonts w:hint="default"/>
      </w:rPr>
    </w:lvl>
    <w:lvl w:ilvl="4">
      <w:start w:val="0"/>
      <w:numFmt w:val="bullet"/>
      <w:lvlText w:val="•"/>
      <w:lvlJc w:val="left"/>
      <w:pPr>
        <w:ind w:left="4430" w:hanging="632"/>
      </w:pPr>
      <w:rPr>
        <w:rFonts w:hint="default"/>
      </w:rPr>
    </w:lvl>
    <w:lvl w:ilvl="5">
      <w:start w:val="0"/>
      <w:numFmt w:val="bullet"/>
      <w:lvlText w:val="•"/>
      <w:lvlJc w:val="left"/>
      <w:pPr>
        <w:ind w:left="5243" w:hanging="632"/>
      </w:pPr>
      <w:rPr>
        <w:rFonts w:hint="default"/>
      </w:rPr>
    </w:lvl>
    <w:lvl w:ilvl="6">
      <w:start w:val="0"/>
      <w:numFmt w:val="bullet"/>
      <w:lvlText w:val="•"/>
      <w:lvlJc w:val="left"/>
      <w:pPr>
        <w:ind w:left="6055" w:hanging="632"/>
      </w:pPr>
      <w:rPr>
        <w:rFonts w:hint="default"/>
      </w:rPr>
    </w:lvl>
    <w:lvl w:ilvl="7">
      <w:start w:val="0"/>
      <w:numFmt w:val="bullet"/>
      <w:lvlText w:val="•"/>
      <w:lvlJc w:val="left"/>
      <w:pPr>
        <w:ind w:left="6868" w:hanging="632"/>
      </w:pPr>
      <w:rPr>
        <w:rFonts w:hint="default"/>
      </w:rPr>
    </w:lvl>
    <w:lvl w:ilvl="8">
      <w:start w:val="0"/>
      <w:numFmt w:val="bullet"/>
      <w:lvlText w:val="•"/>
      <w:lvlJc w:val="left"/>
      <w:pPr>
        <w:ind w:left="7681" w:hanging="632"/>
      </w:pPr>
      <w:rPr>
        <w:rFonts w:hint="default"/>
      </w:rPr>
    </w:lvl>
  </w:abstractNum>
  <w:abstractNum w:abstractNumId="5">
    <w:multiLevelType w:val="hybridMultilevel"/>
    <w:lvl w:ilvl="0">
      <w:start w:val="1"/>
      <w:numFmt w:val="decimal"/>
      <w:lvlText w:val="%1."/>
      <w:lvlJc w:val="left"/>
      <w:pPr>
        <w:ind w:left="855" w:hanging="317"/>
        <w:jc w:val="left"/>
      </w:pPr>
      <w:rPr>
        <w:rFonts w:hint="default" w:ascii="宋体" w:hAnsi="宋体" w:eastAsia="宋体" w:cs="宋体"/>
        <w:w w:val="100"/>
        <w:sz w:val="21"/>
        <w:szCs w:val="21"/>
      </w:rPr>
    </w:lvl>
    <w:lvl w:ilvl="1">
      <w:start w:val="0"/>
      <w:numFmt w:val="bullet"/>
      <w:lvlText w:val="•"/>
      <w:lvlJc w:val="left"/>
      <w:pPr>
        <w:ind w:left="1704" w:hanging="317"/>
      </w:pPr>
      <w:rPr>
        <w:rFonts w:hint="default"/>
      </w:rPr>
    </w:lvl>
    <w:lvl w:ilvl="2">
      <w:start w:val="0"/>
      <w:numFmt w:val="bullet"/>
      <w:lvlText w:val="•"/>
      <w:lvlJc w:val="left"/>
      <w:pPr>
        <w:ind w:left="2549" w:hanging="317"/>
      </w:pPr>
      <w:rPr>
        <w:rFonts w:hint="default"/>
      </w:rPr>
    </w:lvl>
    <w:lvl w:ilvl="3">
      <w:start w:val="0"/>
      <w:numFmt w:val="bullet"/>
      <w:lvlText w:val="•"/>
      <w:lvlJc w:val="left"/>
      <w:pPr>
        <w:ind w:left="3393" w:hanging="317"/>
      </w:pPr>
      <w:rPr>
        <w:rFonts w:hint="default"/>
      </w:rPr>
    </w:lvl>
    <w:lvl w:ilvl="4">
      <w:start w:val="0"/>
      <w:numFmt w:val="bullet"/>
      <w:lvlText w:val="•"/>
      <w:lvlJc w:val="left"/>
      <w:pPr>
        <w:ind w:left="4238" w:hanging="317"/>
      </w:pPr>
      <w:rPr>
        <w:rFonts w:hint="default"/>
      </w:rPr>
    </w:lvl>
    <w:lvl w:ilvl="5">
      <w:start w:val="0"/>
      <w:numFmt w:val="bullet"/>
      <w:lvlText w:val="•"/>
      <w:lvlJc w:val="left"/>
      <w:pPr>
        <w:ind w:left="5083" w:hanging="317"/>
      </w:pPr>
      <w:rPr>
        <w:rFonts w:hint="default"/>
      </w:rPr>
    </w:lvl>
    <w:lvl w:ilvl="6">
      <w:start w:val="0"/>
      <w:numFmt w:val="bullet"/>
      <w:lvlText w:val="•"/>
      <w:lvlJc w:val="left"/>
      <w:pPr>
        <w:ind w:left="5927" w:hanging="317"/>
      </w:pPr>
      <w:rPr>
        <w:rFonts w:hint="default"/>
      </w:rPr>
    </w:lvl>
    <w:lvl w:ilvl="7">
      <w:start w:val="0"/>
      <w:numFmt w:val="bullet"/>
      <w:lvlText w:val="•"/>
      <w:lvlJc w:val="left"/>
      <w:pPr>
        <w:ind w:left="6772" w:hanging="317"/>
      </w:pPr>
      <w:rPr>
        <w:rFonts w:hint="default"/>
      </w:rPr>
    </w:lvl>
    <w:lvl w:ilvl="8">
      <w:start w:val="0"/>
      <w:numFmt w:val="bullet"/>
      <w:lvlText w:val="•"/>
      <w:lvlJc w:val="left"/>
      <w:pPr>
        <w:ind w:left="7617" w:hanging="317"/>
      </w:pPr>
      <w:rPr>
        <w:rFonts w:hint="default"/>
      </w:rPr>
    </w:lvl>
  </w:abstractNum>
  <w:abstractNum w:abstractNumId="4">
    <w:multiLevelType w:val="hybridMultilevel"/>
    <w:lvl w:ilvl="0">
      <w:start w:val="1"/>
      <w:numFmt w:val="decimal"/>
      <w:lvlText w:val="%1."/>
      <w:lvlJc w:val="left"/>
      <w:pPr>
        <w:ind w:left="118" w:hanging="317"/>
        <w:jc w:val="left"/>
      </w:pPr>
      <w:rPr>
        <w:rFonts w:hint="default" w:ascii="宋体" w:hAnsi="宋体" w:eastAsia="宋体" w:cs="宋体"/>
        <w:w w:val="100"/>
        <w:sz w:val="21"/>
        <w:szCs w:val="21"/>
      </w:rPr>
    </w:lvl>
    <w:lvl w:ilvl="1">
      <w:start w:val="0"/>
      <w:numFmt w:val="bullet"/>
      <w:lvlText w:val="•"/>
      <w:lvlJc w:val="left"/>
      <w:pPr>
        <w:ind w:left="1038" w:hanging="317"/>
      </w:pPr>
      <w:rPr>
        <w:rFonts w:hint="default"/>
      </w:rPr>
    </w:lvl>
    <w:lvl w:ilvl="2">
      <w:start w:val="0"/>
      <w:numFmt w:val="bullet"/>
      <w:lvlText w:val="•"/>
      <w:lvlJc w:val="left"/>
      <w:pPr>
        <w:ind w:left="1957" w:hanging="317"/>
      </w:pPr>
      <w:rPr>
        <w:rFonts w:hint="default"/>
      </w:rPr>
    </w:lvl>
    <w:lvl w:ilvl="3">
      <w:start w:val="0"/>
      <w:numFmt w:val="bullet"/>
      <w:lvlText w:val="•"/>
      <w:lvlJc w:val="left"/>
      <w:pPr>
        <w:ind w:left="2875" w:hanging="317"/>
      </w:pPr>
      <w:rPr>
        <w:rFonts w:hint="default"/>
      </w:rPr>
    </w:lvl>
    <w:lvl w:ilvl="4">
      <w:start w:val="0"/>
      <w:numFmt w:val="bullet"/>
      <w:lvlText w:val="•"/>
      <w:lvlJc w:val="left"/>
      <w:pPr>
        <w:ind w:left="3794" w:hanging="317"/>
      </w:pPr>
      <w:rPr>
        <w:rFonts w:hint="default"/>
      </w:rPr>
    </w:lvl>
    <w:lvl w:ilvl="5">
      <w:start w:val="0"/>
      <w:numFmt w:val="bullet"/>
      <w:lvlText w:val="•"/>
      <w:lvlJc w:val="left"/>
      <w:pPr>
        <w:ind w:left="4713" w:hanging="317"/>
      </w:pPr>
      <w:rPr>
        <w:rFonts w:hint="default"/>
      </w:rPr>
    </w:lvl>
    <w:lvl w:ilvl="6">
      <w:start w:val="0"/>
      <w:numFmt w:val="bullet"/>
      <w:lvlText w:val="•"/>
      <w:lvlJc w:val="left"/>
      <w:pPr>
        <w:ind w:left="5631" w:hanging="317"/>
      </w:pPr>
      <w:rPr>
        <w:rFonts w:hint="default"/>
      </w:rPr>
    </w:lvl>
    <w:lvl w:ilvl="7">
      <w:start w:val="0"/>
      <w:numFmt w:val="bullet"/>
      <w:lvlText w:val="•"/>
      <w:lvlJc w:val="left"/>
      <w:pPr>
        <w:ind w:left="6550" w:hanging="317"/>
      </w:pPr>
      <w:rPr>
        <w:rFonts w:hint="default"/>
      </w:rPr>
    </w:lvl>
    <w:lvl w:ilvl="8">
      <w:start w:val="0"/>
      <w:numFmt w:val="bullet"/>
      <w:lvlText w:val="•"/>
      <w:lvlJc w:val="left"/>
      <w:pPr>
        <w:ind w:left="7469" w:hanging="317"/>
      </w:pPr>
      <w:rPr>
        <w:rFonts w:hint="default"/>
      </w:rPr>
    </w:lvl>
  </w:abstractNum>
  <w:abstractNum w:abstractNumId="3">
    <w:multiLevelType w:val="hybridMultilevel"/>
    <w:lvl w:ilvl="0">
      <w:start w:val="1"/>
      <w:numFmt w:val="decimal"/>
      <w:lvlText w:val="%1."/>
      <w:lvlJc w:val="left"/>
      <w:pPr>
        <w:ind w:left="855" w:hanging="317"/>
        <w:jc w:val="left"/>
      </w:pPr>
      <w:rPr>
        <w:rFonts w:hint="default" w:ascii="宋体" w:hAnsi="宋体" w:eastAsia="宋体" w:cs="宋体"/>
        <w:w w:val="100"/>
        <w:sz w:val="21"/>
        <w:szCs w:val="21"/>
      </w:rPr>
    </w:lvl>
    <w:lvl w:ilvl="1">
      <w:start w:val="0"/>
      <w:numFmt w:val="bullet"/>
      <w:lvlText w:val="•"/>
      <w:lvlJc w:val="left"/>
      <w:pPr>
        <w:ind w:left="1704" w:hanging="317"/>
      </w:pPr>
      <w:rPr>
        <w:rFonts w:hint="default"/>
      </w:rPr>
    </w:lvl>
    <w:lvl w:ilvl="2">
      <w:start w:val="0"/>
      <w:numFmt w:val="bullet"/>
      <w:lvlText w:val="•"/>
      <w:lvlJc w:val="left"/>
      <w:pPr>
        <w:ind w:left="2549" w:hanging="317"/>
      </w:pPr>
      <w:rPr>
        <w:rFonts w:hint="default"/>
      </w:rPr>
    </w:lvl>
    <w:lvl w:ilvl="3">
      <w:start w:val="0"/>
      <w:numFmt w:val="bullet"/>
      <w:lvlText w:val="•"/>
      <w:lvlJc w:val="left"/>
      <w:pPr>
        <w:ind w:left="3393" w:hanging="317"/>
      </w:pPr>
      <w:rPr>
        <w:rFonts w:hint="default"/>
      </w:rPr>
    </w:lvl>
    <w:lvl w:ilvl="4">
      <w:start w:val="0"/>
      <w:numFmt w:val="bullet"/>
      <w:lvlText w:val="•"/>
      <w:lvlJc w:val="left"/>
      <w:pPr>
        <w:ind w:left="4238" w:hanging="317"/>
      </w:pPr>
      <w:rPr>
        <w:rFonts w:hint="default"/>
      </w:rPr>
    </w:lvl>
    <w:lvl w:ilvl="5">
      <w:start w:val="0"/>
      <w:numFmt w:val="bullet"/>
      <w:lvlText w:val="•"/>
      <w:lvlJc w:val="left"/>
      <w:pPr>
        <w:ind w:left="5083" w:hanging="317"/>
      </w:pPr>
      <w:rPr>
        <w:rFonts w:hint="default"/>
      </w:rPr>
    </w:lvl>
    <w:lvl w:ilvl="6">
      <w:start w:val="0"/>
      <w:numFmt w:val="bullet"/>
      <w:lvlText w:val="•"/>
      <w:lvlJc w:val="left"/>
      <w:pPr>
        <w:ind w:left="5927" w:hanging="317"/>
      </w:pPr>
      <w:rPr>
        <w:rFonts w:hint="default"/>
      </w:rPr>
    </w:lvl>
    <w:lvl w:ilvl="7">
      <w:start w:val="0"/>
      <w:numFmt w:val="bullet"/>
      <w:lvlText w:val="•"/>
      <w:lvlJc w:val="left"/>
      <w:pPr>
        <w:ind w:left="6772" w:hanging="317"/>
      </w:pPr>
      <w:rPr>
        <w:rFonts w:hint="default"/>
      </w:rPr>
    </w:lvl>
    <w:lvl w:ilvl="8">
      <w:start w:val="0"/>
      <w:numFmt w:val="bullet"/>
      <w:lvlText w:val="•"/>
      <w:lvlJc w:val="left"/>
      <w:pPr>
        <w:ind w:left="7617" w:hanging="317"/>
      </w:pPr>
      <w:rPr>
        <w:rFonts w:hint="default"/>
      </w:rPr>
    </w:lvl>
  </w:abstractNum>
  <w:abstractNum w:abstractNumId="2">
    <w:multiLevelType w:val="hybridMultilevel"/>
    <w:lvl w:ilvl="0">
      <w:start w:val="7"/>
      <w:numFmt w:val="decimal"/>
      <w:lvlText w:val="%1."/>
      <w:lvlJc w:val="left"/>
      <w:pPr>
        <w:ind w:left="958" w:hanging="420"/>
        <w:jc w:val="left"/>
      </w:pPr>
      <w:rPr>
        <w:rFonts w:hint="default"/>
        <w:w w:val="100"/>
        <w:highlight w:val="lightGray"/>
      </w:rPr>
    </w:lvl>
    <w:lvl w:ilvl="1">
      <w:start w:val="0"/>
      <w:numFmt w:val="bullet"/>
      <w:lvlText w:val="•"/>
      <w:lvlJc w:val="left"/>
      <w:pPr>
        <w:ind w:left="1794" w:hanging="420"/>
      </w:pPr>
      <w:rPr>
        <w:rFonts w:hint="default"/>
      </w:rPr>
    </w:lvl>
    <w:lvl w:ilvl="2">
      <w:start w:val="0"/>
      <w:numFmt w:val="bullet"/>
      <w:lvlText w:val="•"/>
      <w:lvlJc w:val="left"/>
      <w:pPr>
        <w:ind w:left="2629" w:hanging="420"/>
      </w:pPr>
      <w:rPr>
        <w:rFonts w:hint="default"/>
      </w:rPr>
    </w:lvl>
    <w:lvl w:ilvl="3">
      <w:start w:val="0"/>
      <w:numFmt w:val="bullet"/>
      <w:lvlText w:val="•"/>
      <w:lvlJc w:val="left"/>
      <w:pPr>
        <w:ind w:left="3463" w:hanging="420"/>
      </w:pPr>
      <w:rPr>
        <w:rFonts w:hint="default"/>
      </w:rPr>
    </w:lvl>
    <w:lvl w:ilvl="4">
      <w:start w:val="0"/>
      <w:numFmt w:val="bullet"/>
      <w:lvlText w:val="•"/>
      <w:lvlJc w:val="left"/>
      <w:pPr>
        <w:ind w:left="4298"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02" w:hanging="420"/>
      </w:pPr>
      <w:rPr>
        <w:rFonts w:hint="default"/>
      </w:rPr>
    </w:lvl>
    <w:lvl w:ilvl="8">
      <w:start w:val="0"/>
      <w:numFmt w:val="bullet"/>
      <w:lvlText w:val="•"/>
      <w:lvlJc w:val="left"/>
      <w:pPr>
        <w:ind w:left="7637" w:hanging="420"/>
      </w:pPr>
      <w:rPr>
        <w:rFonts w:hint="default"/>
      </w:rPr>
    </w:lvl>
  </w:abstractNum>
  <w:abstractNum w:abstractNumId="1">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794" w:hanging="420"/>
      </w:pPr>
      <w:rPr>
        <w:rFonts w:hint="default"/>
      </w:rPr>
    </w:lvl>
    <w:lvl w:ilvl="2">
      <w:start w:val="0"/>
      <w:numFmt w:val="bullet"/>
      <w:lvlText w:val="•"/>
      <w:lvlJc w:val="left"/>
      <w:pPr>
        <w:ind w:left="2629" w:hanging="420"/>
      </w:pPr>
      <w:rPr>
        <w:rFonts w:hint="default"/>
      </w:rPr>
    </w:lvl>
    <w:lvl w:ilvl="3">
      <w:start w:val="0"/>
      <w:numFmt w:val="bullet"/>
      <w:lvlText w:val="•"/>
      <w:lvlJc w:val="left"/>
      <w:pPr>
        <w:ind w:left="3463" w:hanging="420"/>
      </w:pPr>
      <w:rPr>
        <w:rFonts w:hint="default"/>
      </w:rPr>
    </w:lvl>
    <w:lvl w:ilvl="4">
      <w:start w:val="0"/>
      <w:numFmt w:val="bullet"/>
      <w:lvlText w:val="•"/>
      <w:lvlJc w:val="left"/>
      <w:pPr>
        <w:ind w:left="4298"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02" w:hanging="420"/>
      </w:pPr>
      <w:rPr>
        <w:rFonts w:hint="default"/>
      </w:rPr>
    </w:lvl>
    <w:lvl w:ilvl="8">
      <w:start w:val="0"/>
      <w:numFmt w:val="bullet"/>
      <w:lvlText w:val="•"/>
      <w:lvlJc w:val="left"/>
      <w:pPr>
        <w:ind w:left="7637" w:hanging="420"/>
      </w:pPr>
      <w:rPr>
        <w:rFonts w:hint="default"/>
      </w:rPr>
    </w:lvl>
  </w:abstractNum>
  <w:abstractNum w:abstractNumId="0">
    <w:multiLevelType w:val="hybridMultilevel"/>
    <w:lvl w:ilvl="0">
      <w:start w:val="0"/>
      <w:numFmt w:val="bullet"/>
      <w:lvlText w:val=""/>
      <w:lvlJc w:val="left"/>
      <w:pPr>
        <w:ind w:left="1378" w:hanging="540"/>
      </w:pPr>
      <w:rPr>
        <w:rFonts w:hint="default" w:ascii="Wingdings" w:hAnsi="Wingdings" w:eastAsia="Wingdings" w:cs="Wingdings"/>
        <w:w w:val="100"/>
        <w:sz w:val="24"/>
        <w:szCs w:val="24"/>
      </w:rPr>
    </w:lvl>
    <w:lvl w:ilvl="1">
      <w:start w:val="0"/>
      <w:numFmt w:val="bullet"/>
      <w:lvlText w:val="•"/>
      <w:lvlJc w:val="left"/>
      <w:pPr>
        <w:ind w:left="2184" w:hanging="540"/>
      </w:pPr>
      <w:rPr>
        <w:rFonts w:hint="default"/>
      </w:rPr>
    </w:lvl>
    <w:lvl w:ilvl="2">
      <w:start w:val="0"/>
      <w:numFmt w:val="bullet"/>
      <w:lvlText w:val="•"/>
      <w:lvlJc w:val="left"/>
      <w:pPr>
        <w:ind w:left="2989" w:hanging="540"/>
      </w:pPr>
      <w:rPr>
        <w:rFonts w:hint="default"/>
      </w:rPr>
    </w:lvl>
    <w:lvl w:ilvl="3">
      <w:start w:val="0"/>
      <w:numFmt w:val="bullet"/>
      <w:lvlText w:val="•"/>
      <w:lvlJc w:val="left"/>
      <w:pPr>
        <w:ind w:left="3793" w:hanging="540"/>
      </w:pPr>
      <w:rPr>
        <w:rFonts w:hint="default"/>
      </w:rPr>
    </w:lvl>
    <w:lvl w:ilvl="4">
      <w:start w:val="0"/>
      <w:numFmt w:val="bullet"/>
      <w:lvlText w:val="•"/>
      <w:lvlJc w:val="left"/>
      <w:pPr>
        <w:ind w:left="4598" w:hanging="540"/>
      </w:pPr>
      <w:rPr>
        <w:rFonts w:hint="default"/>
      </w:rPr>
    </w:lvl>
    <w:lvl w:ilvl="5">
      <w:start w:val="0"/>
      <w:numFmt w:val="bullet"/>
      <w:lvlText w:val="•"/>
      <w:lvlJc w:val="left"/>
      <w:pPr>
        <w:ind w:left="5403" w:hanging="540"/>
      </w:pPr>
      <w:rPr>
        <w:rFonts w:hint="default"/>
      </w:rPr>
    </w:lvl>
    <w:lvl w:ilvl="6">
      <w:start w:val="0"/>
      <w:numFmt w:val="bullet"/>
      <w:lvlText w:val="•"/>
      <w:lvlJc w:val="left"/>
      <w:pPr>
        <w:ind w:left="6207" w:hanging="540"/>
      </w:pPr>
      <w:rPr>
        <w:rFonts w:hint="default"/>
      </w:rPr>
    </w:lvl>
    <w:lvl w:ilvl="7">
      <w:start w:val="0"/>
      <w:numFmt w:val="bullet"/>
      <w:lvlText w:val="•"/>
      <w:lvlJc w:val="left"/>
      <w:pPr>
        <w:ind w:left="7012" w:hanging="540"/>
      </w:pPr>
      <w:rPr>
        <w:rFonts w:hint="default"/>
      </w:rPr>
    </w:lvl>
    <w:lvl w:ilvl="8">
      <w:start w:val="0"/>
      <w:numFmt w:val="bullet"/>
      <w:lvlText w:val="•"/>
      <w:lvlJc w:val="left"/>
      <w:pPr>
        <w:ind w:left="7817" w:hanging="5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ind w:left="538"/>
    </w:pPr>
    <w:rPr>
      <w:rFonts w:ascii="宋体" w:hAnsi="宋体" w:eastAsia="宋体" w:cs="宋体"/>
      <w:sz w:val="21"/>
      <w:szCs w:val="21"/>
    </w:rPr>
  </w:style>
  <w:style w:styleId="Heading1" w:type="paragraph">
    <w:name w:val="Heading 1"/>
    <w:basedOn w:val="Normal"/>
    <w:uiPriority w:val="1"/>
    <w:qFormat/>
    <w:pPr>
      <w:ind w:left="2675" w:right="2590"/>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378" w:hanging="63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车得道</dc:creator>
  <dcterms:created xsi:type="dcterms:W3CDTF">2018-10-19T22:41:45Z</dcterms:created>
  <dcterms:modified xsi:type="dcterms:W3CDTF">2018-10-19T22:41:45Z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2016-10-18T00:00:00Z</vt:filetime>
  </property>
  <property fmtid="{D5CDD505-2E9C-101B-9397-08002B2CF9AE}" pid="3" name="Creator">
    <vt:lpwstr>Microsoft® Word 2013</vt:lpwstr>
  </property>
  <property fmtid="{D5CDD505-2E9C-101B-9397-08002B2CF9AE}" pid="4" name="LastSaved">
    <vt:filetime>2018-10-19T00:00:00Z</vt:filetime>
  </property>
</Properties>
</file>